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F4524" w14:textId="77777777" w:rsidR="00517101" w:rsidRPr="00517101" w:rsidRDefault="00517101" w:rsidP="00DC7C8A">
      <w:pPr>
        <w:jc w:val="right"/>
        <w:rPr>
          <w:rFonts w:ascii="Arial" w:hAnsi="Arial" w:cs="Arial"/>
          <w:b/>
          <w:i/>
          <w:color w:val="000000" w:themeColor="text1"/>
          <w:sz w:val="40"/>
          <w:szCs w:val="36"/>
          <w:u w:val="single"/>
        </w:rPr>
      </w:pPr>
      <w:r w:rsidRPr="00517101">
        <w:rPr>
          <w:rFonts w:ascii="Arial" w:hAnsi="Arial" w:cs="Arial"/>
          <w:b/>
          <w:i/>
          <w:color w:val="000000" w:themeColor="text1"/>
          <w:sz w:val="40"/>
          <w:szCs w:val="36"/>
          <w:u w:val="single"/>
        </w:rPr>
        <w:t xml:space="preserve">Original Research Article </w:t>
      </w:r>
    </w:p>
    <w:p w14:paraId="2C0B8E22" w14:textId="79A79580" w:rsidR="00644A74" w:rsidRDefault="00644A74" w:rsidP="00DC7C8A">
      <w:pPr>
        <w:jc w:val="right"/>
        <w:rPr>
          <w:rFonts w:ascii="Arial" w:hAnsi="Arial" w:cs="Arial"/>
          <w:b/>
          <w:color w:val="000000" w:themeColor="text1"/>
          <w:sz w:val="36"/>
          <w:szCs w:val="36"/>
        </w:rPr>
      </w:pPr>
      <w:r w:rsidRPr="00DC7C8A">
        <w:rPr>
          <w:rFonts w:ascii="Arial" w:hAnsi="Arial" w:cs="Arial"/>
          <w:b/>
          <w:color w:val="000000" w:themeColor="text1"/>
          <w:sz w:val="36"/>
          <w:szCs w:val="36"/>
        </w:rPr>
        <w:t>Quality of life and psychosocial well-being in adolescents with cleft lip and palate scars: a gender-based analysis</w:t>
      </w:r>
    </w:p>
    <w:p w14:paraId="469D9246" w14:textId="78B2E9BB" w:rsidR="00DC7C8A" w:rsidRPr="00342487" w:rsidRDefault="00DC7C8A" w:rsidP="00CB78C7">
      <w:pPr>
        <w:spacing w:line="276" w:lineRule="auto"/>
        <w:jc w:val="right"/>
        <w:rPr>
          <w:rFonts w:ascii="Arial" w:hAnsi="Arial" w:cs="Arial"/>
          <w:color w:val="000000" w:themeColor="text1"/>
          <w:sz w:val="20"/>
          <w:szCs w:val="20"/>
          <w:lang w:val="fr-FR"/>
        </w:rPr>
      </w:pPr>
    </w:p>
    <w:p w14:paraId="52586D71" w14:textId="06F65CB7" w:rsidR="00644A74" w:rsidRPr="00342487" w:rsidRDefault="00644A74" w:rsidP="00DC7C8A">
      <w:pPr>
        <w:jc w:val="right"/>
        <w:rPr>
          <w:rFonts w:ascii="Arial" w:hAnsi="Arial" w:cs="Arial"/>
          <w:color w:val="000000" w:themeColor="text1"/>
          <w:sz w:val="20"/>
          <w:szCs w:val="20"/>
          <w:lang w:val="fr-FR"/>
        </w:rPr>
      </w:pPr>
    </w:p>
    <w:p w14:paraId="256B5FA5" w14:textId="46DD102A" w:rsidR="00644A74" w:rsidRPr="00CB78C7" w:rsidRDefault="00CB78C7" w:rsidP="00F250C4">
      <w:pPr>
        <w:spacing w:line="276" w:lineRule="auto"/>
        <w:jc w:val="both"/>
        <w:rPr>
          <w:rFonts w:ascii="Arial" w:hAnsi="Arial" w:cs="Arial"/>
          <w:b/>
          <w:bCs/>
          <w:color w:val="000000" w:themeColor="text1"/>
          <w:sz w:val="22"/>
          <w:szCs w:val="22"/>
        </w:rPr>
      </w:pPr>
      <w:r w:rsidRPr="00CB78C7">
        <w:rPr>
          <w:rFonts w:ascii="Arial" w:hAnsi="Arial" w:cs="Arial"/>
          <w:b/>
          <w:bCs/>
          <w:color w:val="000000" w:themeColor="text1"/>
          <w:sz w:val="22"/>
          <w:szCs w:val="22"/>
        </w:rPr>
        <w:t xml:space="preserve">ABSTRACT: </w:t>
      </w:r>
    </w:p>
    <w:p w14:paraId="6A370426" w14:textId="77777777" w:rsidR="00CB78C7" w:rsidRPr="00CB78C7" w:rsidRDefault="00CB78C7" w:rsidP="00CB78C7">
      <w:pPr>
        <w:spacing w:after="0" w:line="276" w:lineRule="auto"/>
        <w:jc w:val="both"/>
        <w:rPr>
          <w:rFonts w:ascii="Arial" w:hAnsi="Arial" w:cs="Arial"/>
          <w:color w:val="000000" w:themeColor="text1"/>
          <w:sz w:val="20"/>
          <w:szCs w:val="20"/>
        </w:rPr>
      </w:pPr>
      <w:r w:rsidRPr="00CB78C7">
        <w:rPr>
          <w:rFonts w:ascii="Arial" w:hAnsi="Arial" w:cs="Arial"/>
          <w:b/>
          <w:bCs/>
          <w:color w:val="000000" w:themeColor="text1"/>
          <w:sz w:val="20"/>
          <w:szCs w:val="20"/>
        </w:rPr>
        <w:t>Aim</w:t>
      </w:r>
      <w:r w:rsidR="00644A74" w:rsidRPr="00CB78C7">
        <w:rPr>
          <w:rFonts w:ascii="Arial" w:hAnsi="Arial" w:cs="Arial"/>
          <w:b/>
          <w:bCs/>
          <w:color w:val="000000" w:themeColor="text1"/>
          <w:sz w:val="20"/>
          <w:szCs w:val="20"/>
        </w:rPr>
        <w:t>:</w:t>
      </w:r>
      <w:r w:rsidR="00644A74" w:rsidRPr="00CB78C7">
        <w:rPr>
          <w:rFonts w:ascii="Arial" w:hAnsi="Arial" w:cs="Arial"/>
          <w:color w:val="000000" w:themeColor="text1"/>
          <w:sz w:val="20"/>
          <w:szCs w:val="20"/>
        </w:rPr>
        <w:t xml:space="preserve"> This study aimed to investigate psychosocial well-being, focusing on anxiety, depression, and self-concept, among adolescents with and without cleft lip and palate (CLP) scars, considering gender-related differences as potential determinants of quality of life</w:t>
      </w:r>
      <w:r w:rsidR="00406896" w:rsidRPr="00CB78C7">
        <w:rPr>
          <w:rFonts w:ascii="Arial" w:hAnsi="Arial" w:cs="Arial"/>
          <w:color w:val="000000" w:themeColor="text1"/>
          <w:sz w:val="20"/>
          <w:szCs w:val="20"/>
        </w:rPr>
        <w:t xml:space="preserve"> (QoL)</w:t>
      </w:r>
      <w:r w:rsidR="00644A74" w:rsidRPr="00CB78C7">
        <w:rPr>
          <w:rFonts w:ascii="Arial" w:hAnsi="Arial" w:cs="Arial"/>
          <w:color w:val="000000" w:themeColor="text1"/>
          <w:sz w:val="20"/>
          <w:szCs w:val="20"/>
        </w:rPr>
        <w:t xml:space="preserve">. </w:t>
      </w:r>
    </w:p>
    <w:p w14:paraId="6A63915B" w14:textId="09769BCB" w:rsidR="00CB78C7" w:rsidRPr="00CB78C7" w:rsidRDefault="00CB78C7" w:rsidP="00CB78C7">
      <w:pPr>
        <w:spacing w:after="0" w:line="276" w:lineRule="auto"/>
        <w:jc w:val="both"/>
        <w:rPr>
          <w:rFonts w:ascii="Arial" w:hAnsi="Arial" w:cs="Arial"/>
          <w:color w:val="000000" w:themeColor="text1"/>
          <w:sz w:val="20"/>
          <w:szCs w:val="20"/>
        </w:rPr>
      </w:pPr>
      <w:r w:rsidRPr="00CB78C7">
        <w:rPr>
          <w:rFonts w:ascii="Arial" w:eastAsia="Calibri" w:hAnsi="Arial" w:cs="Arial"/>
          <w:b/>
          <w:sz w:val="20"/>
          <w:szCs w:val="20"/>
        </w:rPr>
        <w:t>Study design:</w:t>
      </w:r>
      <w:r w:rsidRPr="00CB78C7">
        <w:rPr>
          <w:rFonts w:ascii="Arial" w:eastAsia="Calibri" w:hAnsi="Arial" w:cs="Arial"/>
          <w:sz w:val="20"/>
          <w:szCs w:val="20"/>
        </w:rPr>
        <w:t xml:space="preserve">  </w:t>
      </w:r>
      <w:r w:rsidRPr="00CB78C7">
        <w:rPr>
          <w:rFonts w:ascii="Arial" w:hAnsi="Arial" w:cs="Arial"/>
          <w:color w:val="000000" w:themeColor="text1"/>
          <w:sz w:val="20"/>
          <w:szCs w:val="20"/>
        </w:rPr>
        <w:t>Cross-sectional observational study.</w:t>
      </w:r>
    </w:p>
    <w:p w14:paraId="0669558B" w14:textId="77777777" w:rsidR="00CB78C7" w:rsidRPr="00CB78C7" w:rsidRDefault="00644A74" w:rsidP="00CB78C7">
      <w:pPr>
        <w:spacing w:after="0" w:line="276" w:lineRule="auto"/>
        <w:jc w:val="both"/>
        <w:rPr>
          <w:rFonts w:ascii="Arial" w:hAnsi="Arial" w:cs="Arial"/>
          <w:color w:val="000000" w:themeColor="text1"/>
          <w:sz w:val="20"/>
          <w:szCs w:val="20"/>
        </w:rPr>
      </w:pPr>
      <w:r w:rsidRPr="00CB78C7">
        <w:rPr>
          <w:rFonts w:ascii="Arial" w:hAnsi="Arial" w:cs="Arial"/>
          <w:b/>
          <w:bCs/>
          <w:color w:val="000000" w:themeColor="text1"/>
          <w:sz w:val="20"/>
          <w:szCs w:val="20"/>
        </w:rPr>
        <w:t>Method</w:t>
      </w:r>
      <w:r w:rsidR="00CB78C7" w:rsidRPr="00CB78C7">
        <w:rPr>
          <w:rFonts w:ascii="Arial" w:hAnsi="Arial" w:cs="Arial"/>
          <w:b/>
          <w:bCs/>
          <w:color w:val="000000" w:themeColor="text1"/>
          <w:sz w:val="20"/>
          <w:szCs w:val="20"/>
        </w:rPr>
        <w:t>ology</w:t>
      </w:r>
      <w:r w:rsidRPr="00CB78C7">
        <w:rPr>
          <w:rFonts w:ascii="Arial" w:hAnsi="Arial" w:cs="Arial"/>
          <w:b/>
          <w:bCs/>
          <w:color w:val="000000" w:themeColor="text1"/>
          <w:sz w:val="20"/>
          <w:szCs w:val="20"/>
        </w:rPr>
        <w:t>:</w:t>
      </w:r>
      <w:r w:rsidRPr="00CB78C7">
        <w:rPr>
          <w:rFonts w:ascii="Arial" w:hAnsi="Arial" w:cs="Arial"/>
          <w:color w:val="000000" w:themeColor="text1"/>
          <w:sz w:val="20"/>
          <w:szCs w:val="20"/>
        </w:rPr>
        <w:t xml:space="preserve"> A cross-sectional study was conducted with 237 adolescents aged 12–18 years, including 79 participants with CLP scars and 158 without CLP scars. Participants completed a sociodemographic questionnaire and validated psychosocial instruments: </w:t>
      </w:r>
      <w:proofErr w:type="gramStart"/>
      <w:r w:rsidRPr="00CB78C7">
        <w:rPr>
          <w:rFonts w:ascii="Arial" w:hAnsi="Arial" w:cs="Arial"/>
          <w:color w:val="000000" w:themeColor="text1"/>
          <w:sz w:val="20"/>
          <w:szCs w:val="20"/>
        </w:rPr>
        <w:t>the</w:t>
      </w:r>
      <w:proofErr w:type="gramEnd"/>
      <w:r w:rsidRPr="00CB78C7">
        <w:rPr>
          <w:rFonts w:ascii="Arial" w:hAnsi="Arial" w:cs="Arial"/>
          <w:color w:val="000000" w:themeColor="text1"/>
          <w:sz w:val="20"/>
          <w:szCs w:val="20"/>
        </w:rPr>
        <w:t xml:space="preserve"> Generalized Anxiety Disorder scale (GAD-7), the Patient Health Questionnaire (PHQ-9), and the Rosenberg Self-Esteem Scale. Group comparisons were performed using Student’s t-tests and analysis of variance (ANOVA), with a significance level set at 5%. </w:t>
      </w:r>
    </w:p>
    <w:p w14:paraId="2340FD62" w14:textId="26437EEF" w:rsidR="00644A74" w:rsidRPr="00CB78C7" w:rsidRDefault="00644A74" w:rsidP="00CB78C7">
      <w:pPr>
        <w:spacing w:after="0" w:line="276" w:lineRule="auto"/>
        <w:jc w:val="both"/>
        <w:rPr>
          <w:rFonts w:ascii="Arial" w:hAnsi="Arial" w:cs="Arial"/>
          <w:color w:val="000000" w:themeColor="text1"/>
          <w:sz w:val="20"/>
          <w:szCs w:val="20"/>
        </w:rPr>
      </w:pPr>
      <w:r w:rsidRPr="00CB78C7">
        <w:rPr>
          <w:rFonts w:ascii="Arial" w:hAnsi="Arial" w:cs="Arial"/>
          <w:b/>
          <w:bCs/>
          <w:color w:val="000000" w:themeColor="text1"/>
          <w:sz w:val="20"/>
          <w:szCs w:val="20"/>
        </w:rPr>
        <w:t>Results</w:t>
      </w:r>
      <w:r w:rsidRPr="00CB78C7">
        <w:rPr>
          <w:rFonts w:ascii="Arial" w:hAnsi="Arial" w:cs="Arial"/>
          <w:color w:val="000000" w:themeColor="text1"/>
          <w:sz w:val="20"/>
          <w:szCs w:val="20"/>
        </w:rPr>
        <w:t>: Adolescents with CLP scars showed slightly higher frequencies of moderate to severe anxiety (15.0% vs. 11.7%), depression (13.9% vs. 10.5%), and low self-concept (17.5% vs. 11.7%) compared with their peers without CLP scars; however, these differences were not statistically significant (P &gt; 0.05). In contrast, female adolescents, regardless of CLP status, exhibited significantly higher levels of anxiety (P = 0.001) and depression (P = 0.002), as well as lower self-concept (P = 0.001), particularly among those aged 14–17 years. Conclusion: The presence of CLP scars alone did not significantly impact psychosocial well-being in adolescence. However, female gender emerged as a key determinant associated with increased vulnerability to anxiety, depression, and reduced self-concept. These findings highlight the importance of incorporating gender-sensitive perspectives into psychosocial assessment and quality-of-life–oriented support strategies for adolescents, particularly those living with visible craniofacial conditions.</w:t>
      </w:r>
    </w:p>
    <w:p w14:paraId="0F45542C" w14:textId="77777777" w:rsidR="00644A74" w:rsidRPr="00CB78C7" w:rsidRDefault="00644A74" w:rsidP="00F250C4">
      <w:pPr>
        <w:spacing w:line="360" w:lineRule="auto"/>
        <w:jc w:val="both"/>
        <w:rPr>
          <w:rFonts w:ascii="Arial" w:hAnsi="Arial" w:cs="Arial"/>
          <w:color w:val="000000" w:themeColor="text1"/>
          <w:sz w:val="20"/>
          <w:szCs w:val="20"/>
        </w:rPr>
      </w:pPr>
      <w:r w:rsidRPr="00CB78C7">
        <w:rPr>
          <w:rFonts w:ascii="Arial" w:hAnsi="Arial" w:cs="Arial"/>
          <w:b/>
          <w:bCs/>
          <w:color w:val="000000" w:themeColor="text1"/>
          <w:sz w:val="20"/>
          <w:szCs w:val="20"/>
        </w:rPr>
        <w:t>Keywords:</w:t>
      </w:r>
      <w:r w:rsidRPr="00CB78C7">
        <w:rPr>
          <w:rFonts w:ascii="Arial" w:hAnsi="Arial" w:cs="Arial"/>
          <w:color w:val="000000" w:themeColor="text1"/>
          <w:sz w:val="20"/>
          <w:szCs w:val="20"/>
        </w:rPr>
        <w:t xml:space="preserve"> Quality of life; Psychosocial well-being; Adolescent; Anxiety; </w:t>
      </w:r>
      <w:proofErr w:type="spellStart"/>
      <w:r w:rsidRPr="00CB78C7">
        <w:rPr>
          <w:rFonts w:ascii="Arial" w:hAnsi="Arial" w:cs="Arial"/>
          <w:color w:val="000000" w:themeColor="text1"/>
          <w:sz w:val="20"/>
          <w:szCs w:val="20"/>
        </w:rPr>
        <w:t>Self concept</w:t>
      </w:r>
      <w:proofErr w:type="spellEnd"/>
      <w:r w:rsidRPr="00CB78C7">
        <w:rPr>
          <w:rFonts w:ascii="Arial" w:hAnsi="Arial" w:cs="Arial"/>
          <w:color w:val="000000" w:themeColor="text1"/>
          <w:sz w:val="20"/>
          <w:szCs w:val="20"/>
        </w:rPr>
        <w:t>; Cleft lip and palate</w:t>
      </w:r>
    </w:p>
    <w:p w14:paraId="71BADEF8" w14:textId="77777777" w:rsidR="00644A74" w:rsidRPr="00617C32" w:rsidRDefault="00644A74" w:rsidP="00F250C4">
      <w:pPr>
        <w:jc w:val="both"/>
        <w:rPr>
          <w:rFonts w:ascii="Arial" w:hAnsi="Arial" w:cs="Arial"/>
          <w:color w:val="000000" w:themeColor="text1"/>
        </w:rPr>
      </w:pPr>
    </w:p>
    <w:p w14:paraId="2908B8C5" w14:textId="21659D1B" w:rsidR="00644A74" w:rsidRPr="00CB78C7" w:rsidRDefault="00CB78C7" w:rsidP="00F250C4">
      <w:pPr>
        <w:spacing w:before="120" w:after="0" w:line="360" w:lineRule="auto"/>
        <w:jc w:val="both"/>
        <w:rPr>
          <w:rFonts w:ascii="Arial" w:hAnsi="Arial" w:cs="Arial"/>
          <w:b/>
          <w:bCs/>
          <w:color w:val="000000" w:themeColor="text1"/>
          <w:sz w:val="22"/>
          <w:szCs w:val="22"/>
        </w:rPr>
      </w:pPr>
      <w:r w:rsidRPr="00CB78C7">
        <w:rPr>
          <w:rFonts w:ascii="Arial" w:hAnsi="Arial" w:cs="Arial"/>
          <w:b/>
          <w:bCs/>
          <w:color w:val="000000" w:themeColor="text1"/>
          <w:sz w:val="22"/>
          <w:szCs w:val="22"/>
        </w:rPr>
        <w:t>INTRODUCTION</w:t>
      </w:r>
    </w:p>
    <w:p w14:paraId="4EA52DF7" w14:textId="33AAD41C" w:rsidR="00644A74" w:rsidRPr="00B45F8A" w:rsidRDefault="00644A74" w:rsidP="00F250C4">
      <w:pPr>
        <w:spacing w:before="120" w:after="0" w:line="360" w:lineRule="auto"/>
        <w:ind w:firstLine="720"/>
        <w:jc w:val="both"/>
        <w:rPr>
          <w:rFonts w:ascii="Arial" w:hAnsi="Arial" w:cs="Arial"/>
          <w:color w:val="000000" w:themeColor="text1"/>
          <w:sz w:val="20"/>
          <w:szCs w:val="20"/>
        </w:rPr>
      </w:pPr>
      <w:r w:rsidRPr="00B45F8A">
        <w:rPr>
          <w:rFonts w:ascii="Arial" w:hAnsi="Arial" w:cs="Arial"/>
          <w:color w:val="000000" w:themeColor="text1"/>
          <w:sz w:val="20"/>
          <w:szCs w:val="20"/>
        </w:rPr>
        <w:t>Symptoms of depression and anxiety can emerge as early as childhood and persist through adolescence, often presenting with varying degrees of severity. These symptoms are commonly associated with functional impairments, difficulties in academic functioning, and may act as precursors to major de</w:t>
      </w:r>
      <w:r w:rsidR="00BE0DCD" w:rsidRPr="00B45F8A">
        <w:rPr>
          <w:rFonts w:ascii="Arial" w:hAnsi="Arial" w:cs="Arial"/>
          <w:color w:val="000000" w:themeColor="text1"/>
          <w:sz w:val="20"/>
          <w:szCs w:val="20"/>
        </w:rPr>
        <w:t xml:space="preserve">pressive disorders in adulthood </w:t>
      </w:r>
      <w:r w:rsidR="00BE0DCD" w:rsidRPr="00B45F8A">
        <w:rPr>
          <w:rFonts w:ascii="Arial" w:hAnsi="Arial" w:cs="Arial"/>
          <w:noProof/>
          <w:color w:val="000000" w:themeColor="text1"/>
          <w:sz w:val="20"/>
          <w:szCs w:val="20"/>
        </w:rPr>
        <w:t>(Philippot et al</w:t>
      </w:r>
      <w:r w:rsidRPr="00B45F8A">
        <w:rPr>
          <w:rFonts w:ascii="Arial" w:hAnsi="Arial" w:cs="Arial"/>
          <w:noProof/>
          <w:color w:val="000000" w:themeColor="text1"/>
          <w:sz w:val="20"/>
          <w:szCs w:val="20"/>
        </w:rPr>
        <w:t xml:space="preserve"> 2022)</w:t>
      </w:r>
      <w:r w:rsidR="00BE0DCD" w:rsidRPr="00B45F8A">
        <w:rPr>
          <w:rFonts w:ascii="Arial" w:hAnsi="Arial" w:cs="Arial"/>
          <w:noProof/>
          <w:color w:val="000000" w:themeColor="text1"/>
          <w:sz w:val="20"/>
          <w:szCs w:val="20"/>
        </w:rPr>
        <w:t>.</w:t>
      </w:r>
      <w:r w:rsidRPr="00B45F8A">
        <w:rPr>
          <w:rFonts w:ascii="Arial" w:hAnsi="Arial" w:cs="Arial"/>
          <w:color w:val="000000" w:themeColor="text1"/>
          <w:sz w:val="20"/>
          <w:szCs w:val="20"/>
        </w:rPr>
        <w:t xml:space="preserve"> Evidence also suggests a causal relationship in which anxiety precedes depression, with a high rate of comorbidity between the two conditions among </w:t>
      </w:r>
      <w:proofErr w:type="gramStart"/>
      <w:r w:rsidRPr="00B45F8A">
        <w:rPr>
          <w:rFonts w:ascii="Arial" w:hAnsi="Arial" w:cs="Arial"/>
          <w:color w:val="000000" w:themeColor="text1"/>
          <w:sz w:val="20"/>
          <w:szCs w:val="20"/>
        </w:rPr>
        <w:t>adolescents.</w:t>
      </w:r>
      <w:r w:rsidRPr="00B45F8A">
        <w:rPr>
          <w:rFonts w:ascii="Arial" w:hAnsi="Arial" w:cs="Arial"/>
          <w:noProof/>
          <w:color w:val="000000" w:themeColor="text1"/>
          <w:sz w:val="20"/>
          <w:szCs w:val="20"/>
        </w:rPr>
        <w:t>(</w:t>
      </w:r>
      <w:proofErr w:type="spellStart"/>
      <w:proofErr w:type="gramEnd"/>
      <w:r w:rsidRPr="00B45F8A">
        <w:rPr>
          <w:rFonts w:ascii="Arial" w:hAnsi="Arial" w:cs="Arial"/>
          <w:noProof/>
          <w:color w:val="000000" w:themeColor="text1"/>
          <w:sz w:val="20"/>
          <w:szCs w:val="20"/>
        </w:rPr>
        <w:t>Weersing</w:t>
      </w:r>
      <w:proofErr w:type="spellEnd"/>
      <w:r w:rsidRPr="00B45F8A">
        <w:rPr>
          <w:rFonts w:ascii="Arial" w:hAnsi="Arial" w:cs="Arial"/>
          <w:noProof/>
          <w:color w:val="000000" w:themeColor="text1"/>
          <w:sz w:val="20"/>
          <w:szCs w:val="20"/>
        </w:rPr>
        <w:t xml:space="preserve"> et al. 2017)</w:t>
      </w:r>
    </w:p>
    <w:p w14:paraId="31E132C0" w14:textId="78E8D066" w:rsidR="00644A74" w:rsidRPr="00B45F8A" w:rsidRDefault="00644A74" w:rsidP="00F250C4">
      <w:pPr>
        <w:spacing w:before="120" w:after="0" w:line="360" w:lineRule="auto"/>
        <w:ind w:firstLine="720"/>
        <w:jc w:val="both"/>
        <w:rPr>
          <w:rFonts w:ascii="Arial" w:hAnsi="Arial" w:cs="Arial"/>
          <w:color w:val="000000" w:themeColor="text1"/>
          <w:sz w:val="20"/>
          <w:szCs w:val="20"/>
        </w:rPr>
      </w:pPr>
      <w:r w:rsidRPr="00B45F8A">
        <w:rPr>
          <w:rFonts w:ascii="Arial" w:hAnsi="Arial" w:cs="Arial"/>
          <w:color w:val="000000" w:themeColor="text1"/>
          <w:sz w:val="20"/>
          <w:szCs w:val="20"/>
        </w:rPr>
        <w:lastRenderedPageBreak/>
        <w:t>Early identification of depressive and anxious symptoms is essential for the timely initiation of appropriate interventions. Optimal management in this age group should prioritize non-pharmacological strategies, such as cognitive-behavioral th</w:t>
      </w:r>
      <w:r w:rsidR="00BE0DCD" w:rsidRPr="00B45F8A">
        <w:rPr>
          <w:rFonts w:ascii="Arial" w:hAnsi="Arial" w:cs="Arial"/>
          <w:color w:val="000000" w:themeColor="text1"/>
          <w:sz w:val="20"/>
          <w:szCs w:val="20"/>
        </w:rPr>
        <w:t xml:space="preserve">erapy and interpersonal therapy </w:t>
      </w:r>
      <w:r w:rsidRPr="00B45F8A">
        <w:rPr>
          <w:rFonts w:ascii="Arial" w:hAnsi="Arial" w:cs="Arial"/>
          <w:noProof/>
          <w:color w:val="000000" w:themeColor="text1"/>
          <w:sz w:val="20"/>
          <w:szCs w:val="20"/>
        </w:rPr>
        <w:t>(Weersing et al. 2017)</w:t>
      </w:r>
      <w:r w:rsidR="00BE0DCD" w:rsidRPr="00B45F8A">
        <w:rPr>
          <w:rFonts w:ascii="Arial" w:hAnsi="Arial" w:cs="Arial"/>
          <w:noProof/>
          <w:color w:val="000000" w:themeColor="text1"/>
          <w:sz w:val="20"/>
          <w:szCs w:val="20"/>
        </w:rPr>
        <w:t>.</w:t>
      </w:r>
    </w:p>
    <w:p w14:paraId="2764B74F" w14:textId="7489941D" w:rsidR="00644A74" w:rsidRPr="00B45F8A" w:rsidRDefault="00644A74" w:rsidP="00F250C4">
      <w:pPr>
        <w:spacing w:before="120" w:after="0" w:line="360" w:lineRule="auto"/>
        <w:ind w:firstLine="720"/>
        <w:jc w:val="both"/>
        <w:rPr>
          <w:rFonts w:ascii="Arial" w:hAnsi="Arial" w:cs="Arial"/>
          <w:color w:val="000000" w:themeColor="text1"/>
          <w:sz w:val="20"/>
          <w:szCs w:val="20"/>
        </w:rPr>
      </w:pPr>
      <w:r w:rsidRPr="00B45F8A">
        <w:rPr>
          <w:rFonts w:ascii="Arial" w:hAnsi="Arial" w:cs="Arial"/>
          <w:color w:val="000000" w:themeColor="text1"/>
          <w:sz w:val="20"/>
          <w:szCs w:val="20"/>
        </w:rPr>
        <w:t>Beyond anxiety and depression, adolescence is a critical period of vulnerability to changes in self-concept and self-esteem</w:t>
      </w:r>
      <w:r w:rsidR="00BE0DCD" w:rsidRPr="00B45F8A">
        <w:rPr>
          <w:rFonts w:ascii="Arial" w:hAnsi="Arial" w:cs="Arial"/>
          <w:color w:val="000000" w:themeColor="text1"/>
          <w:sz w:val="20"/>
          <w:szCs w:val="20"/>
        </w:rPr>
        <w:t xml:space="preserve"> </w:t>
      </w:r>
      <w:r w:rsidRPr="00B45F8A">
        <w:rPr>
          <w:rFonts w:ascii="Arial" w:hAnsi="Arial" w:cs="Arial"/>
          <w:noProof/>
          <w:color w:val="000000" w:themeColor="text1"/>
          <w:sz w:val="20"/>
          <w:szCs w:val="20"/>
        </w:rPr>
        <w:t>(McLaughlin 2015)</w:t>
      </w:r>
      <w:r w:rsidR="00BE0DCD" w:rsidRPr="00B45F8A">
        <w:rPr>
          <w:rFonts w:ascii="Arial" w:hAnsi="Arial" w:cs="Arial"/>
          <w:noProof/>
          <w:color w:val="000000" w:themeColor="text1"/>
          <w:sz w:val="20"/>
          <w:szCs w:val="20"/>
        </w:rPr>
        <w:t>.</w:t>
      </w:r>
      <w:r w:rsidRPr="00B45F8A">
        <w:rPr>
          <w:rFonts w:ascii="Arial" w:hAnsi="Arial" w:cs="Arial"/>
          <w:color w:val="000000" w:themeColor="text1"/>
          <w:sz w:val="20"/>
          <w:szCs w:val="20"/>
        </w:rPr>
        <w:t xml:space="preserve"> Adolescents with cleft lip and palate (CLP) may be particularly susceptible to prejudice and discrimination, which can negatively impact social acceptance and foster isolation. This developmental stage is marked by a growing need for external validation and the ability to regulate emotions and interpersonal relationships </w:t>
      </w:r>
      <w:r w:rsidRPr="00B45F8A">
        <w:rPr>
          <w:rFonts w:ascii="Arial" w:hAnsi="Arial" w:cs="Arial"/>
          <w:noProof/>
          <w:color w:val="000000" w:themeColor="text1"/>
          <w:sz w:val="20"/>
          <w:szCs w:val="20"/>
        </w:rPr>
        <w:t>(Cunha et al. 2021)</w:t>
      </w:r>
      <w:r w:rsidR="00BE0DCD" w:rsidRPr="00B45F8A">
        <w:rPr>
          <w:rFonts w:ascii="Arial" w:hAnsi="Arial" w:cs="Arial"/>
          <w:noProof/>
          <w:color w:val="000000" w:themeColor="text1"/>
          <w:sz w:val="20"/>
          <w:szCs w:val="20"/>
        </w:rPr>
        <w:t>.</w:t>
      </w:r>
      <w:r w:rsidRPr="00B45F8A">
        <w:rPr>
          <w:rFonts w:ascii="Arial" w:hAnsi="Arial" w:cs="Arial"/>
          <w:color w:val="000000" w:themeColor="text1"/>
          <w:sz w:val="20"/>
          <w:szCs w:val="20"/>
        </w:rPr>
        <w:t xml:space="preserve"> In the presence of craniofacial malformations, self-esteem may be further compromised, as social interactions are frequently accompanied by negative emotions such as anxiety, fear, </w:t>
      </w:r>
      <w:r w:rsidR="00BE0DCD" w:rsidRPr="00B45F8A">
        <w:rPr>
          <w:rFonts w:ascii="Arial" w:hAnsi="Arial" w:cs="Arial"/>
          <w:color w:val="000000" w:themeColor="text1"/>
          <w:sz w:val="20"/>
          <w:szCs w:val="20"/>
        </w:rPr>
        <w:t xml:space="preserve">and shame </w:t>
      </w:r>
      <w:r w:rsidRPr="00B45F8A">
        <w:rPr>
          <w:rFonts w:ascii="Arial" w:hAnsi="Arial" w:cs="Arial"/>
          <w:noProof/>
          <w:color w:val="000000" w:themeColor="text1"/>
          <w:sz w:val="20"/>
          <w:szCs w:val="20"/>
        </w:rPr>
        <w:t>(Kharame et al. 2014)</w:t>
      </w:r>
      <w:r w:rsidR="00BE0DCD" w:rsidRPr="00B45F8A">
        <w:rPr>
          <w:rFonts w:ascii="Arial" w:hAnsi="Arial" w:cs="Arial"/>
          <w:noProof/>
          <w:color w:val="000000" w:themeColor="text1"/>
          <w:sz w:val="20"/>
          <w:szCs w:val="20"/>
        </w:rPr>
        <w:t>.</w:t>
      </w:r>
    </w:p>
    <w:p w14:paraId="5DD91715" w14:textId="70171AA2" w:rsidR="00644A74" w:rsidRPr="00B45F8A" w:rsidRDefault="00644A74" w:rsidP="00F250C4">
      <w:pPr>
        <w:spacing w:before="120" w:after="0" w:line="360" w:lineRule="auto"/>
        <w:ind w:firstLine="720"/>
        <w:jc w:val="both"/>
        <w:rPr>
          <w:rFonts w:ascii="Arial" w:hAnsi="Arial" w:cs="Arial"/>
          <w:color w:val="000000" w:themeColor="text1"/>
          <w:sz w:val="20"/>
          <w:szCs w:val="20"/>
        </w:rPr>
      </w:pPr>
      <w:r w:rsidRPr="00B45F8A">
        <w:rPr>
          <w:rFonts w:ascii="Arial" w:hAnsi="Arial" w:cs="Arial"/>
          <w:color w:val="000000" w:themeColor="text1"/>
          <w:sz w:val="20"/>
          <w:szCs w:val="20"/>
        </w:rPr>
        <w:t>Low self-esteem during adolescence has been associated with negative long-term outcomes, including adult depression, deterioration in physical and mental health, and incr</w:t>
      </w:r>
      <w:r w:rsidR="00BE0DCD" w:rsidRPr="00B45F8A">
        <w:rPr>
          <w:rFonts w:ascii="Arial" w:hAnsi="Arial" w:cs="Arial"/>
          <w:color w:val="000000" w:themeColor="text1"/>
          <w:sz w:val="20"/>
          <w:szCs w:val="20"/>
        </w:rPr>
        <w:t xml:space="preserve">eased risk of criminal behavior </w:t>
      </w:r>
      <w:r w:rsidRPr="00B45F8A">
        <w:rPr>
          <w:rFonts w:ascii="Arial" w:hAnsi="Arial" w:cs="Arial"/>
          <w:noProof/>
          <w:color w:val="000000" w:themeColor="text1"/>
          <w:sz w:val="20"/>
          <w:szCs w:val="20"/>
        </w:rPr>
        <w:t>(Steiger et al. 2014)</w:t>
      </w:r>
      <w:r w:rsidR="00BE0DCD" w:rsidRPr="00B45F8A">
        <w:rPr>
          <w:rFonts w:ascii="Arial" w:hAnsi="Arial" w:cs="Arial"/>
          <w:noProof/>
          <w:color w:val="000000" w:themeColor="text1"/>
          <w:sz w:val="20"/>
          <w:szCs w:val="20"/>
        </w:rPr>
        <w:t>.</w:t>
      </w:r>
      <w:r w:rsidRPr="00B45F8A">
        <w:rPr>
          <w:rFonts w:ascii="Arial" w:hAnsi="Arial" w:cs="Arial"/>
          <w:color w:val="000000" w:themeColor="text1"/>
          <w:sz w:val="20"/>
          <w:szCs w:val="20"/>
        </w:rPr>
        <w:t xml:space="preserve"> Conversely, high self-esteem has been correlated with positive affect, healthy interpersonal relationships, occupational satisfaction, and a lower in</w:t>
      </w:r>
      <w:r w:rsidR="00BE0DCD" w:rsidRPr="00B45F8A">
        <w:rPr>
          <w:rFonts w:ascii="Arial" w:hAnsi="Arial" w:cs="Arial"/>
          <w:color w:val="000000" w:themeColor="text1"/>
          <w:sz w:val="20"/>
          <w:szCs w:val="20"/>
        </w:rPr>
        <w:t xml:space="preserve">cidence of depressive disorders </w:t>
      </w:r>
      <w:r w:rsidRPr="00B45F8A">
        <w:rPr>
          <w:rFonts w:ascii="Arial" w:hAnsi="Arial" w:cs="Arial"/>
          <w:noProof/>
          <w:color w:val="000000" w:themeColor="text1"/>
          <w:sz w:val="20"/>
          <w:szCs w:val="20"/>
        </w:rPr>
        <w:t>(Everhart et al. 2022)</w:t>
      </w:r>
      <w:r w:rsidR="00BE0DCD" w:rsidRPr="00B45F8A">
        <w:rPr>
          <w:rFonts w:ascii="Arial" w:hAnsi="Arial" w:cs="Arial"/>
          <w:noProof/>
          <w:color w:val="000000" w:themeColor="text1"/>
          <w:sz w:val="20"/>
          <w:szCs w:val="20"/>
        </w:rPr>
        <w:t>.</w:t>
      </w:r>
    </w:p>
    <w:p w14:paraId="6C57621C" w14:textId="4DF4E23C" w:rsidR="00644A74" w:rsidRPr="00B45F8A" w:rsidRDefault="00644A74" w:rsidP="00F250C4">
      <w:pPr>
        <w:spacing w:before="120" w:after="0" w:line="360" w:lineRule="auto"/>
        <w:ind w:firstLine="720"/>
        <w:jc w:val="both"/>
        <w:rPr>
          <w:rFonts w:ascii="Arial" w:hAnsi="Arial" w:cs="Arial"/>
          <w:color w:val="000000" w:themeColor="text1"/>
          <w:sz w:val="20"/>
          <w:szCs w:val="20"/>
        </w:rPr>
      </w:pPr>
      <w:r w:rsidRPr="00B45F8A">
        <w:rPr>
          <w:rFonts w:ascii="Arial" w:hAnsi="Arial" w:cs="Arial"/>
          <w:color w:val="000000" w:themeColor="text1"/>
          <w:sz w:val="20"/>
          <w:szCs w:val="20"/>
        </w:rPr>
        <w:t xml:space="preserve">Individuals with CLP may benefit from general psychosocial support aimed at improving self-perception and </w:t>
      </w:r>
      <w:r w:rsidR="00406896" w:rsidRPr="00B45F8A">
        <w:rPr>
          <w:rFonts w:ascii="Arial" w:hAnsi="Arial" w:cs="Arial"/>
          <w:color w:val="000000" w:themeColor="text1"/>
          <w:sz w:val="20"/>
          <w:szCs w:val="20"/>
        </w:rPr>
        <w:t>QoL</w:t>
      </w:r>
      <w:r w:rsidRPr="00B45F8A">
        <w:rPr>
          <w:rFonts w:ascii="Arial" w:hAnsi="Arial" w:cs="Arial"/>
          <w:color w:val="000000" w:themeColor="text1"/>
          <w:sz w:val="20"/>
          <w:szCs w:val="20"/>
        </w:rPr>
        <w:t>, enhancing social integration, reducing isolation, and managing anxiety. In addition, specific interventions may be required to address appearance-related concerns, such as expectations regarding surgical and orthodontic treatment, as well as issues related to speech, communication, and academic performance, and the psychosocial</w:t>
      </w:r>
      <w:r w:rsidR="00BE0DCD" w:rsidRPr="00B45F8A">
        <w:rPr>
          <w:rFonts w:ascii="Arial" w:hAnsi="Arial" w:cs="Arial"/>
          <w:color w:val="000000" w:themeColor="text1"/>
          <w:sz w:val="20"/>
          <w:szCs w:val="20"/>
        </w:rPr>
        <w:t xml:space="preserve"> impact of teasing and bullying</w:t>
      </w:r>
      <w:r w:rsidRPr="00B45F8A">
        <w:rPr>
          <w:rFonts w:ascii="Arial" w:hAnsi="Arial" w:cs="Arial"/>
          <w:color w:val="000000" w:themeColor="text1"/>
          <w:sz w:val="20"/>
          <w:szCs w:val="20"/>
        </w:rPr>
        <w:t xml:space="preserve"> </w:t>
      </w:r>
      <w:r w:rsidRPr="00B45F8A">
        <w:rPr>
          <w:rFonts w:ascii="Arial" w:hAnsi="Arial" w:cs="Arial"/>
          <w:noProof/>
          <w:color w:val="000000" w:themeColor="text1"/>
          <w:sz w:val="20"/>
          <w:szCs w:val="20"/>
        </w:rPr>
        <w:t>(Norman et al. 2015)</w:t>
      </w:r>
      <w:r w:rsidR="00BE0DCD" w:rsidRPr="00B45F8A">
        <w:rPr>
          <w:rFonts w:ascii="Arial" w:hAnsi="Arial" w:cs="Arial"/>
          <w:noProof/>
          <w:color w:val="000000" w:themeColor="text1"/>
          <w:sz w:val="20"/>
          <w:szCs w:val="20"/>
        </w:rPr>
        <w:t>.</w:t>
      </w:r>
    </w:p>
    <w:p w14:paraId="6F5BB212" w14:textId="77777777" w:rsidR="00644A74" w:rsidRPr="00B45F8A" w:rsidRDefault="00644A74" w:rsidP="00F250C4">
      <w:pPr>
        <w:spacing w:before="120" w:after="0" w:line="360" w:lineRule="auto"/>
        <w:ind w:firstLine="720"/>
        <w:jc w:val="both"/>
        <w:rPr>
          <w:rFonts w:ascii="Arial" w:hAnsi="Arial" w:cs="Arial"/>
          <w:color w:val="000000" w:themeColor="text1"/>
          <w:sz w:val="20"/>
          <w:szCs w:val="20"/>
        </w:rPr>
      </w:pPr>
      <w:r w:rsidRPr="00B45F8A">
        <w:rPr>
          <w:rFonts w:ascii="Arial" w:hAnsi="Arial" w:cs="Arial"/>
          <w:color w:val="000000" w:themeColor="text1"/>
          <w:sz w:val="20"/>
          <w:szCs w:val="20"/>
        </w:rPr>
        <w:t>In this context, the objective of this study was to investigate whether significant differences exist between adolescents with and without CLP regarding psychosocial well-being,</w:t>
      </w:r>
      <w:r w:rsidRPr="00B45F8A">
        <w:rPr>
          <w:rFonts w:ascii="Arial" w:hAnsi="Arial" w:cs="Arial"/>
          <w:sz w:val="20"/>
          <w:szCs w:val="20"/>
        </w:rPr>
        <w:t xml:space="preserve"> </w:t>
      </w:r>
      <w:r w:rsidRPr="00B45F8A">
        <w:rPr>
          <w:rFonts w:ascii="Arial" w:hAnsi="Arial" w:cs="Arial"/>
          <w:color w:val="000000" w:themeColor="text1"/>
          <w:sz w:val="20"/>
          <w:szCs w:val="20"/>
        </w:rPr>
        <w:t>specifically anxiety, depression, and self-esteem.</w:t>
      </w:r>
    </w:p>
    <w:p w14:paraId="2BCB5DF1" w14:textId="77777777" w:rsidR="00644A74" w:rsidRPr="00B45F8A" w:rsidRDefault="00644A74" w:rsidP="00F250C4">
      <w:pPr>
        <w:spacing w:before="120" w:after="0" w:line="360" w:lineRule="auto"/>
        <w:ind w:firstLine="720"/>
        <w:jc w:val="both"/>
        <w:rPr>
          <w:rFonts w:ascii="Arial" w:hAnsi="Arial" w:cs="Arial"/>
          <w:color w:val="000000" w:themeColor="text1"/>
          <w:sz w:val="20"/>
          <w:szCs w:val="20"/>
        </w:rPr>
      </w:pPr>
      <w:r w:rsidRPr="00B45F8A">
        <w:rPr>
          <w:rFonts w:ascii="Arial" w:hAnsi="Arial" w:cs="Arial"/>
          <w:color w:val="000000" w:themeColor="text1"/>
          <w:sz w:val="20"/>
          <w:szCs w:val="20"/>
        </w:rPr>
        <w:t xml:space="preserve">The </w:t>
      </w:r>
      <w:r w:rsidRPr="00B45F8A">
        <w:rPr>
          <w:rStyle w:val="Strong"/>
          <w:rFonts w:ascii="Arial" w:hAnsi="Arial" w:cs="Arial"/>
          <w:b w:val="0"/>
          <w:color w:val="000000" w:themeColor="text1"/>
          <w:sz w:val="20"/>
          <w:szCs w:val="20"/>
        </w:rPr>
        <w:t>null hypothesis</w:t>
      </w:r>
      <w:r w:rsidRPr="00B45F8A">
        <w:rPr>
          <w:rFonts w:ascii="Arial" w:hAnsi="Arial" w:cs="Arial"/>
          <w:color w:val="000000" w:themeColor="text1"/>
          <w:sz w:val="20"/>
          <w:szCs w:val="20"/>
        </w:rPr>
        <w:t xml:space="preserve"> (H</w:t>
      </w:r>
      <w:r w:rsidRPr="00B45F8A">
        <w:rPr>
          <w:rFonts w:ascii="Cambria Math" w:hAnsi="Cambria Math" w:cs="Cambria Math"/>
          <w:color w:val="000000" w:themeColor="text1"/>
          <w:sz w:val="20"/>
          <w:szCs w:val="20"/>
        </w:rPr>
        <w:t>₀</w:t>
      </w:r>
      <w:r w:rsidRPr="00B45F8A">
        <w:rPr>
          <w:rFonts w:ascii="Arial" w:hAnsi="Arial" w:cs="Arial"/>
          <w:color w:val="000000" w:themeColor="text1"/>
          <w:sz w:val="20"/>
          <w:szCs w:val="20"/>
        </w:rPr>
        <w:t xml:space="preserve">) stated that there are </w:t>
      </w:r>
      <w:r w:rsidRPr="00B45F8A">
        <w:rPr>
          <w:rStyle w:val="Strong"/>
          <w:rFonts w:ascii="Arial" w:hAnsi="Arial" w:cs="Arial"/>
          <w:b w:val="0"/>
          <w:color w:val="000000" w:themeColor="text1"/>
          <w:sz w:val="20"/>
          <w:szCs w:val="20"/>
        </w:rPr>
        <w:t>no significant differences</w:t>
      </w:r>
      <w:r w:rsidRPr="00B45F8A">
        <w:rPr>
          <w:rFonts w:ascii="Arial" w:hAnsi="Arial" w:cs="Arial"/>
          <w:color w:val="000000" w:themeColor="text1"/>
          <w:sz w:val="20"/>
          <w:szCs w:val="20"/>
        </w:rPr>
        <w:t xml:space="preserve"> in anxiety, depression, or self-esteem between adolescents with CLP scars and those without. The </w:t>
      </w:r>
      <w:r w:rsidRPr="00B45F8A">
        <w:rPr>
          <w:rStyle w:val="Strong"/>
          <w:rFonts w:ascii="Arial" w:hAnsi="Arial" w:cs="Arial"/>
          <w:b w:val="0"/>
          <w:color w:val="000000" w:themeColor="text1"/>
          <w:sz w:val="20"/>
          <w:szCs w:val="20"/>
        </w:rPr>
        <w:t>alternative hypothesis</w:t>
      </w:r>
      <w:r w:rsidRPr="00B45F8A">
        <w:rPr>
          <w:rFonts w:ascii="Arial" w:hAnsi="Arial" w:cs="Arial"/>
          <w:color w:val="000000" w:themeColor="text1"/>
          <w:sz w:val="20"/>
          <w:szCs w:val="20"/>
        </w:rPr>
        <w:t xml:space="preserve"> (H</w:t>
      </w:r>
      <w:r w:rsidRPr="00B45F8A">
        <w:rPr>
          <w:rFonts w:ascii="Cambria Math" w:hAnsi="Cambria Math" w:cs="Cambria Math"/>
          <w:color w:val="000000" w:themeColor="text1"/>
          <w:sz w:val="20"/>
          <w:szCs w:val="20"/>
        </w:rPr>
        <w:t>₁</w:t>
      </w:r>
      <w:r w:rsidRPr="00B45F8A">
        <w:rPr>
          <w:rFonts w:ascii="Arial" w:hAnsi="Arial" w:cs="Arial"/>
          <w:color w:val="000000" w:themeColor="text1"/>
          <w:sz w:val="20"/>
          <w:szCs w:val="20"/>
        </w:rPr>
        <w:t xml:space="preserve">) proposed that adolescents with CLP scars present </w:t>
      </w:r>
      <w:r w:rsidRPr="00B45F8A">
        <w:rPr>
          <w:rStyle w:val="Strong"/>
          <w:rFonts w:ascii="Arial" w:hAnsi="Arial" w:cs="Arial"/>
          <w:b w:val="0"/>
          <w:color w:val="000000" w:themeColor="text1"/>
          <w:sz w:val="20"/>
          <w:szCs w:val="20"/>
        </w:rPr>
        <w:t>significantly different levels</w:t>
      </w:r>
      <w:r w:rsidRPr="00B45F8A">
        <w:rPr>
          <w:rFonts w:ascii="Arial" w:hAnsi="Arial" w:cs="Arial"/>
          <w:color w:val="000000" w:themeColor="text1"/>
          <w:sz w:val="20"/>
          <w:szCs w:val="20"/>
        </w:rPr>
        <w:t xml:space="preserve"> of anxiety, depression, or self-esteem when compared to their peers without CLP scars.</w:t>
      </w:r>
    </w:p>
    <w:p w14:paraId="33DFB4B4" w14:textId="77777777" w:rsidR="00644A74" w:rsidRPr="00617C32" w:rsidRDefault="00644A74" w:rsidP="00F250C4">
      <w:pPr>
        <w:spacing w:line="360" w:lineRule="auto"/>
        <w:ind w:firstLine="720"/>
        <w:jc w:val="both"/>
        <w:rPr>
          <w:rFonts w:ascii="Arial" w:hAnsi="Arial" w:cs="Arial"/>
          <w:color w:val="000000" w:themeColor="text1"/>
        </w:rPr>
      </w:pPr>
    </w:p>
    <w:p w14:paraId="2824222D" w14:textId="25BFCA50" w:rsidR="00644A74" w:rsidRPr="00B45F8A" w:rsidRDefault="00644A74" w:rsidP="00F250C4">
      <w:pPr>
        <w:spacing w:line="360" w:lineRule="auto"/>
        <w:jc w:val="both"/>
        <w:rPr>
          <w:rFonts w:ascii="Arial" w:hAnsi="Arial" w:cs="Arial"/>
          <w:b/>
          <w:bCs/>
          <w:color w:val="000000" w:themeColor="text1"/>
          <w:sz w:val="22"/>
          <w:szCs w:val="22"/>
        </w:rPr>
      </w:pPr>
      <w:r w:rsidRPr="00B45F8A">
        <w:rPr>
          <w:rFonts w:ascii="Arial" w:hAnsi="Arial" w:cs="Arial"/>
          <w:b/>
          <w:bCs/>
          <w:color w:val="000000" w:themeColor="text1"/>
          <w:sz w:val="22"/>
          <w:szCs w:val="22"/>
        </w:rPr>
        <w:t>M</w:t>
      </w:r>
      <w:r w:rsidR="00B45F8A" w:rsidRPr="00B45F8A">
        <w:rPr>
          <w:rFonts w:ascii="Arial" w:hAnsi="Arial" w:cs="Arial"/>
          <w:b/>
          <w:bCs/>
          <w:color w:val="000000" w:themeColor="text1"/>
          <w:sz w:val="22"/>
          <w:szCs w:val="22"/>
        </w:rPr>
        <w:t>ATERIAL AND METHODS</w:t>
      </w:r>
    </w:p>
    <w:p w14:paraId="4EEEB254" w14:textId="7CF9F4E8" w:rsidR="00575B46" w:rsidRPr="00B45F8A" w:rsidRDefault="00575B46" w:rsidP="00F250C4">
      <w:pPr>
        <w:spacing w:line="360" w:lineRule="auto"/>
        <w:jc w:val="both"/>
        <w:rPr>
          <w:rFonts w:ascii="Arial" w:hAnsi="Arial" w:cs="Arial"/>
          <w:b/>
          <w:bCs/>
          <w:color w:val="000000" w:themeColor="text1"/>
          <w:sz w:val="20"/>
          <w:szCs w:val="20"/>
        </w:rPr>
      </w:pPr>
      <w:r w:rsidRPr="00B45F8A">
        <w:rPr>
          <w:rFonts w:ascii="Arial" w:hAnsi="Arial" w:cs="Arial"/>
          <w:b/>
          <w:bCs/>
          <w:color w:val="000000" w:themeColor="text1"/>
          <w:sz w:val="20"/>
          <w:szCs w:val="20"/>
        </w:rPr>
        <w:t>Study design and ethical aspects</w:t>
      </w:r>
    </w:p>
    <w:p w14:paraId="720579B8" w14:textId="571B6C3F" w:rsidR="00575B46" w:rsidRPr="00B45F8A" w:rsidRDefault="00644A74" w:rsidP="00F250C4">
      <w:pPr>
        <w:spacing w:line="360" w:lineRule="auto"/>
        <w:ind w:firstLine="720"/>
        <w:jc w:val="both"/>
        <w:rPr>
          <w:rFonts w:ascii="Arial" w:hAnsi="Arial" w:cs="Arial"/>
          <w:color w:val="000000" w:themeColor="text1"/>
          <w:sz w:val="20"/>
          <w:szCs w:val="20"/>
        </w:rPr>
      </w:pPr>
      <w:r w:rsidRPr="00B45F8A">
        <w:rPr>
          <w:rFonts w:ascii="Arial" w:hAnsi="Arial" w:cs="Arial"/>
          <w:color w:val="000000" w:themeColor="text1"/>
          <w:sz w:val="20"/>
          <w:szCs w:val="20"/>
        </w:rPr>
        <w:t xml:space="preserve">This cross-sectional observational study was approved by the Research Ethics Committee on Human Subjects of the </w:t>
      </w:r>
      <w:r w:rsidR="00575B46" w:rsidRPr="00B45F8A">
        <w:rPr>
          <w:rFonts w:ascii="Arial" w:hAnsi="Arial" w:cs="Arial"/>
          <w:color w:val="000000" w:themeColor="text1"/>
          <w:sz w:val="20"/>
          <w:szCs w:val="20"/>
        </w:rPr>
        <w:t>participating institution</w:t>
      </w:r>
      <w:r w:rsidRPr="00B45F8A">
        <w:rPr>
          <w:rFonts w:ascii="Arial" w:hAnsi="Arial" w:cs="Arial"/>
          <w:sz w:val="20"/>
          <w:szCs w:val="20"/>
        </w:rPr>
        <w:t xml:space="preserve">, </w:t>
      </w:r>
      <w:r w:rsidRPr="00B45F8A">
        <w:rPr>
          <w:rFonts w:ascii="Arial" w:hAnsi="Arial" w:cs="Arial"/>
          <w:color w:val="000000" w:themeColor="text1"/>
          <w:sz w:val="20"/>
          <w:szCs w:val="20"/>
        </w:rPr>
        <w:t xml:space="preserve">under protocol number 5,973,197. </w:t>
      </w:r>
      <w:r w:rsidRPr="00B45F8A">
        <w:rPr>
          <w:rStyle w:val="Nenhum"/>
          <w:rFonts w:ascii="Arial" w:hAnsi="Arial" w:cs="Arial"/>
          <w:color w:val="000000" w:themeColor="text1"/>
          <w:sz w:val="20"/>
          <w:szCs w:val="20"/>
        </w:rPr>
        <w:lastRenderedPageBreak/>
        <w:t>Written informed consent was obtained from parents or legal guardians, and assent was obtained from all participating adolescents prior to data collection.</w:t>
      </w:r>
    </w:p>
    <w:p w14:paraId="0D3FE873" w14:textId="7A735566" w:rsidR="00644A74" w:rsidRPr="00B45F8A" w:rsidRDefault="00644A74" w:rsidP="00F250C4">
      <w:pPr>
        <w:spacing w:line="360" w:lineRule="auto"/>
        <w:ind w:firstLine="720"/>
        <w:jc w:val="both"/>
        <w:rPr>
          <w:rFonts w:ascii="Arial" w:hAnsi="Arial" w:cs="Arial"/>
          <w:color w:val="000000" w:themeColor="text1"/>
          <w:sz w:val="20"/>
          <w:szCs w:val="20"/>
        </w:rPr>
      </w:pPr>
      <w:r w:rsidRPr="00B45F8A">
        <w:rPr>
          <w:rFonts w:ascii="Arial" w:hAnsi="Arial" w:cs="Arial"/>
          <w:color w:val="000000" w:themeColor="text1"/>
          <w:sz w:val="20"/>
          <w:szCs w:val="20"/>
        </w:rPr>
        <w:t xml:space="preserve">The sample comprised male and female adolescents with cleft lip and palate (CLP) scars (experimental group), undergoing treatment at the Center for Care and Research in Craniofacial Anomalies </w:t>
      </w:r>
      <w:r w:rsidRPr="00B45F8A">
        <w:rPr>
          <w:rFonts w:ascii="Arial" w:hAnsi="Arial" w:cs="Arial"/>
          <w:sz w:val="20"/>
          <w:szCs w:val="20"/>
        </w:rPr>
        <w:t xml:space="preserve">in the city of </w:t>
      </w:r>
      <w:r w:rsidR="00F768B5" w:rsidRPr="00B45F8A">
        <w:rPr>
          <w:rFonts w:ascii="Arial" w:hAnsi="Arial" w:cs="Arial"/>
          <w:sz w:val="20"/>
          <w:szCs w:val="20"/>
        </w:rPr>
        <w:t>(blinded</w:t>
      </w:r>
      <w:r w:rsidR="00575B46" w:rsidRPr="00B45F8A">
        <w:rPr>
          <w:rFonts w:ascii="Arial" w:hAnsi="Arial" w:cs="Arial"/>
          <w:sz w:val="20"/>
          <w:szCs w:val="20"/>
        </w:rPr>
        <w:t xml:space="preserve"> for review</w:t>
      </w:r>
      <w:r w:rsidR="00F768B5" w:rsidRPr="00B45F8A">
        <w:rPr>
          <w:rFonts w:ascii="Arial" w:hAnsi="Arial" w:cs="Arial"/>
          <w:sz w:val="20"/>
          <w:szCs w:val="20"/>
        </w:rPr>
        <w:t xml:space="preserve">) </w:t>
      </w:r>
      <w:r w:rsidRPr="00B45F8A">
        <w:rPr>
          <w:rFonts w:ascii="Arial" w:hAnsi="Arial" w:cs="Arial"/>
          <w:color w:val="000000" w:themeColor="text1"/>
          <w:sz w:val="20"/>
          <w:szCs w:val="20"/>
        </w:rPr>
        <w:t>and adolescents without CLP scars (control group), recruited from a dental clinic in the same city.</w:t>
      </w:r>
    </w:p>
    <w:p w14:paraId="67C53DEB" w14:textId="77777777" w:rsidR="00644A74" w:rsidRPr="00B45F8A" w:rsidRDefault="00644A74" w:rsidP="00F250C4">
      <w:pPr>
        <w:spacing w:line="360" w:lineRule="auto"/>
        <w:jc w:val="both"/>
        <w:rPr>
          <w:rFonts w:ascii="Arial" w:hAnsi="Arial" w:cs="Arial"/>
          <w:b/>
          <w:bCs/>
          <w:color w:val="000000" w:themeColor="text1"/>
          <w:sz w:val="20"/>
          <w:szCs w:val="20"/>
        </w:rPr>
      </w:pPr>
      <w:r w:rsidRPr="00B45F8A">
        <w:rPr>
          <w:rFonts w:ascii="Arial" w:hAnsi="Arial" w:cs="Arial"/>
          <w:b/>
          <w:bCs/>
          <w:color w:val="000000" w:themeColor="text1"/>
          <w:sz w:val="20"/>
          <w:szCs w:val="20"/>
        </w:rPr>
        <w:t>Sample Size</w:t>
      </w:r>
    </w:p>
    <w:p w14:paraId="14E55EC7" w14:textId="19A3067C" w:rsidR="00644A74" w:rsidRPr="00B45F8A" w:rsidRDefault="00644A74" w:rsidP="00F250C4">
      <w:pPr>
        <w:spacing w:line="360" w:lineRule="auto"/>
        <w:ind w:firstLine="720"/>
        <w:jc w:val="both"/>
        <w:rPr>
          <w:rFonts w:ascii="Arial" w:hAnsi="Arial" w:cs="Arial"/>
          <w:b/>
          <w:bCs/>
          <w:color w:val="000000" w:themeColor="text1"/>
          <w:sz w:val="20"/>
          <w:szCs w:val="20"/>
        </w:rPr>
      </w:pPr>
      <w:r w:rsidRPr="00B45F8A">
        <w:rPr>
          <w:rFonts w:ascii="Arial" w:hAnsi="Arial" w:cs="Arial"/>
          <w:color w:val="000000" w:themeColor="text1"/>
          <w:sz w:val="20"/>
          <w:szCs w:val="20"/>
        </w:rPr>
        <w:t>The sample size was estimated using proportional sampling based on data from the 2022 census, which reported approximately 371,000 individuals under 18 years in the western region of</w:t>
      </w:r>
      <w:r w:rsidR="00F768B5" w:rsidRPr="00B45F8A">
        <w:rPr>
          <w:rFonts w:ascii="Arial" w:hAnsi="Arial" w:cs="Arial"/>
          <w:color w:val="000000" w:themeColor="text1"/>
          <w:sz w:val="20"/>
          <w:szCs w:val="20"/>
        </w:rPr>
        <w:t xml:space="preserve"> </w:t>
      </w:r>
      <w:r w:rsidR="00F768B5" w:rsidRPr="00B45F8A">
        <w:rPr>
          <w:rFonts w:ascii="Arial" w:hAnsi="Arial" w:cs="Arial"/>
          <w:sz w:val="20"/>
          <w:szCs w:val="20"/>
        </w:rPr>
        <w:t>(blinded</w:t>
      </w:r>
      <w:r w:rsidR="00575B46" w:rsidRPr="00B45F8A">
        <w:rPr>
          <w:rFonts w:ascii="Arial" w:hAnsi="Arial" w:cs="Arial"/>
          <w:sz w:val="20"/>
          <w:szCs w:val="20"/>
        </w:rPr>
        <w:t xml:space="preserve"> for review</w:t>
      </w:r>
      <w:r w:rsidR="00F768B5" w:rsidRPr="00B45F8A">
        <w:rPr>
          <w:rFonts w:ascii="Arial" w:hAnsi="Arial" w:cs="Arial"/>
          <w:sz w:val="20"/>
          <w:szCs w:val="20"/>
        </w:rPr>
        <w:t>).</w:t>
      </w:r>
      <w:r w:rsidRPr="00B45F8A">
        <w:rPr>
          <w:rFonts w:ascii="Arial" w:hAnsi="Arial" w:cs="Arial"/>
          <w:color w:val="000000" w:themeColor="text1"/>
          <w:sz w:val="20"/>
          <w:szCs w:val="20"/>
        </w:rPr>
        <w:t xml:space="preserve"> Considering the global prevalence of cleft lip and palate at 0.33 per 1,000 live </w:t>
      </w:r>
      <w:proofErr w:type="gramStart"/>
      <w:r w:rsidRPr="00B45F8A">
        <w:rPr>
          <w:rFonts w:ascii="Arial" w:hAnsi="Arial" w:cs="Arial"/>
          <w:color w:val="000000" w:themeColor="text1"/>
          <w:sz w:val="20"/>
          <w:szCs w:val="20"/>
        </w:rPr>
        <w:t>births,</w:t>
      </w:r>
      <w:r w:rsidRPr="00B45F8A">
        <w:rPr>
          <w:rFonts w:ascii="Arial" w:hAnsi="Arial" w:cs="Arial"/>
          <w:noProof/>
          <w:color w:val="000000" w:themeColor="text1"/>
          <w:sz w:val="20"/>
          <w:szCs w:val="20"/>
        </w:rPr>
        <w:t>(</w:t>
      </w:r>
      <w:proofErr w:type="spellStart"/>
      <w:proofErr w:type="gramEnd"/>
      <w:r w:rsidRPr="00B45F8A">
        <w:rPr>
          <w:rFonts w:ascii="Arial" w:hAnsi="Arial" w:cs="Arial"/>
          <w:noProof/>
          <w:color w:val="000000" w:themeColor="text1"/>
          <w:sz w:val="20"/>
          <w:szCs w:val="20"/>
        </w:rPr>
        <w:t>Salari</w:t>
      </w:r>
      <w:proofErr w:type="spellEnd"/>
      <w:r w:rsidRPr="00B45F8A">
        <w:rPr>
          <w:rFonts w:ascii="Arial" w:hAnsi="Arial" w:cs="Arial"/>
          <w:noProof/>
          <w:color w:val="000000" w:themeColor="text1"/>
          <w:sz w:val="20"/>
          <w:szCs w:val="20"/>
        </w:rPr>
        <w:t>, Darvishi et al. 2022)</w:t>
      </w:r>
      <w:r w:rsidRPr="00B45F8A">
        <w:rPr>
          <w:rFonts w:ascii="Arial" w:hAnsi="Arial" w:cs="Arial"/>
          <w:color w:val="000000" w:themeColor="text1"/>
          <w:sz w:val="20"/>
          <w:szCs w:val="20"/>
        </w:rPr>
        <w:t xml:space="preserve"> and applying a confidence level of 95% and a 5% margin of error, the minimum required sample was calculated as 79 adolescents with CLP. To improve the statistical power of comparisons, the control group was intentionally doubled in size. The finite population correction was considered during estimation.</w:t>
      </w:r>
    </w:p>
    <w:p w14:paraId="3E71BC2E" w14:textId="77777777" w:rsidR="00644A74" w:rsidRPr="00B45F8A" w:rsidRDefault="00644A74" w:rsidP="00F250C4">
      <w:pPr>
        <w:jc w:val="both"/>
        <w:rPr>
          <w:rFonts w:ascii="Arial" w:hAnsi="Arial" w:cs="Arial"/>
          <w:b/>
          <w:bCs/>
          <w:color w:val="000000" w:themeColor="text1"/>
          <w:sz w:val="20"/>
          <w:szCs w:val="20"/>
        </w:rPr>
      </w:pPr>
      <w:r w:rsidRPr="00B45F8A">
        <w:rPr>
          <w:rFonts w:ascii="Arial" w:hAnsi="Arial" w:cs="Arial"/>
          <w:b/>
          <w:bCs/>
          <w:color w:val="000000" w:themeColor="text1"/>
          <w:sz w:val="20"/>
          <w:szCs w:val="20"/>
        </w:rPr>
        <w:t>Inclusion and exclusion criteria</w:t>
      </w:r>
    </w:p>
    <w:p w14:paraId="2C4CF9EB" w14:textId="77777777" w:rsidR="00644A74" w:rsidRPr="00B45F8A" w:rsidRDefault="00644A74" w:rsidP="00F250C4">
      <w:pPr>
        <w:spacing w:before="120" w:after="0" w:line="360" w:lineRule="auto"/>
        <w:ind w:firstLine="567"/>
        <w:jc w:val="both"/>
        <w:rPr>
          <w:rFonts w:ascii="Arial" w:eastAsia="Times New Roman" w:hAnsi="Arial" w:cs="Arial"/>
          <w:color w:val="000000" w:themeColor="text1"/>
          <w:kern w:val="0"/>
          <w:sz w:val="20"/>
          <w:szCs w:val="20"/>
          <w:lang w:eastAsia="pt-BR"/>
          <w14:ligatures w14:val="none"/>
        </w:rPr>
      </w:pPr>
      <w:r w:rsidRPr="00B45F8A">
        <w:rPr>
          <w:rFonts w:ascii="Arial" w:eastAsia="Times New Roman" w:hAnsi="Arial" w:cs="Arial"/>
          <w:color w:val="000000" w:themeColor="text1"/>
          <w:kern w:val="0"/>
          <w:sz w:val="20"/>
          <w:szCs w:val="20"/>
          <w:lang w:eastAsia="pt-BR"/>
          <w14:ligatures w14:val="none"/>
        </w:rPr>
        <w:t>Inclusion criteria for both groups were: age between 12 and 18 years and the absence of cognitive or visual impairments that could interfere with completing the questionnaires. Only adolescents with CLP were included in the experimental group.</w:t>
      </w:r>
    </w:p>
    <w:p w14:paraId="201C719B" w14:textId="77777777" w:rsidR="00644A74" w:rsidRPr="00B45F8A" w:rsidRDefault="00644A74" w:rsidP="00F250C4">
      <w:pPr>
        <w:spacing w:before="120" w:after="0" w:line="360" w:lineRule="auto"/>
        <w:ind w:firstLine="567"/>
        <w:jc w:val="both"/>
        <w:rPr>
          <w:rFonts w:ascii="Arial" w:eastAsia="Times New Roman" w:hAnsi="Arial" w:cs="Arial"/>
          <w:color w:val="000000" w:themeColor="text1"/>
          <w:kern w:val="0"/>
          <w:sz w:val="20"/>
          <w:szCs w:val="20"/>
          <w:lang w:eastAsia="pt-BR"/>
          <w14:ligatures w14:val="none"/>
        </w:rPr>
      </w:pPr>
      <w:r w:rsidRPr="00B45F8A">
        <w:rPr>
          <w:rFonts w:ascii="Arial" w:eastAsia="Times New Roman" w:hAnsi="Arial" w:cs="Arial"/>
          <w:color w:val="000000" w:themeColor="text1"/>
          <w:kern w:val="0"/>
          <w:sz w:val="20"/>
          <w:szCs w:val="20"/>
          <w:lang w:eastAsia="pt-BR"/>
          <w14:ligatures w14:val="none"/>
        </w:rPr>
        <w:t>Exclusion criteria included the use of centrally acting medications (e.g., tricyclic antidepressants, antipsychotics) that could affect attention, as well as any cognitive or visual impairment preventing participation to avoid any bias. Adolescents with syndromic or non-CLP craniofacial anomalies were excluded from the experimental group.</w:t>
      </w:r>
    </w:p>
    <w:p w14:paraId="7E3F1ADA" w14:textId="77777777" w:rsidR="00644A74" w:rsidRPr="00B45F8A" w:rsidRDefault="00644A74" w:rsidP="00F250C4">
      <w:pPr>
        <w:spacing w:line="360" w:lineRule="auto"/>
        <w:jc w:val="both"/>
        <w:rPr>
          <w:rFonts w:ascii="Arial" w:hAnsi="Arial" w:cs="Arial"/>
          <w:color w:val="000000" w:themeColor="text1"/>
          <w:sz w:val="20"/>
          <w:szCs w:val="20"/>
        </w:rPr>
      </w:pPr>
    </w:p>
    <w:p w14:paraId="55F60B57" w14:textId="77777777" w:rsidR="00644A74" w:rsidRPr="00B45F8A" w:rsidRDefault="00644A74" w:rsidP="00F250C4">
      <w:pPr>
        <w:spacing w:before="120" w:after="0" w:line="360" w:lineRule="auto"/>
        <w:jc w:val="both"/>
        <w:rPr>
          <w:rFonts w:ascii="Arial" w:hAnsi="Arial" w:cs="Arial"/>
          <w:b/>
          <w:bCs/>
          <w:color w:val="000000" w:themeColor="text1"/>
          <w:sz w:val="20"/>
          <w:szCs w:val="20"/>
        </w:rPr>
      </w:pPr>
      <w:r w:rsidRPr="00B45F8A">
        <w:rPr>
          <w:rFonts w:ascii="Arial" w:hAnsi="Arial" w:cs="Arial"/>
          <w:b/>
          <w:bCs/>
          <w:color w:val="000000" w:themeColor="text1"/>
          <w:sz w:val="20"/>
          <w:szCs w:val="20"/>
        </w:rPr>
        <w:t xml:space="preserve">Data collection </w:t>
      </w:r>
    </w:p>
    <w:p w14:paraId="5B1DE30B" w14:textId="02265F41" w:rsidR="00644A74" w:rsidRPr="00B45F8A" w:rsidRDefault="00644A74" w:rsidP="00F250C4">
      <w:pPr>
        <w:spacing w:before="120" w:after="0" w:line="360" w:lineRule="auto"/>
        <w:ind w:firstLine="426"/>
        <w:jc w:val="both"/>
        <w:rPr>
          <w:rFonts w:ascii="Arial" w:hAnsi="Arial" w:cs="Arial"/>
          <w:color w:val="000000" w:themeColor="text1"/>
          <w:sz w:val="20"/>
          <w:szCs w:val="20"/>
        </w:rPr>
      </w:pPr>
      <w:r w:rsidRPr="00B45F8A">
        <w:rPr>
          <w:rFonts w:ascii="Arial" w:hAnsi="Arial" w:cs="Arial"/>
          <w:color w:val="000000" w:themeColor="text1"/>
          <w:sz w:val="20"/>
          <w:szCs w:val="20"/>
        </w:rPr>
        <w:t xml:space="preserve">Participants completed a digital questionnaire via the Qualtrics platform (Qualtrics XM, Provo, UT, USA) in the presence of a researcher available to clarify any questions. </w:t>
      </w:r>
      <w:r w:rsidR="00575B46" w:rsidRPr="00B45F8A">
        <w:rPr>
          <w:rFonts w:ascii="Arial" w:hAnsi="Arial" w:cs="Arial"/>
          <w:color w:val="000000" w:themeColor="text1"/>
          <w:sz w:val="20"/>
          <w:szCs w:val="20"/>
        </w:rPr>
        <w:t>Written</w:t>
      </w:r>
      <w:r w:rsidRPr="00B45F8A">
        <w:rPr>
          <w:rFonts w:ascii="Arial" w:hAnsi="Arial" w:cs="Arial"/>
          <w:color w:val="000000" w:themeColor="text1"/>
          <w:sz w:val="20"/>
          <w:szCs w:val="20"/>
        </w:rPr>
        <w:t xml:space="preserve"> Informed consent and assent forms were obtained from the legal guardians and participants, respectively. The estimated time to complete the survey was approximately 10 minutes.</w:t>
      </w:r>
    </w:p>
    <w:p w14:paraId="249C000E" w14:textId="77777777" w:rsidR="00644A74" w:rsidRPr="00B45F8A" w:rsidRDefault="00644A74" w:rsidP="00F250C4">
      <w:pPr>
        <w:spacing w:before="120" w:after="0" w:line="360" w:lineRule="auto"/>
        <w:ind w:firstLine="426"/>
        <w:jc w:val="both"/>
        <w:rPr>
          <w:rFonts w:ascii="Arial" w:hAnsi="Arial" w:cs="Arial"/>
          <w:color w:val="000000" w:themeColor="text1"/>
          <w:sz w:val="20"/>
          <w:szCs w:val="20"/>
        </w:rPr>
      </w:pPr>
      <w:r w:rsidRPr="00B45F8A">
        <w:rPr>
          <w:rFonts w:ascii="Arial" w:hAnsi="Arial" w:cs="Arial"/>
          <w:color w:val="000000" w:themeColor="text1"/>
          <w:sz w:val="20"/>
          <w:szCs w:val="20"/>
        </w:rPr>
        <w:t>The questionnaire comprised 38 items: 12 demographic questions (e.g., gender, ethnicity, education level, family income, housing), 7 items related to anxiety, 9 to depression, and 10 to self-esteem.</w:t>
      </w:r>
    </w:p>
    <w:p w14:paraId="0FBAD183" w14:textId="77777777" w:rsidR="00644A74" w:rsidRPr="00B45F8A" w:rsidRDefault="00644A74" w:rsidP="00F250C4">
      <w:pPr>
        <w:spacing w:before="120" w:after="0" w:line="360" w:lineRule="auto"/>
        <w:ind w:firstLine="426"/>
        <w:jc w:val="both"/>
        <w:rPr>
          <w:rFonts w:ascii="Arial" w:hAnsi="Arial" w:cs="Arial"/>
          <w:b/>
          <w:color w:val="000000" w:themeColor="text1"/>
          <w:sz w:val="20"/>
          <w:szCs w:val="20"/>
        </w:rPr>
      </w:pPr>
    </w:p>
    <w:p w14:paraId="0D043974" w14:textId="77777777" w:rsidR="00644A74" w:rsidRPr="00B45F8A" w:rsidRDefault="00644A74" w:rsidP="00F250C4">
      <w:pPr>
        <w:spacing w:before="120" w:after="0" w:line="360" w:lineRule="auto"/>
        <w:jc w:val="both"/>
        <w:rPr>
          <w:rFonts w:ascii="Arial" w:hAnsi="Arial" w:cs="Arial"/>
          <w:b/>
          <w:bCs/>
          <w:color w:val="000000" w:themeColor="text1"/>
          <w:sz w:val="20"/>
          <w:szCs w:val="20"/>
        </w:rPr>
      </w:pPr>
      <w:r w:rsidRPr="00B45F8A">
        <w:rPr>
          <w:rFonts w:ascii="Arial" w:hAnsi="Arial" w:cs="Arial"/>
          <w:b/>
          <w:bCs/>
          <w:color w:val="000000" w:themeColor="text1"/>
          <w:sz w:val="20"/>
          <w:szCs w:val="20"/>
        </w:rPr>
        <w:t xml:space="preserve">Anxiety </w:t>
      </w:r>
      <w:r w:rsidRPr="00B45F8A">
        <w:rPr>
          <w:rFonts w:ascii="Arial" w:hAnsi="Arial" w:cs="Arial"/>
          <w:b/>
          <w:color w:val="000000" w:themeColor="text1"/>
          <w:sz w:val="20"/>
          <w:szCs w:val="20"/>
        </w:rPr>
        <w:t>Assessment</w:t>
      </w:r>
    </w:p>
    <w:p w14:paraId="761CC6B8" w14:textId="189F2520" w:rsidR="00644A74" w:rsidRPr="00B45F8A" w:rsidRDefault="00644A74" w:rsidP="00F250C4">
      <w:pPr>
        <w:spacing w:before="120" w:after="0" w:line="360" w:lineRule="auto"/>
        <w:jc w:val="both"/>
        <w:rPr>
          <w:rFonts w:ascii="Arial" w:hAnsi="Arial" w:cs="Arial"/>
          <w:noProof/>
          <w:color w:val="000000" w:themeColor="text1"/>
          <w:sz w:val="20"/>
          <w:szCs w:val="20"/>
        </w:rPr>
      </w:pPr>
      <w:r w:rsidRPr="00B45F8A">
        <w:rPr>
          <w:rFonts w:ascii="Arial" w:hAnsi="Arial" w:cs="Arial"/>
          <w:color w:val="000000" w:themeColor="text1"/>
          <w:sz w:val="20"/>
          <w:szCs w:val="20"/>
        </w:rPr>
        <w:tab/>
      </w:r>
      <w:r w:rsidRPr="00B45F8A">
        <w:rPr>
          <w:rFonts w:ascii="Arial" w:eastAsia="Times New Roman" w:hAnsi="Arial" w:cs="Arial"/>
          <w:color w:val="000000" w:themeColor="text1"/>
          <w:kern w:val="0"/>
          <w:sz w:val="20"/>
          <w:szCs w:val="20"/>
          <w:lang w:eastAsia="pt-BR"/>
          <w14:ligatures w14:val="none"/>
        </w:rPr>
        <w:t xml:space="preserve">Anxiety symptoms were assessed using the </w:t>
      </w:r>
      <w:r w:rsidRPr="00B45F8A">
        <w:rPr>
          <w:rFonts w:ascii="Arial" w:eastAsia="Times New Roman" w:hAnsi="Arial" w:cs="Arial"/>
          <w:bCs/>
          <w:color w:val="000000" w:themeColor="text1"/>
          <w:kern w:val="0"/>
          <w:sz w:val="20"/>
          <w:szCs w:val="20"/>
          <w:lang w:eastAsia="pt-BR"/>
          <w14:ligatures w14:val="none"/>
        </w:rPr>
        <w:t>Generalized Anxiety Disorder-7 (GAD-7)</w:t>
      </w:r>
      <w:r w:rsidRPr="00B45F8A">
        <w:rPr>
          <w:rFonts w:ascii="Arial" w:eastAsia="Times New Roman" w:hAnsi="Arial" w:cs="Arial"/>
          <w:color w:val="000000" w:themeColor="text1"/>
          <w:kern w:val="0"/>
          <w:sz w:val="20"/>
          <w:szCs w:val="20"/>
          <w:lang w:eastAsia="pt-BR"/>
          <w14:ligatures w14:val="none"/>
        </w:rPr>
        <w:t xml:space="preserve"> questionnaire, </w:t>
      </w:r>
      <w:r w:rsidRPr="00B45F8A">
        <w:rPr>
          <w:rFonts w:ascii="Arial" w:hAnsi="Arial" w:cs="Arial"/>
          <w:noProof/>
          <w:color w:val="000000" w:themeColor="text1"/>
          <w:sz w:val="20"/>
          <w:szCs w:val="20"/>
        </w:rPr>
        <w:t>(Löwe et al. 2008, Mughal, et al. 2020)</w:t>
      </w:r>
      <w:r w:rsidRPr="00B45F8A">
        <w:rPr>
          <w:rFonts w:ascii="Arial" w:hAnsi="Arial" w:cs="Arial"/>
          <w:color w:val="000000" w:themeColor="text1"/>
          <w:sz w:val="20"/>
          <w:szCs w:val="20"/>
        </w:rPr>
        <w:t xml:space="preserve"> one of the most widely used instruments worldwide for anxiety disorder screening and validated </w:t>
      </w:r>
      <w:r w:rsidR="00F768B5" w:rsidRPr="00B45F8A">
        <w:rPr>
          <w:rFonts w:ascii="Arial" w:hAnsi="Arial" w:cs="Arial"/>
          <w:sz w:val="20"/>
          <w:szCs w:val="20"/>
        </w:rPr>
        <w:t>(blinded).</w:t>
      </w:r>
      <w:r w:rsidRPr="00B45F8A">
        <w:rPr>
          <w:rFonts w:ascii="Arial" w:hAnsi="Arial" w:cs="Arial"/>
          <w:color w:val="000000" w:themeColor="text1"/>
          <w:sz w:val="20"/>
          <w:szCs w:val="20"/>
        </w:rPr>
        <w:t xml:space="preserve"> It consists of 7 items arranged </w:t>
      </w:r>
      <w:r w:rsidRPr="00B45F8A">
        <w:rPr>
          <w:rFonts w:ascii="Arial" w:hAnsi="Arial" w:cs="Arial"/>
          <w:color w:val="000000" w:themeColor="text1"/>
          <w:sz w:val="20"/>
          <w:szCs w:val="20"/>
        </w:rPr>
        <w:lastRenderedPageBreak/>
        <w:t>on a four-point Likert scale (0 = not at all, 1 = several days, 2 = more than half the days, and 3 = nearly every day). The questions measure the frequency of anxiety symptoms over the past two weeks, aiming to screen for p</w:t>
      </w:r>
      <w:r w:rsidR="00BE0DCD" w:rsidRPr="00B45F8A">
        <w:rPr>
          <w:rFonts w:ascii="Arial" w:hAnsi="Arial" w:cs="Arial"/>
          <w:color w:val="000000" w:themeColor="text1"/>
          <w:sz w:val="20"/>
          <w:szCs w:val="20"/>
        </w:rPr>
        <w:t>otential anxiety diagnosis</w:t>
      </w:r>
      <w:r w:rsidRPr="00B45F8A">
        <w:rPr>
          <w:rFonts w:ascii="Arial" w:hAnsi="Arial" w:cs="Arial"/>
          <w:color w:val="000000" w:themeColor="text1"/>
          <w:sz w:val="20"/>
          <w:szCs w:val="20"/>
        </w:rPr>
        <w:t xml:space="preserve"> </w:t>
      </w:r>
      <w:r w:rsidRPr="00B45F8A">
        <w:rPr>
          <w:rFonts w:ascii="Arial" w:hAnsi="Arial" w:cs="Arial"/>
          <w:noProof/>
          <w:color w:val="000000" w:themeColor="text1"/>
          <w:sz w:val="20"/>
          <w:szCs w:val="20"/>
        </w:rPr>
        <w:t>(Leite 2022)</w:t>
      </w:r>
      <w:r w:rsidR="00BE0DCD" w:rsidRPr="00B45F8A">
        <w:rPr>
          <w:rFonts w:ascii="Arial" w:hAnsi="Arial" w:cs="Arial"/>
          <w:noProof/>
          <w:color w:val="000000" w:themeColor="text1"/>
          <w:sz w:val="20"/>
          <w:szCs w:val="20"/>
        </w:rPr>
        <w:t>.</w:t>
      </w:r>
    </w:p>
    <w:p w14:paraId="490067CC" w14:textId="590E409D" w:rsidR="00644A74" w:rsidRPr="00B45F8A" w:rsidRDefault="00644A74" w:rsidP="00F250C4">
      <w:pPr>
        <w:spacing w:before="120" w:after="0" w:line="360" w:lineRule="auto"/>
        <w:ind w:firstLine="567"/>
        <w:jc w:val="both"/>
        <w:rPr>
          <w:rFonts w:ascii="Arial" w:eastAsia="Times New Roman" w:hAnsi="Arial" w:cs="Arial"/>
          <w:color w:val="000000" w:themeColor="text1"/>
          <w:kern w:val="0"/>
          <w:sz w:val="20"/>
          <w:szCs w:val="20"/>
          <w:lang w:eastAsia="pt-BR"/>
          <w14:ligatures w14:val="none"/>
        </w:rPr>
      </w:pPr>
      <w:r w:rsidRPr="00B45F8A">
        <w:rPr>
          <w:rFonts w:ascii="Arial" w:eastAsia="Times New Roman" w:hAnsi="Arial" w:cs="Arial"/>
          <w:color w:val="000000" w:themeColor="text1"/>
          <w:kern w:val="0"/>
          <w:sz w:val="20"/>
          <w:szCs w:val="20"/>
          <w:lang w:eastAsia="pt-BR"/>
          <w14:ligatures w14:val="none"/>
        </w:rPr>
        <w:t xml:space="preserve">Total scores range from 0 to 21, with severity levels classified as follows: </w:t>
      </w:r>
      <w:r w:rsidRPr="00B45F8A">
        <w:rPr>
          <w:rFonts w:ascii="Arial" w:eastAsia="Times New Roman" w:hAnsi="Arial" w:cs="Arial"/>
          <w:bCs/>
          <w:color w:val="000000" w:themeColor="text1"/>
          <w:kern w:val="0"/>
          <w:sz w:val="20"/>
          <w:szCs w:val="20"/>
          <w:lang w:eastAsia="pt-BR"/>
          <w14:ligatures w14:val="none"/>
        </w:rPr>
        <w:t>minimal or none</w:t>
      </w:r>
      <w:r w:rsidRPr="00B45F8A">
        <w:rPr>
          <w:rFonts w:ascii="Arial" w:eastAsia="Times New Roman" w:hAnsi="Arial" w:cs="Arial"/>
          <w:color w:val="000000" w:themeColor="text1"/>
          <w:kern w:val="0"/>
          <w:sz w:val="20"/>
          <w:szCs w:val="20"/>
          <w:lang w:eastAsia="pt-BR"/>
          <w14:ligatures w14:val="none"/>
        </w:rPr>
        <w:t xml:space="preserve"> (0–4), </w:t>
      </w:r>
      <w:r w:rsidRPr="00B45F8A">
        <w:rPr>
          <w:rFonts w:ascii="Arial" w:eastAsia="Times New Roman" w:hAnsi="Arial" w:cs="Arial"/>
          <w:bCs/>
          <w:color w:val="000000" w:themeColor="text1"/>
          <w:kern w:val="0"/>
          <w:sz w:val="20"/>
          <w:szCs w:val="20"/>
          <w:lang w:eastAsia="pt-BR"/>
          <w14:ligatures w14:val="none"/>
        </w:rPr>
        <w:t>mild</w:t>
      </w:r>
      <w:r w:rsidRPr="00B45F8A">
        <w:rPr>
          <w:rFonts w:ascii="Arial" w:eastAsia="Times New Roman" w:hAnsi="Arial" w:cs="Arial"/>
          <w:color w:val="000000" w:themeColor="text1"/>
          <w:kern w:val="0"/>
          <w:sz w:val="20"/>
          <w:szCs w:val="20"/>
          <w:lang w:eastAsia="pt-BR"/>
          <w14:ligatures w14:val="none"/>
        </w:rPr>
        <w:t xml:space="preserve"> (5–9), </w:t>
      </w:r>
      <w:r w:rsidRPr="00B45F8A">
        <w:rPr>
          <w:rFonts w:ascii="Arial" w:eastAsia="Times New Roman" w:hAnsi="Arial" w:cs="Arial"/>
          <w:bCs/>
          <w:color w:val="000000" w:themeColor="text1"/>
          <w:kern w:val="0"/>
          <w:sz w:val="20"/>
          <w:szCs w:val="20"/>
          <w:lang w:eastAsia="pt-BR"/>
          <w14:ligatures w14:val="none"/>
        </w:rPr>
        <w:t>moderate</w:t>
      </w:r>
      <w:r w:rsidRPr="00B45F8A">
        <w:rPr>
          <w:rFonts w:ascii="Arial" w:eastAsia="Times New Roman" w:hAnsi="Arial" w:cs="Arial"/>
          <w:color w:val="000000" w:themeColor="text1"/>
          <w:kern w:val="0"/>
          <w:sz w:val="20"/>
          <w:szCs w:val="20"/>
          <w:lang w:eastAsia="pt-BR"/>
          <w14:ligatures w14:val="none"/>
        </w:rPr>
        <w:t xml:space="preserve"> (10–14), and </w:t>
      </w:r>
      <w:r w:rsidRPr="00B45F8A">
        <w:rPr>
          <w:rFonts w:ascii="Arial" w:eastAsia="Times New Roman" w:hAnsi="Arial" w:cs="Arial"/>
          <w:bCs/>
          <w:color w:val="000000" w:themeColor="text1"/>
          <w:kern w:val="0"/>
          <w:sz w:val="20"/>
          <w:szCs w:val="20"/>
          <w:lang w:eastAsia="pt-BR"/>
          <w14:ligatures w14:val="none"/>
        </w:rPr>
        <w:t>severe</w:t>
      </w:r>
      <w:r w:rsidRPr="00B45F8A">
        <w:rPr>
          <w:rFonts w:ascii="Arial" w:eastAsia="Times New Roman" w:hAnsi="Arial" w:cs="Arial"/>
          <w:color w:val="000000" w:themeColor="text1"/>
          <w:kern w:val="0"/>
          <w:sz w:val="20"/>
          <w:szCs w:val="20"/>
          <w:lang w:eastAsia="pt-BR"/>
          <w14:ligatures w14:val="none"/>
        </w:rPr>
        <w:t xml:space="preserve"> (15–21)</w:t>
      </w:r>
      <w:r w:rsidR="00BE0DCD" w:rsidRPr="00B45F8A">
        <w:rPr>
          <w:rFonts w:ascii="Arial" w:hAnsi="Arial" w:cs="Arial"/>
          <w:color w:val="000000" w:themeColor="text1"/>
          <w:sz w:val="20"/>
          <w:szCs w:val="20"/>
        </w:rPr>
        <w:t xml:space="preserve"> </w:t>
      </w:r>
      <w:r w:rsidRPr="00B45F8A">
        <w:rPr>
          <w:rFonts w:ascii="Arial" w:hAnsi="Arial" w:cs="Arial"/>
          <w:noProof/>
          <w:color w:val="000000" w:themeColor="text1"/>
          <w:sz w:val="20"/>
          <w:szCs w:val="20"/>
        </w:rPr>
        <w:t>(Moreno, Sousa et al. 2016)</w:t>
      </w:r>
      <w:r w:rsidR="00BE0DCD" w:rsidRPr="00B45F8A">
        <w:rPr>
          <w:rFonts w:ascii="Arial" w:hAnsi="Arial" w:cs="Arial"/>
          <w:noProof/>
          <w:color w:val="000000" w:themeColor="text1"/>
          <w:sz w:val="20"/>
          <w:szCs w:val="20"/>
        </w:rPr>
        <w:t>.</w:t>
      </w:r>
    </w:p>
    <w:p w14:paraId="2F9AC6C4" w14:textId="77777777" w:rsidR="00644A74" w:rsidRPr="00B45F8A" w:rsidRDefault="00644A74" w:rsidP="00F250C4">
      <w:pPr>
        <w:spacing w:before="120" w:after="0" w:line="360" w:lineRule="auto"/>
        <w:jc w:val="both"/>
        <w:rPr>
          <w:rFonts w:ascii="Arial" w:hAnsi="Arial" w:cs="Arial"/>
          <w:color w:val="000000" w:themeColor="text1"/>
          <w:sz w:val="20"/>
          <w:szCs w:val="20"/>
        </w:rPr>
      </w:pPr>
    </w:p>
    <w:p w14:paraId="5FC815E2" w14:textId="77777777" w:rsidR="00644A74" w:rsidRPr="00B45F8A" w:rsidRDefault="00644A74" w:rsidP="00F250C4">
      <w:pPr>
        <w:spacing w:before="120" w:after="0" w:line="360" w:lineRule="auto"/>
        <w:jc w:val="both"/>
        <w:rPr>
          <w:rFonts w:ascii="Arial" w:hAnsi="Arial" w:cs="Arial"/>
          <w:b/>
          <w:bCs/>
          <w:color w:val="000000" w:themeColor="text1"/>
          <w:sz w:val="20"/>
          <w:szCs w:val="20"/>
        </w:rPr>
      </w:pPr>
      <w:r w:rsidRPr="00B45F8A">
        <w:rPr>
          <w:rFonts w:ascii="Arial" w:hAnsi="Arial" w:cs="Arial"/>
          <w:b/>
          <w:bCs/>
          <w:color w:val="000000" w:themeColor="text1"/>
          <w:sz w:val="20"/>
          <w:szCs w:val="20"/>
        </w:rPr>
        <w:t xml:space="preserve">Depression </w:t>
      </w:r>
      <w:r w:rsidRPr="00B45F8A">
        <w:rPr>
          <w:rFonts w:ascii="Arial" w:hAnsi="Arial" w:cs="Arial"/>
          <w:b/>
          <w:color w:val="000000" w:themeColor="text1"/>
          <w:sz w:val="20"/>
          <w:szCs w:val="20"/>
        </w:rPr>
        <w:t>Assessment</w:t>
      </w:r>
    </w:p>
    <w:p w14:paraId="19FC6049" w14:textId="2A0BB431" w:rsidR="00644A74" w:rsidRPr="00B45F8A" w:rsidRDefault="00644A74" w:rsidP="00F250C4">
      <w:pPr>
        <w:spacing w:before="120" w:after="0" w:line="360" w:lineRule="auto"/>
        <w:jc w:val="both"/>
        <w:rPr>
          <w:rFonts w:ascii="Arial" w:eastAsia="Times New Roman" w:hAnsi="Arial" w:cs="Arial"/>
          <w:color w:val="000000" w:themeColor="text1"/>
          <w:kern w:val="0"/>
          <w:sz w:val="20"/>
          <w:szCs w:val="20"/>
          <w:lang w:eastAsia="pt-BR"/>
          <w14:ligatures w14:val="none"/>
        </w:rPr>
      </w:pPr>
      <w:r w:rsidRPr="00B45F8A">
        <w:rPr>
          <w:rFonts w:ascii="Arial" w:hAnsi="Arial" w:cs="Arial"/>
          <w:color w:val="000000" w:themeColor="text1"/>
          <w:sz w:val="20"/>
          <w:szCs w:val="20"/>
        </w:rPr>
        <w:tab/>
      </w:r>
      <w:r w:rsidRPr="00B45F8A">
        <w:rPr>
          <w:rFonts w:ascii="Arial" w:eastAsia="Times New Roman" w:hAnsi="Arial" w:cs="Arial"/>
          <w:color w:val="000000" w:themeColor="text1"/>
          <w:kern w:val="0"/>
          <w:sz w:val="20"/>
          <w:szCs w:val="20"/>
          <w:lang w:eastAsia="pt-BR"/>
          <w14:ligatures w14:val="none"/>
        </w:rPr>
        <w:t xml:space="preserve">Depressive symptoms were evaluated using the validated </w:t>
      </w:r>
      <w:r w:rsidRPr="00B45F8A">
        <w:rPr>
          <w:rFonts w:ascii="Arial" w:eastAsia="Times New Roman" w:hAnsi="Arial" w:cs="Arial"/>
          <w:bCs/>
          <w:color w:val="000000" w:themeColor="text1"/>
          <w:kern w:val="0"/>
          <w:sz w:val="20"/>
          <w:szCs w:val="20"/>
          <w:lang w:eastAsia="pt-BR"/>
          <w14:ligatures w14:val="none"/>
        </w:rPr>
        <w:t>Patient Health Questionnaire-9 (PHQ-9)</w:t>
      </w:r>
      <w:r w:rsidR="00BE0DCD" w:rsidRPr="00B45F8A">
        <w:rPr>
          <w:rFonts w:ascii="Arial" w:eastAsia="Times New Roman" w:hAnsi="Arial" w:cs="Arial"/>
          <w:color w:val="000000" w:themeColor="text1"/>
          <w:kern w:val="0"/>
          <w:sz w:val="20"/>
          <w:szCs w:val="20"/>
          <w:lang w:eastAsia="pt-BR"/>
          <w14:ligatures w14:val="none"/>
        </w:rPr>
        <w:t xml:space="preserve"> </w:t>
      </w:r>
      <w:r w:rsidRPr="00B45F8A">
        <w:rPr>
          <w:rFonts w:ascii="Arial" w:eastAsia="Times New Roman" w:hAnsi="Arial" w:cs="Arial"/>
          <w:noProof/>
          <w:color w:val="000000" w:themeColor="text1"/>
          <w:kern w:val="0"/>
          <w:sz w:val="20"/>
          <w:szCs w:val="20"/>
          <w:lang w:eastAsia="pt-BR"/>
          <w14:ligatures w14:val="none"/>
        </w:rPr>
        <w:t xml:space="preserve">(Kroenke </w:t>
      </w:r>
      <w:r w:rsidR="00BE0DCD" w:rsidRPr="00B45F8A">
        <w:rPr>
          <w:rFonts w:ascii="Arial" w:eastAsia="Times New Roman" w:hAnsi="Arial" w:cs="Arial"/>
          <w:noProof/>
          <w:color w:val="000000" w:themeColor="text1"/>
          <w:kern w:val="0"/>
          <w:sz w:val="20"/>
          <w:szCs w:val="20"/>
          <w:lang w:eastAsia="pt-BR"/>
          <w14:ligatures w14:val="none"/>
        </w:rPr>
        <w:t>et al</w:t>
      </w:r>
      <w:r w:rsidRPr="00B45F8A">
        <w:rPr>
          <w:rFonts w:ascii="Arial" w:eastAsia="Times New Roman" w:hAnsi="Arial" w:cs="Arial"/>
          <w:noProof/>
          <w:color w:val="000000" w:themeColor="text1"/>
          <w:kern w:val="0"/>
          <w:sz w:val="20"/>
          <w:szCs w:val="20"/>
          <w:lang w:eastAsia="pt-BR"/>
          <w14:ligatures w14:val="none"/>
        </w:rPr>
        <w:t xml:space="preserve"> 2001)</w:t>
      </w:r>
      <w:r w:rsidR="00F768B5" w:rsidRPr="00B45F8A">
        <w:rPr>
          <w:rFonts w:ascii="Arial" w:eastAsia="Times New Roman" w:hAnsi="Arial" w:cs="Arial"/>
          <w:noProof/>
          <w:color w:val="000000" w:themeColor="text1"/>
          <w:kern w:val="0"/>
          <w:sz w:val="20"/>
          <w:szCs w:val="20"/>
          <w:lang w:eastAsia="pt-BR"/>
          <w14:ligatures w14:val="none"/>
        </w:rPr>
        <w:t>,</w:t>
      </w:r>
      <w:r w:rsidRPr="00B45F8A">
        <w:rPr>
          <w:rFonts w:ascii="Arial" w:eastAsia="Times New Roman" w:hAnsi="Arial" w:cs="Arial"/>
          <w:color w:val="000000" w:themeColor="text1"/>
          <w:kern w:val="0"/>
          <w:sz w:val="20"/>
          <w:szCs w:val="20"/>
          <w:lang w:eastAsia="pt-BR"/>
          <w14:ligatures w14:val="none"/>
        </w:rPr>
        <w:t xml:space="preserve"> a widely used and reliable screening instrument aligned with the diagnostic criteria for major depressive disorder. The PHQ-9 has been validated fo</w:t>
      </w:r>
      <w:r w:rsidR="00F768B5" w:rsidRPr="00B45F8A">
        <w:rPr>
          <w:rFonts w:ascii="Arial" w:eastAsia="Times New Roman" w:hAnsi="Arial" w:cs="Arial"/>
          <w:color w:val="000000" w:themeColor="text1"/>
          <w:kern w:val="0"/>
          <w:sz w:val="20"/>
          <w:szCs w:val="20"/>
          <w:lang w:eastAsia="pt-BR"/>
          <w14:ligatures w14:val="none"/>
        </w:rPr>
        <w:t xml:space="preserve">r use in adolescent populations </w:t>
      </w:r>
      <w:r w:rsidRPr="00B45F8A">
        <w:rPr>
          <w:rFonts w:ascii="Arial" w:eastAsia="Times New Roman" w:hAnsi="Arial" w:cs="Arial"/>
          <w:noProof/>
          <w:color w:val="000000" w:themeColor="text1"/>
          <w:kern w:val="0"/>
          <w:sz w:val="20"/>
          <w:szCs w:val="20"/>
          <w:lang w:eastAsia="pt-BR"/>
          <w14:ligatures w14:val="none"/>
        </w:rPr>
        <w:t>(Johnson, Harris et al. 2002)</w:t>
      </w:r>
      <w:r w:rsidR="00F768B5" w:rsidRPr="00B45F8A">
        <w:rPr>
          <w:rFonts w:ascii="Arial" w:eastAsia="Times New Roman" w:hAnsi="Arial" w:cs="Arial"/>
          <w:noProof/>
          <w:color w:val="000000" w:themeColor="text1"/>
          <w:kern w:val="0"/>
          <w:sz w:val="20"/>
          <w:szCs w:val="20"/>
          <w:lang w:eastAsia="pt-BR"/>
          <w14:ligatures w14:val="none"/>
        </w:rPr>
        <w:t>,</w:t>
      </w:r>
      <w:r w:rsidRPr="00B45F8A">
        <w:rPr>
          <w:rFonts w:ascii="Arial" w:eastAsia="Times New Roman" w:hAnsi="Arial" w:cs="Arial"/>
          <w:color w:val="000000" w:themeColor="text1"/>
          <w:kern w:val="0"/>
          <w:sz w:val="20"/>
          <w:szCs w:val="20"/>
          <w:lang w:eastAsia="pt-BR"/>
          <w14:ligatures w14:val="none"/>
        </w:rPr>
        <w:t xml:space="preserve"> demonstrating robust psychometric properties and cultural applicability across diverse groups</w:t>
      </w:r>
      <w:r w:rsidR="006A6B93" w:rsidRPr="00B45F8A">
        <w:rPr>
          <w:rFonts w:ascii="Arial" w:eastAsia="Times New Roman" w:hAnsi="Arial" w:cs="Arial"/>
          <w:color w:val="000000" w:themeColor="text1"/>
          <w:kern w:val="0"/>
          <w:sz w:val="20"/>
          <w:szCs w:val="20"/>
          <w:lang w:eastAsia="pt-BR"/>
          <w14:ligatures w14:val="none"/>
        </w:rPr>
        <w:t xml:space="preserve"> </w:t>
      </w:r>
      <w:r w:rsidRPr="00B45F8A">
        <w:rPr>
          <w:rFonts w:ascii="Arial" w:eastAsia="Times New Roman" w:hAnsi="Arial" w:cs="Arial"/>
          <w:noProof/>
          <w:color w:val="000000" w:themeColor="text1"/>
          <w:kern w:val="0"/>
          <w:sz w:val="20"/>
          <w:szCs w:val="20"/>
          <w:lang w:eastAsia="pt-BR"/>
          <w14:ligatures w14:val="none"/>
        </w:rPr>
        <w:t>(Munhoz et al. 2015, Musa et al. 2020)</w:t>
      </w:r>
      <w:r w:rsidR="006A6B93" w:rsidRPr="00B45F8A">
        <w:rPr>
          <w:rFonts w:ascii="Arial" w:eastAsia="Times New Roman" w:hAnsi="Arial" w:cs="Arial"/>
          <w:noProof/>
          <w:color w:val="000000" w:themeColor="text1"/>
          <w:kern w:val="0"/>
          <w:sz w:val="20"/>
          <w:szCs w:val="20"/>
          <w:lang w:eastAsia="pt-BR"/>
          <w14:ligatures w14:val="none"/>
        </w:rPr>
        <w:t>.</w:t>
      </w:r>
      <w:r w:rsidRPr="00B45F8A">
        <w:rPr>
          <w:rFonts w:ascii="Arial" w:eastAsia="Times New Roman" w:hAnsi="Arial" w:cs="Arial"/>
          <w:color w:val="000000" w:themeColor="text1"/>
          <w:kern w:val="0"/>
          <w:sz w:val="20"/>
          <w:szCs w:val="20"/>
          <w:lang w:eastAsia="pt-BR"/>
          <w14:ligatures w14:val="none"/>
        </w:rPr>
        <w:t xml:space="preserve"> </w:t>
      </w:r>
      <w:r w:rsidR="00F768B5" w:rsidRPr="00B45F8A">
        <w:rPr>
          <w:rFonts w:ascii="Arial" w:hAnsi="Arial" w:cs="Arial"/>
          <w:sz w:val="20"/>
          <w:szCs w:val="20"/>
        </w:rPr>
        <w:t xml:space="preserve">(Blinded), </w:t>
      </w:r>
      <w:r w:rsidRPr="00B45F8A">
        <w:rPr>
          <w:rFonts w:ascii="Arial" w:eastAsia="Times New Roman" w:hAnsi="Arial" w:cs="Arial"/>
          <w:color w:val="000000" w:themeColor="text1"/>
          <w:kern w:val="0"/>
          <w:sz w:val="20"/>
          <w:szCs w:val="20"/>
          <w:lang w:eastAsia="pt-BR"/>
          <w14:ligatures w14:val="none"/>
        </w:rPr>
        <w:t>its validity has been further confirmed through comp</w:t>
      </w:r>
      <w:r w:rsidR="00F768B5" w:rsidRPr="00B45F8A">
        <w:rPr>
          <w:rFonts w:ascii="Arial" w:eastAsia="Times New Roman" w:hAnsi="Arial" w:cs="Arial"/>
          <w:color w:val="000000" w:themeColor="text1"/>
          <w:kern w:val="0"/>
          <w:sz w:val="20"/>
          <w:szCs w:val="20"/>
          <w:lang w:eastAsia="pt-BR"/>
          <w14:ligatures w14:val="none"/>
        </w:rPr>
        <w:t xml:space="preserve">rehensive psychometric analysis </w:t>
      </w:r>
      <w:r w:rsidRPr="00B45F8A">
        <w:rPr>
          <w:rFonts w:ascii="Arial" w:eastAsia="Times New Roman" w:hAnsi="Arial" w:cs="Arial"/>
          <w:noProof/>
          <w:color w:val="000000" w:themeColor="text1"/>
          <w:kern w:val="0"/>
          <w:sz w:val="20"/>
          <w:szCs w:val="20"/>
          <w:lang w:eastAsia="pt-BR"/>
          <w14:ligatures w14:val="none"/>
        </w:rPr>
        <w:t>(Leite 2022, Lua et al. 2022, Manfro et al. 2023)</w:t>
      </w:r>
      <w:r w:rsidR="00F768B5" w:rsidRPr="00B45F8A">
        <w:rPr>
          <w:rFonts w:ascii="Arial" w:eastAsia="Times New Roman" w:hAnsi="Arial" w:cs="Arial"/>
          <w:noProof/>
          <w:color w:val="000000" w:themeColor="text1"/>
          <w:kern w:val="0"/>
          <w:sz w:val="20"/>
          <w:szCs w:val="20"/>
          <w:lang w:eastAsia="pt-BR"/>
          <w14:ligatures w14:val="none"/>
        </w:rPr>
        <w:t>.</w:t>
      </w:r>
    </w:p>
    <w:p w14:paraId="02069A8E" w14:textId="3A500EB6" w:rsidR="00644A74" w:rsidRPr="00B45F8A" w:rsidRDefault="00644A74" w:rsidP="00F250C4">
      <w:pPr>
        <w:spacing w:before="120" w:after="0" w:line="360" w:lineRule="auto"/>
        <w:ind w:firstLine="567"/>
        <w:jc w:val="both"/>
        <w:rPr>
          <w:rFonts w:ascii="Arial" w:eastAsia="Times New Roman" w:hAnsi="Arial" w:cs="Arial"/>
          <w:color w:val="000000" w:themeColor="text1"/>
          <w:kern w:val="0"/>
          <w:sz w:val="20"/>
          <w:szCs w:val="20"/>
          <w:lang w:eastAsia="pt-BR"/>
          <w14:ligatures w14:val="none"/>
        </w:rPr>
      </w:pPr>
      <w:r w:rsidRPr="00B45F8A">
        <w:rPr>
          <w:rFonts w:ascii="Arial" w:eastAsia="Times New Roman" w:hAnsi="Arial" w:cs="Arial"/>
          <w:color w:val="000000" w:themeColor="text1"/>
          <w:kern w:val="0"/>
          <w:sz w:val="20"/>
          <w:szCs w:val="20"/>
          <w:lang w:eastAsia="pt-BR"/>
          <w14:ligatures w14:val="none"/>
        </w:rPr>
        <w:t xml:space="preserve">The instrument comprises nine items, each scored on a 4-point Likert scale ranging from 0 to 3 (0 = not at all, 1 = several days, 2 = more than half the days, 3 = nearly every day), resulting in a total score between 0 and 27. Based on the cumulative score, depression severity is classified as follows: </w:t>
      </w:r>
      <w:r w:rsidRPr="00B45F8A">
        <w:rPr>
          <w:rFonts w:ascii="Arial" w:eastAsia="Times New Roman" w:hAnsi="Arial" w:cs="Arial"/>
          <w:bCs/>
          <w:color w:val="000000" w:themeColor="text1"/>
          <w:kern w:val="0"/>
          <w:sz w:val="20"/>
          <w:szCs w:val="20"/>
          <w:lang w:eastAsia="pt-BR"/>
          <w14:ligatures w14:val="none"/>
        </w:rPr>
        <w:t>no depression</w:t>
      </w:r>
      <w:r w:rsidRPr="00B45F8A">
        <w:rPr>
          <w:rFonts w:ascii="Arial" w:eastAsia="Times New Roman" w:hAnsi="Arial" w:cs="Arial"/>
          <w:color w:val="000000" w:themeColor="text1"/>
          <w:kern w:val="0"/>
          <w:sz w:val="20"/>
          <w:szCs w:val="20"/>
          <w:lang w:eastAsia="pt-BR"/>
          <w14:ligatures w14:val="none"/>
        </w:rPr>
        <w:t xml:space="preserve"> (0–4), </w:t>
      </w:r>
      <w:r w:rsidRPr="00B45F8A">
        <w:rPr>
          <w:rFonts w:ascii="Arial" w:eastAsia="Times New Roman" w:hAnsi="Arial" w:cs="Arial"/>
          <w:bCs/>
          <w:color w:val="000000" w:themeColor="text1"/>
          <w:kern w:val="0"/>
          <w:sz w:val="20"/>
          <w:szCs w:val="20"/>
          <w:lang w:eastAsia="pt-BR"/>
          <w14:ligatures w14:val="none"/>
        </w:rPr>
        <w:t>mild</w:t>
      </w:r>
      <w:r w:rsidRPr="00B45F8A">
        <w:rPr>
          <w:rFonts w:ascii="Arial" w:eastAsia="Times New Roman" w:hAnsi="Arial" w:cs="Arial"/>
          <w:color w:val="000000" w:themeColor="text1"/>
          <w:kern w:val="0"/>
          <w:sz w:val="20"/>
          <w:szCs w:val="20"/>
          <w:lang w:eastAsia="pt-BR"/>
          <w14:ligatures w14:val="none"/>
        </w:rPr>
        <w:t xml:space="preserve"> (5–9), </w:t>
      </w:r>
      <w:r w:rsidRPr="00B45F8A">
        <w:rPr>
          <w:rFonts w:ascii="Arial" w:eastAsia="Times New Roman" w:hAnsi="Arial" w:cs="Arial"/>
          <w:bCs/>
          <w:color w:val="000000" w:themeColor="text1"/>
          <w:kern w:val="0"/>
          <w:sz w:val="20"/>
          <w:szCs w:val="20"/>
          <w:lang w:eastAsia="pt-BR"/>
          <w14:ligatures w14:val="none"/>
        </w:rPr>
        <w:t>moderate</w:t>
      </w:r>
      <w:r w:rsidRPr="00B45F8A">
        <w:rPr>
          <w:rFonts w:ascii="Arial" w:eastAsia="Times New Roman" w:hAnsi="Arial" w:cs="Arial"/>
          <w:color w:val="000000" w:themeColor="text1"/>
          <w:kern w:val="0"/>
          <w:sz w:val="20"/>
          <w:szCs w:val="20"/>
          <w:lang w:eastAsia="pt-BR"/>
          <w14:ligatures w14:val="none"/>
        </w:rPr>
        <w:t xml:space="preserve"> (10–14), </w:t>
      </w:r>
      <w:r w:rsidRPr="00B45F8A">
        <w:rPr>
          <w:rFonts w:ascii="Arial" w:eastAsia="Times New Roman" w:hAnsi="Arial" w:cs="Arial"/>
          <w:bCs/>
          <w:color w:val="000000" w:themeColor="text1"/>
          <w:kern w:val="0"/>
          <w:sz w:val="20"/>
          <w:szCs w:val="20"/>
          <w:lang w:eastAsia="pt-BR"/>
          <w14:ligatures w14:val="none"/>
        </w:rPr>
        <w:t>moderately severe</w:t>
      </w:r>
      <w:r w:rsidRPr="00B45F8A">
        <w:rPr>
          <w:rFonts w:ascii="Arial" w:eastAsia="Times New Roman" w:hAnsi="Arial" w:cs="Arial"/>
          <w:color w:val="000000" w:themeColor="text1"/>
          <w:kern w:val="0"/>
          <w:sz w:val="20"/>
          <w:szCs w:val="20"/>
          <w:lang w:eastAsia="pt-BR"/>
          <w14:ligatures w14:val="none"/>
        </w:rPr>
        <w:t xml:space="preserve"> (15–19), and </w:t>
      </w:r>
      <w:r w:rsidRPr="00B45F8A">
        <w:rPr>
          <w:rFonts w:ascii="Arial" w:eastAsia="Times New Roman" w:hAnsi="Arial" w:cs="Arial"/>
          <w:bCs/>
          <w:color w:val="000000" w:themeColor="text1"/>
          <w:kern w:val="0"/>
          <w:sz w:val="20"/>
          <w:szCs w:val="20"/>
          <w:lang w:eastAsia="pt-BR"/>
          <w14:ligatures w14:val="none"/>
        </w:rPr>
        <w:t>severe</w:t>
      </w:r>
      <w:r w:rsidRPr="00B45F8A">
        <w:rPr>
          <w:rFonts w:ascii="Arial" w:eastAsia="Times New Roman" w:hAnsi="Arial" w:cs="Arial"/>
          <w:color w:val="000000" w:themeColor="text1"/>
          <w:kern w:val="0"/>
          <w:sz w:val="20"/>
          <w:szCs w:val="20"/>
          <w:lang w:eastAsia="pt-BR"/>
          <w14:ligatures w14:val="none"/>
        </w:rPr>
        <w:t xml:space="preserve"> (20–27)</w:t>
      </w:r>
      <w:r w:rsidR="00F768B5" w:rsidRPr="00B45F8A">
        <w:rPr>
          <w:rFonts w:ascii="Arial" w:eastAsia="Times New Roman" w:hAnsi="Arial" w:cs="Arial"/>
          <w:color w:val="000000" w:themeColor="text1"/>
          <w:kern w:val="0"/>
          <w:sz w:val="20"/>
          <w:szCs w:val="20"/>
          <w:lang w:eastAsia="pt-BR"/>
          <w14:ligatures w14:val="none"/>
        </w:rPr>
        <w:t xml:space="preserve"> </w:t>
      </w:r>
      <w:r w:rsidRPr="00B45F8A">
        <w:rPr>
          <w:rFonts w:ascii="Arial" w:eastAsia="Times New Roman" w:hAnsi="Arial" w:cs="Arial"/>
          <w:noProof/>
          <w:color w:val="000000" w:themeColor="text1"/>
          <w:kern w:val="0"/>
          <w:sz w:val="20"/>
          <w:szCs w:val="20"/>
          <w:lang w:eastAsia="pt-BR"/>
          <w14:ligatures w14:val="none"/>
        </w:rPr>
        <w:t>(Kroenke et al. 2001)</w:t>
      </w:r>
      <w:r w:rsidR="00F768B5" w:rsidRPr="00B45F8A">
        <w:rPr>
          <w:rFonts w:ascii="Arial" w:eastAsia="Times New Roman" w:hAnsi="Arial" w:cs="Arial"/>
          <w:noProof/>
          <w:color w:val="000000" w:themeColor="text1"/>
          <w:kern w:val="0"/>
          <w:sz w:val="20"/>
          <w:szCs w:val="20"/>
          <w:lang w:eastAsia="pt-BR"/>
          <w14:ligatures w14:val="none"/>
        </w:rPr>
        <w:t>.</w:t>
      </w:r>
    </w:p>
    <w:p w14:paraId="5263D861" w14:textId="77777777" w:rsidR="00644A74" w:rsidRPr="00B45F8A" w:rsidRDefault="00644A74" w:rsidP="00F250C4">
      <w:pPr>
        <w:spacing w:before="120" w:after="0" w:line="360" w:lineRule="auto"/>
        <w:jc w:val="both"/>
        <w:rPr>
          <w:rFonts w:ascii="Arial" w:hAnsi="Arial" w:cs="Arial"/>
          <w:color w:val="000000" w:themeColor="text1"/>
          <w:sz w:val="20"/>
          <w:szCs w:val="20"/>
        </w:rPr>
      </w:pPr>
    </w:p>
    <w:p w14:paraId="5B70F42E" w14:textId="77777777" w:rsidR="00644A74" w:rsidRPr="00B45F8A" w:rsidRDefault="00644A74" w:rsidP="00F250C4">
      <w:pPr>
        <w:spacing w:before="120" w:after="0" w:line="360" w:lineRule="auto"/>
        <w:jc w:val="both"/>
        <w:rPr>
          <w:rFonts w:ascii="Arial" w:hAnsi="Arial" w:cs="Arial"/>
          <w:b/>
          <w:bCs/>
          <w:color w:val="000000" w:themeColor="text1"/>
          <w:sz w:val="20"/>
          <w:szCs w:val="20"/>
        </w:rPr>
      </w:pPr>
      <w:r w:rsidRPr="00B45F8A">
        <w:rPr>
          <w:rFonts w:ascii="Arial" w:hAnsi="Arial" w:cs="Arial"/>
          <w:b/>
          <w:bCs/>
          <w:color w:val="000000" w:themeColor="text1"/>
          <w:sz w:val="20"/>
          <w:szCs w:val="20"/>
        </w:rPr>
        <w:t>Self-esteem assessment</w:t>
      </w:r>
    </w:p>
    <w:p w14:paraId="17546B9E" w14:textId="54E144DC" w:rsidR="00644A74" w:rsidRPr="00B45F8A" w:rsidRDefault="00644A74" w:rsidP="00F250C4">
      <w:pPr>
        <w:spacing w:before="120" w:after="0" w:line="360" w:lineRule="auto"/>
        <w:jc w:val="both"/>
        <w:rPr>
          <w:rFonts w:ascii="Arial" w:hAnsi="Arial" w:cs="Arial"/>
          <w:color w:val="000000" w:themeColor="text1"/>
          <w:sz w:val="20"/>
          <w:szCs w:val="20"/>
        </w:rPr>
      </w:pPr>
      <w:r w:rsidRPr="00B45F8A">
        <w:rPr>
          <w:rFonts w:ascii="Arial" w:hAnsi="Arial" w:cs="Arial"/>
          <w:color w:val="000000" w:themeColor="text1"/>
          <w:sz w:val="20"/>
          <w:szCs w:val="20"/>
        </w:rPr>
        <w:tab/>
        <w:t>Self-esteem was assessed using the Rosenberg Self-Esteem Scale (RSES</w:t>
      </w:r>
      <w:proofErr w:type="gramStart"/>
      <w:r w:rsidRPr="00B45F8A">
        <w:rPr>
          <w:rFonts w:ascii="Arial" w:hAnsi="Arial" w:cs="Arial"/>
          <w:color w:val="000000" w:themeColor="text1"/>
          <w:sz w:val="20"/>
          <w:szCs w:val="20"/>
        </w:rPr>
        <w:t>),</w:t>
      </w:r>
      <w:r w:rsidRPr="00B45F8A">
        <w:rPr>
          <w:rFonts w:ascii="Arial" w:hAnsi="Arial" w:cs="Arial"/>
          <w:noProof/>
          <w:color w:val="000000" w:themeColor="text1"/>
          <w:sz w:val="20"/>
          <w:szCs w:val="20"/>
        </w:rPr>
        <w:t>(</w:t>
      </w:r>
      <w:proofErr w:type="gramEnd"/>
      <w:r w:rsidRPr="00B45F8A">
        <w:rPr>
          <w:rFonts w:ascii="Arial" w:hAnsi="Arial" w:cs="Arial"/>
          <w:noProof/>
          <w:color w:val="000000" w:themeColor="text1"/>
          <w:sz w:val="20"/>
          <w:szCs w:val="20"/>
        </w:rPr>
        <w:t>Rosenberg 1965)</w:t>
      </w:r>
      <w:r w:rsidRPr="00B45F8A">
        <w:rPr>
          <w:rFonts w:ascii="Arial" w:hAnsi="Arial" w:cs="Arial"/>
          <w:color w:val="000000" w:themeColor="text1"/>
          <w:sz w:val="20"/>
          <w:szCs w:val="20"/>
        </w:rPr>
        <w:t xml:space="preserve"> for evaluating global self-worth in both</w:t>
      </w:r>
      <w:r w:rsidR="00BE0DCD" w:rsidRPr="00B45F8A">
        <w:rPr>
          <w:rFonts w:ascii="Arial" w:hAnsi="Arial" w:cs="Arial"/>
          <w:color w:val="000000" w:themeColor="text1"/>
          <w:sz w:val="20"/>
          <w:szCs w:val="20"/>
        </w:rPr>
        <w:t xml:space="preserve"> clinical and research contexts </w:t>
      </w:r>
      <w:r w:rsidRPr="00B45F8A">
        <w:rPr>
          <w:rFonts w:ascii="Arial" w:hAnsi="Arial" w:cs="Arial"/>
          <w:noProof/>
          <w:color w:val="000000" w:themeColor="text1"/>
          <w:sz w:val="20"/>
          <w:szCs w:val="20"/>
        </w:rPr>
        <w:t>(Schmitt and Allik 2005)</w:t>
      </w:r>
      <w:r w:rsidR="00BE0DCD" w:rsidRPr="00B45F8A">
        <w:rPr>
          <w:rFonts w:ascii="Arial" w:hAnsi="Arial" w:cs="Arial"/>
          <w:noProof/>
          <w:color w:val="000000" w:themeColor="text1"/>
          <w:sz w:val="20"/>
          <w:szCs w:val="20"/>
        </w:rPr>
        <w:t>.</w:t>
      </w:r>
      <w:r w:rsidR="00575B46" w:rsidRPr="00B45F8A">
        <w:rPr>
          <w:rFonts w:ascii="Arial" w:hAnsi="Arial" w:cs="Arial"/>
          <w:noProof/>
          <w:color w:val="000000" w:themeColor="text1"/>
          <w:sz w:val="20"/>
          <w:szCs w:val="20"/>
        </w:rPr>
        <w:t xml:space="preserve"> In </w:t>
      </w:r>
      <w:r w:rsidR="006A6B93" w:rsidRPr="00B45F8A">
        <w:rPr>
          <w:rFonts w:ascii="Arial" w:hAnsi="Arial" w:cs="Arial"/>
          <w:sz w:val="20"/>
          <w:szCs w:val="20"/>
        </w:rPr>
        <w:t>(Blinded</w:t>
      </w:r>
      <w:r w:rsidR="00575B46" w:rsidRPr="00B45F8A">
        <w:rPr>
          <w:rFonts w:ascii="Arial" w:hAnsi="Arial" w:cs="Arial"/>
          <w:sz w:val="20"/>
          <w:szCs w:val="20"/>
        </w:rPr>
        <w:t xml:space="preserve"> for review</w:t>
      </w:r>
      <w:r w:rsidR="006A6B93" w:rsidRPr="00B45F8A">
        <w:rPr>
          <w:rFonts w:ascii="Arial" w:hAnsi="Arial" w:cs="Arial"/>
          <w:sz w:val="20"/>
          <w:szCs w:val="20"/>
        </w:rPr>
        <w:t xml:space="preserve">), </w:t>
      </w:r>
      <w:r w:rsidRPr="00B45F8A">
        <w:rPr>
          <w:rFonts w:ascii="Arial" w:hAnsi="Arial" w:cs="Arial"/>
          <w:color w:val="000000" w:themeColor="text1"/>
          <w:sz w:val="20"/>
          <w:szCs w:val="20"/>
        </w:rPr>
        <w:t xml:space="preserve">the scale was adapted and validated by </w:t>
      </w:r>
      <w:proofErr w:type="gramStart"/>
      <w:r w:rsidRPr="00B45F8A">
        <w:rPr>
          <w:rFonts w:ascii="Arial" w:hAnsi="Arial" w:cs="Arial"/>
          <w:color w:val="000000" w:themeColor="text1"/>
          <w:sz w:val="20"/>
          <w:szCs w:val="20"/>
        </w:rPr>
        <w:t>Hutz,</w:t>
      </w:r>
      <w:r w:rsidRPr="00B45F8A">
        <w:rPr>
          <w:rFonts w:ascii="Arial" w:hAnsi="Arial" w:cs="Arial"/>
          <w:noProof/>
          <w:color w:val="000000" w:themeColor="text1"/>
          <w:sz w:val="20"/>
          <w:szCs w:val="20"/>
        </w:rPr>
        <w:t>(</w:t>
      </w:r>
      <w:proofErr w:type="gramEnd"/>
      <w:r w:rsidRPr="00B45F8A">
        <w:rPr>
          <w:rFonts w:ascii="Arial" w:hAnsi="Arial" w:cs="Arial"/>
          <w:noProof/>
          <w:color w:val="000000" w:themeColor="text1"/>
          <w:sz w:val="20"/>
          <w:szCs w:val="20"/>
        </w:rPr>
        <w:t>Hutz and Zanon 2011)</w:t>
      </w:r>
      <w:r w:rsidRPr="00B45F8A">
        <w:rPr>
          <w:rFonts w:ascii="Arial" w:hAnsi="Arial" w:cs="Arial"/>
          <w:color w:val="000000" w:themeColor="text1"/>
          <w:sz w:val="20"/>
          <w:szCs w:val="20"/>
        </w:rPr>
        <w:t xml:space="preserve"> and this version has been used i</w:t>
      </w:r>
      <w:r w:rsidR="00BE0DCD" w:rsidRPr="00B45F8A">
        <w:rPr>
          <w:rFonts w:ascii="Arial" w:hAnsi="Arial" w:cs="Arial"/>
          <w:color w:val="000000" w:themeColor="text1"/>
          <w:sz w:val="20"/>
          <w:szCs w:val="20"/>
        </w:rPr>
        <w:t xml:space="preserve">n studies involving adolescents </w:t>
      </w:r>
      <w:r w:rsidRPr="00B45F8A">
        <w:rPr>
          <w:rFonts w:ascii="Arial" w:hAnsi="Arial" w:cs="Arial"/>
          <w:noProof/>
          <w:color w:val="000000" w:themeColor="text1"/>
          <w:sz w:val="20"/>
          <w:szCs w:val="20"/>
        </w:rPr>
        <w:t>(Hutz 2000, Sbicigo et al. 2010)</w:t>
      </w:r>
      <w:r w:rsidR="00BE0DCD" w:rsidRPr="00B45F8A">
        <w:rPr>
          <w:rFonts w:ascii="Arial" w:hAnsi="Arial" w:cs="Arial"/>
          <w:noProof/>
          <w:color w:val="000000" w:themeColor="text1"/>
          <w:sz w:val="20"/>
          <w:szCs w:val="20"/>
        </w:rPr>
        <w:t>.</w:t>
      </w:r>
    </w:p>
    <w:p w14:paraId="1CB15D40" w14:textId="5EC47540" w:rsidR="00644A74" w:rsidRPr="00B45F8A" w:rsidRDefault="00644A74" w:rsidP="00F250C4">
      <w:pPr>
        <w:spacing w:before="120" w:after="0" w:line="360" w:lineRule="auto"/>
        <w:ind w:firstLine="720"/>
        <w:jc w:val="both"/>
        <w:rPr>
          <w:rFonts w:ascii="Arial" w:hAnsi="Arial" w:cs="Arial"/>
          <w:color w:val="000000" w:themeColor="text1"/>
          <w:sz w:val="20"/>
          <w:szCs w:val="20"/>
        </w:rPr>
      </w:pPr>
      <w:r w:rsidRPr="00B45F8A">
        <w:rPr>
          <w:rFonts w:ascii="Arial" w:hAnsi="Arial" w:cs="Arial"/>
          <w:color w:val="000000" w:themeColor="text1"/>
          <w:sz w:val="20"/>
          <w:szCs w:val="20"/>
        </w:rPr>
        <w:t>RSES comprises 10 items, each rated on a 4-point Likert scale (0 = strongly disagree, 1 = disagree, 2 = agree, 3 = strongly agree). Five items are positively worded and scored directly, while the remaining five are negatively worded and reverse-scored. The total score ranges from 0 to 30, with scores below 15 indicating very low self-esteem, and scores from 16 to 30 repres</w:t>
      </w:r>
      <w:r w:rsidR="00BE0DCD" w:rsidRPr="00B45F8A">
        <w:rPr>
          <w:rFonts w:ascii="Arial" w:hAnsi="Arial" w:cs="Arial"/>
          <w:color w:val="000000" w:themeColor="text1"/>
          <w:sz w:val="20"/>
          <w:szCs w:val="20"/>
        </w:rPr>
        <w:t xml:space="preserve">enting healthy self-esteem </w:t>
      </w:r>
      <w:r w:rsidRPr="00B45F8A">
        <w:rPr>
          <w:rFonts w:ascii="Arial" w:hAnsi="Arial" w:cs="Arial"/>
          <w:noProof/>
          <w:color w:val="000000" w:themeColor="text1"/>
          <w:sz w:val="20"/>
          <w:szCs w:val="20"/>
        </w:rPr>
        <w:t>(Hutz and Zanon 2011)</w:t>
      </w:r>
      <w:r w:rsidR="00BE0DCD" w:rsidRPr="00B45F8A">
        <w:rPr>
          <w:rFonts w:ascii="Arial" w:hAnsi="Arial" w:cs="Arial"/>
          <w:noProof/>
          <w:color w:val="000000" w:themeColor="text1"/>
          <w:sz w:val="20"/>
          <w:szCs w:val="20"/>
        </w:rPr>
        <w:t>.</w:t>
      </w:r>
    </w:p>
    <w:p w14:paraId="5B53135A" w14:textId="77777777" w:rsidR="00644A74" w:rsidRPr="00B45F8A" w:rsidRDefault="00644A74" w:rsidP="00F250C4">
      <w:pPr>
        <w:spacing w:before="120" w:after="0" w:line="360" w:lineRule="auto"/>
        <w:jc w:val="both"/>
        <w:rPr>
          <w:rFonts w:ascii="Arial" w:hAnsi="Arial" w:cs="Arial"/>
          <w:color w:val="000000" w:themeColor="text1"/>
          <w:sz w:val="20"/>
          <w:szCs w:val="20"/>
        </w:rPr>
      </w:pPr>
      <w:r w:rsidRPr="00B45F8A">
        <w:rPr>
          <w:rFonts w:ascii="Arial" w:hAnsi="Arial" w:cs="Arial"/>
          <w:b/>
          <w:bCs/>
          <w:color w:val="000000" w:themeColor="text1"/>
          <w:sz w:val="20"/>
          <w:szCs w:val="20"/>
        </w:rPr>
        <w:t>Statistical Analysis</w:t>
      </w:r>
    </w:p>
    <w:p w14:paraId="1D1A38E4" w14:textId="77777777" w:rsidR="00644A74" w:rsidRPr="00B45F8A" w:rsidRDefault="00644A74" w:rsidP="00F250C4">
      <w:pPr>
        <w:spacing w:before="120" w:after="0" w:line="360" w:lineRule="auto"/>
        <w:ind w:firstLine="720"/>
        <w:jc w:val="both"/>
        <w:rPr>
          <w:rFonts w:ascii="Arial" w:hAnsi="Arial" w:cs="Arial"/>
          <w:color w:val="000000" w:themeColor="text1"/>
          <w:sz w:val="20"/>
          <w:szCs w:val="20"/>
        </w:rPr>
      </w:pPr>
      <w:proofErr w:type="spellStart"/>
      <w:r w:rsidRPr="00B45F8A">
        <w:rPr>
          <w:rFonts w:ascii="Arial" w:hAnsi="Arial" w:cs="Arial"/>
          <w:color w:val="000000" w:themeColor="text1"/>
          <w:sz w:val="20"/>
          <w:szCs w:val="20"/>
        </w:rPr>
        <w:t>Levene’s</w:t>
      </w:r>
      <w:proofErr w:type="spellEnd"/>
      <w:r w:rsidRPr="00B45F8A">
        <w:rPr>
          <w:rFonts w:ascii="Arial" w:hAnsi="Arial" w:cs="Arial"/>
          <w:color w:val="000000" w:themeColor="text1"/>
          <w:sz w:val="20"/>
          <w:szCs w:val="20"/>
        </w:rPr>
        <w:t xml:space="preserve"> test was used to verify the homogeneity of variances, and data normality was assessed using the Shapiro-Wilk test. Between-group comparisons were performed using Student’s t-test for independent samples. Analysis of variance (ANOVA) was used to compare age and group differences, with Games-Howell post hoc tests applied for multiple comparisons. A significance level of 5% (p &lt; 0.05) was adopted for all analyses.</w:t>
      </w:r>
    </w:p>
    <w:p w14:paraId="12054A76" w14:textId="77777777" w:rsidR="00644A74" w:rsidRPr="00B45F8A" w:rsidRDefault="00644A74" w:rsidP="00F250C4">
      <w:pPr>
        <w:spacing w:before="120" w:after="0" w:line="360" w:lineRule="auto"/>
        <w:jc w:val="both"/>
        <w:rPr>
          <w:rFonts w:ascii="Arial" w:hAnsi="Arial" w:cs="Arial"/>
          <w:b/>
          <w:bCs/>
          <w:color w:val="000000" w:themeColor="text1"/>
          <w:sz w:val="20"/>
          <w:szCs w:val="20"/>
        </w:rPr>
      </w:pPr>
      <w:r w:rsidRPr="00B45F8A">
        <w:rPr>
          <w:rFonts w:ascii="Arial" w:hAnsi="Arial" w:cs="Arial"/>
          <w:b/>
          <w:bCs/>
          <w:color w:val="000000" w:themeColor="text1"/>
          <w:sz w:val="20"/>
          <w:szCs w:val="20"/>
        </w:rPr>
        <w:lastRenderedPageBreak/>
        <w:t>Results</w:t>
      </w:r>
    </w:p>
    <w:p w14:paraId="70065D37" w14:textId="77777777" w:rsidR="00644A74" w:rsidRPr="00B45F8A" w:rsidRDefault="00644A74" w:rsidP="00F250C4">
      <w:pPr>
        <w:spacing w:before="120" w:after="0" w:line="360" w:lineRule="auto"/>
        <w:ind w:firstLine="567"/>
        <w:jc w:val="both"/>
        <w:rPr>
          <w:rFonts w:ascii="Arial" w:eastAsia="Times New Roman" w:hAnsi="Arial" w:cs="Arial"/>
          <w:color w:val="000000" w:themeColor="text1"/>
          <w:kern w:val="0"/>
          <w:sz w:val="20"/>
          <w:szCs w:val="20"/>
          <w:lang w:eastAsia="pt-BR"/>
          <w14:ligatures w14:val="none"/>
        </w:rPr>
      </w:pPr>
      <w:r w:rsidRPr="00B45F8A">
        <w:rPr>
          <w:rFonts w:ascii="Arial" w:eastAsia="Times New Roman" w:hAnsi="Arial" w:cs="Arial"/>
          <w:color w:val="000000" w:themeColor="text1"/>
          <w:kern w:val="0"/>
          <w:sz w:val="20"/>
          <w:szCs w:val="20"/>
          <w:lang w:eastAsia="pt-BR"/>
          <w14:ligatures w14:val="none"/>
        </w:rPr>
        <w:t>A total of 237 adolescents participated in the study. The experimental group included 79 individuals, with a mean age of 14.15 years, while the control group comprised 158 participants, whose mean age was 14.64 years (Table 1). Within the experimental group, males accounted for 59.5% (n = 47), and females represented 40.5% (n = 32). In comparison, the control group was composed of 86 male participants (54.4%) and 72 female participants (45.6%).</w:t>
      </w:r>
    </w:p>
    <w:p w14:paraId="3F330AB4" w14:textId="704FD2F5" w:rsidR="00644A74" w:rsidRPr="00B45F8A" w:rsidRDefault="00644A74" w:rsidP="00F250C4">
      <w:pPr>
        <w:spacing w:before="120" w:after="0" w:line="360" w:lineRule="auto"/>
        <w:ind w:firstLine="567"/>
        <w:jc w:val="both"/>
        <w:rPr>
          <w:rFonts w:ascii="Arial" w:eastAsia="Times New Roman" w:hAnsi="Arial" w:cs="Arial"/>
          <w:color w:val="000000" w:themeColor="text1"/>
          <w:kern w:val="0"/>
          <w:sz w:val="20"/>
          <w:szCs w:val="20"/>
          <w:lang w:eastAsia="pt-BR"/>
          <w14:ligatures w14:val="none"/>
        </w:rPr>
      </w:pPr>
      <w:r w:rsidRPr="00B45F8A">
        <w:rPr>
          <w:rFonts w:ascii="Arial" w:eastAsia="Times New Roman" w:hAnsi="Arial" w:cs="Arial"/>
          <w:color w:val="000000" w:themeColor="text1"/>
          <w:kern w:val="0"/>
          <w:sz w:val="20"/>
          <w:szCs w:val="20"/>
          <w:lang w:eastAsia="pt-BR"/>
          <w14:ligatures w14:val="none"/>
        </w:rPr>
        <w:t>Regarding racial composition, 59.5% of participants in the experimental group identified as White, compared to 43.7% in the control group. Black adolescents constituted 12.7% of the experimental group and 7% of the control group. Participants who identified as Brown represented 27.8% in the experimental group and 49.4% in the control group. The vast majority of individuals in both groups were enrolled in public education institutions. In terms of parental education, most had completed secondary education. Household income n both groups was predominantly within the range of one to three times the minimum wage. Additionally, most adolescents reported residing with both parents and having one sibling. notable between-group difference was observed in relation to</w:t>
      </w:r>
      <w:r w:rsidR="00471836" w:rsidRPr="00B45F8A">
        <w:rPr>
          <w:rFonts w:ascii="Arial" w:eastAsia="Times New Roman" w:hAnsi="Arial" w:cs="Arial"/>
          <w:color w:val="000000" w:themeColor="text1"/>
          <w:kern w:val="0"/>
          <w:sz w:val="20"/>
          <w:szCs w:val="20"/>
          <w:lang w:eastAsia="pt-BR"/>
          <w14:ligatures w14:val="none"/>
        </w:rPr>
        <w:t xml:space="preserve"> housing type </w:t>
      </w:r>
      <w:r w:rsidRPr="00B45F8A">
        <w:rPr>
          <w:rFonts w:ascii="Arial" w:eastAsia="Times New Roman" w:hAnsi="Arial" w:cs="Arial"/>
          <w:color w:val="000000" w:themeColor="text1"/>
          <w:kern w:val="0"/>
          <w:sz w:val="20"/>
          <w:szCs w:val="20"/>
          <w:lang w:eastAsia="pt-BR"/>
          <w14:ligatures w14:val="none"/>
        </w:rPr>
        <w:t>(Table 1).</w:t>
      </w:r>
    </w:p>
    <w:p w14:paraId="415CF31F" w14:textId="77777777" w:rsidR="00471836" w:rsidRDefault="00471836" w:rsidP="00F250C4">
      <w:pPr>
        <w:spacing w:after="0" w:line="276" w:lineRule="auto"/>
        <w:rPr>
          <w:rFonts w:ascii="Times New Roman" w:hAnsi="Times New Roman"/>
        </w:rPr>
      </w:pPr>
    </w:p>
    <w:p w14:paraId="52027F6D" w14:textId="77777777" w:rsidR="00F250C4" w:rsidRPr="00650DFF" w:rsidRDefault="00F250C4" w:rsidP="00F250C4">
      <w:pPr>
        <w:spacing w:after="0" w:line="276" w:lineRule="auto"/>
        <w:rPr>
          <w:rFonts w:ascii="Arial" w:hAnsi="Arial" w:cs="Arial"/>
          <w:sz w:val="20"/>
        </w:rPr>
      </w:pPr>
      <w:r w:rsidRPr="00650DFF">
        <w:rPr>
          <w:rFonts w:ascii="Arial" w:hAnsi="Arial" w:cs="Arial"/>
          <w:sz w:val="20"/>
        </w:rPr>
        <w:t>Table 1</w:t>
      </w:r>
      <w:r w:rsidRPr="00650DFF">
        <w:rPr>
          <w:rFonts w:ascii="Arial" w:hAnsi="Arial" w:cs="Arial"/>
          <w:b/>
          <w:bCs/>
          <w:sz w:val="20"/>
        </w:rPr>
        <w:t>.</w:t>
      </w:r>
      <w:r w:rsidRPr="00650DFF">
        <w:rPr>
          <w:rFonts w:ascii="Arial" w:hAnsi="Arial" w:cs="Arial"/>
          <w:sz w:val="20"/>
        </w:rPr>
        <w:t xml:space="preserve"> Sociodemographic characteristics of the sample.</w:t>
      </w:r>
    </w:p>
    <w:tbl>
      <w:tblPr>
        <w:tblW w:w="7896" w:type="dxa"/>
        <w:tblLook w:val="04A0" w:firstRow="1" w:lastRow="0" w:firstColumn="1" w:lastColumn="0" w:noHBand="0" w:noVBand="1"/>
      </w:tblPr>
      <w:tblGrid>
        <w:gridCol w:w="2250"/>
        <w:gridCol w:w="1805"/>
        <w:gridCol w:w="1590"/>
        <w:gridCol w:w="1660"/>
        <w:gridCol w:w="960"/>
      </w:tblGrid>
      <w:tr w:rsidR="00F250C4" w:rsidRPr="00650DFF" w14:paraId="1C0DD861" w14:textId="77777777" w:rsidTr="00F250C4">
        <w:trPr>
          <w:trHeight w:val="300"/>
        </w:trPr>
        <w:tc>
          <w:tcPr>
            <w:tcW w:w="2250" w:type="dxa"/>
            <w:tcBorders>
              <w:top w:val="single" w:sz="4" w:space="0" w:color="auto"/>
              <w:left w:val="nil"/>
              <w:bottom w:val="single" w:sz="4" w:space="0" w:color="auto"/>
              <w:right w:val="single" w:sz="4" w:space="0" w:color="FFFFFF"/>
            </w:tcBorders>
            <w:noWrap/>
            <w:vAlign w:val="bottom"/>
            <w:hideMark/>
          </w:tcPr>
          <w:p w14:paraId="44DF470C" w14:textId="77777777" w:rsidR="00F250C4" w:rsidRPr="00650DFF" w:rsidRDefault="00F250C4" w:rsidP="00F250C4">
            <w:pPr>
              <w:spacing w:after="0" w:line="276"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single" w:sz="4" w:space="0" w:color="auto"/>
              <w:left w:val="nil"/>
              <w:bottom w:val="single" w:sz="4" w:space="0" w:color="auto"/>
              <w:right w:val="single" w:sz="4" w:space="0" w:color="FFFFFF"/>
            </w:tcBorders>
            <w:noWrap/>
            <w:vAlign w:val="bottom"/>
            <w:hideMark/>
          </w:tcPr>
          <w:p w14:paraId="44B57804" w14:textId="77777777" w:rsidR="00F250C4" w:rsidRPr="00650DFF" w:rsidRDefault="00F250C4" w:rsidP="00F250C4">
            <w:pPr>
              <w:spacing w:after="0" w:line="276"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590" w:type="dxa"/>
            <w:tcBorders>
              <w:top w:val="single" w:sz="4" w:space="0" w:color="auto"/>
              <w:left w:val="nil"/>
              <w:bottom w:val="single" w:sz="4" w:space="0" w:color="auto"/>
              <w:right w:val="nil"/>
            </w:tcBorders>
            <w:noWrap/>
            <w:vAlign w:val="bottom"/>
            <w:hideMark/>
          </w:tcPr>
          <w:p w14:paraId="00CA176F" w14:textId="77777777" w:rsidR="00F250C4" w:rsidRPr="00650DFF" w:rsidRDefault="00F250C4" w:rsidP="00F250C4">
            <w:pPr>
              <w:spacing w:after="0" w:line="276" w:lineRule="auto"/>
              <w:jc w:val="center"/>
              <w:rPr>
                <w:rFonts w:ascii="Times New Roman" w:hAnsi="Times New Roman"/>
                <w:b/>
                <w:bCs/>
                <w:color w:val="000000"/>
                <w:sz w:val="20"/>
                <w:szCs w:val="20"/>
              </w:rPr>
            </w:pPr>
            <w:r w:rsidRPr="00650DFF">
              <w:rPr>
                <w:rFonts w:ascii="Times New Roman" w:hAnsi="Times New Roman"/>
                <w:b/>
                <w:bCs/>
                <w:color w:val="000000"/>
                <w:sz w:val="20"/>
                <w:szCs w:val="20"/>
              </w:rPr>
              <w:t>Control</w:t>
            </w:r>
          </w:p>
        </w:tc>
        <w:tc>
          <w:tcPr>
            <w:tcW w:w="1660" w:type="dxa"/>
            <w:tcBorders>
              <w:top w:val="single" w:sz="4" w:space="0" w:color="auto"/>
              <w:left w:val="single" w:sz="4" w:space="0" w:color="FFFFFF"/>
              <w:bottom w:val="single" w:sz="4" w:space="0" w:color="auto"/>
              <w:right w:val="single" w:sz="4" w:space="0" w:color="FFFFFF"/>
            </w:tcBorders>
            <w:noWrap/>
            <w:vAlign w:val="bottom"/>
            <w:hideMark/>
          </w:tcPr>
          <w:p w14:paraId="63F1B8F7" w14:textId="77777777" w:rsidR="00F250C4" w:rsidRPr="00650DFF" w:rsidRDefault="00F250C4" w:rsidP="00F250C4">
            <w:pPr>
              <w:spacing w:after="0" w:line="276" w:lineRule="auto"/>
              <w:jc w:val="center"/>
              <w:rPr>
                <w:rFonts w:ascii="Times New Roman" w:hAnsi="Times New Roman"/>
                <w:b/>
                <w:bCs/>
                <w:color w:val="000000"/>
                <w:sz w:val="20"/>
                <w:szCs w:val="20"/>
              </w:rPr>
            </w:pPr>
            <w:r w:rsidRPr="00650DFF">
              <w:rPr>
                <w:rFonts w:ascii="Times New Roman" w:hAnsi="Times New Roman"/>
                <w:b/>
                <w:bCs/>
                <w:color w:val="000000"/>
                <w:sz w:val="20"/>
                <w:szCs w:val="20"/>
              </w:rPr>
              <w:t>Experimental</w:t>
            </w:r>
          </w:p>
        </w:tc>
        <w:tc>
          <w:tcPr>
            <w:tcW w:w="960" w:type="dxa"/>
            <w:tcBorders>
              <w:top w:val="single" w:sz="4" w:space="0" w:color="auto"/>
              <w:left w:val="nil"/>
              <w:bottom w:val="single" w:sz="4" w:space="0" w:color="auto"/>
              <w:right w:val="nil"/>
            </w:tcBorders>
            <w:noWrap/>
            <w:vAlign w:val="bottom"/>
            <w:hideMark/>
          </w:tcPr>
          <w:p w14:paraId="4B51CC0C" w14:textId="77777777" w:rsidR="00F250C4" w:rsidRPr="00650DFF" w:rsidRDefault="00F250C4" w:rsidP="00F250C4">
            <w:pPr>
              <w:spacing w:after="0" w:line="276" w:lineRule="auto"/>
              <w:jc w:val="center"/>
              <w:rPr>
                <w:rFonts w:ascii="Times New Roman" w:hAnsi="Times New Roman"/>
                <w:b/>
                <w:bCs/>
                <w:i/>
                <w:iCs/>
                <w:color w:val="000000"/>
                <w:sz w:val="20"/>
                <w:szCs w:val="20"/>
              </w:rPr>
            </w:pPr>
            <w:r w:rsidRPr="00650DFF">
              <w:rPr>
                <w:rFonts w:ascii="Times New Roman" w:hAnsi="Times New Roman"/>
                <w:b/>
                <w:bCs/>
                <w:i/>
                <w:iCs/>
                <w:color w:val="000000"/>
                <w:sz w:val="20"/>
                <w:szCs w:val="20"/>
              </w:rPr>
              <w:t>P</w:t>
            </w:r>
          </w:p>
        </w:tc>
      </w:tr>
      <w:tr w:rsidR="00F250C4" w:rsidRPr="00650DFF" w14:paraId="6F719CF1" w14:textId="77777777" w:rsidTr="00F250C4">
        <w:trPr>
          <w:trHeight w:val="300"/>
        </w:trPr>
        <w:tc>
          <w:tcPr>
            <w:tcW w:w="2250" w:type="dxa"/>
            <w:tcBorders>
              <w:top w:val="nil"/>
              <w:left w:val="nil"/>
              <w:bottom w:val="single" w:sz="4" w:space="0" w:color="auto"/>
              <w:right w:val="single" w:sz="4" w:space="0" w:color="FFFFFF"/>
            </w:tcBorders>
            <w:noWrap/>
            <w:vAlign w:val="bottom"/>
            <w:hideMark/>
          </w:tcPr>
          <w:p w14:paraId="5A32C9EB" w14:textId="77777777" w:rsidR="00F250C4" w:rsidRPr="00650DFF" w:rsidRDefault="00F250C4" w:rsidP="00F250C4">
            <w:pPr>
              <w:spacing w:after="0" w:line="276" w:lineRule="auto"/>
              <w:rPr>
                <w:rFonts w:ascii="Times New Roman" w:hAnsi="Times New Roman"/>
                <w:b/>
                <w:bCs/>
                <w:color w:val="000000"/>
                <w:sz w:val="20"/>
                <w:szCs w:val="20"/>
              </w:rPr>
            </w:pPr>
            <w:r w:rsidRPr="00650DFF">
              <w:rPr>
                <w:rFonts w:ascii="Times New Roman" w:hAnsi="Times New Roman"/>
                <w:b/>
                <w:bCs/>
                <w:color w:val="000000"/>
                <w:sz w:val="20"/>
                <w:szCs w:val="20"/>
              </w:rPr>
              <w:t xml:space="preserve">Total n </w:t>
            </w:r>
          </w:p>
        </w:tc>
        <w:tc>
          <w:tcPr>
            <w:tcW w:w="1436" w:type="dxa"/>
            <w:tcBorders>
              <w:top w:val="nil"/>
              <w:left w:val="nil"/>
              <w:bottom w:val="single" w:sz="4" w:space="0" w:color="auto"/>
              <w:right w:val="single" w:sz="4" w:space="0" w:color="FFFFFF"/>
            </w:tcBorders>
            <w:noWrap/>
            <w:vAlign w:val="bottom"/>
            <w:hideMark/>
          </w:tcPr>
          <w:p w14:paraId="69791D8D" w14:textId="77777777" w:rsidR="00F250C4" w:rsidRPr="00650DFF" w:rsidRDefault="00F250C4" w:rsidP="00F250C4">
            <w:pPr>
              <w:spacing w:after="0" w:line="276"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590" w:type="dxa"/>
            <w:tcBorders>
              <w:top w:val="nil"/>
              <w:left w:val="nil"/>
              <w:bottom w:val="single" w:sz="4" w:space="0" w:color="auto"/>
              <w:right w:val="nil"/>
            </w:tcBorders>
            <w:noWrap/>
            <w:vAlign w:val="bottom"/>
            <w:hideMark/>
          </w:tcPr>
          <w:p w14:paraId="666F9A9D"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158</w:t>
            </w:r>
          </w:p>
        </w:tc>
        <w:tc>
          <w:tcPr>
            <w:tcW w:w="1660" w:type="dxa"/>
            <w:tcBorders>
              <w:top w:val="nil"/>
              <w:left w:val="single" w:sz="4" w:space="0" w:color="FFFFFF"/>
              <w:bottom w:val="single" w:sz="4" w:space="0" w:color="auto"/>
              <w:right w:val="single" w:sz="4" w:space="0" w:color="FFFFFF"/>
            </w:tcBorders>
            <w:noWrap/>
            <w:vAlign w:val="bottom"/>
            <w:hideMark/>
          </w:tcPr>
          <w:p w14:paraId="628B648E"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79</w:t>
            </w:r>
          </w:p>
        </w:tc>
        <w:tc>
          <w:tcPr>
            <w:tcW w:w="960" w:type="dxa"/>
            <w:tcBorders>
              <w:top w:val="nil"/>
              <w:left w:val="nil"/>
              <w:bottom w:val="nil"/>
              <w:right w:val="nil"/>
            </w:tcBorders>
            <w:noWrap/>
            <w:vAlign w:val="bottom"/>
            <w:hideMark/>
          </w:tcPr>
          <w:p w14:paraId="189D8E87" w14:textId="77777777" w:rsidR="00F250C4" w:rsidRPr="00650DFF" w:rsidRDefault="00F250C4" w:rsidP="00F250C4">
            <w:pPr>
              <w:spacing w:after="0" w:line="276" w:lineRule="auto"/>
              <w:rPr>
                <w:rFonts w:ascii="Times New Roman" w:hAnsi="Times New Roman"/>
                <w:color w:val="000000"/>
                <w:sz w:val="20"/>
                <w:szCs w:val="20"/>
              </w:rPr>
            </w:pPr>
            <w:r w:rsidRPr="00650DFF">
              <w:rPr>
                <w:rFonts w:ascii="Times New Roman" w:hAnsi="Times New Roman"/>
                <w:color w:val="000000"/>
                <w:sz w:val="20"/>
                <w:szCs w:val="20"/>
              </w:rPr>
              <w:t> </w:t>
            </w:r>
          </w:p>
        </w:tc>
      </w:tr>
      <w:tr w:rsidR="00F250C4" w:rsidRPr="00650DFF" w14:paraId="5E670BCA" w14:textId="77777777" w:rsidTr="00F250C4">
        <w:trPr>
          <w:trHeight w:val="300"/>
        </w:trPr>
        <w:tc>
          <w:tcPr>
            <w:tcW w:w="2250" w:type="dxa"/>
            <w:tcBorders>
              <w:top w:val="nil"/>
              <w:left w:val="nil"/>
              <w:bottom w:val="single" w:sz="4" w:space="0" w:color="auto"/>
              <w:right w:val="single" w:sz="4" w:space="0" w:color="FFFFFF"/>
            </w:tcBorders>
            <w:noWrap/>
            <w:vAlign w:val="bottom"/>
            <w:hideMark/>
          </w:tcPr>
          <w:p w14:paraId="749EC9D3" w14:textId="77777777" w:rsidR="00F250C4" w:rsidRPr="00650DFF" w:rsidRDefault="00F250C4" w:rsidP="00471836">
            <w:pPr>
              <w:spacing w:after="0" w:line="240" w:lineRule="auto"/>
              <w:rPr>
                <w:rFonts w:ascii="Times New Roman" w:hAnsi="Times New Roman"/>
                <w:b/>
                <w:bCs/>
                <w:color w:val="000000"/>
                <w:sz w:val="20"/>
                <w:szCs w:val="20"/>
              </w:rPr>
            </w:pPr>
            <w:r w:rsidRPr="00650DFF">
              <w:rPr>
                <w:rFonts w:ascii="Times New Roman" w:hAnsi="Times New Roman"/>
                <w:b/>
                <w:bCs/>
                <w:color w:val="000000"/>
                <w:sz w:val="20"/>
                <w:szCs w:val="20"/>
              </w:rPr>
              <w:t>Age M (SD)</w:t>
            </w:r>
          </w:p>
        </w:tc>
        <w:tc>
          <w:tcPr>
            <w:tcW w:w="1436" w:type="dxa"/>
            <w:tcBorders>
              <w:top w:val="nil"/>
              <w:left w:val="nil"/>
              <w:bottom w:val="single" w:sz="4" w:space="0" w:color="auto"/>
              <w:right w:val="single" w:sz="4" w:space="0" w:color="FFFFFF"/>
            </w:tcBorders>
            <w:noWrap/>
            <w:vAlign w:val="bottom"/>
            <w:hideMark/>
          </w:tcPr>
          <w:p w14:paraId="0AB1A2A9"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590" w:type="dxa"/>
            <w:tcBorders>
              <w:top w:val="nil"/>
              <w:left w:val="nil"/>
              <w:bottom w:val="single" w:sz="4" w:space="0" w:color="auto"/>
              <w:right w:val="nil"/>
            </w:tcBorders>
            <w:noWrap/>
            <w:vAlign w:val="bottom"/>
            <w:hideMark/>
          </w:tcPr>
          <w:p w14:paraId="5BB9DC60"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14.64 (</w:t>
            </w:r>
            <w:proofErr w:type="gramStart"/>
            <w:r w:rsidRPr="00650DFF">
              <w:rPr>
                <w:rFonts w:ascii="Times New Roman" w:hAnsi="Times New Roman"/>
                <w:color w:val="000000"/>
                <w:sz w:val="20"/>
                <w:szCs w:val="20"/>
              </w:rPr>
              <w:t>1.92)a</w:t>
            </w:r>
            <w:proofErr w:type="gramEnd"/>
          </w:p>
        </w:tc>
        <w:tc>
          <w:tcPr>
            <w:tcW w:w="1660" w:type="dxa"/>
            <w:tcBorders>
              <w:top w:val="nil"/>
              <w:left w:val="single" w:sz="4" w:space="0" w:color="FFFFFF"/>
              <w:bottom w:val="single" w:sz="4" w:space="0" w:color="auto"/>
              <w:right w:val="single" w:sz="4" w:space="0" w:color="FFFFFF"/>
            </w:tcBorders>
            <w:noWrap/>
            <w:vAlign w:val="bottom"/>
            <w:hideMark/>
          </w:tcPr>
          <w:p w14:paraId="04482472"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14.15 (</w:t>
            </w:r>
            <w:proofErr w:type="gramStart"/>
            <w:r w:rsidRPr="00650DFF">
              <w:rPr>
                <w:rFonts w:ascii="Times New Roman" w:hAnsi="Times New Roman"/>
                <w:color w:val="000000"/>
                <w:sz w:val="20"/>
                <w:szCs w:val="20"/>
              </w:rPr>
              <w:t>1.80)a</w:t>
            </w:r>
            <w:proofErr w:type="gramEnd"/>
          </w:p>
        </w:tc>
        <w:tc>
          <w:tcPr>
            <w:tcW w:w="960" w:type="dxa"/>
            <w:tcBorders>
              <w:top w:val="single" w:sz="4" w:space="0" w:color="auto"/>
              <w:left w:val="nil"/>
              <w:bottom w:val="single" w:sz="4" w:space="0" w:color="auto"/>
              <w:right w:val="nil"/>
            </w:tcBorders>
            <w:noWrap/>
            <w:vAlign w:val="bottom"/>
            <w:hideMark/>
          </w:tcPr>
          <w:p w14:paraId="5EAAED86" w14:textId="77777777" w:rsidR="00F250C4" w:rsidRPr="00650DFF" w:rsidRDefault="00F250C4" w:rsidP="00471836">
            <w:pPr>
              <w:spacing w:after="0" w:line="240" w:lineRule="auto"/>
              <w:jc w:val="center"/>
              <w:rPr>
                <w:rFonts w:ascii="Times New Roman" w:hAnsi="Times New Roman"/>
                <w:color w:val="000000"/>
                <w:sz w:val="20"/>
                <w:szCs w:val="20"/>
              </w:rPr>
            </w:pPr>
            <w:r w:rsidRPr="00650DFF">
              <w:rPr>
                <w:rFonts w:ascii="Times New Roman" w:hAnsi="Times New Roman"/>
                <w:color w:val="000000"/>
                <w:sz w:val="20"/>
                <w:szCs w:val="20"/>
              </w:rPr>
              <w:t>0.062</w:t>
            </w:r>
          </w:p>
        </w:tc>
      </w:tr>
      <w:tr w:rsidR="00F250C4" w:rsidRPr="00650DFF" w14:paraId="65B69D09"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323C239E" w14:textId="77777777" w:rsidR="00F250C4" w:rsidRPr="00650DFF" w:rsidRDefault="00F250C4" w:rsidP="00471836">
            <w:pPr>
              <w:spacing w:after="0" w:line="240" w:lineRule="auto"/>
              <w:rPr>
                <w:rFonts w:ascii="Times New Roman" w:hAnsi="Times New Roman"/>
                <w:b/>
                <w:bCs/>
                <w:color w:val="000000"/>
                <w:sz w:val="20"/>
                <w:szCs w:val="20"/>
              </w:rPr>
            </w:pPr>
            <w:r w:rsidRPr="00650DFF">
              <w:rPr>
                <w:rFonts w:ascii="Times New Roman" w:hAnsi="Times New Roman"/>
                <w:b/>
                <w:bCs/>
                <w:color w:val="000000"/>
                <w:sz w:val="20"/>
                <w:szCs w:val="20"/>
              </w:rPr>
              <w:t xml:space="preserve">Sex </w:t>
            </w:r>
            <w:r w:rsidRPr="00650DFF">
              <w:rPr>
                <w:rFonts w:ascii="Times New Roman" w:hAnsi="Times New Roman"/>
                <w:color w:val="000000"/>
                <w:sz w:val="20"/>
                <w:szCs w:val="20"/>
              </w:rPr>
              <w:t>n (%)</w:t>
            </w:r>
          </w:p>
        </w:tc>
        <w:tc>
          <w:tcPr>
            <w:tcW w:w="1436" w:type="dxa"/>
            <w:tcBorders>
              <w:top w:val="nil"/>
              <w:left w:val="nil"/>
              <w:bottom w:val="single" w:sz="4" w:space="0" w:color="FFFFFF"/>
              <w:right w:val="single" w:sz="4" w:space="0" w:color="FFFFFF"/>
            </w:tcBorders>
            <w:noWrap/>
            <w:vAlign w:val="bottom"/>
            <w:hideMark/>
          </w:tcPr>
          <w:p w14:paraId="482F3911"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 xml:space="preserve">Male </w:t>
            </w:r>
          </w:p>
        </w:tc>
        <w:tc>
          <w:tcPr>
            <w:tcW w:w="1590" w:type="dxa"/>
            <w:tcBorders>
              <w:top w:val="nil"/>
              <w:left w:val="nil"/>
              <w:bottom w:val="single" w:sz="4" w:space="0" w:color="FFFFFF"/>
              <w:right w:val="nil"/>
            </w:tcBorders>
            <w:noWrap/>
            <w:vAlign w:val="bottom"/>
            <w:hideMark/>
          </w:tcPr>
          <w:p w14:paraId="56AD24C1"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86 (</w:t>
            </w:r>
            <w:proofErr w:type="gramStart"/>
            <w:r w:rsidRPr="00650DFF">
              <w:rPr>
                <w:rFonts w:ascii="Times New Roman" w:hAnsi="Times New Roman"/>
                <w:color w:val="000000"/>
                <w:sz w:val="20"/>
                <w:szCs w:val="20"/>
              </w:rPr>
              <w:t>54.4)a</w:t>
            </w:r>
            <w:proofErr w:type="gramEnd"/>
          </w:p>
        </w:tc>
        <w:tc>
          <w:tcPr>
            <w:tcW w:w="1660" w:type="dxa"/>
            <w:tcBorders>
              <w:top w:val="nil"/>
              <w:left w:val="single" w:sz="4" w:space="0" w:color="FFFFFF"/>
              <w:bottom w:val="single" w:sz="4" w:space="0" w:color="FFFFFF"/>
              <w:right w:val="single" w:sz="4" w:space="0" w:color="FFFFFF"/>
            </w:tcBorders>
            <w:noWrap/>
            <w:vAlign w:val="bottom"/>
            <w:hideMark/>
          </w:tcPr>
          <w:p w14:paraId="4B67E950"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47 (</w:t>
            </w:r>
            <w:proofErr w:type="gramStart"/>
            <w:r w:rsidRPr="00650DFF">
              <w:rPr>
                <w:rFonts w:ascii="Times New Roman" w:hAnsi="Times New Roman"/>
                <w:color w:val="000000"/>
                <w:sz w:val="20"/>
                <w:szCs w:val="20"/>
              </w:rPr>
              <w:t>59.5)a</w:t>
            </w:r>
            <w:proofErr w:type="gramEnd"/>
          </w:p>
        </w:tc>
        <w:tc>
          <w:tcPr>
            <w:tcW w:w="960" w:type="dxa"/>
            <w:vMerge w:val="restart"/>
            <w:tcBorders>
              <w:top w:val="nil"/>
              <w:left w:val="single" w:sz="4" w:space="0" w:color="FFFFFF"/>
              <w:bottom w:val="single" w:sz="4" w:space="0" w:color="000000"/>
              <w:right w:val="nil"/>
            </w:tcBorders>
            <w:noWrap/>
            <w:vAlign w:val="center"/>
            <w:hideMark/>
          </w:tcPr>
          <w:p w14:paraId="6C6E7CCC" w14:textId="77777777" w:rsidR="00F250C4" w:rsidRPr="00650DFF" w:rsidRDefault="00F250C4" w:rsidP="00471836">
            <w:pPr>
              <w:spacing w:after="0" w:line="240" w:lineRule="auto"/>
              <w:jc w:val="center"/>
              <w:rPr>
                <w:rFonts w:ascii="Times New Roman" w:hAnsi="Times New Roman"/>
                <w:color w:val="000000"/>
                <w:sz w:val="20"/>
                <w:szCs w:val="20"/>
              </w:rPr>
            </w:pPr>
            <w:r w:rsidRPr="00650DFF">
              <w:rPr>
                <w:rFonts w:ascii="Times New Roman" w:hAnsi="Times New Roman"/>
                <w:color w:val="000000"/>
                <w:sz w:val="20"/>
                <w:szCs w:val="20"/>
              </w:rPr>
              <w:t>0.459</w:t>
            </w:r>
          </w:p>
        </w:tc>
      </w:tr>
      <w:tr w:rsidR="00F250C4" w:rsidRPr="00650DFF" w14:paraId="5F45413E"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29B35716"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6020A149"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Female</w:t>
            </w:r>
          </w:p>
        </w:tc>
        <w:tc>
          <w:tcPr>
            <w:tcW w:w="1590" w:type="dxa"/>
            <w:tcBorders>
              <w:top w:val="nil"/>
              <w:left w:val="nil"/>
              <w:bottom w:val="single" w:sz="4" w:space="0" w:color="FFFFFF"/>
              <w:right w:val="nil"/>
            </w:tcBorders>
            <w:noWrap/>
            <w:vAlign w:val="bottom"/>
            <w:hideMark/>
          </w:tcPr>
          <w:p w14:paraId="5ED8537F"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72 (</w:t>
            </w:r>
            <w:proofErr w:type="gramStart"/>
            <w:r w:rsidRPr="00650DFF">
              <w:rPr>
                <w:rFonts w:ascii="Times New Roman" w:hAnsi="Times New Roman"/>
                <w:color w:val="000000"/>
                <w:sz w:val="20"/>
                <w:szCs w:val="20"/>
              </w:rPr>
              <w:t>45.6)a</w:t>
            </w:r>
            <w:proofErr w:type="gramEnd"/>
          </w:p>
        </w:tc>
        <w:tc>
          <w:tcPr>
            <w:tcW w:w="1660" w:type="dxa"/>
            <w:tcBorders>
              <w:top w:val="nil"/>
              <w:left w:val="single" w:sz="4" w:space="0" w:color="FFFFFF"/>
              <w:bottom w:val="single" w:sz="4" w:space="0" w:color="FFFFFF"/>
              <w:right w:val="single" w:sz="4" w:space="0" w:color="FFFFFF"/>
            </w:tcBorders>
            <w:noWrap/>
            <w:vAlign w:val="bottom"/>
            <w:hideMark/>
          </w:tcPr>
          <w:p w14:paraId="2C081125"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32 (</w:t>
            </w:r>
            <w:proofErr w:type="gramStart"/>
            <w:r w:rsidRPr="00650DFF">
              <w:rPr>
                <w:rFonts w:ascii="Times New Roman" w:hAnsi="Times New Roman"/>
                <w:color w:val="000000"/>
                <w:sz w:val="20"/>
                <w:szCs w:val="20"/>
              </w:rPr>
              <w:t>40.5)a</w:t>
            </w:r>
            <w:proofErr w:type="gramEnd"/>
          </w:p>
        </w:tc>
        <w:tc>
          <w:tcPr>
            <w:tcW w:w="960" w:type="dxa"/>
            <w:vMerge/>
            <w:tcBorders>
              <w:top w:val="nil"/>
              <w:left w:val="single" w:sz="4" w:space="0" w:color="FFFFFF"/>
              <w:bottom w:val="single" w:sz="4" w:space="0" w:color="000000"/>
              <w:right w:val="nil"/>
            </w:tcBorders>
            <w:vAlign w:val="center"/>
            <w:hideMark/>
          </w:tcPr>
          <w:p w14:paraId="4C868265"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2B28F15B" w14:textId="77777777" w:rsidTr="00F250C4">
        <w:trPr>
          <w:trHeight w:val="300"/>
        </w:trPr>
        <w:tc>
          <w:tcPr>
            <w:tcW w:w="2250" w:type="dxa"/>
            <w:tcBorders>
              <w:top w:val="single" w:sz="4" w:space="0" w:color="auto"/>
              <w:left w:val="nil"/>
              <w:bottom w:val="single" w:sz="4" w:space="0" w:color="FFFFFF"/>
              <w:right w:val="single" w:sz="4" w:space="0" w:color="FFFFFF"/>
            </w:tcBorders>
            <w:noWrap/>
            <w:vAlign w:val="bottom"/>
            <w:hideMark/>
          </w:tcPr>
          <w:p w14:paraId="7EE4DE95" w14:textId="77777777" w:rsidR="00F250C4" w:rsidRPr="00650DFF" w:rsidRDefault="00F250C4" w:rsidP="00471836">
            <w:pPr>
              <w:spacing w:after="0" w:line="240" w:lineRule="auto"/>
              <w:rPr>
                <w:rFonts w:ascii="Times New Roman" w:hAnsi="Times New Roman"/>
                <w:b/>
                <w:bCs/>
                <w:color w:val="000000"/>
                <w:sz w:val="20"/>
                <w:szCs w:val="20"/>
              </w:rPr>
            </w:pPr>
            <w:r w:rsidRPr="00650DFF">
              <w:rPr>
                <w:rFonts w:ascii="Times New Roman" w:hAnsi="Times New Roman"/>
                <w:b/>
                <w:bCs/>
                <w:color w:val="000000"/>
                <w:sz w:val="20"/>
                <w:szCs w:val="20"/>
              </w:rPr>
              <w:t xml:space="preserve">Race </w:t>
            </w:r>
            <w:r w:rsidRPr="00650DFF">
              <w:rPr>
                <w:rFonts w:ascii="Times New Roman" w:hAnsi="Times New Roman"/>
                <w:color w:val="000000"/>
                <w:sz w:val="20"/>
                <w:szCs w:val="20"/>
              </w:rPr>
              <w:t>n (%)</w:t>
            </w:r>
          </w:p>
        </w:tc>
        <w:tc>
          <w:tcPr>
            <w:tcW w:w="1436" w:type="dxa"/>
            <w:tcBorders>
              <w:top w:val="single" w:sz="4" w:space="0" w:color="auto"/>
              <w:left w:val="nil"/>
              <w:bottom w:val="single" w:sz="4" w:space="0" w:color="FFFFFF"/>
              <w:right w:val="single" w:sz="4" w:space="0" w:color="FFFFFF"/>
            </w:tcBorders>
            <w:noWrap/>
            <w:vAlign w:val="bottom"/>
            <w:hideMark/>
          </w:tcPr>
          <w:p w14:paraId="2D3BEC05"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 xml:space="preserve">White </w:t>
            </w:r>
          </w:p>
        </w:tc>
        <w:tc>
          <w:tcPr>
            <w:tcW w:w="1590" w:type="dxa"/>
            <w:tcBorders>
              <w:top w:val="single" w:sz="4" w:space="0" w:color="auto"/>
              <w:left w:val="nil"/>
              <w:bottom w:val="single" w:sz="4" w:space="0" w:color="FFFFFF"/>
              <w:right w:val="nil"/>
            </w:tcBorders>
            <w:noWrap/>
            <w:vAlign w:val="bottom"/>
            <w:hideMark/>
          </w:tcPr>
          <w:p w14:paraId="6EDA5940"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69 (</w:t>
            </w:r>
            <w:proofErr w:type="gramStart"/>
            <w:r w:rsidRPr="00650DFF">
              <w:rPr>
                <w:rFonts w:ascii="Times New Roman" w:hAnsi="Times New Roman"/>
                <w:color w:val="000000"/>
                <w:sz w:val="20"/>
                <w:szCs w:val="20"/>
              </w:rPr>
              <w:t>43.7)a</w:t>
            </w:r>
            <w:proofErr w:type="gramEnd"/>
          </w:p>
        </w:tc>
        <w:tc>
          <w:tcPr>
            <w:tcW w:w="1660" w:type="dxa"/>
            <w:tcBorders>
              <w:top w:val="single" w:sz="4" w:space="0" w:color="auto"/>
              <w:left w:val="single" w:sz="4" w:space="0" w:color="FFFFFF"/>
              <w:bottom w:val="single" w:sz="4" w:space="0" w:color="FFFFFF"/>
              <w:right w:val="single" w:sz="4" w:space="0" w:color="FFFFFF"/>
            </w:tcBorders>
            <w:noWrap/>
            <w:vAlign w:val="bottom"/>
            <w:hideMark/>
          </w:tcPr>
          <w:p w14:paraId="499ED97F"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47 (</w:t>
            </w:r>
            <w:proofErr w:type="gramStart"/>
            <w:r w:rsidRPr="00650DFF">
              <w:rPr>
                <w:rFonts w:ascii="Times New Roman" w:hAnsi="Times New Roman"/>
                <w:color w:val="000000"/>
                <w:sz w:val="20"/>
                <w:szCs w:val="20"/>
              </w:rPr>
              <w:t>59.5)b</w:t>
            </w:r>
            <w:proofErr w:type="gramEnd"/>
          </w:p>
        </w:tc>
        <w:tc>
          <w:tcPr>
            <w:tcW w:w="960" w:type="dxa"/>
            <w:vMerge w:val="restart"/>
            <w:tcBorders>
              <w:top w:val="nil"/>
              <w:left w:val="single" w:sz="4" w:space="0" w:color="FFFFFF"/>
              <w:bottom w:val="single" w:sz="4" w:space="0" w:color="000000"/>
              <w:right w:val="nil"/>
            </w:tcBorders>
            <w:noWrap/>
            <w:vAlign w:val="center"/>
            <w:hideMark/>
          </w:tcPr>
          <w:p w14:paraId="6E0AB0AE" w14:textId="77777777" w:rsidR="00F250C4" w:rsidRPr="00650DFF" w:rsidRDefault="00F250C4" w:rsidP="00471836">
            <w:pPr>
              <w:spacing w:after="0" w:line="240" w:lineRule="auto"/>
              <w:jc w:val="center"/>
              <w:rPr>
                <w:rFonts w:ascii="Times New Roman" w:hAnsi="Times New Roman"/>
                <w:color w:val="000000"/>
                <w:sz w:val="20"/>
                <w:szCs w:val="20"/>
              </w:rPr>
            </w:pPr>
            <w:r w:rsidRPr="00650DFF">
              <w:rPr>
                <w:rFonts w:ascii="Times New Roman" w:hAnsi="Times New Roman"/>
                <w:color w:val="000000"/>
                <w:sz w:val="20"/>
                <w:szCs w:val="20"/>
              </w:rPr>
              <w:t>0.006</w:t>
            </w:r>
          </w:p>
        </w:tc>
      </w:tr>
      <w:tr w:rsidR="00F250C4" w:rsidRPr="00650DFF" w14:paraId="25F01E30"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5CC00A7F"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4E5F8D31"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 xml:space="preserve">Black </w:t>
            </w:r>
          </w:p>
        </w:tc>
        <w:tc>
          <w:tcPr>
            <w:tcW w:w="1590" w:type="dxa"/>
            <w:tcBorders>
              <w:top w:val="nil"/>
              <w:left w:val="nil"/>
              <w:bottom w:val="single" w:sz="4" w:space="0" w:color="FFFFFF"/>
              <w:right w:val="nil"/>
            </w:tcBorders>
            <w:noWrap/>
            <w:vAlign w:val="bottom"/>
            <w:hideMark/>
          </w:tcPr>
          <w:p w14:paraId="42B86F96"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11 (</w:t>
            </w:r>
            <w:proofErr w:type="gramStart"/>
            <w:r w:rsidRPr="00650DFF">
              <w:rPr>
                <w:rFonts w:ascii="Times New Roman" w:hAnsi="Times New Roman"/>
                <w:color w:val="000000"/>
                <w:sz w:val="20"/>
                <w:szCs w:val="20"/>
              </w:rPr>
              <w:t>7.0)a</w:t>
            </w:r>
            <w:proofErr w:type="gramEnd"/>
          </w:p>
        </w:tc>
        <w:tc>
          <w:tcPr>
            <w:tcW w:w="1660" w:type="dxa"/>
            <w:tcBorders>
              <w:top w:val="nil"/>
              <w:left w:val="single" w:sz="4" w:space="0" w:color="FFFFFF"/>
              <w:bottom w:val="single" w:sz="4" w:space="0" w:color="FFFFFF"/>
              <w:right w:val="single" w:sz="4" w:space="0" w:color="FFFFFF"/>
            </w:tcBorders>
            <w:noWrap/>
            <w:vAlign w:val="bottom"/>
            <w:hideMark/>
          </w:tcPr>
          <w:p w14:paraId="389D9EB7"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10 (</w:t>
            </w:r>
            <w:proofErr w:type="gramStart"/>
            <w:r w:rsidRPr="00650DFF">
              <w:rPr>
                <w:rFonts w:ascii="Times New Roman" w:hAnsi="Times New Roman"/>
                <w:color w:val="000000"/>
                <w:sz w:val="20"/>
                <w:szCs w:val="20"/>
              </w:rPr>
              <w:t>12.7)a</w:t>
            </w:r>
            <w:proofErr w:type="gramEnd"/>
          </w:p>
        </w:tc>
        <w:tc>
          <w:tcPr>
            <w:tcW w:w="960" w:type="dxa"/>
            <w:vMerge/>
            <w:tcBorders>
              <w:top w:val="nil"/>
              <w:left w:val="single" w:sz="4" w:space="0" w:color="FFFFFF"/>
              <w:bottom w:val="single" w:sz="4" w:space="0" w:color="000000"/>
              <w:right w:val="nil"/>
            </w:tcBorders>
            <w:vAlign w:val="center"/>
            <w:hideMark/>
          </w:tcPr>
          <w:p w14:paraId="11DEA86D"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14327E22" w14:textId="77777777" w:rsidTr="00F250C4">
        <w:trPr>
          <w:trHeight w:val="300"/>
        </w:trPr>
        <w:tc>
          <w:tcPr>
            <w:tcW w:w="2250" w:type="dxa"/>
            <w:tcBorders>
              <w:top w:val="nil"/>
              <w:left w:val="nil"/>
              <w:bottom w:val="single" w:sz="4" w:space="0" w:color="auto"/>
              <w:right w:val="single" w:sz="4" w:space="0" w:color="FFFFFF"/>
            </w:tcBorders>
            <w:noWrap/>
            <w:vAlign w:val="bottom"/>
            <w:hideMark/>
          </w:tcPr>
          <w:p w14:paraId="07C2E0F2"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auto"/>
              <w:right w:val="single" w:sz="4" w:space="0" w:color="FFFFFF"/>
            </w:tcBorders>
            <w:noWrap/>
            <w:vAlign w:val="bottom"/>
            <w:hideMark/>
          </w:tcPr>
          <w:p w14:paraId="5A3C5EA8"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 xml:space="preserve">Brown </w:t>
            </w:r>
          </w:p>
        </w:tc>
        <w:tc>
          <w:tcPr>
            <w:tcW w:w="1590" w:type="dxa"/>
            <w:tcBorders>
              <w:top w:val="nil"/>
              <w:left w:val="nil"/>
              <w:bottom w:val="single" w:sz="4" w:space="0" w:color="auto"/>
              <w:right w:val="nil"/>
            </w:tcBorders>
            <w:noWrap/>
            <w:vAlign w:val="bottom"/>
            <w:hideMark/>
          </w:tcPr>
          <w:p w14:paraId="59083C74"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78 (</w:t>
            </w:r>
            <w:proofErr w:type="gramStart"/>
            <w:r w:rsidRPr="00650DFF">
              <w:rPr>
                <w:rFonts w:ascii="Times New Roman" w:hAnsi="Times New Roman"/>
                <w:color w:val="000000"/>
                <w:sz w:val="20"/>
                <w:szCs w:val="20"/>
              </w:rPr>
              <w:t>49.4)a</w:t>
            </w:r>
            <w:proofErr w:type="gramEnd"/>
          </w:p>
        </w:tc>
        <w:tc>
          <w:tcPr>
            <w:tcW w:w="1660" w:type="dxa"/>
            <w:tcBorders>
              <w:top w:val="nil"/>
              <w:left w:val="single" w:sz="4" w:space="0" w:color="FFFFFF"/>
              <w:bottom w:val="single" w:sz="4" w:space="0" w:color="auto"/>
              <w:right w:val="single" w:sz="4" w:space="0" w:color="FFFFFF"/>
            </w:tcBorders>
            <w:noWrap/>
            <w:vAlign w:val="bottom"/>
            <w:hideMark/>
          </w:tcPr>
          <w:p w14:paraId="2C041DC9"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22 (</w:t>
            </w:r>
            <w:proofErr w:type="gramStart"/>
            <w:r w:rsidRPr="00650DFF">
              <w:rPr>
                <w:rFonts w:ascii="Times New Roman" w:hAnsi="Times New Roman"/>
                <w:color w:val="000000"/>
                <w:sz w:val="20"/>
                <w:szCs w:val="20"/>
              </w:rPr>
              <w:t>27.8)b</w:t>
            </w:r>
            <w:proofErr w:type="gramEnd"/>
          </w:p>
        </w:tc>
        <w:tc>
          <w:tcPr>
            <w:tcW w:w="960" w:type="dxa"/>
            <w:vMerge/>
            <w:tcBorders>
              <w:top w:val="nil"/>
              <w:left w:val="single" w:sz="4" w:space="0" w:color="FFFFFF"/>
              <w:bottom w:val="single" w:sz="4" w:space="0" w:color="000000"/>
              <w:right w:val="nil"/>
            </w:tcBorders>
            <w:vAlign w:val="center"/>
            <w:hideMark/>
          </w:tcPr>
          <w:p w14:paraId="34F77439"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66C468DA"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701DA681" w14:textId="77777777" w:rsidR="00F250C4" w:rsidRPr="00650DFF" w:rsidRDefault="00F250C4" w:rsidP="00F250C4">
            <w:pPr>
              <w:spacing w:after="0" w:line="276" w:lineRule="auto"/>
              <w:rPr>
                <w:rFonts w:ascii="Times New Roman" w:hAnsi="Times New Roman"/>
                <w:b/>
                <w:bCs/>
                <w:color w:val="000000"/>
                <w:sz w:val="20"/>
                <w:szCs w:val="20"/>
              </w:rPr>
            </w:pPr>
            <w:r w:rsidRPr="00650DFF">
              <w:rPr>
                <w:rFonts w:ascii="Times New Roman" w:hAnsi="Times New Roman"/>
                <w:b/>
                <w:bCs/>
                <w:color w:val="000000"/>
                <w:sz w:val="20"/>
                <w:szCs w:val="20"/>
              </w:rPr>
              <w:t>School</w:t>
            </w:r>
            <w:r w:rsidRPr="00650DFF">
              <w:rPr>
                <w:rFonts w:ascii="Times New Roman" w:hAnsi="Times New Roman"/>
                <w:color w:val="000000"/>
                <w:sz w:val="20"/>
                <w:szCs w:val="20"/>
              </w:rPr>
              <w:t xml:space="preserve"> n (%)</w:t>
            </w:r>
          </w:p>
        </w:tc>
        <w:tc>
          <w:tcPr>
            <w:tcW w:w="1436" w:type="dxa"/>
            <w:tcBorders>
              <w:top w:val="nil"/>
              <w:left w:val="nil"/>
              <w:bottom w:val="single" w:sz="4" w:space="0" w:color="FFFFFF"/>
              <w:right w:val="single" w:sz="4" w:space="0" w:color="FFFFFF"/>
            </w:tcBorders>
            <w:noWrap/>
            <w:vAlign w:val="bottom"/>
            <w:hideMark/>
          </w:tcPr>
          <w:p w14:paraId="3C899FFE"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 xml:space="preserve">State School </w:t>
            </w:r>
          </w:p>
        </w:tc>
        <w:tc>
          <w:tcPr>
            <w:tcW w:w="1590" w:type="dxa"/>
            <w:tcBorders>
              <w:top w:val="nil"/>
              <w:left w:val="nil"/>
              <w:bottom w:val="single" w:sz="4" w:space="0" w:color="FFFFFF"/>
              <w:right w:val="nil"/>
            </w:tcBorders>
            <w:noWrap/>
            <w:vAlign w:val="bottom"/>
            <w:hideMark/>
          </w:tcPr>
          <w:p w14:paraId="06CBBA4E"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136 (</w:t>
            </w:r>
            <w:proofErr w:type="gramStart"/>
            <w:r w:rsidRPr="00650DFF">
              <w:rPr>
                <w:rFonts w:ascii="Times New Roman" w:hAnsi="Times New Roman"/>
                <w:color w:val="000000"/>
                <w:sz w:val="20"/>
                <w:szCs w:val="20"/>
              </w:rPr>
              <w:t>86.1)a</w:t>
            </w:r>
            <w:proofErr w:type="gramEnd"/>
          </w:p>
        </w:tc>
        <w:tc>
          <w:tcPr>
            <w:tcW w:w="1660" w:type="dxa"/>
            <w:tcBorders>
              <w:top w:val="nil"/>
              <w:left w:val="single" w:sz="4" w:space="0" w:color="FFFFFF"/>
              <w:bottom w:val="single" w:sz="4" w:space="0" w:color="FFFFFF"/>
              <w:right w:val="single" w:sz="4" w:space="0" w:color="FFFFFF"/>
            </w:tcBorders>
            <w:noWrap/>
            <w:vAlign w:val="bottom"/>
            <w:hideMark/>
          </w:tcPr>
          <w:p w14:paraId="50B6EC72"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72 (</w:t>
            </w:r>
            <w:proofErr w:type="gramStart"/>
            <w:r w:rsidRPr="00650DFF">
              <w:rPr>
                <w:rFonts w:ascii="Times New Roman" w:hAnsi="Times New Roman"/>
                <w:color w:val="000000"/>
                <w:sz w:val="20"/>
                <w:szCs w:val="20"/>
              </w:rPr>
              <w:t>91.1)a</w:t>
            </w:r>
            <w:proofErr w:type="gramEnd"/>
          </w:p>
        </w:tc>
        <w:tc>
          <w:tcPr>
            <w:tcW w:w="960" w:type="dxa"/>
            <w:vMerge w:val="restart"/>
            <w:tcBorders>
              <w:top w:val="nil"/>
              <w:left w:val="single" w:sz="4" w:space="0" w:color="FFFFFF"/>
              <w:bottom w:val="single" w:sz="4" w:space="0" w:color="000000"/>
              <w:right w:val="nil"/>
            </w:tcBorders>
            <w:noWrap/>
            <w:vAlign w:val="center"/>
            <w:hideMark/>
          </w:tcPr>
          <w:p w14:paraId="1499AE67" w14:textId="77777777" w:rsidR="00F250C4" w:rsidRPr="00650DFF" w:rsidRDefault="00F250C4" w:rsidP="00F250C4">
            <w:pPr>
              <w:spacing w:after="0" w:line="276" w:lineRule="auto"/>
              <w:jc w:val="center"/>
              <w:rPr>
                <w:rFonts w:ascii="Times New Roman" w:hAnsi="Times New Roman"/>
                <w:color w:val="000000"/>
                <w:sz w:val="20"/>
                <w:szCs w:val="20"/>
              </w:rPr>
            </w:pPr>
            <w:r w:rsidRPr="00650DFF">
              <w:rPr>
                <w:rFonts w:ascii="Times New Roman" w:hAnsi="Times New Roman"/>
                <w:color w:val="000000"/>
                <w:sz w:val="20"/>
                <w:szCs w:val="20"/>
              </w:rPr>
              <w:t>0.262</w:t>
            </w:r>
          </w:p>
        </w:tc>
      </w:tr>
      <w:tr w:rsidR="00F250C4" w:rsidRPr="00650DFF" w14:paraId="5076A782" w14:textId="77777777" w:rsidTr="00F250C4">
        <w:trPr>
          <w:trHeight w:val="300"/>
        </w:trPr>
        <w:tc>
          <w:tcPr>
            <w:tcW w:w="2250" w:type="dxa"/>
            <w:tcBorders>
              <w:top w:val="nil"/>
              <w:left w:val="nil"/>
              <w:bottom w:val="single" w:sz="4" w:space="0" w:color="auto"/>
              <w:right w:val="single" w:sz="4" w:space="0" w:color="FFFFFF"/>
            </w:tcBorders>
            <w:noWrap/>
            <w:vAlign w:val="bottom"/>
            <w:hideMark/>
          </w:tcPr>
          <w:p w14:paraId="17F75F52" w14:textId="77777777" w:rsidR="00F250C4" w:rsidRPr="00650DFF" w:rsidRDefault="00F250C4" w:rsidP="00F250C4">
            <w:pPr>
              <w:spacing w:after="0" w:line="276"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auto"/>
              <w:right w:val="single" w:sz="4" w:space="0" w:color="FFFFFF"/>
            </w:tcBorders>
            <w:noWrap/>
            <w:vAlign w:val="bottom"/>
            <w:hideMark/>
          </w:tcPr>
          <w:p w14:paraId="08108464"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Private School</w:t>
            </w:r>
          </w:p>
        </w:tc>
        <w:tc>
          <w:tcPr>
            <w:tcW w:w="1590" w:type="dxa"/>
            <w:tcBorders>
              <w:top w:val="nil"/>
              <w:left w:val="nil"/>
              <w:bottom w:val="single" w:sz="4" w:space="0" w:color="auto"/>
              <w:right w:val="nil"/>
            </w:tcBorders>
            <w:noWrap/>
            <w:vAlign w:val="bottom"/>
            <w:hideMark/>
          </w:tcPr>
          <w:p w14:paraId="7CB39B42"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22 (</w:t>
            </w:r>
            <w:proofErr w:type="gramStart"/>
            <w:r w:rsidRPr="00650DFF">
              <w:rPr>
                <w:rFonts w:ascii="Times New Roman" w:hAnsi="Times New Roman"/>
                <w:color w:val="000000"/>
                <w:sz w:val="20"/>
                <w:szCs w:val="20"/>
              </w:rPr>
              <w:t>13.9)a</w:t>
            </w:r>
            <w:proofErr w:type="gramEnd"/>
          </w:p>
        </w:tc>
        <w:tc>
          <w:tcPr>
            <w:tcW w:w="1660" w:type="dxa"/>
            <w:tcBorders>
              <w:top w:val="nil"/>
              <w:left w:val="single" w:sz="4" w:space="0" w:color="FFFFFF"/>
              <w:bottom w:val="single" w:sz="4" w:space="0" w:color="auto"/>
              <w:right w:val="single" w:sz="4" w:space="0" w:color="FFFFFF"/>
            </w:tcBorders>
            <w:noWrap/>
            <w:vAlign w:val="bottom"/>
            <w:hideMark/>
          </w:tcPr>
          <w:p w14:paraId="11583641"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7 (</w:t>
            </w:r>
            <w:proofErr w:type="gramStart"/>
            <w:r w:rsidRPr="00650DFF">
              <w:rPr>
                <w:rFonts w:ascii="Times New Roman" w:hAnsi="Times New Roman"/>
                <w:color w:val="000000"/>
                <w:sz w:val="20"/>
                <w:szCs w:val="20"/>
              </w:rPr>
              <w:t>8.9)a</w:t>
            </w:r>
            <w:proofErr w:type="gramEnd"/>
          </w:p>
        </w:tc>
        <w:tc>
          <w:tcPr>
            <w:tcW w:w="960" w:type="dxa"/>
            <w:vMerge/>
            <w:tcBorders>
              <w:top w:val="nil"/>
              <w:left w:val="single" w:sz="4" w:space="0" w:color="FFFFFF"/>
              <w:bottom w:val="single" w:sz="4" w:space="0" w:color="000000"/>
              <w:right w:val="nil"/>
            </w:tcBorders>
            <w:vAlign w:val="center"/>
            <w:hideMark/>
          </w:tcPr>
          <w:p w14:paraId="00261816" w14:textId="77777777" w:rsidR="00F250C4" w:rsidRPr="00650DFF" w:rsidRDefault="00F250C4" w:rsidP="00F250C4">
            <w:pPr>
              <w:spacing w:after="0" w:line="276" w:lineRule="auto"/>
              <w:rPr>
                <w:rFonts w:ascii="Times New Roman" w:hAnsi="Times New Roman"/>
                <w:color w:val="000000"/>
                <w:sz w:val="20"/>
                <w:szCs w:val="20"/>
              </w:rPr>
            </w:pPr>
          </w:p>
        </w:tc>
      </w:tr>
      <w:tr w:rsidR="00F250C4" w:rsidRPr="00650DFF" w14:paraId="7E3218E9"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730503D0" w14:textId="77777777" w:rsidR="00F250C4" w:rsidRPr="00650DFF" w:rsidRDefault="00F250C4" w:rsidP="00471836">
            <w:pPr>
              <w:spacing w:after="0" w:line="240" w:lineRule="auto"/>
              <w:rPr>
                <w:rFonts w:ascii="Times New Roman" w:hAnsi="Times New Roman"/>
                <w:b/>
                <w:bCs/>
                <w:color w:val="000000"/>
                <w:sz w:val="20"/>
                <w:szCs w:val="20"/>
              </w:rPr>
            </w:pPr>
            <w:r w:rsidRPr="00650DFF">
              <w:rPr>
                <w:rFonts w:ascii="Times New Roman" w:hAnsi="Times New Roman"/>
                <w:b/>
                <w:bCs/>
                <w:color w:val="000000"/>
                <w:sz w:val="20"/>
                <w:szCs w:val="20"/>
              </w:rPr>
              <w:t xml:space="preserve">Grade </w:t>
            </w:r>
            <w:r w:rsidRPr="00650DFF">
              <w:rPr>
                <w:rFonts w:ascii="Times New Roman" w:hAnsi="Times New Roman"/>
                <w:color w:val="000000"/>
                <w:sz w:val="20"/>
                <w:szCs w:val="20"/>
              </w:rPr>
              <w:t>n (%)</w:t>
            </w:r>
          </w:p>
        </w:tc>
        <w:tc>
          <w:tcPr>
            <w:tcW w:w="1436" w:type="dxa"/>
            <w:tcBorders>
              <w:top w:val="nil"/>
              <w:left w:val="nil"/>
              <w:bottom w:val="single" w:sz="4" w:space="0" w:color="FFFFFF"/>
              <w:right w:val="single" w:sz="4" w:space="0" w:color="FFFFFF"/>
            </w:tcBorders>
            <w:noWrap/>
            <w:vAlign w:val="bottom"/>
            <w:hideMark/>
          </w:tcPr>
          <w:p w14:paraId="227025C5"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6</w:t>
            </w:r>
            <w:r w:rsidRPr="00650DFF">
              <w:rPr>
                <w:rFonts w:ascii="Times New Roman" w:hAnsi="Times New Roman"/>
                <w:color w:val="000000"/>
                <w:sz w:val="20"/>
                <w:szCs w:val="20"/>
                <w:vertAlign w:val="superscript"/>
              </w:rPr>
              <w:t>th</w:t>
            </w:r>
            <w:r w:rsidRPr="00650DFF">
              <w:rPr>
                <w:rFonts w:ascii="Times New Roman" w:hAnsi="Times New Roman"/>
                <w:color w:val="000000"/>
                <w:sz w:val="20"/>
                <w:szCs w:val="20"/>
              </w:rPr>
              <w:t xml:space="preserve"> Grade </w:t>
            </w:r>
          </w:p>
        </w:tc>
        <w:tc>
          <w:tcPr>
            <w:tcW w:w="1590" w:type="dxa"/>
            <w:tcBorders>
              <w:top w:val="nil"/>
              <w:left w:val="nil"/>
              <w:bottom w:val="single" w:sz="4" w:space="0" w:color="FFFFFF"/>
              <w:right w:val="nil"/>
            </w:tcBorders>
            <w:noWrap/>
            <w:vAlign w:val="bottom"/>
            <w:hideMark/>
          </w:tcPr>
          <w:p w14:paraId="4365BCED"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 (</w:t>
            </w:r>
            <w:proofErr w:type="gramStart"/>
            <w:r w:rsidRPr="00650DFF">
              <w:rPr>
                <w:rFonts w:ascii="Times New Roman" w:hAnsi="Times New Roman"/>
                <w:color w:val="000000"/>
                <w:sz w:val="20"/>
                <w:szCs w:val="20"/>
              </w:rPr>
              <w:t>0.6)a</w:t>
            </w:r>
            <w:proofErr w:type="gramEnd"/>
          </w:p>
        </w:tc>
        <w:tc>
          <w:tcPr>
            <w:tcW w:w="1660" w:type="dxa"/>
            <w:tcBorders>
              <w:top w:val="nil"/>
              <w:left w:val="single" w:sz="4" w:space="0" w:color="FFFFFF"/>
              <w:bottom w:val="single" w:sz="4" w:space="0" w:color="FFFFFF"/>
              <w:right w:val="single" w:sz="4" w:space="0" w:color="FFFFFF"/>
            </w:tcBorders>
            <w:noWrap/>
            <w:vAlign w:val="bottom"/>
            <w:hideMark/>
          </w:tcPr>
          <w:p w14:paraId="310D9914"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7 (</w:t>
            </w:r>
            <w:proofErr w:type="gramStart"/>
            <w:r w:rsidRPr="00650DFF">
              <w:rPr>
                <w:rFonts w:ascii="Times New Roman" w:hAnsi="Times New Roman"/>
                <w:color w:val="000000"/>
                <w:sz w:val="20"/>
                <w:szCs w:val="20"/>
              </w:rPr>
              <w:t>8.9)b</w:t>
            </w:r>
            <w:proofErr w:type="gramEnd"/>
          </w:p>
        </w:tc>
        <w:tc>
          <w:tcPr>
            <w:tcW w:w="960" w:type="dxa"/>
            <w:vMerge w:val="restart"/>
            <w:tcBorders>
              <w:top w:val="nil"/>
              <w:left w:val="single" w:sz="4" w:space="0" w:color="FFFFFF"/>
              <w:bottom w:val="nil"/>
              <w:right w:val="nil"/>
            </w:tcBorders>
            <w:noWrap/>
            <w:vAlign w:val="center"/>
            <w:hideMark/>
          </w:tcPr>
          <w:p w14:paraId="71B66AF4" w14:textId="77777777" w:rsidR="00F250C4" w:rsidRPr="00650DFF" w:rsidRDefault="00F250C4" w:rsidP="00471836">
            <w:pPr>
              <w:spacing w:after="0" w:line="240" w:lineRule="auto"/>
              <w:jc w:val="center"/>
              <w:rPr>
                <w:rFonts w:ascii="Times New Roman" w:hAnsi="Times New Roman"/>
                <w:color w:val="000000"/>
                <w:sz w:val="20"/>
                <w:szCs w:val="20"/>
              </w:rPr>
            </w:pPr>
            <w:r w:rsidRPr="00650DFF">
              <w:rPr>
                <w:rFonts w:ascii="Times New Roman" w:hAnsi="Times New Roman"/>
                <w:color w:val="000000"/>
                <w:sz w:val="20"/>
                <w:szCs w:val="20"/>
              </w:rPr>
              <w:t>0.005</w:t>
            </w:r>
          </w:p>
        </w:tc>
      </w:tr>
      <w:tr w:rsidR="00F250C4" w:rsidRPr="00650DFF" w14:paraId="10700339"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62F28FAA"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0E7E51B1"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7</w:t>
            </w:r>
            <w:r w:rsidRPr="00650DFF">
              <w:rPr>
                <w:rFonts w:ascii="Times New Roman" w:hAnsi="Times New Roman"/>
                <w:color w:val="000000"/>
                <w:sz w:val="20"/>
                <w:szCs w:val="20"/>
                <w:vertAlign w:val="superscript"/>
              </w:rPr>
              <w:t>th</w:t>
            </w:r>
            <w:r w:rsidRPr="00650DFF">
              <w:rPr>
                <w:rFonts w:ascii="Times New Roman" w:hAnsi="Times New Roman"/>
                <w:color w:val="000000"/>
                <w:sz w:val="20"/>
                <w:szCs w:val="20"/>
              </w:rPr>
              <w:t xml:space="preserve"> Grade </w:t>
            </w:r>
          </w:p>
        </w:tc>
        <w:tc>
          <w:tcPr>
            <w:tcW w:w="1590" w:type="dxa"/>
            <w:tcBorders>
              <w:top w:val="nil"/>
              <w:left w:val="nil"/>
              <w:bottom w:val="single" w:sz="4" w:space="0" w:color="FFFFFF"/>
              <w:right w:val="nil"/>
            </w:tcBorders>
            <w:noWrap/>
            <w:vAlign w:val="bottom"/>
            <w:hideMark/>
          </w:tcPr>
          <w:p w14:paraId="1F109A1E"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17 (</w:t>
            </w:r>
            <w:proofErr w:type="gramStart"/>
            <w:r w:rsidRPr="00650DFF">
              <w:rPr>
                <w:rFonts w:ascii="Times New Roman" w:hAnsi="Times New Roman"/>
                <w:color w:val="000000"/>
                <w:sz w:val="20"/>
                <w:szCs w:val="20"/>
              </w:rPr>
              <w:t>10.8)a</w:t>
            </w:r>
            <w:proofErr w:type="gramEnd"/>
          </w:p>
        </w:tc>
        <w:tc>
          <w:tcPr>
            <w:tcW w:w="1660" w:type="dxa"/>
            <w:tcBorders>
              <w:top w:val="nil"/>
              <w:left w:val="single" w:sz="4" w:space="0" w:color="FFFFFF"/>
              <w:bottom w:val="single" w:sz="4" w:space="0" w:color="FFFFFF"/>
              <w:right w:val="single" w:sz="4" w:space="0" w:color="FFFFFF"/>
            </w:tcBorders>
            <w:noWrap/>
            <w:vAlign w:val="bottom"/>
            <w:hideMark/>
          </w:tcPr>
          <w:p w14:paraId="5AF527D2"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10 (</w:t>
            </w:r>
            <w:proofErr w:type="gramStart"/>
            <w:r w:rsidRPr="00650DFF">
              <w:rPr>
                <w:rFonts w:ascii="Times New Roman" w:hAnsi="Times New Roman"/>
                <w:color w:val="000000"/>
                <w:sz w:val="20"/>
                <w:szCs w:val="20"/>
              </w:rPr>
              <w:t>12.7)a</w:t>
            </w:r>
            <w:proofErr w:type="gramEnd"/>
          </w:p>
        </w:tc>
        <w:tc>
          <w:tcPr>
            <w:tcW w:w="960" w:type="dxa"/>
            <w:vMerge/>
            <w:tcBorders>
              <w:top w:val="nil"/>
              <w:left w:val="single" w:sz="4" w:space="0" w:color="FFFFFF"/>
              <w:bottom w:val="nil"/>
              <w:right w:val="nil"/>
            </w:tcBorders>
            <w:vAlign w:val="center"/>
            <w:hideMark/>
          </w:tcPr>
          <w:p w14:paraId="0A05829A"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1EF8EF80"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34385ACE"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7100540B"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8</w:t>
            </w:r>
            <w:r w:rsidRPr="00650DFF">
              <w:rPr>
                <w:rFonts w:ascii="Times New Roman" w:hAnsi="Times New Roman"/>
                <w:color w:val="000000"/>
                <w:sz w:val="20"/>
                <w:szCs w:val="20"/>
                <w:vertAlign w:val="superscript"/>
              </w:rPr>
              <w:t>th</w:t>
            </w:r>
            <w:r w:rsidRPr="00650DFF">
              <w:rPr>
                <w:rFonts w:ascii="Times New Roman" w:hAnsi="Times New Roman"/>
                <w:color w:val="000000"/>
                <w:sz w:val="20"/>
                <w:szCs w:val="20"/>
              </w:rPr>
              <w:t xml:space="preserve"> Grade </w:t>
            </w:r>
          </w:p>
        </w:tc>
        <w:tc>
          <w:tcPr>
            <w:tcW w:w="1590" w:type="dxa"/>
            <w:tcBorders>
              <w:top w:val="nil"/>
              <w:left w:val="nil"/>
              <w:bottom w:val="single" w:sz="4" w:space="0" w:color="FFFFFF"/>
              <w:right w:val="nil"/>
            </w:tcBorders>
            <w:noWrap/>
            <w:vAlign w:val="bottom"/>
            <w:hideMark/>
          </w:tcPr>
          <w:p w14:paraId="34A52794"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28 (</w:t>
            </w:r>
            <w:proofErr w:type="gramStart"/>
            <w:r w:rsidRPr="00650DFF">
              <w:rPr>
                <w:rFonts w:ascii="Times New Roman" w:hAnsi="Times New Roman"/>
                <w:color w:val="000000"/>
                <w:sz w:val="20"/>
                <w:szCs w:val="20"/>
              </w:rPr>
              <w:t>17.7)a</w:t>
            </w:r>
            <w:proofErr w:type="gramEnd"/>
          </w:p>
        </w:tc>
        <w:tc>
          <w:tcPr>
            <w:tcW w:w="1660" w:type="dxa"/>
            <w:tcBorders>
              <w:top w:val="nil"/>
              <w:left w:val="single" w:sz="4" w:space="0" w:color="FFFFFF"/>
              <w:bottom w:val="single" w:sz="4" w:space="0" w:color="FFFFFF"/>
              <w:right w:val="single" w:sz="4" w:space="0" w:color="FFFFFF"/>
            </w:tcBorders>
            <w:noWrap/>
            <w:vAlign w:val="bottom"/>
            <w:hideMark/>
          </w:tcPr>
          <w:p w14:paraId="3EEC1CBA"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19 (</w:t>
            </w:r>
            <w:proofErr w:type="gramStart"/>
            <w:r w:rsidRPr="00650DFF">
              <w:rPr>
                <w:rFonts w:ascii="Times New Roman" w:hAnsi="Times New Roman"/>
                <w:color w:val="000000"/>
                <w:sz w:val="20"/>
                <w:szCs w:val="20"/>
              </w:rPr>
              <w:t>24.1)a</w:t>
            </w:r>
            <w:proofErr w:type="gramEnd"/>
          </w:p>
        </w:tc>
        <w:tc>
          <w:tcPr>
            <w:tcW w:w="960" w:type="dxa"/>
            <w:vMerge/>
            <w:tcBorders>
              <w:top w:val="nil"/>
              <w:left w:val="single" w:sz="4" w:space="0" w:color="FFFFFF"/>
              <w:bottom w:val="nil"/>
              <w:right w:val="nil"/>
            </w:tcBorders>
            <w:vAlign w:val="center"/>
            <w:hideMark/>
          </w:tcPr>
          <w:p w14:paraId="0316DBBF"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51188938"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4F08D56C"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20F06B80"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9</w:t>
            </w:r>
            <w:r w:rsidRPr="00650DFF">
              <w:rPr>
                <w:rFonts w:ascii="Times New Roman" w:hAnsi="Times New Roman"/>
                <w:color w:val="000000"/>
                <w:sz w:val="20"/>
                <w:szCs w:val="20"/>
                <w:vertAlign w:val="superscript"/>
              </w:rPr>
              <w:t>th</w:t>
            </w:r>
            <w:r w:rsidRPr="00650DFF">
              <w:rPr>
                <w:rFonts w:ascii="Times New Roman" w:hAnsi="Times New Roman"/>
                <w:color w:val="000000"/>
                <w:sz w:val="20"/>
                <w:szCs w:val="20"/>
              </w:rPr>
              <w:t xml:space="preserve"> Grade </w:t>
            </w:r>
          </w:p>
        </w:tc>
        <w:tc>
          <w:tcPr>
            <w:tcW w:w="1590" w:type="dxa"/>
            <w:tcBorders>
              <w:top w:val="nil"/>
              <w:left w:val="nil"/>
              <w:bottom w:val="single" w:sz="4" w:space="0" w:color="FFFFFF"/>
              <w:right w:val="nil"/>
            </w:tcBorders>
            <w:noWrap/>
            <w:vAlign w:val="bottom"/>
            <w:hideMark/>
          </w:tcPr>
          <w:p w14:paraId="4258CA1E"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16 (</w:t>
            </w:r>
            <w:proofErr w:type="gramStart"/>
            <w:r w:rsidRPr="00650DFF">
              <w:rPr>
                <w:rFonts w:ascii="Times New Roman" w:hAnsi="Times New Roman"/>
                <w:color w:val="000000"/>
                <w:sz w:val="20"/>
                <w:szCs w:val="20"/>
              </w:rPr>
              <w:t>10.1)a</w:t>
            </w:r>
            <w:proofErr w:type="gramEnd"/>
          </w:p>
        </w:tc>
        <w:tc>
          <w:tcPr>
            <w:tcW w:w="1660" w:type="dxa"/>
            <w:tcBorders>
              <w:top w:val="nil"/>
              <w:left w:val="single" w:sz="4" w:space="0" w:color="FFFFFF"/>
              <w:bottom w:val="single" w:sz="4" w:space="0" w:color="FFFFFF"/>
              <w:right w:val="single" w:sz="4" w:space="0" w:color="FFFFFF"/>
            </w:tcBorders>
            <w:noWrap/>
            <w:vAlign w:val="bottom"/>
            <w:hideMark/>
          </w:tcPr>
          <w:p w14:paraId="634EB8B6"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13 (</w:t>
            </w:r>
            <w:proofErr w:type="gramStart"/>
            <w:r w:rsidRPr="00650DFF">
              <w:rPr>
                <w:rFonts w:ascii="Times New Roman" w:hAnsi="Times New Roman"/>
                <w:color w:val="000000"/>
                <w:sz w:val="20"/>
                <w:szCs w:val="20"/>
              </w:rPr>
              <w:t>16.5)a</w:t>
            </w:r>
            <w:proofErr w:type="gramEnd"/>
          </w:p>
        </w:tc>
        <w:tc>
          <w:tcPr>
            <w:tcW w:w="960" w:type="dxa"/>
            <w:vMerge/>
            <w:tcBorders>
              <w:top w:val="nil"/>
              <w:left w:val="single" w:sz="4" w:space="0" w:color="FFFFFF"/>
              <w:bottom w:val="nil"/>
              <w:right w:val="nil"/>
            </w:tcBorders>
            <w:vAlign w:val="center"/>
            <w:hideMark/>
          </w:tcPr>
          <w:p w14:paraId="5E1119D3"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0D0670D3"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355513D1"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1BE6170A"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w:t>
            </w:r>
            <w:r w:rsidRPr="00650DFF">
              <w:rPr>
                <w:rFonts w:ascii="Times New Roman" w:hAnsi="Times New Roman"/>
                <w:color w:val="000000"/>
                <w:sz w:val="20"/>
                <w:szCs w:val="20"/>
                <w:vertAlign w:val="superscript"/>
              </w:rPr>
              <w:t>st</w:t>
            </w:r>
            <w:r w:rsidRPr="00650DFF">
              <w:rPr>
                <w:rFonts w:ascii="Times New Roman" w:hAnsi="Times New Roman"/>
                <w:color w:val="000000"/>
                <w:sz w:val="20"/>
                <w:szCs w:val="20"/>
              </w:rPr>
              <w:t xml:space="preserve"> Grade</w:t>
            </w:r>
          </w:p>
        </w:tc>
        <w:tc>
          <w:tcPr>
            <w:tcW w:w="1590" w:type="dxa"/>
            <w:tcBorders>
              <w:top w:val="nil"/>
              <w:left w:val="nil"/>
              <w:bottom w:val="single" w:sz="4" w:space="0" w:color="FFFFFF"/>
              <w:right w:val="nil"/>
            </w:tcBorders>
            <w:noWrap/>
            <w:vAlign w:val="bottom"/>
            <w:hideMark/>
          </w:tcPr>
          <w:p w14:paraId="650E9380"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24 (</w:t>
            </w:r>
            <w:proofErr w:type="gramStart"/>
            <w:r w:rsidRPr="00650DFF">
              <w:rPr>
                <w:rFonts w:ascii="Times New Roman" w:hAnsi="Times New Roman"/>
                <w:color w:val="000000"/>
                <w:sz w:val="20"/>
                <w:szCs w:val="20"/>
              </w:rPr>
              <w:t>15.2)a</w:t>
            </w:r>
            <w:proofErr w:type="gramEnd"/>
          </w:p>
        </w:tc>
        <w:tc>
          <w:tcPr>
            <w:tcW w:w="1660" w:type="dxa"/>
            <w:tcBorders>
              <w:top w:val="nil"/>
              <w:left w:val="single" w:sz="4" w:space="0" w:color="FFFFFF"/>
              <w:bottom w:val="single" w:sz="4" w:space="0" w:color="FFFFFF"/>
              <w:right w:val="single" w:sz="4" w:space="0" w:color="FFFFFF"/>
            </w:tcBorders>
            <w:noWrap/>
            <w:vAlign w:val="bottom"/>
            <w:hideMark/>
          </w:tcPr>
          <w:p w14:paraId="7B3D9087"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7 (</w:t>
            </w:r>
            <w:proofErr w:type="gramStart"/>
            <w:r w:rsidRPr="00650DFF">
              <w:rPr>
                <w:rFonts w:ascii="Times New Roman" w:hAnsi="Times New Roman"/>
                <w:color w:val="000000"/>
                <w:sz w:val="20"/>
                <w:szCs w:val="20"/>
              </w:rPr>
              <w:t>8.9)a</w:t>
            </w:r>
            <w:proofErr w:type="gramEnd"/>
          </w:p>
        </w:tc>
        <w:tc>
          <w:tcPr>
            <w:tcW w:w="960" w:type="dxa"/>
            <w:vMerge/>
            <w:tcBorders>
              <w:top w:val="nil"/>
              <w:left w:val="single" w:sz="4" w:space="0" w:color="FFFFFF"/>
              <w:bottom w:val="nil"/>
              <w:right w:val="nil"/>
            </w:tcBorders>
            <w:vAlign w:val="center"/>
            <w:hideMark/>
          </w:tcPr>
          <w:p w14:paraId="03DE94FD"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27B49ABC"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4B2309FF"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1A435015"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2</w:t>
            </w:r>
            <w:r w:rsidRPr="00650DFF">
              <w:rPr>
                <w:rFonts w:ascii="Times New Roman" w:hAnsi="Times New Roman"/>
                <w:color w:val="000000"/>
                <w:sz w:val="20"/>
                <w:szCs w:val="20"/>
                <w:vertAlign w:val="superscript"/>
              </w:rPr>
              <w:t>nd</w:t>
            </w:r>
            <w:r w:rsidRPr="00650DFF">
              <w:rPr>
                <w:rFonts w:ascii="Times New Roman" w:hAnsi="Times New Roman"/>
                <w:color w:val="000000"/>
                <w:sz w:val="20"/>
                <w:szCs w:val="20"/>
              </w:rPr>
              <w:t xml:space="preserve"> Grade</w:t>
            </w:r>
          </w:p>
        </w:tc>
        <w:tc>
          <w:tcPr>
            <w:tcW w:w="1590" w:type="dxa"/>
            <w:tcBorders>
              <w:top w:val="nil"/>
              <w:left w:val="nil"/>
              <w:bottom w:val="single" w:sz="4" w:space="0" w:color="FFFFFF"/>
              <w:right w:val="nil"/>
            </w:tcBorders>
            <w:noWrap/>
            <w:vAlign w:val="bottom"/>
            <w:hideMark/>
          </w:tcPr>
          <w:p w14:paraId="2364044E"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21 (</w:t>
            </w:r>
            <w:proofErr w:type="gramStart"/>
            <w:r w:rsidRPr="00650DFF">
              <w:rPr>
                <w:rFonts w:ascii="Times New Roman" w:hAnsi="Times New Roman"/>
                <w:color w:val="000000"/>
                <w:sz w:val="20"/>
                <w:szCs w:val="20"/>
              </w:rPr>
              <w:t>13.3)a</w:t>
            </w:r>
            <w:proofErr w:type="gramEnd"/>
          </w:p>
        </w:tc>
        <w:tc>
          <w:tcPr>
            <w:tcW w:w="1660" w:type="dxa"/>
            <w:tcBorders>
              <w:top w:val="nil"/>
              <w:left w:val="single" w:sz="4" w:space="0" w:color="FFFFFF"/>
              <w:bottom w:val="single" w:sz="4" w:space="0" w:color="FFFFFF"/>
              <w:right w:val="single" w:sz="4" w:space="0" w:color="FFFFFF"/>
            </w:tcBorders>
            <w:noWrap/>
            <w:vAlign w:val="bottom"/>
            <w:hideMark/>
          </w:tcPr>
          <w:p w14:paraId="4F05F389"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7 (</w:t>
            </w:r>
            <w:proofErr w:type="gramStart"/>
            <w:r w:rsidRPr="00650DFF">
              <w:rPr>
                <w:rFonts w:ascii="Times New Roman" w:hAnsi="Times New Roman"/>
                <w:color w:val="000000"/>
                <w:sz w:val="20"/>
                <w:szCs w:val="20"/>
              </w:rPr>
              <w:t>8.9)a</w:t>
            </w:r>
            <w:proofErr w:type="gramEnd"/>
          </w:p>
        </w:tc>
        <w:tc>
          <w:tcPr>
            <w:tcW w:w="960" w:type="dxa"/>
            <w:vMerge/>
            <w:tcBorders>
              <w:top w:val="nil"/>
              <w:left w:val="single" w:sz="4" w:space="0" w:color="FFFFFF"/>
              <w:bottom w:val="nil"/>
              <w:right w:val="nil"/>
            </w:tcBorders>
            <w:vAlign w:val="center"/>
            <w:hideMark/>
          </w:tcPr>
          <w:p w14:paraId="325CA863"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7C65FF4D" w14:textId="77777777" w:rsidTr="00F250C4">
        <w:trPr>
          <w:trHeight w:val="300"/>
        </w:trPr>
        <w:tc>
          <w:tcPr>
            <w:tcW w:w="2250" w:type="dxa"/>
            <w:tcBorders>
              <w:top w:val="nil"/>
              <w:left w:val="nil"/>
              <w:bottom w:val="single" w:sz="4" w:space="0" w:color="auto"/>
              <w:right w:val="single" w:sz="4" w:space="0" w:color="FFFFFF"/>
            </w:tcBorders>
            <w:noWrap/>
            <w:vAlign w:val="bottom"/>
            <w:hideMark/>
          </w:tcPr>
          <w:p w14:paraId="56A0DDAF"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auto"/>
              <w:right w:val="single" w:sz="4" w:space="0" w:color="FFFFFF"/>
            </w:tcBorders>
            <w:noWrap/>
            <w:vAlign w:val="bottom"/>
            <w:hideMark/>
          </w:tcPr>
          <w:p w14:paraId="74657609"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3</w:t>
            </w:r>
            <w:r w:rsidRPr="00650DFF">
              <w:rPr>
                <w:rFonts w:ascii="Times New Roman" w:hAnsi="Times New Roman"/>
                <w:color w:val="000000"/>
                <w:sz w:val="20"/>
                <w:szCs w:val="20"/>
                <w:vertAlign w:val="superscript"/>
              </w:rPr>
              <w:t>rd</w:t>
            </w:r>
            <w:r w:rsidRPr="00650DFF">
              <w:rPr>
                <w:rFonts w:ascii="Times New Roman" w:hAnsi="Times New Roman"/>
                <w:color w:val="000000"/>
                <w:sz w:val="20"/>
                <w:szCs w:val="20"/>
              </w:rPr>
              <w:t xml:space="preserve"> Grade</w:t>
            </w:r>
          </w:p>
        </w:tc>
        <w:tc>
          <w:tcPr>
            <w:tcW w:w="1590" w:type="dxa"/>
            <w:tcBorders>
              <w:top w:val="nil"/>
              <w:left w:val="nil"/>
              <w:bottom w:val="single" w:sz="4" w:space="0" w:color="auto"/>
              <w:right w:val="nil"/>
            </w:tcBorders>
            <w:noWrap/>
            <w:vAlign w:val="bottom"/>
            <w:hideMark/>
          </w:tcPr>
          <w:p w14:paraId="736E33F3"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51 (</w:t>
            </w:r>
            <w:proofErr w:type="gramStart"/>
            <w:r w:rsidRPr="00650DFF">
              <w:rPr>
                <w:rFonts w:ascii="Times New Roman" w:hAnsi="Times New Roman"/>
                <w:color w:val="000000"/>
                <w:sz w:val="20"/>
                <w:szCs w:val="20"/>
              </w:rPr>
              <w:t>32.3)a</w:t>
            </w:r>
            <w:proofErr w:type="gramEnd"/>
          </w:p>
        </w:tc>
        <w:tc>
          <w:tcPr>
            <w:tcW w:w="1660" w:type="dxa"/>
            <w:tcBorders>
              <w:top w:val="nil"/>
              <w:left w:val="single" w:sz="4" w:space="0" w:color="FFFFFF"/>
              <w:bottom w:val="single" w:sz="4" w:space="0" w:color="auto"/>
              <w:right w:val="single" w:sz="4" w:space="0" w:color="FFFFFF"/>
            </w:tcBorders>
            <w:noWrap/>
            <w:vAlign w:val="bottom"/>
            <w:hideMark/>
          </w:tcPr>
          <w:p w14:paraId="65CBD4B5"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16 (</w:t>
            </w:r>
            <w:proofErr w:type="gramStart"/>
            <w:r w:rsidRPr="00650DFF">
              <w:rPr>
                <w:rFonts w:ascii="Times New Roman" w:hAnsi="Times New Roman"/>
                <w:color w:val="000000"/>
                <w:sz w:val="20"/>
                <w:szCs w:val="20"/>
              </w:rPr>
              <w:t>20.3)a</w:t>
            </w:r>
            <w:proofErr w:type="gramEnd"/>
          </w:p>
        </w:tc>
        <w:tc>
          <w:tcPr>
            <w:tcW w:w="960" w:type="dxa"/>
            <w:vMerge/>
            <w:tcBorders>
              <w:top w:val="nil"/>
              <w:left w:val="single" w:sz="4" w:space="0" w:color="FFFFFF"/>
              <w:bottom w:val="nil"/>
              <w:right w:val="nil"/>
            </w:tcBorders>
            <w:vAlign w:val="center"/>
            <w:hideMark/>
          </w:tcPr>
          <w:p w14:paraId="57ABFF17"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774E8F3F"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70002707"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b/>
                <w:bCs/>
                <w:color w:val="000000"/>
                <w:sz w:val="20"/>
                <w:szCs w:val="20"/>
              </w:rPr>
              <w:t xml:space="preserve">Mother’s education </w:t>
            </w:r>
            <w:r w:rsidRPr="00650DFF">
              <w:rPr>
                <w:rFonts w:ascii="Times New Roman" w:hAnsi="Times New Roman"/>
                <w:color w:val="000000"/>
                <w:sz w:val="20"/>
                <w:szCs w:val="20"/>
              </w:rPr>
              <w:t xml:space="preserve">n </w:t>
            </w:r>
          </w:p>
          <w:p w14:paraId="50E633B3" w14:textId="77777777" w:rsidR="00F250C4" w:rsidRPr="00650DFF" w:rsidRDefault="00F250C4" w:rsidP="00471836">
            <w:pPr>
              <w:spacing w:after="0" w:line="240" w:lineRule="auto"/>
              <w:rPr>
                <w:rFonts w:ascii="Times New Roman" w:hAnsi="Times New Roman"/>
                <w:b/>
                <w:bCs/>
                <w:color w:val="000000"/>
                <w:sz w:val="20"/>
                <w:szCs w:val="20"/>
              </w:rPr>
            </w:pPr>
            <w:r w:rsidRPr="00650DFF">
              <w:rPr>
                <w:rFonts w:ascii="Times New Roman" w:hAnsi="Times New Roman"/>
                <w:color w:val="000000"/>
                <w:sz w:val="20"/>
                <w:szCs w:val="20"/>
              </w:rPr>
              <w:t>(%)</w:t>
            </w:r>
          </w:p>
        </w:tc>
        <w:tc>
          <w:tcPr>
            <w:tcW w:w="1436" w:type="dxa"/>
            <w:tcBorders>
              <w:top w:val="nil"/>
              <w:left w:val="nil"/>
              <w:bottom w:val="single" w:sz="4" w:space="0" w:color="FFFFFF"/>
              <w:right w:val="single" w:sz="4" w:space="0" w:color="FFFFFF"/>
            </w:tcBorders>
            <w:noWrap/>
            <w:vAlign w:val="bottom"/>
            <w:hideMark/>
          </w:tcPr>
          <w:p w14:paraId="2A5A331E"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Incomplete elementary school</w:t>
            </w:r>
          </w:p>
        </w:tc>
        <w:tc>
          <w:tcPr>
            <w:tcW w:w="1590" w:type="dxa"/>
            <w:tcBorders>
              <w:top w:val="nil"/>
              <w:left w:val="nil"/>
              <w:bottom w:val="single" w:sz="4" w:space="0" w:color="FFFFFF"/>
              <w:right w:val="nil"/>
            </w:tcBorders>
            <w:noWrap/>
            <w:vAlign w:val="bottom"/>
            <w:hideMark/>
          </w:tcPr>
          <w:p w14:paraId="6167DE9D"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7 (</w:t>
            </w:r>
            <w:proofErr w:type="gramStart"/>
            <w:r w:rsidRPr="00650DFF">
              <w:rPr>
                <w:rFonts w:ascii="Times New Roman" w:hAnsi="Times New Roman"/>
                <w:color w:val="000000"/>
                <w:sz w:val="20"/>
                <w:szCs w:val="20"/>
              </w:rPr>
              <w:t>4.4)a</w:t>
            </w:r>
            <w:proofErr w:type="gramEnd"/>
          </w:p>
        </w:tc>
        <w:tc>
          <w:tcPr>
            <w:tcW w:w="1660" w:type="dxa"/>
            <w:tcBorders>
              <w:top w:val="nil"/>
              <w:left w:val="single" w:sz="4" w:space="0" w:color="FFFFFF"/>
              <w:bottom w:val="single" w:sz="4" w:space="0" w:color="FFFFFF"/>
              <w:right w:val="single" w:sz="4" w:space="0" w:color="FFFFFF"/>
            </w:tcBorders>
            <w:noWrap/>
            <w:vAlign w:val="bottom"/>
            <w:hideMark/>
          </w:tcPr>
          <w:p w14:paraId="68D40945"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6 (</w:t>
            </w:r>
            <w:proofErr w:type="gramStart"/>
            <w:r w:rsidRPr="00650DFF">
              <w:rPr>
                <w:rFonts w:ascii="Times New Roman" w:hAnsi="Times New Roman"/>
                <w:color w:val="000000"/>
                <w:sz w:val="20"/>
                <w:szCs w:val="20"/>
              </w:rPr>
              <w:t>7.6)a</w:t>
            </w:r>
            <w:proofErr w:type="gramEnd"/>
          </w:p>
        </w:tc>
        <w:tc>
          <w:tcPr>
            <w:tcW w:w="960" w:type="dxa"/>
            <w:vMerge w:val="restart"/>
            <w:tcBorders>
              <w:top w:val="single" w:sz="4" w:space="0" w:color="auto"/>
              <w:left w:val="single" w:sz="4" w:space="0" w:color="FFFFFF"/>
              <w:bottom w:val="single" w:sz="4" w:space="0" w:color="000000"/>
              <w:right w:val="nil"/>
            </w:tcBorders>
            <w:noWrap/>
            <w:vAlign w:val="center"/>
            <w:hideMark/>
          </w:tcPr>
          <w:p w14:paraId="29748CE9" w14:textId="77777777" w:rsidR="00F250C4" w:rsidRPr="00650DFF" w:rsidRDefault="00F250C4" w:rsidP="00471836">
            <w:pPr>
              <w:spacing w:after="0" w:line="240" w:lineRule="auto"/>
              <w:jc w:val="center"/>
              <w:rPr>
                <w:rFonts w:ascii="Times New Roman" w:hAnsi="Times New Roman"/>
                <w:color w:val="000000"/>
                <w:sz w:val="20"/>
                <w:szCs w:val="20"/>
              </w:rPr>
            </w:pPr>
            <w:r w:rsidRPr="00650DFF">
              <w:rPr>
                <w:rFonts w:ascii="Times New Roman" w:hAnsi="Times New Roman"/>
                <w:color w:val="000000"/>
                <w:sz w:val="20"/>
                <w:szCs w:val="20"/>
              </w:rPr>
              <w:t>0.416</w:t>
            </w:r>
          </w:p>
        </w:tc>
      </w:tr>
      <w:tr w:rsidR="00F250C4" w:rsidRPr="00650DFF" w14:paraId="50ACD0D4"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1BDA6477"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244CF762"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Complete elementary school</w:t>
            </w:r>
          </w:p>
        </w:tc>
        <w:tc>
          <w:tcPr>
            <w:tcW w:w="1590" w:type="dxa"/>
            <w:tcBorders>
              <w:top w:val="nil"/>
              <w:left w:val="nil"/>
              <w:bottom w:val="single" w:sz="4" w:space="0" w:color="FFFFFF"/>
              <w:right w:val="nil"/>
            </w:tcBorders>
            <w:noWrap/>
            <w:vAlign w:val="bottom"/>
            <w:hideMark/>
          </w:tcPr>
          <w:p w14:paraId="37BB2F63"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6 (</w:t>
            </w:r>
            <w:proofErr w:type="gramStart"/>
            <w:r w:rsidRPr="00650DFF">
              <w:rPr>
                <w:rFonts w:ascii="Times New Roman" w:hAnsi="Times New Roman"/>
                <w:color w:val="000000"/>
                <w:sz w:val="20"/>
                <w:szCs w:val="20"/>
              </w:rPr>
              <w:t>3.8)a</w:t>
            </w:r>
            <w:proofErr w:type="gramEnd"/>
          </w:p>
        </w:tc>
        <w:tc>
          <w:tcPr>
            <w:tcW w:w="1660" w:type="dxa"/>
            <w:tcBorders>
              <w:top w:val="nil"/>
              <w:left w:val="single" w:sz="4" w:space="0" w:color="FFFFFF"/>
              <w:bottom w:val="single" w:sz="4" w:space="0" w:color="FFFFFF"/>
              <w:right w:val="single" w:sz="4" w:space="0" w:color="FFFFFF"/>
            </w:tcBorders>
            <w:noWrap/>
            <w:vAlign w:val="bottom"/>
            <w:hideMark/>
          </w:tcPr>
          <w:p w14:paraId="2315B911"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4 (</w:t>
            </w:r>
            <w:proofErr w:type="gramStart"/>
            <w:r w:rsidRPr="00650DFF">
              <w:rPr>
                <w:rFonts w:ascii="Times New Roman" w:hAnsi="Times New Roman"/>
                <w:color w:val="000000"/>
                <w:sz w:val="20"/>
                <w:szCs w:val="20"/>
              </w:rPr>
              <w:t>5.1)a</w:t>
            </w:r>
            <w:proofErr w:type="gramEnd"/>
          </w:p>
        </w:tc>
        <w:tc>
          <w:tcPr>
            <w:tcW w:w="960" w:type="dxa"/>
            <w:vMerge/>
            <w:tcBorders>
              <w:top w:val="single" w:sz="4" w:space="0" w:color="auto"/>
              <w:left w:val="single" w:sz="4" w:space="0" w:color="FFFFFF"/>
              <w:bottom w:val="single" w:sz="4" w:space="0" w:color="000000"/>
              <w:right w:val="nil"/>
            </w:tcBorders>
            <w:vAlign w:val="center"/>
            <w:hideMark/>
          </w:tcPr>
          <w:p w14:paraId="13697B53"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27896643"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10D43F44"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398BDCE9"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Incomplete high school</w:t>
            </w:r>
          </w:p>
        </w:tc>
        <w:tc>
          <w:tcPr>
            <w:tcW w:w="1590" w:type="dxa"/>
            <w:tcBorders>
              <w:top w:val="nil"/>
              <w:left w:val="nil"/>
              <w:bottom w:val="single" w:sz="4" w:space="0" w:color="FFFFFF"/>
              <w:right w:val="nil"/>
            </w:tcBorders>
            <w:noWrap/>
            <w:vAlign w:val="bottom"/>
            <w:hideMark/>
          </w:tcPr>
          <w:p w14:paraId="45A69BE1"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11 (</w:t>
            </w:r>
            <w:proofErr w:type="gramStart"/>
            <w:r w:rsidRPr="00650DFF">
              <w:rPr>
                <w:rFonts w:ascii="Times New Roman" w:hAnsi="Times New Roman"/>
                <w:color w:val="000000"/>
                <w:sz w:val="20"/>
                <w:szCs w:val="20"/>
              </w:rPr>
              <w:t>7.0)a</w:t>
            </w:r>
            <w:proofErr w:type="gramEnd"/>
          </w:p>
        </w:tc>
        <w:tc>
          <w:tcPr>
            <w:tcW w:w="1660" w:type="dxa"/>
            <w:tcBorders>
              <w:top w:val="nil"/>
              <w:left w:val="single" w:sz="4" w:space="0" w:color="FFFFFF"/>
              <w:bottom w:val="single" w:sz="4" w:space="0" w:color="FFFFFF"/>
              <w:right w:val="single" w:sz="4" w:space="0" w:color="FFFFFF"/>
            </w:tcBorders>
            <w:noWrap/>
            <w:vAlign w:val="bottom"/>
            <w:hideMark/>
          </w:tcPr>
          <w:p w14:paraId="23B6DA49"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8 (</w:t>
            </w:r>
            <w:proofErr w:type="gramStart"/>
            <w:r w:rsidRPr="00650DFF">
              <w:rPr>
                <w:rFonts w:ascii="Times New Roman" w:hAnsi="Times New Roman"/>
                <w:color w:val="000000"/>
                <w:sz w:val="20"/>
                <w:szCs w:val="20"/>
              </w:rPr>
              <w:t>10.1)a</w:t>
            </w:r>
            <w:proofErr w:type="gramEnd"/>
          </w:p>
        </w:tc>
        <w:tc>
          <w:tcPr>
            <w:tcW w:w="960" w:type="dxa"/>
            <w:vMerge/>
            <w:tcBorders>
              <w:top w:val="single" w:sz="4" w:space="0" w:color="auto"/>
              <w:left w:val="single" w:sz="4" w:space="0" w:color="FFFFFF"/>
              <w:bottom w:val="single" w:sz="4" w:space="0" w:color="000000"/>
              <w:right w:val="nil"/>
            </w:tcBorders>
            <w:vAlign w:val="center"/>
            <w:hideMark/>
          </w:tcPr>
          <w:p w14:paraId="38E0EA4D"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0F104E6B"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5D24ED75"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6CB68887"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Complete high school</w:t>
            </w:r>
          </w:p>
        </w:tc>
        <w:tc>
          <w:tcPr>
            <w:tcW w:w="1590" w:type="dxa"/>
            <w:tcBorders>
              <w:top w:val="nil"/>
              <w:left w:val="nil"/>
              <w:bottom w:val="single" w:sz="4" w:space="0" w:color="FFFFFF"/>
              <w:right w:val="nil"/>
            </w:tcBorders>
            <w:noWrap/>
            <w:vAlign w:val="bottom"/>
            <w:hideMark/>
          </w:tcPr>
          <w:p w14:paraId="31A099E1"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92 (</w:t>
            </w:r>
            <w:proofErr w:type="gramStart"/>
            <w:r w:rsidRPr="00650DFF">
              <w:rPr>
                <w:rFonts w:ascii="Times New Roman" w:hAnsi="Times New Roman"/>
                <w:color w:val="000000"/>
                <w:sz w:val="20"/>
                <w:szCs w:val="20"/>
              </w:rPr>
              <w:t>58.2)a</w:t>
            </w:r>
            <w:proofErr w:type="gramEnd"/>
          </w:p>
        </w:tc>
        <w:tc>
          <w:tcPr>
            <w:tcW w:w="1660" w:type="dxa"/>
            <w:tcBorders>
              <w:top w:val="nil"/>
              <w:left w:val="single" w:sz="4" w:space="0" w:color="FFFFFF"/>
              <w:bottom w:val="single" w:sz="4" w:space="0" w:color="FFFFFF"/>
              <w:right w:val="single" w:sz="4" w:space="0" w:color="FFFFFF"/>
            </w:tcBorders>
            <w:noWrap/>
            <w:vAlign w:val="bottom"/>
            <w:hideMark/>
          </w:tcPr>
          <w:p w14:paraId="793C29DF"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48 (</w:t>
            </w:r>
            <w:proofErr w:type="gramStart"/>
            <w:r w:rsidRPr="00650DFF">
              <w:rPr>
                <w:rFonts w:ascii="Times New Roman" w:hAnsi="Times New Roman"/>
                <w:color w:val="000000"/>
                <w:sz w:val="20"/>
                <w:szCs w:val="20"/>
              </w:rPr>
              <w:t>60.8)a</w:t>
            </w:r>
            <w:proofErr w:type="gramEnd"/>
          </w:p>
        </w:tc>
        <w:tc>
          <w:tcPr>
            <w:tcW w:w="960" w:type="dxa"/>
            <w:vMerge/>
            <w:tcBorders>
              <w:top w:val="single" w:sz="4" w:space="0" w:color="auto"/>
              <w:left w:val="single" w:sz="4" w:space="0" w:color="FFFFFF"/>
              <w:bottom w:val="single" w:sz="4" w:space="0" w:color="000000"/>
              <w:right w:val="nil"/>
            </w:tcBorders>
            <w:vAlign w:val="center"/>
            <w:hideMark/>
          </w:tcPr>
          <w:p w14:paraId="141F47C0"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6C4D371E"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7F9D2526"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4AA7318B"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Incomplete higher school</w:t>
            </w:r>
          </w:p>
        </w:tc>
        <w:tc>
          <w:tcPr>
            <w:tcW w:w="1590" w:type="dxa"/>
            <w:tcBorders>
              <w:top w:val="nil"/>
              <w:left w:val="nil"/>
              <w:bottom w:val="single" w:sz="4" w:space="0" w:color="FFFFFF"/>
              <w:right w:val="nil"/>
            </w:tcBorders>
            <w:noWrap/>
            <w:vAlign w:val="bottom"/>
            <w:hideMark/>
          </w:tcPr>
          <w:p w14:paraId="0B247C63"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3 (</w:t>
            </w:r>
            <w:proofErr w:type="gramStart"/>
            <w:r w:rsidRPr="00650DFF">
              <w:rPr>
                <w:rFonts w:ascii="Times New Roman" w:hAnsi="Times New Roman"/>
                <w:color w:val="000000"/>
                <w:sz w:val="20"/>
                <w:szCs w:val="20"/>
              </w:rPr>
              <w:t>1.9)a</w:t>
            </w:r>
            <w:proofErr w:type="gramEnd"/>
          </w:p>
        </w:tc>
        <w:tc>
          <w:tcPr>
            <w:tcW w:w="1660" w:type="dxa"/>
            <w:tcBorders>
              <w:top w:val="nil"/>
              <w:left w:val="single" w:sz="4" w:space="0" w:color="FFFFFF"/>
              <w:bottom w:val="single" w:sz="4" w:space="0" w:color="FFFFFF"/>
              <w:right w:val="single" w:sz="4" w:space="0" w:color="FFFFFF"/>
            </w:tcBorders>
            <w:noWrap/>
            <w:vAlign w:val="bottom"/>
            <w:hideMark/>
          </w:tcPr>
          <w:p w14:paraId="11C4A21B"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0 (</w:t>
            </w:r>
            <w:proofErr w:type="gramStart"/>
            <w:r w:rsidRPr="00650DFF">
              <w:rPr>
                <w:rFonts w:ascii="Times New Roman" w:hAnsi="Times New Roman"/>
                <w:color w:val="000000"/>
                <w:sz w:val="20"/>
                <w:szCs w:val="20"/>
              </w:rPr>
              <w:t>0.0)a</w:t>
            </w:r>
            <w:proofErr w:type="gramEnd"/>
          </w:p>
        </w:tc>
        <w:tc>
          <w:tcPr>
            <w:tcW w:w="960" w:type="dxa"/>
            <w:vMerge/>
            <w:tcBorders>
              <w:top w:val="single" w:sz="4" w:space="0" w:color="auto"/>
              <w:left w:val="single" w:sz="4" w:space="0" w:color="FFFFFF"/>
              <w:bottom w:val="single" w:sz="4" w:space="0" w:color="000000"/>
              <w:right w:val="nil"/>
            </w:tcBorders>
            <w:vAlign w:val="center"/>
            <w:hideMark/>
          </w:tcPr>
          <w:p w14:paraId="3F8BABDE"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3801A3B2" w14:textId="77777777" w:rsidTr="00F250C4">
        <w:trPr>
          <w:trHeight w:val="300"/>
        </w:trPr>
        <w:tc>
          <w:tcPr>
            <w:tcW w:w="2250" w:type="dxa"/>
            <w:tcBorders>
              <w:top w:val="nil"/>
              <w:left w:val="nil"/>
              <w:bottom w:val="single" w:sz="4" w:space="0" w:color="auto"/>
              <w:right w:val="single" w:sz="4" w:space="0" w:color="FFFFFF"/>
            </w:tcBorders>
            <w:noWrap/>
            <w:vAlign w:val="bottom"/>
            <w:hideMark/>
          </w:tcPr>
          <w:p w14:paraId="69486113"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lastRenderedPageBreak/>
              <w:t> </w:t>
            </w:r>
          </w:p>
        </w:tc>
        <w:tc>
          <w:tcPr>
            <w:tcW w:w="1436" w:type="dxa"/>
            <w:tcBorders>
              <w:top w:val="nil"/>
              <w:left w:val="nil"/>
              <w:bottom w:val="single" w:sz="4" w:space="0" w:color="auto"/>
              <w:right w:val="single" w:sz="4" w:space="0" w:color="FFFFFF"/>
            </w:tcBorders>
            <w:noWrap/>
            <w:vAlign w:val="bottom"/>
            <w:hideMark/>
          </w:tcPr>
          <w:p w14:paraId="18C0F464"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Complete higher school</w:t>
            </w:r>
          </w:p>
        </w:tc>
        <w:tc>
          <w:tcPr>
            <w:tcW w:w="1590" w:type="dxa"/>
            <w:tcBorders>
              <w:top w:val="nil"/>
              <w:left w:val="nil"/>
              <w:bottom w:val="single" w:sz="4" w:space="0" w:color="auto"/>
              <w:right w:val="nil"/>
            </w:tcBorders>
            <w:noWrap/>
            <w:vAlign w:val="bottom"/>
            <w:hideMark/>
          </w:tcPr>
          <w:p w14:paraId="3D6C55AD"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39 (</w:t>
            </w:r>
            <w:proofErr w:type="gramStart"/>
            <w:r w:rsidRPr="00650DFF">
              <w:rPr>
                <w:rFonts w:ascii="Times New Roman" w:hAnsi="Times New Roman"/>
                <w:color w:val="000000"/>
                <w:sz w:val="20"/>
                <w:szCs w:val="20"/>
              </w:rPr>
              <w:t>24.7)a</w:t>
            </w:r>
            <w:proofErr w:type="gramEnd"/>
          </w:p>
        </w:tc>
        <w:tc>
          <w:tcPr>
            <w:tcW w:w="1660" w:type="dxa"/>
            <w:tcBorders>
              <w:top w:val="nil"/>
              <w:left w:val="single" w:sz="4" w:space="0" w:color="FFFFFF"/>
              <w:bottom w:val="single" w:sz="4" w:space="0" w:color="auto"/>
              <w:right w:val="single" w:sz="4" w:space="0" w:color="FFFFFF"/>
            </w:tcBorders>
            <w:noWrap/>
            <w:vAlign w:val="bottom"/>
            <w:hideMark/>
          </w:tcPr>
          <w:p w14:paraId="001FB447"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13a (</w:t>
            </w:r>
            <w:proofErr w:type="gramStart"/>
            <w:r w:rsidRPr="00650DFF">
              <w:rPr>
                <w:rFonts w:ascii="Times New Roman" w:hAnsi="Times New Roman"/>
                <w:color w:val="000000"/>
                <w:sz w:val="20"/>
                <w:szCs w:val="20"/>
              </w:rPr>
              <w:t>16.5)a</w:t>
            </w:r>
            <w:proofErr w:type="gramEnd"/>
          </w:p>
        </w:tc>
        <w:tc>
          <w:tcPr>
            <w:tcW w:w="960" w:type="dxa"/>
            <w:vMerge/>
            <w:tcBorders>
              <w:top w:val="single" w:sz="4" w:space="0" w:color="auto"/>
              <w:left w:val="single" w:sz="4" w:space="0" w:color="FFFFFF"/>
              <w:bottom w:val="single" w:sz="4" w:space="0" w:color="000000"/>
              <w:right w:val="nil"/>
            </w:tcBorders>
            <w:vAlign w:val="center"/>
            <w:hideMark/>
          </w:tcPr>
          <w:p w14:paraId="5B53C6E2"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09820324"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31F1B27D" w14:textId="77777777" w:rsidR="00F250C4" w:rsidRPr="00650DFF" w:rsidRDefault="00F250C4" w:rsidP="00471836">
            <w:pPr>
              <w:spacing w:after="0" w:line="240" w:lineRule="auto"/>
              <w:rPr>
                <w:rFonts w:ascii="Times New Roman" w:hAnsi="Times New Roman"/>
                <w:b/>
                <w:bCs/>
                <w:color w:val="000000"/>
                <w:sz w:val="20"/>
                <w:szCs w:val="20"/>
              </w:rPr>
            </w:pPr>
            <w:r w:rsidRPr="00650DFF">
              <w:rPr>
                <w:rFonts w:ascii="Times New Roman" w:hAnsi="Times New Roman"/>
                <w:b/>
                <w:bCs/>
                <w:color w:val="000000"/>
                <w:sz w:val="20"/>
                <w:szCs w:val="20"/>
              </w:rPr>
              <w:t xml:space="preserve">Father’s education </w:t>
            </w:r>
            <w:r w:rsidRPr="00650DFF">
              <w:rPr>
                <w:rFonts w:ascii="Times New Roman" w:hAnsi="Times New Roman"/>
                <w:color w:val="000000"/>
                <w:sz w:val="20"/>
                <w:szCs w:val="20"/>
              </w:rPr>
              <w:t xml:space="preserve">n </w:t>
            </w:r>
          </w:p>
          <w:p w14:paraId="2059428C" w14:textId="77777777" w:rsidR="00F250C4" w:rsidRPr="00650DFF" w:rsidRDefault="00F250C4" w:rsidP="00471836">
            <w:pPr>
              <w:spacing w:after="0" w:line="240" w:lineRule="auto"/>
              <w:rPr>
                <w:rFonts w:ascii="Times New Roman" w:hAnsi="Times New Roman"/>
                <w:b/>
                <w:bCs/>
                <w:color w:val="000000"/>
                <w:sz w:val="20"/>
                <w:szCs w:val="20"/>
              </w:rPr>
            </w:pPr>
            <w:r w:rsidRPr="00650DFF">
              <w:rPr>
                <w:rFonts w:ascii="Times New Roman" w:hAnsi="Times New Roman"/>
                <w:color w:val="000000"/>
                <w:sz w:val="20"/>
                <w:szCs w:val="20"/>
              </w:rPr>
              <w:t>(%)</w:t>
            </w:r>
          </w:p>
        </w:tc>
        <w:tc>
          <w:tcPr>
            <w:tcW w:w="1436" w:type="dxa"/>
            <w:tcBorders>
              <w:top w:val="nil"/>
              <w:left w:val="nil"/>
              <w:bottom w:val="single" w:sz="4" w:space="0" w:color="FFFFFF"/>
              <w:right w:val="single" w:sz="4" w:space="0" w:color="FFFFFF"/>
            </w:tcBorders>
            <w:noWrap/>
            <w:vAlign w:val="bottom"/>
            <w:hideMark/>
          </w:tcPr>
          <w:p w14:paraId="1B5AC63C"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Incomplete elementary school</w:t>
            </w:r>
          </w:p>
        </w:tc>
        <w:tc>
          <w:tcPr>
            <w:tcW w:w="1590" w:type="dxa"/>
            <w:tcBorders>
              <w:top w:val="nil"/>
              <w:left w:val="nil"/>
              <w:bottom w:val="single" w:sz="4" w:space="0" w:color="FFFFFF"/>
              <w:right w:val="nil"/>
            </w:tcBorders>
            <w:noWrap/>
            <w:vAlign w:val="bottom"/>
            <w:hideMark/>
          </w:tcPr>
          <w:p w14:paraId="0473A951"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11 (</w:t>
            </w:r>
            <w:proofErr w:type="gramStart"/>
            <w:r w:rsidRPr="00650DFF">
              <w:rPr>
                <w:rFonts w:ascii="Times New Roman" w:hAnsi="Times New Roman"/>
                <w:color w:val="000000"/>
                <w:sz w:val="20"/>
                <w:szCs w:val="20"/>
              </w:rPr>
              <w:t>7.0)a</w:t>
            </w:r>
            <w:proofErr w:type="gramEnd"/>
          </w:p>
        </w:tc>
        <w:tc>
          <w:tcPr>
            <w:tcW w:w="1660" w:type="dxa"/>
            <w:tcBorders>
              <w:top w:val="nil"/>
              <w:left w:val="single" w:sz="4" w:space="0" w:color="FFFFFF"/>
              <w:bottom w:val="single" w:sz="4" w:space="0" w:color="FFFFFF"/>
              <w:right w:val="single" w:sz="4" w:space="0" w:color="FFFFFF"/>
            </w:tcBorders>
            <w:noWrap/>
            <w:vAlign w:val="bottom"/>
            <w:hideMark/>
          </w:tcPr>
          <w:p w14:paraId="643340C5"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11 (</w:t>
            </w:r>
            <w:proofErr w:type="gramStart"/>
            <w:r w:rsidRPr="00650DFF">
              <w:rPr>
                <w:rFonts w:ascii="Times New Roman" w:hAnsi="Times New Roman"/>
                <w:color w:val="000000"/>
                <w:sz w:val="20"/>
                <w:szCs w:val="20"/>
              </w:rPr>
              <w:t>13.9)a</w:t>
            </w:r>
            <w:proofErr w:type="gramEnd"/>
          </w:p>
        </w:tc>
        <w:tc>
          <w:tcPr>
            <w:tcW w:w="960" w:type="dxa"/>
            <w:vMerge w:val="restart"/>
            <w:tcBorders>
              <w:top w:val="nil"/>
              <w:left w:val="single" w:sz="4" w:space="0" w:color="FFFFFF"/>
              <w:bottom w:val="single" w:sz="4" w:space="0" w:color="000000"/>
              <w:right w:val="nil"/>
            </w:tcBorders>
            <w:noWrap/>
            <w:vAlign w:val="center"/>
            <w:hideMark/>
          </w:tcPr>
          <w:p w14:paraId="1D48B630" w14:textId="77777777" w:rsidR="00F250C4" w:rsidRPr="00650DFF" w:rsidRDefault="00F250C4" w:rsidP="00471836">
            <w:pPr>
              <w:spacing w:after="0" w:line="240" w:lineRule="auto"/>
              <w:jc w:val="center"/>
              <w:rPr>
                <w:rFonts w:ascii="Times New Roman" w:hAnsi="Times New Roman"/>
                <w:color w:val="000000"/>
                <w:sz w:val="20"/>
                <w:szCs w:val="20"/>
              </w:rPr>
            </w:pPr>
            <w:r w:rsidRPr="00650DFF">
              <w:rPr>
                <w:rFonts w:ascii="Times New Roman" w:hAnsi="Times New Roman"/>
                <w:color w:val="000000"/>
                <w:sz w:val="20"/>
                <w:szCs w:val="20"/>
              </w:rPr>
              <w:t>0.396</w:t>
            </w:r>
          </w:p>
        </w:tc>
      </w:tr>
      <w:tr w:rsidR="00F250C4" w:rsidRPr="00650DFF" w14:paraId="28B3BD10"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5BBF3C4A"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5278D646"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Complete elementary school</w:t>
            </w:r>
          </w:p>
        </w:tc>
        <w:tc>
          <w:tcPr>
            <w:tcW w:w="1590" w:type="dxa"/>
            <w:tcBorders>
              <w:top w:val="nil"/>
              <w:left w:val="nil"/>
              <w:bottom w:val="single" w:sz="4" w:space="0" w:color="FFFFFF"/>
              <w:right w:val="nil"/>
            </w:tcBorders>
            <w:noWrap/>
            <w:vAlign w:val="bottom"/>
            <w:hideMark/>
          </w:tcPr>
          <w:p w14:paraId="00C10AC8"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10 (</w:t>
            </w:r>
            <w:proofErr w:type="gramStart"/>
            <w:r w:rsidRPr="00650DFF">
              <w:rPr>
                <w:rFonts w:ascii="Times New Roman" w:hAnsi="Times New Roman"/>
                <w:color w:val="000000"/>
                <w:sz w:val="20"/>
                <w:szCs w:val="20"/>
              </w:rPr>
              <w:t>6.3)a</w:t>
            </w:r>
            <w:proofErr w:type="gramEnd"/>
          </w:p>
        </w:tc>
        <w:tc>
          <w:tcPr>
            <w:tcW w:w="1660" w:type="dxa"/>
            <w:tcBorders>
              <w:top w:val="nil"/>
              <w:left w:val="single" w:sz="4" w:space="0" w:color="FFFFFF"/>
              <w:bottom w:val="single" w:sz="4" w:space="0" w:color="FFFFFF"/>
              <w:right w:val="single" w:sz="4" w:space="0" w:color="FFFFFF"/>
            </w:tcBorders>
            <w:noWrap/>
            <w:vAlign w:val="bottom"/>
            <w:hideMark/>
          </w:tcPr>
          <w:p w14:paraId="08C75BD9"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7 (</w:t>
            </w:r>
            <w:proofErr w:type="gramStart"/>
            <w:r w:rsidRPr="00650DFF">
              <w:rPr>
                <w:rFonts w:ascii="Times New Roman" w:hAnsi="Times New Roman"/>
                <w:color w:val="000000"/>
                <w:sz w:val="20"/>
                <w:szCs w:val="20"/>
              </w:rPr>
              <w:t>8.9)a</w:t>
            </w:r>
            <w:proofErr w:type="gramEnd"/>
          </w:p>
        </w:tc>
        <w:tc>
          <w:tcPr>
            <w:tcW w:w="960" w:type="dxa"/>
            <w:vMerge/>
            <w:tcBorders>
              <w:top w:val="nil"/>
              <w:left w:val="single" w:sz="4" w:space="0" w:color="FFFFFF"/>
              <w:bottom w:val="single" w:sz="4" w:space="0" w:color="000000"/>
              <w:right w:val="nil"/>
            </w:tcBorders>
            <w:vAlign w:val="center"/>
            <w:hideMark/>
          </w:tcPr>
          <w:p w14:paraId="631B485B"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7847F310"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1268E37C"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5CEBC943"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Incomplete high school</w:t>
            </w:r>
          </w:p>
        </w:tc>
        <w:tc>
          <w:tcPr>
            <w:tcW w:w="1590" w:type="dxa"/>
            <w:tcBorders>
              <w:top w:val="nil"/>
              <w:left w:val="nil"/>
              <w:bottom w:val="single" w:sz="4" w:space="0" w:color="FFFFFF"/>
              <w:right w:val="nil"/>
            </w:tcBorders>
            <w:noWrap/>
            <w:vAlign w:val="bottom"/>
            <w:hideMark/>
          </w:tcPr>
          <w:p w14:paraId="5C94F88A"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28 (</w:t>
            </w:r>
            <w:proofErr w:type="gramStart"/>
            <w:r w:rsidRPr="00650DFF">
              <w:rPr>
                <w:rFonts w:ascii="Times New Roman" w:hAnsi="Times New Roman"/>
                <w:color w:val="000000"/>
                <w:sz w:val="20"/>
                <w:szCs w:val="20"/>
              </w:rPr>
              <w:t>17.7)a</w:t>
            </w:r>
            <w:proofErr w:type="gramEnd"/>
          </w:p>
        </w:tc>
        <w:tc>
          <w:tcPr>
            <w:tcW w:w="1660" w:type="dxa"/>
            <w:tcBorders>
              <w:top w:val="nil"/>
              <w:left w:val="single" w:sz="4" w:space="0" w:color="FFFFFF"/>
              <w:bottom w:val="single" w:sz="4" w:space="0" w:color="FFFFFF"/>
              <w:right w:val="single" w:sz="4" w:space="0" w:color="FFFFFF"/>
            </w:tcBorders>
            <w:noWrap/>
            <w:vAlign w:val="bottom"/>
            <w:hideMark/>
          </w:tcPr>
          <w:p w14:paraId="5A0FA0DF"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15 (</w:t>
            </w:r>
            <w:proofErr w:type="gramStart"/>
            <w:r w:rsidRPr="00650DFF">
              <w:rPr>
                <w:rFonts w:ascii="Times New Roman" w:hAnsi="Times New Roman"/>
                <w:color w:val="000000"/>
                <w:sz w:val="20"/>
                <w:szCs w:val="20"/>
              </w:rPr>
              <w:t>19.0)a</w:t>
            </w:r>
            <w:proofErr w:type="gramEnd"/>
          </w:p>
        </w:tc>
        <w:tc>
          <w:tcPr>
            <w:tcW w:w="960" w:type="dxa"/>
            <w:vMerge/>
            <w:tcBorders>
              <w:top w:val="nil"/>
              <w:left w:val="single" w:sz="4" w:space="0" w:color="FFFFFF"/>
              <w:bottom w:val="single" w:sz="4" w:space="0" w:color="000000"/>
              <w:right w:val="nil"/>
            </w:tcBorders>
            <w:vAlign w:val="center"/>
            <w:hideMark/>
          </w:tcPr>
          <w:p w14:paraId="249B6394"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2D108DE0"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7B44A5E5"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139D306A"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Complete high school</w:t>
            </w:r>
          </w:p>
        </w:tc>
        <w:tc>
          <w:tcPr>
            <w:tcW w:w="1590" w:type="dxa"/>
            <w:tcBorders>
              <w:top w:val="nil"/>
              <w:left w:val="nil"/>
              <w:bottom w:val="single" w:sz="4" w:space="0" w:color="FFFFFF"/>
              <w:right w:val="nil"/>
            </w:tcBorders>
            <w:noWrap/>
            <w:vAlign w:val="bottom"/>
            <w:hideMark/>
          </w:tcPr>
          <w:p w14:paraId="10570D7B"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96 (</w:t>
            </w:r>
            <w:proofErr w:type="gramStart"/>
            <w:r w:rsidRPr="00650DFF">
              <w:rPr>
                <w:rFonts w:ascii="Times New Roman" w:hAnsi="Times New Roman"/>
                <w:color w:val="000000"/>
                <w:sz w:val="20"/>
                <w:szCs w:val="20"/>
              </w:rPr>
              <w:t>60.8)a</w:t>
            </w:r>
            <w:proofErr w:type="gramEnd"/>
          </w:p>
        </w:tc>
        <w:tc>
          <w:tcPr>
            <w:tcW w:w="1660" w:type="dxa"/>
            <w:tcBorders>
              <w:top w:val="nil"/>
              <w:left w:val="single" w:sz="4" w:space="0" w:color="FFFFFF"/>
              <w:bottom w:val="single" w:sz="4" w:space="0" w:color="FFFFFF"/>
              <w:right w:val="single" w:sz="4" w:space="0" w:color="FFFFFF"/>
            </w:tcBorders>
            <w:noWrap/>
            <w:vAlign w:val="bottom"/>
            <w:hideMark/>
          </w:tcPr>
          <w:p w14:paraId="76ACD948"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39 (</w:t>
            </w:r>
            <w:proofErr w:type="gramStart"/>
            <w:r w:rsidRPr="00650DFF">
              <w:rPr>
                <w:rFonts w:ascii="Times New Roman" w:hAnsi="Times New Roman"/>
                <w:color w:val="000000"/>
                <w:sz w:val="20"/>
                <w:szCs w:val="20"/>
              </w:rPr>
              <w:t>49.4)a</w:t>
            </w:r>
            <w:proofErr w:type="gramEnd"/>
          </w:p>
        </w:tc>
        <w:tc>
          <w:tcPr>
            <w:tcW w:w="960" w:type="dxa"/>
            <w:vMerge/>
            <w:tcBorders>
              <w:top w:val="nil"/>
              <w:left w:val="single" w:sz="4" w:space="0" w:color="FFFFFF"/>
              <w:bottom w:val="single" w:sz="4" w:space="0" w:color="000000"/>
              <w:right w:val="nil"/>
            </w:tcBorders>
            <w:vAlign w:val="center"/>
            <w:hideMark/>
          </w:tcPr>
          <w:p w14:paraId="6018A8CC"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2F40905D"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6F1F9633"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29D21BD7"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Incomplete higher school</w:t>
            </w:r>
          </w:p>
        </w:tc>
        <w:tc>
          <w:tcPr>
            <w:tcW w:w="1590" w:type="dxa"/>
            <w:tcBorders>
              <w:top w:val="nil"/>
              <w:left w:val="nil"/>
              <w:bottom w:val="single" w:sz="4" w:space="0" w:color="FFFFFF"/>
              <w:right w:val="nil"/>
            </w:tcBorders>
            <w:noWrap/>
            <w:vAlign w:val="bottom"/>
            <w:hideMark/>
          </w:tcPr>
          <w:p w14:paraId="7C82BD93"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4 (</w:t>
            </w:r>
            <w:proofErr w:type="gramStart"/>
            <w:r w:rsidRPr="00650DFF">
              <w:rPr>
                <w:rFonts w:ascii="Times New Roman" w:hAnsi="Times New Roman"/>
                <w:color w:val="000000"/>
                <w:sz w:val="20"/>
                <w:szCs w:val="20"/>
              </w:rPr>
              <w:t>2.5)a</w:t>
            </w:r>
            <w:proofErr w:type="gramEnd"/>
          </w:p>
        </w:tc>
        <w:tc>
          <w:tcPr>
            <w:tcW w:w="1660" w:type="dxa"/>
            <w:tcBorders>
              <w:top w:val="nil"/>
              <w:left w:val="single" w:sz="4" w:space="0" w:color="FFFFFF"/>
              <w:bottom w:val="single" w:sz="4" w:space="0" w:color="FFFFFF"/>
              <w:right w:val="single" w:sz="4" w:space="0" w:color="FFFFFF"/>
            </w:tcBorders>
            <w:noWrap/>
            <w:vAlign w:val="bottom"/>
            <w:hideMark/>
          </w:tcPr>
          <w:p w14:paraId="3EAFB2A1"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 (</w:t>
            </w:r>
            <w:proofErr w:type="gramStart"/>
            <w:r w:rsidRPr="00650DFF">
              <w:rPr>
                <w:rFonts w:ascii="Times New Roman" w:hAnsi="Times New Roman"/>
                <w:color w:val="000000"/>
                <w:sz w:val="20"/>
                <w:szCs w:val="20"/>
              </w:rPr>
              <w:t>1.3)a</w:t>
            </w:r>
            <w:proofErr w:type="gramEnd"/>
          </w:p>
        </w:tc>
        <w:tc>
          <w:tcPr>
            <w:tcW w:w="960" w:type="dxa"/>
            <w:vMerge/>
            <w:tcBorders>
              <w:top w:val="nil"/>
              <w:left w:val="single" w:sz="4" w:space="0" w:color="FFFFFF"/>
              <w:bottom w:val="single" w:sz="4" w:space="0" w:color="000000"/>
              <w:right w:val="nil"/>
            </w:tcBorders>
            <w:vAlign w:val="center"/>
            <w:hideMark/>
          </w:tcPr>
          <w:p w14:paraId="756498A3"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7B26BA1A" w14:textId="77777777" w:rsidTr="00F250C4">
        <w:trPr>
          <w:trHeight w:val="300"/>
        </w:trPr>
        <w:tc>
          <w:tcPr>
            <w:tcW w:w="2250" w:type="dxa"/>
            <w:tcBorders>
              <w:top w:val="nil"/>
              <w:left w:val="nil"/>
              <w:bottom w:val="single" w:sz="4" w:space="0" w:color="auto"/>
              <w:right w:val="single" w:sz="4" w:space="0" w:color="FFFFFF"/>
            </w:tcBorders>
            <w:noWrap/>
            <w:vAlign w:val="bottom"/>
            <w:hideMark/>
          </w:tcPr>
          <w:p w14:paraId="5AEF1008"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auto"/>
              <w:right w:val="single" w:sz="4" w:space="0" w:color="FFFFFF"/>
            </w:tcBorders>
            <w:noWrap/>
            <w:vAlign w:val="bottom"/>
            <w:hideMark/>
          </w:tcPr>
          <w:p w14:paraId="2046F15A"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Complete higher school</w:t>
            </w:r>
          </w:p>
        </w:tc>
        <w:tc>
          <w:tcPr>
            <w:tcW w:w="1590" w:type="dxa"/>
            <w:tcBorders>
              <w:top w:val="nil"/>
              <w:left w:val="nil"/>
              <w:bottom w:val="single" w:sz="4" w:space="0" w:color="auto"/>
              <w:right w:val="nil"/>
            </w:tcBorders>
            <w:noWrap/>
            <w:vAlign w:val="bottom"/>
            <w:hideMark/>
          </w:tcPr>
          <w:p w14:paraId="5CA5D97E"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9 (</w:t>
            </w:r>
            <w:proofErr w:type="gramStart"/>
            <w:r w:rsidRPr="00650DFF">
              <w:rPr>
                <w:rFonts w:ascii="Times New Roman" w:hAnsi="Times New Roman"/>
                <w:color w:val="000000"/>
                <w:sz w:val="20"/>
                <w:szCs w:val="20"/>
              </w:rPr>
              <w:t>5.7)a</w:t>
            </w:r>
            <w:proofErr w:type="gramEnd"/>
          </w:p>
        </w:tc>
        <w:tc>
          <w:tcPr>
            <w:tcW w:w="1660" w:type="dxa"/>
            <w:tcBorders>
              <w:top w:val="nil"/>
              <w:left w:val="single" w:sz="4" w:space="0" w:color="FFFFFF"/>
              <w:bottom w:val="single" w:sz="4" w:space="0" w:color="auto"/>
              <w:right w:val="single" w:sz="4" w:space="0" w:color="FFFFFF"/>
            </w:tcBorders>
            <w:noWrap/>
            <w:vAlign w:val="bottom"/>
            <w:hideMark/>
          </w:tcPr>
          <w:p w14:paraId="6195A1C5"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6 (</w:t>
            </w:r>
            <w:proofErr w:type="gramStart"/>
            <w:r w:rsidRPr="00650DFF">
              <w:rPr>
                <w:rFonts w:ascii="Times New Roman" w:hAnsi="Times New Roman"/>
                <w:color w:val="000000"/>
                <w:sz w:val="20"/>
                <w:szCs w:val="20"/>
              </w:rPr>
              <w:t>7.6)a</w:t>
            </w:r>
            <w:proofErr w:type="gramEnd"/>
          </w:p>
        </w:tc>
        <w:tc>
          <w:tcPr>
            <w:tcW w:w="960" w:type="dxa"/>
            <w:vMerge/>
            <w:tcBorders>
              <w:top w:val="nil"/>
              <w:left w:val="single" w:sz="4" w:space="0" w:color="FFFFFF"/>
              <w:bottom w:val="single" w:sz="4" w:space="0" w:color="000000"/>
              <w:right w:val="nil"/>
            </w:tcBorders>
            <w:vAlign w:val="center"/>
            <w:hideMark/>
          </w:tcPr>
          <w:p w14:paraId="446BEB17"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1C2C2244"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17BE751A" w14:textId="77777777" w:rsidR="00F250C4" w:rsidRPr="00650DFF" w:rsidRDefault="00F250C4" w:rsidP="00471836">
            <w:pPr>
              <w:spacing w:after="0" w:line="240" w:lineRule="auto"/>
              <w:rPr>
                <w:rFonts w:ascii="Times New Roman" w:hAnsi="Times New Roman"/>
                <w:b/>
                <w:bCs/>
                <w:color w:val="000000"/>
                <w:sz w:val="20"/>
                <w:szCs w:val="20"/>
              </w:rPr>
            </w:pPr>
            <w:r w:rsidRPr="00650DFF">
              <w:rPr>
                <w:rFonts w:ascii="Times New Roman" w:hAnsi="Times New Roman"/>
                <w:b/>
                <w:bCs/>
                <w:color w:val="000000"/>
                <w:sz w:val="20"/>
                <w:szCs w:val="20"/>
              </w:rPr>
              <w:t xml:space="preserve">Family income </w:t>
            </w:r>
            <w:r w:rsidRPr="00650DFF">
              <w:rPr>
                <w:rFonts w:ascii="Times New Roman" w:hAnsi="Times New Roman"/>
                <w:color w:val="000000"/>
                <w:sz w:val="20"/>
                <w:szCs w:val="20"/>
              </w:rPr>
              <w:t>n (%)</w:t>
            </w:r>
          </w:p>
        </w:tc>
        <w:tc>
          <w:tcPr>
            <w:tcW w:w="1436" w:type="dxa"/>
            <w:tcBorders>
              <w:top w:val="nil"/>
              <w:left w:val="nil"/>
              <w:bottom w:val="single" w:sz="4" w:space="0" w:color="FFFFFF"/>
              <w:right w:val="single" w:sz="4" w:space="0" w:color="FFFFFF"/>
            </w:tcBorders>
            <w:noWrap/>
            <w:vAlign w:val="bottom"/>
            <w:hideMark/>
          </w:tcPr>
          <w:p w14:paraId="009F3174"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Up to minimum wage</w:t>
            </w:r>
          </w:p>
        </w:tc>
        <w:tc>
          <w:tcPr>
            <w:tcW w:w="1590" w:type="dxa"/>
            <w:tcBorders>
              <w:top w:val="nil"/>
              <w:left w:val="nil"/>
              <w:bottom w:val="single" w:sz="4" w:space="0" w:color="FFFFFF"/>
              <w:right w:val="nil"/>
            </w:tcBorders>
            <w:noWrap/>
            <w:vAlign w:val="bottom"/>
            <w:hideMark/>
          </w:tcPr>
          <w:p w14:paraId="7638DBCB"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 (</w:t>
            </w:r>
            <w:proofErr w:type="gramStart"/>
            <w:r w:rsidRPr="00650DFF">
              <w:rPr>
                <w:rFonts w:ascii="Times New Roman" w:hAnsi="Times New Roman"/>
                <w:color w:val="000000"/>
                <w:sz w:val="20"/>
                <w:szCs w:val="20"/>
              </w:rPr>
              <w:t>0.6)a</w:t>
            </w:r>
            <w:proofErr w:type="gramEnd"/>
          </w:p>
        </w:tc>
        <w:tc>
          <w:tcPr>
            <w:tcW w:w="1660" w:type="dxa"/>
            <w:tcBorders>
              <w:top w:val="nil"/>
              <w:left w:val="single" w:sz="4" w:space="0" w:color="FFFFFF"/>
              <w:bottom w:val="single" w:sz="4" w:space="0" w:color="FFFFFF"/>
              <w:right w:val="single" w:sz="4" w:space="0" w:color="FFFFFF"/>
            </w:tcBorders>
            <w:noWrap/>
            <w:vAlign w:val="bottom"/>
            <w:hideMark/>
          </w:tcPr>
          <w:p w14:paraId="7E5504D6"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6 (</w:t>
            </w:r>
            <w:proofErr w:type="gramStart"/>
            <w:r w:rsidRPr="00650DFF">
              <w:rPr>
                <w:rFonts w:ascii="Times New Roman" w:hAnsi="Times New Roman"/>
                <w:color w:val="000000"/>
                <w:sz w:val="20"/>
                <w:szCs w:val="20"/>
              </w:rPr>
              <w:t>7.6)b</w:t>
            </w:r>
            <w:proofErr w:type="gramEnd"/>
          </w:p>
        </w:tc>
        <w:tc>
          <w:tcPr>
            <w:tcW w:w="960" w:type="dxa"/>
            <w:vMerge w:val="restart"/>
            <w:tcBorders>
              <w:top w:val="nil"/>
              <w:left w:val="single" w:sz="4" w:space="0" w:color="FFFFFF"/>
              <w:bottom w:val="single" w:sz="4" w:space="0" w:color="000000"/>
              <w:right w:val="nil"/>
            </w:tcBorders>
            <w:noWrap/>
            <w:vAlign w:val="center"/>
            <w:hideMark/>
          </w:tcPr>
          <w:p w14:paraId="1EA7887F" w14:textId="77777777" w:rsidR="00F250C4" w:rsidRPr="00650DFF" w:rsidRDefault="00F250C4" w:rsidP="00471836">
            <w:pPr>
              <w:spacing w:after="0" w:line="240" w:lineRule="auto"/>
              <w:jc w:val="center"/>
              <w:rPr>
                <w:rFonts w:ascii="Times New Roman" w:hAnsi="Times New Roman"/>
                <w:color w:val="000000"/>
                <w:sz w:val="20"/>
                <w:szCs w:val="20"/>
              </w:rPr>
            </w:pPr>
            <w:r w:rsidRPr="00650DFF">
              <w:rPr>
                <w:rFonts w:ascii="Times New Roman" w:hAnsi="Times New Roman"/>
                <w:color w:val="000000"/>
                <w:sz w:val="20"/>
                <w:szCs w:val="20"/>
              </w:rPr>
              <w:t>0.024</w:t>
            </w:r>
          </w:p>
        </w:tc>
      </w:tr>
      <w:tr w:rsidR="00F250C4" w:rsidRPr="00650DFF" w14:paraId="1ABA6395"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642B5208"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6CF6FA1C"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From 1 to 3 minimum wages</w:t>
            </w:r>
          </w:p>
        </w:tc>
        <w:tc>
          <w:tcPr>
            <w:tcW w:w="1590" w:type="dxa"/>
            <w:tcBorders>
              <w:top w:val="nil"/>
              <w:left w:val="nil"/>
              <w:bottom w:val="single" w:sz="4" w:space="0" w:color="FFFFFF"/>
              <w:right w:val="nil"/>
            </w:tcBorders>
            <w:noWrap/>
            <w:vAlign w:val="bottom"/>
            <w:hideMark/>
          </w:tcPr>
          <w:p w14:paraId="59E5F204"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109 (</w:t>
            </w:r>
            <w:proofErr w:type="gramStart"/>
            <w:r w:rsidRPr="00650DFF">
              <w:rPr>
                <w:rFonts w:ascii="Times New Roman" w:hAnsi="Times New Roman"/>
                <w:color w:val="000000"/>
                <w:sz w:val="20"/>
                <w:szCs w:val="20"/>
              </w:rPr>
              <w:t>69.0)a</w:t>
            </w:r>
            <w:proofErr w:type="gramEnd"/>
          </w:p>
        </w:tc>
        <w:tc>
          <w:tcPr>
            <w:tcW w:w="1660" w:type="dxa"/>
            <w:tcBorders>
              <w:top w:val="nil"/>
              <w:left w:val="single" w:sz="4" w:space="0" w:color="FFFFFF"/>
              <w:bottom w:val="single" w:sz="4" w:space="0" w:color="FFFFFF"/>
              <w:right w:val="single" w:sz="4" w:space="0" w:color="FFFFFF"/>
            </w:tcBorders>
            <w:noWrap/>
            <w:vAlign w:val="bottom"/>
            <w:hideMark/>
          </w:tcPr>
          <w:p w14:paraId="65826861"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48 (</w:t>
            </w:r>
            <w:proofErr w:type="gramStart"/>
            <w:r w:rsidRPr="00650DFF">
              <w:rPr>
                <w:rFonts w:ascii="Times New Roman" w:hAnsi="Times New Roman"/>
                <w:color w:val="000000"/>
                <w:sz w:val="20"/>
                <w:szCs w:val="20"/>
              </w:rPr>
              <w:t>60.8)a</w:t>
            </w:r>
            <w:proofErr w:type="gramEnd"/>
          </w:p>
        </w:tc>
        <w:tc>
          <w:tcPr>
            <w:tcW w:w="960" w:type="dxa"/>
            <w:vMerge/>
            <w:tcBorders>
              <w:top w:val="nil"/>
              <w:left w:val="single" w:sz="4" w:space="0" w:color="FFFFFF"/>
              <w:bottom w:val="single" w:sz="4" w:space="0" w:color="000000"/>
              <w:right w:val="nil"/>
            </w:tcBorders>
            <w:vAlign w:val="center"/>
            <w:hideMark/>
          </w:tcPr>
          <w:p w14:paraId="56EB44C7"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60D2E2DF"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7B8B0412"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1F28288B"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From 3 to 5 minimum wages</w:t>
            </w:r>
          </w:p>
        </w:tc>
        <w:tc>
          <w:tcPr>
            <w:tcW w:w="1590" w:type="dxa"/>
            <w:tcBorders>
              <w:top w:val="nil"/>
              <w:left w:val="nil"/>
              <w:bottom w:val="single" w:sz="4" w:space="0" w:color="FFFFFF"/>
              <w:right w:val="nil"/>
            </w:tcBorders>
            <w:noWrap/>
            <w:vAlign w:val="bottom"/>
            <w:hideMark/>
          </w:tcPr>
          <w:p w14:paraId="62A815AA"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44 (</w:t>
            </w:r>
            <w:proofErr w:type="gramStart"/>
            <w:r w:rsidRPr="00650DFF">
              <w:rPr>
                <w:rFonts w:ascii="Times New Roman" w:hAnsi="Times New Roman"/>
                <w:color w:val="000000"/>
                <w:sz w:val="20"/>
                <w:szCs w:val="20"/>
              </w:rPr>
              <w:t>27.8)a</w:t>
            </w:r>
            <w:proofErr w:type="gramEnd"/>
          </w:p>
        </w:tc>
        <w:tc>
          <w:tcPr>
            <w:tcW w:w="1660" w:type="dxa"/>
            <w:tcBorders>
              <w:top w:val="nil"/>
              <w:left w:val="single" w:sz="4" w:space="0" w:color="FFFFFF"/>
              <w:bottom w:val="single" w:sz="4" w:space="0" w:color="FFFFFF"/>
              <w:right w:val="single" w:sz="4" w:space="0" w:color="FFFFFF"/>
            </w:tcBorders>
            <w:noWrap/>
            <w:vAlign w:val="bottom"/>
            <w:hideMark/>
          </w:tcPr>
          <w:p w14:paraId="65540B4C"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22 (</w:t>
            </w:r>
            <w:proofErr w:type="gramStart"/>
            <w:r w:rsidRPr="00650DFF">
              <w:rPr>
                <w:rFonts w:ascii="Times New Roman" w:hAnsi="Times New Roman"/>
                <w:color w:val="000000"/>
                <w:sz w:val="20"/>
                <w:szCs w:val="20"/>
              </w:rPr>
              <w:t>27.8)a</w:t>
            </w:r>
            <w:proofErr w:type="gramEnd"/>
          </w:p>
        </w:tc>
        <w:tc>
          <w:tcPr>
            <w:tcW w:w="960" w:type="dxa"/>
            <w:vMerge/>
            <w:tcBorders>
              <w:top w:val="nil"/>
              <w:left w:val="single" w:sz="4" w:space="0" w:color="FFFFFF"/>
              <w:bottom w:val="single" w:sz="4" w:space="0" w:color="000000"/>
              <w:right w:val="nil"/>
            </w:tcBorders>
            <w:vAlign w:val="center"/>
            <w:hideMark/>
          </w:tcPr>
          <w:p w14:paraId="64425C11"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645DAD76" w14:textId="77777777" w:rsidTr="00F250C4">
        <w:trPr>
          <w:trHeight w:val="300"/>
        </w:trPr>
        <w:tc>
          <w:tcPr>
            <w:tcW w:w="2250" w:type="dxa"/>
            <w:tcBorders>
              <w:top w:val="nil"/>
              <w:left w:val="nil"/>
              <w:bottom w:val="single" w:sz="4" w:space="0" w:color="auto"/>
              <w:right w:val="single" w:sz="4" w:space="0" w:color="FFFFFF"/>
            </w:tcBorders>
            <w:noWrap/>
            <w:vAlign w:val="bottom"/>
            <w:hideMark/>
          </w:tcPr>
          <w:p w14:paraId="15567808"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auto"/>
              <w:right w:val="single" w:sz="4" w:space="0" w:color="FFFFFF"/>
            </w:tcBorders>
            <w:noWrap/>
            <w:vAlign w:val="bottom"/>
            <w:hideMark/>
          </w:tcPr>
          <w:p w14:paraId="3147776A"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Above 5 minimum wages</w:t>
            </w:r>
          </w:p>
        </w:tc>
        <w:tc>
          <w:tcPr>
            <w:tcW w:w="1590" w:type="dxa"/>
            <w:tcBorders>
              <w:top w:val="nil"/>
              <w:left w:val="nil"/>
              <w:bottom w:val="single" w:sz="4" w:space="0" w:color="auto"/>
              <w:right w:val="nil"/>
            </w:tcBorders>
            <w:noWrap/>
            <w:vAlign w:val="bottom"/>
            <w:hideMark/>
          </w:tcPr>
          <w:p w14:paraId="1DBCF34E"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4 (</w:t>
            </w:r>
            <w:proofErr w:type="gramStart"/>
            <w:r w:rsidRPr="00650DFF">
              <w:rPr>
                <w:rFonts w:ascii="Times New Roman" w:hAnsi="Times New Roman"/>
                <w:color w:val="000000"/>
                <w:sz w:val="20"/>
                <w:szCs w:val="20"/>
              </w:rPr>
              <w:t>2.5)a</w:t>
            </w:r>
            <w:proofErr w:type="gramEnd"/>
          </w:p>
        </w:tc>
        <w:tc>
          <w:tcPr>
            <w:tcW w:w="1660" w:type="dxa"/>
            <w:tcBorders>
              <w:top w:val="nil"/>
              <w:left w:val="single" w:sz="4" w:space="0" w:color="FFFFFF"/>
              <w:bottom w:val="single" w:sz="4" w:space="0" w:color="auto"/>
              <w:right w:val="single" w:sz="4" w:space="0" w:color="FFFFFF"/>
            </w:tcBorders>
            <w:noWrap/>
            <w:vAlign w:val="bottom"/>
            <w:hideMark/>
          </w:tcPr>
          <w:p w14:paraId="74CEA9FC"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3 (</w:t>
            </w:r>
            <w:proofErr w:type="gramStart"/>
            <w:r w:rsidRPr="00650DFF">
              <w:rPr>
                <w:rFonts w:ascii="Times New Roman" w:hAnsi="Times New Roman"/>
                <w:color w:val="000000"/>
                <w:sz w:val="20"/>
                <w:szCs w:val="20"/>
              </w:rPr>
              <w:t>3.8)a</w:t>
            </w:r>
            <w:proofErr w:type="gramEnd"/>
          </w:p>
        </w:tc>
        <w:tc>
          <w:tcPr>
            <w:tcW w:w="960" w:type="dxa"/>
            <w:vMerge/>
            <w:tcBorders>
              <w:top w:val="nil"/>
              <w:left w:val="single" w:sz="4" w:space="0" w:color="FFFFFF"/>
              <w:bottom w:val="single" w:sz="4" w:space="0" w:color="000000"/>
              <w:right w:val="nil"/>
            </w:tcBorders>
            <w:vAlign w:val="center"/>
            <w:hideMark/>
          </w:tcPr>
          <w:p w14:paraId="375C20A8"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48D6E1D1"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78D47F4D" w14:textId="77777777" w:rsidR="00F250C4" w:rsidRPr="00650DFF" w:rsidRDefault="00F250C4" w:rsidP="00F250C4">
            <w:pPr>
              <w:spacing w:after="0" w:line="276" w:lineRule="auto"/>
              <w:rPr>
                <w:rFonts w:ascii="Times New Roman" w:hAnsi="Times New Roman"/>
                <w:b/>
                <w:bCs/>
                <w:color w:val="000000"/>
                <w:sz w:val="20"/>
                <w:szCs w:val="20"/>
              </w:rPr>
            </w:pPr>
            <w:r w:rsidRPr="00650DFF">
              <w:rPr>
                <w:rFonts w:ascii="Times New Roman" w:hAnsi="Times New Roman"/>
                <w:b/>
                <w:bCs/>
                <w:color w:val="000000"/>
                <w:sz w:val="20"/>
                <w:szCs w:val="20"/>
              </w:rPr>
              <w:t xml:space="preserve">Who lives with </w:t>
            </w:r>
            <w:r w:rsidRPr="00650DFF">
              <w:rPr>
                <w:rFonts w:ascii="Times New Roman" w:hAnsi="Times New Roman"/>
                <w:color w:val="000000"/>
                <w:sz w:val="20"/>
                <w:szCs w:val="20"/>
              </w:rPr>
              <w:t>n (%)</w:t>
            </w:r>
          </w:p>
        </w:tc>
        <w:tc>
          <w:tcPr>
            <w:tcW w:w="1436" w:type="dxa"/>
            <w:tcBorders>
              <w:top w:val="nil"/>
              <w:left w:val="nil"/>
              <w:bottom w:val="single" w:sz="4" w:space="0" w:color="FFFFFF"/>
              <w:right w:val="single" w:sz="4" w:space="0" w:color="FFFFFF"/>
            </w:tcBorders>
            <w:noWrap/>
            <w:vAlign w:val="bottom"/>
            <w:hideMark/>
          </w:tcPr>
          <w:p w14:paraId="0B249B58"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Father and Mother</w:t>
            </w:r>
          </w:p>
        </w:tc>
        <w:tc>
          <w:tcPr>
            <w:tcW w:w="1590" w:type="dxa"/>
            <w:tcBorders>
              <w:top w:val="nil"/>
              <w:left w:val="nil"/>
              <w:bottom w:val="single" w:sz="4" w:space="0" w:color="FFFFFF"/>
              <w:right w:val="nil"/>
            </w:tcBorders>
            <w:noWrap/>
            <w:vAlign w:val="bottom"/>
            <w:hideMark/>
          </w:tcPr>
          <w:p w14:paraId="166847E0"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128 (</w:t>
            </w:r>
            <w:proofErr w:type="gramStart"/>
            <w:r w:rsidRPr="00650DFF">
              <w:rPr>
                <w:rFonts w:ascii="Times New Roman" w:hAnsi="Times New Roman"/>
                <w:color w:val="000000"/>
                <w:sz w:val="20"/>
                <w:szCs w:val="20"/>
              </w:rPr>
              <w:t>81.0)a</w:t>
            </w:r>
            <w:proofErr w:type="gramEnd"/>
          </w:p>
        </w:tc>
        <w:tc>
          <w:tcPr>
            <w:tcW w:w="1660" w:type="dxa"/>
            <w:tcBorders>
              <w:top w:val="nil"/>
              <w:left w:val="single" w:sz="4" w:space="0" w:color="FFFFFF"/>
              <w:bottom w:val="single" w:sz="4" w:space="0" w:color="FFFFFF"/>
              <w:right w:val="single" w:sz="4" w:space="0" w:color="FFFFFF"/>
            </w:tcBorders>
            <w:noWrap/>
            <w:vAlign w:val="bottom"/>
            <w:hideMark/>
          </w:tcPr>
          <w:p w14:paraId="399A2C19"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54 (</w:t>
            </w:r>
            <w:proofErr w:type="gramStart"/>
            <w:r w:rsidRPr="00650DFF">
              <w:rPr>
                <w:rFonts w:ascii="Times New Roman" w:hAnsi="Times New Roman"/>
                <w:color w:val="000000"/>
                <w:sz w:val="20"/>
                <w:szCs w:val="20"/>
              </w:rPr>
              <w:t>68.4)b</w:t>
            </w:r>
            <w:proofErr w:type="gramEnd"/>
          </w:p>
        </w:tc>
        <w:tc>
          <w:tcPr>
            <w:tcW w:w="960" w:type="dxa"/>
            <w:vMerge w:val="restart"/>
            <w:tcBorders>
              <w:top w:val="nil"/>
              <w:left w:val="single" w:sz="4" w:space="0" w:color="FFFFFF"/>
              <w:bottom w:val="single" w:sz="4" w:space="0" w:color="000000"/>
              <w:right w:val="nil"/>
            </w:tcBorders>
            <w:noWrap/>
            <w:vAlign w:val="center"/>
            <w:hideMark/>
          </w:tcPr>
          <w:p w14:paraId="6A9A9F1C" w14:textId="77777777" w:rsidR="00F250C4" w:rsidRPr="00650DFF" w:rsidRDefault="00F250C4" w:rsidP="00F250C4">
            <w:pPr>
              <w:spacing w:after="0" w:line="276" w:lineRule="auto"/>
              <w:jc w:val="center"/>
              <w:rPr>
                <w:rFonts w:ascii="Times New Roman" w:hAnsi="Times New Roman"/>
                <w:color w:val="000000"/>
                <w:sz w:val="20"/>
                <w:szCs w:val="20"/>
              </w:rPr>
            </w:pPr>
            <w:r w:rsidRPr="00650DFF">
              <w:rPr>
                <w:rFonts w:ascii="Times New Roman" w:hAnsi="Times New Roman"/>
                <w:color w:val="000000"/>
                <w:sz w:val="20"/>
                <w:szCs w:val="20"/>
              </w:rPr>
              <w:t>0.000</w:t>
            </w:r>
          </w:p>
        </w:tc>
      </w:tr>
      <w:tr w:rsidR="00F250C4" w:rsidRPr="00650DFF" w14:paraId="6EE7164E"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76A1F74C" w14:textId="77777777" w:rsidR="00F250C4" w:rsidRPr="00650DFF" w:rsidRDefault="00F250C4" w:rsidP="00F250C4">
            <w:pPr>
              <w:spacing w:after="0" w:line="276"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3E991FC9"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Father only</w:t>
            </w:r>
          </w:p>
        </w:tc>
        <w:tc>
          <w:tcPr>
            <w:tcW w:w="1590" w:type="dxa"/>
            <w:tcBorders>
              <w:top w:val="nil"/>
              <w:left w:val="nil"/>
              <w:bottom w:val="single" w:sz="4" w:space="0" w:color="FFFFFF"/>
              <w:right w:val="nil"/>
            </w:tcBorders>
            <w:noWrap/>
            <w:vAlign w:val="bottom"/>
            <w:hideMark/>
          </w:tcPr>
          <w:p w14:paraId="1365418E"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3 (</w:t>
            </w:r>
            <w:proofErr w:type="gramStart"/>
            <w:r w:rsidRPr="00650DFF">
              <w:rPr>
                <w:rFonts w:ascii="Times New Roman" w:hAnsi="Times New Roman"/>
                <w:color w:val="000000"/>
                <w:sz w:val="20"/>
                <w:szCs w:val="20"/>
              </w:rPr>
              <w:t>1.9)a</w:t>
            </w:r>
            <w:proofErr w:type="gramEnd"/>
          </w:p>
        </w:tc>
        <w:tc>
          <w:tcPr>
            <w:tcW w:w="1660" w:type="dxa"/>
            <w:tcBorders>
              <w:top w:val="nil"/>
              <w:left w:val="single" w:sz="4" w:space="0" w:color="FFFFFF"/>
              <w:bottom w:val="single" w:sz="4" w:space="0" w:color="FFFFFF"/>
              <w:right w:val="single" w:sz="4" w:space="0" w:color="FFFFFF"/>
            </w:tcBorders>
            <w:noWrap/>
            <w:vAlign w:val="bottom"/>
            <w:hideMark/>
          </w:tcPr>
          <w:p w14:paraId="2E90AEC4"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2 (</w:t>
            </w:r>
            <w:proofErr w:type="gramStart"/>
            <w:r w:rsidRPr="00650DFF">
              <w:rPr>
                <w:rFonts w:ascii="Times New Roman" w:hAnsi="Times New Roman"/>
                <w:color w:val="000000"/>
                <w:sz w:val="20"/>
                <w:szCs w:val="20"/>
              </w:rPr>
              <w:t>2.5)a</w:t>
            </w:r>
            <w:proofErr w:type="gramEnd"/>
          </w:p>
        </w:tc>
        <w:tc>
          <w:tcPr>
            <w:tcW w:w="960" w:type="dxa"/>
            <w:vMerge/>
            <w:tcBorders>
              <w:top w:val="nil"/>
              <w:left w:val="single" w:sz="4" w:space="0" w:color="FFFFFF"/>
              <w:bottom w:val="single" w:sz="4" w:space="0" w:color="000000"/>
              <w:right w:val="nil"/>
            </w:tcBorders>
            <w:vAlign w:val="center"/>
            <w:hideMark/>
          </w:tcPr>
          <w:p w14:paraId="7F8D684C" w14:textId="77777777" w:rsidR="00F250C4" w:rsidRPr="00650DFF" w:rsidRDefault="00F250C4" w:rsidP="00F250C4">
            <w:pPr>
              <w:spacing w:after="0" w:line="276" w:lineRule="auto"/>
              <w:rPr>
                <w:rFonts w:ascii="Times New Roman" w:hAnsi="Times New Roman"/>
                <w:color w:val="000000"/>
                <w:sz w:val="20"/>
                <w:szCs w:val="20"/>
              </w:rPr>
            </w:pPr>
          </w:p>
        </w:tc>
      </w:tr>
      <w:tr w:rsidR="00F250C4" w:rsidRPr="00650DFF" w14:paraId="616CBA99"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324FA15A" w14:textId="77777777" w:rsidR="00F250C4" w:rsidRPr="00650DFF" w:rsidRDefault="00F250C4" w:rsidP="00F250C4">
            <w:pPr>
              <w:spacing w:after="0" w:line="276"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33EDCCA4"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Mother only</w:t>
            </w:r>
          </w:p>
        </w:tc>
        <w:tc>
          <w:tcPr>
            <w:tcW w:w="1590" w:type="dxa"/>
            <w:tcBorders>
              <w:top w:val="nil"/>
              <w:left w:val="nil"/>
              <w:bottom w:val="single" w:sz="4" w:space="0" w:color="FFFFFF"/>
              <w:right w:val="nil"/>
            </w:tcBorders>
            <w:noWrap/>
            <w:vAlign w:val="bottom"/>
            <w:hideMark/>
          </w:tcPr>
          <w:p w14:paraId="44D08C57"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26 (</w:t>
            </w:r>
            <w:proofErr w:type="gramStart"/>
            <w:r w:rsidRPr="00650DFF">
              <w:rPr>
                <w:rFonts w:ascii="Times New Roman" w:hAnsi="Times New Roman"/>
                <w:color w:val="000000"/>
                <w:sz w:val="20"/>
                <w:szCs w:val="20"/>
              </w:rPr>
              <w:t>16.5)a</w:t>
            </w:r>
            <w:proofErr w:type="gramEnd"/>
          </w:p>
        </w:tc>
        <w:tc>
          <w:tcPr>
            <w:tcW w:w="1660" w:type="dxa"/>
            <w:tcBorders>
              <w:top w:val="nil"/>
              <w:left w:val="single" w:sz="4" w:space="0" w:color="FFFFFF"/>
              <w:bottom w:val="single" w:sz="4" w:space="0" w:color="FFFFFF"/>
              <w:right w:val="single" w:sz="4" w:space="0" w:color="FFFFFF"/>
            </w:tcBorders>
            <w:noWrap/>
            <w:vAlign w:val="bottom"/>
            <w:hideMark/>
          </w:tcPr>
          <w:p w14:paraId="0FA4BA81"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12 (</w:t>
            </w:r>
            <w:proofErr w:type="gramStart"/>
            <w:r w:rsidRPr="00650DFF">
              <w:rPr>
                <w:rFonts w:ascii="Times New Roman" w:hAnsi="Times New Roman"/>
                <w:color w:val="000000"/>
                <w:sz w:val="20"/>
                <w:szCs w:val="20"/>
              </w:rPr>
              <w:t>15.2)a</w:t>
            </w:r>
            <w:proofErr w:type="gramEnd"/>
          </w:p>
        </w:tc>
        <w:tc>
          <w:tcPr>
            <w:tcW w:w="960" w:type="dxa"/>
            <w:vMerge/>
            <w:tcBorders>
              <w:top w:val="nil"/>
              <w:left w:val="single" w:sz="4" w:space="0" w:color="FFFFFF"/>
              <w:bottom w:val="single" w:sz="4" w:space="0" w:color="000000"/>
              <w:right w:val="nil"/>
            </w:tcBorders>
            <w:vAlign w:val="center"/>
            <w:hideMark/>
          </w:tcPr>
          <w:p w14:paraId="3D93929F" w14:textId="77777777" w:rsidR="00F250C4" w:rsidRPr="00650DFF" w:rsidRDefault="00F250C4" w:rsidP="00F250C4">
            <w:pPr>
              <w:spacing w:after="0" w:line="276" w:lineRule="auto"/>
              <w:rPr>
                <w:rFonts w:ascii="Times New Roman" w:hAnsi="Times New Roman"/>
                <w:color w:val="000000"/>
                <w:sz w:val="20"/>
                <w:szCs w:val="20"/>
              </w:rPr>
            </w:pPr>
          </w:p>
        </w:tc>
      </w:tr>
      <w:tr w:rsidR="00F250C4" w:rsidRPr="00650DFF" w14:paraId="5ADE1C76"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233F5B72" w14:textId="77777777" w:rsidR="00F250C4" w:rsidRPr="00650DFF" w:rsidRDefault="00F250C4" w:rsidP="00F250C4">
            <w:pPr>
              <w:spacing w:after="0" w:line="276"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50A3F26A"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 xml:space="preserve">Grandparents </w:t>
            </w:r>
          </w:p>
        </w:tc>
        <w:tc>
          <w:tcPr>
            <w:tcW w:w="1590" w:type="dxa"/>
            <w:tcBorders>
              <w:top w:val="nil"/>
              <w:left w:val="nil"/>
              <w:bottom w:val="single" w:sz="4" w:space="0" w:color="FFFFFF"/>
              <w:right w:val="nil"/>
            </w:tcBorders>
            <w:noWrap/>
            <w:vAlign w:val="bottom"/>
            <w:hideMark/>
          </w:tcPr>
          <w:p w14:paraId="3C97A9B8"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0 (</w:t>
            </w:r>
            <w:proofErr w:type="gramStart"/>
            <w:r w:rsidRPr="00650DFF">
              <w:rPr>
                <w:rFonts w:ascii="Times New Roman" w:hAnsi="Times New Roman"/>
                <w:color w:val="000000"/>
                <w:sz w:val="20"/>
                <w:szCs w:val="20"/>
              </w:rPr>
              <w:t>0.0)a</w:t>
            </w:r>
            <w:proofErr w:type="gramEnd"/>
          </w:p>
        </w:tc>
        <w:tc>
          <w:tcPr>
            <w:tcW w:w="1660" w:type="dxa"/>
            <w:tcBorders>
              <w:top w:val="nil"/>
              <w:left w:val="single" w:sz="4" w:space="0" w:color="FFFFFF"/>
              <w:bottom w:val="single" w:sz="4" w:space="0" w:color="FFFFFF"/>
              <w:right w:val="single" w:sz="4" w:space="0" w:color="FFFFFF"/>
            </w:tcBorders>
            <w:noWrap/>
            <w:vAlign w:val="bottom"/>
            <w:hideMark/>
          </w:tcPr>
          <w:p w14:paraId="2156D030"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6 (</w:t>
            </w:r>
            <w:proofErr w:type="gramStart"/>
            <w:r w:rsidRPr="00650DFF">
              <w:rPr>
                <w:rFonts w:ascii="Times New Roman" w:hAnsi="Times New Roman"/>
                <w:color w:val="000000"/>
                <w:sz w:val="20"/>
                <w:szCs w:val="20"/>
              </w:rPr>
              <w:t>7.6)b</w:t>
            </w:r>
            <w:proofErr w:type="gramEnd"/>
          </w:p>
        </w:tc>
        <w:tc>
          <w:tcPr>
            <w:tcW w:w="960" w:type="dxa"/>
            <w:vMerge/>
            <w:tcBorders>
              <w:top w:val="nil"/>
              <w:left w:val="single" w:sz="4" w:space="0" w:color="FFFFFF"/>
              <w:bottom w:val="single" w:sz="4" w:space="0" w:color="000000"/>
              <w:right w:val="nil"/>
            </w:tcBorders>
            <w:vAlign w:val="center"/>
            <w:hideMark/>
          </w:tcPr>
          <w:p w14:paraId="1A7D7AD6" w14:textId="77777777" w:rsidR="00F250C4" w:rsidRPr="00650DFF" w:rsidRDefault="00F250C4" w:rsidP="00F250C4">
            <w:pPr>
              <w:spacing w:after="0" w:line="276" w:lineRule="auto"/>
              <w:rPr>
                <w:rFonts w:ascii="Times New Roman" w:hAnsi="Times New Roman"/>
                <w:color w:val="000000"/>
                <w:sz w:val="20"/>
                <w:szCs w:val="20"/>
              </w:rPr>
            </w:pPr>
          </w:p>
        </w:tc>
      </w:tr>
      <w:tr w:rsidR="00F250C4" w:rsidRPr="00650DFF" w14:paraId="56255786" w14:textId="77777777" w:rsidTr="00F250C4">
        <w:trPr>
          <w:trHeight w:val="300"/>
        </w:trPr>
        <w:tc>
          <w:tcPr>
            <w:tcW w:w="2250" w:type="dxa"/>
            <w:tcBorders>
              <w:top w:val="nil"/>
              <w:left w:val="nil"/>
              <w:bottom w:val="single" w:sz="4" w:space="0" w:color="auto"/>
              <w:right w:val="single" w:sz="4" w:space="0" w:color="FFFFFF"/>
            </w:tcBorders>
            <w:noWrap/>
            <w:vAlign w:val="bottom"/>
            <w:hideMark/>
          </w:tcPr>
          <w:p w14:paraId="15F6C7F7" w14:textId="77777777" w:rsidR="00F250C4" w:rsidRPr="00650DFF" w:rsidRDefault="00F250C4" w:rsidP="00F250C4">
            <w:pPr>
              <w:spacing w:after="0" w:line="276"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auto"/>
              <w:right w:val="single" w:sz="4" w:space="0" w:color="FFFFFF"/>
            </w:tcBorders>
            <w:noWrap/>
            <w:vAlign w:val="bottom"/>
            <w:hideMark/>
          </w:tcPr>
          <w:p w14:paraId="37621431"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Guardian/Caregiver</w:t>
            </w:r>
          </w:p>
        </w:tc>
        <w:tc>
          <w:tcPr>
            <w:tcW w:w="1590" w:type="dxa"/>
            <w:tcBorders>
              <w:top w:val="nil"/>
              <w:left w:val="nil"/>
              <w:bottom w:val="single" w:sz="4" w:space="0" w:color="auto"/>
              <w:right w:val="nil"/>
            </w:tcBorders>
            <w:noWrap/>
            <w:vAlign w:val="bottom"/>
            <w:hideMark/>
          </w:tcPr>
          <w:p w14:paraId="48AD5DE3"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1 (</w:t>
            </w:r>
            <w:proofErr w:type="gramStart"/>
            <w:r w:rsidRPr="00650DFF">
              <w:rPr>
                <w:rFonts w:ascii="Times New Roman" w:hAnsi="Times New Roman"/>
                <w:color w:val="000000"/>
                <w:sz w:val="20"/>
                <w:szCs w:val="20"/>
              </w:rPr>
              <w:t>0.6)a</w:t>
            </w:r>
            <w:proofErr w:type="gramEnd"/>
          </w:p>
        </w:tc>
        <w:tc>
          <w:tcPr>
            <w:tcW w:w="1660" w:type="dxa"/>
            <w:tcBorders>
              <w:top w:val="nil"/>
              <w:left w:val="single" w:sz="4" w:space="0" w:color="FFFFFF"/>
              <w:bottom w:val="single" w:sz="4" w:space="0" w:color="auto"/>
              <w:right w:val="single" w:sz="4" w:space="0" w:color="FFFFFF"/>
            </w:tcBorders>
            <w:noWrap/>
            <w:vAlign w:val="bottom"/>
            <w:hideMark/>
          </w:tcPr>
          <w:p w14:paraId="3DF7AF3F"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5 (</w:t>
            </w:r>
            <w:proofErr w:type="gramStart"/>
            <w:r w:rsidRPr="00650DFF">
              <w:rPr>
                <w:rFonts w:ascii="Times New Roman" w:hAnsi="Times New Roman"/>
                <w:color w:val="000000"/>
                <w:sz w:val="20"/>
                <w:szCs w:val="20"/>
              </w:rPr>
              <w:t>6.3)b</w:t>
            </w:r>
            <w:proofErr w:type="gramEnd"/>
          </w:p>
        </w:tc>
        <w:tc>
          <w:tcPr>
            <w:tcW w:w="960" w:type="dxa"/>
            <w:vMerge/>
            <w:tcBorders>
              <w:top w:val="nil"/>
              <w:left w:val="single" w:sz="4" w:space="0" w:color="FFFFFF"/>
              <w:bottom w:val="single" w:sz="4" w:space="0" w:color="000000"/>
              <w:right w:val="nil"/>
            </w:tcBorders>
            <w:vAlign w:val="center"/>
            <w:hideMark/>
          </w:tcPr>
          <w:p w14:paraId="620ADF4C" w14:textId="77777777" w:rsidR="00F250C4" w:rsidRPr="00650DFF" w:rsidRDefault="00F250C4" w:rsidP="00F250C4">
            <w:pPr>
              <w:spacing w:after="0" w:line="276" w:lineRule="auto"/>
              <w:rPr>
                <w:rFonts w:ascii="Times New Roman" w:hAnsi="Times New Roman"/>
                <w:color w:val="000000"/>
                <w:sz w:val="20"/>
                <w:szCs w:val="20"/>
              </w:rPr>
            </w:pPr>
          </w:p>
        </w:tc>
      </w:tr>
      <w:tr w:rsidR="00F250C4" w:rsidRPr="00650DFF" w14:paraId="001CAD25"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719BA59D" w14:textId="77777777" w:rsidR="00F250C4" w:rsidRPr="00650DFF" w:rsidRDefault="00F250C4" w:rsidP="00F250C4">
            <w:pPr>
              <w:spacing w:after="0" w:line="276" w:lineRule="auto"/>
              <w:rPr>
                <w:rFonts w:ascii="Times New Roman" w:hAnsi="Times New Roman"/>
                <w:b/>
                <w:bCs/>
                <w:color w:val="000000"/>
                <w:sz w:val="20"/>
                <w:szCs w:val="20"/>
              </w:rPr>
            </w:pPr>
            <w:r w:rsidRPr="00650DFF">
              <w:rPr>
                <w:rFonts w:ascii="Times New Roman" w:hAnsi="Times New Roman"/>
                <w:b/>
                <w:bCs/>
                <w:color w:val="000000"/>
                <w:sz w:val="20"/>
                <w:szCs w:val="20"/>
              </w:rPr>
              <w:t>Siblings</w:t>
            </w:r>
            <w:r w:rsidRPr="00650DFF">
              <w:rPr>
                <w:rFonts w:ascii="Times New Roman" w:hAnsi="Times New Roman"/>
                <w:color w:val="000000"/>
                <w:sz w:val="20"/>
                <w:szCs w:val="20"/>
              </w:rPr>
              <w:t xml:space="preserve"> n (%)</w:t>
            </w:r>
          </w:p>
        </w:tc>
        <w:tc>
          <w:tcPr>
            <w:tcW w:w="1436" w:type="dxa"/>
            <w:tcBorders>
              <w:top w:val="nil"/>
              <w:left w:val="nil"/>
              <w:bottom w:val="single" w:sz="4" w:space="0" w:color="FFFFFF"/>
              <w:right w:val="single" w:sz="4" w:space="0" w:color="FFFFFF"/>
            </w:tcBorders>
            <w:noWrap/>
            <w:vAlign w:val="bottom"/>
            <w:hideMark/>
          </w:tcPr>
          <w:p w14:paraId="7B2D747D"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0</w:t>
            </w:r>
          </w:p>
        </w:tc>
        <w:tc>
          <w:tcPr>
            <w:tcW w:w="1590" w:type="dxa"/>
            <w:tcBorders>
              <w:top w:val="nil"/>
              <w:left w:val="nil"/>
              <w:bottom w:val="single" w:sz="4" w:space="0" w:color="FFFFFF"/>
              <w:right w:val="nil"/>
            </w:tcBorders>
            <w:noWrap/>
            <w:vAlign w:val="bottom"/>
            <w:hideMark/>
          </w:tcPr>
          <w:p w14:paraId="19DAD460"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17 (</w:t>
            </w:r>
            <w:proofErr w:type="gramStart"/>
            <w:r w:rsidRPr="00650DFF">
              <w:rPr>
                <w:rFonts w:ascii="Times New Roman" w:hAnsi="Times New Roman"/>
                <w:color w:val="000000"/>
                <w:sz w:val="20"/>
                <w:szCs w:val="20"/>
              </w:rPr>
              <w:t>10.8)a</w:t>
            </w:r>
            <w:proofErr w:type="gramEnd"/>
          </w:p>
        </w:tc>
        <w:tc>
          <w:tcPr>
            <w:tcW w:w="1660" w:type="dxa"/>
            <w:tcBorders>
              <w:top w:val="nil"/>
              <w:left w:val="single" w:sz="4" w:space="0" w:color="FFFFFF"/>
              <w:bottom w:val="single" w:sz="4" w:space="0" w:color="FFFFFF"/>
              <w:right w:val="single" w:sz="4" w:space="0" w:color="FFFFFF"/>
            </w:tcBorders>
            <w:noWrap/>
            <w:vAlign w:val="bottom"/>
            <w:hideMark/>
          </w:tcPr>
          <w:p w14:paraId="7B122F2D"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13 (</w:t>
            </w:r>
            <w:proofErr w:type="gramStart"/>
            <w:r w:rsidRPr="00650DFF">
              <w:rPr>
                <w:rFonts w:ascii="Times New Roman" w:hAnsi="Times New Roman"/>
                <w:color w:val="000000"/>
                <w:sz w:val="20"/>
                <w:szCs w:val="20"/>
              </w:rPr>
              <w:t>16.5)a</w:t>
            </w:r>
            <w:proofErr w:type="gramEnd"/>
          </w:p>
        </w:tc>
        <w:tc>
          <w:tcPr>
            <w:tcW w:w="960" w:type="dxa"/>
            <w:vMerge w:val="restart"/>
            <w:tcBorders>
              <w:top w:val="nil"/>
              <w:left w:val="single" w:sz="4" w:space="0" w:color="FFFFFF"/>
              <w:bottom w:val="single" w:sz="4" w:space="0" w:color="000000"/>
              <w:right w:val="nil"/>
            </w:tcBorders>
            <w:noWrap/>
            <w:vAlign w:val="center"/>
            <w:hideMark/>
          </w:tcPr>
          <w:p w14:paraId="03A8DC6B" w14:textId="77777777" w:rsidR="00F250C4" w:rsidRPr="00650DFF" w:rsidRDefault="00F250C4" w:rsidP="00F250C4">
            <w:pPr>
              <w:spacing w:after="0" w:line="276" w:lineRule="auto"/>
              <w:jc w:val="center"/>
              <w:rPr>
                <w:rFonts w:ascii="Times New Roman" w:hAnsi="Times New Roman"/>
                <w:color w:val="000000"/>
                <w:sz w:val="20"/>
                <w:szCs w:val="20"/>
              </w:rPr>
            </w:pPr>
            <w:r w:rsidRPr="00650DFF">
              <w:rPr>
                <w:rFonts w:ascii="Times New Roman" w:hAnsi="Times New Roman"/>
                <w:color w:val="000000"/>
                <w:sz w:val="20"/>
                <w:szCs w:val="20"/>
              </w:rPr>
              <w:t>0.000</w:t>
            </w:r>
          </w:p>
        </w:tc>
      </w:tr>
      <w:tr w:rsidR="00F250C4" w:rsidRPr="00650DFF" w14:paraId="1813D9B4"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672B27BA" w14:textId="77777777" w:rsidR="00F250C4" w:rsidRPr="00650DFF" w:rsidRDefault="00F250C4" w:rsidP="00F250C4">
            <w:pPr>
              <w:spacing w:after="0" w:line="276"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7D9FE8C1"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1</w:t>
            </w:r>
          </w:p>
        </w:tc>
        <w:tc>
          <w:tcPr>
            <w:tcW w:w="1590" w:type="dxa"/>
            <w:tcBorders>
              <w:top w:val="nil"/>
              <w:left w:val="nil"/>
              <w:bottom w:val="single" w:sz="4" w:space="0" w:color="FFFFFF"/>
              <w:right w:val="nil"/>
            </w:tcBorders>
            <w:noWrap/>
            <w:vAlign w:val="bottom"/>
            <w:hideMark/>
          </w:tcPr>
          <w:p w14:paraId="7AB128B3"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87 (</w:t>
            </w:r>
            <w:proofErr w:type="gramStart"/>
            <w:r w:rsidRPr="00650DFF">
              <w:rPr>
                <w:rFonts w:ascii="Times New Roman" w:hAnsi="Times New Roman"/>
                <w:color w:val="000000"/>
                <w:sz w:val="20"/>
                <w:szCs w:val="20"/>
              </w:rPr>
              <w:t>55.1)a</w:t>
            </w:r>
            <w:proofErr w:type="gramEnd"/>
          </w:p>
        </w:tc>
        <w:tc>
          <w:tcPr>
            <w:tcW w:w="1660" w:type="dxa"/>
            <w:tcBorders>
              <w:top w:val="nil"/>
              <w:left w:val="single" w:sz="4" w:space="0" w:color="FFFFFF"/>
              <w:bottom w:val="single" w:sz="4" w:space="0" w:color="FFFFFF"/>
              <w:right w:val="single" w:sz="4" w:space="0" w:color="FFFFFF"/>
            </w:tcBorders>
            <w:noWrap/>
            <w:vAlign w:val="bottom"/>
            <w:hideMark/>
          </w:tcPr>
          <w:p w14:paraId="79734D24"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24 (</w:t>
            </w:r>
            <w:proofErr w:type="gramStart"/>
            <w:r w:rsidRPr="00650DFF">
              <w:rPr>
                <w:rFonts w:ascii="Times New Roman" w:hAnsi="Times New Roman"/>
                <w:color w:val="000000"/>
                <w:sz w:val="20"/>
                <w:szCs w:val="20"/>
              </w:rPr>
              <w:t>30.4)b</w:t>
            </w:r>
            <w:proofErr w:type="gramEnd"/>
          </w:p>
        </w:tc>
        <w:tc>
          <w:tcPr>
            <w:tcW w:w="960" w:type="dxa"/>
            <w:vMerge/>
            <w:tcBorders>
              <w:top w:val="nil"/>
              <w:left w:val="single" w:sz="4" w:space="0" w:color="FFFFFF"/>
              <w:bottom w:val="single" w:sz="4" w:space="0" w:color="000000"/>
              <w:right w:val="nil"/>
            </w:tcBorders>
            <w:vAlign w:val="center"/>
            <w:hideMark/>
          </w:tcPr>
          <w:p w14:paraId="5763507E" w14:textId="77777777" w:rsidR="00F250C4" w:rsidRPr="00650DFF" w:rsidRDefault="00F250C4" w:rsidP="00F250C4">
            <w:pPr>
              <w:spacing w:after="0" w:line="276" w:lineRule="auto"/>
              <w:rPr>
                <w:rFonts w:ascii="Times New Roman" w:hAnsi="Times New Roman"/>
                <w:color w:val="000000"/>
                <w:sz w:val="20"/>
                <w:szCs w:val="20"/>
              </w:rPr>
            </w:pPr>
          </w:p>
        </w:tc>
      </w:tr>
      <w:tr w:rsidR="00F250C4" w:rsidRPr="00650DFF" w14:paraId="62FF979D"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4C937F65" w14:textId="77777777" w:rsidR="00F250C4" w:rsidRPr="00650DFF" w:rsidRDefault="00F250C4" w:rsidP="00F250C4">
            <w:pPr>
              <w:spacing w:after="0" w:line="276"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518B1796"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2</w:t>
            </w:r>
          </w:p>
        </w:tc>
        <w:tc>
          <w:tcPr>
            <w:tcW w:w="1590" w:type="dxa"/>
            <w:tcBorders>
              <w:top w:val="nil"/>
              <w:left w:val="nil"/>
              <w:bottom w:val="single" w:sz="4" w:space="0" w:color="FFFFFF"/>
              <w:right w:val="nil"/>
            </w:tcBorders>
            <w:noWrap/>
            <w:vAlign w:val="bottom"/>
            <w:hideMark/>
          </w:tcPr>
          <w:p w14:paraId="6014C3C9"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39 (</w:t>
            </w:r>
            <w:proofErr w:type="gramStart"/>
            <w:r w:rsidRPr="00650DFF">
              <w:rPr>
                <w:rFonts w:ascii="Times New Roman" w:hAnsi="Times New Roman"/>
                <w:color w:val="000000"/>
                <w:sz w:val="20"/>
                <w:szCs w:val="20"/>
              </w:rPr>
              <w:t>24.7)a</w:t>
            </w:r>
            <w:proofErr w:type="gramEnd"/>
          </w:p>
        </w:tc>
        <w:tc>
          <w:tcPr>
            <w:tcW w:w="1660" w:type="dxa"/>
            <w:tcBorders>
              <w:top w:val="nil"/>
              <w:left w:val="single" w:sz="4" w:space="0" w:color="FFFFFF"/>
              <w:bottom w:val="single" w:sz="4" w:space="0" w:color="FFFFFF"/>
              <w:right w:val="single" w:sz="4" w:space="0" w:color="FFFFFF"/>
            </w:tcBorders>
            <w:noWrap/>
            <w:vAlign w:val="bottom"/>
            <w:hideMark/>
          </w:tcPr>
          <w:p w14:paraId="17A7DE3F"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19 (</w:t>
            </w:r>
            <w:proofErr w:type="gramStart"/>
            <w:r w:rsidRPr="00650DFF">
              <w:rPr>
                <w:rFonts w:ascii="Times New Roman" w:hAnsi="Times New Roman"/>
                <w:color w:val="000000"/>
                <w:sz w:val="20"/>
                <w:szCs w:val="20"/>
              </w:rPr>
              <w:t>24.1)a</w:t>
            </w:r>
            <w:proofErr w:type="gramEnd"/>
          </w:p>
        </w:tc>
        <w:tc>
          <w:tcPr>
            <w:tcW w:w="960" w:type="dxa"/>
            <w:vMerge/>
            <w:tcBorders>
              <w:top w:val="nil"/>
              <w:left w:val="single" w:sz="4" w:space="0" w:color="FFFFFF"/>
              <w:bottom w:val="single" w:sz="4" w:space="0" w:color="000000"/>
              <w:right w:val="nil"/>
            </w:tcBorders>
            <w:vAlign w:val="center"/>
            <w:hideMark/>
          </w:tcPr>
          <w:p w14:paraId="1E05E3C4" w14:textId="77777777" w:rsidR="00F250C4" w:rsidRPr="00650DFF" w:rsidRDefault="00F250C4" w:rsidP="00F250C4">
            <w:pPr>
              <w:spacing w:after="0" w:line="276" w:lineRule="auto"/>
              <w:rPr>
                <w:rFonts w:ascii="Times New Roman" w:hAnsi="Times New Roman"/>
                <w:color w:val="000000"/>
                <w:sz w:val="20"/>
                <w:szCs w:val="20"/>
              </w:rPr>
            </w:pPr>
          </w:p>
        </w:tc>
      </w:tr>
      <w:tr w:rsidR="00F250C4" w:rsidRPr="00650DFF" w14:paraId="3FD8BD3D"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026851D5" w14:textId="77777777" w:rsidR="00F250C4" w:rsidRPr="00650DFF" w:rsidRDefault="00F250C4" w:rsidP="00F250C4">
            <w:pPr>
              <w:spacing w:after="0" w:line="276"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77180C27"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3</w:t>
            </w:r>
          </w:p>
        </w:tc>
        <w:tc>
          <w:tcPr>
            <w:tcW w:w="1590" w:type="dxa"/>
            <w:tcBorders>
              <w:top w:val="nil"/>
              <w:left w:val="nil"/>
              <w:bottom w:val="single" w:sz="4" w:space="0" w:color="FFFFFF"/>
              <w:right w:val="nil"/>
            </w:tcBorders>
            <w:noWrap/>
            <w:vAlign w:val="bottom"/>
            <w:hideMark/>
          </w:tcPr>
          <w:p w14:paraId="709721B6"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12 (</w:t>
            </w:r>
            <w:proofErr w:type="gramStart"/>
            <w:r w:rsidRPr="00650DFF">
              <w:rPr>
                <w:rFonts w:ascii="Times New Roman" w:hAnsi="Times New Roman"/>
                <w:color w:val="000000"/>
                <w:sz w:val="20"/>
                <w:szCs w:val="20"/>
              </w:rPr>
              <w:t>7.6)a</w:t>
            </w:r>
            <w:proofErr w:type="gramEnd"/>
          </w:p>
        </w:tc>
        <w:tc>
          <w:tcPr>
            <w:tcW w:w="1660" w:type="dxa"/>
            <w:tcBorders>
              <w:top w:val="nil"/>
              <w:left w:val="single" w:sz="4" w:space="0" w:color="FFFFFF"/>
              <w:bottom w:val="single" w:sz="4" w:space="0" w:color="FFFFFF"/>
              <w:right w:val="single" w:sz="4" w:space="0" w:color="FFFFFF"/>
            </w:tcBorders>
            <w:noWrap/>
            <w:vAlign w:val="bottom"/>
            <w:hideMark/>
          </w:tcPr>
          <w:p w14:paraId="70F54976"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11 (</w:t>
            </w:r>
            <w:proofErr w:type="gramStart"/>
            <w:r w:rsidRPr="00650DFF">
              <w:rPr>
                <w:rFonts w:ascii="Times New Roman" w:hAnsi="Times New Roman"/>
                <w:color w:val="000000"/>
                <w:sz w:val="20"/>
                <w:szCs w:val="20"/>
              </w:rPr>
              <w:t>13.9)a</w:t>
            </w:r>
            <w:proofErr w:type="gramEnd"/>
          </w:p>
        </w:tc>
        <w:tc>
          <w:tcPr>
            <w:tcW w:w="960" w:type="dxa"/>
            <w:vMerge/>
            <w:tcBorders>
              <w:top w:val="nil"/>
              <w:left w:val="single" w:sz="4" w:space="0" w:color="FFFFFF"/>
              <w:bottom w:val="single" w:sz="4" w:space="0" w:color="000000"/>
              <w:right w:val="nil"/>
            </w:tcBorders>
            <w:vAlign w:val="center"/>
            <w:hideMark/>
          </w:tcPr>
          <w:p w14:paraId="0D1027EF" w14:textId="77777777" w:rsidR="00F250C4" w:rsidRPr="00650DFF" w:rsidRDefault="00F250C4" w:rsidP="00F250C4">
            <w:pPr>
              <w:spacing w:after="0" w:line="276" w:lineRule="auto"/>
              <w:rPr>
                <w:rFonts w:ascii="Times New Roman" w:hAnsi="Times New Roman"/>
                <w:color w:val="000000"/>
                <w:sz w:val="20"/>
                <w:szCs w:val="20"/>
              </w:rPr>
            </w:pPr>
          </w:p>
        </w:tc>
      </w:tr>
      <w:tr w:rsidR="00F250C4" w:rsidRPr="00650DFF" w14:paraId="55CBA3B2" w14:textId="77777777" w:rsidTr="00F250C4">
        <w:trPr>
          <w:trHeight w:val="300"/>
        </w:trPr>
        <w:tc>
          <w:tcPr>
            <w:tcW w:w="2250" w:type="dxa"/>
            <w:tcBorders>
              <w:top w:val="nil"/>
              <w:left w:val="nil"/>
              <w:bottom w:val="single" w:sz="4" w:space="0" w:color="auto"/>
              <w:right w:val="single" w:sz="4" w:space="0" w:color="FFFFFF"/>
            </w:tcBorders>
            <w:noWrap/>
            <w:vAlign w:val="bottom"/>
            <w:hideMark/>
          </w:tcPr>
          <w:p w14:paraId="78E09696" w14:textId="77777777" w:rsidR="00F250C4" w:rsidRPr="00650DFF" w:rsidRDefault="00F250C4" w:rsidP="00F250C4">
            <w:pPr>
              <w:spacing w:after="0" w:line="276"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auto"/>
              <w:right w:val="single" w:sz="4" w:space="0" w:color="FFFFFF"/>
            </w:tcBorders>
            <w:noWrap/>
            <w:vAlign w:val="bottom"/>
            <w:hideMark/>
          </w:tcPr>
          <w:p w14:paraId="5AFDF8FE"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4 or more</w:t>
            </w:r>
          </w:p>
        </w:tc>
        <w:tc>
          <w:tcPr>
            <w:tcW w:w="1590" w:type="dxa"/>
            <w:tcBorders>
              <w:top w:val="nil"/>
              <w:left w:val="nil"/>
              <w:bottom w:val="single" w:sz="4" w:space="0" w:color="auto"/>
              <w:right w:val="nil"/>
            </w:tcBorders>
            <w:noWrap/>
            <w:vAlign w:val="bottom"/>
            <w:hideMark/>
          </w:tcPr>
          <w:p w14:paraId="5C4615E4"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3 (</w:t>
            </w:r>
            <w:proofErr w:type="gramStart"/>
            <w:r w:rsidRPr="00650DFF">
              <w:rPr>
                <w:rFonts w:ascii="Times New Roman" w:hAnsi="Times New Roman"/>
                <w:color w:val="000000"/>
                <w:sz w:val="20"/>
                <w:szCs w:val="20"/>
              </w:rPr>
              <w:t>1.9)a</w:t>
            </w:r>
            <w:proofErr w:type="gramEnd"/>
          </w:p>
        </w:tc>
        <w:tc>
          <w:tcPr>
            <w:tcW w:w="1660" w:type="dxa"/>
            <w:tcBorders>
              <w:top w:val="nil"/>
              <w:left w:val="single" w:sz="4" w:space="0" w:color="FFFFFF"/>
              <w:bottom w:val="single" w:sz="4" w:space="0" w:color="auto"/>
              <w:right w:val="single" w:sz="4" w:space="0" w:color="FFFFFF"/>
            </w:tcBorders>
            <w:noWrap/>
            <w:vAlign w:val="bottom"/>
            <w:hideMark/>
          </w:tcPr>
          <w:p w14:paraId="07C2C212"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12 (</w:t>
            </w:r>
            <w:proofErr w:type="gramStart"/>
            <w:r w:rsidRPr="00650DFF">
              <w:rPr>
                <w:rFonts w:ascii="Times New Roman" w:hAnsi="Times New Roman"/>
                <w:color w:val="000000"/>
                <w:sz w:val="20"/>
                <w:szCs w:val="20"/>
              </w:rPr>
              <w:t>15.2)b</w:t>
            </w:r>
            <w:proofErr w:type="gramEnd"/>
          </w:p>
        </w:tc>
        <w:tc>
          <w:tcPr>
            <w:tcW w:w="960" w:type="dxa"/>
            <w:vMerge/>
            <w:tcBorders>
              <w:top w:val="nil"/>
              <w:left w:val="single" w:sz="4" w:space="0" w:color="FFFFFF"/>
              <w:bottom w:val="single" w:sz="4" w:space="0" w:color="000000"/>
              <w:right w:val="nil"/>
            </w:tcBorders>
            <w:vAlign w:val="center"/>
            <w:hideMark/>
          </w:tcPr>
          <w:p w14:paraId="559BD1C7" w14:textId="77777777" w:rsidR="00F250C4" w:rsidRPr="00650DFF" w:rsidRDefault="00F250C4" w:rsidP="00F250C4">
            <w:pPr>
              <w:spacing w:after="0" w:line="276" w:lineRule="auto"/>
              <w:rPr>
                <w:rFonts w:ascii="Times New Roman" w:hAnsi="Times New Roman"/>
                <w:color w:val="000000"/>
                <w:sz w:val="20"/>
                <w:szCs w:val="20"/>
              </w:rPr>
            </w:pPr>
          </w:p>
        </w:tc>
      </w:tr>
      <w:tr w:rsidR="00F250C4" w:rsidRPr="00650DFF" w14:paraId="1F07DD5B"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0053CCCB" w14:textId="77777777" w:rsidR="00F250C4" w:rsidRPr="00650DFF" w:rsidRDefault="00F250C4" w:rsidP="00F250C4">
            <w:pPr>
              <w:spacing w:after="0" w:line="276" w:lineRule="auto"/>
              <w:rPr>
                <w:rFonts w:ascii="Times New Roman" w:hAnsi="Times New Roman"/>
                <w:b/>
                <w:bCs/>
                <w:color w:val="000000"/>
                <w:sz w:val="20"/>
                <w:szCs w:val="20"/>
              </w:rPr>
            </w:pPr>
            <w:r w:rsidRPr="00650DFF">
              <w:rPr>
                <w:rFonts w:ascii="Times New Roman" w:hAnsi="Times New Roman"/>
                <w:b/>
                <w:bCs/>
                <w:color w:val="000000"/>
                <w:sz w:val="20"/>
                <w:szCs w:val="20"/>
              </w:rPr>
              <w:t>Housing</w:t>
            </w:r>
            <w:r w:rsidRPr="00650DFF">
              <w:rPr>
                <w:rFonts w:ascii="Times New Roman" w:hAnsi="Times New Roman"/>
                <w:color w:val="000000"/>
                <w:sz w:val="20"/>
                <w:szCs w:val="20"/>
              </w:rPr>
              <w:t xml:space="preserve"> n (%)</w:t>
            </w:r>
          </w:p>
        </w:tc>
        <w:tc>
          <w:tcPr>
            <w:tcW w:w="1436" w:type="dxa"/>
            <w:tcBorders>
              <w:top w:val="nil"/>
              <w:left w:val="nil"/>
              <w:bottom w:val="single" w:sz="4" w:space="0" w:color="FFFFFF"/>
              <w:right w:val="single" w:sz="4" w:space="0" w:color="FFFFFF"/>
            </w:tcBorders>
            <w:noWrap/>
            <w:vAlign w:val="bottom"/>
            <w:hideMark/>
          </w:tcPr>
          <w:p w14:paraId="29E43528"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Owner-occupied home</w:t>
            </w:r>
          </w:p>
        </w:tc>
        <w:tc>
          <w:tcPr>
            <w:tcW w:w="1590" w:type="dxa"/>
            <w:tcBorders>
              <w:top w:val="nil"/>
              <w:left w:val="nil"/>
              <w:bottom w:val="single" w:sz="4" w:space="0" w:color="FFFFFF"/>
              <w:right w:val="nil"/>
            </w:tcBorders>
            <w:noWrap/>
            <w:vAlign w:val="bottom"/>
            <w:hideMark/>
          </w:tcPr>
          <w:p w14:paraId="32D7F5DB"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66 (</w:t>
            </w:r>
            <w:proofErr w:type="gramStart"/>
            <w:r w:rsidRPr="00650DFF">
              <w:rPr>
                <w:rFonts w:ascii="Times New Roman" w:hAnsi="Times New Roman"/>
                <w:color w:val="000000"/>
                <w:sz w:val="20"/>
                <w:szCs w:val="20"/>
              </w:rPr>
              <w:t>41.8)a</w:t>
            </w:r>
            <w:proofErr w:type="gramEnd"/>
          </w:p>
        </w:tc>
        <w:tc>
          <w:tcPr>
            <w:tcW w:w="1660" w:type="dxa"/>
            <w:tcBorders>
              <w:top w:val="nil"/>
              <w:left w:val="single" w:sz="4" w:space="0" w:color="FFFFFF"/>
              <w:bottom w:val="single" w:sz="4" w:space="0" w:color="FFFFFF"/>
              <w:right w:val="single" w:sz="4" w:space="0" w:color="FFFFFF"/>
            </w:tcBorders>
            <w:noWrap/>
            <w:vAlign w:val="bottom"/>
            <w:hideMark/>
          </w:tcPr>
          <w:p w14:paraId="21FFAEDF"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58 (</w:t>
            </w:r>
            <w:proofErr w:type="gramStart"/>
            <w:r w:rsidRPr="00650DFF">
              <w:rPr>
                <w:rFonts w:ascii="Times New Roman" w:hAnsi="Times New Roman"/>
                <w:color w:val="000000"/>
                <w:sz w:val="20"/>
                <w:szCs w:val="20"/>
              </w:rPr>
              <w:t>73.4)b</w:t>
            </w:r>
            <w:proofErr w:type="gramEnd"/>
          </w:p>
        </w:tc>
        <w:tc>
          <w:tcPr>
            <w:tcW w:w="960" w:type="dxa"/>
            <w:vMerge w:val="restart"/>
            <w:tcBorders>
              <w:top w:val="nil"/>
              <w:left w:val="single" w:sz="4" w:space="0" w:color="FFFFFF"/>
              <w:bottom w:val="single" w:sz="4" w:space="0" w:color="000000"/>
              <w:right w:val="nil"/>
            </w:tcBorders>
            <w:noWrap/>
            <w:vAlign w:val="center"/>
            <w:hideMark/>
          </w:tcPr>
          <w:p w14:paraId="68E47275" w14:textId="77777777" w:rsidR="00F250C4" w:rsidRPr="00650DFF" w:rsidRDefault="00F250C4" w:rsidP="00F250C4">
            <w:pPr>
              <w:spacing w:after="0" w:line="276" w:lineRule="auto"/>
              <w:jc w:val="center"/>
              <w:rPr>
                <w:rFonts w:ascii="Times New Roman" w:hAnsi="Times New Roman"/>
                <w:color w:val="000000"/>
                <w:sz w:val="20"/>
                <w:szCs w:val="20"/>
              </w:rPr>
            </w:pPr>
            <w:r w:rsidRPr="00650DFF">
              <w:rPr>
                <w:rFonts w:ascii="Times New Roman" w:hAnsi="Times New Roman"/>
                <w:color w:val="000000"/>
                <w:sz w:val="20"/>
                <w:szCs w:val="20"/>
              </w:rPr>
              <w:t>0.000</w:t>
            </w:r>
          </w:p>
        </w:tc>
      </w:tr>
      <w:tr w:rsidR="00F250C4" w:rsidRPr="00650DFF" w14:paraId="650260DE" w14:textId="77777777" w:rsidTr="00F250C4">
        <w:trPr>
          <w:trHeight w:val="300"/>
        </w:trPr>
        <w:tc>
          <w:tcPr>
            <w:tcW w:w="2250" w:type="dxa"/>
            <w:tcBorders>
              <w:top w:val="nil"/>
              <w:left w:val="nil"/>
              <w:bottom w:val="single" w:sz="4" w:space="0" w:color="auto"/>
              <w:right w:val="single" w:sz="4" w:space="0" w:color="FFFFFF"/>
            </w:tcBorders>
            <w:noWrap/>
            <w:vAlign w:val="bottom"/>
            <w:hideMark/>
          </w:tcPr>
          <w:p w14:paraId="0BC3A04A" w14:textId="77777777" w:rsidR="00F250C4" w:rsidRPr="00650DFF" w:rsidRDefault="00F250C4" w:rsidP="00F250C4">
            <w:pPr>
              <w:spacing w:after="0" w:line="276"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auto"/>
              <w:right w:val="single" w:sz="4" w:space="0" w:color="FFFFFF"/>
            </w:tcBorders>
            <w:noWrap/>
            <w:vAlign w:val="bottom"/>
            <w:hideMark/>
          </w:tcPr>
          <w:p w14:paraId="6AE8DB25"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Rental Property</w:t>
            </w:r>
          </w:p>
        </w:tc>
        <w:tc>
          <w:tcPr>
            <w:tcW w:w="1590" w:type="dxa"/>
            <w:tcBorders>
              <w:top w:val="nil"/>
              <w:left w:val="nil"/>
              <w:bottom w:val="single" w:sz="4" w:space="0" w:color="auto"/>
              <w:right w:val="nil"/>
            </w:tcBorders>
            <w:noWrap/>
            <w:vAlign w:val="bottom"/>
            <w:hideMark/>
          </w:tcPr>
          <w:p w14:paraId="022C175A"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92 (</w:t>
            </w:r>
            <w:proofErr w:type="gramStart"/>
            <w:r w:rsidRPr="00650DFF">
              <w:rPr>
                <w:rFonts w:ascii="Times New Roman" w:hAnsi="Times New Roman"/>
                <w:color w:val="000000"/>
                <w:sz w:val="20"/>
                <w:szCs w:val="20"/>
              </w:rPr>
              <w:t>58.2)a</w:t>
            </w:r>
            <w:proofErr w:type="gramEnd"/>
          </w:p>
        </w:tc>
        <w:tc>
          <w:tcPr>
            <w:tcW w:w="1660" w:type="dxa"/>
            <w:tcBorders>
              <w:top w:val="nil"/>
              <w:left w:val="single" w:sz="4" w:space="0" w:color="FFFFFF"/>
              <w:bottom w:val="single" w:sz="4" w:space="0" w:color="auto"/>
              <w:right w:val="single" w:sz="4" w:space="0" w:color="FFFFFF"/>
            </w:tcBorders>
            <w:noWrap/>
            <w:vAlign w:val="bottom"/>
            <w:hideMark/>
          </w:tcPr>
          <w:p w14:paraId="70888360"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21 (</w:t>
            </w:r>
            <w:proofErr w:type="gramStart"/>
            <w:r w:rsidRPr="00650DFF">
              <w:rPr>
                <w:rFonts w:ascii="Times New Roman" w:hAnsi="Times New Roman"/>
                <w:color w:val="000000"/>
                <w:sz w:val="20"/>
                <w:szCs w:val="20"/>
              </w:rPr>
              <w:t>26.6)b</w:t>
            </w:r>
            <w:proofErr w:type="gramEnd"/>
          </w:p>
        </w:tc>
        <w:tc>
          <w:tcPr>
            <w:tcW w:w="960" w:type="dxa"/>
            <w:vMerge/>
            <w:tcBorders>
              <w:top w:val="nil"/>
              <w:left w:val="single" w:sz="4" w:space="0" w:color="FFFFFF"/>
              <w:bottom w:val="single" w:sz="4" w:space="0" w:color="000000"/>
              <w:right w:val="nil"/>
            </w:tcBorders>
            <w:vAlign w:val="center"/>
            <w:hideMark/>
          </w:tcPr>
          <w:p w14:paraId="4024F61C" w14:textId="77777777" w:rsidR="00F250C4" w:rsidRPr="00650DFF" w:rsidRDefault="00F250C4" w:rsidP="00F250C4">
            <w:pPr>
              <w:spacing w:after="0" w:line="276" w:lineRule="auto"/>
              <w:rPr>
                <w:rFonts w:ascii="Times New Roman" w:hAnsi="Times New Roman"/>
                <w:color w:val="000000"/>
                <w:sz w:val="20"/>
                <w:szCs w:val="20"/>
              </w:rPr>
            </w:pPr>
          </w:p>
        </w:tc>
      </w:tr>
    </w:tbl>
    <w:p w14:paraId="274B168B" w14:textId="77777777" w:rsidR="00F250C4" w:rsidRPr="00650DFF" w:rsidRDefault="00F250C4" w:rsidP="00F250C4">
      <w:pPr>
        <w:spacing w:after="0" w:line="276" w:lineRule="auto"/>
        <w:rPr>
          <w:rFonts w:ascii="Times New Roman" w:hAnsi="Times New Roman"/>
          <w:sz w:val="20"/>
          <w:szCs w:val="20"/>
        </w:rPr>
      </w:pPr>
      <w:r w:rsidRPr="00650DFF">
        <w:rPr>
          <w:rFonts w:ascii="Times New Roman" w:hAnsi="Times New Roman"/>
          <w:sz w:val="20"/>
          <w:szCs w:val="20"/>
        </w:rPr>
        <w:t xml:space="preserve">Different letters indicate statistically significant differences at the 0.05 significance level. </w:t>
      </w:r>
    </w:p>
    <w:p w14:paraId="33C47BCD" w14:textId="06AC8992" w:rsidR="00F250C4" w:rsidRPr="00650DFF" w:rsidRDefault="00F250C4" w:rsidP="00F250C4">
      <w:pPr>
        <w:spacing w:after="0" w:line="276" w:lineRule="auto"/>
        <w:jc w:val="both"/>
        <w:rPr>
          <w:rFonts w:ascii="Arial" w:eastAsia="Times New Roman" w:hAnsi="Arial" w:cs="Arial"/>
          <w:color w:val="000000" w:themeColor="text1"/>
          <w:kern w:val="0"/>
          <w:sz w:val="20"/>
          <w:szCs w:val="20"/>
          <w:lang w:eastAsia="pt-BR"/>
          <w14:ligatures w14:val="none"/>
        </w:rPr>
      </w:pPr>
      <w:r w:rsidRPr="00650DFF">
        <w:rPr>
          <w:rFonts w:ascii="Times New Roman" w:hAnsi="Times New Roman"/>
          <w:sz w:val="20"/>
          <w:szCs w:val="20"/>
        </w:rPr>
        <w:t>CLP = Cleft Lip and Palate; Non-CLP = Without</w:t>
      </w:r>
    </w:p>
    <w:p w14:paraId="13CE4908" w14:textId="77777777" w:rsidR="00F250C4" w:rsidRPr="00B45F8A" w:rsidRDefault="00F250C4" w:rsidP="00AC6A11">
      <w:pPr>
        <w:spacing w:before="120" w:after="0" w:line="360" w:lineRule="auto"/>
        <w:ind w:firstLine="567"/>
        <w:jc w:val="both"/>
        <w:rPr>
          <w:rFonts w:ascii="Arial" w:eastAsia="Times New Roman" w:hAnsi="Arial" w:cs="Arial"/>
          <w:color w:val="000000" w:themeColor="text1"/>
          <w:kern w:val="0"/>
          <w:sz w:val="20"/>
          <w:szCs w:val="20"/>
          <w:lang w:eastAsia="pt-BR"/>
          <w14:ligatures w14:val="none"/>
        </w:rPr>
      </w:pPr>
    </w:p>
    <w:p w14:paraId="242E81D2" w14:textId="19330D31" w:rsidR="00644A74" w:rsidRPr="00B45F8A" w:rsidRDefault="00644A74" w:rsidP="00F250C4">
      <w:pPr>
        <w:spacing w:before="120" w:after="0" w:line="360" w:lineRule="auto"/>
        <w:ind w:firstLine="567"/>
        <w:jc w:val="both"/>
        <w:rPr>
          <w:rFonts w:ascii="Arial" w:eastAsia="Times New Roman" w:hAnsi="Arial" w:cs="Arial"/>
          <w:color w:val="000000" w:themeColor="text1"/>
          <w:kern w:val="0"/>
          <w:sz w:val="20"/>
          <w:szCs w:val="20"/>
          <w:lang w:eastAsia="pt-BR"/>
          <w14:ligatures w14:val="none"/>
        </w:rPr>
      </w:pPr>
      <w:r w:rsidRPr="00B45F8A">
        <w:rPr>
          <w:rFonts w:ascii="Arial" w:eastAsia="Times New Roman" w:hAnsi="Arial" w:cs="Arial"/>
          <w:color w:val="000000" w:themeColor="text1"/>
          <w:kern w:val="0"/>
          <w:sz w:val="20"/>
          <w:szCs w:val="20"/>
          <w:lang w:eastAsia="pt-BR"/>
          <w14:ligatures w14:val="none"/>
        </w:rPr>
        <w:t>With regard to psychosocial outcomes, moderate to severe anxiety was observed in 15.0% of adolescents in the experimental group and 11.7% of those in the control group. Moderate to severe depression was identified in 13.9% of the experimental group and 10.5% of the control group. Low self-esteem was more prevalent among adolescents with CLP scars (17.5%) than among controls</w:t>
      </w:r>
      <w:r w:rsidRPr="00B45F8A" w:rsidDel="005D19F6">
        <w:rPr>
          <w:rFonts w:ascii="Arial" w:eastAsia="Times New Roman" w:hAnsi="Arial" w:cs="Arial"/>
          <w:color w:val="000000" w:themeColor="text1"/>
          <w:kern w:val="0"/>
          <w:sz w:val="20"/>
          <w:szCs w:val="20"/>
          <w:lang w:eastAsia="pt-BR"/>
          <w14:ligatures w14:val="none"/>
        </w:rPr>
        <w:t xml:space="preserve"> </w:t>
      </w:r>
      <w:r w:rsidRPr="00B45F8A">
        <w:rPr>
          <w:rFonts w:ascii="Arial" w:eastAsia="Times New Roman" w:hAnsi="Arial" w:cs="Arial"/>
          <w:color w:val="000000" w:themeColor="text1"/>
          <w:kern w:val="0"/>
          <w:sz w:val="20"/>
          <w:szCs w:val="20"/>
          <w:lang w:eastAsia="pt-BR"/>
          <w14:ligatures w14:val="none"/>
        </w:rPr>
        <w:t xml:space="preserve">(Table 2). Although the experimental group </w:t>
      </w:r>
      <w:r w:rsidR="00BE0DCD" w:rsidRPr="00B45F8A">
        <w:rPr>
          <w:rFonts w:ascii="Arial" w:eastAsia="Times New Roman" w:hAnsi="Arial" w:cs="Arial"/>
          <w:color w:val="000000" w:themeColor="text1"/>
          <w:kern w:val="0"/>
          <w:sz w:val="20"/>
          <w:szCs w:val="20"/>
          <w:lang w:eastAsia="pt-BR"/>
          <w14:ligatures w14:val="none"/>
        </w:rPr>
        <w:t>consistently</w:t>
      </w:r>
      <w:r w:rsidRPr="00B45F8A">
        <w:rPr>
          <w:rFonts w:ascii="Arial" w:eastAsia="Times New Roman" w:hAnsi="Arial" w:cs="Arial"/>
          <w:color w:val="000000" w:themeColor="text1"/>
          <w:kern w:val="0"/>
          <w:sz w:val="20"/>
          <w:szCs w:val="20"/>
          <w:lang w:eastAsia="pt-BR"/>
          <w14:ligatures w14:val="none"/>
        </w:rPr>
        <w:t xml:space="preserve"> showed higher frequencies across all psychosocial variables, between-group comparisons did not reveal statistically significant differences for anxiety (p = 0.273), depression (p = 0.811), or self-esteem (p = 0.205) (Table 3).</w:t>
      </w:r>
    </w:p>
    <w:p w14:paraId="5970CF85" w14:textId="77777777" w:rsidR="00FD6760" w:rsidRDefault="00FD6760" w:rsidP="00FD6760">
      <w:pPr>
        <w:spacing w:after="0"/>
      </w:pPr>
    </w:p>
    <w:p w14:paraId="6CC68444" w14:textId="20EE6C2F" w:rsidR="00F250C4" w:rsidRPr="00650DFF" w:rsidRDefault="00FD6760" w:rsidP="00FD6760">
      <w:pPr>
        <w:spacing w:after="0"/>
        <w:rPr>
          <w:rFonts w:ascii="Times New Roman" w:hAnsi="Times New Roman" w:cs="Times New Roman"/>
          <w:sz w:val="20"/>
          <w:szCs w:val="20"/>
        </w:rPr>
      </w:pPr>
      <w:r w:rsidRPr="00650DFF">
        <w:rPr>
          <w:rFonts w:ascii="Times New Roman" w:hAnsi="Times New Roman" w:cs="Times New Roman"/>
          <w:sz w:val="20"/>
          <w:szCs w:val="20"/>
        </w:rPr>
        <w:t xml:space="preserve">Table 2. </w:t>
      </w:r>
      <w:r w:rsidRPr="00650DFF">
        <w:rPr>
          <w:rFonts w:ascii="Times New Roman" w:hAnsi="Times New Roman" w:cs="Times New Roman"/>
          <w:bCs/>
          <w:sz w:val="20"/>
          <w:szCs w:val="20"/>
        </w:rPr>
        <w:t>Descriptive results of the anxiety, depression, and self-esteem questio</w:t>
      </w:r>
      <w:r w:rsidR="00650DFF" w:rsidRPr="00650DFF">
        <w:rPr>
          <w:rFonts w:ascii="Times New Roman" w:hAnsi="Times New Roman" w:cs="Times New Roman"/>
          <w:bCs/>
          <w:sz w:val="20"/>
          <w:szCs w:val="20"/>
        </w:rPr>
        <w:t>nnaires</w:t>
      </w:r>
    </w:p>
    <w:tbl>
      <w:tblPr>
        <w:tblpPr w:leftFromText="180" w:rightFromText="180" w:vertAnchor="text" w:horzAnchor="margin" w:tblpXSpec="center" w:tblpY="376"/>
        <w:tblW w:w="5212" w:type="pct"/>
        <w:tblLayout w:type="fixed"/>
        <w:tblLook w:val="04A0" w:firstRow="1" w:lastRow="0" w:firstColumn="1" w:lastColumn="0" w:noHBand="0" w:noVBand="1"/>
      </w:tblPr>
      <w:tblGrid>
        <w:gridCol w:w="6237"/>
        <w:gridCol w:w="1488"/>
        <w:gridCol w:w="1140"/>
      </w:tblGrid>
      <w:tr w:rsidR="00F250C4" w:rsidRPr="00650DFF" w14:paraId="2071A407" w14:textId="77777777" w:rsidTr="00F250C4">
        <w:trPr>
          <w:trHeight w:val="269"/>
        </w:trPr>
        <w:tc>
          <w:tcPr>
            <w:tcW w:w="3518" w:type="pct"/>
            <w:tcBorders>
              <w:top w:val="single" w:sz="4" w:space="0" w:color="auto"/>
              <w:left w:val="nil"/>
              <w:bottom w:val="single" w:sz="4" w:space="0" w:color="auto"/>
              <w:right w:val="nil"/>
            </w:tcBorders>
            <w:noWrap/>
            <w:vAlign w:val="bottom"/>
            <w:hideMark/>
          </w:tcPr>
          <w:p w14:paraId="36ED5B56"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lastRenderedPageBreak/>
              <w:t> </w:t>
            </w:r>
          </w:p>
        </w:tc>
        <w:tc>
          <w:tcPr>
            <w:tcW w:w="839" w:type="pct"/>
            <w:tcBorders>
              <w:top w:val="single" w:sz="4" w:space="0" w:color="auto"/>
              <w:left w:val="single" w:sz="4" w:space="0" w:color="auto"/>
              <w:bottom w:val="single" w:sz="4" w:space="0" w:color="auto"/>
              <w:right w:val="single" w:sz="4" w:space="0" w:color="auto"/>
            </w:tcBorders>
            <w:noWrap/>
            <w:vAlign w:val="bottom"/>
            <w:hideMark/>
          </w:tcPr>
          <w:p w14:paraId="4AD5B920" w14:textId="77777777" w:rsidR="00F250C4" w:rsidRPr="00650DFF" w:rsidRDefault="00F250C4" w:rsidP="00F250C4">
            <w:pPr>
              <w:spacing w:after="0" w:line="240" w:lineRule="auto"/>
              <w:jc w:val="center"/>
              <w:rPr>
                <w:rFonts w:ascii="Aptos Narrow" w:hAnsi="Aptos Narrow"/>
                <w:b/>
                <w:bCs/>
                <w:color w:val="000000"/>
                <w:sz w:val="20"/>
                <w:szCs w:val="20"/>
              </w:rPr>
            </w:pPr>
            <w:r w:rsidRPr="00650DFF">
              <w:rPr>
                <w:rFonts w:ascii="Aptos Narrow" w:hAnsi="Aptos Narrow"/>
                <w:b/>
                <w:bCs/>
                <w:color w:val="000000"/>
                <w:sz w:val="20"/>
                <w:szCs w:val="20"/>
              </w:rPr>
              <w:t>Experimental (M)</w:t>
            </w:r>
          </w:p>
        </w:tc>
        <w:tc>
          <w:tcPr>
            <w:tcW w:w="643" w:type="pct"/>
            <w:tcBorders>
              <w:top w:val="single" w:sz="4" w:space="0" w:color="auto"/>
              <w:left w:val="nil"/>
              <w:bottom w:val="single" w:sz="4" w:space="0" w:color="auto"/>
              <w:right w:val="nil"/>
            </w:tcBorders>
            <w:noWrap/>
            <w:vAlign w:val="bottom"/>
            <w:hideMark/>
          </w:tcPr>
          <w:p w14:paraId="042BD406" w14:textId="77777777" w:rsidR="00F250C4" w:rsidRPr="00650DFF" w:rsidRDefault="00F250C4" w:rsidP="00F250C4">
            <w:pPr>
              <w:spacing w:after="0" w:line="240" w:lineRule="auto"/>
              <w:jc w:val="center"/>
              <w:rPr>
                <w:rFonts w:ascii="Aptos Narrow" w:hAnsi="Aptos Narrow"/>
                <w:b/>
                <w:bCs/>
                <w:color w:val="000000"/>
                <w:sz w:val="20"/>
                <w:szCs w:val="20"/>
              </w:rPr>
            </w:pPr>
            <w:r w:rsidRPr="00650DFF">
              <w:rPr>
                <w:rFonts w:ascii="Aptos Narrow" w:hAnsi="Aptos Narrow"/>
                <w:b/>
                <w:bCs/>
                <w:color w:val="000000"/>
                <w:sz w:val="20"/>
                <w:szCs w:val="20"/>
              </w:rPr>
              <w:t>Control (M)</w:t>
            </w:r>
          </w:p>
        </w:tc>
      </w:tr>
      <w:tr w:rsidR="00F250C4" w:rsidRPr="00650DFF" w14:paraId="4FEC1F38" w14:textId="77777777" w:rsidTr="00F250C4">
        <w:trPr>
          <w:trHeight w:val="269"/>
        </w:trPr>
        <w:tc>
          <w:tcPr>
            <w:tcW w:w="3518" w:type="pct"/>
            <w:tcBorders>
              <w:top w:val="single" w:sz="4" w:space="0" w:color="auto"/>
              <w:left w:val="nil"/>
              <w:bottom w:val="single" w:sz="4" w:space="0" w:color="auto"/>
              <w:right w:val="nil"/>
            </w:tcBorders>
            <w:noWrap/>
            <w:vAlign w:val="bottom"/>
          </w:tcPr>
          <w:p w14:paraId="42AE5CB6" w14:textId="77777777" w:rsidR="00F250C4" w:rsidRPr="00650DFF" w:rsidRDefault="00F250C4" w:rsidP="00F250C4">
            <w:pPr>
              <w:spacing w:after="0" w:line="240" w:lineRule="auto"/>
              <w:rPr>
                <w:rFonts w:ascii="Aptos Narrow" w:hAnsi="Aptos Narrow"/>
                <w:b/>
                <w:bCs/>
                <w:color w:val="000000"/>
                <w:sz w:val="20"/>
                <w:szCs w:val="20"/>
              </w:rPr>
            </w:pPr>
            <w:r w:rsidRPr="00650DFF">
              <w:rPr>
                <w:rFonts w:ascii="Aptos Narrow" w:hAnsi="Aptos Narrow"/>
                <w:b/>
                <w:bCs/>
                <w:color w:val="000000"/>
                <w:sz w:val="20"/>
                <w:szCs w:val="20"/>
              </w:rPr>
              <w:t>n</w:t>
            </w:r>
          </w:p>
        </w:tc>
        <w:tc>
          <w:tcPr>
            <w:tcW w:w="839" w:type="pct"/>
            <w:tcBorders>
              <w:top w:val="single" w:sz="4" w:space="0" w:color="auto"/>
              <w:left w:val="single" w:sz="4" w:space="0" w:color="auto"/>
              <w:bottom w:val="single" w:sz="4" w:space="0" w:color="auto"/>
              <w:right w:val="single" w:sz="4" w:space="0" w:color="auto"/>
            </w:tcBorders>
            <w:noWrap/>
            <w:vAlign w:val="bottom"/>
          </w:tcPr>
          <w:p w14:paraId="3627867D"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79</w:t>
            </w:r>
          </w:p>
        </w:tc>
        <w:tc>
          <w:tcPr>
            <w:tcW w:w="643" w:type="pct"/>
            <w:tcBorders>
              <w:top w:val="single" w:sz="4" w:space="0" w:color="auto"/>
              <w:left w:val="nil"/>
              <w:bottom w:val="single" w:sz="4" w:space="0" w:color="auto"/>
              <w:right w:val="nil"/>
            </w:tcBorders>
            <w:noWrap/>
            <w:vAlign w:val="bottom"/>
          </w:tcPr>
          <w:p w14:paraId="255F311E"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158</w:t>
            </w:r>
          </w:p>
        </w:tc>
      </w:tr>
      <w:tr w:rsidR="00F250C4" w:rsidRPr="00650DFF" w14:paraId="70C4F7E5" w14:textId="77777777" w:rsidTr="00F250C4">
        <w:trPr>
          <w:trHeight w:val="269"/>
        </w:trPr>
        <w:tc>
          <w:tcPr>
            <w:tcW w:w="3518" w:type="pct"/>
            <w:tcBorders>
              <w:top w:val="nil"/>
              <w:left w:val="nil"/>
              <w:bottom w:val="nil"/>
              <w:right w:val="nil"/>
            </w:tcBorders>
            <w:noWrap/>
            <w:vAlign w:val="bottom"/>
            <w:hideMark/>
          </w:tcPr>
          <w:p w14:paraId="30768096" w14:textId="77777777" w:rsidR="00F250C4" w:rsidRPr="00650DFF" w:rsidRDefault="00F250C4" w:rsidP="00F250C4">
            <w:pPr>
              <w:spacing w:after="0" w:line="240" w:lineRule="auto"/>
              <w:rPr>
                <w:rFonts w:ascii="Aptos Narrow" w:hAnsi="Aptos Narrow"/>
                <w:b/>
                <w:bCs/>
                <w:color w:val="000000"/>
                <w:sz w:val="20"/>
                <w:szCs w:val="20"/>
              </w:rPr>
            </w:pPr>
            <w:r w:rsidRPr="00650DFF">
              <w:rPr>
                <w:rFonts w:ascii="Aptos Narrow" w:hAnsi="Aptos Narrow"/>
                <w:b/>
                <w:bCs/>
                <w:color w:val="000000"/>
                <w:sz w:val="20"/>
                <w:szCs w:val="20"/>
              </w:rPr>
              <w:t>Anxiety (GAD-7)</w:t>
            </w:r>
          </w:p>
        </w:tc>
        <w:tc>
          <w:tcPr>
            <w:tcW w:w="839" w:type="pct"/>
            <w:tcBorders>
              <w:top w:val="nil"/>
              <w:left w:val="single" w:sz="4" w:space="0" w:color="auto"/>
              <w:bottom w:val="nil"/>
              <w:right w:val="single" w:sz="4" w:space="0" w:color="auto"/>
            </w:tcBorders>
            <w:noWrap/>
            <w:vAlign w:val="bottom"/>
            <w:hideMark/>
          </w:tcPr>
          <w:p w14:paraId="4D2FBAC8"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 </w:t>
            </w:r>
          </w:p>
        </w:tc>
        <w:tc>
          <w:tcPr>
            <w:tcW w:w="643" w:type="pct"/>
            <w:tcBorders>
              <w:top w:val="nil"/>
              <w:left w:val="nil"/>
              <w:bottom w:val="nil"/>
              <w:right w:val="nil"/>
            </w:tcBorders>
            <w:noWrap/>
            <w:vAlign w:val="bottom"/>
            <w:hideMark/>
          </w:tcPr>
          <w:p w14:paraId="3B1D5EA7" w14:textId="77777777" w:rsidR="00F250C4" w:rsidRPr="00650DFF" w:rsidRDefault="00F250C4" w:rsidP="00F250C4">
            <w:pPr>
              <w:spacing w:after="0" w:line="240" w:lineRule="auto"/>
              <w:rPr>
                <w:rFonts w:ascii="Aptos Narrow" w:hAnsi="Aptos Narrow"/>
                <w:color w:val="000000"/>
                <w:sz w:val="20"/>
                <w:szCs w:val="20"/>
              </w:rPr>
            </w:pPr>
          </w:p>
        </w:tc>
      </w:tr>
      <w:tr w:rsidR="00F250C4" w:rsidRPr="00650DFF" w14:paraId="19CF49C5" w14:textId="77777777" w:rsidTr="00F250C4">
        <w:trPr>
          <w:trHeight w:val="269"/>
        </w:trPr>
        <w:tc>
          <w:tcPr>
            <w:tcW w:w="3518" w:type="pct"/>
            <w:tcBorders>
              <w:top w:val="nil"/>
              <w:left w:val="nil"/>
              <w:bottom w:val="nil"/>
              <w:right w:val="nil"/>
            </w:tcBorders>
            <w:noWrap/>
            <w:vAlign w:val="bottom"/>
            <w:hideMark/>
          </w:tcPr>
          <w:p w14:paraId="4F66F41E"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1. I felt anxious, nervous, or on edge</w:t>
            </w:r>
          </w:p>
        </w:tc>
        <w:tc>
          <w:tcPr>
            <w:tcW w:w="839" w:type="pct"/>
            <w:tcBorders>
              <w:top w:val="nil"/>
              <w:left w:val="single" w:sz="4" w:space="0" w:color="auto"/>
              <w:bottom w:val="nil"/>
              <w:right w:val="single" w:sz="4" w:space="0" w:color="auto"/>
            </w:tcBorders>
            <w:noWrap/>
            <w:vAlign w:val="bottom"/>
            <w:hideMark/>
          </w:tcPr>
          <w:p w14:paraId="3BAFFA57" w14:textId="77777777" w:rsidR="00F250C4" w:rsidRPr="00650DFF" w:rsidRDefault="00F250C4" w:rsidP="00F250C4">
            <w:pPr>
              <w:spacing w:after="0" w:line="240" w:lineRule="auto"/>
              <w:jc w:val="center"/>
              <w:rPr>
                <w:rFonts w:ascii="Aptos Narrow" w:hAnsi="Aptos Narrow"/>
                <w:sz w:val="20"/>
                <w:szCs w:val="20"/>
              </w:rPr>
            </w:pPr>
            <w:r w:rsidRPr="00650DFF">
              <w:rPr>
                <w:rFonts w:ascii="Aptos Narrow" w:hAnsi="Aptos Narrow"/>
                <w:sz w:val="20"/>
                <w:szCs w:val="20"/>
              </w:rPr>
              <w:t>1.09</w:t>
            </w:r>
          </w:p>
        </w:tc>
        <w:tc>
          <w:tcPr>
            <w:tcW w:w="643" w:type="pct"/>
            <w:tcBorders>
              <w:top w:val="nil"/>
              <w:left w:val="nil"/>
              <w:bottom w:val="nil"/>
              <w:right w:val="nil"/>
            </w:tcBorders>
            <w:noWrap/>
            <w:vAlign w:val="bottom"/>
            <w:hideMark/>
          </w:tcPr>
          <w:p w14:paraId="6923B478" w14:textId="77777777" w:rsidR="00F250C4" w:rsidRPr="00650DFF" w:rsidRDefault="00F250C4" w:rsidP="00F250C4">
            <w:pPr>
              <w:spacing w:after="0" w:line="240" w:lineRule="auto"/>
              <w:jc w:val="center"/>
              <w:rPr>
                <w:rFonts w:ascii="Aptos Narrow" w:hAnsi="Aptos Narrow"/>
                <w:sz w:val="20"/>
                <w:szCs w:val="20"/>
              </w:rPr>
            </w:pPr>
            <w:r w:rsidRPr="00650DFF">
              <w:rPr>
                <w:rFonts w:ascii="Aptos Narrow" w:hAnsi="Aptos Narrow"/>
                <w:sz w:val="20"/>
                <w:szCs w:val="20"/>
              </w:rPr>
              <w:t>1.32</w:t>
            </w:r>
          </w:p>
        </w:tc>
      </w:tr>
      <w:tr w:rsidR="00F250C4" w:rsidRPr="00650DFF" w14:paraId="04F541C4" w14:textId="77777777" w:rsidTr="00F250C4">
        <w:trPr>
          <w:trHeight w:val="269"/>
        </w:trPr>
        <w:tc>
          <w:tcPr>
            <w:tcW w:w="3518" w:type="pct"/>
            <w:tcBorders>
              <w:top w:val="nil"/>
              <w:left w:val="nil"/>
              <w:bottom w:val="nil"/>
              <w:right w:val="nil"/>
            </w:tcBorders>
            <w:noWrap/>
            <w:vAlign w:val="bottom"/>
            <w:hideMark/>
          </w:tcPr>
          <w:p w14:paraId="404DCCCE"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2. I was unable to stop or control my worries</w:t>
            </w:r>
          </w:p>
        </w:tc>
        <w:tc>
          <w:tcPr>
            <w:tcW w:w="839" w:type="pct"/>
            <w:tcBorders>
              <w:top w:val="nil"/>
              <w:left w:val="single" w:sz="4" w:space="0" w:color="auto"/>
              <w:bottom w:val="nil"/>
              <w:right w:val="single" w:sz="4" w:space="0" w:color="auto"/>
            </w:tcBorders>
            <w:noWrap/>
            <w:vAlign w:val="bottom"/>
            <w:hideMark/>
          </w:tcPr>
          <w:p w14:paraId="03B6C432" w14:textId="77777777" w:rsidR="00F250C4" w:rsidRPr="00650DFF" w:rsidRDefault="00F250C4" w:rsidP="00F250C4">
            <w:pPr>
              <w:spacing w:after="0" w:line="240" w:lineRule="auto"/>
              <w:jc w:val="center"/>
              <w:rPr>
                <w:rFonts w:ascii="Aptos Narrow" w:hAnsi="Aptos Narrow"/>
                <w:sz w:val="20"/>
                <w:szCs w:val="20"/>
              </w:rPr>
            </w:pPr>
            <w:r w:rsidRPr="00650DFF">
              <w:rPr>
                <w:rFonts w:ascii="Aptos Narrow" w:hAnsi="Aptos Narrow"/>
                <w:sz w:val="20"/>
                <w:szCs w:val="20"/>
              </w:rPr>
              <w:t>0.52</w:t>
            </w:r>
          </w:p>
        </w:tc>
        <w:tc>
          <w:tcPr>
            <w:tcW w:w="643" w:type="pct"/>
            <w:tcBorders>
              <w:top w:val="nil"/>
              <w:left w:val="nil"/>
              <w:bottom w:val="nil"/>
              <w:right w:val="nil"/>
            </w:tcBorders>
            <w:noWrap/>
            <w:vAlign w:val="bottom"/>
            <w:hideMark/>
          </w:tcPr>
          <w:p w14:paraId="15915EF9" w14:textId="77777777" w:rsidR="00F250C4" w:rsidRPr="00650DFF" w:rsidRDefault="00F250C4" w:rsidP="00F250C4">
            <w:pPr>
              <w:spacing w:after="0" w:line="240" w:lineRule="auto"/>
              <w:jc w:val="center"/>
              <w:rPr>
                <w:rFonts w:ascii="Aptos Narrow" w:hAnsi="Aptos Narrow"/>
                <w:sz w:val="20"/>
                <w:szCs w:val="20"/>
              </w:rPr>
            </w:pPr>
            <w:r w:rsidRPr="00650DFF">
              <w:rPr>
                <w:rFonts w:ascii="Aptos Narrow" w:hAnsi="Aptos Narrow"/>
                <w:sz w:val="20"/>
                <w:szCs w:val="20"/>
              </w:rPr>
              <w:t>0.61</w:t>
            </w:r>
          </w:p>
        </w:tc>
      </w:tr>
      <w:tr w:rsidR="00F250C4" w:rsidRPr="00650DFF" w14:paraId="29863B29" w14:textId="77777777" w:rsidTr="00F250C4">
        <w:trPr>
          <w:trHeight w:val="269"/>
        </w:trPr>
        <w:tc>
          <w:tcPr>
            <w:tcW w:w="3518" w:type="pct"/>
            <w:tcBorders>
              <w:top w:val="nil"/>
              <w:left w:val="nil"/>
              <w:bottom w:val="nil"/>
              <w:right w:val="nil"/>
            </w:tcBorders>
            <w:noWrap/>
            <w:vAlign w:val="bottom"/>
            <w:hideMark/>
          </w:tcPr>
          <w:p w14:paraId="4FE89E5F"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3. I worried too much about different things</w:t>
            </w:r>
          </w:p>
        </w:tc>
        <w:tc>
          <w:tcPr>
            <w:tcW w:w="839" w:type="pct"/>
            <w:tcBorders>
              <w:top w:val="nil"/>
              <w:left w:val="single" w:sz="4" w:space="0" w:color="auto"/>
              <w:bottom w:val="nil"/>
              <w:right w:val="single" w:sz="4" w:space="0" w:color="auto"/>
            </w:tcBorders>
            <w:noWrap/>
            <w:vAlign w:val="bottom"/>
            <w:hideMark/>
          </w:tcPr>
          <w:p w14:paraId="2A1075C2" w14:textId="77777777" w:rsidR="00F250C4" w:rsidRPr="00650DFF" w:rsidRDefault="00F250C4" w:rsidP="00F250C4">
            <w:pPr>
              <w:spacing w:after="0" w:line="240" w:lineRule="auto"/>
              <w:jc w:val="center"/>
              <w:rPr>
                <w:rFonts w:ascii="Aptos Narrow" w:hAnsi="Aptos Narrow"/>
                <w:sz w:val="20"/>
                <w:szCs w:val="20"/>
              </w:rPr>
            </w:pPr>
            <w:r w:rsidRPr="00650DFF">
              <w:rPr>
                <w:rFonts w:ascii="Aptos Narrow" w:hAnsi="Aptos Narrow"/>
                <w:sz w:val="20"/>
                <w:szCs w:val="20"/>
              </w:rPr>
              <w:t>0.63</w:t>
            </w:r>
          </w:p>
        </w:tc>
        <w:tc>
          <w:tcPr>
            <w:tcW w:w="643" w:type="pct"/>
            <w:tcBorders>
              <w:top w:val="nil"/>
              <w:left w:val="nil"/>
              <w:bottom w:val="nil"/>
              <w:right w:val="nil"/>
            </w:tcBorders>
            <w:noWrap/>
            <w:vAlign w:val="bottom"/>
            <w:hideMark/>
          </w:tcPr>
          <w:p w14:paraId="548265BF" w14:textId="77777777" w:rsidR="00F250C4" w:rsidRPr="00650DFF" w:rsidRDefault="00F250C4" w:rsidP="00F250C4">
            <w:pPr>
              <w:spacing w:after="0" w:line="240" w:lineRule="auto"/>
              <w:jc w:val="center"/>
              <w:rPr>
                <w:rFonts w:ascii="Aptos Narrow" w:hAnsi="Aptos Narrow"/>
                <w:sz w:val="20"/>
                <w:szCs w:val="20"/>
              </w:rPr>
            </w:pPr>
            <w:r w:rsidRPr="00650DFF">
              <w:rPr>
                <w:rFonts w:ascii="Aptos Narrow" w:hAnsi="Aptos Narrow"/>
                <w:sz w:val="20"/>
                <w:szCs w:val="20"/>
              </w:rPr>
              <w:t>0.96</w:t>
            </w:r>
          </w:p>
        </w:tc>
      </w:tr>
      <w:tr w:rsidR="00F250C4" w:rsidRPr="00650DFF" w14:paraId="30183F98" w14:textId="77777777" w:rsidTr="00F250C4">
        <w:trPr>
          <w:trHeight w:val="269"/>
        </w:trPr>
        <w:tc>
          <w:tcPr>
            <w:tcW w:w="3518" w:type="pct"/>
            <w:tcBorders>
              <w:top w:val="nil"/>
              <w:left w:val="nil"/>
              <w:bottom w:val="nil"/>
              <w:right w:val="nil"/>
            </w:tcBorders>
            <w:noWrap/>
            <w:vAlign w:val="bottom"/>
            <w:hideMark/>
          </w:tcPr>
          <w:p w14:paraId="1D986784" w14:textId="77777777" w:rsidR="00F250C4" w:rsidRPr="00650DFF" w:rsidRDefault="00F250C4" w:rsidP="00F250C4">
            <w:pPr>
              <w:spacing w:after="0" w:line="240" w:lineRule="auto"/>
              <w:rPr>
                <w:rFonts w:ascii="Aptos Narrow" w:hAnsi="Aptos Narrow"/>
                <w:sz w:val="20"/>
                <w:szCs w:val="20"/>
              </w:rPr>
            </w:pPr>
            <w:r w:rsidRPr="00650DFF">
              <w:rPr>
                <w:rFonts w:ascii="Aptos Narrow" w:hAnsi="Aptos Narrow"/>
                <w:sz w:val="20"/>
                <w:szCs w:val="20"/>
              </w:rPr>
              <w:t>4. I had trouble relaxing</w:t>
            </w:r>
          </w:p>
        </w:tc>
        <w:tc>
          <w:tcPr>
            <w:tcW w:w="839" w:type="pct"/>
            <w:tcBorders>
              <w:top w:val="nil"/>
              <w:left w:val="single" w:sz="4" w:space="0" w:color="auto"/>
              <w:bottom w:val="nil"/>
              <w:right w:val="single" w:sz="4" w:space="0" w:color="auto"/>
            </w:tcBorders>
            <w:noWrap/>
            <w:vAlign w:val="bottom"/>
            <w:hideMark/>
          </w:tcPr>
          <w:p w14:paraId="7AC801B3" w14:textId="77777777" w:rsidR="00F250C4" w:rsidRPr="00650DFF" w:rsidRDefault="00F250C4" w:rsidP="00F250C4">
            <w:pPr>
              <w:spacing w:after="0" w:line="240" w:lineRule="auto"/>
              <w:jc w:val="center"/>
              <w:rPr>
                <w:rFonts w:ascii="Aptos Narrow" w:hAnsi="Aptos Narrow"/>
                <w:sz w:val="20"/>
                <w:szCs w:val="20"/>
              </w:rPr>
            </w:pPr>
            <w:r w:rsidRPr="00650DFF">
              <w:rPr>
                <w:rFonts w:ascii="Aptos Narrow" w:hAnsi="Aptos Narrow"/>
                <w:sz w:val="20"/>
                <w:szCs w:val="20"/>
              </w:rPr>
              <w:t>0.58</w:t>
            </w:r>
          </w:p>
        </w:tc>
        <w:tc>
          <w:tcPr>
            <w:tcW w:w="643" w:type="pct"/>
            <w:tcBorders>
              <w:top w:val="nil"/>
              <w:left w:val="nil"/>
              <w:bottom w:val="nil"/>
              <w:right w:val="nil"/>
            </w:tcBorders>
            <w:noWrap/>
            <w:vAlign w:val="bottom"/>
            <w:hideMark/>
          </w:tcPr>
          <w:p w14:paraId="65F62C8E" w14:textId="77777777" w:rsidR="00F250C4" w:rsidRPr="00650DFF" w:rsidRDefault="00F250C4" w:rsidP="00F250C4">
            <w:pPr>
              <w:spacing w:after="0" w:line="240" w:lineRule="auto"/>
              <w:jc w:val="center"/>
              <w:rPr>
                <w:rFonts w:ascii="Aptos Narrow" w:hAnsi="Aptos Narrow"/>
                <w:sz w:val="20"/>
                <w:szCs w:val="20"/>
              </w:rPr>
            </w:pPr>
            <w:r w:rsidRPr="00650DFF">
              <w:rPr>
                <w:rFonts w:ascii="Aptos Narrow" w:hAnsi="Aptos Narrow"/>
                <w:sz w:val="20"/>
                <w:szCs w:val="20"/>
              </w:rPr>
              <w:t>0.64</w:t>
            </w:r>
          </w:p>
        </w:tc>
      </w:tr>
      <w:tr w:rsidR="00F250C4" w:rsidRPr="00650DFF" w14:paraId="027ACFF4" w14:textId="77777777" w:rsidTr="00F250C4">
        <w:trPr>
          <w:trHeight w:val="269"/>
        </w:trPr>
        <w:tc>
          <w:tcPr>
            <w:tcW w:w="3518" w:type="pct"/>
            <w:tcBorders>
              <w:top w:val="nil"/>
              <w:left w:val="nil"/>
              <w:bottom w:val="nil"/>
              <w:right w:val="nil"/>
            </w:tcBorders>
            <w:noWrap/>
            <w:vAlign w:val="bottom"/>
            <w:hideMark/>
          </w:tcPr>
          <w:p w14:paraId="2D4C754C" w14:textId="77777777" w:rsidR="00F250C4" w:rsidRPr="00650DFF" w:rsidRDefault="00F250C4" w:rsidP="00F250C4">
            <w:pPr>
              <w:spacing w:after="0" w:line="240" w:lineRule="auto"/>
              <w:rPr>
                <w:rFonts w:ascii="Aptos Narrow" w:hAnsi="Aptos Narrow"/>
                <w:sz w:val="20"/>
                <w:szCs w:val="20"/>
              </w:rPr>
            </w:pPr>
            <w:r w:rsidRPr="00650DFF">
              <w:rPr>
                <w:rFonts w:ascii="Aptos Narrow" w:hAnsi="Aptos Narrow"/>
                <w:sz w:val="20"/>
                <w:szCs w:val="20"/>
              </w:rPr>
              <w:t>5. I was so restless that it was hard to sit still</w:t>
            </w:r>
          </w:p>
        </w:tc>
        <w:tc>
          <w:tcPr>
            <w:tcW w:w="839" w:type="pct"/>
            <w:tcBorders>
              <w:top w:val="nil"/>
              <w:left w:val="single" w:sz="4" w:space="0" w:color="auto"/>
              <w:bottom w:val="nil"/>
              <w:right w:val="single" w:sz="4" w:space="0" w:color="auto"/>
            </w:tcBorders>
            <w:noWrap/>
            <w:vAlign w:val="bottom"/>
            <w:hideMark/>
          </w:tcPr>
          <w:p w14:paraId="693CBE99" w14:textId="77777777" w:rsidR="00F250C4" w:rsidRPr="00650DFF" w:rsidRDefault="00F250C4" w:rsidP="00F250C4">
            <w:pPr>
              <w:spacing w:after="0" w:line="240" w:lineRule="auto"/>
              <w:jc w:val="center"/>
              <w:rPr>
                <w:rFonts w:ascii="Aptos Narrow" w:hAnsi="Aptos Narrow"/>
                <w:sz w:val="20"/>
                <w:szCs w:val="20"/>
              </w:rPr>
            </w:pPr>
            <w:r w:rsidRPr="00650DFF">
              <w:rPr>
                <w:rFonts w:ascii="Aptos Narrow" w:hAnsi="Aptos Narrow"/>
                <w:sz w:val="20"/>
                <w:szCs w:val="20"/>
              </w:rPr>
              <w:t>0.49</w:t>
            </w:r>
          </w:p>
        </w:tc>
        <w:tc>
          <w:tcPr>
            <w:tcW w:w="643" w:type="pct"/>
            <w:tcBorders>
              <w:top w:val="nil"/>
              <w:left w:val="nil"/>
              <w:bottom w:val="nil"/>
              <w:right w:val="nil"/>
            </w:tcBorders>
            <w:noWrap/>
            <w:vAlign w:val="bottom"/>
            <w:hideMark/>
          </w:tcPr>
          <w:p w14:paraId="5A68D330" w14:textId="77777777" w:rsidR="00F250C4" w:rsidRPr="00650DFF" w:rsidRDefault="00F250C4" w:rsidP="00F250C4">
            <w:pPr>
              <w:spacing w:after="0" w:line="240" w:lineRule="auto"/>
              <w:jc w:val="center"/>
              <w:rPr>
                <w:rFonts w:ascii="Aptos Narrow" w:hAnsi="Aptos Narrow"/>
                <w:sz w:val="20"/>
                <w:szCs w:val="20"/>
              </w:rPr>
            </w:pPr>
            <w:r w:rsidRPr="00650DFF">
              <w:rPr>
                <w:rFonts w:ascii="Aptos Narrow" w:hAnsi="Aptos Narrow"/>
                <w:sz w:val="20"/>
                <w:szCs w:val="20"/>
              </w:rPr>
              <w:t>0.39</w:t>
            </w:r>
          </w:p>
        </w:tc>
      </w:tr>
      <w:tr w:rsidR="00F250C4" w:rsidRPr="00650DFF" w14:paraId="5CDA0A15" w14:textId="77777777" w:rsidTr="00F250C4">
        <w:trPr>
          <w:trHeight w:val="269"/>
        </w:trPr>
        <w:tc>
          <w:tcPr>
            <w:tcW w:w="3518" w:type="pct"/>
            <w:tcBorders>
              <w:top w:val="nil"/>
              <w:left w:val="nil"/>
              <w:bottom w:val="nil"/>
              <w:right w:val="nil"/>
            </w:tcBorders>
            <w:noWrap/>
            <w:vAlign w:val="bottom"/>
            <w:hideMark/>
          </w:tcPr>
          <w:p w14:paraId="3C886C41"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6. I became easily annoyed or irritable</w:t>
            </w:r>
          </w:p>
        </w:tc>
        <w:tc>
          <w:tcPr>
            <w:tcW w:w="839" w:type="pct"/>
            <w:tcBorders>
              <w:top w:val="nil"/>
              <w:left w:val="single" w:sz="4" w:space="0" w:color="auto"/>
              <w:bottom w:val="nil"/>
              <w:right w:val="single" w:sz="4" w:space="0" w:color="auto"/>
            </w:tcBorders>
            <w:noWrap/>
            <w:vAlign w:val="bottom"/>
            <w:hideMark/>
          </w:tcPr>
          <w:p w14:paraId="58ADBE53" w14:textId="77777777" w:rsidR="00F250C4" w:rsidRPr="00650DFF" w:rsidRDefault="00F250C4" w:rsidP="00F250C4">
            <w:pPr>
              <w:spacing w:after="0" w:line="240" w:lineRule="auto"/>
              <w:jc w:val="center"/>
              <w:rPr>
                <w:rFonts w:ascii="Aptos Narrow" w:hAnsi="Aptos Narrow"/>
                <w:sz w:val="20"/>
                <w:szCs w:val="20"/>
              </w:rPr>
            </w:pPr>
            <w:r w:rsidRPr="00650DFF">
              <w:rPr>
                <w:rFonts w:ascii="Aptos Narrow" w:hAnsi="Aptos Narrow"/>
                <w:sz w:val="20"/>
                <w:szCs w:val="20"/>
              </w:rPr>
              <w:t>1.00</w:t>
            </w:r>
          </w:p>
        </w:tc>
        <w:tc>
          <w:tcPr>
            <w:tcW w:w="643" w:type="pct"/>
            <w:tcBorders>
              <w:top w:val="nil"/>
              <w:left w:val="nil"/>
              <w:bottom w:val="nil"/>
              <w:right w:val="nil"/>
            </w:tcBorders>
            <w:noWrap/>
            <w:vAlign w:val="bottom"/>
            <w:hideMark/>
          </w:tcPr>
          <w:p w14:paraId="1C6B564A" w14:textId="77777777" w:rsidR="00F250C4" w:rsidRPr="00650DFF" w:rsidRDefault="00F250C4" w:rsidP="00F250C4">
            <w:pPr>
              <w:spacing w:after="0" w:line="240" w:lineRule="auto"/>
              <w:jc w:val="center"/>
              <w:rPr>
                <w:rFonts w:ascii="Aptos Narrow" w:hAnsi="Aptos Narrow"/>
                <w:sz w:val="20"/>
                <w:szCs w:val="20"/>
              </w:rPr>
            </w:pPr>
            <w:r w:rsidRPr="00650DFF">
              <w:rPr>
                <w:rFonts w:ascii="Aptos Narrow" w:hAnsi="Aptos Narrow"/>
                <w:sz w:val="20"/>
                <w:szCs w:val="20"/>
              </w:rPr>
              <w:t>1.02</w:t>
            </w:r>
          </w:p>
        </w:tc>
      </w:tr>
      <w:tr w:rsidR="00F250C4" w:rsidRPr="00650DFF" w14:paraId="19A57F4C" w14:textId="77777777" w:rsidTr="00F250C4">
        <w:trPr>
          <w:trHeight w:val="269"/>
        </w:trPr>
        <w:tc>
          <w:tcPr>
            <w:tcW w:w="3518" w:type="pct"/>
            <w:tcBorders>
              <w:top w:val="nil"/>
              <w:left w:val="nil"/>
              <w:bottom w:val="nil"/>
              <w:right w:val="nil"/>
            </w:tcBorders>
            <w:noWrap/>
            <w:vAlign w:val="bottom"/>
            <w:hideMark/>
          </w:tcPr>
          <w:p w14:paraId="33C1A01F"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7. I felt afraid as if something awful might happen</w:t>
            </w:r>
          </w:p>
        </w:tc>
        <w:tc>
          <w:tcPr>
            <w:tcW w:w="839" w:type="pct"/>
            <w:tcBorders>
              <w:top w:val="nil"/>
              <w:left w:val="single" w:sz="4" w:space="0" w:color="auto"/>
              <w:bottom w:val="nil"/>
              <w:right w:val="single" w:sz="4" w:space="0" w:color="auto"/>
            </w:tcBorders>
            <w:noWrap/>
            <w:vAlign w:val="bottom"/>
            <w:hideMark/>
          </w:tcPr>
          <w:p w14:paraId="26288C98" w14:textId="77777777" w:rsidR="00F250C4" w:rsidRPr="00650DFF" w:rsidRDefault="00F250C4" w:rsidP="00F250C4">
            <w:pPr>
              <w:spacing w:after="0" w:line="240" w:lineRule="auto"/>
              <w:jc w:val="center"/>
              <w:rPr>
                <w:rFonts w:ascii="Aptos Narrow" w:hAnsi="Aptos Narrow"/>
                <w:sz w:val="20"/>
                <w:szCs w:val="20"/>
              </w:rPr>
            </w:pPr>
            <w:r w:rsidRPr="00650DFF">
              <w:rPr>
                <w:rFonts w:ascii="Aptos Narrow" w:hAnsi="Aptos Narrow"/>
                <w:sz w:val="20"/>
                <w:szCs w:val="20"/>
              </w:rPr>
              <w:t>0.42</w:t>
            </w:r>
          </w:p>
        </w:tc>
        <w:tc>
          <w:tcPr>
            <w:tcW w:w="643" w:type="pct"/>
            <w:tcBorders>
              <w:top w:val="nil"/>
              <w:left w:val="nil"/>
              <w:bottom w:val="nil"/>
              <w:right w:val="nil"/>
            </w:tcBorders>
            <w:noWrap/>
            <w:vAlign w:val="bottom"/>
            <w:hideMark/>
          </w:tcPr>
          <w:p w14:paraId="7CA67A0F" w14:textId="77777777" w:rsidR="00F250C4" w:rsidRPr="00650DFF" w:rsidRDefault="00F250C4" w:rsidP="00F250C4">
            <w:pPr>
              <w:spacing w:after="0" w:line="240" w:lineRule="auto"/>
              <w:jc w:val="center"/>
              <w:rPr>
                <w:rFonts w:ascii="Aptos Narrow" w:hAnsi="Aptos Narrow"/>
                <w:sz w:val="20"/>
                <w:szCs w:val="20"/>
              </w:rPr>
            </w:pPr>
            <w:r w:rsidRPr="00650DFF">
              <w:rPr>
                <w:rFonts w:ascii="Aptos Narrow" w:hAnsi="Aptos Narrow"/>
                <w:sz w:val="20"/>
                <w:szCs w:val="20"/>
              </w:rPr>
              <w:t>0.35</w:t>
            </w:r>
          </w:p>
        </w:tc>
      </w:tr>
      <w:tr w:rsidR="00F250C4" w:rsidRPr="00650DFF" w14:paraId="0D2AABC9" w14:textId="77777777" w:rsidTr="00F250C4">
        <w:trPr>
          <w:trHeight w:val="269"/>
        </w:trPr>
        <w:tc>
          <w:tcPr>
            <w:tcW w:w="3518" w:type="pct"/>
            <w:tcBorders>
              <w:top w:val="nil"/>
              <w:left w:val="nil"/>
              <w:bottom w:val="nil"/>
              <w:right w:val="nil"/>
            </w:tcBorders>
            <w:noWrap/>
            <w:vAlign w:val="bottom"/>
            <w:hideMark/>
          </w:tcPr>
          <w:p w14:paraId="7D11452C" w14:textId="77777777" w:rsidR="00F250C4" w:rsidRPr="00650DFF" w:rsidRDefault="00F250C4" w:rsidP="00F250C4">
            <w:pPr>
              <w:spacing w:after="0" w:line="240" w:lineRule="auto"/>
              <w:rPr>
                <w:rFonts w:ascii="Aptos Narrow" w:hAnsi="Aptos Narrow"/>
                <w:b/>
                <w:bCs/>
                <w:color w:val="000000"/>
                <w:sz w:val="20"/>
                <w:szCs w:val="20"/>
              </w:rPr>
            </w:pPr>
            <w:r w:rsidRPr="00650DFF">
              <w:rPr>
                <w:rFonts w:ascii="Aptos Narrow" w:hAnsi="Aptos Narrow"/>
                <w:b/>
                <w:bCs/>
                <w:color w:val="000000"/>
                <w:sz w:val="20"/>
                <w:szCs w:val="20"/>
              </w:rPr>
              <w:t xml:space="preserve">Frequency (%) </w:t>
            </w:r>
            <w:r w:rsidRPr="00650DFF">
              <w:rPr>
                <w:rFonts w:ascii="Aptos Narrow" w:hAnsi="Aptos Narrow"/>
                <w:color w:val="000000"/>
                <w:sz w:val="20"/>
                <w:szCs w:val="20"/>
              </w:rPr>
              <w:t>None</w:t>
            </w:r>
          </w:p>
        </w:tc>
        <w:tc>
          <w:tcPr>
            <w:tcW w:w="839" w:type="pct"/>
            <w:tcBorders>
              <w:top w:val="nil"/>
              <w:left w:val="single" w:sz="4" w:space="0" w:color="auto"/>
              <w:bottom w:val="nil"/>
              <w:right w:val="single" w:sz="4" w:space="0" w:color="auto"/>
            </w:tcBorders>
            <w:noWrap/>
            <w:vAlign w:val="bottom"/>
            <w:hideMark/>
          </w:tcPr>
          <w:p w14:paraId="1A979C87"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58.7</w:t>
            </w:r>
          </w:p>
        </w:tc>
        <w:tc>
          <w:tcPr>
            <w:tcW w:w="643" w:type="pct"/>
            <w:tcBorders>
              <w:top w:val="nil"/>
              <w:left w:val="nil"/>
              <w:bottom w:val="nil"/>
              <w:right w:val="nil"/>
            </w:tcBorders>
            <w:noWrap/>
            <w:vAlign w:val="bottom"/>
            <w:hideMark/>
          </w:tcPr>
          <w:p w14:paraId="455C9E1E"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50</w:t>
            </w:r>
          </w:p>
        </w:tc>
      </w:tr>
      <w:tr w:rsidR="00F250C4" w:rsidRPr="00650DFF" w14:paraId="742339A4" w14:textId="77777777" w:rsidTr="00F250C4">
        <w:trPr>
          <w:trHeight w:val="269"/>
        </w:trPr>
        <w:tc>
          <w:tcPr>
            <w:tcW w:w="3518" w:type="pct"/>
            <w:tcBorders>
              <w:top w:val="nil"/>
              <w:left w:val="nil"/>
              <w:bottom w:val="nil"/>
              <w:right w:val="nil"/>
            </w:tcBorders>
            <w:noWrap/>
            <w:vAlign w:val="bottom"/>
            <w:hideMark/>
          </w:tcPr>
          <w:p w14:paraId="390CEB0D"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 xml:space="preserve">                                 Mild</w:t>
            </w:r>
          </w:p>
        </w:tc>
        <w:tc>
          <w:tcPr>
            <w:tcW w:w="839" w:type="pct"/>
            <w:tcBorders>
              <w:top w:val="nil"/>
              <w:left w:val="single" w:sz="4" w:space="0" w:color="auto"/>
              <w:bottom w:val="nil"/>
              <w:right w:val="single" w:sz="4" w:space="0" w:color="auto"/>
            </w:tcBorders>
            <w:noWrap/>
            <w:vAlign w:val="bottom"/>
            <w:hideMark/>
          </w:tcPr>
          <w:p w14:paraId="3FA231EE"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26.3</w:t>
            </w:r>
          </w:p>
        </w:tc>
        <w:tc>
          <w:tcPr>
            <w:tcW w:w="643" w:type="pct"/>
            <w:tcBorders>
              <w:top w:val="nil"/>
              <w:left w:val="nil"/>
              <w:bottom w:val="nil"/>
              <w:right w:val="nil"/>
            </w:tcBorders>
            <w:noWrap/>
            <w:vAlign w:val="bottom"/>
            <w:hideMark/>
          </w:tcPr>
          <w:p w14:paraId="4C6259FE"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38.3</w:t>
            </w:r>
          </w:p>
        </w:tc>
      </w:tr>
      <w:tr w:rsidR="00F250C4" w:rsidRPr="00650DFF" w14:paraId="54088054" w14:textId="77777777" w:rsidTr="00F250C4">
        <w:trPr>
          <w:trHeight w:val="269"/>
        </w:trPr>
        <w:tc>
          <w:tcPr>
            <w:tcW w:w="3518" w:type="pct"/>
            <w:tcBorders>
              <w:top w:val="nil"/>
              <w:left w:val="nil"/>
              <w:bottom w:val="nil"/>
              <w:right w:val="nil"/>
            </w:tcBorders>
            <w:noWrap/>
            <w:vAlign w:val="bottom"/>
            <w:hideMark/>
          </w:tcPr>
          <w:p w14:paraId="066736A7"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 xml:space="preserve">                                 Moderate</w:t>
            </w:r>
          </w:p>
        </w:tc>
        <w:tc>
          <w:tcPr>
            <w:tcW w:w="839" w:type="pct"/>
            <w:tcBorders>
              <w:top w:val="nil"/>
              <w:left w:val="single" w:sz="4" w:space="0" w:color="auto"/>
              <w:bottom w:val="nil"/>
              <w:right w:val="single" w:sz="4" w:space="0" w:color="auto"/>
            </w:tcBorders>
            <w:noWrap/>
            <w:vAlign w:val="bottom"/>
            <w:hideMark/>
          </w:tcPr>
          <w:p w14:paraId="40A851B3"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12.5</w:t>
            </w:r>
          </w:p>
        </w:tc>
        <w:tc>
          <w:tcPr>
            <w:tcW w:w="643" w:type="pct"/>
            <w:tcBorders>
              <w:top w:val="nil"/>
              <w:left w:val="nil"/>
              <w:bottom w:val="nil"/>
              <w:right w:val="nil"/>
            </w:tcBorders>
            <w:noWrap/>
            <w:vAlign w:val="bottom"/>
            <w:hideMark/>
          </w:tcPr>
          <w:p w14:paraId="1453203D"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8.6</w:t>
            </w:r>
          </w:p>
        </w:tc>
      </w:tr>
      <w:tr w:rsidR="00F250C4" w:rsidRPr="00650DFF" w14:paraId="32222694" w14:textId="77777777" w:rsidTr="00F250C4">
        <w:trPr>
          <w:trHeight w:val="269"/>
        </w:trPr>
        <w:tc>
          <w:tcPr>
            <w:tcW w:w="3518" w:type="pct"/>
            <w:tcBorders>
              <w:top w:val="nil"/>
              <w:left w:val="nil"/>
              <w:bottom w:val="nil"/>
              <w:right w:val="nil"/>
            </w:tcBorders>
            <w:noWrap/>
            <w:vAlign w:val="bottom"/>
            <w:hideMark/>
          </w:tcPr>
          <w:p w14:paraId="652FEAE2"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 xml:space="preserve">                                 Severe</w:t>
            </w:r>
          </w:p>
        </w:tc>
        <w:tc>
          <w:tcPr>
            <w:tcW w:w="839" w:type="pct"/>
            <w:tcBorders>
              <w:top w:val="nil"/>
              <w:left w:val="single" w:sz="4" w:space="0" w:color="auto"/>
              <w:bottom w:val="nil"/>
              <w:right w:val="single" w:sz="4" w:space="0" w:color="auto"/>
            </w:tcBorders>
            <w:noWrap/>
            <w:vAlign w:val="bottom"/>
            <w:hideMark/>
          </w:tcPr>
          <w:p w14:paraId="7A52CE2B"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2.5</w:t>
            </w:r>
          </w:p>
        </w:tc>
        <w:tc>
          <w:tcPr>
            <w:tcW w:w="643" w:type="pct"/>
            <w:tcBorders>
              <w:top w:val="nil"/>
              <w:left w:val="nil"/>
              <w:bottom w:val="nil"/>
              <w:right w:val="nil"/>
            </w:tcBorders>
            <w:noWrap/>
            <w:vAlign w:val="bottom"/>
            <w:hideMark/>
          </w:tcPr>
          <w:p w14:paraId="55BC414E"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3.1</w:t>
            </w:r>
          </w:p>
        </w:tc>
      </w:tr>
      <w:tr w:rsidR="00F250C4" w:rsidRPr="00650DFF" w14:paraId="4B12AA7C" w14:textId="77777777" w:rsidTr="00F250C4">
        <w:trPr>
          <w:trHeight w:val="269"/>
        </w:trPr>
        <w:tc>
          <w:tcPr>
            <w:tcW w:w="3518" w:type="pct"/>
            <w:tcBorders>
              <w:top w:val="single" w:sz="4" w:space="0" w:color="auto"/>
              <w:left w:val="nil"/>
              <w:bottom w:val="nil"/>
              <w:right w:val="nil"/>
            </w:tcBorders>
            <w:noWrap/>
            <w:vAlign w:val="bottom"/>
            <w:hideMark/>
          </w:tcPr>
          <w:p w14:paraId="632EBC0D" w14:textId="77777777" w:rsidR="00F250C4" w:rsidRPr="00650DFF" w:rsidRDefault="00F250C4" w:rsidP="00F250C4">
            <w:pPr>
              <w:spacing w:after="0" w:line="240" w:lineRule="auto"/>
              <w:rPr>
                <w:rFonts w:ascii="Aptos Narrow" w:hAnsi="Aptos Narrow"/>
                <w:b/>
                <w:bCs/>
                <w:color w:val="000000"/>
                <w:sz w:val="20"/>
                <w:szCs w:val="20"/>
              </w:rPr>
            </w:pPr>
            <w:r w:rsidRPr="00650DFF">
              <w:rPr>
                <w:rFonts w:ascii="Aptos Narrow" w:hAnsi="Aptos Narrow"/>
                <w:b/>
                <w:bCs/>
                <w:color w:val="000000"/>
                <w:sz w:val="20"/>
                <w:szCs w:val="20"/>
              </w:rPr>
              <w:t>Depression (PHQ-9)</w:t>
            </w:r>
          </w:p>
        </w:tc>
        <w:tc>
          <w:tcPr>
            <w:tcW w:w="839" w:type="pct"/>
            <w:tcBorders>
              <w:top w:val="single" w:sz="4" w:space="0" w:color="auto"/>
              <w:left w:val="single" w:sz="4" w:space="0" w:color="auto"/>
              <w:bottom w:val="nil"/>
              <w:right w:val="single" w:sz="4" w:space="0" w:color="auto"/>
            </w:tcBorders>
            <w:noWrap/>
            <w:vAlign w:val="bottom"/>
            <w:hideMark/>
          </w:tcPr>
          <w:p w14:paraId="12F13915"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 </w:t>
            </w:r>
          </w:p>
        </w:tc>
        <w:tc>
          <w:tcPr>
            <w:tcW w:w="643" w:type="pct"/>
            <w:tcBorders>
              <w:top w:val="single" w:sz="4" w:space="0" w:color="auto"/>
              <w:left w:val="nil"/>
              <w:bottom w:val="nil"/>
              <w:right w:val="nil"/>
            </w:tcBorders>
            <w:noWrap/>
            <w:vAlign w:val="bottom"/>
            <w:hideMark/>
          </w:tcPr>
          <w:p w14:paraId="4B27A5DB"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 </w:t>
            </w:r>
          </w:p>
        </w:tc>
      </w:tr>
      <w:tr w:rsidR="00F250C4" w:rsidRPr="00650DFF" w14:paraId="15513158" w14:textId="77777777" w:rsidTr="00F250C4">
        <w:trPr>
          <w:trHeight w:val="269"/>
        </w:trPr>
        <w:tc>
          <w:tcPr>
            <w:tcW w:w="3518" w:type="pct"/>
            <w:tcBorders>
              <w:top w:val="nil"/>
              <w:left w:val="nil"/>
              <w:bottom w:val="nil"/>
              <w:right w:val="nil"/>
            </w:tcBorders>
            <w:noWrap/>
            <w:vAlign w:val="bottom"/>
            <w:hideMark/>
          </w:tcPr>
          <w:p w14:paraId="26232E6A"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1. Little interest or pleasure in doing things</w:t>
            </w:r>
          </w:p>
        </w:tc>
        <w:tc>
          <w:tcPr>
            <w:tcW w:w="839" w:type="pct"/>
            <w:tcBorders>
              <w:top w:val="nil"/>
              <w:left w:val="single" w:sz="4" w:space="0" w:color="auto"/>
              <w:bottom w:val="nil"/>
              <w:right w:val="single" w:sz="4" w:space="0" w:color="auto"/>
            </w:tcBorders>
            <w:noWrap/>
            <w:vAlign w:val="bottom"/>
            <w:hideMark/>
          </w:tcPr>
          <w:p w14:paraId="2EB86A68"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0.84</w:t>
            </w:r>
          </w:p>
        </w:tc>
        <w:tc>
          <w:tcPr>
            <w:tcW w:w="643" w:type="pct"/>
            <w:tcBorders>
              <w:top w:val="nil"/>
              <w:left w:val="nil"/>
              <w:bottom w:val="nil"/>
              <w:right w:val="nil"/>
            </w:tcBorders>
            <w:noWrap/>
            <w:vAlign w:val="bottom"/>
            <w:hideMark/>
          </w:tcPr>
          <w:p w14:paraId="73D6DFB6"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1.18</w:t>
            </w:r>
          </w:p>
        </w:tc>
      </w:tr>
      <w:tr w:rsidR="00F250C4" w:rsidRPr="00650DFF" w14:paraId="79B042C4" w14:textId="77777777" w:rsidTr="00F250C4">
        <w:trPr>
          <w:trHeight w:val="269"/>
        </w:trPr>
        <w:tc>
          <w:tcPr>
            <w:tcW w:w="3518" w:type="pct"/>
            <w:tcBorders>
              <w:top w:val="nil"/>
              <w:left w:val="nil"/>
              <w:bottom w:val="nil"/>
              <w:right w:val="nil"/>
            </w:tcBorders>
            <w:noWrap/>
            <w:vAlign w:val="bottom"/>
            <w:hideMark/>
          </w:tcPr>
          <w:p w14:paraId="66DEC9EB"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2. Feeling down, depressed, or hopeless</w:t>
            </w:r>
          </w:p>
        </w:tc>
        <w:tc>
          <w:tcPr>
            <w:tcW w:w="839" w:type="pct"/>
            <w:tcBorders>
              <w:top w:val="nil"/>
              <w:left w:val="single" w:sz="4" w:space="0" w:color="auto"/>
              <w:bottom w:val="nil"/>
              <w:right w:val="single" w:sz="4" w:space="0" w:color="auto"/>
            </w:tcBorders>
            <w:noWrap/>
            <w:vAlign w:val="bottom"/>
            <w:hideMark/>
          </w:tcPr>
          <w:p w14:paraId="0BF52B1E"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0.72</w:t>
            </w:r>
          </w:p>
        </w:tc>
        <w:tc>
          <w:tcPr>
            <w:tcW w:w="643" w:type="pct"/>
            <w:tcBorders>
              <w:top w:val="nil"/>
              <w:left w:val="nil"/>
              <w:bottom w:val="nil"/>
              <w:right w:val="nil"/>
            </w:tcBorders>
            <w:noWrap/>
            <w:vAlign w:val="bottom"/>
            <w:hideMark/>
          </w:tcPr>
          <w:p w14:paraId="5783E335"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0.80</w:t>
            </w:r>
          </w:p>
        </w:tc>
      </w:tr>
      <w:tr w:rsidR="00F250C4" w:rsidRPr="00650DFF" w14:paraId="1CC2C860" w14:textId="77777777" w:rsidTr="00F250C4">
        <w:trPr>
          <w:trHeight w:val="269"/>
        </w:trPr>
        <w:tc>
          <w:tcPr>
            <w:tcW w:w="3518" w:type="pct"/>
            <w:tcBorders>
              <w:top w:val="nil"/>
              <w:left w:val="nil"/>
              <w:bottom w:val="nil"/>
              <w:right w:val="nil"/>
            </w:tcBorders>
            <w:noWrap/>
            <w:hideMark/>
          </w:tcPr>
          <w:p w14:paraId="79FE4339"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3. Trouble falling or staying asleep, or sleeping too much</w:t>
            </w:r>
          </w:p>
        </w:tc>
        <w:tc>
          <w:tcPr>
            <w:tcW w:w="839" w:type="pct"/>
            <w:tcBorders>
              <w:top w:val="nil"/>
              <w:left w:val="single" w:sz="4" w:space="0" w:color="auto"/>
              <w:bottom w:val="nil"/>
              <w:right w:val="single" w:sz="4" w:space="0" w:color="auto"/>
            </w:tcBorders>
            <w:noWrap/>
            <w:vAlign w:val="bottom"/>
            <w:hideMark/>
          </w:tcPr>
          <w:p w14:paraId="2A65E2CF"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0.75</w:t>
            </w:r>
          </w:p>
        </w:tc>
        <w:tc>
          <w:tcPr>
            <w:tcW w:w="643" w:type="pct"/>
            <w:tcBorders>
              <w:top w:val="nil"/>
              <w:left w:val="nil"/>
              <w:bottom w:val="nil"/>
              <w:right w:val="nil"/>
            </w:tcBorders>
            <w:noWrap/>
            <w:vAlign w:val="bottom"/>
            <w:hideMark/>
          </w:tcPr>
          <w:p w14:paraId="21BAF7D7"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0.55</w:t>
            </w:r>
          </w:p>
        </w:tc>
      </w:tr>
      <w:tr w:rsidR="00F250C4" w:rsidRPr="00650DFF" w14:paraId="2EBFACC3" w14:textId="77777777" w:rsidTr="00F250C4">
        <w:trPr>
          <w:trHeight w:val="269"/>
        </w:trPr>
        <w:tc>
          <w:tcPr>
            <w:tcW w:w="3518" w:type="pct"/>
            <w:tcBorders>
              <w:top w:val="nil"/>
              <w:left w:val="nil"/>
              <w:bottom w:val="nil"/>
              <w:right w:val="nil"/>
            </w:tcBorders>
            <w:noWrap/>
            <w:vAlign w:val="bottom"/>
            <w:hideMark/>
          </w:tcPr>
          <w:p w14:paraId="778DD979"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4. Feeling tired or having little energy</w:t>
            </w:r>
          </w:p>
        </w:tc>
        <w:tc>
          <w:tcPr>
            <w:tcW w:w="839" w:type="pct"/>
            <w:tcBorders>
              <w:top w:val="nil"/>
              <w:left w:val="single" w:sz="4" w:space="0" w:color="auto"/>
              <w:bottom w:val="nil"/>
              <w:right w:val="single" w:sz="4" w:space="0" w:color="auto"/>
            </w:tcBorders>
            <w:noWrap/>
            <w:vAlign w:val="bottom"/>
            <w:hideMark/>
          </w:tcPr>
          <w:p w14:paraId="17DCE58E"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0.75</w:t>
            </w:r>
          </w:p>
        </w:tc>
        <w:tc>
          <w:tcPr>
            <w:tcW w:w="643" w:type="pct"/>
            <w:tcBorders>
              <w:top w:val="nil"/>
              <w:left w:val="nil"/>
              <w:bottom w:val="nil"/>
              <w:right w:val="nil"/>
            </w:tcBorders>
            <w:noWrap/>
            <w:vAlign w:val="bottom"/>
            <w:hideMark/>
          </w:tcPr>
          <w:p w14:paraId="105F2FF6"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1.08</w:t>
            </w:r>
          </w:p>
        </w:tc>
      </w:tr>
      <w:tr w:rsidR="00F250C4" w:rsidRPr="00650DFF" w14:paraId="217916F4" w14:textId="77777777" w:rsidTr="00F250C4">
        <w:trPr>
          <w:trHeight w:val="269"/>
        </w:trPr>
        <w:tc>
          <w:tcPr>
            <w:tcW w:w="3518" w:type="pct"/>
            <w:tcBorders>
              <w:top w:val="nil"/>
              <w:left w:val="nil"/>
              <w:bottom w:val="nil"/>
              <w:right w:val="nil"/>
            </w:tcBorders>
            <w:noWrap/>
            <w:vAlign w:val="bottom"/>
            <w:hideMark/>
          </w:tcPr>
          <w:p w14:paraId="0A5377C1"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5. Poor appetite or overeating</w:t>
            </w:r>
          </w:p>
        </w:tc>
        <w:tc>
          <w:tcPr>
            <w:tcW w:w="839" w:type="pct"/>
            <w:tcBorders>
              <w:top w:val="nil"/>
              <w:left w:val="single" w:sz="4" w:space="0" w:color="auto"/>
              <w:bottom w:val="nil"/>
              <w:right w:val="single" w:sz="4" w:space="0" w:color="auto"/>
            </w:tcBorders>
            <w:noWrap/>
            <w:vAlign w:val="bottom"/>
            <w:hideMark/>
          </w:tcPr>
          <w:p w14:paraId="3F25E275"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0.82</w:t>
            </w:r>
          </w:p>
        </w:tc>
        <w:tc>
          <w:tcPr>
            <w:tcW w:w="643" w:type="pct"/>
            <w:tcBorders>
              <w:top w:val="nil"/>
              <w:left w:val="nil"/>
              <w:bottom w:val="nil"/>
              <w:right w:val="nil"/>
            </w:tcBorders>
            <w:noWrap/>
            <w:vAlign w:val="bottom"/>
            <w:hideMark/>
          </w:tcPr>
          <w:p w14:paraId="2B6D76F3"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0.64</w:t>
            </w:r>
          </w:p>
        </w:tc>
      </w:tr>
      <w:tr w:rsidR="00F250C4" w:rsidRPr="00650DFF" w14:paraId="7815E135" w14:textId="77777777" w:rsidTr="00F250C4">
        <w:trPr>
          <w:trHeight w:val="269"/>
        </w:trPr>
        <w:tc>
          <w:tcPr>
            <w:tcW w:w="3518" w:type="pct"/>
            <w:tcBorders>
              <w:top w:val="nil"/>
              <w:left w:val="nil"/>
              <w:bottom w:val="nil"/>
              <w:right w:val="nil"/>
            </w:tcBorders>
            <w:noWrap/>
            <w:vAlign w:val="bottom"/>
            <w:hideMark/>
          </w:tcPr>
          <w:p w14:paraId="3D725DD7"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6. Feeling bad about yourself — or that you are a failure or have let yourself or your family down</w:t>
            </w:r>
          </w:p>
        </w:tc>
        <w:tc>
          <w:tcPr>
            <w:tcW w:w="839" w:type="pct"/>
            <w:tcBorders>
              <w:top w:val="nil"/>
              <w:left w:val="single" w:sz="4" w:space="0" w:color="auto"/>
              <w:bottom w:val="nil"/>
              <w:right w:val="single" w:sz="4" w:space="0" w:color="auto"/>
            </w:tcBorders>
            <w:noWrap/>
            <w:vAlign w:val="bottom"/>
            <w:hideMark/>
          </w:tcPr>
          <w:p w14:paraId="6786DAB8"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0.30</w:t>
            </w:r>
          </w:p>
        </w:tc>
        <w:tc>
          <w:tcPr>
            <w:tcW w:w="643" w:type="pct"/>
            <w:tcBorders>
              <w:top w:val="nil"/>
              <w:left w:val="nil"/>
              <w:bottom w:val="nil"/>
              <w:right w:val="nil"/>
            </w:tcBorders>
            <w:noWrap/>
            <w:vAlign w:val="bottom"/>
            <w:hideMark/>
          </w:tcPr>
          <w:p w14:paraId="3B81A7F9"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0.42</w:t>
            </w:r>
          </w:p>
        </w:tc>
      </w:tr>
      <w:tr w:rsidR="00F250C4" w:rsidRPr="00650DFF" w14:paraId="6EA8132C" w14:textId="77777777" w:rsidTr="00F250C4">
        <w:trPr>
          <w:trHeight w:val="269"/>
        </w:trPr>
        <w:tc>
          <w:tcPr>
            <w:tcW w:w="3518" w:type="pct"/>
            <w:tcBorders>
              <w:top w:val="nil"/>
              <w:left w:val="nil"/>
              <w:bottom w:val="nil"/>
              <w:right w:val="nil"/>
            </w:tcBorders>
            <w:noWrap/>
            <w:vAlign w:val="bottom"/>
            <w:hideMark/>
          </w:tcPr>
          <w:p w14:paraId="7A6DA1B7"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7. Trouble concentrating on things, such as reading or watching TV</w:t>
            </w:r>
          </w:p>
        </w:tc>
        <w:tc>
          <w:tcPr>
            <w:tcW w:w="839" w:type="pct"/>
            <w:tcBorders>
              <w:top w:val="nil"/>
              <w:left w:val="single" w:sz="4" w:space="0" w:color="auto"/>
              <w:bottom w:val="nil"/>
              <w:right w:val="single" w:sz="4" w:space="0" w:color="auto"/>
            </w:tcBorders>
            <w:noWrap/>
            <w:vAlign w:val="bottom"/>
            <w:hideMark/>
          </w:tcPr>
          <w:p w14:paraId="5AE1E63C"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0.58</w:t>
            </w:r>
          </w:p>
        </w:tc>
        <w:tc>
          <w:tcPr>
            <w:tcW w:w="643" w:type="pct"/>
            <w:tcBorders>
              <w:top w:val="nil"/>
              <w:left w:val="nil"/>
              <w:bottom w:val="nil"/>
              <w:right w:val="nil"/>
            </w:tcBorders>
            <w:noWrap/>
            <w:vAlign w:val="bottom"/>
            <w:hideMark/>
          </w:tcPr>
          <w:p w14:paraId="274A7646"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0.37</w:t>
            </w:r>
          </w:p>
        </w:tc>
      </w:tr>
      <w:tr w:rsidR="00F250C4" w:rsidRPr="00650DFF" w14:paraId="0E9E302E" w14:textId="77777777" w:rsidTr="00F250C4">
        <w:trPr>
          <w:trHeight w:val="269"/>
        </w:trPr>
        <w:tc>
          <w:tcPr>
            <w:tcW w:w="3518" w:type="pct"/>
            <w:tcBorders>
              <w:top w:val="nil"/>
              <w:left w:val="nil"/>
              <w:bottom w:val="nil"/>
              <w:right w:val="nil"/>
            </w:tcBorders>
            <w:noWrap/>
            <w:vAlign w:val="bottom"/>
            <w:hideMark/>
          </w:tcPr>
          <w:p w14:paraId="40F48495"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8. Moving or speaking so slowly that others could notice, or the opposite — being so fidgety or restless that you were moving around a lot more than usual</w:t>
            </w:r>
          </w:p>
        </w:tc>
        <w:tc>
          <w:tcPr>
            <w:tcW w:w="839" w:type="pct"/>
            <w:tcBorders>
              <w:top w:val="nil"/>
              <w:left w:val="single" w:sz="4" w:space="0" w:color="auto"/>
              <w:bottom w:val="nil"/>
              <w:right w:val="single" w:sz="4" w:space="0" w:color="auto"/>
            </w:tcBorders>
            <w:noWrap/>
            <w:vAlign w:val="bottom"/>
            <w:hideMark/>
          </w:tcPr>
          <w:p w14:paraId="7F8F1CDF"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0.48</w:t>
            </w:r>
          </w:p>
        </w:tc>
        <w:tc>
          <w:tcPr>
            <w:tcW w:w="643" w:type="pct"/>
            <w:tcBorders>
              <w:top w:val="nil"/>
              <w:left w:val="nil"/>
              <w:bottom w:val="nil"/>
              <w:right w:val="nil"/>
            </w:tcBorders>
            <w:noWrap/>
            <w:vAlign w:val="bottom"/>
            <w:hideMark/>
          </w:tcPr>
          <w:p w14:paraId="30538190"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0.26</w:t>
            </w:r>
          </w:p>
        </w:tc>
      </w:tr>
      <w:tr w:rsidR="00F250C4" w:rsidRPr="00650DFF" w14:paraId="0DFD7DB4" w14:textId="77777777" w:rsidTr="00F250C4">
        <w:trPr>
          <w:trHeight w:val="269"/>
        </w:trPr>
        <w:tc>
          <w:tcPr>
            <w:tcW w:w="3518" w:type="pct"/>
            <w:tcBorders>
              <w:top w:val="nil"/>
              <w:left w:val="nil"/>
              <w:bottom w:val="nil"/>
              <w:right w:val="nil"/>
            </w:tcBorders>
            <w:noWrap/>
            <w:vAlign w:val="bottom"/>
            <w:hideMark/>
          </w:tcPr>
          <w:p w14:paraId="65AB1765"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9. Thoughts that you would be better off dead or of hurting yourself in some way</w:t>
            </w:r>
          </w:p>
        </w:tc>
        <w:tc>
          <w:tcPr>
            <w:tcW w:w="839" w:type="pct"/>
            <w:tcBorders>
              <w:top w:val="nil"/>
              <w:left w:val="single" w:sz="4" w:space="0" w:color="auto"/>
              <w:bottom w:val="nil"/>
              <w:right w:val="single" w:sz="4" w:space="0" w:color="auto"/>
            </w:tcBorders>
            <w:noWrap/>
            <w:vAlign w:val="bottom"/>
            <w:hideMark/>
          </w:tcPr>
          <w:p w14:paraId="6FAD70DB"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0.28</w:t>
            </w:r>
          </w:p>
        </w:tc>
        <w:tc>
          <w:tcPr>
            <w:tcW w:w="643" w:type="pct"/>
            <w:tcBorders>
              <w:top w:val="nil"/>
              <w:left w:val="nil"/>
              <w:bottom w:val="nil"/>
              <w:right w:val="nil"/>
            </w:tcBorders>
            <w:noWrap/>
            <w:vAlign w:val="bottom"/>
            <w:hideMark/>
          </w:tcPr>
          <w:p w14:paraId="6BCF625D"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0.09</w:t>
            </w:r>
          </w:p>
        </w:tc>
      </w:tr>
      <w:tr w:rsidR="00F250C4" w:rsidRPr="00650DFF" w14:paraId="493918F0" w14:textId="77777777" w:rsidTr="00F250C4">
        <w:trPr>
          <w:trHeight w:val="269"/>
        </w:trPr>
        <w:tc>
          <w:tcPr>
            <w:tcW w:w="3518" w:type="pct"/>
            <w:tcBorders>
              <w:top w:val="nil"/>
              <w:left w:val="nil"/>
              <w:bottom w:val="nil"/>
              <w:right w:val="nil"/>
            </w:tcBorders>
            <w:noWrap/>
            <w:vAlign w:val="bottom"/>
            <w:hideMark/>
          </w:tcPr>
          <w:p w14:paraId="50CC15DE" w14:textId="77777777" w:rsidR="00F250C4" w:rsidRPr="00650DFF" w:rsidRDefault="00F250C4" w:rsidP="00F250C4">
            <w:pPr>
              <w:spacing w:after="0" w:line="240" w:lineRule="auto"/>
              <w:rPr>
                <w:rFonts w:ascii="Aptos Narrow" w:hAnsi="Aptos Narrow"/>
                <w:b/>
                <w:bCs/>
                <w:color w:val="000000"/>
                <w:sz w:val="20"/>
                <w:szCs w:val="20"/>
              </w:rPr>
            </w:pPr>
            <w:r w:rsidRPr="00650DFF">
              <w:rPr>
                <w:rFonts w:ascii="Aptos Narrow" w:hAnsi="Aptos Narrow"/>
                <w:b/>
                <w:bCs/>
                <w:color w:val="000000"/>
                <w:sz w:val="20"/>
                <w:szCs w:val="20"/>
              </w:rPr>
              <w:t xml:space="preserve">Frequency (%) </w:t>
            </w:r>
            <w:r w:rsidRPr="00650DFF">
              <w:rPr>
                <w:rFonts w:ascii="Aptos Narrow" w:hAnsi="Aptos Narrow"/>
                <w:color w:val="000000"/>
                <w:sz w:val="20"/>
                <w:szCs w:val="20"/>
              </w:rPr>
              <w:t>None</w:t>
            </w:r>
          </w:p>
        </w:tc>
        <w:tc>
          <w:tcPr>
            <w:tcW w:w="839" w:type="pct"/>
            <w:tcBorders>
              <w:top w:val="nil"/>
              <w:left w:val="single" w:sz="4" w:space="0" w:color="auto"/>
              <w:bottom w:val="nil"/>
              <w:right w:val="single" w:sz="4" w:space="0" w:color="auto"/>
            </w:tcBorders>
            <w:noWrap/>
            <w:vAlign w:val="bottom"/>
            <w:hideMark/>
          </w:tcPr>
          <w:p w14:paraId="406FB752"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56</w:t>
            </w:r>
          </w:p>
        </w:tc>
        <w:tc>
          <w:tcPr>
            <w:tcW w:w="643" w:type="pct"/>
            <w:tcBorders>
              <w:top w:val="nil"/>
              <w:left w:val="nil"/>
              <w:bottom w:val="nil"/>
              <w:right w:val="nil"/>
            </w:tcBorders>
            <w:noWrap/>
            <w:vAlign w:val="bottom"/>
            <w:hideMark/>
          </w:tcPr>
          <w:p w14:paraId="18D89E2E"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47.5</w:t>
            </w:r>
          </w:p>
        </w:tc>
      </w:tr>
      <w:tr w:rsidR="00F250C4" w:rsidRPr="00650DFF" w14:paraId="726D7A9D" w14:textId="77777777" w:rsidTr="00F250C4">
        <w:trPr>
          <w:trHeight w:val="269"/>
        </w:trPr>
        <w:tc>
          <w:tcPr>
            <w:tcW w:w="3518" w:type="pct"/>
            <w:tcBorders>
              <w:top w:val="nil"/>
              <w:left w:val="nil"/>
              <w:bottom w:val="nil"/>
              <w:right w:val="nil"/>
            </w:tcBorders>
            <w:noWrap/>
            <w:vAlign w:val="bottom"/>
            <w:hideMark/>
          </w:tcPr>
          <w:p w14:paraId="2E7E7AF1"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 xml:space="preserve">                                 Mild</w:t>
            </w:r>
          </w:p>
        </w:tc>
        <w:tc>
          <w:tcPr>
            <w:tcW w:w="839" w:type="pct"/>
            <w:tcBorders>
              <w:top w:val="nil"/>
              <w:left w:val="single" w:sz="4" w:space="0" w:color="auto"/>
              <w:bottom w:val="nil"/>
              <w:right w:val="single" w:sz="4" w:space="0" w:color="auto"/>
            </w:tcBorders>
            <w:noWrap/>
            <w:vAlign w:val="bottom"/>
            <w:hideMark/>
          </w:tcPr>
          <w:p w14:paraId="453F3B87"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30</w:t>
            </w:r>
          </w:p>
        </w:tc>
        <w:tc>
          <w:tcPr>
            <w:tcW w:w="643" w:type="pct"/>
            <w:tcBorders>
              <w:top w:val="nil"/>
              <w:left w:val="nil"/>
              <w:bottom w:val="nil"/>
              <w:right w:val="nil"/>
            </w:tcBorders>
            <w:noWrap/>
            <w:vAlign w:val="bottom"/>
            <w:hideMark/>
          </w:tcPr>
          <w:p w14:paraId="25DB8AED"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42</w:t>
            </w:r>
          </w:p>
        </w:tc>
      </w:tr>
      <w:tr w:rsidR="00F250C4" w:rsidRPr="00650DFF" w14:paraId="27E0E033" w14:textId="77777777" w:rsidTr="00F250C4">
        <w:trPr>
          <w:trHeight w:val="269"/>
        </w:trPr>
        <w:tc>
          <w:tcPr>
            <w:tcW w:w="3518" w:type="pct"/>
            <w:tcBorders>
              <w:top w:val="nil"/>
              <w:left w:val="nil"/>
              <w:bottom w:val="nil"/>
              <w:right w:val="nil"/>
            </w:tcBorders>
            <w:noWrap/>
            <w:vAlign w:val="bottom"/>
            <w:hideMark/>
          </w:tcPr>
          <w:p w14:paraId="6D05D50A"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 xml:space="preserve">                                 Moderate</w:t>
            </w:r>
          </w:p>
        </w:tc>
        <w:tc>
          <w:tcPr>
            <w:tcW w:w="839" w:type="pct"/>
            <w:tcBorders>
              <w:top w:val="nil"/>
              <w:left w:val="single" w:sz="4" w:space="0" w:color="auto"/>
              <w:bottom w:val="nil"/>
              <w:right w:val="single" w:sz="4" w:space="0" w:color="auto"/>
            </w:tcBorders>
            <w:noWrap/>
            <w:vAlign w:val="bottom"/>
            <w:hideMark/>
          </w:tcPr>
          <w:p w14:paraId="13CAD227"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8.8</w:t>
            </w:r>
          </w:p>
        </w:tc>
        <w:tc>
          <w:tcPr>
            <w:tcW w:w="643" w:type="pct"/>
            <w:tcBorders>
              <w:top w:val="nil"/>
              <w:left w:val="nil"/>
              <w:bottom w:val="nil"/>
              <w:right w:val="nil"/>
            </w:tcBorders>
            <w:noWrap/>
            <w:vAlign w:val="bottom"/>
            <w:hideMark/>
          </w:tcPr>
          <w:p w14:paraId="66ECDCD6"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6.8</w:t>
            </w:r>
          </w:p>
        </w:tc>
      </w:tr>
      <w:tr w:rsidR="00F250C4" w:rsidRPr="00650DFF" w14:paraId="550201DA" w14:textId="77777777" w:rsidTr="00F250C4">
        <w:trPr>
          <w:trHeight w:val="269"/>
        </w:trPr>
        <w:tc>
          <w:tcPr>
            <w:tcW w:w="3518" w:type="pct"/>
            <w:tcBorders>
              <w:top w:val="nil"/>
              <w:left w:val="nil"/>
              <w:bottom w:val="nil"/>
              <w:right w:val="nil"/>
            </w:tcBorders>
            <w:noWrap/>
            <w:vAlign w:val="bottom"/>
            <w:hideMark/>
          </w:tcPr>
          <w:p w14:paraId="7905D1ED"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 xml:space="preserve">                                 Moderately severe </w:t>
            </w:r>
          </w:p>
        </w:tc>
        <w:tc>
          <w:tcPr>
            <w:tcW w:w="839" w:type="pct"/>
            <w:tcBorders>
              <w:top w:val="nil"/>
              <w:left w:val="single" w:sz="4" w:space="0" w:color="auto"/>
              <w:bottom w:val="nil"/>
              <w:right w:val="single" w:sz="4" w:space="0" w:color="auto"/>
            </w:tcBorders>
            <w:noWrap/>
            <w:vAlign w:val="bottom"/>
            <w:hideMark/>
          </w:tcPr>
          <w:p w14:paraId="6F536349"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3.8</w:t>
            </w:r>
          </w:p>
        </w:tc>
        <w:tc>
          <w:tcPr>
            <w:tcW w:w="643" w:type="pct"/>
            <w:tcBorders>
              <w:top w:val="nil"/>
              <w:left w:val="nil"/>
              <w:bottom w:val="nil"/>
              <w:right w:val="nil"/>
            </w:tcBorders>
            <w:noWrap/>
            <w:vAlign w:val="bottom"/>
            <w:hideMark/>
          </w:tcPr>
          <w:p w14:paraId="6D14E0D3"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2.5</w:t>
            </w:r>
          </w:p>
        </w:tc>
      </w:tr>
      <w:tr w:rsidR="00F250C4" w:rsidRPr="00650DFF" w14:paraId="31CD7374" w14:textId="77777777" w:rsidTr="00F250C4">
        <w:trPr>
          <w:trHeight w:val="269"/>
        </w:trPr>
        <w:tc>
          <w:tcPr>
            <w:tcW w:w="3518" w:type="pct"/>
            <w:tcBorders>
              <w:top w:val="nil"/>
              <w:left w:val="nil"/>
              <w:bottom w:val="single" w:sz="4" w:space="0" w:color="auto"/>
              <w:right w:val="nil"/>
            </w:tcBorders>
            <w:noWrap/>
            <w:vAlign w:val="bottom"/>
            <w:hideMark/>
          </w:tcPr>
          <w:p w14:paraId="490DE422"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 xml:space="preserve">                                 Severe</w:t>
            </w:r>
          </w:p>
        </w:tc>
        <w:tc>
          <w:tcPr>
            <w:tcW w:w="839" w:type="pct"/>
            <w:tcBorders>
              <w:top w:val="nil"/>
              <w:left w:val="single" w:sz="4" w:space="0" w:color="auto"/>
              <w:bottom w:val="single" w:sz="4" w:space="0" w:color="auto"/>
              <w:right w:val="single" w:sz="4" w:space="0" w:color="auto"/>
            </w:tcBorders>
            <w:noWrap/>
            <w:vAlign w:val="bottom"/>
            <w:hideMark/>
          </w:tcPr>
          <w:p w14:paraId="34F5C152"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1.3</w:t>
            </w:r>
          </w:p>
        </w:tc>
        <w:tc>
          <w:tcPr>
            <w:tcW w:w="643" w:type="pct"/>
            <w:tcBorders>
              <w:top w:val="nil"/>
              <w:left w:val="nil"/>
              <w:bottom w:val="single" w:sz="4" w:space="0" w:color="auto"/>
              <w:right w:val="nil"/>
            </w:tcBorders>
            <w:noWrap/>
            <w:vAlign w:val="bottom"/>
            <w:hideMark/>
          </w:tcPr>
          <w:p w14:paraId="53063FE1"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1.2</w:t>
            </w:r>
          </w:p>
        </w:tc>
      </w:tr>
      <w:tr w:rsidR="00F250C4" w:rsidRPr="00650DFF" w14:paraId="4C0B68FE" w14:textId="77777777" w:rsidTr="00F250C4">
        <w:trPr>
          <w:trHeight w:val="269"/>
        </w:trPr>
        <w:tc>
          <w:tcPr>
            <w:tcW w:w="3518" w:type="pct"/>
            <w:tcBorders>
              <w:top w:val="nil"/>
              <w:left w:val="nil"/>
              <w:bottom w:val="nil"/>
              <w:right w:val="nil"/>
            </w:tcBorders>
            <w:noWrap/>
            <w:vAlign w:val="bottom"/>
            <w:hideMark/>
          </w:tcPr>
          <w:p w14:paraId="31D30561" w14:textId="77777777" w:rsidR="00F250C4" w:rsidRPr="00650DFF" w:rsidRDefault="00F250C4" w:rsidP="00F250C4">
            <w:pPr>
              <w:spacing w:after="0" w:line="240" w:lineRule="auto"/>
              <w:rPr>
                <w:rFonts w:ascii="Aptos Narrow" w:hAnsi="Aptos Narrow"/>
                <w:b/>
                <w:bCs/>
                <w:color w:val="000000"/>
                <w:sz w:val="20"/>
                <w:szCs w:val="20"/>
              </w:rPr>
            </w:pPr>
            <w:r w:rsidRPr="00650DFF">
              <w:rPr>
                <w:rFonts w:ascii="Aptos Narrow" w:hAnsi="Aptos Narrow"/>
                <w:b/>
                <w:bCs/>
                <w:color w:val="000000"/>
                <w:sz w:val="20"/>
                <w:szCs w:val="20"/>
              </w:rPr>
              <w:t>Self-Esteem (Rosenberg Scale)</w:t>
            </w:r>
          </w:p>
        </w:tc>
        <w:tc>
          <w:tcPr>
            <w:tcW w:w="839" w:type="pct"/>
            <w:tcBorders>
              <w:top w:val="nil"/>
              <w:left w:val="single" w:sz="4" w:space="0" w:color="auto"/>
              <w:bottom w:val="nil"/>
              <w:right w:val="single" w:sz="4" w:space="0" w:color="auto"/>
            </w:tcBorders>
            <w:noWrap/>
            <w:vAlign w:val="bottom"/>
            <w:hideMark/>
          </w:tcPr>
          <w:p w14:paraId="078224B9"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 </w:t>
            </w:r>
          </w:p>
        </w:tc>
        <w:tc>
          <w:tcPr>
            <w:tcW w:w="643" w:type="pct"/>
            <w:tcBorders>
              <w:top w:val="nil"/>
              <w:left w:val="nil"/>
              <w:bottom w:val="nil"/>
              <w:right w:val="nil"/>
            </w:tcBorders>
            <w:noWrap/>
            <w:vAlign w:val="bottom"/>
            <w:hideMark/>
          </w:tcPr>
          <w:p w14:paraId="26C76F73" w14:textId="77777777" w:rsidR="00F250C4" w:rsidRPr="00650DFF" w:rsidRDefault="00F250C4" w:rsidP="00F250C4">
            <w:pPr>
              <w:spacing w:after="0" w:line="240" w:lineRule="auto"/>
              <w:rPr>
                <w:rFonts w:ascii="Aptos Narrow" w:hAnsi="Aptos Narrow"/>
                <w:color w:val="000000"/>
                <w:sz w:val="20"/>
                <w:szCs w:val="20"/>
              </w:rPr>
            </w:pPr>
          </w:p>
        </w:tc>
      </w:tr>
      <w:tr w:rsidR="00F250C4" w:rsidRPr="00650DFF" w14:paraId="20A63E47" w14:textId="77777777" w:rsidTr="00F250C4">
        <w:trPr>
          <w:trHeight w:val="269"/>
        </w:trPr>
        <w:tc>
          <w:tcPr>
            <w:tcW w:w="3518" w:type="pct"/>
            <w:tcBorders>
              <w:top w:val="nil"/>
              <w:left w:val="nil"/>
              <w:bottom w:val="nil"/>
              <w:right w:val="nil"/>
            </w:tcBorders>
            <w:noWrap/>
            <w:vAlign w:val="bottom"/>
            <w:hideMark/>
          </w:tcPr>
          <w:p w14:paraId="6CC7A66C"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1. I feel that I am a person of worth, at least on an equal plane with others</w:t>
            </w:r>
          </w:p>
        </w:tc>
        <w:tc>
          <w:tcPr>
            <w:tcW w:w="839" w:type="pct"/>
            <w:tcBorders>
              <w:top w:val="nil"/>
              <w:left w:val="single" w:sz="4" w:space="0" w:color="auto"/>
              <w:bottom w:val="nil"/>
              <w:right w:val="single" w:sz="4" w:space="0" w:color="auto"/>
            </w:tcBorders>
            <w:noWrap/>
            <w:vAlign w:val="bottom"/>
            <w:hideMark/>
          </w:tcPr>
          <w:p w14:paraId="42486862"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1.86</w:t>
            </w:r>
          </w:p>
        </w:tc>
        <w:tc>
          <w:tcPr>
            <w:tcW w:w="643" w:type="pct"/>
            <w:tcBorders>
              <w:top w:val="nil"/>
              <w:left w:val="nil"/>
              <w:bottom w:val="nil"/>
              <w:right w:val="nil"/>
            </w:tcBorders>
            <w:noWrap/>
            <w:vAlign w:val="bottom"/>
            <w:hideMark/>
          </w:tcPr>
          <w:p w14:paraId="6ED947D9"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1.99</w:t>
            </w:r>
          </w:p>
        </w:tc>
      </w:tr>
      <w:tr w:rsidR="00F250C4" w:rsidRPr="00650DFF" w14:paraId="73A082FF" w14:textId="77777777" w:rsidTr="00F250C4">
        <w:trPr>
          <w:trHeight w:val="269"/>
        </w:trPr>
        <w:tc>
          <w:tcPr>
            <w:tcW w:w="3518" w:type="pct"/>
            <w:tcBorders>
              <w:top w:val="nil"/>
              <w:left w:val="nil"/>
              <w:bottom w:val="nil"/>
              <w:right w:val="nil"/>
            </w:tcBorders>
            <w:noWrap/>
            <w:vAlign w:val="bottom"/>
            <w:hideMark/>
          </w:tcPr>
          <w:p w14:paraId="24AFF9BE"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2. I think I have a number of good qualities</w:t>
            </w:r>
          </w:p>
        </w:tc>
        <w:tc>
          <w:tcPr>
            <w:tcW w:w="839" w:type="pct"/>
            <w:tcBorders>
              <w:top w:val="nil"/>
              <w:left w:val="single" w:sz="4" w:space="0" w:color="auto"/>
              <w:bottom w:val="nil"/>
              <w:right w:val="single" w:sz="4" w:space="0" w:color="auto"/>
            </w:tcBorders>
            <w:noWrap/>
            <w:vAlign w:val="bottom"/>
            <w:hideMark/>
          </w:tcPr>
          <w:p w14:paraId="0E0CC099"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2.03</w:t>
            </w:r>
          </w:p>
        </w:tc>
        <w:tc>
          <w:tcPr>
            <w:tcW w:w="643" w:type="pct"/>
            <w:tcBorders>
              <w:top w:val="nil"/>
              <w:left w:val="nil"/>
              <w:bottom w:val="nil"/>
              <w:right w:val="nil"/>
            </w:tcBorders>
            <w:noWrap/>
            <w:vAlign w:val="bottom"/>
            <w:hideMark/>
          </w:tcPr>
          <w:p w14:paraId="1A456781"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2.06</w:t>
            </w:r>
          </w:p>
        </w:tc>
      </w:tr>
      <w:tr w:rsidR="00F250C4" w:rsidRPr="00650DFF" w14:paraId="2AB3979C" w14:textId="77777777" w:rsidTr="00F250C4">
        <w:trPr>
          <w:trHeight w:val="269"/>
        </w:trPr>
        <w:tc>
          <w:tcPr>
            <w:tcW w:w="3518" w:type="pct"/>
            <w:tcBorders>
              <w:top w:val="nil"/>
              <w:left w:val="nil"/>
              <w:bottom w:val="nil"/>
              <w:right w:val="nil"/>
            </w:tcBorders>
            <w:noWrap/>
            <w:vAlign w:val="bottom"/>
            <w:hideMark/>
          </w:tcPr>
          <w:p w14:paraId="6FCE673F"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3. All in all, I am inclined to feel that I am a failure</w:t>
            </w:r>
          </w:p>
        </w:tc>
        <w:tc>
          <w:tcPr>
            <w:tcW w:w="839" w:type="pct"/>
            <w:tcBorders>
              <w:top w:val="nil"/>
              <w:left w:val="single" w:sz="4" w:space="0" w:color="auto"/>
              <w:bottom w:val="nil"/>
              <w:right w:val="single" w:sz="4" w:space="0" w:color="auto"/>
            </w:tcBorders>
            <w:noWrap/>
            <w:vAlign w:val="bottom"/>
            <w:hideMark/>
          </w:tcPr>
          <w:p w14:paraId="5C5BCA68"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2.01</w:t>
            </w:r>
          </w:p>
        </w:tc>
        <w:tc>
          <w:tcPr>
            <w:tcW w:w="643" w:type="pct"/>
            <w:tcBorders>
              <w:top w:val="nil"/>
              <w:left w:val="nil"/>
              <w:bottom w:val="nil"/>
              <w:right w:val="nil"/>
            </w:tcBorders>
            <w:noWrap/>
            <w:vAlign w:val="bottom"/>
            <w:hideMark/>
          </w:tcPr>
          <w:p w14:paraId="4870CE9F"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2.15</w:t>
            </w:r>
          </w:p>
        </w:tc>
      </w:tr>
      <w:tr w:rsidR="00F250C4" w:rsidRPr="00650DFF" w14:paraId="50D654F2" w14:textId="77777777" w:rsidTr="00F250C4">
        <w:trPr>
          <w:trHeight w:val="269"/>
        </w:trPr>
        <w:tc>
          <w:tcPr>
            <w:tcW w:w="3518" w:type="pct"/>
            <w:tcBorders>
              <w:top w:val="nil"/>
              <w:left w:val="nil"/>
              <w:bottom w:val="nil"/>
              <w:right w:val="nil"/>
            </w:tcBorders>
            <w:noWrap/>
            <w:vAlign w:val="bottom"/>
            <w:hideMark/>
          </w:tcPr>
          <w:p w14:paraId="46CBFA16"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4. I am able to do things as well as most other people</w:t>
            </w:r>
          </w:p>
        </w:tc>
        <w:tc>
          <w:tcPr>
            <w:tcW w:w="839" w:type="pct"/>
            <w:tcBorders>
              <w:top w:val="nil"/>
              <w:left w:val="single" w:sz="4" w:space="0" w:color="auto"/>
              <w:bottom w:val="nil"/>
              <w:right w:val="single" w:sz="4" w:space="0" w:color="auto"/>
            </w:tcBorders>
            <w:noWrap/>
            <w:vAlign w:val="bottom"/>
            <w:hideMark/>
          </w:tcPr>
          <w:p w14:paraId="1A460399"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1.94</w:t>
            </w:r>
          </w:p>
        </w:tc>
        <w:tc>
          <w:tcPr>
            <w:tcW w:w="643" w:type="pct"/>
            <w:tcBorders>
              <w:top w:val="nil"/>
              <w:left w:val="nil"/>
              <w:bottom w:val="nil"/>
              <w:right w:val="nil"/>
            </w:tcBorders>
            <w:noWrap/>
            <w:vAlign w:val="bottom"/>
            <w:hideMark/>
          </w:tcPr>
          <w:p w14:paraId="0B04C3C0"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1.70</w:t>
            </w:r>
          </w:p>
        </w:tc>
      </w:tr>
      <w:tr w:rsidR="00F250C4" w:rsidRPr="00650DFF" w14:paraId="0F68244D" w14:textId="77777777" w:rsidTr="00F250C4">
        <w:trPr>
          <w:trHeight w:val="269"/>
        </w:trPr>
        <w:tc>
          <w:tcPr>
            <w:tcW w:w="3518" w:type="pct"/>
            <w:tcBorders>
              <w:top w:val="nil"/>
              <w:left w:val="nil"/>
              <w:bottom w:val="nil"/>
              <w:right w:val="nil"/>
            </w:tcBorders>
            <w:noWrap/>
            <w:vAlign w:val="bottom"/>
            <w:hideMark/>
          </w:tcPr>
          <w:p w14:paraId="4985AA98"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5. I feel I do not have much to be proud of</w:t>
            </w:r>
          </w:p>
        </w:tc>
        <w:tc>
          <w:tcPr>
            <w:tcW w:w="839" w:type="pct"/>
            <w:tcBorders>
              <w:top w:val="nil"/>
              <w:left w:val="single" w:sz="4" w:space="0" w:color="auto"/>
              <w:bottom w:val="nil"/>
              <w:right w:val="single" w:sz="4" w:space="0" w:color="auto"/>
            </w:tcBorders>
            <w:noWrap/>
            <w:vAlign w:val="bottom"/>
            <w:hideMark/>
          </w:tcPr>
          <w:p w14:paraId="27EE6B87"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1.81</w:t>
            </w:r>
          </w:p>
        </w:tc>
        <w:tc>
          <w:tcPr>
            <w:tcW w:w="643" w:type="pct"/>
            <w:tcBorders>
              <w:top w:val="nil"/>
              <w:left w:val="nil"/>
              <w:bottom w:val="nil"/>
              <w:right w:val="nil"/>
            </w:tcBorders>
            <w:noWrap/>
            <w:vAlign w:val="bottom"/>
            <w:hideMark/>
          </w:tcPr>
          <w:p w14:paraId="009FD983"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1.94</w:t>
            </w:r>
          </w:p>
        </w:tc>
      </w:tr>
      <w:tr w:rsidR="00F250C4" w:rsidRPr="00650DFF" w14:paraId="20C3346C" w14:textId="77777777" w:rsidTr="00F250C4">
        <w:trPr>
          <w:trHeight w:val="269"/>
        </w:trPr>
        <w:tc>
          <w:tcPr>
            <w:tcW w:w="3518" w:type="pct"/>
            <w:tcBorders>
              <w:top w:val="nil"/>
              <w:left w:val="nil"/>
              <w:bottom w:val="nil"/>
              <w:right w:val="nil"/>
            </w:tcBorders>
            <w:noWrap/>
            <w:vAlign w:val="bottom"/>
            <w:hideMark/>
          </w:tcPr>
          <w:p w14:paraId="294549CF"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6. I take a positive attitude toward myself</w:t>
            </w:r>
          </w:p>
        </w:tc>
        <w:tc>
          <w:tcPr>
            <w:tcW w:w="839" w:type="pct"/>
            <w:tcBorders>
              <w:top w:val="nil"/>
              <w:left w:val="single" w:sz="4" w:space="0" w:color="auto"/>
              <w:bottom w:val="nil"/>
              <w:right w:val="single" w:sz="4" w:space="0" w:color="auto"/>
            </w:tcBorders>
            <w:noWrap/>
            <w:vAlign w:val="bottom"/>
            <w:hideMark/>
          </w:tcPr>
          <w:p w14:paraId="622D5324"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1.96</w:t>
            </w:r>
          </w:p>
        </w:tc>
        <w:tc>
          <w:tcPr>
            <w:tcW w:w="643" w:type="pct"/>
            <w:tcBorders>
              <w:top w:val="nil"/>
              <w:left w:val="nil"/>
              <w:bottom w:val="nil"/>
              <w:right w:val="nil"/>
            </w:tcBorders>
            <w:noWrap/>
            <w:vAlign w:val="bottom"/>
            <w:hideMark/>
          </w:tcPr>
          <w:p w14:paraId="7FDB7277"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1.99</w:t>
            </w:r>
          </w:p>
        </w:tc>
      </w:tr>
      <w:tr w:rsidR="00F250C4" w:rsidRPr="00650DFF" w14:paraId="2D4AD5D2" w14:textId="77777777" w:rsidTr="00F250C4">
        <w:trPr>
          <w:trHeight w:val="269"/>
        </w:trPr>
        <w:tc>
          <w:tcPr>
            <w:tcW w:w="3518" w:type="pct"/>
            <w:tcBorders>
              <w:top w:val="nil"/>
              <w:left w:val="nil"/>
              <w:bottom w:val="nil"/>
              <w:right w:val="nil"/>
            </w:tcBorders>
            <w:noWrap/>
            <w:vAlign w:val="bottom"/>
            <w:hideMark/>
          </w:tcPr>
          <w:p w14:paraId="7BBECA01"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7. Overall, I am satisfied with myself</w:t>
            </w:r>
          </w:p>
        </w:tc>
        <w:tc>
          <w:tcPr>
            <w:tcW w:w="839" w:type="pct"/>
            <w:tcBorders>
              <w:top w:val="nil"/>
              <w:left w:val="single" w:sz="4" w:space="0" w:color="auto"/>
              <w:bottom w:val="nil"/>
              <w:right w:val="single" w:sz="4" w:space="0" w:color="auto"/>
            </w:tcBorders>
            <w:noWrap/>
            <w:vAlign w:val="bottom"/>
            <w:hideMark/>
          </w:tcPr>
          <w:p w14:paraId="61588019"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1.92</w:t>
            </w:r>
          </w:p>
        </w:tc>
        <w:tc>
          <w:tcPr>
            <w:tcW w:w="643" w:type="pct"/>
            <w:tcBorders>
              <w:top w:val="nil"/>
              <w:left w:val="nil"/>
              <w:bottom w:val="nil"/>
              <w:right w:val="nil"/>
            </w:tcBorders>
            <w:noWrap/>
            <w:vAlign w:val="bottom"/>
            <w:hideMark/>
          </w:tcPr>
          <w:p w14:paraId="1B37231D"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1.97</w:t>
            </w:r>
          </w:p>
        </w:tc>
      </w:tr>
      <w:tr w:rsidR="00F250C4" w:rsidRPr="00650DFF" w14:paraId="5866E2C4" w14:textId="77777777" w:rsidTr="00F250C4">
        <w:trPr>
          <w:trHeight w:val="269"/>
        </w:trPr>
        <w:tc>
          <w:tcPr>
            <w:tcW w:w="3518" w:type="pct"/>
            <w:tcBorders>
              <w:top w:val="nil"/>
              <w:left w:val="nil"/>
              <w:bottom w:val="nil"/>
              <w:right w:val="nil"/>
            </w:tcBorders>
            <w:noWrap/>
            <w:vAlign w:val="bottom"/>
            <w:hideMark/>
          </w:tcPr>
          <w:p w14:paraId="2AF99B4D"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8. I wish I could have more respect for myself</w:t>
            </w:r>
          </w:p>
        </w:tc>
        <w:tc>
          <w:tcPr>
            <w:tcW w:w="839" w:type="pct"/>
            <w:tcBorders>
              <w:top w:val="nil"/>
              <w:left w:val="single" w:sz="4" w:space="0" w:color="auto"/>
              <w:bottom w:val="nil"/>
              <w:right w:val="single" w:sz="4" w:space="0" w:color="auto"/>
            </w:tcBorders>
            <w:noWrap/>
            <w:vAlign w:val="bottom"/>
            <w:hideMark/>
          </w:tcPr>
          <w:p w14:paraId="44C7B3C9"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1.27</w:t>
            </w:r>
          </w:p>
        </w:tc>
        <w:tc>
          <w:tcPr>
            <w:tcW w:w="643" w:type="pct"/>
            <w:tcBorders>
              <w:top w:val="nil"/>
              <w:left w:val="nil"/>
              <w:bottom w:val="nil"/>
              <w:right w:val="nil"/>
            </w:tcBorders>
            <w:noWrap/>
            <w:vAlign w:val="bottom"/>
            <w:hideMark/>
          </w:tcPr>
          <w:p w14:paraId="3C49058E"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1.11</w:t>
            </w:r>
          </w:p>
        </w:tc>
      </w:tr>
      <w:tr w:rsidR="00F250C4" w:rsidRPr="00650DFF" w14:paraId="0ABA4092" w14:textId="77777777" w:rsidTr="00F250C4">
        <w:trPr>
          <w:trHeight w:val="269"/>
        </w:trPr>
        <w:tc>
          <w:tcPr>
            <w:tcW w:w="3518" w:type="pct"/>
            <w:tcBorders>
              <w:top w:val="nil"/>
              <w:left w:val="nil"/>
              <w:bottom w:val="nil"/>
              <w:right w:val="nil"/>
            </w:tcBorders>
            <w:noWrap/>
            <w:vAlign w:val="bottom"/>
            <w:hideMark/>
          </w:tcPr>
          <w:p w14:paraId="7E164C4C"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9. At times, I think I am no good at all</w:t>
            </w:r>
          </w:p>
        </w:tc>
        <w:tc>
          <w:tcPr>
            <w:tcW w:w="839" w:type="pct"/>
            <w:tcBorders>
              <w:top w:val="nil"/>
              <w:left w:val="single" w:sz="4" w:space="0" w:color="auto"/>
              <w:bottom w:val="nil"/>
              <w:right w:val="single" w:sz="4" w:space="0" w:color="auto"/>
            </w:tcBorders>
            <w:noWrap/>
            <w:vAlign w:val="bottom"/>
            <w:hideMark/>
          </w:tcPr>
          <w:p w14:paraId="3879EA4F"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1.42</w:t>
            </w:r>
          </w:p>
        </w:tc>
        <w:tc>
          <w:tcPr>
            <w:tcW w:w="643" w:type="pct"/>
            <w:tcBorders>
              <w:top w:val="nil"/>
              <w:left w:val="nil"/>
              <w:bottom w:val="nil"/>
              <w:right w:val="nil"/>
            </w:tcBorders>
            <w:noWrap/>
            <w:vAlign w:val="bottom"/>
            <w:hideMark/>
          </w:tcPr>
          <w:p w14:paraId="381EA55A"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1.57</w:t>
            </w:r>
          </w:p>
        </w:tc>
      </w:tr>
      <w:tr w:rsidR="00F250C4" w:rsidRPr="00650DFF" w14:paraId="7A62973A" w14:textId="77777777" w:rsidTr="00F250C4">
        <w:trPr>
          <w:trHeight w:val="269"/>
        </w:trPr>
        <w:tc>
          <w:tcPr>
            <w:tcW w:w="3518" w:type="pct"/>
            <w:tcBorders>
              <w:top w:val="nil"/>
              <w:left w:val="nil"/>
              <w:bottom w:val="nil"/>
              <w:right w:val="nil"/>
            </w:tcBorders>
            <w:noWrap/>
            <w:vAlign w:val="bottom"/>
            <w:hideMark/>
          </w:tcPr>
          <w:p w14:paraId="264BD078"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10. Sometimes I think I am worthless</w:t>
            </w:r>
          </w:p>
        </w:tc>
        <w:tc>
          <w:tcPr>
            <w:tcW w:w="839" w:type="pct"/>
            <w:tcBorders>
              <w:top w:val="nil"/>
              <w:left w:val="single" w:sz="4" w:space="0" w:color="auto"/>
              <w:bottom w:val="nil"/>
              <w:right w:val="single" w:sz="4" w:space="0" w:color="auto"/>
            </w:tcBorders>
            <w:noWrap/>
            <w:vAlign w:val="bottom"/>
            <w:hideMark/>
          </w:tcPr>
          <w:p w14:paraId="4589649C"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2.01</w:t>
            </w:r>
          </w:p>
        </w:tc>
        <w:tc>
          <w:tcPr>
            <w:tcW w:w="643" w:type="pct"/>
            <w:tcBorders>
              <w:top w:val="nil"/>
              <w:left w:val="nil"/>
              <w:bottom w:val="nil"/>
              <w:right w:val="nil"/>
            </w:tcBorders>
            <w:noWrap/>
            <w:vAlign w:val="bottom"/>
            <w:hideMark/>
          </w:tcPr>
          <w:p w14:paraId="42E5866B"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2.27</w:t>
            </w:r>
          </w:p>
        </w:tc>
      </w:tr>
      <w:tr w:rsidR="00F250C4" w:rsidRPr="00650DFF" w14:paraId="63B54846" w14:textId="77777777" w:rsidTr="00F250C4">
        <w:trPr>
          <w:trHeight w:val="269"/>
        </w:trPr>
        <w:tc>
          <w:tcPr>
            <w:tcW w:w="3518" w:type="pct"/>
            <w:tcBorders>
              <w:top w:val="nil"/>
              <w:left w:val="nil"/>
              <w:right w:val="nil"/>
            </w:tcBorders>
            <w:noWrap/>
            <w:vAlign w:val="bottom"/>
            <w:hideMark/>
          </w:tcPr>
          <w:p w14:paraId="33507C8A"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b/>
                <w:bCs/>
                <w:color w:val="000000"/>
                <w:sz w:val="20"/>
                <w:szCs w:val="20"/>
              </w:rPr>
              <w:t xml:space="preserve">Frequency (%) </w:t>
            </w:r>
            <w:r w:rsidRPr="00650DFF">
              <w:rPr>
                <w:rFonts w:ascii="Aptos Narrow" w:hAnsi="Aptos Narrow"/>
                <w:color w:val="000000"/>
                <w:sz w:val="20"/>
                <w:szCs w:val="20"/>
              </w:rPr>
              <w:t>Low self-esteem</w:t>
            </w:r>
          </w:p>
        </w:tc>
        <w:tc>
          <w:tcPr>
            <w:tcW w:w="839" w:type="pct"/>
            <w:tcBorders>
              <w:top w:val="nil"/>
              <w:left w:val="single" w:sz="4" w:space="0" w:color="auto"/>
              <w:right w:val="single" w:sz="4" w:space="0" w:color="auto"/>
            </w:tcBorders>
            <w:noWrap/>
            <w:vAlign w:val="bottom"/>
            <w:hideMark/>
          </w:tcPr>
          <w:p w14:paraId="31C68656"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17.5</w:t>
            </w:r>
          </w:p>
        </w:tc>
        <w:tc>
          <w:tcPr>
            <w:tcW w:w="643" w:type="pct"/>
            <w:tcBorders>
              <w:top w:val="nil"/>
              <w:left w:val="nil"/>
              <w:right w:val="nil"/>
            </w:tcBorders>
            <w:noWrap/>
            <w:vAlign w:val="bottom"/>
            <w:hideMark/>
          </w:tcPr>
          <w:p w14:paraId="281C60AB"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11.7</w:t>
            </w:r>
          </w:p>
        </w:tc>
      </w:tr>
      <w:tr w:rsidR="00F250C4" w:rsidRPr="00650DFF" w14:paraId="2C0E2F74" w14:textId="77777777" w:rsidTr="00F250C4">
        <w:trPr>
          <w:trHeight w:val="269"/>
        </w:trPr>
        <w:tc>
          <w:tcPr>
            <w:tcW w:w="3518" w:type="pct"/>
            <w:tcBorders>
              <w:top w:val="nil"/>
              <w:left w:val="nil"/>
              <w:bottom w:val="single" w:sz="4" w:space="0" w:color="auto"/>
              <w:right w:val="single" w:sz="4" w:space="0" w:color="auto"/>
            </w:tcBorders>
            <w:noWrap/>
            <w:vAlign w:val="bottom"/>
            <w:hideMark/>
          </w:tcPr>
          <w:p w14:paraId="3CA2A28F"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 xml:space="preserve">                                Healthy self-esteem</w:t>
            </w:r>
          </w:p>
        </w:tc>
        <w:tc>
          <w:tcPr>
            <w:tcW w:w="839" w:type="pct"/>
            <w:tcBorders>
              <w:top w:val="nil"/>
              <w:left w:val="nil"/>
              <w:bottom w:val="single" w:sz="4" w:space="0" w:color="auto"/>
              <w:right w:val="nil"/>
            </w:tcBorders>
            <w:noWrap/>
            <w:vAlign w:val="bottom"/>
            <w:hideMark/>
          </w:tcPr>
          <w:p w14:paraId="46432ED3"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82.5</w:t>
            </w:r>
          </w:p>
        </w:tc>
        <w:tc>
          <w:tcPr>
            <w:tcW w:w="643" w:type="pct"/>
            <w:tcBorders>
              <w:top w:val="nil"/>
              <w:left w:val="single" w:sz="4" w:space="0" w:color="auto"/>
              <w:bottom w:val="single" w:sz="4" w:space="0" w:color="auto"/>
            </w:tcBorders>
            <w:noWrap/>
            <w:vAlign w:val="bottom"/>
            <w:hideMark/>
          </w:tcPr>
          <w:p w14:paraId="1A683D8E" w14:textId="090DDBE3"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88.3</w:t>
            </w:r>
          </w:p>
        </w:tc>
      </w:tr>
    </w:tbl>
    <w:p w14:paraId="16CD190F" w14:textId="1F6509ED" w:rsidR="00F250C4" w:rsidRPr="00650DFF" w:rsidRDefault="00F250C4" w:rsidP="00AC6A11">
      <w:pPr>
        <w:spacing w:before="120" w:after="0" w:line="360" w:lineRule="auto"/>
        <w:ind w:firstLine="567"/>
        <w:jc w:val="both"/>
        <w:rPr>
          <w:rFonts w:ascii="Arial" w:eastAsia="Times New Roman" w:hAnsi="Arial" w:cs="Arial"/>
          <w:color w:val="000000" w:themeColor="text1"/>
          <w:kern w:val="0"/>
          <w:sz w:val="20"/>
          <w:szCs w:val="20"/>
          <w:lang w:eastAsia="pt-BR"/>
          <w14:ligatures w14:val="none"/>
        </w:rPr>
      </w:pPr>
    </w:p>
    <w:tbl>
      <w:tblPr>
        <w:tblpPr w:leftFromText="180" w:rightFromText="180" w:vertAnchor="page" w:horzAnchor="margin" w:tblpXSpec="center" w:tblpY="2266"/>
        <w:tblW w:w="6666" w:type="dxa"/>
        <w:tblLook w:val="04A0" w:firstRow="1" w:lastRow="0" w:firstColumn="1" w:lastColumn="0" w:noHBand="0" w:noVBand="1"/>
      </w:tblPr>
      <w:tblGrid>
        <w:gridCol w:w="1366"/>
        <w:gridCol w:w="2040"/>
        <w:gridCol w:w="960"/>
        <w:gridCol w:w="1340"/>
        <w:gridCol w:w="960"/>
      </w:tblGrid>
      <w:tr w:rsidR="00DA3119" w:rsidRPr="00650DFF" w14:paraId="5E65D821" w14:textId="77777777" w:rsidTr="006A6B93">
        <w:trPr>
          <w:trHeight w:val="315"/>
        </w:trPr>
        <w:tc>
          <w:tcPr>
            <w:tcW w:w="1366" w:type="dxa"/>
            <w:tcBorders>
              <w:top w:val="single" w:sz="4" w:space="0" w:color="auto"/>
              <w:left w:val="nil"/>
              <w:bottom w:val="single" w:sz="4" w:space="0" w:color="000000"/>
            </w:tcBorders>
            <w:noWrap/>
            <w:vAlign w:val="bottom"/>
          </w:tcPr>
          <w:p w14:paraId="0F0D6EDE" w14:textId="027950E1" w:rsidR="00DA3119" w:rsidRPr="00650DFF" w:rsidRDefault="00DA3119" w:rsidP="00AC6A11">
            <w:pPr>
              <w:spacing w:line="240" w:lineRule="auto"/>
              <w:rPr>
                <w:rFonts w:ascii="Aptos Narrow" w:hAnsi="Aptos Narrow"/>
                <w:color w:val="000000"/>
                <w:sz w:val="20"/>
                <w:szCs w:val="20"/>
              </w:rPr>
            </w:pPr>
          </w:p>
        </w:tc>
        <w:tc>
          <w:tcPr>
            <w:tcW w:w="2040" w:type="dxa"/>
            <w:tcBorders>
              <w:top w:val="single" w:sz="4" w:space="0" w:color="auto"/>
              <w:bottom w:val="single" w:sz="4" w:space="0" w:color="000000"/>
            </w:tcBorders>
            <w:noWrap/>
            <w:vAlign w:val="bottom"/>
          </w:tcPr>
          <w:p w14:paraId="1162F3AC" w14:textId="2055465E" w:rsidR="00DA3119" w:rsidRPr="00650DFF" w:rsidRDefault="00DA3119" w:rsidP="00AC6A11">
            <w:pPr>
              <w:spacing w:line="240" w:lineRule="auto"/>
              <w:jc w:val="center"/>
              <w:rPr>
                <w:rFonts w:ascii="Aptos Narrow" w:hAnsi="Aptos Narrow"/>
                <w:b/>
                <w:bCs/>
                <w:color w:val="000000"/>
                <w:sz w:val="20"/>
                <w:szCs w:val="20"/>
              </w:rPr>
            </w:pPr>
          </w:p>
        </w:tc>
        <w:tc>
          <w:tcPr>
            <w:tcW w:w="960" w:type="dxa"/>
            <w:tcBorders>
              <w:top w:val="single" w:sz="4" w:space="0" w:color="auto"/>
              <w:bottom w:val="single" w:sz="4" w:space="0" w:color="000000"/>
            </w:tcBorders>
            <w:noWrap/>
            <w:vAlign w:val="bottom"/>
          </w:tcPr>
          <w:p w14:paraId="1C2AC9BB" w14:textId="2AD74A97" w:rsidR="00DA3119" w:rsidRPr="00650DFF" w:rsidRDefault="00DA3119" w:rsidP="00AC6A11">
            <w:pPr>
              <w:spacing w:line="240" w:lineRule="auto"/>
              <w:jc w:val="center"/>
              <w:rPr>
                <w:rFonts w:ascii="Aptos Narrow" w:hAnsi="Aptos Narrow"/>
                <w:b/>
                <w:bCs/>
                <w:color w:val="000000"/>
                <w:sz w:val="20"/>
                <w:szCs w:val="20"/>
              </w:rPr>
            </w:pPr>
          </w:p>
        </w:tc>
        <w:tc>
          <w:tcPr>
            <w:tcW w:w="1340" w:type="dxa"/>
            <w:tcBorders>
              <w:top w:val="single" w:sz="4" w:space="0" w:color="auto"/>
              <w:bottom w:val="single" w:sz="4" w:space="0" w:color="000000"/>
            </w:tcBorders>
            <w:noWrap/>
            <w:vAlign w:val="bottom"/>
          </w:tcPr>
          <w:p w14:paraId="3089BFE9" w14:textId="42DCC751" w:rsidR="00DA3119" w:rsidRPr="00650DFF" w:rsidRDefault="00DA3119" w:rsidP="00AC6A11">
            <w:pPr>
              <w:spacing w:line="240" w:lineRule="auto"/>
              <w:jc w:val="center"/>
              <w:rPr>
                <w:rFonts w:ascii="Aptos Narrow" w:hAnsi="Aptos Narrow"/>
                <w:b/>
                <w:bCs/>
                <w:color w:val="000000"/>
                <w:sz w:val="20"/>
                <w:szCs w:val="20"/>
              </w:rPr>
            </w:pPr>
          </w:p>
        </w:tc>
        <w:tc>
          <w:tcPr>
            <w:tcW w:w="960" w:type="dxa"/>
            <w:tcBorders>
              <w:top w:val="single" w:sz="4" w:space="0" w:color="auto"/>
              <w:bottom w:val="single" w:sz="4" w:space="0" w:color="000000"/>
              <w:right w:val="nil"/>
            </w:tcBorders>
            <w:noWrap/>
            <w:vAlign w:val="bottom"/>
          </w:tcPr>
          <w:p w14:paraId="2F94113B" w14:textId="1B2A5A74" w:rsidR="00DA3119" w:rsidRPr="00650DFF" w:rsidRDefault="00DA3119" w:rsidP="00AC6A11">
            <w:pPr>
              <w:spacing w:line="240" w:lineRule="auto"/>
              <w:jc w:val="center"/>
              <w:rPr>
                <w:rFonts w:ascii="Aptos Narrow" w:hAnsi="Aptos Narrow"/>
                <w:b/>
                <w:bCs/>
                <w:i/>
                <w:iCs/>
                <w:color w:val="000000"/>
                <w:sz w:val="20"/>
                <w:szCs w:val="20"/>
              </w:rPr>
            </w:pPr>
          </w:p>
        </w:tc>
      </w:tr>
      <w:tr w:rsidR="00DA3119" w:rsidRPr="00650DFF" w14:paraId="7E17106A" w14:textId="77777777" w:rsidTr="006A6B93">
        <w:trPr>
          <w:trHeight w:val="300"/>
        </w:trPr>
        <w:tc>
          <w:tcPr>
            <w:tcW w:w="1366" w:type="dxa"/>
            <w:vMerge w:val="restart"/>
            <w:tcBorders>
              <w:top w:val="single" w:sz="4" w:space="0" w:color="000000"/>
              <w:left w:val="nil"/>
              <w:bottom w:val="single" w:sz="4" w:space="0" w:color="FFFFFF"/>
            </w:tcBorders>
            <w:noWrap/>
            <w:vAlign w:val="center"/>
          </w:tcPr>
          <w:p w14:paraId="04213FB6" w14:textId="2158CB64" w:rsidR="00DA3119" w:rsidRPr="00650DFF" w:rsidRDefault="00DA3119" w:rsidP="00AC6A11">
            <w:pPr>
              <w:spacing w:line="240" w:lineRule="auto"/>
              <w:jc w:val="center"/>
              <w:rPr>
                <w:rFonts w:ascii="Aptos Narrow" w:hAnsi="Aptos Narrow"/>
                <w:b/>
                <w:bCs/>
                <w:color w:val="000000"/>
                <w:sz w:val="20"/>
                <w:szCs w:val="20"/>
              </w:rPr>
            </w:pPr>
          </w:p>
        </w:tc>
        <w:tc>
          <w:tcPr>
            <w:tcW w:w="2040" w:type="dxa"/>
            <w:tcBorders>
              <w:top w:val="nil"/>
              <w:left w:val="nil"/>
              <w:bottom w:val="single" w:sz="4" w:space="0" w:color="FFFFFF"/>
            </w:tcBorders>
            <w:noWrap/>
            <w:vAlign w:val="bottom"/>
          </w:tcPr>
          <w:p w14:paraId="0A95D4CE" w14:textId="6BD9E5FB" w:rsidR="00DA3119" w:rsidRPr="00650DFF" w:rsidRDefault="00DA3119" w:rsidP="00AC6A11">
            <w:pPr>
              <w:spacing w:line="240" w:lineRule="auto"/>
              <w:jc w:val="center"/>
              <w:rPr>
                <w:rFonts w:ascii="Aptos Narrow" w:hAnsi="Aptos Narrow"/>
                <w:color w:val="000000"/>
                <w:sz w:val="20"/>
                <w:szCs w:val="20"/>
              </w:rPr>
            </w:pPr>
          </w:p>
        </w:tc>
        <w:tc>
          <w:tcPr>
            <w:tcW w:w="960" w:type="dxa"/>
            <w:tcBorders>
              <w:top w:val="single" w:sz="4" w:space="0" w:color="000000"/>
              <w:bottom w:val="single" w:sz="4" w:space="0" w:color="FFFFFF"/>
            </w:tcBorders>
            <w:noWrap/>
            <w:vAlign w:val="bottom"/>
          </w:tcPr>
          <w:p w14:paraId="31119257" w14:textId="4655FD0E" w:rsidR="00DA3119" w:rsidRPr="00650DFF" w:rsidRDefault="00DA3119" w:rsidP="00AC6A11">
            <w:pPr>
              <w:spacing w:line="240" w:lineRule="auto"/>
              <w:jc w:val="center"/>
              <w:rPr>
                <w:rFonts w:ascii="Aptos Narrow" w:hAnsi="Aptos Narrow"/>
                <w:color w:val="000000"/>
                <w:sz w:val="20"/>
                <w:szCs w:val="20"/>
              </w:rPr>
            </w:pPr>
          </w:p>
        </w:tc>
        <w:tc>
          <w:tcPr>
            <w:tcW w:w="1340" w:type="dxa"/>
            <w:tcBorders>
              <w:top w:val="nil"/>
              <w:left w:val="nil"/>
              <w:bottom w:val="single" w:sz="4" w:space="0" w:color="FFFFFF"/>
            </w:tcBorders>
            <w:noWrap/>
            <w:vAlign w:val="bottom"/>
          </w:tcPr>
          <w:p w14:paraId="0A27F398" w14:textId="1023BEA8" w:rsidR="00DA3119" w:rsidRPr="00650DFF" w:rsidRDefault="00DA3119" w:rsidP="00AC6A11">
            <w:pPr>
              <w:spacing w:line="240" w:lineRule="auto"/>
              <w:jc w:val="center"/>
              <w:rPr>
                <w:rFonts w:ascii="Aptos Narrow" w:hAnsi="Aptos Narrow"/>
                <w:color w:val="000000"/>
                <w:sz w:val="20"/>
                <w:szCs w:val="20"/>
              </w:rPr>
            </w:pPr>
          </w:p>
        </w:tc>
        <w:tc>
          <w:tcPr>
            <w:tcW w:w="960" w:type="dxa"/>
            <w:vMerge w:val="restart"/>
            <w:tcBorders>
              <w:top w:val="single" w:sz="4" w:space="0" w:color="000000"/>
              <w:bottom w:val="single" w:sz="4" w:space="0" w:color="auto"/>
              <w:right w:val="nil"/>
            </w:tcBorders>
            <w:noWrap/>
            <w:vAlign w:val="center"/>
          </w:tcPr>
          <w:p w14:paraId="39B8B57B" w14:textId="03207B38" w:rsidR="00DA3119" w:rsidRPr="00650DFF" w:rsidRDefault="00DA3119" w:rsidP="00AC6A11">
            <w:pPr>
              <w:spacing w:line="240" w:lineRule="auto"/>
              <w:jc w:val="center"/>
              <w:rPr>
                <w:rFonts w:ascii="Aptos Narrow" w:hAnsi="Aptos Narrow"/>
                <w:color w:val="000000"/>
                <w:sz w:val="20"/>
                <w:szCs w:val="20"/>
              </w:rPr>
            </w:pPr>
          </w:p>
        </w:tc>
      </w:tr>
      <w:tr w:rsidR="00DA3119" w:rsidRPr="00650DFF" w14:paraId="37249348" w14:textId="77777777" w:rsidTr="006A6B93">
        <w:trPr>
          <w:trHeight w:val="300"/>
        </w:trPr>
        <w:tc>
          <w:tcPr>
            <w:tcW w:w="1366" w:type="dxa"/>
            <w:vMerge/>
            <w:tcBorders>
              <w:top w:val="single" w:sz="4" w:space="0" w:color="000000"/>
              <w:left w:val="nil"/>
              <w:bottom w:val="single" w:sz="4" w:space="0" w:color="FFFFFF"/>
            </w:tcBorders>
            <w:vAlign w:val="center"/>
          </w:tcPr>
          <w:p w14:paraId="55DD9F74" w14:textId="77777777" w:rsidR="00DA3119" w:rsidRPr="00650DFF" w:rsidRDefault="00DA3119" w:rsidP="00AC6A11">
            <w:pPr>
              <w:spacing w:line="240" w:lineRule="auto"/>
              <w:rPr>
                <w:rFonts w:ascii="Aptos Narrow" w:hAnsi="Aptos Narrow"/>
                <w:b/>
                <w:bCs/>
                <w:color w:val="000000"/>
                <w:sz w:val="20"/>
                <w:szCs w:val="20"/>
              </w:rPr>
            </w:pPr>
          </w:p>
        </w:tc>
        <w:tc>
          <w:tcPr>
            <w:tcW w:w="2040" w:type="dxa"/>
            <w:tcBorders>
              <w:top w:val="nil"/>
              <w:left w:val="nil"/>
              <w:bottom w:val="single" w:sz="4" w:space="0" w:color="000000"/>
            </w:tcBorders>
            <w:noWrap/>
            <w:vAlign w:val="bottom"/>
          </w:tcPr>
          <w:p w14:paraId="323B032D" w14:textId="08197D51" w:rsidR="00DA3119" w:rsidRPr="00650DFF" w:rsidRDefault="00DA3119" w:rsidP="00AC6A11">
            <w:pPr>
              <w:spacing w:line="240" w:lineRule="auto"/>
              <w:jc w:val="center"/>
              <w:rPr>
                <w:rFonts w:ascii="Aptos Narrow" w:hAnsi="Aptos Narrow"/>
                <w:color w:val="000000"/>
                <w:sz w:val="20"/>
                <w:szCs w:val="20"/>
              </w:rPr>
            </w:pPr>
          </w:p>
        </w:tc>
        <w:tc>
          <w:tcPr>
            <w:tcW w:w="960" w:type="dxa"/>
            <w:tcBorders>
              <w:top w:val="nil"/>
              <w:bottom w:val="single" w:sz="4" w:space="0" w:color="000000"/>
            </w:tcBorders>
            <w:noWrap/>
            <w:vAlign w:val="bottom"/>
          </w:tcPr>
          <w:p w14:paraId="1CF5AD9E" w14:textId="44CD03D9" w:rsidR="00DA3119" w:rsidRPr="00650DFF" w:rsidRDefault="00DA3119" w:rsidP="00AC6A11">
            <w:pPr>
              <w:spacing w:line="240" w:lineRule="auto"/>
              <w:jc w:val="center"/>
              <w:rPr>
                <w:rFonts w:ascii="Aptos Narrow" w:hAnsi="Aptos Narrow"/>
                <w:color w:val="000000"/>
                <w:sz w:val="20"/>
                <w:szCs w:val="20"/>
              </w:rPr>
            </w:pPr>
          </w:p>
        </w:tc>
        <w:tc>
          <w:tcPr>
            <w:tcW w:w="1340" w:type="dxa"/>
            <w:tcBorders>
              <w:top w:val="nil"/>
              <w:left w:val="nil"/>
              <w:bottom w:val="single" w:sz="4" w:space="0" w:color="000000"/>
            </w:tcBorders>
            <w:noWrap/>
            <w:vAlign w:val="bottom"/>
          </w:tcPr>
          <w:p w14:paraId="181238D4" w14:textId="667F82E2" w:rsidR="00DA3119" w:rsidRPr="00650DFF" w:rsidRDefault="00DA3119" w:rsidP="00AC6A11">
            <w:pPr>
              <w:spacing w:line="240" w:lineRule="auto"/>
              <w:jc w:val="center"/>
              <w:rPr>
                <w:rFonts w:ascii="Aptos Narrow" w:hAnsi="Aptos Narrow"/>
                <w:color w:val="000000"/>
                <w:sz w:val="20"/>
                <w:szCs w:val="20"/>
              </w:rPr>
            </w:pPr>
          </w:p>
        </w:tc>
        <w:tc>
          <w:tcPr>
            <w:tcW w:w="960" w:type="dxa"/>
            <w:vMerge/>
            <w:tcBorders>
              <w:top w:val="single" w:sz="4" w:space="0" w:color="000000"/>
              <w:bottom w:val="single" w:sz="4" w:space="0" w:color="auto"/>
              <w:right w:val="nil"/>
            </w:tcBorders>
            <w:vAlign w:val="center"/>
          </w:tcPr>
          <w:p w14:paraId="0E1AD9DC" w14:textId="77777777" w:rsidR="00DA3119" w:rsidRPr="00650DFF" w:rsidRDefault="00DA3119" w:rsidP="00AC6A11">
            <w:pPr>
              <w:spacing w:line="240" w:lineRule="auto"/>
              <w:rPr>
                <w:rFonts w:ascii="Aptos Narrow" w:hAnsi="Aptos Narrow"/>
                <w:color w:val="000000"/>
                <w:sz w:val="20"/>
                <w:szCs w:val="20"/>
              </w:rPr>
            </w:pPr>
          </w:p>
        </w:tc>
      </w:tr>
      <w:tr w:rsidR="00DA3119" w:rsidRPr="00650DFF" w14:paraId="5C219921" w14:textId="77777777" w:rsidTr="006A6B93">
        <w:trPr>
          <w:trHeight w:val="300"/>
        </w:trPr>
        <w:tc>
          <w:tcPr>
            <w:tcW w:w="1366" w:type="dxa"/>
            <w:vMerge w:val="restart"/>
            <w:tcBorders>
              <w:top w:val="single" w:sz="4" w:space="0" w:color="000000"/>
              <w:left w:val="nil"/>
              <w:bottom w:val="single" w:sz="4" w:space="0" w:color="FFFFFF"/>
            </w:tcBorders>
            <w:noWrap/>
            <w:vAlign w:val="center"/>
          </w:tcPr>
          <w:p w14:paraId="1132FA24" w14:textId="0EFEDDB3" w:rsidR="00DA3119" w:rsidRPr="00650DFF" w:rsidRDefault="00DA3119" w:rsidP="00AC6A11">
            <w:pPr>
              <w:spacing w:line="240" w:lineRule="auto"/>
              <w:jc w:val="center"/>
              <w:rPr>
                <w:rFonts w:ascii="Aptos Narrow" w:hAnsi="Aptos Narrow"/>
                <w:b/>
                <w:bCs/>
                <w:color w:val="000000"/>
                <w:sz w:val="20"/>
                <w:szCs w:val="20"/>
              </w:rPr>
            </w:pPr>
          </w:p>
        </w:tc>
        <w:tc>
          <w:tcPr>
            <w:tcW w:w="2040" w:type="dxa"/>
            <w:tcBorders>
              <w:top w:val="nil"/>
              <w:left w:val="nil"/>
              <w:bottom w:val="single" w:sz="4" w:space="0" w:color="FFFFFF"/>
            </w:tcBorders>
            <w:noWrap/>
            <w:vAlign w:val="bottom"/>
          </w:tcPr>
          <w:p w14:paraId="6BB2E768" w14:textId="4B0B63C2" w:rsidR="00DA3119" w:rsidRPr="00650DFF" w:rsidRDefault="00DA3119" w:rsidP="00AC6A11">
            <w:pPr>
              <w:spacing w:line="240" w:lineRule="auto"/>
              <w:jc w:val="center"/>
              <w:rPr>
                <w:rFonts w:ascii="Aptos Narrow" w:hAnsi="Aptos Narrow"/>
                <w:color w:val="000000"/>
                <w:sz w:val="20"/>
                <w:szCs w:val="20"/>
              </w:rPr>
            </w:pPr>
          </w:p>
        </w:tc>
        <w:tc>
          <w:tcPr>
            <w:tcW w:w="960" w:type="dxa"/>
            <w:tcBorders>
              <w:top w:val="nil"/>
              <w:bottom w:val="single" w:sz="4" w:space="0" w:color="FFFFFF"/>
            </w:tcBorders>
            <w:noWrap/>
            <w:vAlign w:val="bottom"/>
          </w:tcPr>
          <w:p w14:paraId="496460B0" w14:textId="3FC6DCA4" w:rsidR="00DA3119" w:rsidRPr="00650DFF" w:rsidRDefault="00DA3119" w:rsidP="00AC6A11">
            <w:pPr>
              <w:spacing w:line="240" w:lineRule="auto"/>
              <w:jc w:val="center"/>
              <w:rPr>
                <w:rFonts w:ascii="Aptos Narrow" w:hAnsi="Aptos Narrow"/>
                <w:color w:val="000000"/>
                <w:sz w:val="20"/>
                <w:szCs w:val="20"/>
              </w:rPr>
            </w:pPr>
          </w:p>
        </w:tc>
        <w:tc>
          <w:tcPr>
            <w:tcW w:w="1340" w:type="dxa"/>
            <w:tcBorders>
              <w:top w:val="nil"/>
              <w:left w:val="nil"/>
              <w:bottom w:val="single" w:sz="4" w:space="0" w:color="FFFFFF"/>
            </w:tcBorders>
            <w:noWrap/>
            <w:vAlign w:val="bottom"/>
          </w:tcPr>
          <w:p w14:paraId="2ADE2CF6" w14:textId="15141DC5" w:rsidR="00DA3119" w:rsidRPr="00650DFF" w:rsidRDefault="00DA3119" w:rsidP="00AC6A11">
            <w:pPr>
              <w:spacing w:line="240" w:lineRule="auto"/>
              <w:jc w:val="center"/>
              <w:rPr>
                <w:rFonts w:ascii="Aptos Narrow" w:hAnsi="Aptos Narrow"/>
                <w:color w:val="000000"/>
                <w:sz w:val="20"/>
                <w:szCs w:val="20"/>
              </w:rPr>
            </w:pPr>
          </w:p>
        </w:tc>
        <w:tc>
          <w:tcPr>
            <w:tcW w:w="960" w:type="dxa"/>
            <w:vMerge w:val="restart"/>
            <w:tcBorders>
              <w:top w:val="single" w:sz="4" w:space="0" w:color="000000"/>
              <w:bottom w:val="single" w:sz="4" w:space="0" w:color="auto"/>
              <w:right w:val="nil"/>
            </w:tcBorders>
            <w:noWrap/>
            <w:vAlign w:val="center"/>
          </w:tcPr>
          <w:p w14:paraId="286F97DC" w14:textId="54E94BF7" w:rsidR="00DA3119" w:rsidRPr="00650DFF" w:rsidRDefault="00DA3119" w:rsidP="00AC6A11">
            <w:pPr>
              <w:spacing w:line="240" w:lineRule="auto"/>
              <w:jc w:val="center"/>
              <w:rPr>
                <w:rFonts w:ascii="Aptos Narrow" w:hAnsi="Aptos Narrow"/>
                <w:color w:val="000000"/>
                <w:sz w:val="20"/>
                <w:szCs w:val="20"/>
              </w:rPr>
            </w:pPr>
          </w:p>
        </w:tc>
      </w:tr>
      <w:tr w:rsidR="00DA3119" w:rsidRPr="00650DFF" w14:paraId="358DAED2" w14:textId="77777777" w:rsidTr="006A6B93">
        <w:trPr>
          <w:trHeight w:val="300"/>
        </w:trPr>
        <w:tc>
          <w:tcPr>
            <w:tcW w:w="1366" w:type="dxa"/>
            <w:vMerge/>
            <w:tcBorders>
              <w:top w:val="single" w:sz="4" w:space="0" w:color="000000"/>
              <w:left w:val="nil"/>
              <w:bottom w:val="single" w:sz="4" w:space="0" w:color="000000"/>
            </w:tcBorders>
            <w:vAlign w:val="center"/>
          </w:tcPr>
          <w:p w14:paraId="0FFC6866" w14:textId="77777777" w:rsidR="00DA3119" w:rsidRPr="00650DFF" w:rsidRDefault="00DA3119" w:rsidP="00AC6A11">
            <w:pPr>
              <w:spacing w:line="240" w:lineRule="auto"/>
              <w:rPr>
                <w:rFonts w:ascii="Aptos Narrow" w:hAnsi="Aptos Narrow"/>
                <w:b/>
                <w:bCs/>
                <w:color w:val="000000"/>
                <w:sz w:val="20"/>
                <w:szCs w:val="20"/>
              </w:rPr>
            </w:pPr>
          </w:p>
        </w:tc>
        <w:tc>
          <w:tcPr>
            <w:tcW w:w="2040" w:type="dxa"/>
            <w:tcBorders>
              <w:top w:val="nil"/>
              <w:left w:val="nil"/>
              <w:bottom w:val="single" w:sz="4" w:space="0" w:color="000000"/>
            </w:tcBorders>
            <w:noWrap/>
            <w:vAlign w:val="bottom"/>
          </w:tcPr>
          <w:p w14:paraId="613DC9A0" w14:textId="732674F9" w:rsidR="00DA3119" w:rsidRPr="00650DFF" w:rsidRDefault="00DA3119" w:rsidP="00AC6A11">
            <w:pPr>
              <w:spacing w:line="240" w:lineRule="auto"/>
              <w:jc w:val="center"/>
              <w:rPr>
                <w:rFonts w:ascii="Aptos Narrow" w:hAnsi="Aptos Narrow"/>
                <w:color w:val="000000"/>
                <w:sz w:val="20"/>
                <w:szCs w:val="20"/>
              </w:rPr>
            </w:pPr>
          </w:p>
        </w:tc>
        <w:tc>
          <w:tcPr>
            <w:tcW w:w="960" w:type="dxa"/>
            <w:tcBorders>
              <w:top w:val="nil"/>
              <w:bottom w:val="single" w:sz="4" w:space="0" w:color="000000"/>
            </w:tcBorders>
            <w:noWrap/>
            <w:vAlign w:val="bottom"/>
          </w:tcPr>
          <w:p w14:paraId="1A6CDE49" w14:textId="2995CEAC" w:rsidR="00DA3119" w:rsidRPr="00650DFF" w:rsidRDefault="00DA3119" w:rsidP="00AC6A11">
            <w:pPr>
              <w:spacing w:line="240" w:lineRule="auto"/>
              <w:jc w:val="center"/>
              <w:rPr>
                <w:rFonts w:ascii="Aptos Narrow" w:hAnsi="Aptos Narrow"/>
                <w:color w:val="000000"/>
                <w:sz w:val="20"/>
                <w:szCs w:val="20"/>
              </w:rPr>
            </w:pPr>
          </w:p>
        </w:tc>
        <w:tc>
          <w:tcPr>
            <w:tcW w:w="1340" w:type="dxa"/>
            <w:tcBorders>
              <w:top w:val="nil"/>
              <w:left w:val="nil"/>
              <w:bottom w:val="single" w:sz="4" w:space="0" w:color="000000"/>
            </w:tcBorders>
            <w:noWrap/>
            <w:vAlign w:val="bottom"/>
          </w:tcPr>
          <w:p w14:paraId="5D986438" w14:textId="628BD5CC" w:rsidR="00DA3119" w:rsidRPr="00650DFF" w:rsidRDefault="00DA3119" w:rsidP="00AC6A11">
            <w:pPr>
              <w:spacing w:line="240" w:lineRule="auto"/>
              <w:jc w:val="center"/>
              <w:rPr>
                <w:rFonts w:ascii="Aptos Narrow" w:hAnsi="Aptos Narrow"/>
                <w:color w:val="000000"/>
                <w:sz w:val="20"/>
                <w:szCs w:val="20"/>
              </w:rPr>
            </w:pPr>
          </w:p>
        </w:tc>
        <w:tc>
          <w:tcPr>
            <w:tcW w:w="960" w:type="dxa"/>
            <w:vMerge/>
            <w:tcBorders>
              <w:top w:val="single" w:sz="4" w:space="0" w:color="000000"/>
              <w:bottom w:val="single" w:sz="4" w:space="0" w:color="auto"/>
              <w:right w:val="nil"/>
            </w:tcBorders>
            <w:vAlign w:val="center"/>
          </w:tcPr>
          <w:p w14:paraId="3A49A00C" w14:textId="77777777" w:rsidR="00DA3119" w:rsidRPr="00650DFF" w:rsidRDefault="00DA3119" w:rsidP="00AC6A11">
            <w:pPr>
              <w:spacing w:line="240" w:lineRule="auto"/>
              <w:rPr>
                <w:rFonts w:ascii="Aptos Narrow" w:hAnsi="Aptos Narrow"/>
                <w:color w:val="000000"/>
                <w:sz w:val="20"/>
                <w:szCs w:val="20"/>
              </w:rPr>
            </w:pPr>
          </w:p>
        </w:tc>
      </w:tr>
      <w:tr w:rsidR="00DA3119" w:rsidRPr="00650DFF" w14:paraId="32E9A330" w14:textId="77777777" w:rsidTr="006A6B93">
        <w:trPr>
          <w:trHeight w:val="315"/>
        </w:trPr>
        <w:tc>
          <w:tcPr>
            <w:tcW w:w="1366" w:type="dxa"/>
            <w:vMerge w:val="restart"/>
            <w:tcBorders>
              <w:top w:val="single" w:sz="4" w:space="0" w:color="000000"/>
              <w:left w:val="nil"/>
              <w:bottom w:val="single" w:sz="4" w:space="0" w:color="auto"/>
            </w:tcBorders>
            <w:noWrap/>
            <w:vAlign w:val="center"/>
          </w:tcPr>
          <w:p w14:paraId="17788C8D" w14:textId="1F15BF88" w:rsidR="00DA3119" w:rsidRPr="00650DFF" w:rsidRDefault="00DA3119" w:rsidP="00AC6A11">
            <w:pPr>
              <w:spacing w:line="240" w:lineRule="auto"/>
              <w:jc w:val="center"/>
              <w:rPr>
                <w:rFonts w:ascii="Aptos Narrow" w:hAnsi="Aptos Narrow"/>
                <w:b/>
                <w:bCs/>
                <w:color w:val="000000"/>
                <w:sz w:val="20"/>
                <w:szCs w:val="20"/>
              </w:rPr>
            </w:pPr>
          </w:p>
        </w:tc>
        <w:tc>
          <w:tcPr>
            <w:tcW w:w="2040" w:type="dxa"/>
            <w:tcBorders>
              <w:top w:val="single" w:sz="4" w:space="0" w:color="000000"/>
              <w:left w:val="nil"/>
              <w:bottom w:val="single" w:sz="4" w:space="0" w:color="FFFFFF"/>
            </w:tcBorders>
            <w:noWrap/>
            <w:vAlign w:val="bottom"/>
          </w:tcPr>
          <w:p w14:paraId="06B4C409" w14:textId="60E728D1" w:rsidR="00DA3119" w:rsidRPr="00650DFF" w:rsidRDefault="00DA3119" w:rsidP="00AC6A11">
            <w:pPr>
              <w:spacing w:line="240" w:lineRule="auto"/>
              <w:jc w:val="center"/>
              <w:rPr>
                <w:rFonts w:ascii="Aptos Narrow" w:hAnsi="Aptos Narrow"/>
                <w:color w:val="000000"/>
                <w:sz w:val="20"/>
                <w:szCs w:val="20"/>
              </w:rPr>
            </w:pPr>
          </w:p>
        </w:tc>
        <w:tc>
          <w:tcPr>
            <w:tcW w:w="960" w:type="dxa"/>
            <w:tcBorders>
              <w:top w:val="single" w:sz="4" w:space="0" w:color="000000"/>
              <w:bottom w:val="single" w:sz="4" w:space="0" w:color="FFFFFF"/>
            </w:tcBorders>
            <w:noWrap/>
            <w:vAlign w:val="bottom"/>
          </w:tcPr>
          <w:p w14:paraId="5FD13355" w14:textId="5169BF92" w:rsidR="00DA3119" w:rsidRPr="00650DFF" w:rsidRDefault="00DA3119" w:rsidP="00AC6A11">
            <w:pPr>
              <w:spacing w:line="240" w:lineRule="auto"/>
              <w:jc w:val="center"/>
              <w:rPr>
                <w:rFonts w:ascii="Aptos Narrow" w:hAnsi="Aptos Narrow"/>
                <w:color w:val="000000"/>
                <w:sz w:val="20"/>
                <w:szCs w:val="20"/>
              </w:rPr>
            </w:pPr>
          </w:p>
        </w:tc>
        <w:tc>
          <w:tcPr>
            <w:tcW w:w="1340" w:type="dxa"/>
            <w:tcBorders>
              <w:top w:val="single" w:sz="4" w:space="0" w:color="000000"/>
              <w:left w:val="nil"/>
              <w:bottom w:val="single" w:sz="4" w:space="0" w:color="FFFFFF"/>
            </w:tcBorders>
            <w:noWrap/>
            <w:vAlign w:val="bottom"/>
          </w:tcPr>
          <w:p w14:paraId="77AB2834" w14:textId="4A5C4902" w:rsidR="00DA3119" w:rsidRPr="00650DFF" w:rsidRDefault="00DA3119" w:rsidP="00AC6A11">
            <w:pPr>
              <w:spacing w:line="240" w:lineRule="auto"/>
              <w:jc w:val="center"/>
              <w:rPr>
                <w:rFonts w:ascii="Aptos Narrow" w:hAnsi="Aptos Narrow"/>
                <w:color w:val="000000"/>
                <w:sz w:val="20"/>
                <w:szCs w:val="20"/>
              </w:rPr>
            </w:pPr>
          </w:p>
        </w:tc>
        <w:tc>
          <w:tcPr>
            <w:tcW w:w="960" w:type="dxa"/>
            <w:vMerge w:val="restart"/>
            <w:tcBorders>
              <w:top w:val="single" w:sz="4" w:space="0" w:color="000000"/>
              <w:bottom w:val="single" w:sz="4" w:space="0" w:color="auto"/>
              <w:right w:val="nil"/>
            </w:tcBorders>
            <w:noWrap/>
            <w:vAlign w:val="center"/>
          </w:tcPr>
          <w:p w14:paraId="7C325B68" w14:textId="25626227" w:rsidR="00DA3119" w:rsidRPr="00650DFF" w:rsidRDefault="00DA3119" w:rsidP="00AC6A11">
            <w:pPr>
              <w:spacing w:line="240" w:lineRule="auto"/>
              <w:jc w:val="center"/>
              <w:rPr>
                <w:rFonts w:ascii="Aptos Narrow" w:hAnsi="Aptos Narrow"/>
                <w:color w:val="000000"/>
                <w:sz w:val="20"/>
                <w:szCs w:val="20"/>
              </w:rPr>
            </w:pPr>
          </w:p>
        </w:tc>
      </w:tr>
      <w:tr w:rsidR="00DA3119" w:rsidRPr="00650DFF" w14:paraId="2E578DF2" w14:textId="77777777" w:rsidTr="006A6B93">
        <w:trPr>
          <w:trHeight w:val="315"/>
        </w:trPr>
        <w:tc>
          <w:tcPr>
            <w:tcW w:w="1366" w:type="dxa"/>
            <w:vMerge/>
            <w:tcBorders>
              <w:top w:val="single" w:sz="4" w:space="0" w:color="000000"/>
              <w:left w:val="nil"/>
              <w:bottom w:val="single" w:sz="4" w:space="0" w:color="auto"/>
            </w:tcBorders>
            <w:vAlign w:val="center"/>
          </w:tcPr>
          <w:p w14:paraId="48262C66" w14:textId="77777777" w:rsidR="00DA3119" w:rsidRPr="00650DFF" w:rsidRDefault="00DA3119" w:rsidP="00AC6A11">
            <w:pPr>
              <w:spacing w:line="240" w:lineRule="auto"/>
              <w:rPr>
                <w:rFonts w:ascii="Aptos Narrow" w:hAnsi="Aptos Narrow"/>
                <w:b/>
                <w:bCs/>
                <w:color w:val="000000"/>
                <w:sz w:val="20"/>
                <w:szCs w:val="20"/>
              </w:rPr>
            </w:pPr>
          </w:p>
        </w:tc>
        <w:tc>
          <w:tcPr>
            <w:tcW w:w="2040" w:type="dxa"/>
            <w:tcBorders>
              <w:top w:val="single" w:sz="4" w:space="0" w:color="FFFFFF"/>
              <w:left w:val="nil"/>
              <w:bottom w:val="single" w:sz="4" w:space="0" w:color="auto"/>
            </w:tcBorders>
            <w:noWrap/>
            <w:vAlign w:val="bottom"/>
          </w:tcPr>
          <w:p w14:paraId="7B82153A" w14:textId="46640E43" w:rsidR="00DA3119" w:rsidRPr="00650DFF" w:rsidRDefault="00DA3119" w:rsidP="00AC6A11">
            <w:pPr>
              <w:spacing w:line="240" w:lineRule="auto"/>
              <w:jc w:val="center"/>
              <w:rPr>
                <w:rFonts w:ascii="Aptos Narrow" w:hAnsi="Aptos Narrow"/>
                <w:color w:val="000000"/>
                <w:sz w:val="20"/>
                <w:szCs w:val="20"/>
              </w:rPr>
            </w:pPr>
          </w:p>
        </w:tc>
        <w:tc>
          <w:tcPr>
            <w:tcW w:w="960" w:type="dxa"/>
            <w:tcBorders>
              <w:top w:val="single" w:sz="4" w:space="0" w:color="FFFFFF"/>
              <w:bottom w:val="single" w:sz="4" w:space="0" w:color="auto"/>
            </w:tcBorders>
            <w:noWrap/>
            <w:vAlign w:val="bottom"/>
          </w:tcPr>
          <w:p w14:paraId="4875398C" w14:textId="58015699" w:rsidR="00DA3119" w:rsidRPr="00650DFF" w:rsidRDefault="00DA3119" w:rsidP="00AC6A11">
            <w:pPr>
              <w:spacing w:line="240" w:lineRule="auto"/>
              <w:jc w:val="center"/>
              <w:rPr>
                <w:rFonts w:ascii="Aptos Narrow" w:hAnsi="Aptos Narrow"/>
                <w:color w:val="000000"/>
                <w:sz w:val="20"/>
                <w:szCs w:val="20"/>
              </w:rPr>
            </w:pPr>
          </w:p>
        </w:tc>
        <w:tc>
          <w:tcPr>
            <w:tcW w:w="1340" w:type="dxa"/>
            <w:tcBorders>
              <w:top w:val="single" w:sz="4" w:space="0" w:color="FFFFFF"/>
              <w:left w:val="nil"/>
              <w:bottom w:val="single" w:sz="4" w:space="0" w:color="auto"/>
            </w:tcBorders>
            <w:noWrap/>
            <w:vAlign w:val="bottom"/>
          </w:tcPr>
          <w:p w14:paraId="542D83DA" w14:textId="20618393" w:rsidR="00DA3119" w:rsidRPr="00650DFF" w:rsidRDefault="00DA3119" w:rsidP="00AC6A11">
            <w:pPr>
              <w:spacing w:line="240" w:lineRule="auto"/>
              <w:jc w:val="center"/>
              <w:rPr>
                <w:rFonts w:ascii="Aptos Narrow" w:hAnsi="Aptos Narrow"/>
                <w:color w:val="000000"/>
                <w:sz w:val="20"/>
                <w:szCs w:val="20"/>
              </w:rPr>
            </w:pPr>
          </w:p>
        </w:tc>
        <w:tc>
          <w:tcPr>
            <w:tcW w:w="960" w:type="dxa"/>
            <w:vMerge/>
            <w:tcBorders>
              <w:top w:val="single" w:sz="4" w:space="0" w:color="000000"/>
              <w:bottom w:val="single" w:sz="4" w:space="0" w:color="auto"/>
              <w:right w:val="nil"/>
            </w:tcBorders>
            <w:vAlign w:val="center"/>
          </w:tcPr>
          <w:p w14:paraId="712833C9" w14:textId="77777777" w:rsidR="00DA3119" w:rsidRPr="00650DFF" w:rsidRDefault="00DA3119" w:rsidP="00AC6A11">
            <w:pPr>
              <w:spacing w:line="240" w:lineRule="auto"/>
              <w:rPr>
                <w:rFonts w:ascii="Aptos Narrow" w:hAnsi="Aptos Narrow"/>
                <w:color w:val="000000"/>
                <w:sz w:val="20"/>
                <w:szCs w:val="20"/>
              </w:rPr>
            </w:pPr>
          </w:p>
        </w:tc>
      </w:tr>
    </w:tbl>
    <w:p w14:paraId="55472273" w14:textId="241AFC04" w:rsidR="00F250C4" w:rsidRPr="00650DFF" w:rsidRDefault="00F250C4" w:rsidP="00AC6A11">
      <w:pPr>
        <w:spacing w:before="120" w:after="0" w:line="360" w:lineRule="auto"/>
        <w:ind w:firstLine="567"/>
        <w:jc w:val="both"/>
        <w:rPr>
          <w:rFonts w:ascii="Arial" w:eastAsia="Times New Roman" w:hAnsi="Arial" w:cs="Arial"/>
          <w:color w:val="000000" w:themeColor="text1"/>
          <w:kern w:val="0"/>
          <w:sz w:val="20"/>
          <w:szCs w:val="20"/>
          <w:lang w:eastAsia="pt-BR"/>
          <w14:ligatures w14:val="none"/>
        </w:rPr>
      </w:pPr>
    </w:p>
    <w:p w14:paraId="199F5A04" w14:textId="3A42FBD9" w:rsidR="002406FD" w:rsidRPr="00650DFF" w:rsidRDefault="002406FD" w:rsidP="00F250C4">
      <w:pPr>
        <w:spacing w:before="120" w:after="0" w:line="360" w:lineRule="auto"/>
        <w:ind w:firstLine="567"/>
        <w:jc w:val="both"/>
        <w:rPr>
          <w:rFonts w:ascii="Arial" w:eastAsia="Times New Roman" w:hAnsi="Arial" w:cs="Arial"/>
          <w:color w:val="000000" w:themeColor="text1"/>
          <w:kern w:val="0"/>
          <w:sz w:val="20"/>
          <w:szCs w:val="20"/>
          <w:lang w:eastAsia="pt-BR"/>
          <w14:ligatures w14:val="none"/>
        </w:rPr>
      </w:pPr>
      <w:r w:rsidRPr="00650DFF">
        <w:rPr>
          <w:rFonts w:ascii="Arial" w:eastAsia="Times New Roman" w:hAnsi="Arial" w:cs="Arial"/>
          <w:noProof/>
          <w:color w:val="000000" w:themeColor="text1"/>
          <w:kern w:val="0"/>
          <w:sz w:val="20"/>
          <w:szCs w:val="20"/>
          <w:lang w:val="pt-BR" w:eastAsia="pt-BR"/>
          <w14:ligatures w14:val="none"/>
        </w:rPr>
        <w:lastRenderedPageBreak/>
        <w:drawing>
          <wp:anchor distT="0" distB="0" distL="114300" distR="114300" simplePos="0" relativeHeight="251658240" behindDoc="0" locked="0" layoutInCell="1" allowOverlap="1" wp14:anchorId="00466455" wp14:editId="1ECEB457">
            <wp:simplePos x="0" y="0"/>
            <wp:positionH relativeFrom="margin">
              <wp:posOffset>-106878</wp:posOffset>
            </wp:positionH>
            <wp:positionV relativeFrom="paragraph">
              <wp:posOffset>410515</wp:posOffset>
            </wp:positionV>
            <wp:extent cx="5399405" cy="1860550"/>
            <wp:effectExtent l="0" t="0" r="0" b="6350"/>
            <wp:wrapThrough wrapText="bothSides">
              <wp:wrapPolygon edited="0">
                <wp:start x="0" y="0"/>
                <wp:lineTo x="0" y="21453"/>
                <wp:lineTo x="21491" y="21453"/>
                <wp:lineTo x="21491" y="0"/>
                <wp:lineTo x="0" y="0"/>
              </wp:wrapPolygon>
            </wp:wrapThrough>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t="20333"/>
                    <a:stretch/>
                  </pic:blipFill>
                  <pic:spPr bwMode="auto">
                    <a:xfrm>
                      <a:off x="0" y="0"/>
                      <a:ext cx="5399405" cy="1860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50DFF">
        <w:rPr>
          <w:rFonts w:ascii="Arial" w:eastAsia="Times New Roman" w:hAnsi="Arial" w:cs="Arial"/>
          <w:noProof/>
          <w:color w:val="000000" w:themeColor="text1"/>
          <w:kern w:val="0"/>
          <w:sz w:val="20"/>
          <w:szCs w:val="20"/>
          <w:lang w:val="pt-BR" w:eastAsia="pt-BR"/>
        </w:rPr>
        <mc:AlternateContent>
          <mc:Choice Requires="wps">
            <w:drawing>
              <wp:anchor distT="0" distB="0" distL="114300" distR="114300" simplePos="0" relativeHeight="251660288" behindDoc="0" locked="0" layoutInCell="1" allowOverlap="1" wp14:anchorId="71CFF498" wp14:editId="58312C13">
                <wp:simplePos x="0" y="0"/>
                <wp:positionH relativeFrom="margin">
                  <wp:posOffset>47502</wp:posOffset>
                </wp:positionH>
                <wp:positionV relativeFrom="paragraph">
                  <wp:posOffset>82311</wp:posOffset>
                </wp:positionV>
                <wp:extent cx="5468587" cy="463137"/>
                <wp:effectExtent l="0" t="0" r="0" b="0"/>
                <wp:wrapNone/>
                <wp:docPr id="3" name="Caixa de texto 3"/>
                <wp:cNvGraphicFramePr/>
                <a:graphic xmlns:a="http://schemas.openxmlformats.org/drawingml/2006/main">
                  <a:graphicData uri="http://schemas.microsoft.com/office/word/2010/wordprocessingShape">
                    <wps:wsp>
                      <wps:cNvSpPr txBox="1"/>
                      <wps:spPr>
                        <a:xfrm>
                          <a:off x="0" y="0"/>
                          <a:ext cx="5468587" cy="4631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8A50C6" w14:textId="355068CD" w:rsidR="00AC6A11" w:rsidRPr="00650DFF" w:rsidRDefault="00AC6A11">
                            <w:pPr>
                              <w:rPr>
                                <w:sz w:val="20"/>
                              </w:rPr>
                            </w:pPr>
                            <w:r w:rsidRPr="00650DFF">
                              <w:rPr>
                                <w:rFonts w:ascii="Arial" w:hAnsi="Arial" w:cs="Arial"/>
                                <w:b/>
                                <w:bCs/>
                                <w:sz w:val="20"/>
                              </w:rPr>
                              <w:t>Table 3.</w:t>
                            </w:r>
                            <w:r w:rsidRPr="00650DFF">
                              <w:rPr>
                                <w:rFonts w:ascii="Arial" w:hAnsi="Arial" w:cs="Arial"/>
                                <w:bCs/>
                                <w:sz w:val="20"/>
                              </w:rPr>
                              <w:t xml:space="preserve"> Mean, standard deviation, and p-values for psychosocial variables by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FF498" id="_x0000_t202" coordsize="21600,21600" o:spt="202" path="m,l,21600r21600,l21600,xe">
                <v:stroke joinstyle="miter"/>
                <v:path gradientshapeok="t" o:connecttype="rect"/>
              </v:shapetype>
              <v:shape id="Caixa de texto 3" o:spid="_x0000_s1026" type="#_x0000_t202" style="position:absolute;left:0;text-align:left;margin-left:3.75pt;margin-top:6.5pt;width:430.6pt;height:36.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" filled="f" stroked="f" strokeweight=".5pt">
                <v:textbox>
                  <w:txbxContent>
                    <w:p w14:paraId="5A8A50C6" w14:textId="355068CD" w:rsidR="00AC6A11" w:rsidRPr="00650DFF" w:rsidRDefault="00AC6A11">
                      <w:pPr>
                        <w:rPr>
                          <w:sz w:val="20"/>
                        </w:rPr>
                      </w:pPr>
                      <w:r w:rsidRPr="00650DFF">
                        <w:rPr>
                          <w:rFonts w:ascii="Arial" w:hAnsi="Arial" w:cs="Arial"/>
                          <w:b/>
                          <w:bCs/>
                          <w:sz w:val="20"/>
                        </w:rPr>
                        <w:t>Table 3.</w:t>
                      </w:r>
                      <w:r w:rsidRPr="00650DFF">
                        <w:rPr>
                          <w:rFonts w:ascii="Arial" w:hAnsi="Arial" w:cs="Arial"/>
                          <w:bCs/>
                          <w:sz w:val="20"/>
                        </w:rPr>
                        <w:t xml:space="preserve"> Mean, standard deviation, and p-values for psychosocial variables by group.</w:t>
                      </w:r>
                    </w:p>
                  </w:txbxContent>
                </v:textbox>
                <w10:wrap anchorx="margin"/>
              </v:shape>
            </w:pict>
          </mc:Fallback>
        </mc:AlternateContent>
      </w:r>
    </w:p>
    <w:p w14:paraId="27371461" w14:textId="77777777" w:rsidR="00644A74" w:rsidRPr="00B45F8A" w:rsidRDefault="00644A74" w:rsidP="00F250C4">
      <w:pPr>
        <w:spacing w:before="120" w:after="0" w:line="360" w:lineRule="auto"/>
        <w:ind w:firstLine="567"/>
        <w:jc w:val="both"/>
        <w:rPr>
          <w:rFonts w:ascii="Arial" w:eastAsia="Times New Roman" w:hAnsi="Arial" w:cs="Arial"/>
          <w:color w:val="000000" w:themeColor="text1"/>
          <w:kern w:val="0"/>
          <w:sz w:val="20"/>
          <w:szCs w:val="20"/>
          <w:lang w:eastAsia="pt-BR"/>
          <w14:ligatures w14:val="none"/>
        </w:rPr>
      </w:pPr>
      <w:r w:rsidRPr="00B45F8A">
        <w:rPr>
          <w:rFonts w:ascii="Arial" w:eastAsia="Times New Roman" w:hAnsi="Arial" w:cs="Arial"/>
          <w:color w:val="000000" w:themeColor="text1"/>
          <w:kern w:val="0"/>
          <w:sz w:val="20"/>
          <w:szCs w:val="20"/>
          <w:lang w:eastAsia="pt-BR"/>
          <w14:ligatures w14:val="none"/>
        </w:rPr>
        <w:t>When outcomes were analyzed by gender, significant differences were identified across all psychosocial domains. Female adolescents exhibited higher levels of anxiety (p = 0.001), depression (p = 0.002), and low self-esteem (p &lt; 0.001) compared with male participants (Table 4). In age-stratified analyses, gender-based differences in anxiety were observed among adolescents aged 14–15 years in the experimental group (p = 0.025) and among those aged 16–17 years in the control group (p = 0.020).</w:t>
      </w:r>
    </w:p>
    <w:p w14:paraId="49D871F8" w14:textId="259CCBA1" w:rsidR="00DA3119" w:rsidRDefault="002406FD" w:rsidP="00F250C4">
      <w:pPr>
        <w:spacing w:before="120" w:after="0" w:line="360" w:lineRule="auto"/>
        <w:ind w:firstLine="567"/>
        <w:jc w:val="both"/>
        <w:rPr>
          <w:rFonts w:ascii="Arial" w:eastAsia="Times New Roman" w:hAnsi="Arial" w:cs="Arial"/>
          <w:color w:val="000000" w:themeColor="text1"/>
          <w:kern w:val="0"/>
          <w:lang w:eastAsia="pt-BR"/>
          <w14:ligatures w14:val="none"/>
        </w:rPr>
      </w:pPr>
      <w:r w:rsidRPr="00DA3119">
        <w:rPr>
          <w:rFonts w:ascii="Arial" w:eastAsia="Times New Roman" w:hAnsi="Arial" w:cs="Arial"/>
          <w:noProof/>
          <w:color w:val="000000" w:themeColor="text1"/>
          <w:kern w:val="0"/>
          <w:lang w:val="pt-BR" w:eastAsia="pt-BR"/>
          <w14:ligatures w14:val="none"/>
        </w:rPr>
        <w:drawing>
          <wp:anchor distT="0" distB="0" distL="114300" distR="114300" simplePos="0" relativeHeight="251659264" behindDoc="0" locked="0" layoutInCell="1" allowOverlap="1" wp14:anchorId="53FEF596" wp14:editId="343340E6">
            <wp:simplePos x="0" y="0"/>
            <wp:positionH relativeFrom="column">
              <wp:posOffset>267112</wp:posOffset>
            </wp:positionH>
            <wp:positionV relativeFrom="paragraph">
              <wp:posOffset>334876</wp:posOffset>
            </wp:positionV>
            <wp:extent cx="4902835" cy="3091815"/>
            <wp:effectExtent l="0" t="0" r="0" b="0"/>
            <wp:wrapThrough wrapText="bothSides">
              <wp:wrapPolygon edited="0">
                <wp:start x="0" y="0"/>
                <wp:lineTo x="0" y="21427"/>
                <wp:lineTo x="21485" y="21427"/>
                <wp:lineTo x="21485" y="0"/>
                <wp:lineTo x="0"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10331"/>
                    <a:stretch/>
                  </pic:blipFill>
                  <pic:spPr bwMode="auto">
                    <a:xfrm>
                      <a:off x="0" y="0"/>
                      <a:ext cx="4902835" cy="30918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eastAsia="Times New Roman" w:hAnsi="Arial" w:cs="Arial"/>
          <w:noProof/>
          <w:color w:val="000000" w:themeColor="text1"/>
          <w:kern w:val="0"/>
          <w:lang w:val="pt-BR" w:eastAsia="pt-BR"/>
        </w:rPr>
        <mc:AlternateContent>
          <mc:Choice Requires="wps">
            <w:drawing>
              <wp:anchor distT="0" distB="0" distL="114300" distR="114300" simplePos="0" relativeHeight="251661312" behindDoc="0" locked="0" layoutInCell="1" allowOverlap="1" wp14:anchorId="71171142" wp14:editId="608FD530">
                <wp:simplePos x="0" y="0"/>
                <wp:positionH relativeFrom="column">
                  <wp:posOffset>96149</wp:posOffset>
                </wp:positionH>
                <wp:positionV relativeFrom="paragraph">
                  <wp:posOffset>-216460</wp:posOffset>
                </wp:positionV>
                <wp:extent cx="5533902" cy="427512"/>
                <wp:effectExtent l="0" t="0" r="0" b="0"/>
                <wp:wrapNone/>
                <wp:docPr id="6" name="Caixa de texto 6"/>
                <wp:cNvGraphicFramePr/>
                <a:graphic xmlns:a="http://schemas.openxmlformats.org/drawingml/2006/main">
                  <a:graphicData uri="http://schemas.microsoft.com/office/word/2010/wordprocessingShape">
                    <wps:wsp>
                      <wps:cNvSpPr txBox="1"/>
                      <wps:spPr>
                        <a:xfrm>
                          <a:off x="0" y="0"/>
                          <a:ext cx="5533902" cy="4275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43098" w14:textId="2D19E2D0" w:rsidR="00AC6A11" w:rsidRPr="00650DFF" w:rsidRDefault="00AC6A11" w:rsidP="002406FD">
                            <w:pPr>
                              <w:ind w:left="851" w:hanging="851"/>
                              <w:rPr>
                                <w:sz w:val="20"/>
                              </w:rPr>
                            </w:pPr>
                            <w:r w:rsidRPr="00650DFF">
                              <w:rPr>
                                <w:rFonts w:ascii="Arial" w:hAnsi="Arial" w:cs="Arial"/>
                                <w:b/>
                                <w:bCs/>
                                <w:sz w:val="20"/>
                              </w:rPr>
                              <w:t>Table 4.</w:t>
                            </w:r>
                            <w:r w:rsidRPr="00650DFF">
                              <w:rPr>
                                <w:rFonts w:ascii="Arial" w:hAnsi="Arial" w:cs="Arial"/>
                                <w:bCs/>
                                <w:sz w:val="20"/>
                              </w:rPr>
                              <w:t xml:space="preserve"> Mean, standard deviation, and p-values for psychosocial variables by age and gender.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171142" id="Caixa de texto 6" o:spid="_x0000_s1027" type="#_x0000_t202" style="position:absolute;left:0;text-align:left;margin-left:7.55pt;margin-top:-17.05pt;width:435.75pt;height:33.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" filled="f" stroked="f" strokeweight=".5pt">
                <v:textbox>
                  <w:txbxContent>
                    <w:p w14:paraId="22443098" w14:textId="2D19E2D0" w:rsidR="00AC6A11" w:rsidRPr="00650DFF" w:rsidRDefault="00AC6A11" w:rsidP="002406FD">
                      <w:pPr>
                        <w:ind w:left="851" w:hanging="851"/>
                        <w:rPr>
                          <w:sz w:val="20"/>
                        </w:rPr>
                      </w:pPr>
                      <w:r w:rsidRPr="00650DFF">
                        <w:rPr>
                          <w:rFonts w:ascii="Arial" w:hAnsi="Arial" w:cs="Arial"/>
                          <w:b/>
                          <w:bCs/>
                          <w:sz w:val="20"/>
                        </w:rPr>
                        <w:t>Table 4.</w:t>
                      </w:r>
                      <w:r w:rsidRPr="00650DFF">
                        <w:rPr>
                          <w:rFonts w:ascii="Arial" w:hAnsi="Arial" w:cs="Arial"/>
                          <w:bCs/>
                          <w:sz w:val="20"/>
                        </w:rPr>
                        <w:t xml:space="preserve"> Mean, standard deviation, and p-values for psychosocial variables by age and gender.</w:t>
                      </w:r>
                    </w:p>
                  </w:txbxContent>
                </v:textbox>
              </v:shape>
            </w:pict>
          </mc:Fallback>
        </mc:AlternateContent>
      </w:r>
    </w:p>
    <w:p w14:paraId="0F9926AA" w14:textId="3616D958" w:rsidR="00DA3119" w:rsidRDefault="00DA3119" w:rsidP="00F250C4">
      <w:pPr>
        <w:spacing w:before="120" w:after="0" w:line="360" w:lineRule="auto"/>
        <w:ind w:firstLine="567"/>
        <w:jc w:val="both"/>
        <w:rPr>
          <w:rFonts w:ascii="Arial" w:eastAsia="Times New Roman" w:hAnsi="Arial" w:cs="Arial"/>
          <w:color w:val="000000" w:themeColor="text1"/>
          <w:kern w:val="0"/>
          <w:lang w:eastAsia="pt-BR"/>
          <w14:ligatures w14:val="none"/>
        </w:rPr>
      </w:pPr>
    </w:p>
    <w:p w14:paraId="64613FD1" w14:textId="41A8E217" w:rsidR="00644A74" w:rsidRPr="00B45F8A" w:rsidRDefault="00B45F8A" w:rsidP="00F250C4">
      <w:pPr>
        <w:spacing w:before="120" w:after="0" w:line="360" w:lineRule="auto"/>
        <w:jc w:val="both"/>
        <w:rPr>
          <w:rFonts w:ascii="Arial" w:hAnsi="Arial" w:cs="Arial"/>
          <w:b/>
          <w:bCs/>
          <w:color w:val="000000" w:themeColor="text1"/>
          <w:sz w:val="22"/>
          <w:szCs w:val="22"/>
        </w:rPr>
      </w:pPr>
      <w:r w:rsidRPr="00B45F8A">
        <w:rPr>
          <w:rFonts w:ascii="Arial" w:hAnsi="Arial" w:cs="Arial"/>
          <w:b/>
          <w:bCs/>
          <w:color w:val="000000" w:themeColor="text1"/>
          <w:sz w:val="22"/>
          <w:szCs w:val="22"/>
        </w:rPr>
        <w:t>DISCUSSION</w:t>
      </w:r>
    </w:p>
    <w:p w14:paraId="01DA16DC" w14:textId="5030448A" w:rsidR="00644A74" w:rsidRPr="009C5656" w:rsidRDefault="00644A74" w:rsidP="00F250C4">
      <w:pPr>
        <w:spacing w:before="120" w:after="0" w:line="360" w:lineRule="auto"/>
        <w:ind w:firstLine="720"/>
        <w:jc w:val="both"/>
        <w:rPr>
          <w:rFonts w:ascii="Arial" w:hAnsi="Arial" w:cs="Arial"/>
          <w:color w:val="000000" w:themeColor="text1"/>
          <w:sz w:val="20"/>
          <w:szCs w:val="20"/>
        </w:rPr>
      </w:pPr>
      <w:r w:rsidRPr="009C5656">
        <w:rPr>
          <w:rFonts w:ascii="Arial" w:hAnsi="Arial" w:cs="Arial"/>
          <w:color w:val="000000" w:themeColor="text1"/>
          <w:sz w:val="20"/>
          <w:szCs w:val="20"/>
        </w:rPr>
        <w:t xml:space="preserve">This study examined whether adolescents with cleft lip and palate (CLP) scars differ from their peers without CLP scars in psychosocial domains closely related to </w:t>
      </w:r>
      <w:r w:rsidR="00406896" w:rsidRPr="009C5656">
        <w:rPr>
          <w:rFonts w:ascii="Arial" w:hAnsi="Arial" w:cs="Arial"/>
          <w:color w:val="000000" w:themeColor="text1"/>
          <w:sz w:val="20"/>
          <w:szCs w:val="20"/>
        </w:rPr>
        <w:t>QoL</w:t>
      </w:r>
      <w:r w:rsidRPr="009C5656">
        <w:rPr>
          <w:rFonts w:ascii="Arial" w:hAnsi="Arial" w:cs="Arial"/>
          <w:color w:val="000000" w:themeColor="text1"/>
          <w:sz w:val="20"/>
          <w:szCs w:val="20"/>
        </w:rPr>
        <w:t xml:space="preserve">, namely anxiety, depression, and self-esteem. Contrary to common expectations, no statistically significant </w:t>
      </w:r>
      <w:r w:rsidRPr="009C5656">
        <w:rPr>
          <w:rFonts w:ascii="Arial" w:hAnsi="Arial" w:cs="Arial"/>
          <w:color w:val="000000" w:themeColor="text1"/>
          <w:sz w:val="20"/>
          <w:szCs w:val="20"/>
        </w:rPr>
        <w:lastRenderedPageBreak/>
        <w:t>differences were observed between groups across these outcomes, suggesting that the presence of CLP scars alone may not constitute a primary determinant of psychosocial well-being during adolescence.</w:t>
      </w:r>
    </w:p>
    <w:p w14:paraId="26ABB8E9" w14:textId="1C76651C" w:rsidR="00644A74" w:rsidRPr="009C5656" w:rsidRDefault="00644A74" w:rsidP="00F250C4">
      <w:pPr>
        <w:spacing w:before="120" w:after="0" w:line="360" w:lineRule="auto"/>
        <w:ind w:firstLine="720"/>
        <w:jc w:val="both"/>
        <w:rPr>
          <w:rFonts w:ascii="Arial" w:hAnsi="Arial" w:cs="Arial"/>
          <w:color w:val="000000" w:themeColor="text1"/>
          <w:sz w:val="20"/>
          <w:szCs w:val="20"/>
        </w:rPr>
      </w:pPr>
      <w:r w:rsidRPr="009C5656">
        <w:rPr>
          <w:rFonts w:ascii="Arial" w:hAnsi="Arial" w:cs="Arial"/>
          <w:color w:val="000000" w:themeColor="text1"/>
          <w:sz w:val="20"/>
          <w:szCs w:val="20"/>
        </w:rPr>
        <w:t xml:space="preserve">From a quality-of-life perspective, these findings indicate that contextual, social, and supportive factors may outweigh the isolated impact of visible craniofacial differences. Although CLP has traditionally been associated with psychosocial vulnerability, the literature remains inconclusive regarding the extent to which adolescents with CLP differ from their peers in everyday emotional functioning and social participation, particularly during adolescence, a developmental period marked by heightened sensitivity to social evaluation </w:t>
      </w:r>
      <w:r w:rsidRPr="009C5656">
        <w:rPr>
          <w:rFonts w:ascii="Arial" w:hAnsi="Arial" w:cs="Arial"/>
          <w:noProof/>
          <w:color w:val="000000" w:themeColor="text1"/>
          <w:sz w:val="20"/>
          <w:szCs w:val="20"/>
        </w:rPr>
        <w:t>(Guillén et al. 2020).</w:t>
      </w:r>
    </w:p>
    <w:p w14:paraId="24E184F6" w14:textId="18F467D6" w:rsidR="00644A74" w:rsidRPr="009C5656" w:rsidRDefault="00644A74" w:rsidP="00F250C4">
      <w:pPr>
        <w:spacing w:before="120" w:after="0" w:line="360" w:lineRule="auto"/>
        <w:ind w:firstLine="720"/>
        <w:jc w:val="both"/>
        <w:rPr>
          <w:rFonts w:ascii="Arial" w:hAnsi="Arial" w:cs="Arial"/>
          <w:color w:val="000000" w:themeColor="text1"/>
          <w:sz w:val="20"/>
          <w:szCs w:val="20"/>
          <w:highlight w:val="black"/>
        </w:rPr>
      </w:pPr>
      <w:r w:rsidRPr="009C5656">
        <w:rPr>
          <w:rFonts w:ascii="Arial" w:hAnsi="Arial" w:cs="Arial"/>
          <w:color w:val="000000" w:themeColor="text1"/>
          <w:sz w:val="20"/>
          <w:szCs w:val="20"/>
        </w:rPr>
        <w:t>In the present study, the absence of group-level differences may reflect the buffering effects of sustained multidisciplinary care and psychosocial support commonly provided to individuals with CLP. Even when internal psychosocial outcomes appear comparable, external perceptions and social stigma may still influence adolescents’ lived experiences, as suggested by instruments assessing laypersons’ perceptions of cleft lip appearance in the</w:t>
      </w:r>
      <w:r w:rsidR="002406FD" w:rsidRPr="009C5656">
        <w:rPr>
          <w:rFonts w:ascii="Arial" w:hAnsi="Arial" w:cs="Arial"/>
          <w:color w:val="000000" w:themeColor="text1"/>
          <w:sz w:val="20"/>
          <w:szCs w:val="20"/>
        </w:rPr>
        <w:t xml:space="preserve"> </w:t>
      </w:r>
      <w:r w:rsidR="00575B46" w:rsidRPr="009C5656">
        <w:rPr>
          <w:rFonts w:ascii="Arial" w:hAnsi="Arial" w:cs="Arial"/>
          <w:color w:val="000000" w:themeColor="text1"/>
          <w:sz w:val="20"/>
          <w:szCs w:val="20"/>
        </w:rPr>
        <w:t>local sociocultural</w:t>
      </w:r>
      <w:r w:rsidRPr="009C5656">
        <w:rPr>
          <w:rFonts w:ascii="Arial" w:hAnsi="Arial" w:cs="Arial"/>
          <w:color w:val="000000" w:themeColor="text1"/>
          <w:sz w:val="20"/>
          <w:szCs w:val="20"/>
        </w:rPr>
        <w:t xml:space="preserve"> </w:t>
      </w:r>
      <w:proofErr w:type="gramStart"/>
      <w:r w:rsidRPr="009C5656">
        <w:rPr>
          <w:rFonts w:ascii="Arial" w:hAnsi="Arial" w:cs="Arial"/>
          <w:color w:val="000000" w:themeColor="text1"/>
          <w:sz w:val="20"/>
          <w:szCs w:val="20"/>
        </w:rPr>
        <w:t>context</w:t>
      </w:r>
      <w:r w:rsidR="00575B46" w:rsidRPr="009C5656">
        <w:rPr>
          <w:rFonts w:ascii="Arial" w:hAnsi="Arial" w:cs="Arial"/>
          <w:color w:val="000000" w:themeColor="text1"/>
          <w:sz w:val="20"/>
          <w:szCs w:val="20"/>
        </w:rPr>
        <w:t>.</w:t>
      </w:r>
      <w:r w:rsidR="002406FD" w:rsidRPr="009C5656">
        <w:rPr>
          <w:rFonts w:ascii="Arial" w:hAnsi="Arial" w:cs="Arial"/>
          <w:color w:val="000000" w:themeColor="text1"/>
          <w:sz w:val="20"/>
          <w:szCs w:val="20"/>
        </w:rPr>
        <w:t>.</w:t>
      </w:r>
      <w:proofErr w:type="gramEnd"/>
    </w:p>
    <w:p w14:paraId="5CCDD45E" w14:textId="77777777" w:rsidR="00F045AF" w:rsidRPr="009C5656" w:rsidRDefault="00644A74" w:rsidP="00F045AF">
      <w:pPr>
        <w:spacing w:before="120" w:after="0" w:line="360" w:lineRule="auto"/>
        <w:ind w:firstLine="720"/>
        <w:jc w:val="both"/>
        <w:rPr>
          <w:rFonts w:ascii="Arial" w:hAnsi="Arial" w:cs="Arial"/>
          <w:color w:val="000000" w:themeColor="text1"/>
          <w:sz w:val="20"/>
          <w:szCs w:val="20"/>
        </w:rPr>
      </w:pPr>
      <w:r w:rsidRPr="009C5656">
        <w:rPr>
          <w:rFonts w:ascii="Arial" w:hAnsi="Arial" w:cs="Arial"/>
          <w:color w:val="000000" w:themeColor="text1"/>
          <w:sz w:val="20"/>
          <w:szCs w:val="20"/>
        </w:rPr>
        <w:t xml:space="preserve">Importantly, while CLP status was not associated with poorer psychosocial outcomes, gender emerged as a salient determinant of psychosocial well-being. Female adolescents, regardless of CLP status, exhibited higher levels of anxiety and depression and lower self-esteem, highlighting gender-related vulnerability as a key factor shaping </w:t>
      </w:r>
      <w:r w:rsidR="00406896" w:rsidRPr="009C5656">
        <w:rPr>
          <w:rFonts w:ascii="Arial" w:hAnsi="Arial" w:cs="Arial"/>
          <w:color w:val="000000" w:themeColor="text1"/>
          <w:sz w:val="20"/>
          <w:szCs w:val="20"/>
        </w:rPr>
        <w:t xml:space="preserve">QoL </w:t>
      </w:r>
      <w:r w:rsidRPr="009C5656">
        <w:rPr>
          <w:rFonts w:ascii="Arial" w:hAnsi="Arial" w:cs="Arial"/>
          <w:color w:val="000000" w:themeColor="text1"/>
          <w:sz w:val="20"/>
          <w:szCs w:val="20"/>
        </w:rPr>
        <w:t>during adolescence.</w:t>
      </w:r>
    </w:p>
    <w:p w14:paraId="5DDF8B2C" w14:textId="77777777" w:rsidR="00F045AF" w:rsidRPr="009C5656" w:rsidRDefault="00644A74" w:rsidP="00F045AF">
      <w:pPr>
        <w:spacing w:before="120" w:after="0" w:line="360" w:lineRule="auto"/>
        <w:ind w:firstLine="720"/>
        <w:jc w:val="both"/>
        <w:rPr>
          <w:rFonts w:ascii="Arial" w:hAnsi="Arial" w:cs="Arial"/>
          <w:sz w:val="20"/>
          <w:szCs w:val="20"/>
        </w:rPr>
      </w:pPr>
      <w:r w:rsidRPr="009C5656">
        <w:rPr>
          <w:rFonts w:ascii="Arial" w:hAnsi="Arial" w:cs="Arial"/>
          <w:color w:val="000000" w:themeColor="text1"/>
          <w:sz w:val="20"/>
          <w:szCs w:val="20"/>
        </w:rPr>
        <w:t xml:space="preserve">From a quality-of-life perspective, this finding indicates that contextual and supportive factors may outweigh the isolated impact of visible craniofacial differences. Similar results were reported by </w:t>
      </w:r>
      <w:proofErr w:type="spellStart"/>
      <w:r w:rsidRPr="009C5656">
        <w:rPr>
          <w:rFonts w:ascii="Arial" w:hAnsi="Arial" w:cs="Arial"/>
          <w:color w:val="000000" w:themeColor="text1"/>
          <w:sz w:val="20"/>
          <w:szCs w:val="20"/>
        </w:rPr>
        <w:t>Naros</w:t>
      </w:r>
      <w:proofErr w:type="spellEnd"/>
      <w:r w:rsidRPr="009C5656">
        <w:rPr>
          <w:rFonts w:ascii="Arial" w:hAnsi="Arial" w:cs="Arial"/>
          <w:color w:val="000000" w:themeColor="text1"/>
          <w:sz w:val="20"/>
          <w:szCs w:val="20"/>
        </w:rPr>
        <w:t xml:space="preserve"> et al </w:t>
      </w:r>
      <w:r w:rsidRPr="009C5656">
        <w:rPr>
          <w:rFonts w:ascii="Arial" w:hAnsi="Arial" w:cs="Arial"/>
          <w:noProof/>
          <w:color w:val="000000" w:themeColor="text1"/>
          <w:sz w:val="20"/>
          <w:szCs w:val="20"/>
        </w:rPr>
        <w:t>(Naros et al. 2018)</w:t>
      </w:r>
      <w:r w:rsidR="00BE0DCD" w:rsidRPr="009C5656">
        <w:rPr>
          <w:rFonts w:ascii="Arial" w:hAnsi="Arial" w:cs="Arial"/>
          <w:noProof/>
          <w:color w:val="000000" w:themeColor="text1"/>
          <w:sz w:val="20"/>
          <w:szCs w:val="20"/>
        </w:rPr>
        <w:t>,</w:t>
      </w:r>
      <w:r w:rsidRPr="009C5656">
        <w:rPr>
          <w:rFonts w:ascii="Arial" w:hAnsi="Arial" w:cs="Arial"/>
          <w:color w:val="000000" w:themeColor="text1"/>
          <w:sz w:val="20"/>
          <w:szCs w:val="20"/>
        </w:rPr>
        <w:t xml:space="preserve"> who found that children and adolescents with CLP actually reported a better </w:t>
      </w:r>
      <w:r w:rsidR="00406896" w:rsidRPr="009C5656">
        <w:rPr>
          <w:rFonts w:ascii="Arial" w:hAnsi="Arial" w:cs="Arial"/>
          <w:color w:val="000000" w:themeColor="text1"/>
          <w:sz w:val="20"/>
          <w:szCs w:val="20"/>
        </w:rPr>
        <w:t>QoL</w:t>
      </w:r>
      <w:r w:rsidRPr="009C5656">
        <w:rPr>
          <w:rFonts w:ascii="Arial" w:hAnsi="Arial" w:cs="Arial"/>
          <w:color w:val="000000" w:themeColor="text1"/>
          <w:sz w:val="20"/>
          <w:szCs w:val="20"/>
        </w:rPr>
        <w:t xml:space="preserve"> than individuals without CLP. The authors hypothesized that increased parental attention and consistent therapeutic support may have positively influenced self-esteem and social development. Together, these findings underscore the influential role of the family environment and sustained care in shaping adolescents’ psychosocial adjustment and perceived </w:t>
      </w:r>
      <w:proofErr w:type="spellStart"/>
      <w:r w:rsidR="00406896" w:rsidRPr="009C5656">
        <w:rPr>
          <w:rFonts w:ascii="Arial" w:hAnsi="Arial" w:cs="Arial"/>
          <w:color w:val="000000" w:themeColor="text1"/>
          <w:sz w:val="20"/>
          <w:szCs w:val="20"/>
        </w:rPr>
        <w:t>QoL</w:t>
      </w:r>
      <w:r w:rsidRPr="009C5656">
        <w:rPr>
          <w:rFonts w:ascii="Arial" w:hAnsi="Arial" w:cs="Arial"/>
          <w:color w:val="000000" w:themeColor="text1"/>
          <w:sz w:val="20"/>
          <w:szCs w:val="20"/>
        </w:rPr>
        <w:t>.</w:t>
      </w:r>
      <w:r w:rsidRPr="009C5656">
        <w:rPr>
          <w:rFonts w:ascii="Arial" w:hAnsi="Arial" w:cs="Arial"/>
          <w:sz w:val="20"/>
          <w:szCs w:val="20"/>
        </w:rPr>
        <w:t>Together</w:t>
      </w:r>
      <w:proofErr w:type="spellEnd"/>
      <w:r w:rsidRPr="009C5656">
        <w:rPr>
          <w:rFonts w:ascii="Arial" w:hAnsi="Arial" w:cs="Arial"/>
          <w:sz w:val="20"/>
          <w:szCs w:val="20"/>
        </w:rPr>
        <w:t xml:space="preserve">, these findings underscore the influential role of the family environment and sustained care in shaping adolescents’ psychosocial adjustment and perceived </w:t>
      </w:r>
      <w:r w:rsidR="00406896" w:rsidRPr="009C5656">
        <w:rPr>
          <w:rFonts w:ascii="Arial" w:hAnsi="Arial" w:cs="Arial"/>
          <w:sz w:val="20"/>
          <w:szCs w:val="20"/>
        </w:rPr>
        <w:t>QoL</w:t>
      </w:r>
      <w:r w:rsidRPr="009C5656">
        <w:rPr>
          <w:rFonts w:ascii="Arial" w:hAnsi="Arial" w:cs="Arial"/>
          <w:sz w:val="20"/>
          <w:szCs w:val="20"/>
        </w:rPr>
        <w:t>.</w:t>
      </w:r>
    </w:p>
    <w:p w14:paraId="4DE0C6F0" w14:textId="12C9AC31" w:rsidR="00644A74" w:rsidRPr="009C5656" w:rsidRDefault="00644A74" w:rsidP="00F045AF">
      <w:pPr>
        <w:spacing w:before="120" w:after="0" w:line="360" w:lineRule="auto"/>
        <w:ind w:firstLine="720"/>
        <w:jc w:val="both"/>
        <w:rPr>
          <w:rFonts w:ascii="Arial" w:hAnsi="Arial" w:cs="Arial"/>
          <w:color w:val="000000" w:themeColor="text1"/>
          <w:sz w:val="20"/>
          <w:szCs w:val="20"/>
        </w:rPr>
      </w:pPr>
      <w:r w:rsidRPr="009C5656">
        <w:rPr>
          <w:rFonts w:ascii="Arial" w:hAnsi="Arial" w:cs="Arial"/>
          <w:color w:val="000000" w:themeColor="text1"/>
          <w:sz w:val="20"/>
          <w:szCs w:val="20"/>
        </w:rPr>
        <w:t>Similarly, Liu et al</w:t>
      </w:r>
      <w:r w:rsidRPr="009C5656">
        <w:rPr>
          <w:rFonts w:ascii="Arial" w:hAnsi="Arial" w:cs="Arial"/>
          <w:noProof/>
          <w:color w:val="000000" w:themeColor="text1"/>
          <w:sz w:val="20"/>
          <w:szCs w:val="20"/>
        </w:rPr>
        <w:t xml:space="preserve"> (Liu et al. 2015) </w:t>
      </w:r>
      <w:r w:rsidRPr="009C5656">
        <w:rPr>
          <w:rFonts w:ascii="Arial" w:hAnsi="Arial" w:cs="Arial"/>
          <w:color w:val="000000" w:themeColor="text1"/>
          <w:sz w:val="20"/>
          <w:szCs w:val="20"/>
        </w:rPr>
        <w:t>identified a high prevalence of anxiety disorders among adolescents with CLP and emphasized the importance of social support as a protective facto</w:t>
      </w:r>
      <w:r w:rsidR="00575B46" w:rsidRPr="009C5656">
        <w:rPr>
          <w:rFonts w:ascii="Arial" w:hAnsi="Arial" w:cs="Arial"/>
          <w:color w:val="000000" w:themeColor="text1"/>
          <w:sz w:val="20"/>
          <w:szCs w:val="20"/>
        </w:rPr>
        <w:t>r.</w:t>
      </w:r>
      <w:r w:rsidRPr="009C5656">
        <w:rPr>
          <w:rFonts w:ascii="Arial" w:hAnsi="Arial" w:cs="Arial"/>
          <w:color w:val="000000" w:themeColor="text1"/>
          <w:sz w:val="20"/>
          <w:szCs w:val="20"/>
        </w:rPr>
        <w:t xml:space="preserve"> </w:t>
      </w:r>
      <w:r w:rsidR="00575B46" w:rsidRPr="009C5656">
        <w:rPr>
          <w:rFonts w:ascii="Arial" w:hAnsi="Arial" w:cs="Arial"/>
          <w:color w:val="000000" w:themeColor="text1"/>
          <w:sz w:val="20"/>
          <w:szCs w:val="20"/>
        </w:rPr>
        <w:t xml:space="preserve">In the present study, although adolescents with CLP scars exhibited slightly higher rates of anxiety, these differences did not reach statistical significance. </w:t>
      </w:r>
      <w:r w:rsidRPr="009C5656">
        <w:rPr>
          <w:rFonts w:ascii="Arial" w:hAnsi="Arial" w:cs="Arial"/>
          <w:color w:val="000000" w:themeColor="text1"/>
          <w:sz w:val="20"/>
          <w:szCs w:val="20"/>
        </w:rPr>
        <w:t>This finding may reflect the buffering role of continuous multidisciplinary care and psychosocial support, commonly available through public health services, which may help mitigate anxiety symptoms and promote psychosocial well-being in this population.</w:t>
      </w:r>
    </w:p>
    <w:p w14:paraId="433CB80F" w14:textId="60EDED8B" w:rsidR="00644A74" w:rsidRPr="009C5656" w:rsidRDefault="00644A74" w:rsidP="00F250C4">
      <w:pPr>
        <w:spacing w:before="120" w:after="0" w:line="360" w:lineRule="auto"/>
        <w:ind w:firstLine="720"/>
        <w:jc w:val="both"/>
        <w:rPr>
          <w:rFonts w:ascii="Arial" w:hAnsi="Arial" w:cs="Arial"/>
          <w:color w:val="000000" w:themeColor="text1"/>
          <w:sz w:val="20"/>
          <w:szCs w:val="20"/>
        </w:rPr>
      </w:pPr>
      <w:r w:rsidRPr="009C5656">
        <w:rPr>
          <w:rFonts w:ascii="Arial" w:hAnsi="Arial" w:cs="Arial"/>
          <w:color w:val="000000" w:themeColor="text1"/>
          <w:sz w:val="20"/>
          <w:szCs w:val="20"/>
        </w:rPr>
        <w:t>Lin et al.</w:t>
      </w:r>
      <w:r w:rsidRPr="009C5656">
        <w:rPr>
          <w:rFonts w:ascii="Arial" w:hAnsi="Arial" w:cs="Arial"/>
          <w:noProof/>
          <w:color w:val="000000" w:themeColor="text1"/>
          <w:sz w:val="20"/>
          <w:szCs w:val="20"/>
        </w:rPr>
        <w:t xml:space="preserve"> (Lin et al. 2018)</w:t>
      </w:r>
      <w:r w:rsidRPr="009C5656">
        <w:rPr>
          <w:rFonts w:ascii="Arial" w:hAnsi="Arial" w:cs="Arial"/>
          <w:color w:val="000000" w:themeColor="text1"/>
          <w:sz w:val="20"/>
          <w:szCs w:val="20"/>
        </w:rPr>
        <w:t xml:space="preserve"> investigated the association between parental rearing patterns and self-consciousness in adolescents with cleft lip and palate, reporting that positive parenting styles were strongly linked to greater self-confidence, enhanced social adaptability, and healthier </w:t>
      </w:r>
      <w:r w:rsidRPr="009C5656">
        <w:rPr>
          <w:rFonts w:ascii="Arial" w:hAnsi="Arial" w:cs="Arial"/>
          <w:color w:val="000000" w:themeColor="text1"/>
          <w:sz w:val="20"/>
          <w:szCs w:val="20"/>
        </w:rPr>
        <w:lastRenderedPageBreak/>
        <w:t xml:space="preserve">parent-child relationships. Kumar et al. assessed the psychological burden on caregivers and found that nearly 50% of parents of children and adolescents with CLP experienced extremely severe anxiety, and 20% reported severe depressive symptoms </w:t>
      </w:r>
      <w:r w:rsidRPr="009C5656">
        <w:rPr>
          <w:rFonts w:ascii="Arial" w:hAnsi="Arial" w:cs="Arial"/>
          <w:noProof/>
          <w:color w:val="000000" w:themeColor="text1"/>
          <w:sz w:val="20"/>
          <w:szCs w:val="20"/>
        </w:rPr>
        <w:t>(Kumar et al. 2020).</w:t>
      </w:r>
      <w:r w:rsidRPr="009C5656">
        <w:rPr>
          <w:rFonts w:ascii="Arial" w:hAnsi="Arial" w:cs="Arial"/>
          <w:color w:val="000000" w:themeColor="text1"/>
          <w:sz w:val="20"/>
          <w:szCs w:val="20"/>
        </w:rPr>
        <w:t xml:space="preserve"> Together, these findings underscore the influential role of the family environment in shaping adolescents’ psychosocial adjustment and </w:t>
      </w:r>
      <w:r w:rsidR="00406896" w:rsidRPr="009C5656">
        <w:rPr>
          <w:rFonts w:ascii="Arial" w:hAnsi="Arial" w:cs="Arial"/>
          <w:color w:val="000000" w:themeColor="text1"/>
          <w:sz w:val="20"/>
          <w:szCs w:val="20"/>
        </w:rPr>
        <w:t>QoL</w:t>
      </w:r>
      <w:r w:rsidRPr="009C5656">
        <w:rPr>
          <w:rFonts w:ascii="Arial" w:hAnsi="Arial" w:cs="Arial"/>
          <w:color w:val="000000" w:themeColor="text1"/>
          <w:sz w:val="20"/>
          <w:szCs w:val="20"/>
        </w:rPr>
        <w:t>.</w:t>
      </w:r>
      <w:r w:rsidRPr="009C5656">
        <w:rPr>
          <w:rFonts w:ascii="Arial" w:hAnsi="Arial" w:cs="Arial"/>
          <w:sz w:val="20"/>
          <w:szCs w:val="20"/>
        </w:rPr>
        <w:t xml:space="preserve"> </w:t>
      </w:r>
      <w:r w:rsidRPr="009C5656">
        <w:rPr>
          <w:rFonts w:ascii="Arial" w:hAnsi="Arial" w:cs="Arial"/>
          <w:color w:val="000000" w:themeColor="text1"/>
          <w:sz w:val="20"/>
          <w:szCs w:val="20"/>
        </w:rPr>
        <w:t>However, the present study relied exclusively on adolescents’ self-reported measures, thereby limiting the assessment of family-level factors that may contribute to emotional well-being and psychosocial resilience.</w:t>
      </w:r>
    </w:p>
    <w:p w14:paraId="0B6DED3F" w14:textId="0B9EA3AB" w:rsidR="00644A74" w:rsidRPr="009C5656" w:rsidRDefault="00644A74" w:rsidP="00F250C4">
      <w:pPr>
        <w:spacing w:before="120" w:after="0" w:line="360" w:lineRule="auto"/>
        <w:ind w:firstLine="720"/>
        <w:jc w:val="both"/>
        <w:rPr>
          <w:rFonts w:ascii="Arial" w:hAnsi="Arial" w:cs="Arial"/>
          <w:color w:val="000000" w:themeColor="text1"/>
          <w:sz w:val="20"/>
          <w:szCs w:val="20"/>
        </w:rPr>
      </w:pPr>
      <w:r w:rsidRPr="009C5656">
        <w:rPr>
          <w:rFonts w:ascii="Arial" w:hAnsi="Arial" w:cs="Arial"/>
          <w:color w:val="000000" w:themeColor="text1"/>
          <w:sz w:val="20"/>
          <w:szCs w:val="20"/>
        </w:rPr>
        <w:t xml:space="preserve">Regarding the prevalence of depressive symptoms in children and adolescents with CLP scars, one multicenter study identified signs of depression across different geographic regions. However, no statistically significant differences were observed when compared with control </w:t>
      </w:r>
      <w:proofErr w:type="gramStart"/>
      <w:r w:rsidRPr="009C5656">
        <w:rPr>
          <w:rFonts w:ascii="Arial" w:hAnsi="Arial" w:cs="Arial"/>
          <w:color w:val="000000" w:themeColor="text1"/>
          <w:sz w:val="20"/>
          <w:szCs w:val="20"/>
        </w:rPr>
        <w:t>groups,,</w:t>
      </w:r>
      <w:proofErr w:type="gramEnd"/>
      <w:r w:rsidRPr="009C5656">
        <w:rPr>
          <w:rFonts w:ascii="Arial" w:hAnsi="Arial" w:cs="Arial"/>
          <w:color w:val="000000" w:themeColor="text1"/>
          <w:sz w:val="20"/>
          <w:szCs w:val="20"/>
        </w:rPr>
        <w:t xml:space="preserve"> which is consistent with the results observed in the present study</w:t>
      </w:r>
      <w:r w:rsidR="00BE0DCD" w:rsidRPr="009C5656">
        <w:rPr>
          <w:rFonts w:ascii="Arial" w:hAnsi="Arial" w:cs="Arial"/>
          <w:color w:val="000000" w:themeColor="text1"/>
          <w:sz w:val="20"/>
          <w:szCs w:val="20"/>
        </w:rPr>
        <w:t xml:space="preserve"> </w:t>
      </w:r>
      <w:r w:rsidRPr="009C5656">
        <w:rPr>
          <w:rFonts w:ascii="Arial" w:hAnsi="Arial" w:cs="Arial"/>
          <w:noProof/>
          <w:color w:val="000000" w:themeColor="text1"/>
          <w:sz w:val="20"/>
          <w:szCs w:val="20"/>
        </w:rPr>
        <w:t>(Lima et al. 2015)</w:t>
      </w:r>
      <w:r w:rsidR="00BE0DCD" w:rsidRPr="009C5656">
        <w:rPr>
          <w:rFonts w:ascii="Arial" w:hAnsi="Arial" w:cs="Arial"/>
          <w:noProof/>
          <w:color w:val="000000" w:themeColor="text1"/>
          <w:sz w:val="20"/>
          <w:szCs w:val="20"/>
        </w:rPr>
        <w:t>.</w:t>
      </w:r>
      <w:r w:rsidRPr="009C5656">
        <w:rPr>
          <w:rFonts w:ascii="Arial" w:hAnsi="Arial" w:cs="Arial"/>
          <w:color w:val="000000" w:themeColor="text1"/>
          <w:sz w:val="20"/>
          <w:szCs w:val="20"/>
        </w:rPr>
        <w:t xml:space="preserve"> In contrast, </w:t>
      </w:r>
      <w:proofErr w:type="spellStart"/>
      <w:r w:rsidRPr="009C5656">
        <w:rPr>
          <w:rFonts w:ascii="Arial" w:hAnsi="Arial" w:cs="Arial"/>
          <w:color w:val="000000" w:themeColor="text1"/>
          <w:sz w:val="20"/>
          <w:szCs w:val="20"/>
        </w:rPr>
        <w:t>Hi’ilani</w:t>
      </w:r>
      <w:proofErr w:type="spellEnd"/>
      <w:r w:rsidRPr="009C5656">
        <w:rPr>
          <w:rFonts w:ascii="Arial" w:hAnsi="Arial" w:cs="Arial"/>
          <w:color w:val="000000" w:themeColor="text1"/>
          <w:sz w:val="20"/>
          <w:szCs w:val="20"/>
        </w:rPr>
        <w:t xml:space="preserve"> et al. reported that undergoing a higher number of corrective surgeries between the ages of 8 and 10 was associated with increased risks of long-term anxiety and depression </w:t>
      </w:r>
      <w:r w:rsidRPr="009C5656">
        <w:rPr>
          <w:rFonts w:ascii="Arial" w:hAnsi="Arial" w:cs="Arial"/>
          <w:noProof/>
          <w:color w:val="000000" w:themeColor="text1"/>
          <w:sz w:val="20"/>
          <w:szCs w:val="20"/>
        </w:rPr>
        <w:t>(Hi’ilani et al. 2020).</w:t>
      </w:r>
      <w:r w:rsidRPr="009C5656">
        <w:rPr>
          <w:rFonts w:ascii="Arial" w:hAnsi="Arial" w:cs="Arial"/>
          <w:color w:val="000000" w:themeColor="text1"/>
          <w:sz w:val="20"/>
          <w:szCs w:val="20"/>
        </w:rPr>
        <w:t xml:space="preserve"> These findings suggest that treatment-related burden during sensitive developmental periods, rather than CLP status alone, may influence later psychosocial outcomes and </w:t>
      </w:r>
      <w:r w:rsidR="00406896" w:rsidRPr="009C5656">
        <w:rPr>
          <w:rFonts w:ascii="Arial" w:hAnsi="Arial" w:cs="Arial"/>
          <w:color w:val="000000" w:themeColor="text1"/>
          <w:sz w:val="20"/>
          <w:szCs w:val="20"/>
        </w:rPr>
        <w:t>QoL</w:t>
      </w:r>
      <w:r w:rsidRPr="009C5656">
        <w:rPr>
          <w:rFonts w:ascii="Arial" w:hAnsi="Arial" w:cs="Arial"/>
          <w:color w:val="000000" w:themeColor="text1"/>
          <w:sz w:val="20"/>
          <w:szCs w:val="20"/>
        </w:rPr>
        <w:t>.</w:t>
      </w:r>
    </w:p>
    <w:p w14:paraId="13333C8B" w14:textId="1B53D0D3" w:rsidR="00644A74" w:rsidRPr="009C5656" w:rsidRDefault="00644A74" w:rsidP="00F250C4">
      <w:pPr>
        <w:spacing w:before="120" w:after="0" w:line="360" w:lineRule="auto"/>
        <w:ind w:firstLine="720"/>
        <w:jc w:val="both"/>
        <w:rPr>
          <w:rFonts w:ascii="Arial" w:hAnsi="Arial" w:cs="Arial"/>
          <w:sz w:val="20"/>
          <w:szCs w:val="20"/>
        </w:rPr>
      </w:pPr>
      <w:r w:rsidRPr="009C5656">
        <w:rPr>
          <w:rFonts w:ascii="Arial" w:hAnsi="Arial" w:cs="Arial"/>
          <w:color w:val="000000" w:themeColor="text1"/>
          <w:sz w:val="20"/>
          <w:szCs w:val="20"/>
        </w:rPr>
        <w:t xml:space="preserve">In addition to mood disorders, CLP has been associated with an elevated risk of psychiatric comorbidities, including autism spectrum disorder (ASD), attention deficit hyperactivity disorder (ADHD), schizophrenia, and bipolar disorder </w:t>
      </w:r>
      <w:r w:rsidRPr="009C5656">
        <w:rPr>
          <w:rFonts w:ascii="Arial" w:hAnsi="Arial" w:cs="Arial"/>
          <w:noProof/>
          <w:color w:val="000000" w:themeColor="text1"/>
          <w:sz w:val="20"/>
          <w:szCs w:val="20"/>
        </w:rPr>
        <w:t>(Huang et al. 2024).</w:t>
      </w:r>
      <w:r w:rsidRPr="009C5656">
        <w:rPr>
          <w:rFonts w:ascii="Arial" w:hAnsi="Arial" w:cs="Arial"/>
          <w:color w:val="000000" w:themeColor="text1"/>
          <w:sz w:val="20"/>
          <w:szCs w:val="20"/>
        </w:rPr>
        <w:t xml:space="preserve"> Such associations reinforce the importance of continuous psychological monitoring and interdisciplinary, quality-of-life–oriented care, particularly to facilitate early identification of psychosocial vulnerability and timely intervention. Social adjustment difficulties are also frequently reported among individuals with CLP and have been linked to experiences of bullying, impaired communication, and diminished self-esteem </w:t>
      </w:r>
      <w:r w:rsidRPr="009C5656">
        <w:rPr>
          <w:rFonts w:ascii="Arial" w:hAnsi="Arial" w:cs="Arial"/>
          <w:noProof/>
          <w:color w:val="000000" w:themeColor="text1"/>
          <w:sz w:val="20"/>
          <w:szCs w:val="20"/>
        </w:rPr>
        <w:t>(Khargekar et al. 2016, Bjerke et al. 2018).</w:t>
      </w:r>
      <w:r w:rsidRPr="009C5656">
        <w:rPr>
          <w:rFonts w:ascii="Arial" w:hAnsi="Arial" w:cs="Arial"/>
          <w:color w:val="000000" w:themeColor="text1"/>
          <w:sz w:val="20"/>
          <w:szCs w:val="20"/>
        </w:rPr>
        <w:t xml:space="preserve"> While most psychological domains appear comparable between individuals with and without cleft lip and palate, differences have been reported for anxiety and depression </w:t>
      </w:r>
      <w:r w:rsidRPr="009C5656">
        <w:rPr>
          <w:rFonts w:ascii="Arial" w:hAnsi="Arial" w:cs="Arial"/>
          <w:noProof/>
          <w:color w:val="000000" w:themeColor="text1"/>
          <w:sz w:val="20"/>
          <w:szCs w:val="20"/>
        </w:rPr>
        <w:t>(Branson et al. 2024).</w:t>
      </w:r>
      <w:r w:rsidRPr="009C5656">
        <w:rPr>
          <w:rFonts w:ascii="Arial" w:hAnsi="Arial" w:cs="Arial"/>
          <w:color w:val="000000" w:themeColor="text1"/>
          <w:sz w:val="20"/>
          <w:szCs w:val="20"/>
        </w:rPr>
        <w:t xml:space="preserve"> Evidence regarding bullying remains inconclusive, with some studies indicating increased exposure among adolescents with CLP</w:t>
      </w:r>
      <w:r w:rsidR="002406FD" w:rsidRPr="009C5656">
        <w:rPr>
          <w:rFonts w:ascii="Arial" w:hAnsi="Arial" w:cs="Arial"/>
          <w:color w:val="000000" w:themeColor="text1"/>
          <w:sz w:val="20"/>
          <w:szCs w:val="20"/>
        </w:rPr>
        <w:t xml:space="preserve"> </w:t>
      </w:r>
      <w:r w:rsidRPr="009C5656">
        <w:rPr>
          <w:rFonts w:ascii="Arial" w:hAnsi="Arial" w:cs="Arial"/>
          <w:noProof/>
          <w:color w:val="000000" w:themeColor="text1"/>
          <w:sz w:val="20"/>
          <w:szCs w:val="20"/>
        </w:rPr>
        <w:t>(Lorot-Marchand et al. 2015)</w:t>
      </w:r>
      <w:r w:rsidR="002406FD" w:rsidRPr="009C5656">
        <w:rPr>
          <w:rFonts w:ascii="Arial" w:hAnsi="Arial" w:cs="Arial"/>
          <w:noProof/>
          <w:color w:val="000000" w:themeColor="text1"/>
          <w:sz w:val="20"/>
          <w:szCs w:val="20"/>
        </w:rPr>
        <w:t>,</w:t>
      </w:r>
      <w:r w:rsidRPr="009C5656">
        <w:rPr>
          <w:rFonts w:ascii="Arial" w:hAnsi="Arial" w:cs="Arial"/>
          <w:color w:val="000000" w:themeColor="text1"/>
          <w:sz w:val="20"/>
          <w:szCs w:val="20"/>
        </w:rPr>
        <w:t xml:space="preserve"> while others report no significant differences compared with their peers </w:t>
      </w:r>
      <w:r w:rsidRPr="009C5656">
        <w:rPr>
          <w:rFonts w:ascii="Arial" w:hAnsi="Arial" w:cs="Arial"/>
          <w:noProof/>
          <w:color w:val="000000" w:themeColor="text1"/>
          <w:sz w:val="20"/>
          <w:szCs w:val="20"/>
        </w:rPr>
        <w:t>(Carroll and 2005).</w:t>
      </w:r>
      <w:r w:rsidRPr="009C5656">
        <w:rPr>
          <w:rFonts w:ascii="Arial" w:hAnsi="Arial" w:cs="Arial"/>
          <w:color w:val="000000" w:themeColor="text1"/>
          <w:sz w:val="20"/>
          <w:szCs w:val="20"/>
        </w:rPr>
        <w:t xml:space="preserve"> </w:t>
      </w:r>
      <w:proofErr w:type="spellStart"/>
      <w:r w:rsidRPr="009C5656">
        <w:rPr>
          <w:rFonts w:ascii="Arial" w:hAnsi="Arial" w:cs="Arial"/>
          <w:sz w:val="20"/>
          <w:szCs w:val="20"/>
        </w:rPr>
        <w:t>hese</w:t>
      </w:r>
      <w:proofErr w:type="spellEnd"/>
      <w:r w:rsidRPr="009C5656">
        <w:rPr>
          <w:rFonts w:ascii="Arial" w:hAnsi="Arial" w:cs="Arial"/>
          <w:sz w:val="20"/>
          <w:szCs w:val="20"/>
        </w:rPr>
        <w:t xml:space="preserve"> divergent findings underscore the complex and context-dependent nature of social experiences and their influence on adolescent psychosocial well-being.</w:t>
      </w:r>
    </w:p>
    <w:p w14:paraId="2FA64BE2" w14:textId="77777777" w:rsidR="00644A74" w:rsidRPr="009C5656" w:rsidRDefault="00644A74" w:rsidP="00F250C4">
      <w:pPr>
        <w:spacing w:before="120" w:after="0" w:line="360" w:lineRule="auto"/>
        <w:ind w:firstLine="720"/>
        <w:jc w:val="both"/>
        <w:rPr>
          <w:rFonts w:ascii="Arial" w:hAnsi="Arial" w:cs="Arial"/>
          <w:color w:val="000000" w:themeColor="text1"/>
          <w:sz w:val="20"/>
          <w:szCs w:val="20"/>
        </w:rPr>
      </w:pPr>
      <w:r w:rsidRPr="009C5656">
        <w:rPr>
          <w:rFonts w:ascii="Arial" w:hAnsi="Arial" w:cs="Arial"/>
          <w:color w:val="000000" w:themeColor="text1"/>
          <w:sz w:val="20"/>
          <w:szCs w:val="20"/>
        </w:rPr>
        <w:t>In the current study, no statistically significant differences were observed between adolescents with and without CLP scars in relation to anxiety, depression, or self-esteem. However, female participants, regardless of group, exhibited significantly higher levels of emotional vulnerability, suggesting the need for targeted gender-sensitive strategies in psychosocial support.</w:t>
      </w:r>
    </w:p>
    <w:p w14:paraId="19B9D719" w14:textId="77777777" w:rsidR="00644A74" w:rsidRPr="009C5656" w:rsidRDefault="00644A74" w:rsidP="00F250C4">
      <w:pPr>
        <w:spacing w:before="120" w:after="0" w:line="360" w:lineRule="auto"/>
        <w:ind w:firstLine="720"/>
        <w:jc w:val="both"/>
        <w:rPr>
          <w:rFonts w:ascii="Arial" w:hAnsi="Arial" w:cs="Arial"/>
          <w:color w:val="000000" w:themeColor="text1"/>
          <w:sz w:val="20"/>
          <w:szCs w:val="20"/>
        </w:rPr>
      </w:pPr>
      <w:r w:rsidRPr="009C5656">
        <w:rPr>
          <w:rFonts w:ascii="Arial" w:hAnsi="Arial" w:cs="Arial"/>
          <w:color w:val="000000" w:themeColor="text1"/>
          <w:sz w:val="20"/>
          <w:szCs w:val="20"/>
        </w:rPr>
        <w:t xml:space="preserve">Some limitations must be acknowledged. First, all participants in the experimental group were recruited from a single regional referral center, which may limit the geographic and cultural diversity of the sample. Second, the subgroup analyses by age and gender, although informative, </w:t>
      </w:r>
      <w:r w:rsidRPr="009C5656">
        <w:rPr>
          <w:rFonts w:ascii="Arial" w:hAnsi="Arial" w:cs="Arial"/>
          <w:color w:val="000000" w:themeColor="text1"/>
          <w:sz w:val="20"/>
          <w:szCs w:val="20"/>
        </w:rPr>
        <w:lastRenderedPageBreak/>
        <w:t>were based on exploratory stratifications and involved relatively small sample sizes, which may have influenced statistical power. Consequently,</w:t>
      </w:r>
      <w:r w:rsidRPr="009C5656">
        <w:rPr>
          <w:rFonts w:ascii="Arial" w:hAnsi="Arial" w:cs="Arial"/>
          <w:sz w:val="20"/>
          <w:szCs w:val="20"/>
        </w:rPr>
        <w:t xml:space="preserve"> </w:t>
      </w:r>
      <w:r w:rsidRPr="009C5656">
        <w:rPr>
          <w:rFonts w:ascii="Arial" w:hAnsi="Arial" w:cs="Arial"/>
          <w:color w:val="000000" w:themeColor="text1"/>
          <w:sz w:val="20"/>
          <w:szCs w:val="20"/>
        </w:rPr>
        <w:t>the findings should be interpreted with appropriate caution, particularly when considering subgroup-specific conclusions.</w:t>
      </w:r>
    </w:p>
    <w:p w14:paraId="097DA431" w14:textId="77777777" w:rsidR="00644A74" w:rsidRPr="009C5656" w:rsidRDefault="00644A74" w:rsidP="00F250C4">
      <w:pPr>
        <w:spacing w:before="120" w:after="0" w:line="360" w:lineRule="auto"/>
        <w:ind w:firstLine="720"/>
        <w:jc w:val="both"/>
        <w:rPr>
          <w:rFonts w:ascii="Arial" w:hAnsi="Arial" w:cs="Arial"/>
          <w:color w:val="000000" w:themeColor="text1"/>
          <w:sz w:val="20"/>
          <w:szCs w:val="20"/>
        </w:rPr>
      </w:pPr>
      <w:r w:rsidRPr="009C5656">
        <w:rPr>
          <w:rFonts w:ascii="Arial" w:hAnsi="Arial" w:cs="Arial"/>
          <w:color w:val="000000" w:themeColor="text1"/>
          <w:sz w:val="20"/>
          <w:szCs w:val="20"/>
        </w:rPr>
        <w:t>Future studies should include larger and more diverse samples to improve generalizability. Incorporating caregiver assessments may further clarify the role of family dynamics and support systems in adolescent mental health, informing the development of evidence-based, family-centered interventions to promote emotional resilience and social adaptation in adolescents with CLP.</w:t>
      </w:r>
    </w:p>
    <w:p w14:paraId="34109191" w14:textId="77777777" w:rsidR="00644A74" w:rsidRPr="0098379D" w:rsidRDefault="00644A74" w:rsidP="00F250C4">
      <w:pPr>
        <w:spacing w:before="120" w:after="0" w:line="360" w:lineRule="auto"/>
        <w:jc w:val="both"/>
        <w:rPr>
          <w:rFonts w:ascii="Arial" w:hAnsi="Arial" w:cs="Arial"/>
          <w:color w:val="000000" w:themeColor="text1"/>
        </w:rPr>
      </w:pPr>
    </w:p>
    <w:p w14:paraId="7AAD3021" w14:textId="1ECE525B" w:rsidR="00644A74" w:rsidRPr="009C5656" w:rsidRDefault="009C5656" w:rsidP="00F250C4">
      <w:pPr>
        <w:spacing w:before="120" w:after="0" w:line="360" w:lineRule="auto"/>
        <w:jc w:val="both"/>
        <w:rPr>
          <w:rFonts w:ascii="Arial" w:hAnsi="Arial" w:cs="Arial"/>
          <w:b/>
          <w:bCs/>
          <w:color w:val="000000" w:themeColor="text1"/>
          <w:sz w:val="22"/>
          <w:szCs w:val="22"/>
        </w:rPr>
      </w:pPr>
      <w:r w:rsidRPr="009C5656">
        <w:rPr>
          <w:rFonts w:ascii="Arial" w:hAnsi="Arial" w:cs="Arial"/>
          <w:b/>
          <w:bCs/>
          <w:color w:val="000000" w:themeColor="text1"/>
          <w:sz w:val="22"/>
          <w:szCs w:val="22"/>
        </w:rPr>
        <w:t>CONCLUSION</w:t>
      </w:r>
    </w:p>
    <w:p w14:paraId="611C54A0" w14:textId="77777777" w:rsidR="00644A74" w:rsidRDefault="00644A74" w:rsidP="00F250C4">
      <w:pPr>
        <w:spacing w:before="120" w:after="0" w:line="360" w:lineRule="auto"/>
        <w:ind w:firstLine="720"/>
        <w:jc w:val="both"/>
        <w:rPr>
          <w:rFonts w:ascii="Arial" w:hAnsi="Arial" w:cs="Arial"/>
          <w:color w:val="000000" w:themeColor="text1"/>
        </w:rPr>
      </w:pPr>
      <w:r w:rsidRPr="009C5656">
        <w:rPr>
          <w:rFonts w:ascii="Arial" w:hAnsi="Arial" w:cs="Arial"/>
          <w:color w:val="000000" w:themeColor="text1"/>
          <w:sz w:val="20"/>
          <w:szCs w:val="20"/>
        </w:rPr>
        <w:t xml:space="preserve">Adolescents with cleft lip and palate scars exhibited psychosocial profiles comparable to those of their peers without CLP scars with respect to anxiety, depression, and self-esteem. These findings indicate that the presence of CLP scars alone does not constitute a primary determinant of psychosocial well-being during adolescence. In contrast, female adolescents demonstrated </w:t>
      </w:r>
      <w:r w:rsidRPr="00650DFF">
        <w:rPr>
          <w:rFonts w:ascii="Arial" w:hAnsi="Arial" w:cs="Arial"/>
          <w:color w:val="000000" w:themeColor="text1"/>
          <w:sz w:val="20"/>
          <w:szCs w:val="20"/>
        </w:rPr>
        <w:t>significantly higher levels of anxiety and depressive symptoms and lower self-esteem, irrespective of CLP status, highlighting gender as a key determinant of psychosocial vulnerability.</w:t>
      </w:r>
    </w:p>
    <w:p w14:paraId="6EB3C3D2" w14:textId="77777777" w:rsidR="006B4450" w:rsidRDefault="006B4450" w:rsidP="00F250C4">
      <w:pPr>
        <w:spacing w:before="120" w:after="0" w:line="360" w:lineRule="auto"/>
        <w:ind w:firstLine="720"/>
        <w:jc w:val="both"/>
        <w:rPr>
          <w:rFonts w:ascii="Arial" w:hAnsi="Arial" w:cs="Arial"/>
          <w:color w:val="000000" w:themeColor="text1"/>
        </w:rPr>
      </w:pPr>
    </w:p>
    <w:p w14:paraId="6B20A773" w14:textId="37EA2B00" w:rsidR="009C5656" w:rsidRDefault="00601D9B" w:rsidP="00601D9B">
      <w:pPr>
        <w:pStyle w:val="ReferHead"/>
        <w:spacing w:after="0"/>
        <w:jc w:val="both"/>
        <w:rPr>
          <w:rFonts w:ascii="Arial" w:hAnsi="Arial" w:cs="Arial"/>
          <w:color w:val="000000" w:themeColor="text1"/>
        </w:rPr>
      </w:pPr>
      <w:bookmarkStart w:id="0" w:name="_GoBack"/>
      <w:bookmarkEnd w:id="0"/>
      <w:r w:rsidRPr="00601D9B">
        <w:rPr>
          <w:rFonts w:ascii="Arial" w:hAnsi="Arial" w:cs="Arial"/>
          <w:b w:val="0"/>
          <w:caps w:val="0"/>
        </w:rPr>
        <w:br/>
      </w:r>
    </w:p>
    <w:p w14:paraId="16E77B09" w14:textId="44FBE51A" w:rsidR="00644A74" w:rsidRPr="009C5656" w:rsidRDefault="009C5656" w:rsidP="00F250C4">
      <w:pPr>
        <w:spacing w:line="360" w:lineRule="auto"/>
        <w:jc w:val="both"/>
        <w:rPr>
          <w:rFonts w:ascii="Arial" w:hAnsi="Arial" w:cs="Arial"/>
          <w:b/>
          <w:bCs/>
          <w:sz w:val="22"/>
          <w:szCs w:val="22"/>
        </w:rPr>
      </w:pPr>
      <w:r w:rsidRPr="009C5656">
        <w:rPr>
          <w:rFonts w:ascii="Arial" w:hAnsi="Arial" w:cs="Arial"/>
          <w:b/>
          <w:bCs/>
          <w:sz w:val="22"/>
          <w:szCs w:val="22"/>
        </w:rPr>
        <w:t>REFERENCES</w:t>
      </w:r>
    </w:p>
    <w:p w14:paraId="7AC13483" w14:textId="77777777" w:rsidR="00342487" w:rsidRDefault="00342487" w:rsidP="00342487">
      <w:pPr>
        <w:jc w:val="both"/>
        <w:rPr>
          <w:rFonts w:ascii="Arial" w:eastAsia="Times New Roman" w:hAnsi="Arial" w:cs="Arial"/>
          <w:sz w:val="18"/>
          <w:szCs w:val="18"/>
        </w:rPr>
      </w:pPr>
      <w:r>
        <w:rPr>
          <w:rFonts w:ascii="Arial" w:eastAsia="Times New Roman" w:hAnsi="Arial" w:cs="Arial"/>
          <w:sz w:val="18"/>
          <w:szCs w:val="18"/>
        </w:rPr>
        <w:t xml:space="preserve">Bjerke, S. M., </w:t>
      </w:r>
      <w:proofErr w:type="spellStart"/>
      <w:r>
        <w:rPr>
          <w:rFonts w:ascii="Arial" w:eastAsia="Times New Roman" w:hAnsi="Arial" w:cs="Arial"/>
          <w:sz w:val="18"/>
          <w:szCs w:val="18"/>
        </w:rPr>
        <w:t>Feragen</w:t>
      </w:r>
      <w:proofErr w:type="spellEnd"/>
      <w:r>
        <w:rPr>
          <w:rFonts w:ascii="Arial" w:eastAsia="Times New Roman" w:hAnsi="Arial" w:cs="Arial"/>
          <w:sz w:val="18"/>
          <w:szCs w:val="18"/>
        </w:rPr>
        <w:t xml:space="preserve">, K. B., &amp; </w:t>
      </w:r>
      <w:proofErr w:type="spellStart"/>
      <w:r>
        <w:rPr>
          <w:rFonts w:ascii="Arial" w:eastAsia="Times New Roman" w:hAnsi="Arial" w:cs="Arial"/>
          <w:sz w:val="18"/>
          <w:szCs w:val="18"/>
        </w:rPr>
        <w:t>Bergvik</w:t>
      </w:r>
      <w:proofErr w:type="spellEnd"/>
      <w:r>
        <w:rPr>
          <w:rFonts w:ascii="Arial" w:eastAsia="Times New Roman" w:hAnsi="Arial" w:cs="Arial"/>
          <w:sz w:val="18"/>
          <w:szCs w:val="18"/>
        </w:rPr>
        <w:t>, S. (2018). Strengths and difficulties questionnaire (SDQ): Informant agreement between children born with cleft lip and/or palate and their parents. The Cleft Palate–Craniofacial Journal, 55(2), 204–212. https://doi.org/10.1177/1055665617730365</w:t>
      </w:r>
    </w:p>
    <w:p w14:paraId="77DFA519" w14:textId="77777777" w:rsidR="00342487" w:rsidRDefault="00342487" w:rsidP="00342487">
      <w:pPr>
        <w:jc w:val="both"/>
        <w:rPr>
          <w:rFonts w:ascii="Arial" w:eastAsia="Times New Roman" w:hAnsi="Arial" w:cs="Arial"/>
          <w:sz w:val="18"/>
          <w:szCs w:val="18"/>
        </w:rPr>
      </w:pPr>
      <w:r>
        <w:rPr>
          <w:rFonts w:ascii="Arial" w:eastAsia="Times New Roman" w:hAnsi="Arial" w:cs="Arial"/>
          <w:sz w:val="18"/>
          <w:szCs w:val="18"/>
        </w:rPr>
        <w:t xml:space="preserve">Branson, E. K., Branson, V. M., McGrath, R., </w:t>
      </w:r>
      <w:proofErr w:type="spellStart"/>
      <w:r>
        <w:rPr>
          <w:rFonts w:ascii="Arial" w:eastAsia="Times New Roman" w:hAnsi="Arial" w:cs="Arial"/>
          <w:sz w:val="18"/>
          <w:szCs w:val="18"/>
        </w:rPr>
        <w:t>Rausa</w:t>
      </w:r>
      <w:proofErr w:type="spellEnd"/>
      <w:r>
        <w:rPr>
          <w:rFonts w:ascii="Arial" w:eastAsia="Times New Roman" w:hAnsi="Arial" w:cs="Arial"/>
          <w:sz w:val="18"/>
          <w:szCs w:val="18"/>
        </w:rPr>
        <w:t>, V. C., Kilpatrick, N., &amp; Crowe, L. M. (2024). Psychological and peer difficulties of children with cleft lip and/or palate: A systematic review and meta-analysis. The Cleft Palate–Craniofacial Journal, 61(2), 258–270. https://doi.org/10.1177/10556656221125377</w:t>
      </w:r>
    </w:p>
    <w:p w14:paraId="137C2AE7" w14:textId="77777777" w:rsidR="00342487" w:rsidRDefault="00342487" w:rsidP="00342487">
      <w:pPr>
        <w:jc w:val="both"/>
        <w:rPr>
          <w:rFonts w:ascii="Arial" w:eastAsia="Times New Roman" w:hAnsi="Arial" w:cs="Arial"/>
          <w:sz w:val="18"/>
          <w:szCs w:val="18"/>
        </w:rPr>
      </w:pPr>
      <w:r>
        <w:rPr>
          <w:rFonts w:ascii="Arial" w:eastAsia="Times New Roman" w:hAnsi="Arial" w:cs="Arial"/>
          <w:sz w:val="18"/>
          <w:szCs w:val="18"/>
        </w:rPr>
        <w:t>Carroll, P., &amp; Shute, R. (2005). School peer victimization of young people with craniofacial conditions: A comparative study. Psychology, Health &amp; Medicine. https://doi.org/10.1080/13548500500093753</w:t>
      </w:r>
    </w:p>
    <w:p w14:paraId="2E618D17" w14:textId="77777777" w:rsidR="00342487" w:rsidRPr="00A30A0B" w:rsidRDefault="00342487" w:rsidP="00342487">
      <w:pPr>
        <w:jc w:val="both"/>
        <w:rPr>
          <w:rFonts w:ascii="Arial" w:eastAsia="Times New Roman" w:hAnsi="Arial" w:cs="Arial"/>
          <w:sz w:val="18"/>
          <w:szCs w:val="18"/>
          <w:lang w:val="pt-BR"/>
        </w:rPr>
      </w:pPr>
      <w:r w:rsidRPr="00A30A0B">
        <w:rPr>
          <w:rFonts w:ascii="Arial" w:eastAsia="Times New Roman" w:hAnsi="Arial" w:cs="Arial"/>
          <w:sz w:val="18"/>
          <w:szCs w:val="18"/>
          <w:lang w:val="pt-BR"/>
        </w:rPr>
        <w:t xml:space="preserve">Cunha, G. F. M., Manso, M. M. F. G., Villela, M. J. C. S., Bom, G. C., Mondini, C. C. S. D., &amp; Trettene, A. S. (2021). </w:t>
      </w:r>
      <w:r>
        <w:rPr>
          <w:rFonts w:ascii="Arial" w:eastAsia="Times New Roman" w:hAnsi="Arial" w:cs="Arial"/>
          <w:sz w:val="18"/>
          <w:szCs w:val="18"/>
        </w:rPr>
        <w:t xml:space="preserve">Religiosity, spirituality, and self-esteem in adolescents with cleft lip and palate: A correlational study. </w:t>
      </w:r>
      <w:r w:rsidRPr="00A30A0B">
        <w:rPr>
          <w:rFonts w:ascii="Arial" w:eastAsia="Times New Roman" w:hAnsi="Arial" w:cs="Arial"/>
          <w:sz w:val="18"/>
          <w:szCs w:val="18"/>
          <w:lang w:val="pt-BR"/>
        </w:rPr>
        <w:t>Revista da Escola de Enfermagem da USP, 55, e03782. https://doi.org/10.1590/S1980-220X2020030503782</w:t>
      </w:r>
    </w:p>
    <w:p w14:paraId="3D07C2D8" w14:textId="77777777" w:rsidR="00342487" w:rsidRDefault="00342487" w:rsidP="00342487">
      <w:pPr>
        <w:jc w:val="both"/>
        <w:rPr>
          <w:rFonts w:ascii="Arial" w:eastAsia="Times New Roman" w:hAnsi="Arial" w:cs="Arial"/>
          <w:sz w:val="18"/>
          <w:szCs w:val="18"/>
        </w:rPr>
      </w:pPr>
      <w:r>
        <w:rPr>
          <w:rFonts w:ascii="Arial" w:eastAsia="Times New Roman" w:hAnsi="Arial" w:cs="Arial"/>
          <w:sz w:val="18"/>
          <w:szCs w:val="18"/>
        </w:rPr>
        <w:t xml:space="preserve">Everhart, S. A., Cochran, K. M., </w:t>
      </w:r>
      <w:proofErr w:type="spellStart"/>
      <w:r>
        <w:rPr>
          <w:rFonts w:ascii="Arial" w:eastAsia="Times New Roman" w:hAnsi="Arial" w:cs="Arial"/>
          <w:sz w:val="18"/>
          <w:szCs w:val="18"/>
        </w:rPr>
        <w:t>Lambrou</w:t>
      </w:r>
      <w:proofErr w:type="spellEnd"/>
      <w:r>
        <w:rPr>
          <w:rFonts w:ascii="Arial" w:eastAsia="Times New Roman" w:hAnsi="Arial" w:cs="Arial"/>
          <w:sz w:val="18"/>
          <w:szCs w:val="18"/>
        </w:rPr>
        <w:t xml:space="preserve">, N. H., Davies, W. H., &amp; </w:t>
      </w:r>
      <w:proofErr w:type="spellStart"/>
      <w:r>
        <w:rPr>
          <w:rFonts w:ascii="Arial" w:eastAsia="Times New Roman" w:hAnsi="Arial" w:cs="Arial"/>
          <w:sz w:val="18"/>
          <w:szCs w:val="18"/>
        </w:rPr>
        <w:t>Marik</w:t>
      </w:r>
      <w:proofErr w:type="spellEnd"/>
      <w:r>
        <w:rPr>
          <w:rFonts w:ascii="Arial" w:eastAsia="Times New Roman" w:hAnsi="Arial" w:cs="Arial"/>
          <w:sz w:val="18"/>
          <w:szCs w:val="18"/>
        </w:rPr>
        <w:t>, P. K. (2022). Psychosocial experiences that support positive self-concept in children with cleft lip and palate adopted from China. The Cleft Palate–Craniofacial Journal, 59(12), 1509–1519. https://doi.org/10.1177/10556656211051222</w:t>
      </w:r>
    </w:p>
    <w:p w14:paraId="64B5012C" w14:textId="77777777" w:rsidR="00342487" w:rsidRDefault="00342487" w:rsidP="00342487">
      <w:pPr>
        <w:jc w:val="both"/>
        <w:rPr>
          <w:rFonts w:ascii="Arial" w:eastAsia="Times New Roman" w:hAnsi="Arial" w:cs="Arial"/>
          <w:sz w:val="18"/>
          <w:szCs w:val="18"/>
        </w:rPr>
      </w:pPr>
      <w:r w:rsidRPr="00A30A0B">
        <w:rPr>
          <w:rFonts w:ascii="Arial" w:eastAsia="Times New Roman" w:hAnsi="Arial" w:cs="Arial"/>
          <w:sz w:val="18"/>
          <w:szCs w:val="18"/>
          <w:lang w:val="pt-BR"/>
        </w:rPr>
        <w:t xml:space="preserve">Guillén, A. R., Peñacoba, C., &amp; Romero, M. (2020). </w:t>
      </w:r>
      <w:r>
        <w:rPr>
          <w:rFonts w:ascii="Arial" w:eastAsia="Times New Roman" w:hAnsi="Arial" w:cs="Arial"/>
          <w:sz w:val="18"/>
          <w:szCs w:val="18"/>
        </w:rPr>
        <w:t>Psychological variables in children and adolescents with cleft lip and/or palate. Journal of Clinical Pediatric Dentistry, 44(2), 116–122. https://doi.org/10.17796/1053-4625-44.2.9</w:t>
      </w:r>
    </w:p>
    <w:p w14:paraId="23FA7C9C" w14:textId="77777777" w:rsidR="00342487" w:rsidRDefault="00342487" w:rsidP="00342487">
      <w:pPr>
        <w:jc w:val="both"/>
        <w:rPr>
          <w:rFonts w:ascii="Arial" w:eastAsia="Times New Roman" w:hAnsi="Arial" w:cs="Arial"/>
          <w:sz w:val="18"/>
          <w:szCs w:val="18"/>
        </w:rPr>
      </w:pPr>
      <w:proofErr w:type="spellStart"/>
      <w:r>
        <w:rPr>
          <w:rFonts w:ascii="Arial" w:eastAsia="Times New Roman" w:hAnsi="Arial" w:cs="Arial"/>
          <w:sz w:val="18"/>
          <w:szCs w:val="18"/>
        </w:rPr>
        <w:t>Potemra</w:t>
      </w:r>
      <w:proofErr w:type="spellEnd"/>
      <w:r>
        <w:rPr>
          <w:rFonts w:ascii="Arial" w:eastAsia="Times New Roman" w:hAnsi="Arial" w:cs="Arial"/>
          <w:sz w:val="18"/>
          <w:szCs w:val="18"/>
        </w:rPr>
        <w:t xml:space="preserve">, H. M. K., Lin, J., Bertrand, A. A., De Leon, F. S., Alford, J. A., Hu, A. C., Wilson, L., &amp; Lee, J. C. (2020). Long-term effect of multiple operations on psychosocial function in teenage cleft lip and palate </w:t>
      </w:r>
      <w:r>
        <w:rPr>
          <w:rFonts w:ascii="Arial" w:eastAsia="Times New Roman" w:hAnsi="Arial" w:cs="Arial"/>
          <w:sz w:val="18"/>
          <w:szCs w:val="18"/>
        </w:rPr>
        <w:lastRenderedPageBreak/>
        <w:t>patients. Plastic and Reconstructive Surgery, 146(1), 61e–68e. https://doi.org/10.1097/PRS.0000000000006905</w:t>
      </w:r>
    </w:p>
    <w:p w14:paraId="2F75563B" w14:textId="77777777" w:rsidR="00342487" w:rsidRDefault="00342487" w:rsidP="00342487">
      <w:pPr>
        <w:jc w:val="both"/>
        <w:rPr>
          <w:rFonts w:ascii="Arial" w:eastAsia="Times New Roman" w:hAnsi="Arial" w:cs="Arial"/>
          <w:sz w:val="18"/>
          <w:szCs w:val="18"/>
        </w:rPr>
      </w:pPr>
      <w:r w:rsidRPr="00A30A0B">
        <w:rPr>
          <w:rFonts w:ascii="Arial" w:eastAsia="Times New Roman" w:hAnsi="Arial" w:cs="Arial"/>
          <w:sz w:val="18"/>
          <w:szCs w:val="18"/>
          <w:lang w:val="fr-FR"/>
        </w:rPr>
        <w:t xml:space="preserve">Huang, H.-H., Hsu, J.-W., Huang, K.-L., Su, T.-P., Chen, T.-J., </w:t>
      </w:r>
      <w:proofErr w:type="spellStart"/>
      <w:r w:rsidRPr="00A30A0B">
        <w:rPr>
          <w:rFonts w:ascii="Arial" w:eastAsia="Times New Roman" w:hAnsi="Arial" w:cs="Arial"/>
          <w:sz w:val="18"/>
          <w:szCs w:val="18"/>
          <w:lang w:val="fr-FR"/>
        </w:rPr>
        <w:t>Tsai</w:t>
      </w:r>
      <w:proofErr w:type="spellEnd"/>
      <w:r w:rsidRPr="00A30A0B">
        <w:rPr>
          <w:rFonts w:ascii="Arial" w:eastAsia="Times New Roman" w:hAnsi="Arial" w:cs="Arial"/>
          <w:sz w:val="18"/>
          <w:szCs w:val="18"/>
          <w:lang w:val="fr-FR"/>
        </w:rPr>
        <w:t xml:space="preserve">, S.-J., &amp; Chen, M.-H. (2024). </w:t>
      </w:r>
      <w:r>
        <w:rPr>
          <w:rFonts w:ascii="Arial" w:eastAsia="Times New Roman" w:hAnsi="Arial" w:cs="Arial"/>
          <w:sz w:val="18"/>
          <w:szCs w:val="18"/>
        </w:rPr>
        <w:t>Congenital cleft lip and palate and elevated risks of major psychiatric disorders: A nationwide longitudinal study. Clinical Child Psychology and Psychiatry. https://doi.org/10.1177/13591045231200665</w:t>
      </w:r>
    </w:p>
    <w:p w14:paraId="49E35074" w14:textId="77777777" w:rsidR="00644A74" w:rsidRPr="00650DFF" w:rsidRDefault="00644A74" w:rsidP="00644A74">
      <w:pPr>
        <w:spacing w:before="120" w:after="0" w:line="276" w:lineRule="auto"/>
        <w:jc w:val="both"/>
        <w:rPr>
          <w:rFonts w:ascii="Arial" w:hAnsi="Arial" w:cs="Arial"/>
          <w:noProof/>
          <w:sz w:val="20"/>
          <w:szCs w:val="20"/>
          <w:lang w:val="pt-BR"/>
        </w:rPr>
      </w:pPr>
      <w:r w:rsidRPr="00342487">
        <w:rPr>
          <w:rFonts w:ascii="Arial" w:hAnsi="Arial" w:cs="Arial"/>
          <w:noProof/>
          <w:sz w:val="20"/>
          <w:szCs w:val="20"/>
          <w:lang w:val="en-IN"/>
        </w:rPr>
        <w:t xml:space="preserve">Hutz, C. S. (2000). </w:t>
      </w:r>
      <w:r w:rsidRPr="00650DFF">
        <w:rPr>
          <w:rFonts w:ascii="Arial" w:hAnsi="Arial" w:cs="Arial"/>
          <w:noProof/>
          <w:sz w:val="20"/>
          <w:szCs w:val="20"/>
          <w:lang w:val="pt-BR"/>
        </w:rPr>
        <w:t>Adaptação brasileira da escala de autoestima de Rosenberg. Porto Alegre: Universidade Federal do Rio Grande do Sul.</w:t>
      </w:r>
    </w:p>
    <w:p w14:paraId="67BE83C3" w14:textId="77777777" w:rsidR="00342487" w:rsidRPr="00A30A0B" w:rsidRDefault="00342487" w:rsidP="00342487">
      <w:pPr>
        <w:jc w:val="both"/>
        <w:rPr>
          <w:rFonts w:ascii="Arial" w:eastAsia="Times New Roman" w:hAnsi="Arial" w:cs="Arial"/>
          <w:sz w:val="18"/>
          <w:szCs w:val="18"/>
          <w:lang w:val="pt-BR"/>
        </w:rPr>
      </w:pPr>
      <w:r w:rsidRPr="00A30A0B">
        <w:rPr>
          <w:rFonts w:ascii="Arial" w:eastAsia="Times New Roman" w:hAnsi="Arial" w:cs="Arial"/>
          <w:sz w:val="18"/>
          <w:szCs w:val="18"/>
          <w:lang w:val="pt-BR"/>
        </w:rPr>
        <w:t>Hutz, C. S., &amp; Zanon, C. (2011). Revisão da adaptação, validação e normatização da escala de autoestima de Rosenberg. Avaliação Psicológica, 10(1), 41–49. https://pepsic.bvsalud.org/scielo.php?script=sci_arttext&amp;pid=S1677-04712011000100005</w:t>
      </w:r>
    </w:p>
    <w:p w14:paraId="348F2979" w14:textId="77777777" w:rsidR="00342487" w:rsidRDefault="00342487" w:rsidP="00342487">
      <w:pPr>
        <w:jc w:val="both"/>
        <w:rPr>
          <w:rFonts w:ascii="Arial" w:eastAsia="Times New Roman" w:hAnsi="Arial" w:cs="Arial"/>
          <w:sz w:val="18"/>
          <w:szCs w:val="18"/>
        </w:rPr>
      </w:pPr>
      <w:r>
        <w:rPr>
          <w:rFonts w:ascii="Arial" w:eastAsia="Times New Roman" w:hAnsi="Arial" w:cs="Arial"/>
          <w:sz w:val="18"/>
          <w:szCs w:val="18"/>
        </w:rPr>
        <w:t>Johnson, J. G., Harris, E. S., Spitzer, R. L., &amp; Williams, J. B. W. (2002). The Patient Health Questionnaire for adolescents: Validation of an instrument for the assessment of mental disorders among adolescent primary care patients. Journal of Adolescent Health, 30(3), 196–204. https://doi.org/10.1016/s1054-139x(01)00333-0</w:t>
      </w:r>
    </w:p>
    <w:p w14:paraId="48AD7DE1" w14:textId="77777777" w:rsidR="00342487" w:rsidRDefault="00342487" w:rsidP="00342487">
      <w:pPr>
        <w:jc w:val="both"/>
        <w:rPr>
          <w:rFonts w:ascii="Arial" w:eastAsia="Times New Roman" w:hAnsi="Arial" w:cs="Arial"/>
          <w:sz w:val="18"/>
          <w:szCs w:val="18"/>
        </w:rPr>
      </w:pPr>
      <w:proofErr w:type="spellStart"/>
      <w:r>
        <w:rPr>
          <w:rFonts w:ascii="Arial" w:eastAsia="Times New Roman" w:hAnsi="Arial" w:cs="Arial"/>
          <w:sz w:val="18"/>
          <w:szCs w:val="18"/>
        </w:rPr>
        <w:t>Khargekar</w:t>
      </w:r>
      <w:proofErr w:type="spellEnd"/>
      <w:r>
        <w:rPr>
          <w:rFonts w:ascii="Arial" w:eastAsia="Times New Roman" w:hAnsi="Arial" w:cs="Arial"/>
          <w:sz w:val="18"/>
          <w:szCs w:val="18"/>
        </w:rPr>
        <w:t xml:space="preserve">, N., </w:t>
      </w:r>
      <w:proofErr w:type="spellStart"/>
      <w:r>
        <w:rPr>
          <w:rFonts w:ascii="Arial" w:eastAsia="Times New Roman" w:hAnsi="Arial" w:cs="Arial"/>
          <w:sz w:val="18"/>
          <w:szCs w:val="18"/>
        </w:rPr>
        <w:t>Khargekar</w:t>
      </w:r>
      <w:proofErr w:type="spellEnd"/>
      <w:r>
        <w:rPr>
          <w:rFonts w:ascii="Arial" w:eastAsia="Times New Roman" w:hAnsi="Arial" w:cs="Arial"/>
          <w:sz w:val="18"/>
          <w:szCs w:val="18"/>
        </w:rPr>
        <w:t xml:space="preserve">, N., </w:t>
      </w:r>
      <w:proofErr w:type="spellStart"/>
      <w:r>
        <w:rPr>
          <w:rFonts w:ascii="Arial" w:eastAsia="Times New Roman" w:hAnsi="Arial" w:cs="Arial"/>
          <w:sz w:val="18"/>
          <w:szCs w:val="18"/>
        </w:rPr>
        <w:t>Khargekar</w:t>
      </w:r>
      <w:proofErr w:type="spellEnd"/>
      <w:r>
        <w:rPr>
          <w:rFonts w:ascii="Arial" w:eastAsia="Times New Roman" w:hAnsi="Arial" w:cs="Arial"/>
          <w:sz w:val="18"/>
          <w:szCs w:val="18"/>
        </w:rPr>
        <w:t xml:space="preserve">, V., &amp; </w:t>
      </w:r>
      <w:proofErr w:type="spellStart"/>
      <w:r>
        <w:rPr>
          <w:rFonts w:ascii="Arial" w:eastAsia="Times New Roman" w:hAnsi="Arial" w:cs="Arial"/>
          <w:sz w:val="18"/>
          <w:szCs w:val="18"/>
        </w:rPr>
        <w:t>Rajan</w:t>
      </w:r>
      <w:proofErr w:type="spellEnd"/>
      <w:r>
        <w:rPr>
          <w:rFonts w:ascii="Arial" w:eastAsia="Times New Roman" w:hAnsi="Arial" w:cs="Arial"/>
          <w:sz w:val="18"/>
          <w:szCs w:val="18"/>
        </w:rPr>
        <w:t>, S. (2016). Cleft Lip and Palate- A Psychology Insight. Science Journal of Clinical Medicine, 5(4-1), 37–40. https://doi.org/10.11648/j.sjcm.s.2016050401.17</w:t>
      </w:r>
    </w:p>
    <w:p w14:paraId="4C9BAE9A" w14:textId="77777777" w:rsidR="00342487" w:rsidRDefault="00342487" w:rsidP="00342487">
      <w:pPr>
        <w:jc w:val="both"/>
        <w:rPr>
          <w:rFonts w:ascii="Arial" w:eastAsia="Times New Roman" w:hAnsi="Arial" w:cs="Arial"/>
          <w:sz w:val="18"/>
          <w:szCs w:val="18"/>
        </w:rPr>
      </w:pPr>
      <w:proofErr w:type="spellStart"/>
      <w:r>
        <w:rPr>
          <w:rFonts w:ascii="Arial" w:eastAsia="Times New Roman" w:hAnsi="Arial" w:cs="Arial"/>
          <w:sz w:val="18"/>
          <w:szCs w:val="18"/>
        </w:rPr>
        <w:t>Kharame</w:t>
      </w:r>
      <w:proofErr w:type="spellEnd"/>
      <w:r>
        <w:rPr>
          <w:rFonts w:ascii="Arial" w:eastAsia="Times New Roman" w:hAnsi="Arial" w:cs="Arial"/>
          <w:sz w:val="18"/>
          <w:szCs w:val="18"/>
        </w:rPr>
        <w:t xml:space="preserve">, Z. T., </w:t>
      </w:r>
      <w:proofErr w:type="spellStart"/>
      <w:r>
        <w:rPr>
          <w:rFonts w:ascii="Arial" w:eastAsia="Times New Roman" w:hAnsi="Arial" w:cs="Arial"/>
          <w:sz w:val="18"/>
          <w:szCs w:val="18"/>
        </w:rPr>
        <w:t>Zamanian</w:t>
      </w:r>
      <w:proofErr w:type="spellEnd"/>
      <w:r>
        <w:rPr>
          <w:rFonts w:ascii="Arial" w:eastAsia="Times New Roman" w:hAnsi="Arial" w:cs="Arial"/>
          <w:sz w:val="18"/>
          <w:szCs w:val="18"/>
        </w:rPr>
        <w:t xml:space="preserve">, H., </w:t>
      </w:r>
      <w:proofErr w:type="spellStart"/>
      <w:r>
        <w:rPr>
          <w:rFonts w:ascii="Arial" w:eastAsia="Times New Roman" w:hAnsi="Arial" w:cs="Arial"/>
          <w:sz w:val="18"/>
          <w:szCs w:val="18"/>
        </w:rPr>
        <w:t>Foroozanfar</w:t>
      </w:r>
      <w:proofErr w:type="spellEnd"/>
      <w:r>
        <w:rPr>
          <w:rFonts w:ascii="Arial" w:eastAsia="Times New Roman" w:hAnsi="Arial" w:cs="Arial"/>
          <w:sz w:val="18"/>
          <w:szCs w:val="18"/>
        </w:rPr>
        <w:t xml:space="preserve">, S., &amp; </w:t>
      </w:r>
      <w:proofErr w:type="spellStart"/>
      <w:r>
        <w:rPr>
          <w:rFonts w:ascii="Arial" w:eastAsia="Times New Roman" w:hAnsi="Arial" w:cs="Arial"/>
          <w:sz w:val="18"/>
          <w:szCs w:val="18"/>
        </w:rPr>
        <w:t>Afsahi</w:t>
      </w:r>
      <w:proofErr w:type="spellEnd"/>
      <w:r>
        <w:rPr>
          <w:rFonts w:ascii="Arial" w:eastAsia="Times New Roman" w:hAnsi="Arial" w:cs="Arial"/>
          <w:sz w:val="18"/>
          <w:szCs w:val="18"/>
        </w:rPr>
        <w:t>, S. (2014). Religious wellbeing as a predictor for quality of life in Iranian hemodialysis patients. Global Journal of Health Science, 6(4), 261–269. https://doi.org/10.5539/gjhs.v6n4p261</w:t>
      </w:r>
    </w:p>
    <w:p w14:paraId="326F7849" w14:textId="77777777" w:rsidR="00342487" w:rsidRDefault="00342487" w:rsidP="00342487">
      <w:pPr>
        <w:jc w:val="both"/>
        <w:rPr>
          <w:rFonts w:ascii="Arial" w:eastAsia="Times New Roman" w:hAnsi="Arial" w:cs="Arial"/>
          <w:sz w:val="18"/>
          <w:szCs w:val="18"/>
        </w:rPr>
      </w:pPr>
      <w:r>
        <w:rPr>
          <w:rFonts w:ascii="Arial" w:eastAsia="Times New Roman" w:hAnsi="Arial" w:cs="Arial"/>
          <w:sz w:val="18"/>
          <w:szCs w:val="18"/>
        </w:rPr>
        <w:t>Kroenke, K., Spitzer, R. L., &amp; Williams, J. B. W. (2001). The PHQ-9: Validity of a brief depression severity measure. Journal of General Internal Medicine, 16(9), 606–613. https://doi.org/10.1046/j.1525-1497.2001.016009606.x</w:t>
      </w:r>
    </w:p>
    <w:p w14:paraId="246EFD55" w14:textId="77777777" w:rsidR="00342487" w:rsidRDefault="00342487" w:rsidP="00342487">
      <w:pPr>
        <w:jc w:val="both"/>
        <w:rPr>
          <w:rFonts w:ascii="Arial" w:eastAsia="Times New Roman" w:hAnsi="Arial" w:cs="Arial"/>
          <w:sz w:val="18"/>
          <w:szCs w:val="18"/>
        </w:rPr>
      </w:pPr>
      <w:r>
        <w:rPr>
          <w:rFonts w:ascii="Arial" w:eastAsia="Times New Roman" w:hAnsi="Arial" w:cs="Arial"/>
          <w:sz w:val="18"/>
          <w:szCs w:val="18"/>
        </w:rPr>
        <w:t xml:space="preserve">Kumar, K., Kumar, S., Mehrotra, D., Gupta, S., </w:t>
      </w:r>
      <w:proofErr w:type="spellStart"/>
      <w:r>
        <w:rPr>
          <w:rFonts w:ascii="Arial" w:eastAsia="Times New Roman" w:hAnsi="Arial" w:cs="Arial"/>
          <w:sz w:val="18"/>
          <w:szCs w:val="18"/>
        </w:rPr>
        <w:t>Khandpur</w:t>
      </w:r>
      <w:proofErr w:type="spellEnd"/>
      <w:r>
        <w:rPr>
          <w:rFonts w:ascii="Arial" w:eastAsia="Times New Roman" w:hAnsi="Arial" w:cs="Arial"/>
          <w:sz w:val="18"/>
          <w:szCs w:val="18"/>
        </w:rPr>
        <w:t>, S., &amp; Mishra, R. K. (2020). A psychologic assessment of the parents of patients with cleft lip and palate. Journal of Craniofacial Surgery, 31(1), 58–61. https://doi.org/10.1097/SCS.0000000000005835</w:t>
      </w:r>
    </w:p>
    <w:p w14:paraId="6CCDECFE" w14:textId="77777777" w:rsidR="00342487" w:rsidRPr="00342487" w:rsidRDefault="00342487" w:rsidP="00342487">
      <w:pPr>
        <w:jc w:val="both"/>
        <w:rPr>
          <w:rFonts w:ascii="Arial" w:eastAsia="Times New Roman" w:hAnsi="Arial" w:cs="Arial"/>
          <w:sz w:val="18"/>
          <w:szCs w:val="18"/>
          <w:lang w:val="pt-BR"/>
        </w:rPr>
      </w:pPr>
      <w:r w:rsidRPr="00A30A0B">
        <w:rPr>
          <w:rFonts w:ascii="Arial" w:eastAsia="Times New Roman" w:hAnsi="Arial" w:cs="Arial"/>
          <w:sz w:val="18"/>
          <w:szCs w:val="18"/>
          <w:lang w:val="pt-BR"/>
        </w:rPr>
        <w:t xml:space="preserve">Leite, M. F., &amp; Faro, A. (2022). </w:t>
      </w:r>
      <w:r>
        <w:rPr>
          <w:rFonts w:ascii="Arial" w:eastAsia="Times New Roman" w:hAnsi="Arial" w:cs="Arial"/>
          <w:sz w:val="18"/>
          <w:szCs w:val="18"/>
        </w:rPr>
        <w:t xml:space="preserve">Evidence of validity of the GAD-7 Scale in Brazilian adolescents. </w:t>
      </w:r>
      <w:r w:rsidRPr="00342487">
        <w:rPr>
          <w:rFonts w:ascii="Arial" w:eastAsia="Times New Roman" w:hAnsi="Arial" w:cs="Arial"/>
          <w:sz w:val="18"/>
          <w:szCs w:val="18"/>
          <w:lang w:val="pt-BR"/>
        </w:rPr>
        <w:t>Psico-USF, 27, 345–356. https://doi.org/10.1590/1413-82712022270211</w:t>
      </w:r>
    </w:p>
    <w:p w14:paraId="72F13CAB" w14:textId="77777777" w:rsidR="00342487" w:rsidRDefault="00342487" w:rsidP="00342487">
      <w:pPr>
        <w:jc w:val="both"/>
        <w:rPr>
          <w:rFonts w:ascii="Arial" w:eastAsia="Times New Roman" w:hAnsi="Arial" w:cs="Arial"/>
          <w:sz w:val="18"/>
          <w:szCs w:val="18"/>
        </w:rPr>
      </w:pPr>
      <w:r w:rsidRPr="00A30A0B">
        <w:rPr>
          <w:rFonts w:ascii="Arial" w:eastAsia="Times New Roman" w:hAnsi="Arial" w:cs="Arial"/>
          <w:sz w:val="18"/>
          <w:szCs w:val="18"/>
          <w:lang w:val="pt-BR"/>
        </w:rPr>
        <w:t xml:space="preserve">Lima, L. S., Ribeiro, G. S., Aquino, S. N., Volpe, F. M., Martelli, D. R. B., Swerts, M. S. O., Paranaíba, L. M. R., &amp; Martelli Júnior, H. (2015). </w:t>
      </w:r>
      <w:r>
        <w:rPr>
          <w:rFonts w:ascii="Arial" w:eastAsia="Times New Roman" w:hAnsi="Arial" w:cs="Arial"/>
          <w:sz w:val="18"/>
          <w:szCs w:val="18"/>
        </w:rPr>
        <w:t>Prevalence of depressive symptoms in patients with cleft lip and palate. Brazilian Journal of Otorhinolaryngology, 81(2), 177–183. https://doi.org/10.1016/j.bjorl.2015.01.004</w:t>
      </w:r>
    </w:p>
    <w:p w14:paraId="6D5188F5" w14:textId="77777777" w:rsidR="00342487" w:rsidRDefault="00342487" w:rsidP="00342487">
      <w:pPr>
        <w:jc w:val="both"/>
        <w:rPr>
          <w:rFonts w:ascii="Arial" w:eastAsia="Times New Roman" w:hAnsi="Arial" w:cs="Arial"/>
          <w:sz w:val="18"/>
          <w:szCs w:val="18"/>
        </w:rPr>
      </w:pPr>
      <w:r>
        <w:rPr>
          <w:rFonts w:ascii="Arial" w:eastAsia="Times New Roman" w:hAnsi="Arial" w:cs="Arial"/>
          <w:sz w:val="18"/>
          <w:szCs w:val="18"/>
        </w:rPr>
        <w:t>Lin, J., Zhao, F., &amp; Gong, C. (2018). Correlation between parental rearing patterns and self-consciousness of adolescents with cleft lip and palate. West China Journal of Stomatology, 36(4), 394–397. https://doi.org/10.7518/hxkq.2018.04.009</w:t>
      </w:r>
    </w:p>
    <w:p w14:paraId="0526E1F8" w14:textId="77777777" w:rsidR="00342487" w:rsidRPr="00342487" w:rsidRDefault="00342487" w:rsidP="00342487">
      <w:pPr>
        <w:jc w:val="both"/>
        <w:rPr>
          <w:rFonts w:ascii="Arial" w:eastAsia="Times New Roman" w:hAnsi="Arial" w:cs="Arial"/>
          <w:sz w:val="18"/>
          <w:szCs w:val="18"/>
          <w:lang w:val="fr-FR"/>
        </w:rPr>
      </w:pPr>
      <w:r w:rsidRPr="00A30A0B">
        <w:rPr>
          <w:rFonts w:ascii="Arial" w:eastAsia="Times New Roman" w:hAnsi="Arial" w:cs="Arial"/>
          <w:sz w:val="18"/>
          <w:szCs w:val="18"/>
          <w:lang w:val="fr-FR"/>
        </w:rPr>
        <w:t xml:space="preserve">Liu, C., Ran, H., Jiang, C., &amp; Zhou, M. (2015). </w:t>
      </w:r>
      <w:r>
        <w:rPr>
          <w:rFonts w:ascii="Arial" w:eastAsia="Times New Roman" w:hAnsi="Arial" w:cs="Arial"/>
          <w:sz w:val="18"/>
          <w:szCs w:val="18"/>
        </w:rPr>
        <w:t xml:space="preserve">Anxiety disorders and influence factors in adolescent patients with cleft lip and palate. </w:t>
      </w:r>
      <w:r w:rsidRPr="00342487">
        <w:rPr>
          <w:rFonts w:ascii="Arial" w:eastAsia="Times New Roman" w:hAnsi="Arial" w:cs="Arial"/>
          <w:sz w:val="18"/>
          <w:szCs w:val="18"/>
          <w:lang w:val="fr-FR"/>
        </w:rPr>
        <w:t xml:space="preserve">West China Journal of </w:t>
      </w:r>
      <w:proofErr w:type="spellStart"/>
      <w:r w:rsidRPr="00342487">
        <w:rPr>
          <w:rFonts w:ascii="Arial" w:eastAsia="Times New Roman" w:hAnsi="Arial" w:cs="Arial"/>
          <w:sz w:val="18"/>
          <w:szCs w:val="18"/>
          <w:lang w:val="fr-FR"/>
        </w:rPr>
        <w:t>Stomatology</w:t>
      </w:r>
      <w:proofErr w:type="spellEnd"/>
      <w:r w:rsidRPr="00342487">
        <w:rPr>
          <w:rFonts w:ascii="Arial" w:eastAsia="Times New Roman" w:hAnsi="Arial" w:cs="Arial"/>
          <w:sz w:val="18"/>
          <w:szCs w:val="18"/>
          <w:lang w:val="fr-FR"/>
        </w:rPr>
        <w:t>, 33(5), 484–487. https://doi.org/10.7518/hxkq.2015.05.009</w:t>
      </w:r>
    </w:p>
    <w:p w14:paraId="67A4197E" w14:textId="77777777" w:rsidR="00342487" w:rsidRDefault="00342487" w:rsidP="00342487">
      <w:pPr>
        <w:jc w:val="both"/>
        <w:rPr>
          <w:rFonts w:ascii="Arial" w:eastAsia="Times New Roman" w:hAnsi="Arial" w:cs="Arial"/>
          <w:sz w:val="18"/>
          <w:szCs w:val="18"/>
        </w:rPr>
      </w:pPr>
      <w:proofErr w:type="spellStart"/>
      <w:r w:rsidRPr="00A30A0B">
        <w:rPr>
          <w:rFonts w:ascii="Arial" w:eastAsia="Times New Roman" w:hAnsi="Arial" w:cs="Arial"/>
          <w:sz w:val="18"/>
          <w:szCs w:val="18"/>
          <w:lang w:val="fr-FR"/>
        </w:rPr>
        <w:t>Lorot</w:t>
      </w:r>
      <w:proofErr w:type="spellEnd"/>
      <w:r w:rsidRPr="00A30A0B">
        <w:rPr>
          <w:rFonts w:ascii="Arial" w:eastAsia="Times New Roman" w:hAnsi="Arial" w:cs="Arial"/>
          <w:sz w:val="18"/>
          <w:szCs w:val="18"/>
          <w:lang w:val="fr-FR"/>
        </w:rPr>
        <w:t xml:space="preserve">-Marchand, A., </w:t>
      </w:r>
      <w:proofErr w:type="spellStart"/>
      <w:r w:rsidRPr="00A30A0B">
        <w:rPr>
          <w:rFonts w:ascii="Arial" w:eastAsia="Times New Roman" w:hAnsi="Arial" w:cs="Arial"/>
          <w:sz w:val="18"/>
          <w:szCs w:val="18"/>
          <w:lang w:val="fr-FR"/>
        </w:rPr>
        <w:t>Guerreschi</w:t>
      </w:r>
      <w:proofErr w:type="spellEnd"/>
      <w:r w:rsidRPr="00A30A0B">
        <w:rPr>
          <w:rFonts w:ascii="Arial" w:eastAsia="Times New Roman" w:hAnsi="Arial" w:cs="Arial"/>
          <w:sz w:val="18"/>
          <w:szCs w:val="18"/>
          <w:lang w:val="fr-FR"/>
        </w:rPr>
        <w:t xml:space="preserve">, P., Pellerin, P., Martinot, V., </w:t>
      </w:r>
      <w:proofErr w:type="spellStart"/>
      <w:r w:rsidRPr="00A30A0B">
        <w:rPr>
          <w:rFonts w:ascii="Arial" w:eastAsia="Times New Roman" w:hAnsi="Arial" w:cs="Arial"/>
          <w:sz w:val="18"/>
          <w:szCs w:val="18"/>
          <w:lang w:val="fr-FR"/>
        </w:rPr>
        <w:t>Gbaguidi</w:t>
      </w:r>
      <w:proofErr w:type="spellEnd"/>
      <w:r w:rsidRPr="00A30A0B">
        <w:rPr>
          <w:rFonts w:ascii="Arial" w:eastAsia="Times New Roman" w:hAnsi="Arial" w:cs="Arial"/>
          <w:sz w:val="18"/>
          <w:szCs w:val="18"/>
          <w:lang w:val="fr-FR"/>
        </w:rPr>
        <w:t xml:space="preserve">, C. C., Neiva, C., Devauchelle, B., </w:t>
      </w:r>
      <w:proofErr w:type="spellStart"/>
      <w:r w:rsidRPr="00A30A0B">
        <w:rPr>
          <w:rFonts w:ascii="Arial" w:eastAsia="Times New Roman" w:hAnsi="Arial" w:cs="Arial"/>
          <w:sz w:val="18"/>
          <w:szCs w:val="18"/>
          <w:lang w:val="fr-FR"/>
        </w:rPr>
        <w:t>Frochisse</w:t>
      </w:r>
      <w:proofErr w:type="spellEnd"/>
      <w:r w:rsidRPr="00A30A0B">
        <w:rPr>
          <w:rFonts w:ascii="Arial" w:eastAsia="Times New Roman" w:hAnsi="Arial" w:cs="Arial"/>
          <w:sz w:val="18"/>
          <w:szCs w:val="18"/>
          <w:lang w:val="fr-FR"/>
        </w:rPr>
        <w:t>, C., Poli-</w:t>
      </w:r>
      <w:proofErr w:type="spellStart"/>
      <w:r w:rsidRPr="00A30A0B">
        <w:rPr>
          <w:rFonts w:ascii="Arial" w:eastAsia="Times New Roman" w:hAnsi="Arial" w:cs="Arial"/>
          <w:sz w:val="18"/>
          <w:szCs w:val="18"/>
          <w:lang w:val="fr-FR"/>
        </w:rPr>
        <w:t>Merol</w:t>
      </w:r>
      <w:proofErr w:type="spellEnd"/>
      <w:r w:rsidRPr="00A30A0B">
        <w:rPr>
          <w:rFonts w:ascii="Arial" w:eastAsia="Times New Roman" w:hAnsi="Arial" w:cs="Arial"/>
          <w:sz w:val="18"/>
          <w:szCs w:val="18"/>
          <w:lang w:val="fr-FR"/>
        </w:rPr>
        <w:t>, M. L., &amp; François-</w:t>
      </w:r>
      <w:proofErr w:type="spellStart"/>
      <w:r w:rsidRPr="00A30A0B">
        <w:rPr>
          <w:rFonts w:ascii="Arial" w:eastAsia="Times New Roman" w:hAnsi="Arial" w:cs="Arial"/>
          <w:sz w:val="18"/>
          <w:szCs w:val="18"/>
          <w:lang w:val="fr-FR"/>
        </w:rPr>
        <w:t>Fiquet</w:t>
      </w:r>
      <w:proofErr w:type="spellEnd"/>
      <w:r w:rsidRPr="00A30A0B">
        <w:rPr>
          <w:rFonts w:ascii="Arial" w:eastAsia="Times New Roman" w:hAnsi="Arial" w:cs="Arial"/>
          <w:sz w:val="18"/>
          <w:szCs w:val="18"/>
          <w:lang w:val="fr-FR"/>
        </w:rPr>
        <w:t xml:space="preserve">, C. (2015). </w:t>
      </w:r>
      <w:r>
        <w:rPr>
          <w:rFonts w:ascii="Arial" w:eastAsia="Times New Roman" w:hAnsi="Arial" w:cs="Arial"/>
          <w:sz w:val="18"/>
          <w:szCs w:val="18"/>
        </w:rPr>
        <w:t>Frequency and socio-psychological impact of taunting in school-age patients with cleft lip-palate surgical repair. International Journal of Pediatric Otorhinolaryngology, 79(7), 1041–1048. https://doi.org/10.1016/j.ijporl.2015.04.024</w:t>
      </w:r>
    </w:p>
    <w:p w14:paraId="71132B21" w14:textId="77777777" w:rsidR="00342487" w:rsidRPr="00342487" w:rsidRDefault="00342487" w:rsidP="00342487">
      <w:pPr>
        <w:jc w:val="both"/>
        <w:rPr>
          <w:rFonts w:ascii="Arial" w:eastAsia="Times New Roman" w:hAnsi="Arial" w:cs="Arial"/>
          <w:sz w:val="18"/>
          <w:szCs w:val="18"/>
          <w:lang w:val="pt-BR"/>
        </w:rPr>
      </w:pPr>
      <w:proofErr w:type="spellStart"/>
      <w:r>
        <w:rPr>
          <w:rFonts w:ascii="Arial" w:eastAsia="Times New Roman" w:hAnsi="Arial" w:cs="Arial"/>
          <w:sz w:val="18"/>
          <w:szCs w:val="18"/>
        </w:rPr>
        <w:t>Löwe</w:t>
      </w:r>
      <w:proofErr w:type="spellEnd"/>
      <w:r>
        <w:rPr>
          <w:rFonts w:ascii="Arial" w:eastAsia="Times New Roman" w:hAnsi="Arial" w:cs="Arial"/>
          <w:sz w:val="18"/>
          <w:szCs w:val="18"/>
        </w:rPr>
        <w:t xml:space="preserve">, B., Decker, O., Müller, S., </w:t>
      </w:r>
      <w:proofErr w:type="spellStart"/>
      <w:r>
        <w:rPr>
          <w:rFonts w:ascii="Arial" w:eastAsia="Times New Roman" w:hAnsi="Arial" w:cs="Arial"/>
          <w:sz w:val="18"/>
          <w:szCs w:val="18"/>
        </w:rPr>
        <w:t>Brähler</w:t>
      </w:r>
      <w:proofErr w:type="spellEnd"/>
      <w:r>
        <w:rPr>
          <w:rFonts w:ascii="Arial" w:eastAsia="Times New Roman" w:hAnsi="Arial" w:cs="Arial"/>
          <w:sz w:val="18"/>
          <w:szCs w:val="18"/>
        </w:rPr>
        <w:t xml:space="preserve">, E., </w:t>
      </w:r>
      <w:proofErr w:type="spellStart"/>
      <w:r>
        <w:rPr>
          <w:rFonts w:ascii="Arial" w:eastAsia="Times New Roman" w:hAnsi="Arial" w:cs="Arial"/>
          <w:sz w:val="18"/>
          <w:szCs w:val="18"/>
        </w:rPr>
        <w:t>Schellberg</w:t>
      </w:r>
      <w:proofErr w:type="spellEnd"/>
      <w:r>
        <w:rPr>
          <w:rFonts w:ascii="Arial" w:eastAsia="Times New Roman" w:hAnsi="Arial" w:cs="Arial"/>
          <w:sz w:val="18"/>
          <w:szCs w:val="18"/>
        </w:rPr>
        <w:t xml:space="preserve">, D., Herzog, W., &amp; Herzberg, P. Y. (2008). Validation and standardization of the Generalized Anxiety Disorder Screener (GAD-7) in the general population. </w:t>
      </w:r>
      <w:r w:rsidRPr="00342487">
        <w:rPr>
          <w:rFonts w:ascii="Arial" w:eastAsia="Times New Roman" w:hAnsi="Arial" w:cs="Arial"/>
          <w:sz w:val="18"/>
          <w:szCs w:val="18"/>
          <w:lang w:val="pt-BR"/>
        </w:rPr>
        <w:t>Medical Care, 46(3), 266–274. https://doi.org/10.1097/MLR.0b013e318160d093</w:t>
      </w:r>
    </w:p>
    <w:p w14:paraId="219BB9D7" w14:textId="77777777" w:rsidR="00342487" w:rsidRPr="00342487" w:rsidRDefault="00342487" w:rsidP="00342487">
      <w:pPr>
        <w:jc w:val="both"/>
        <w:rPr>
          <w:rFonts w:ascii="Arial" w:eastAsia="Times New Roman" w:hAnsi="Arial" w:cs="Arial"/>
          <w:sz w:val="18"/>
          <w:szCs w:val="18"/>
          <w:lang w:val="pt-BR"/>
        </w:rPr>
      </w:pPr>
      <w:r w:rsidRPr="00A30A0B">
        <w:rPr>
          <w:rFonts w:ascii="Arial" w:eastAsia="Times New Roman" w:hAnsi="Arial" w:cs="Arial"/>
          <w:sz w:val="18"/>
          <w:szCs w:val="18"/>
          <w:lang w:val="pt-BR"/>
        </w:rPr>
        <w:t xml:space="preserve">Lua, I., Freitas, K. S., Teixeira, J. R. B., Reichenheim, M. E., Almeida, M. M. G., &amp; Araújo, T. M. (2022). Mensuração da depressão na população brasileira: validação do Questionário de Saúde do Paciente (PHQ-8). </w:t>
      </w:r>
      <w:r w:rsidRPr="00342487">
        <w:rPr>
          <w:rFonts w:ascii="Arial" w:eastAsia="Times New Roman" w:hAnsi="Arial" w:cs="Arial"/>
          <w:sz w:val="18"/>
          <w:szCs w:val="18"/>
          <w:lang w:val="pt-BR"/>
        </w:rPr>
        <w:t>Cadernos de Saúde Pública, 38, e00176421. https://doi.org/10.1590/0102-311XEN176421</w:t>
      </w:r>
    </w:p>
    <w:p w14:paraId="187997A7" w14:textId="77777777" w:rsidR="00342487" w:rsidRPr="00342487" w:rsidRDefault="00342487" w:rsidP="00342487">
      <w:pPr>
        <w:jc w:val="both"/>
        <w:rPr>
          <w:rFonts w:ascii="Arial" w:eastAsia="Times New Roman" w:hAnsi="Arial" w:cs="Arial"/>
          <w:sz w:val="18"/>
          <w:szCs w:val="18"/>
          <w:lang w:val="pt-BR"/>
        </w:rPr>
      </w:pPr>
      <w:r w:rsidRPr="00A30A0B">
        <w:rPr>
          <w:rFonts w:ascii="Arial" w:eastAsia="Times New Roman" w:hAnsi="Arial" w:cs="Arial"/>
          <w:sz w:val="18"/>
          <w:szCs w:val="18"/>
          <w:lang w:val="pt-BR"/>
        </w:rPr>
        <w:t xml:space="preserve">Maia, A. C. D. A., Grimaldi, D. E. D. A., Jural, L. A., Lima, S. O. A. S., Magno, M. B., Maia, L. C., Pithon, M. M., &amp; Prado, F. O. (2023). </w:t>
      </w:r>
      <w:r>
        <w:rPr>
          <w:rFonts w:ascii="Arial" w:eastAsia="Times New Roman" w:hAnsi="Arial" w:cs="Arial"/>
          <w:sz w:val="18"/>
          <w:szCs w:val="18"/>
        </w:rPr>
        <w:t xml:space="preserve">Development and validation of the Brazilian Version of Lay Persons' Social </w:t>
      </w:r>
      <w:r>
        <w:rPr>
          <w:rFonts w:ascii="Arial" w:eastAsia="Times New Roman" w:hAnsi="Arial" w:cs="Arial"/>
          <w:sz w:val="18"/>
          <w:szCs w:val="18"/>
        </w:rPr>
        <w:lastRenderedPageBreak/>
        <w:t>Judgements about Cleft-lip Scale (B-</w:t>
      </w:r>
      <w:proofErr w:type="spellStart"/>
      <w:r>
        <w:rPr>
          <w:rFonts w:ascii="Arial" w:eastAsia="Times New Roman" w:hAnsi="Arial" w:cs="Arial"/>
          <w:sz w:val="18"/>
          <w:szCs w:val="18"/>
        </w:rPr>
        <w:t>LSojCleft</w:t>
      </w:r>
      <w:proofErr w:type="spellEnd"/>
      <w:r>
        <w:rPr>
          <w:rFonts w:ascii="Arial" w:eastAsia="Times New Roman" w:hAnsi="Arial" w:cs="Arial"/>
          <w:sz w:val="18"/>
          <w:szCs w:val="18"/>
        </w:rPr>
        <w:t xml:space="preserve">-S). </w:t>
      </w:r>
      <w:r w:rsidRPr="00342487">
        <w:rPr>
          <w:rFonts w:ascii="Arial" w:eastAsia="Times New Roman" w:hAnsi="Arial" w:cs="Arial"/>
          <w:sz w:val="18"/>
          <w:szCs w:val="18"/>
          <w:lang w:val="pt-BR"/>
        </w:rPr>
        <w:t>Brazilian Oral Research, 37, e086. https://doi.org/10.1590/1807-3107bor-2023.vol37.0086</w:t>
      </w:r>
    </w:p>
    <w:p w14:paraId="26CA043D" w14:textId="77777777" w:rsidR="00342487" w:rsidRPr="00342487" w:rsidRDefault="00342487" w:rsidP="00342487">
      <w:pPr>
        <w:jc w:val="both"/>
        <w:rPr>
          <w:rFonts w:ascii="Arial" w:eastAsia="Times New Roman" w:hAnsi="Arial" w:cs="Arial"/>
          <w:sz w:val="18"/>
          <w:szCs w:val="18"/>
          <w:lang w:val="pt-BR"/>
        </w:rPr>
      </w:pPr>
      <w:r w:rsidRPr="00A30A0B">
        <w:rPr>
          <w:rFonts w:ascii="Arial" w:eastAsia="Times New Roman" w:hAnsi="Arial" w:cs="Arial"/>
          <w:sz w:val="18"/>
          <w:szCs w:val="18"/>
          <w:lang w:val="pt-BR"/>
        </w:rPr>
        <w:t xml:space="preserve">Manfro, P. H., Pereira, R. B., Rosa, M., Cogo-Moreira, H., Fisher, H. L., Kohrt, B. A., Mondelli, V., &amp; Kieling, C. (2023). </w:t>
      </w:r>
      <w:r w:rsidRPr="00342487">
        <w:rPr>
          <w:rFonts w:ascii="Arial" w:eastAsia="Times New Roman" w:hAnsi="Arial" w:cs="Arial"/>
          <w:sz w:val="18"/>
          <w:szCs w:val="18"/>
          <w:lang w:val="pt-BR"/>
        </w:rPr>
        <w:t>Adolescent depression beyond DSM definition: A network analysis. European Child &amp; Adolescent Psychiatry, 32(5), 881–892. https://doi.org/10.1007/s00787-021-01908-1</w:t>
      </w:r>
    </w:p>
    <w:p w14:paraId="68B699C0" w14:textId="77777777" w:rsidR="00342487" w:rsidRDefault="00342487" w:rsidP="00342487">
      <w:pPr>
        <w:jc w:val="both"/>
        <w:rPr>
          <w:rFonts w:ascii="Arial" w:eastAsia="Times New Roman" w:hAnsi="Arial" w:cs="Arial"/>
          <w:sz w:val="18"/>
          <w:szCs w:val="18"/>
        </w:rPr>
      </w:pPr>
      <w:r>
        <w:rPr>
          <w:rFonts w:ascii="Arial" w:eastAsia="Times New Roman" w:hAnsi="Arial" w:cs="Arial"/>
          <w:sz w:val="18"/>
          <w:szCs w:val="18"/>
        </w:rPr>
        <w:t>McLaughlin, K. A., &amp; King, K. (2015). Developmental trajectories of anxiety and depression in early adolescence. Journal of Abnormal Child Psychology, 43(2), 311–323. https://doi.org/10.1007/s10802-014-9898-1</w:t>
      </w:r>
    </w:p>
    <w:p w14:paraId="5F78D6CE" w14:textId="77777777" w:rsidR="00342487" w:rsidRPr="00342487" w:rsidRDefault="00342487" w:rsidP="00342487">
      <w:pPr>
        <w:jc w:val="both"/>
        <w:rPr>
          <w:rFonts w:ascii="Arial" w:eastAsia="Times New Roman" w:hAnsi="Arial" w:cs="Arial"/>
          <w:sz w:val="18"/>
          <w:szCs w:val="18"/>
          <w:lang w:val="pt-BR"/>
        </w:rPr>
      </w:pPr>
      <w:r w:rsidRPr="00A30A0B">
        <w:rPr>
          <w:rFonts w:ascii="Arial" w:eastAsia="Times New Roman" w:hAnsi="Arial" w:cs="Arial"/>
          <w:sz w:val="18"/>
          <w:szCs w:val="18"/>
          <w:lang w:val="pt-BR"/>
        </w:rPr>
        <w:t xml:space="preserve">Moreno, A. L., Sousa, D. A., Souza, A. M. F. L. P., Manfro, G. G., Salum, G. A., Koller, S. H., Osório, F. L., &amp; Crippa, J. A. S. (2016). </w:t>
      </w:r>
      <w:r>
        <w:rPr>
          <w:rFonts w:ascii="Arial" w:eastAsia="Times New Roman" w:hAnsi="Arial" w:cs="Arial"/>
          <w:sz w:val="18"/>
          <w:szCs w:val="18"/>
        </w:rPr>
        <w:t xml:space="preserve">Factor structure, reliability, and item parameters of the Brazilian-Portuguese version of the GAD-7 questionnaire. </w:t>
      </w:r>
      <w:r w:rsidRPr="00342487">
        <w:rPr>
          <w:rFonts w:ascii="Arial" w:eastAsia="Times New Roman" w:hAnsi="Arial" w:cs="Arial"/>
          <w:sz w:val="18"/>
          <w:szCs w:val="18"/>
          <w:lang w:val="pt-BR"/>
        </w:rPr>
        <w:t>Temas em Psicologia, 24(1), 367–376. https://doi.org/10.9788/TP2016.1-25</w:t>
      </w:r>
    </w:p>
    <w:p w14:paraId="223D0BC6" w14:textId="77777777" w:rsidR="00342487" w:rsidRDefault="00342487" w:rsidP="00342487">
      <w:pPr>
        <w:jc w:val="both"/>
        <w:rPr>
          <w:rFonts w:ascii="Arial" w:eastAsia="Times New Roman" w:hAnsi="Arial" w:cs="Arial"/>
          <w:sz w:val="18"/>
          <w:szCs w:val="18"/>
        </w:rPr>
      </w:pPr>
      <w:r>
        <w:rPr>
          <w:rFonts w:ascii="Arial" w:eastAsia="Times New Roman" w:hAnsi="Arial" w:cs="Arial"/>
          <w:sz w:val="18"/>
          <w:szCs w:val="18"/>
        </w:rPr>
        <w:t xml:space="preserve">Mughal, A. Y., Devadas, J., </w:t>
      </w:r>
      <w:proofErr w:type="spellStart"/>
      <w:r>
        <w:rPr>
          <w:rFonts w:ascii="Arial" w:eastAsia="Times New Roman" w:hAnsi="Arial" w:cs="Arial"/>
          <w:sz w:val="18"/>
          <w:szCs w:val="18"/>
        </w:rPr>
        <w:t>Ardman</w:t>
      </w:r>
      <w:proofErr w:type="spellEnd"/>
      <w:r>
        <w:rPr>
          <w:rFonts w:ascii="Arial" w:eastAsia="Times New Roman" w:hAnsi="Arial" w:cs="Arial"/>
          <w:sz w:val="18"/>
          <w:szCs w:val="18"/>
        </w:rPr>
        <w:t xml:space="preserve">, E., </w:t>
      </w:r>
      <w:proofErr w:type="spellStart"/>
      <w:r>
        <w:rPr>
          <w:rFonts w:ascii="Arial" w:eastAsia="Times New Roman" w:hAnsi="Arial" w:cs="Arial"/>
          <w:sz w:val="18"/>
          <w:szCs w:val="18"/>
        </w:rPr>
        <w:t>Levis</w:t>
      </w:r>
      <w:proofErr w:type="spellEnd"/>
      <w:r>
        <w:rPr>
          <w:rFonts w:ascii="Arial" w:eastAsia="Times New Roman" w:hAnsi="Arial" w:cs="Arial"/>
          <w:sz w:val="18"/>
          <w:szCs w:val="18"/>
        </w:rPr>
        <w:t xml:space="preserve">, B., Go, V. F., &amp; </w:t>
      </w:r>
      <w:proofErr w:type="spellStart"/>
      <w:r>
        <w:rPr>
          <w:rFonts w:ascii="Arial" w:eastAsia="Times New Roman" w:hAnsi="Arial" w:cs="Arial"/>
          <w:sz w:val="18"/>
          <w:szCs w:val="18"/>
        </w:rPr>
        <w:t>Gaynes</w:t>
      </w:r>
      <w:proofErr w:type="spellEnd"/>
      <w:r>
        <w:rPr>
          <w:rFonts w:ascii="Arial" w:eastAsia="Times New Roman" w:hAnsi="Arial" w:cs="Arial"/>
          <w:sz w:val="18"/>
          <w:szCs w:val="18"/>
        </w:rPr>
        <w:t>, B. N. (2020). A systematic review of validated screening tools for anxiety disorders and PTSD in low to middle income countries. BMC Psychiatry, 20, 338. https://doi.org/10.1186/s12888-020-02753-3</w:t>
      </w:r>
    </w:p>
    <w:p w14:paraId="12B3601E" w14:textId="77777777" w:rsidR="00342487" w:rsidRDefault="00342487" w:rsidP="00342487">
      <w:pPr>
        <w:jc w:val="both"/>
        <w:rPr>
          <w:rFonts w:ascii="Arial" w:eastAsia="Times New Roman" w:hAnsi="Arial" w:cs="Arial"/>
          <w:sz w:val="18"/>
          <w:szCs w:val="18"/>
        </w:rPr>
      </w:pPr>
      <w:proofErr w:type="spellStart"/>
      <w:r w:rsidRPr="00342487">
        <w:rPr>
          <w:rFonts w:ascii="Arial" w:eastAsia="Times New Roman" w:hAnsi="Arial" w:cs="Arial"/>
          <w:sz w:val="18"/>
          <w:szCs w:val="18"/>
          <w:lang w:val="en-IN"/>
        </w:rPr>
        <w:t>Munhoz</w:t>
      </w:r>
      <w:proofErr w:type="spellEnd"/>
      <w:r w:rsidRPr="00342487">
        <w:rPr>
          <w:rFonts w:ascii="Arial" w:eastAsia="Times New Roman" w:hAnsi="Arial" w:cs="Arial"/>
          <w:sz w:val="18"/>
          <w:szCs w:val="18"/>
          <w:lang w:val="en-IN"/>
        </w:rPr>
        <w:t xml:space="preserve">, T. N., Santos, I. S., &amp; </w:t>
      </w:r>
      <w:proofErr w:type="spellStart"/>
      <w:r w:rsidRPr="00342487">
        <w:rPr>
          <w:rFonts w:ascii="Arial" w:eastAsia="Times New Roman" w:hAnsi="Arial" w:cs="Arial"/>
          <w:sz w:val="18"/>
          <w:szCs w:val="18"/>
          <w:lang w:val="en-IN"/>
        </w:rPr>
        <w:t>Matijasevich</w:t>
      </w:r>
      <w:proofErr w:type="spellEnd"/>
      <w:r w:rsidRPr="00342487">
        <w:rPr>
          <w:rFonts w:ascii="Arial" w:eastAsia="Times New Roman" w:hAnsi="Arial" w:cs="Arial"/>
          <w:sz w:val="18"/>
          <w:szCs w:val="18"/>
          <w:lang w:val="en-IN"/>
        </w:rPr>
        <w:t xml:space="preserve">, A. (2015). </w:t>
      </w:r>
      <w:r>
        <w:rPr>
          <w:rFonts w:ascii="Arial" w:eastAsia="Times New Roman" w:hAnsi="Arial" w:cs="Arial"/>
          <w:sz w:val="18"/>
          <w:szCs w:val="18"/>
        </w:rPr>
        <w:t>Depression among Brazilian adolescents: A cross-sectional population-based study. Journal of Affective Disorders, 175, 281–286. https://doi.org/10.1016/j.jad.2015.01.031</w:t>
      </w:r>
    </w:p>
    <w:p w14:paraId="78F577C2" w14:textId="77777777" w:rsidR="00342487" w:rsidRDefault="00342487" w:rsidP="00342487">
      <w:pPr>
        <w:jc w:val="both"/>
        <w:rPr>
          <w:rFonts w:ascii="Arial" w:eastAsia="Times New Roman" w:hAnsi="Arial" w:cs="Arial"/>
          <w:sz w:val="18"/>
          <w:szCs w:val="18"/>
        </w:rPr>
      </w:pPr>
      <w:r>
        <w:rPr>
          <w:rFonts w:ascii="Arial" w:eastAsia="Times New Roman" w:hAnsi="Arial" w:cs="Arial"/>
          <w:sz w:val="18"/>
          <w:szCs w:val="18"/>
        </w:rPr>
        <w:t xml:space="preserve">Musa, A., Ashraf, J., Tsai, F.-J., </w:t>
      </w:r>
      <w:proofErr w:type="spellStart"/>
      <w:r>
        <w:rPr>
          <w:rFonts w:ascii="Arial" w:eastAsia="Times New Roman" w:hAnsi="Arial" w:cs="Arial"/>
          <w:sz w:val="18"/>
          <w:szCs w:val="18"/>
        </w:rPr>
        <w:t>Abolmagd</w:t>
      </w:r>
      <w:proofErr w:type="spellEnd"/>
      <w:r>
        <w:rPr>
          <w:rFonts w:ascii="Arial" w:eastAsia="Times New Roman" w:hAnsi="Arial" w:cs="Arial"/>
          <w:sz w:val="18"/>
          <w:szCs w:val="18"/>
        </w:rPr>
        <w:t xml:space="preserve">, S., Liu, C., Hussain, H., </w:t>
      </w:r>
      <w:proofErr w:type="spellStart"/>
      <w:r>
        <w:rPr>
          <w:rFonts w:ascii="Arial" w:eastAsia="Times New Roman" w:hAnsi="Arial" w:cs="Arial"/>
          <w:sz w:val="18"/>
          <w:szCs w:val="18"/>
        </w:rPr>
        <w:t>Voslarova</w:t>
      </w:r>
      <w:proofErr w:type="spellEnd"/>
      <w:r>
        <w:rPr>
          <w:rFonts w:ascii="Arial" w:eastAsia="Times New Roman" w:hAnsi="Arial" w:cs="Arial"/>
          <w:sz w:val="18"/>
          <w:szCs w:val="18"/>
        </w:rPr>
        <w:t xml:space="preserve">, E., Khalil, M. A., </w:t>
      </w:r>
      <w:proofErr w:type="spellStart"/>
      <w:r>
        <w:rPr>
          <w:rFonts w:ascii="Arial" w:eastAsia="Times New Roman" w:hAnsi="Arial" w:cs="Arial"/>
          <w:sz w:val="18"/>
          <w:szCs w:val="18"/>
        </w:rPr>
        <w:t>Wolitzky</w:t>
      </w:r>
      <w:proofErr w:type="spellEnd"/>
      <w:r>
        <w:rPr>
          <w:rFonts w:ascii="Arial" w:eastAsia="Times New Roman" w:hAnsi="Arial" w:cs="Arial"/>
          <w:sz w:val="18"/>
          <w:szCs w:val="18"/>
        </w:rPr>
        <w:t xml:space="preserve">-Taylor, K. B., Lee, D., Sugar, J., </w:t>
      </w:r>
      <w:proofErr w:type="spellStart"/>
      <w:r>
        <w:rPr>
          <w:rFonts w:ascii="Arial" w:eastAsia="Times New Roman" w:hAnsi="Arial" w:cs="Arial"/>
          <w:sz w:val="18"/>
          <w:szCs w:val="18"/>
        </w:rPr>
        <w:t>Pendi</w:t>
      </w:r>
      <w:proofErr w:type="spellEnd"/>
      <w:r>
        <w:rPr>
          <w:rFonts w:ascii="Arial" w:eastAsia="Times New Roman" w:hAnsi="Arial" w:cs="Arial"/>
          <w:sz w:val="18"/>
          <w:szCs w:val="18"/>
        </w:rPr>
        <w:t xml:space="preserve">, K., Lee, J., </w:t>
      </w:r>
      <w:proofErr w:type="spellStart"/>
      <w:r>
        <w:rPr>
          <w:rFonts w:ascii="Arial" w:eastAsia="Times New Roman" w:hAnsi="Arial" w:cs="Arial"/>
          <w:sz w:val="18"/>
          <w:szCs w:val="18"/>
        </w:rPr>
        <w:t>Abdelmaksoud</w:t>
      </w:r>
      <w:proofErr w:type="spellEnd"/>
      <w:r>
        <w:rPr>
          <w:rFonts w:ascii="Arial" w:eastAsia="Times New Roman" w:hAnsi="Arial" w:cs="Arial"/>
          <w:sz w:val="18"/>
          <w:szCs w:val="18"/>
        </w:rPr>
        <w:t>, R., Adel, N., &amp; Baron, D. (2020). Depression severity and depression stigma among students: A survey of universities in five countries. The Journal of Nervous and Mental Disease, 208(11), 884–889. https://doi.org/10.1097/NMD.0000000000001226</w:t>
      </w:r>
    </w:p>
    <w:p w14:paraId="6B1C3593" w14:textId="77777777" w:rsidR="00342487" w:rsidRDefault="00342487" w:rsidP="00342487">
      <w:pPr>
        <w:jc w:val="both"/>
        <w:rPr>
          <w:rFonts w:ascii="Arial" w:eastAsia="Times New Roman" w:hAnsi="Arial" w:cs="Arial"/>
          <w:sz w:val="18"/>
          <w:szCs w:val="18"/>
        </w:rPr>
      </w:pPr>
      <w:proofErr w:type="spellStart"/>
      <w:r>
        <w:rPr>
          <w:rFonts w:ascii="Arial" w:eastAsia="Times New Roman" w:hAnsi="Arial" w:cs="Arial"/>
          <w:sz w:val="18"/>
          <w:szCs w:val="18"/>
        </w:rPr>
        <w:t>Naros</w:t>
      </w:r>
      <w:proofErr w:type="spellEnd"/>
      <w:r>
        <w:rPr>
          <w:rFonts w:ascii="Arial" w:eastAsia="Times New Roman" w:hAnsi="Arial" w:cs="Arial"/>
          <w:sz w:val="18"/>
          <w:szCs w:val="18"/>
        </w:rPr>
        <w:t xml:space="preserve">, A., Brocks, A., </w:t>
      </w:r>
      <w:proofErr w:type="spellStart"/>
      <w:r>
        <w:rPr>
          <w:rFonts w:ascii="Arial" w:eastAsia="Times New Roman" w:hAnsi="Arial" w:cs="Arial"/>
          <w:sz w:val="18"/>
          <w:szCs w:val="18"/>
        </w:rPr>
        <w:t>Kluba</w:t>
      </w:r>
      <w:proofErr w:type="spellEnd"/>
      <w:r>
        <w:rPr>
          <w:rFonts w:ascii="Arial" w:eastAsia="Times New Roman" w:hAnsi="Arial" w:cs="Arial"/>
          <w:sz w:val="18"/>
          <w:szCs w:val="18"/>
        </w:rPr>
        <w:t xml:space="preserve">, S., Reinert, S., &amp; </w:t>
      </w:r>
      <w:proofErr w:type="spellStart"/>
      <w:r>
        <w:rPr>
          <w:rFonts w:ascii="Arial" w:eastAsia="Times New Roman" w:hAnsi="Arial" w:cs="Arial"/>
          <w:sz w:val="18"/>
          <w:szCs w:val="18"/>
        </w:rPr>
        <w:t>Krimmel</w:t>
      </w:r>
      <w:proofErr w:type="spellEnd"/>
      <w:r>
        <w:rPr>
          <w:rFonts w:ascii="Arial" w:eastAsia="Times New Roman" w:hAnsi="Arial" w:cs="Arial"/>
          <w:sz w:val="18"/>
          <w:szCs w:val="18"/>
        </w:rPr>
        <w:t>, M. (2018). Health-related quality of life in cleft lip and/or palate patients: A cross-sectional study from preschool age until adolescence. Journal of Cranio-Maxillofacial Surgery, 46(10), 1758–1763. https://doi.org/10.1016/j.jcms.2018.07.004</w:t>
      </w:r>
    </w:p>
    <w:p w14:paraId="304CB3E6" w14:textId="77777777" w:rsidR="00342487" w:rsidRDefault="00342487" w:rsidP="00342487">
      <w:pPr>
        <w:jc w:val="both"/>
        <w:rPr>
          <w:rFonts w:ascii="Arial" w:eastAsia="Times New Roman" w:hAnsi="Arial" w:cs="Arial"/>
          <w:sz w:val="18"/>
          <w:szCs w:val="18"/>
        </w:rPr>
      </w:pPr>
      <w:r>
        <w:rPr>
          <w:rFonts w:ascii="Arial" w:eastAsia="Times New Roman" w:hAnsi="Arial" w:cs="Arial"/>
          <w:sz w:val="18"/>
          <w:szCs w:val="18"/>
        </w:rPr>
        <w:t xml:space="preserve">Norman, A., Persson, M., Stock, N., Rumsey, N., Sandy, J., </w:t>
      </w:r>
      <w:proofErr w:type="spellStart"/>
      <w:r>
        <w:rPr>
          <w:rFonts w:ascii="Arial" w:eastAsia="Times New Roman" w:hAnsi="Arial" w:cs="Arial"/>
          <w:sz w:val="18"/>
          <w:szCs w:val="18"/>
        </w:rPr>
        <w:t>Waylen</w:t>
      </w:r>
      <w:proofErr w:type="spellEnd"/>
      <w:r>
        <w:rPr>
          <w:rFonts w:ascii="Arial" w:eastAsia="Times New Roman" w:hAnsi="Arial" w:cs="Arial"/>
          <w:sz w:val="18"/>
          <w:szCs w:val="18"/>
        </w:rPr>
        <w:t>, A., Edwards, Z., Hammond, V., Partridge, L., &amp; Ness, A. (2015). The effectiveness of psychosocial intervention for individuals with cleft lip and/or palate. The Cleft Palate–Craniofacial Journal, 52(3), 301–310. https://doi.org/10.1597/13-276</w:t>
      </w:r>
    </w:p>
    <w:p w14:paraId="3E267C42" w14:textId="77777777" w:rsidR="00342487" w:rsidRDefault="00342487" w:rsidP="00342487">
      <w:pPr>
        <w:jc w:val="both"/>
        <w:rPr>
          <w:rFonts w:ascii="Arial" w:eastAsia="Times New Roman" w:hAnsi="Arial" w:cs="Arial"/>
          <w:sz w:val="18"/>
          <w:szCs w:val="18"/>
        </w:rPr>
      </w:pPr>
      <w:proofErr w:type="spellStart"/>
      <w:r>
        <w:rPr>
          <w:rFonts w:ascii="Arial" w:eastAsia="Times New Roman" w:hAnsi="Arial" w:cs="Arial"/>
          <w:sz w:val="18"/>
          <w:szCs w:val="18"/>
        </w:rPr>
        <w:t>Philippot</w:t>
      </w:r>
      <w:proofErr w:type="spellEnd"/>
      <w:r>
        <w:rPr>
          <w:rFonts w:ascii="Arial" w:eastAsia="Times New Roman" w:hAnsi="Arial" w:cs="Arial"/>
          <w:sz w:val="18"/>
          <w:szCs w:val="18"/>
        </w:rPr>
        <w:t xml:space="preserve">, A., Dubois, V., </w:t>
      </w:r>
      <w:proofErr w:type="spellStart"/>
      <w:r>
        <w:rPr>
          <w:rFonts w:ascii="Arial" w:eastAsia="Times New Roman" w:hAnsi="Arial" w:cs="Arial"/>
          <w:sz w:val="18"/>
          <w:szCs w:val="18"/>
        </w:rPr>
        <w:t>Lambrechts</w:t>
      </w:r>
      <w:proofErr w:type="spellEnd"/>
      <w:r>
        <w:rPr>
          <w:rFonts w:ascii="Arial" w:eastAsia="Times New Roman" w:hAnsi="Arial" w:cs="Arial"/>
          <w:sz w:val="18"/>
          <w:szCs w:val="18"/>
        </w:rPr>
        <w:t xml:space="preserve">, K., </w:t>
      </w:r>
      <w:proofErr w:type="spellStart"/>
      <w:r>
        <w:rPr>
          <w:rFonts w:ascii="Arial" w:eastAsia="Times New Roman" w:hAnsi="Arial" w:cs="Arial"/>
          <w:sz w:val="18"/>
          <w:szCs w:val="18"/>
        </w:rPr>
        <w:t>Grogna</w:t>
      </w:r>
      <w:proofErr w:type="spellEnd"/>
      <w:r>
        <w:rPr>
          <w:rFonts w:ascii="Arial" w:eastAsia="Times New Roman" w:hAnsi="Arial" w:cs="Arial"/>
          <w:sz w:val="18"/>
          <w:szCs w:val="18"/>
        </w:rPr>
        <w:t xml:space="preserve">, D., Robert, A., </w:t>
      </w:r>
      <w:proofErr w:type="spellStart"/>
      <w:r>
        <w:rPr>
          <w:rFonts w:ascii="Arial" w:eastAsia="Times New Roman" w:hAnsi="Arial" w:cs="Arial"/>
          <w:sz w:val="18"/>
          <w:szCs w:val="18"/>
        </w:rPr>
        <w:t>Jonckheer</w:t>
      </w:r>
      <w:proofErr w:type="spellEnd"/>
      <w:r>
        <w:rPr>
          <w:rFonts w:ascii="Arial" w:eastAsia="Times New Roman" w:hAnsi="Arial" w:cs="Arial"/>
          <w:sz w:val="18"/>
          <w:szCs w:val="18"/>
        </w:rPr>
        <w:t xml:space="preserve">, U., </w:t>
      </w:r>
      <w:proofErr w:type="spellStart"/>
      <w:r>
        <w:rPr>
          <w:rFonts w:ascii="Arial" w:eastAsia="Times New Roman" w:hAnsi="Arial" w:cs="Arial"/>
          <w:sz w:val="18"/>
          <w:szCs w:val="18"/>
        </w:rPr>
        <w:t>Chakib</w:t>
      </w:r>
      <w:proofErr w:type="spellEnd"/>
      <w:r>
        <w:rPr>
          <w:rFonts w:ascii="Arial" w:eastAsia="Times New Roman" w:hAnsi="Arial" w:cs="Arial"/>
          <w:sz w:val="18"/>
          <w:szCs w:val="18"/>
        </w:rPr>
        <w:t xml:space="preserve">, W., </w:t>
      </w:r>
      <w:proofErr w:type="spellStart"/>
      <w:r>
        <w:rPr>
          <w:rFonts w:ascii="Arial" w:eastAsia="Times New Roman" w:hAnsi="Arial" w:cs="Arial"/>
          <w:sz w:val="18"/>
          <w:szCs w:val="18"/>
        </w:rPr>
        <w:t>Beine</w:t>
      </w:r>
      <w:proofErr w:type="spellEnd"/>
      <w:r>
        <w:rPr>
          <w:rFonts w:ascii="Arial" w:eastAsia="Times New Roman" w:hAnsi="Arial" w:cs="Arial"/>
          <w:sz w:val="18"/>
          <w:szCs w:val="18"/>
        </w:rPr>
        <w:t xml:space="preserve">, A., </w:t>
      </w:r>
      <w:proofErr w:type="spellStart"/>
      <w:r>
        <w:rPr>
          <w:rFonts w:ascii="Arial" w:eastAsia="Times New Roman" w:hAnsi="Arial" w:cs="Arial"/>
          <w:sz w:val="18"/>
          <w:szCs w:val="18"/>
        </w:rPr>
        <w:t>Bleyenheuft</w:t>
      </w:r>
      <w:proofErr w:type="spellEnd"/>
      <w:r>
        <w:rPr>
          <w:rFonts w:ascii="Arial" w:eastAsia="Times New Roman" w:hAnsi="Arial" w:cs="Arial"/>
          <w:sz w:val="18"/>
          <w:szCs w:val="18"/>
        </w:rPr>
        <w:t xml:space="preserve">, Y., &amp; De </w:t>
      </w:r>
      <w:proofErr w:type="spellStart"/>
      <w:r>
        <w:rPr>
          <w:rFonts w:ascii="Arial" w:eastAsia="Times New Roman" w:hAnsi="Arial" w:cs="Arial"/>
          <w:sz w:val="18"/>
          <w:szCs w:val="18"/>
        </w:rPr>
        <w:t>Volder</w:t>
      </w:r>
      <w:proofErr w:type="spellEnd"/>
      <w:r>
        <w:rPr>
          <w:rFonts w:ascii="Arial" w:eastAsia="Times New Roman" w:hAnsi="Arial" w:cs="Arial"/>
          <w:sz w:val="18"/>
          <w:szCs w:val="18"/>
        </w:rPr>
        <w:t>, A. G. (2022). Impact of physical exercise on depression and anxiety in adolescent inpatients: A randomized controlled trial. Journal of Affective Disorders, 301, 145–153. https://doi.org/10.1016/j.jad.2022.01.011</w:t>
      </w:r>
    </w:p>
    <w:p w14:paraId="4655068C" w14:textId="77777777" w:rsidR="00342487" w:rsidRDefault="00342487" w:rsidP="00342487">
      <w:pPr>
        <w:jc w:val="both"/>
        <w:rPr>
          <w:rFonts w:ascii="Arial" w:eastAsia="Times New Roman" w:hAnsi="Arial" w:cs="Arial"/>
          <w:sz w:val="18"/>
          <w:szCs w:val="18"/>
        </w:rPr>
      </w:pPr>
      <w:r>
        <w:rPr>
          <w:rFonts w:ascii="Arial" w:eastAsia="Times New Roman" w:hAnsi="Arial" w:cs="Arial"/>
          <w:sz w:val="18"/>
          <w:szCs w:val="18"/>
        </w:rPr>
        <w:t>Rosenberg, M. (1965). Society and the adolescent self-image. Princeton University Press. https://doi.org/10.1515/9781400876136</w:t>
      </w:r>
    </w:p>
    <w:p w14:paraId="1C4093B2" w14:textId="77777777" w:rsidR="00342487" w:rsidRDefault="00342487" w:rsidP="00342487">
      <w:pPr>
        <w:jc w:val="both"/>
        <w:rPr>
          <w:rFonts w:ascii="Arial" w:eastAsia="Times New Roman" w:hAnsi="Arial" w:cs="Arial"/>
          <w:sz w:val="18"/>
          <w:szCs w:val="18"/>
        </w:rPr>
      </w:pPr>
      <w:proofErr w:type="spellStart"/>
      <w:r w:rsidRPr="00342487">
        <w:rPr>
          <w:rFonts w:ascii="Arial" w:eastAsia="Times New Roman" w:hAnsi="Arial" w:cs="Arial"/>
          <w:sz w:val="18"/>
          <w:szCs w:val="18"/>
        </w:rPr>
        <w:t>Salari</w:t>
      </w:r>
      <w:proofErr w:type="spellEnd"/>
      <w:r w:rsidRPr="00342487">
        <w:rPr>
          <w:rFonts w:ascii="Arial" w:eastAsia="Times New Roman" w:hAnsi="Arial" w:cs="Arial"/>
          <w:sz w:val="18"/>
          <w:szCs w:val="18"/>
        </w:rPr>
        <w:t xml:space="preserve">, N., </w:t>
      </w:r>
      <w:proofErr w:type="spellStart"/>
      <w:r w:rsidRPr="00342487">
        <w:rPr>
          <w:rFonts w:ascii="Arial" w:eastAsia="Times New Roman" w:hAnsi="Arial" w:cs="Arial"/>
          <w:sz w:val="18"/>
          <w:szCs w:val="18"/>
        </w:rPr>
        <w:t>Darvishi</w:t>
      </w:r>
      <w:proofErr w:type="spellEnd"/>
      <w:r w:rsidRPr="00342487">
        <w:rPr>
          <w:rFonts w:ascii="Arial" w:eastAsia="Times New Roman" w:hAnsi="Arial" w:cs="Arial"/>
          <w:sz w:val="18"/>
          <w:szCs w:val="18"/>
        </w:rPr>
        <w:t xml:space="preserve">, N., </w:t>
      </w:r>
      <w:proofErr w:type="spellStart"/>
      <w:r w:rsidRPr="00342487">
        <w:rPr>
          <w:rFonts w:ascii="Arial" w:eastAsia="Times New Roman" w:hAnsi="Arial" w:cs="Arial"/>
          <w:sz w:val="18"/>
          <w:szCs w:val="18"/>
        </w:rPr>
        <w:t>Heydari</w:t>
      </w:r>
      <w:proofErr w:type="spellEnd"/>
      <w:r w:rsidRPr="00342487">
        <w:rPr>
          <w:rFonts w:ascii="Arial" w:eastAsia="Times New Roman" w:hAnsi="Arial" w:cs="Arial"/>
          <w:sz w:val="18"/>
          <w:szCs w:val="18"/>
        </w:rPr>
        <w:t xml:space="preserve">, M., </w:t>
      </w:r>
      <w:proofErr w:type="spellStart"/>
      <w:r w:rsidRPr="00342487">
        <w:rPr>
          <w:rFonts w:ascii="Arial" w:eastAsia="Times New Roman" w:hAnsi="Arial" w:cs="Arial"/>
          <w:sz w:val="18"/>
          <w:szCs w:val="18"/>
        </w:rPr>
        <w:t>Bokaee</w:t>
      </w:r>
      <w:proofErr w:type="spellEnd"/>
      <w:r w:rsidRPr="00342487">
        <w:rPr>
          <w:rFonts w:ascii="Arial" w:eastAsia="Times New Roman" w:hAnsi="Arial" w:cs="Arial"/>
          <w:sz w:val="18"/>
          <w:szCs w:val="18"/>
        </w:rPr>
        <w:t xml:space="preserve">, S., </w:t>
      </w:r>
      <w:proofErr w:type="spellStart"/>
      <w:r w:rsidRPr="00342487">
        <w:rPr>
          <w:rFonts w:ascii="Arial" w:eastAsia="Times New Roman" w:hAnsi="Arial" w:cs="Arial"/>
          <w:sz w:val="18"/>
          <w:szCs w:val="18"/>
        </w:rPr>
        <w:t>Darvishi</w:t>
      </w:r>
      <w:proofErr w:type="spellEnd"/>
      <w:r w:rsidRPr="00342487">
        <w:rPr>
          <w:rFonts w:ascii="Arial" w:eastAsia="Times New Roman" w:hAnsi="Arial" w:cs="Arial"/>
          <w:sz w:val="18"/>
          <w:szCs w:val="18"/>
        </w:rPr>
        <w:t xml:space="preserve">, F., &amp; </w:t>
      </w:r>
      <w:proofErr w:type="spellStart"/>
      <w:r w:rsidRPr="00342487">
        <w:rPr>
          <w:rFonts w:ascii="Arial" w:eastAsia="Times New Roman" w:hAnsi="Arial" w:cs="Arial"/>
          <w:sz w:val="18"/>
          <w:szCs w:val="18"/>
        </w:rPr>
        <w:t>Mohammadi</w:t>
      </w:r>
      <w:proofErr w:type="spellEnd"/>
      <w:r w:rsidRPr="00342487">
        <w:rPr>
          <w:rFonts w:ascii="Arial" w:eastAsia="Times New Roman" w:hAnsi="Arial" w:cs="Arial"/>
          <w:sz w:val="18"/>
          <w:szCs w:val="18"/>
        </w:rPr>
        <w:t xml:space="preserve">, M. (2022). </w:t>
      </w:r>
      <w:r>
        <w:rPr>
          <w:rFonts w:ascii="Arial" w:eastAsia="Times New Roman" w:hAnsi="Arial" w:cs="Arial"/>
          <w:sz w:val="18"/>
          <w:szCs w:val="18"/>
        </w:rPr>
        <w:t>Global prevalence of cleft palate, cleft lip and cleft palate and lip: A comprehensive systematic review and meta-analysis. Journal of Stomatology, Oral and Maxillofacial Surgery, 123(2), 110–120. https://doi.org/10.1016/j.jormas.2021.05.008</w:t>
      </w:r>
    </w:p>
    <w:p w14:paraId="19640DC4" w14:textId="77777777" w:rsidR="00342487" w:rsidRPr="00342487" w:rsidRDefault="00342487" w:rsidP="00342487">
      <w:pPr>
        <w:jc w:val="both"/>
        <w:rPr>
          <w:rFonts w:ascii="Arial" w:eastAsia="Times New Roman" w:hAnsi="Arial" w:cs="Arial"/>
          <w:sz w:val="18"/>
          <w:szCs w:val="18"/>
          <w:lang w:val="pt-BR"/>
        </w:rPr>
      </w:pPr>
      <w:r w:rsidRPr="00A30A0B">
        <w:rPr>
          <w:rFonts w:ascii="Arial" w:eastAsia="Times New Roman" w:hAnsi="Arial" w:cs="Arial"/>
          <w:sz w:val="18"/>
          <w:szCs w:val="18"/>
          <w:lang w:val="pt-BR"/>
        </w:rPr>
        <w:t xml:space="preserve">Sbicigo, J. B., Bandeira, D. R., &amp; Dell’Aglio, D. D. (2010). Escala de Autoestima de Rosenberg (EAR): validade fatorial e consistência interna. </w:t>
      </w:r>
      <w:r w:rsidRPr="00342487">
        <w:rPr>
          <w:rFonts w:ascii="Arial" w:eastAsia="Times New Roman" w:hAnsi="Arial" w:cs="Arial"/>
          <w:sz w:val="18"/>
          <w:szCs w:val="18"/>
          <w:lang w:val="pt-BR"/>
        </w:rPr>
        <w:t>Psico-USF, 15, 395–403. https://doi.org/10.1590/S1413-82712010000300012</w:t>
      </w:r>
    </w:p>
    <w:p w14:paraId="69D19FCF" w14:textId="77777777" w:rsidR="00342487" w:rsidRDefault="00342487" w:rsidP="00342487">
      <w:pPr>
        <w:jc w:val="both"/>
        <w:rPr>
          <w:rFonts w:ascii="Arial" w:eastAsia="Times New Roman" w:hAnsi="Arial" w:cs="Arial"/>
          <w:sz w:val="18"/>
          <w:szCs w:val="18"/>
        </w:rPr>
      </w:pPr>
      <w:r>
        <w:rPr>
          <w:rFonts w:ascii="Arial" w:eastAsia="Times New Roman" w:hAnsi="Arial" w:cs="Arial"/>
          <w:sz w:val="18"/>
          <w:szCs w:val="18"/>
        </w:rPr>
        <w:t xml:space="preserve">Schmitt, D. P., &amp; </w:t>
      </w:r>
      <w:proofErr w:type="spellStart"/>
      <w:r>
        <w:rPr>
          <w:rFonts w:ascii="Arial" w:eastAsia="Times New Roman" w:hAnsi="Arial" w:cs="Arial"/>
          <w:sz w:val="18"/>
          <w:szCs w:val="18"/>
        </w:rPr>
        <w:t>Allik</w:t>
      </w:r>
      <w:proofErr w:type="spellEnd"/>
      <w:r>
        <w:rPr>
          <w:rFonts w:ascii="Arial" w:eastAsia="Times New Roman" w:hAnsi="Arial" w:cs="Arial"/>
          <w:sz w:val="18"/>
          <w:szCs w:val="18"/>
        </w:rPr>
        <w:t>, J. (2005). Simultaneous administration of the Rosenberg Self-Esteem Scale in 53 nations: Exploring the universal and culture-specific features of global self-esteem. Journal of Personality and Social Psychology, 89(4), 623–642. https://doi.org/10.1037/0022-3514.89.4.623</w:t>
      </w:r>
    </w:p>
    <w:p w14:paraId="4B397974" w14:textId="77777777" w:rsidR="00342487" w:rsidRDefault="00342487" w:rsidP="00342487">
      <w:pPr>
        <w:jc w:val="both"/>
        <w:rPr>
          <w:rFonts w:ascii="Arial" w:eastAsia="Times New Roman" w:hAnsi="Arial" w:cs="Arial"/>
          <w:sz w:val="18"/>
          <w:szCs w:val="18"/>
        </w:rPr>
      </w:pPr>
      <w:r w:rsidRPr="00A30A0B">
        <w:rPr>
          <w:rFonts w:ascii="Arial" w:eastAsia="Times New Roman" w:hAnsi="Arial" w:cs="Arial"/>
          <w:sz w:val="18"/>
          <w:szCs w:val="18"/>
          <w:lang w:val="fr-FR"/>
        </w:rPr>
        <w:t xml:space="preserve">Steiger, A. E., Allemand, M., Robins, R. W., &amp; Fend, H. A. (2014). </w:t>
      </w:r>
      <w:r>
        <w:rPr>
          <w:rFonts w:ascii="Arial" w:eastAsia="Times New Roman" w:hAnsi="Arial" w:cs="Arial"/>
          <w:sz w:val="18"/>
          <w:szCs w:val="18"/>
        </w:rPr>
        <w:t>Low and decreasing self-esteem during adolescence predict adult depression two decades later. Journal of Personality and Social Psychology, 106(2), 325–338. https://doi.org/10.1037/a0035133</w:t>
      </w:r>
    </w:p>
    <w:p w14:paraId="060B9CFC" w14:textId="77777777" w:rsidR="00342487" w:rsidRDefault="00342487" w:rsidP="00342487">
      <w:pPr>
        <w:jc w:val="both"/>
        <w:rPr>
          <w:rFonts w:ascii="Arial" w:eastAsia="Times New Roman" w:hAnsi="Arial" w:cs="Arial"/>
          <w:sz w:val="18"/>
          <w:szCs w:val="18"/>
        </w:rPr>
      </w:pPr>
      <w:proofErr w:type="spellStart"/>
      <w:r>
        <w:rPr>
          <w:rFonts w:ascii="Arial" w:eastAsia="Times New Roman" w:hAnsi="Arial" w:cs="Arial"/>
          <w:sz w:val="18"/>
          <w:szCs w:val="18"/>
        </w:rPr>
        <w:lastRenderedPageBreak/>
        <w:t>Weersing</w:t>
      </w:r>
      <w:proofErr w:type="spellEnd"/>
      <w:r>
        <w:rPr>
          <w:rFonts w:ascii="Arial" w:eastAsia="Times New Roman" w:hAnsi="Arial" w:cs="Arial"/>
          <w:sz w:val="18"/>
          <w:szCs w:val="18"/>
        </w:rPr>
        <w:t xml:space="preserve">, V. R., Jeffreys, M., Do, M.-C. T., Schwartz, K. T., &amp; </w:t>
      </w:r>
      <w:proofErr w:type="spellStart"/>
      <w:r>
        <w:rPr>
          <w:rFonts w:ascii="Arial" w:eastAsia="Times New Roman" w:hAnsi="Arial" w:cs="Arial"/>
          <w:sz w:val="18"/>
          <w:szCs w:val="18"/>
        </w:rPr>
        <w:t>Bolano</w:t>
      </w:r>
      <w:proofErr w:type="spellEnd"/>
      <w:r>
        <w:rPr>
          <w:rFonts w:ascii="Arial" w:eastAsia="Times New Roman" w:hAnsi="Arial" w:cs="Arial"/>
          <w:sz w:val="18"/>
          <w:szCs w:val="18"/>
        </w:rPr>
        <w:t>, C. (2017). Evidence base update of psychosocial treatments for child and adolescent depression. Journal of Clinical Child &amp; Adolescent Psychology, 46(1), 11–43. https://doi.org/10.1080/15374416.2016.1220310</w:t>
      </w:r>
    </w:p>
    <w:p w14:paraId="78AB947E" w14:textId="77777777" w:rsidR="00F9369A" w:rsidRPr="00650DFF" w:rsidRDefault="00F9369A" w:rsidP="00644A74">
      <w:pPr>
        <w:spacing w:before="120" w:after="0" w:line="276" w:lineRule="auto"/>
        <w:jc w:val="both"/>
        <w:rPr>
          <w:rFonts w:ascii="Arial" w:hAnsi="Arial" w:cs="Arial"/>
          <w:noProof/>
          <w:sz w:val="20"/>
          <w:szCs w:val="20"/>
        </w:rPr>
      </w:pPr>
    </w:p>
    <w:p w14:paraId="0FA3C99C" w14:textId="77777777" w:rsidR="008C2B07" w:rsidRDefault="008C2B07"/>
    <w:sectPr w:rsidR="008C2B07" w:rsidSect="00644A74">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BCBC8" w14:textId="77777777" w:rsidR="008B3512" w:rsidRDefault="008B3512" w:rsidP="0033186C">
      <w:pPr>
        <w:spacing w:after="0" w:line="240" w:lineRule="auto"/>
      </w:pPr>
      <w:r>
        <w:separator/>
      </w:r>
    </w:p>
  </w:endnote>
  <w:endnote w:type="continuationSeparator" w:id="0">
    <w:p w14:paraId="11D8B77F" w14:textId="77777777" w:rsidR="008B3512" w:rsidRDefault="008B3512" w:rsidP="00331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Narrow">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3D54F" w14:textId="77777777" w:rsidR="0033186C" w:rsidRDefault="00331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8981D" w14:textId="77777777" w:rsidR="0033186C" w:rsidRDefault="003318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25ACB" w14:textId="77777777" w:rsidR="0033186C" w:rsidRDefault="00331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DF2E6" w14:textId="77777777" w:rsidR="008B3512" w:rsidRDefault="008B3512" w:rsidP="0033186C">
      <w:pPr>
        <w:spacing w:after="0" w:line="240" w:lineRule="auto"/>
      </w:pPr>
      <w:r>
        <w:separator/>
      </w:r>
    </w:p>
  </w:footnote>
  <w:footnote w:type="continuationSeparator" w:id="0">
    <w:p w14:paraId="1216F9AB" w14:textId="77777777" w:rsidR="008B3512" w:rsidRDefault="008B3512" w:rsidP="00331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03748" w14:textId="09C28433" w:rsidR="0033186C" w:rsidRDefault="0033186C">
    <w:pPr>
      <w:pStyle w:val="Header"/>
    </w:pPr>
    <w:r>
      <w:rPr>
        <w:noProof/>
      </w:rPr>
      <w:pict w14:anchorId="7A397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241547" o:spid="_x0000_s2050" type="#_x0000_t136" style="position:absolute;margin-left:0;margin-top:0;width:538.65pt;height:60.7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4A0F3" w14:textId="5E0DE256" w:rsidR="0033186C" w:rsidRDefault="0033186C">
    <w:pPr>
      <w:pStyle w:val="Header"/>
    </w:pPr>
    <w:r>
      <w:rPr>
        <w:noProof/>
      </w:rPr>
      <w:pict w14:anchorId="27395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241548" o:spid="_x0000_s2051" type="#_x0000_t136" style="position:absolute;margin-left:0;margin-top:0;width:538.65pt;height:60.7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883BE" w14:textId="41216CDD" w:rsidR="0033186C" w:rsidRDefault="0033186C">
    <w:pPr>
      <w:pStyle w:val="Header"/>
    </w:pPr>
    <w:r>
      <w:rPr>
        <w:noProof/>
      </w:rPr>
      <w:pict w14:anchorId="3FB295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241546" o:spid="_x0000_s2049" type="#_x0000_t136" style="position:absolute;margin-left:0;margin-top:0;width:538.65pt;height:60.7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3904E9"/>
    <w:multiLevelType w:val="hybridMultilevel"/>
    <w:tmpl w:val="3BC2CC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6549617D"/>
    <w:multiLevelType w:val="hybridMultilevel"/>
    <w:tmpl w:val="5800734E"/>
    <w:lvl w:ilvl="0" w:tplc="0416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7D4007D"/>
    <w:multiLevelType w:val="hybridMultilevel"/>
    <w:tmpl w:val="96C48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5D5DD3"/>
    <w:multiLevelType w:val="hybridMultilevel"/>
    <w:tmpl w:val="7252580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44A74"/>
    <w:rsid w:val="000C283C"/>
    <w:rsid w:val="00120156"/>
    <w:rsid w:val="002406FD"/>
    <w:rsid w:val="00253CAD"/>
    <w:rsid w:val="0033186C"/>
    <w:rsid w:val="00342487"/>
    <w:rsid w:val="00406896"/>
    <w:rsid w:val="00471836"/>
    <w:rsid w:val="004F4A86"/>
    <w:rsid w:val="004F7747"/>
    <w:rsid w:val="00517101"/>
    <w:rsid w:val="00564AC9"/>
    <w:rsid w:val="00575B46"/>
    <w:rsid w:val="00601D9B"/>
    <w:rsid w:val="00644A74"/>
    <w:rsid w:val="00650DFF"/>
    <w:rsid w:val="006830FA"/>
    <w:rsid w:val="006A6B93"/>
    <w:rsid w:val="006B4450"/>
    <w:rsid w:val="006F224F"/>
    <w:rsid w:val="007D2C6C"/>
    <w:rsid w:val="007E1BEC"/>
    <w:rsid w:val="008B3512"/>
    <w:rsid w:val="008C2B07"/>
    <w:rsid w:val="00965737"/>
    <w:rsid w:val="009A6EE8"/>
    <w:rsid w:val="009B4DAD"/>
    <w:rsid w:val="009C5656"/>
    <w:rsid w:val="00AC6A11"/>
    <w:rsid w:val="00B171B6"/>
    <w:rsid w:val="00B45F8A"/>
    <w:rsid w:val="00BD4D0E"/>
    <w:rsid w:val="00BE0DCD"/>
    <w:rsid w:val="00C07F8F"/>
    <w:rsid w:val="00C84DFE"/>
    <w:rsid w:val="00C851D4"/>
    <w:rsid w:val="00CB78C7"/>
    <w:rsid w:val="00D12CEA"/>
    <w:rsid w:val="00DA3119"/>
    <w:rsid w:val="00DC7C8A"/>
    <w:rsid w:val="00F045AF"/>
    <w:rsid w:val="00F12528"/>
    <w:rsid w:val="00F250C4"/>
    <w:rsid w:val="00F768B5"/>
    <w:rsid w:val="00F9369A"/>
    <w:rsid w:val="00FB7BF2"/>
    <w:rsid w:val="00FD67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11823A"/>
  <w15:chartTrackingRefBased/>
  <w15:docId w15:val="{F49D3683-1B03-4A54-90DA-D072E701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4A74"/>
    <w:rPr>
      <w:lang w:val="en-US"/>
    </w:rPr>
  </w:style>
  <w:style w:type="paragraph" w:styleId="Heading1">
    <w:name w:val="heading 1"/>
    <w:basedOn w:val="Normal"/>
    <w:next w:val="Normal"/>
    <w:link w:val="Heading1Char"/>
    <w:uiPriority w:val="9"/>
    <w:qFormat/>
    <w:rsid w:val="00644A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A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A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A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A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A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A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A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A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A74"/>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644A74"/>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644A74"/>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644A74"/>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644A74"/>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644A74"/>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644A74"/>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644A74"/>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644A74"/>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644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A74"/>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644A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A74"/>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644A74"/>
    <w:pPr>
      <w:spacing w:before="160"/>
      <w:jc w:val="center"/>
    </w:pPr>
    <w:rPr>
      <w:i/>
      <w:iCs/>
      <w:color w:val="404040" w:themeColor="text1" w:themeTint="BF"/>
    </w:rPr>
  </w:style>
  <w:style w:type="character" w:customStyle="1" w:styleId="QuoteChar">
    <w:name w:val="Quote Char"/>
    <w:basedOn w:val="DefaultParagraphFont"/>
    <w:link w:val="Quote"/>
    <w:uiPriority w:val="29"/>
    <w:rsid w:val="00644A74"/>
    <w:rPr>
      <w:i/>
      <w:iCs/>
      <w:color w:val="404040" w:themeColor="text1" w:themeTint="BF"/>
      <w:lang w:val="en-US"/>
    </w:rPr>
  </w:style>
  <w:style w:type="paragraph" w:styleId="ListParagraph">
    <w:name w:val="List Paragraph"/>
    <w:basedOn w:val="Normal"/>
    <w:uiPriority w:val="34"/>
    <w:qFormat/>
    <w:rsid w:val="00644A74"/>
    <w:pPr>
      <w:ind w:left="720"/>
      <w:contextualSpacing/>
    </w:pPr>
  </w:style>
  <w:style w:type="character" w:styleId="IntenseEmphasis">
    <w:name w:val="Intense Emphasis"/>
    <w:basedOn w:val="DefaultParagraphFont"/>
    <w:uiPriority w:val="21"/>
    <w:qFormat/>
    <w:rsid w:val="00644A74"/>
    <w:rPr>
      <w:i/>
      <w:iCs/>
      <w:color w:val="0F4761" w:themeColor="accent1" w:themeShade="BF"/>
    </w:rPr>
  </w:style>
  <w:style w:type="paragraph" w:styleId="IntenseQuote">
    <w:name w:val="Intense Quote"/>
    <w:basedOn w:val="Normal"/>
    <w:next w:val="Normal"/>
    <w:link w:val="IntenseQuoteChar"/>
    <w:uiPriority w:val="30"/>
    <w:qFormat/>
    <w:rsid w:val="00644A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A74"/>
    <w:rPr>
      <w:i/>
      <w:iCs/>
      <w:color w:val="0F4761" w:themeColor="accent1" w:themeShade="BF"/>
      <w:lang w:val="en-US"/>
    </w:rPr>
  </w:style>
  <w:style w:type="character" w:styleId="IntenseReference">
    <w:name w:val="Intense Reference"/>
    <w:basedOn w:val="DefaultParagraphFont"/>
    <w:uiPriority w:val="32"/>
    <w:qFormat/>
    <w:rsid w:val="00644A74"/>
    <w:rPr>
      <w:b/>
      <w:bCs/>
      <w:smallCaps/>
      <w:color w:val="0F4761" w:themeColor="accent1" w:themeShade="BF"/>
      <w:spacing w:val="5"/>
    </w:rPr>
  </w:style>
  <w:style w:type="paragraph" w:styleId="NormalWeb">
    <w:name w:val="Normal (Web)"/>
    <w:basedOn w:val="Normal"/>
    <w:uiPriority w:val="99"/>
    <w:semiHidden/>
    <w:unhideWhenUsed/>
    <w:rsid w:val="00644A74"/>
    <w:rPr>
      <w:rFonts w:ascii="Times New Roman" w:hAnsi="Times New Roman" w:cs="Times New Roman"/>
    </w:rPr>
  </w:style>
  <w:style w:type="character" w:styleId="Hyperlink">
    <w:name w:val="Hyperlink"/>
    <w:basedOn w:val="DefaultParagraphFont"/>
    <w:uiPriority w:val="99"/>
    <w:unhideWhenUsed/>
    <w:rsid w:val="00644A74"/>
    <w:rPr>
      <w:color w:val="467886" w:themeColor="hyperlink"/>
      <w:u w:val="single"/>
    </w:rPr>
  </w:style>
  <w:style w:type="character" w:customStyle="1" w:styleId="MenoPendente1">
    <w:name w:val="Menção Pendente1"/>
    <w:basedOn w:val="DefaultParagraphFont"/>
    <w:uiPriority w:val="99"/>
    <w:semiHidden/>
    <w:unhideWhenUsed/>
    <w:rsid w:val="00644A74"/>
    <w:rPr>
      <w:color w:val="605E5C"/>
      <w:shd w:val="clear" w:color="auto" w:fill="E1DFDD"/>
    </w:rPr>
  </w:style>
  <w:style w:type="character" w:styleId="Strong">
    <w:name w:val="Strong"/>
    <w:basedOn w:val="DefaultParagraphFont"/>
    <w:uiPriority w:val="22"/>
    <w:qFormat/>
    <w:rsid w:val="00644A74"/>
    <w:rPr>
      <w:b/>
      <w:bCs/>
    </w:rPr>
  </w:style>
  <w:style w:type="character" w:customStyle="1" w:styleId="Nenhum">
    <w:name w:val="Nenhum"/>
    <w:rsid w:val="00644A74"/>
  </w:style>
  <w:style w:type="paragraph" w:customStyle="1" w:styleId="EndNoteBibliographyTitle">
    <w:name w:val="EndNote Bibliography Title"/>
    <w:basedOn w:val="Normal"/>
    <w:link w:val="EndNoteBibliographyTitleChar"/>
    <w:rsid w:val="00644A74"/>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644A74"/>
    <w:rPr>
      <w:rFonts w:ascii="Aptos" w:hAnsi="Aptos"/>
      <w:noProof/>
      <w:lang w:val="en-US"/>
    </w:rPr>
  </w:style>
  <w:style w:type="paragraph" w:customStyle="1" w:styleId="EndNoteBibliography">
    <w:name w:val="EndNote Bibliography"/>
    <w:basedOn w:val="Normal"/>
    <w:link w:val="EndNoteBibliographyChar"/>
    <w:rsid w:val="00644A74"/>
    <w:pPr>
      <w:spacing w:line="240" w:lineRule="auto"/>
      <w:jc w:val="both"/>
    </w:pPr>
    <w:rPr>
      <w:rFonts w:ascii="Aptos" w:hAnsi="Aptos"/>
      <w:noProof/>
    </w:rPr>
  </w:style>
  <w:style w:type="character" w:customStyle="1" w:styleId="EndNoteBibliographyChar">
    <w:name w:val="EndNote Bibliography Char"/>
    <w:basedOn w:val="DefaultParagraphFont"/>
    <w:link w:val="EndNoteBibliography"/>
    <w:rsid w:val="00644A74"/>
    <w:rPr>
      <w:rFonts w:ascii="Aptos" w:hAnsi="Aptos"/>
      <w:noProof/>
      <w:lang w:val="en-US"/>
    </w:rPr>
  </w:style>
  <w:style w:type="paragraph" w:styleId="BalloonText">
    <w:name w:val="Balloon Text"/>
    <w:basedOn w:val="Normal"/>
    <w:link w:val="BalloonTextChar"/>
    <w:uiPriority w:val="99"/>
    <w:semiHidden/>
    <w:unhideWhenUsed/>
    <w:rsid w:val="00644A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A74"/>
    <w:rPr>
      <w:rFonts w:ascii="Segoe UI" w:hAnsi="Segoe UI" w:cs="Segoe UI"/>
      <w:sz w:val="18"/>
      <w:szCs w:val="18"/>
      <w:lang w:val="en-US"/>
    </w:rPr>
  </w:style>
  <w:style w:type="paragraph" w:customStyle="1" w:styleId="ReferHead">
    <w:name w:val="Refer Head"/>
    <w:basedOn w:val="Normal"/>
    <w:rsid w:val="009C5656"/>
    <w:pPr>
      <w:keepNext/>
      <w:spacing w:after="240" w:line="240" w:lineRule="auto"/>
    </w:pPr>
    <w:rPr>
      <w:rFonts w:ascii="Helvetica" w:eastAsia="Times New Roman" w:hAnsi="Helvetica" w:cs="Times New Roman"/>
      <w:b/>
      <w:caps/>
      <w:kern w:val="0"/>
      <w:sz w:val="22"/>
      <w:szCs w:val="20"/>
      <w14:ligatures w14:val="none"/>
    </w:rPr>
  </w:style>
  <w:style w:type="character" w:styleId="UnresolvedMention">
    <w:name w:val="Unresolved Mention"/>
    <w:basedOn w:val="DefaultParagraphFont"/>
    <w:uiPriority w:val="99"/>
    <w:semiHidden/>
    <w:unhideWhenUsed/>
    <w:rsid w:val="00AC6A11"/>
    <w:rPr>
      <w:color w:val="605E5C"/>
      <w:shd w:val="clear" w:color="auto" w:fill="E1DFDD"/>
    </w:rPr>
  </w:style>
  <w:style w:type="paragraph" w:styleId="Header">
    <w:name w:val="header"/>
    <w:basedOn w:val="Normal"/>
    <w:link w:val="HeaderChar"/>
    <w:uiPriority w:val="99"/>
    <w:unhideWhenUsed/>
    <w:rsid w:val="00331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86C"/>
    <w:rPr>
      <w:lang w:val="en-US"/>
    </w:rPr>
  </w:style>
  <w:style w:type="paragraph" w:styleId="Footer">
    <w:name w:val="footer"/>
    <w:basedOn w:val="Normal"/>
    <w:link w:val="FooterChar"/>
    <w:uiPriority w:val="99"/>
    <w:unhideWhenUsed/>
    <w:rsid w:val="00331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86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823715">
      <w:bodyDiv w:val="1"/>
      <w:marLeft w:val="0"/>
      <w:marRight w:val="0"/>
      <w:marTop w:val="0"/>
      <w:marBottom w:val="0"/>
      <w:divBdr>
        <w:top w:val="none" w:sz="0" w:space="0" w:color="auto"/>
        <w:left w:val="none" w:sz="0" w:space="0" w:color="auto"/>
        <w:bottom w:val="none" w:sz="0" w:space="0" w:color="auto"/>
        <w:right w:val="none" w:sz="0" w:space="0" w:color="auto"/>
      </w:divBdr>
    </w:div>
    <w:div w:id="1971009719">
      <w:bodyDiv w:val="1"/>
      <w:marLeft w:val="0"/>
      <w:marRight w:val="0"/>
      <w:marTop w:val="0"/>
      <w:marBottom w:val="0"/>
      <w:divBdr>
        <w:top w:val="none" w:sz="0" w:space="0" w:color="auto"/>
        <w:left w:val="none" w:sz="0" w:space="0" w:color="auto"/>
        <w:bottom w:val="none" w:sz="0" w:space="0" w:color="auto"/>
        <w:right w:val="none" w:sz="0" w:space="0" w:color="auto"/>
      </w:divBdr>
    </w:div>
    <w:div w:id="207542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5452</Words>
  <Characters>31079</Characters>
  <Application>Microsoft Office Word</Application>
  <DocSecurity>0</DocSecurity>
  <Lines>258</Lines>
  <Paragraphs>72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 Orlando</dc:creator>
  <cp:keywords/>
  <dc:description/>
  <cp:lastModifiedBy>SDI 1084</cp:lastModifiedBy>
  <cp:revision>7</cp:revision>
  <dcterms:created xsi:type="dcterms:W3CDTF">2026-01-03T13:07:00Z</dcterms:created>
  <dcterms:modified xsi:type="dcterms:W3CDTF">2026-01-05T12:40:00Z</dcterms:modified>
</cp:coreProperties>
</file>