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320BF" w14:textId="12981135" w:rsidR="005A350C" w:rsidRPr="00C223C3" w:rsidRDefault="005A350C" w:rsidP="00FC0BED">
      <w:pPr>
        <w:spacing w:line="276" w:lineRule="auto"/>
        <w:jc w:val="right"/>
        <w:rPr>
          <w:rFonts w:ascii="Arial" w:hAnsi="Arial" w:cs="Arial"/>
          <w:b/>
          <w:color w:val="000000" w:themeColor="text1"/>
          <w:sz w:val="36"/>
          <w:szCs w:val="36"/>
        </w:rPr>
      </w:pPr>
      <w:bookmarkStart w:id="0" w:name="_Hlk217384766"/>
      <w:r w:rsidRPr="00C223C3">
        <w:rPr>
          <w:rFonts w:ascii="Arial" w:hAnsi="Arial" w:cs="Arial"/>
          <w:b/>
          <w:color w:val="000000" w:themeColor="text1"/>
          <w:sz w:val="36"/>
          <w:szCs w:val="36"/>
        </w:rPr>
        <w:t xml:space="preserve">Neuroendocrinological Diseases </w:t>
      </w:r>
      <w:proofErr w:type="gramStart"/>
      <w:r w:rsidRPr="00C223C3">
        <w:rPr>
          <w:rFonts w:ascii="Arial" w:hAnsi="Arial" w:cs="Arial"/>
          <w:b/>
          <w:color w:val="000000" w:themeColor="text1"/>
          <w:sz w:val="36"/>
          <w:szCs w:val="36"/>
        </w:rPr>
        <w:t>In</w:t>
      </w:r>
      <w:proofErr w:type="gramEnd"/>
      <w:r w:rsidRPr="00C223C3">
        <w:rPr>
          <w:rFonts w:ascii="Arial" w:hAnsi="Arial" w:cs="Arial"/>
          <w:b/>
          <w:color w:val="000000" w:themeColor="text1"/>
          <w:sz w:val="36"/>
          <w:szCs w:val="36"/>
        </w:rPr>
        <w:t xml:space="preserve"> The </w:t>
      </w:r>
      <w:bookmarkEnd w:id="0"/>
      <w:proofErr w:type="spellStart"/>
      <w:r w:rsidRPr="00C223C3">
        <w:rPr>
          <w:rFonts w:ascii="Arial" w:hAnsi="Arial" w:cs="Arial"/>
          <w:b/>
          <w:color w:val="000000" w:themeColor="text1"/>
          <w:sz w:val="36"/>
          <w:szCs w:val="36"/>
        </w:rPr>
        <w:t>unicipality</w:t>
      </w:r>
      <w:proofErr w:type="spellEnd"/>
      <w:r w:rsidRPr="00C223C3">
        <w:rPr>
          <w:rFonts w:ascii="Arial" w:hAnsi="Arial" w:cs="Arial"/>
          <w:b/>
          <w:color w:val="000000" w:themeColor="text1"/>
          <w:sz w:val="36"/>
          <w:szCs w:val="36"/>
        </w:rPr>
        <w:t xml:space="preserve"> Of </w:t>
      </w:r>
      <w:proofErr w:type="spellStart"/>
      <w:r w:rsidRPr="00C223C3">
        <w:rPr>
          <w:rFonts w:ascii="Arial" w:hAnsi="Arial" w:cs="Arial"/>
          <w:b/>
          <w:color w:val="000000" w:themeColor="text1"/>
          <w:sz w:val="36"/>
          <w:szCs w:val="36"/>
        </w:rPr>
        <w:t>Chapecó</w:t>
      </w:r>
      <w:proofErr w:type="spellEnd"/>
      <w:r w:rsidRPr="00C223C3">
        <w:rPr>
          <w:rFonts w:ascii="Arial" w:hAnsi="Arial" w:cs="Arial"/>
          <w:b/>
          <w:color w:val="000000" w:themeColor="text1"/>
          <w:sz w:val="36"/>
          <w:szCs w:val="36"/>
        </w:rPr>
        <w:t>/S</w:t>
      </w:r>
      <w:r w:rsidR="00BB14AE" w:rsidRPr="00C223C3">
        <w:rPr>
          <w:rFonts w:ascii="Arial" w:hAnsi="Arial" w:cs="Arial"/>
          <w:b/>
          <w:color w:val="000000" w:themeColor="text1"/>
          <w:sz w:val="36"/>
          <w:szCs w:val="36"/>
        </w:rPr>
        <w:t>C</w:t>
      </w:r>
      <w:r w:rsidR="00EC4191">
        <w:rPr>
          <w:rFonts w:ascii="Arial" w:hAnsi="Arial" w:cs="Arial"/>
          <w:b/>
          <w:color w:val="000000" w:themeColor="text1"/>
          <w:sz w:val="36"/>
          <w:szCs w:val="36"/>
        </w:rPr>
        <w:t>, Brazil</w:t>
      </w:r>
    </w:p>
    <w:p w14:paraId="0F9B23CC" w14:textId="77777777" w:rsidR="00A258C3" w:rsidRPr="00C223C3" w:rsidRDefault="00A258C3" w:rsidP="00FC0BED">
      <w:pPr>
        <w:pStyle w:val="Author"/>
        <w:spacing w:line="276" w:lineRule="auto"/>
        <w:rPr>
          <w:rFonts w:ascii="Arial" w:hAnsi="Arial" w:cs="Arial"/>
          <w:color w:val="000000" w:themeColor="text1"/>
          <w:sz w:val="36"/>
        </w:rPr>
      </w:pPr>
    </w:p>
    <w:p w14:paraId="38CD4403" w14:textId="77777777" w:rsidR="00FC0BED" w:rsidRPr="00C223C3" w:rsidRDefault="00FC0BED" w:rsidP="00FC0BED">
      <w:pPr>
        <w:pStyle w:val="Affiliation"/>
        <w:spacing w:after="0" w:line="276" w:lineRule="auto"/>
        <w:rPr>
          <w:rFonts w:ascii="Arial" w:hAnsi="Arial" w:cs="Arial"/>
          <w:color w:val="000000" w:themeColor="text1"/>
        </w:rPr>
      </w:pPr>
    </w:p>
    <w:tbl>
      <w:tblPr>
        <w:tblStyle w:val="TableGrid"/>
        <w:tblW w:w="8505" w:type="dxa"/>
        <w:tblLook w:val="04A0" w:firstRow="1" w:lastRow="0" w:firstColumn="1" w:lastColumn="0" w:noHBand="0" w:noVBand="1"/>
      </w:tblPr>
      <w:tblGrid>
        <w:gridCol w:w="8505"/>
      </w:tblGrid>
      <w:tr w:rsidR="00FC0BED" w:rsidRPr="00C223C3" w14:paraId="46DF90D3" w14:textId="77777777" w:rsidTr="00E37B05">
        <w:tc>
          <w:tcPr>
            <w:tcW w:w="8505" w:type="dxa"/>
            <w:tcBorders>
              <w:left w:val="nil"/>
              <w:bottom w:val="nil"/>
              <w:right w:val="nil"/>
            </w:tcBorders>
          </w:tcPr>
          <w:p w14:paraId="35B6F4F1" w14:textId="77777777" w:rsidR="00FC0BED" w:rsidRPr="00C223C3" w:rsidRDefault="00FC0BED" w:rsidP="00FC0BED">
            <w:pPr>
              <w:pStyle w:val="Affiliation"/>
              <w:tabs>
                <w:tab w:val="left" w:pos="480"/>
              </w:tabs>
              <w:spacing w:after="0" w:line="276" w:lineRule="auto"/>
              <w:jc w:val="left"/>
              <w:rPr>
                <w:rFonts w:ascii="Arial" w:hAnsi="Arial" w:cs="Arial"/>
                <w:color w:val="000000" w:themeColor="text1"/>
              </w:rPr>
            </w:pPr>
          </w:p>
        </w:tc>
      </w:tr>
    </w:tbl>
    <w:p w14:paraId="02CE014A" w14:textId="77777777" w:rsidR="002C57D2" w:rsidRPr="00C223C3" w:rsidRDefault="002C57D2" w:rsidP="00FC0BED">
      <w:pPr>
        <w:pStyle w:val="Affiliation"/>
        <w:spacing w:after="0" w:line="276" w:lineRule="auto"/>
        <w:jc w:val="both"/>
        <w:rPr>
          <w:rFonts w:ascii="Arial" w:hAnsi="Arial" w:cs="Arial"/>
          <w:color w:val="000000" w:themeColor="text1"/>
          <w:lang w:val="pt-BR"/>
        </w:rPr>
      </w:pPr>
    </w:p>
    <w:p w14:paraId="34142E7A" w14:textId="6AEF209B" w:rsidR="00B01FCD" w:rsidRPr="00C223C3" w:rsidRDefault="00E005BC" w:rsidP="00FC0BED">
      <w:pPr>
        <w:pStyle w:val="Copyright"/>
        <w:spacing w:after="0" w:line="276" w:lineRule="auto"/>
        <w:jc w:val="both"/>
        <w:rPr>
          <w:rFonts w:ascii="Arial" w:hAnsi="Arial" w:cs="Arial"/>
          <w:color w:val="000000" w:themeColor="text1"/>
        </w:rPr>
        <w:sectPr w:rsidR="00B01FCD" w:rsidRPr="00C223C3" w:rsidSect="00DD4BD0">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1417" w:left="1701" w:header="720" w:footer="1296" w:gutter="0"/>
          <w:cols w:space="720"/>
          <w:docGrid w:linePitch="272"/>
        </w:sectPr>
      </w:pPr>
      <w:r w:rsidRPr="00C223C3">
        <w:rPr>
          <w:rFonts w:ascii="Arial" w:hAnsi="Arial" w:cs="Arial"/>
          <w:noProof/>
          <w:color w:val="000000" w:themeColor="text1"/>
        </w:rPr>
        <mc:AlternateContent>
          <mc:Choice Requires="wps">
            <w:drawing>
              <wp:inline distT="0" distB="0" distL="0" distR="0" wp14:anchorId="44973FD1" wp14:editId="42204475">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5F5493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C223C3">
        <w:rPr>
          <w:rFonts w:ascii="Arial" w:hAnsi="Arial" w:cs="Arial"/>
          <w:color w:val="000000" w:themeColor="text1"/>
        </w:rPr>
        <w:t>.</w:t>
      </w:r>
    </w:p>
    <w:p w14:paraId="369D7052" w14:textId="77777777" w:rsidR="0067390A" w:rsidRPr="00C223C3" w:rsidRDefault="0067390A" w:rsidP="00441B6F">
      <w:pPr>
        <w:pStyle w:val="AbstHead"/>
        <w:spacing w:after="0"/>
        <w:jc w:val="both"/>
        <w:rPr>
          <w:rFonts w:ascii="Arial" w:hAnsi="Arial" w:cs="Arial"/>
          <w:color w:val="000000" w:themeColor="text1"/>
        </w:rPr>
      </w:pPr>
    </w:p>
    <w:p w14:paraId="0547D9D0" w14:textId="61DEACF0" w:rsidR="00B01FCD" w:rsidRPr="00C223C3" w:rsidRDefault="00B01FCD" w:rsidP="00441B6F">
      <w:pPr>
        <w:pStyle w:val="AbstHead"/>
        <w:spacing w:after="0"/>
        <w:jc w:val="both"/>
        <w:rPr>
          <w:rFonts w:ascii="Arial" w:hAnsi="Arial" w:cs="Arial"/>
          <w:color w:val="000000" w:themeColor="text1"/>
        </w:rPr>
      </w:pPr>
      <w:r w:rsidRPr="00C223C3">
        <w:rPr>
          <w:rFonts w:ascii="Arial" w:hAnsi="Arial" w:cs="Arial"/>
          <w:color w:val="000000" w:themeColor="text1"/>
        </w:rPr>
        <w:t>ABSTRACT</w:t>
      </w:r>
    </w:p>
    <w:p w14:paraId="307BC2BA" w14:textId="77777777" w:rsidR="00790ADA" w:rsidRPr="00C223C3"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28"/>
      </w:tblGrid>
      <w:tr w:rsidR="00296529" w:rsidRPr="00C223C3" w14:paraId="469AA8F0" w14:textId="77777777" w:rsidTr="001E44FE">
        <w:tc>
          <w:tcPr>
            <w:tcW w:w="9576" w:type="dxa"/>
            <w:shd w:val="clear" w:color="auto" w:fill="F2F2F2"/>
          </w:tcPr>
          <w:p w14:paraId="60701320" w14:textId="34B598F4" w:rsidR="00505F06" w:rsidRPr="00C223C3" w:rsidRDefault="00D422D0" w:rsidP="00441B6F">
            <w:pPr>
              <w:pStyle w:val="Body"/>
              <w:spacing w:after="0"/>
              <w:rPr>
                <w:rFonts w:ascii="Arial" w:eastAsia="Calibri" w:hAnsi="Arial" w:cs="Arial"/>
                <w:color w:val="000000" w:themeColor="text1"/>
                <w:szCs w:val="22"/>
              </w:rPr>
            </w:pPr>
            <w:r w:rsidRPr="00C223C3">
              <w:rPr>
                <w:rFonts w:ascii="Arial" w:eastAsia="Calibri" w:hAnsi="Arial" w:cs="Arial"/>
                <w:color w:val="000000" w:themeColor="text1"/>
                <w:szCs w:val="22"/>
              </w:rPr>
              <w:t xml:space="preserve">Due to the scarcity of information on pituitary diseases, this study aimed to identify the clinical and therapeutic profile of patients with pituitary disorders, including prolactinoma, acromegaly, and Cushing’s syndrome, treated at a neuroendocrinology referral clinic. This is a retrospective observational cohort study based on the analysis of electronic medical records of patients over 18 years of age with neuroendocrine disorders who consented to the use of their data. The variables collected from the medical records were organized in Excel and analyzed using statistical software. Thirty records were reviewed, and it was observed that men had significantly larger lesions (18.5 mm) compared to women (6.82 mm), which may be attributed to greater symptom awareness among women and delayed healthcare-seeking behavior among men. Acromegaly was diagnosed at an average age of 61.5 years, with an estimated diagnostic delay of approximately 10 years. Cushing’s syndrome typically affected more women than men, with symptoms occurring between 30 and 60 years of age; the mean age at diagnosis in this study was 47 years. The study confirmed that prolactinoma is more prevalent among women of reproductive age. Nineteen patients (63.3%) with this diagnosis received first-line pharmacological treatment with cabergoline or bromocriptine, seven patients (23.3%) received no treatment, and one (3.3%) underwent surgery. Among patients with acromegaly, one (3.3%) underwent surgery, while two others (6.7%) were treated with octreotide or </w:t>
            </w:r>
            <w:proofErr w:type="spellStart"/>
            <w:r w:rsidRPr="00C223C3">
              <w:rPr>
                <w:rFonts w:ascii="Arial" w:eastAsia="Calibri" w:hAnsi="Arial" w:cs="Arial"/>
                <w:color w:val="000000" w:themeColor="text1"/>
                <w:szCs w:val="22"/>
              </w:rPr>
              <w:t>lanreotide</w:t>
            </w:r>
            <w:proofErr w:type="spellEnd"/>
            <w:r w:rsidRPr="00C223C3">
              <w:rPr>
                <w:rFonts w:ascii="Arial" w:eastAsia="Calibri" w:hAnsi="Arial" w:cs="Arial"/>
                <w:color w:val="000000" w:themeColor="text1"/>
                <w:szCs w:val="22"/>
              </w:rPr>
              <w:t>, highlighting therapeutic variability. Additionally, the only patient with Cushing’s syndrome underwent surgery, the first-line treatment for this condition. The profile of patients with prolactinoma was predominantly female, treated clinically with cabergoline or bromocriptine, and characterized by smaller lesions compared to males. The findings of this study provide regional data on the prevalence, incidence, and treatment of pituitary disorders and serve as a foundation for future research on the subject.</w:t>
            </w:r>
          </w:p>
        </w:tc>
      </w:tr>
    </w:tbl>
    <w:p w14:paraId="364FD1C2" w14:textId="77777777" w:rsidR="00636EB2" w:rsidRPr="00C223C3" w:rsidRDefault="00636EB2" w:rsidP="00441B6F">
      <w:pPr>
        <w:pStyle w:val="Body"/>
        <w:spacing w:after="0"/>
        <w:rPr>
          <w:rFonts w:ascii="Arial" w:hAnsi="Arial" w:cs="Arial"/>
          <w:i/>
          <w:color w:val="000000" w:themeColor="text1"/>
        </w:rPr>
      </w:pPr>
    </w:p>
    <w:p w14:paraId="18B15DFD" w14:textId="00C4F83A" w:rsidR="00D422D0" w:rsidRPr="00C223C3" w:rsidRDefault="00A24E7E" w:rsidP="002531CE">
      <w:pPr>
        <w:pStyle w:val="Body"/>
        <w:spacing w:after="0"/>
        <w:rPr>
          <w:rFonts w:ascii="Arial" w:hAnsi="Arial" w:cs="Arial"/>
          <w:iCs/>
          <w:color w:val="000000" w:themeColor="text1"/>
        </w:rPr>
      </w:pPr>
      <w:r w:rsidRPr="00C223C3">
        <w:rPr>
          <w:rFonts w:ascii="Arial" w:hAnsi="Arial" w:cs="Arial"/>
          <w:iCs/>
          <w:color w:val="000000" w:themeColor="text1"/>
        </w:rPr>
        <w:t>Keywords:</w:t>
      </w:r>
      <w:r w:rsidR="00225D74" w:rsidRPr="00C223C3">
        <w:rPr>
          <w:rFonts w:ascii="Arial" w:hAnsi="Arial" w:cs="Arial"/>
          <w:iCs/>
          <w:color w:val="000000" w:themeColor="text1"/>
        </w:rPr>
        <w:t xml:space="preserve"> </w:t>
      </w:r>
      <w:r w:rsidR="00390CED" w:rsidRPr="00C223C3">
        <w:rPr>
          <w:rFonts w:ascii="Arial" w:hAnsi="Arial" w:cs="Arial"/>
          <w:iCs/>
          <w:color w:val="000000" w:themeColor="text1"/>
        </w:rPr>
        <w:t>Acromegaly; Cushing syndrome; Pituitary adenoma; Pituitary disorders; Prolactinoma</w:t>
      </w:r>
      <w:r w:rsidR="005B0662" w:rsidRPr="00C223C3">
        <w:rPr>
          <w:rFonts w:ascii="Arial" w:hAnsi="Arial" w:cs="Arial"/>
          <w:iCs/>
          <w:color w:val="000000" w:themeColor="text1"/>
        </w:rPr>
        <w:t>.</w:t>
      </w:r>
    </w:p>
    <w:p w14:paraId="54EB0ABB" w14:textId="77777777" w:rsidR="002531CE" w:rsidRPr="00C223C3" w:rsidRDefault="002531CE" w:rsidP="002531CE">
      <w:pPr>
        <w:pStyle w:val="Body"/>
        <w:spacing w:after="0"/>
        <w:rPr>
          <w:rFonts w:ascii="Arial" w:hAnsi="Arial" w:cs="Arial"/>
          <w:i/>
          <w:color w:val="000000" w:themeColor="text1"/>
        </w:rPr>
      </w:pPr>
    </w:p>
    <w:p w14:paraId="325542C0" w14:textId="77777777" w:rsidR="002531CE" w:rsidRPr="00C223C3" w:rsidRDefault="002531CE" w:rsidP="002531CE">
      <w:pPr>
        <w:pStyle w:val="Body"/>
        <w:spacing w:after="0"/>
        <w:rPr>
          <w:rFonts w:ascii="Arial" w:hAnsi="Arial" w:cs="Arial"/>
          <w:i/>
          <w:color w:val="000000" w:themeColor="text1"/>
        </w:rPr>
      </w:pPr>
    </w:p>
    <w:p w14:paraId="2D3BFAFB" w14:textId="6D839656" w:rsidR="00790ADA" w:rsidRPr="00C223C3" w:rsidRDefault="00B01FCD" w:rsidP="00A34D11">
      <w:pPr>
        <w:pStyle w:val="AbstHead"/>
        <w:numPr>
          <w:ilvl w:val="0"/>
          <w:numId w:val="32"/>
        </w:numPr>
        <w:spacing w:after="0" w:line="360" w:lineRule="auto"/>
        <w:jc w:val="both"/>
        <w:rPr>
          <w:rFonts w:ascii="Arial" w:hAnsi="Arial" w:cs="Arial"/>
          <w:color w:val="000000" w:themeColor="text1"/>
        </w:rPr>
      </w:pPr>
      <w:r w:rsidRPr="00C223C3">
        <w:rPr>
          <w:rFonts w:ascii="Arial" w:hAnsi="Arial" w:cs="Arial"/>
          <w:color w:val="000000" w:themeColor="text1"/>
        </w:rPr>
        <w:t>INTRODUCTION</w:t>
      </w:r>
      <w:r w:rsidR="007F7B32" w:rsidRPr="00C223C3">
        <w:rPr>
          <w:rFonts w:ascii="Arial" w:hAnsi="Arial" w:cs="Arial"/>
          <w:color w:val="000000" w:themeColor="text1"/>
        </w:rPr>
        <w:t xml:space="preserve"> </w:t>
      </w:r>
    </w:p>
    <w:p w14:paraId="26F704E5" w14:textId="77777777" w:rsidR="00A34D11" w:rsidRPr="00C223C3" w:rsidRDefault="00A34D11" w:rsidP="00A34D11">
      <w:pPr>
        <w:pStyle w:val="AbstHead"/>
        <w:spacing w:after="0" w:line="276" w:lineRule="auto"/>
        <w:ind w:left="360"/>
        <w:jc w:val="both"/>
        <w:rPr>
          <w:rFonts w:ascii="Arial" w:hAnsi="Arial" w:cs="Arial"/>
          <w:color w:val="000000" w:themeColor="text1"/>
        </w:rPr>
      </w:pPr>
    </w:p>
    <w:p w14:paraId="2FD2C94B" w14:textId="77777777" w:rsidR="00DD4BD0" w:rsidRPr="00C223C3" w:rsidRDefault="00F445BF"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The pituitary gland, together with the hypothalamus, is responsible for regulating various hormonal axes (Silverthorn, 2017). Pituitary diseases are characterized by changes in glandular anatomy (tumors) that may or may not be associated with hormonal dysfunction (hyposecretion or hypersecretion) (Guyton &amp; Hall, 2017).</w:t>
      </w:r>
    </w:p>
    <w:p w14:paraId="0A575BF5" w14:textId="77777777" w:rsidR="00DD4BD0" w:rsidRPr="00C223C3" w:rsidRDefault="00F445BF"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The pituitary gland can be divided into the adenohypophysis and neurohypophysis. Six main peptide hormones, among others, are secreted by the adenohypophysis: growth hormone (GH), adrenocorticotropic hormone (ACTH), thyroid-stimulating hormone (thyrotropin or TSH), prolactin (PRL), follicle-stimulating hormone (FSH), and luteinizing hormone (LH) (Guyton &amp; Hall, 2017). In </w:t>
      </w:r>
      <w:r w:rsidRPr="00C223C3">
        <w:rPr>
          <w:rFonts w:ascii="Arial" w:hAnsi="Arial" w:cs="Arial"/>
          <w:color w:val="000000" w:themeColor="text1"/>
        </w:rPr>
        <w:lastRenderedPageBreak/>
        <w:t>addition, two peptide hormones are secreted by the neurohypophysis, namely antidiuretic hormone (ADH) and oxytocin (Guyton &amp; Hall, 2017).</w:t>
      </w:r>
    </w:p>
    <w:p w14:paraId="36C2B84E" w14:textId="77777777" w:rsidR="00DD4BD0" w:rsidRPr="00C223C3" w:rsidRDefault="00F445BF"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The main diseases affecting the adenohypophysis are prolactinomas, acromegaly, and Cushing’s syndrome (Guyton &amp; Hall, 2017). Lactotrophic adenomas (prolactinomas) are one of the main causes of hyperprolactinemia and the most prevalent pituitary tumor, accounting for about 40% of all tumors in this region (Capozzi et al., 2015). Acromegaly, in turn, is usually caused by a GH-secreting pituitary adenoma, with a prevalence ranging from 2.8 to 13.7 cases per 100,000 people, and annual incidence rates between 0.2 and 1.1 cases per 100,000 people. The average age at diagnosis is around 50 years, with an estimated diagnostic delay of 4.5–5 years (</w:t>
      </w:r>
      <w:proofErr w:type="spellStart"/>
      <w:r w:rsidRPr="00C223C3">
        <w:rPr>
          <w:rFonts w:ascii="Arial" w:hAnsi="Arial" w:cs="Arial"/>
          <w:color w:val="000000" w:themeColor="text1"/>
        </w:rPr>
        <w:t>Lavrentaki</w:t>
      </w:r>
      <w:proofErr w:type="spellEnd"/>
      <w:r w:rsidRPr="00C223C3">
        <w:rPr>
          <w:rFonts w:ascii="Arial" w:hAnsi="Arial" w:cs="Arial"/>
          <w:color w:val="000000" w:themeColor="text1"/>
        </w:rPr>
        <w:t xml:space="preserve"> et al., 2017; </w:t>
      </w:r>
      <w:proofErr w:type="spellStart"/>
      <w:r w:rsidRPr="00C223C3">
        <w:rPr>
          <w:rFonts w:ascii="Arial" w:hAnsi="Arial" w:cs="Arial"/>
          <w:color w:val="000000" w:themeColor="text1"/>
        </w:rPr>
        <w:t>Ershadinia</w:t>
      </w:r>
      <w:proofErr w:type="spellEnd"/>
      <w:r w:rsidRPr="00C223C3">
        <w:rPr>
          <w:rFonts w:ascii="Arial" w:hAnsi="Arial" w:cs="Arial"/>
          <w:color w:val="000000" w:themeColor="text1"/>
        </w:rPr>
        <w:t xml:space="preserve"> &amp; </w:t>
      </w:r>
      <w:proofErr w:type="spellStart"/>
      <w:r w:rsidRPr="00C223C3">
        <w:rPr>
          <w:rFonts w:ascii="Arial" w:hAnsi="Arial" w:cs="Arial"/>
          <w:color w:val="000000" w:themeColor="text1"/>
        </w:rPr>
        <w:t>Tritos</w:t>
      </w:r>
      <w:proofErr w:type="spellEnd"/>
      <w:r w:rsidRPr="00C223C3">
        <w:rPr>
          <w:rFonts w:ascii="Arial" w:hAnsi="Arial" w:cs="Arial"/>
          <w:color w:val="000000" w:themeColor="text1"/>
        </w:rPr>
        <w:t>, 2022).</w:t>
      </w:r>
    </w:p>
    <w:p w14:paraId="18DC3675" w14:textId="68940485" w:rsidR="00DD4BD0" w:rsidRPr="00C223C3" w:rsidRDefault="00F445BF"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Cushing’s disease results from excessive ACTH secretion, usually caused by a benign monoclonal pituitary adenoma. Overall, the annual incidence of the disease ranges from 1.8 to 3.2 cases per million inhabitants (</w:t>
      </w:r>
      <w:proofErr w:type="spellStart"/>
      <w:r w:rsidRPr="00C223C3">
        <w:rPr>
          <w:rFonts w:ascii="Arial" w:hAnsi="Arial" w:cs="Arial"/>
          <w:color w:val="000000" w:themeColor="text1"/>
        </w:rPr>
        <w:t>Lonser</w:t>
      </w:r>
      <w:proofErr w:type="spellEnd"/>
      <w:r w:rsidRPr="00C223C3">
        <w:rPr>
          <w:rFonts w:ascii="Arial" w:hAnsi="Arial" w:cs="Arial"/>
          <w:color w:val="000000" w:themeColor="text1"/>
        </w:rPr>
        <w:t xml:space="preserve">, Nieman &amp; Oldfield, 2017; </w:t>
      </w:r>
      <w:proofErr w:type="spellStart"/>
      <w:r w:rsidRPr="00C223C3">
        <w:rPr>
          <w:rFonts w:ascii="Arial" w:hAnsi="Arial" w:cs="Arial"/>
          <w:color w:val="000000" w:themeColor="text1"/>
        </w:rPr>
        <w:t>Hakami</w:t>
      </w:r>
      <w:proofErr w:type="spellEnd"/>
      <w:r w:rsidRPr="00C223C3">
        <w:rPr>
          <w:rFonts w:ascii="Arial" w:hAnsi="Arial" w:cs="Arial"/>
          <w:color w:val="000000" w:themeColor="text1"/>
        </w:rPr>
        <w:t xml:space="preserve">, Ahmed &amp; </w:t>
      </w:r>
      <w:proofErr w:type="spellStart"/>
      <w:r w:rsidRPr="00C223C3">
        <w:rPr>
          <w:rFonts w:ascii="Arial" w:hAnsi="Arial" w:cs="Arial"/>
          <w:color w:val="000000" w:themeColor="text1"/>
        </w:rPr>
        <w:t>Karavitaki</w:t>
      </w:r>
      <w:proofErr w:type="spellEnd"/>
      <w:r w:rsidRPr="00C223C3">
        <w:rPr>
          <w:rFonts w:ascii="Arial" w:hAnsi="Arial" w:cs="Arial"/>
          <w:color w:val="000000" w:themeColor="text1"/>
        </w:rPr>
        <w:t>, 2021). An epidemiological study (</w:t>
      </w:r>
      <w:proofErr w:type="spellStart"/>
      <w:r w:rsidRPr="00C223C3">
        <w:rPr>
          <w:rFonts w:ascii="Arial" w:hAnsi="Arial" w:cs="Arial"/>
          <w:color w:val="000000" w:themeColor="text1"/>
        </w:rPr>
        <w:t>Febrasgo</w:t>
      </w:r>
      <w:proofErr w:type="spellEnd"/>
      <w:r w:rsidRPr="00C223C3">
        <w:rPr>
          <w:rFonts w:ascii="Arial" w:hAnsi="Arial" w:cs="Arial"/>
          <w:color w:val="000000" w:themeColor="text1"/>
        </w:rPr>
        <w:t>, 2024) shows that clinically relevant pituitary adenomas occur with an incidence of 1 case per 1,000 inhabitants. The most common pituitary adenomas are prolactinomas or clinically non-functioning adenomas (CNFAs), while GH-secreting tumors represent slightly less than 12%, and Cushing’s disease approximately 4% (Daly &amp; Beckers, 2020).</w:t>
      </w:r>
    </w:p>
    <w:p w14:paraId="3D6AF9F6" w14:textId="34A86C67" w:rsidR="00DD4BD0" w:rsidRPr="00C223C3" w:rsidRDefault="00F445BF"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Panhypopituitarism is a disorder characterized by the deficiency of two or more pituitary hormones and persists throughout an individual’s life. Its causes may include acquired or congenital factors, with genetic alterations involved in 5–10% of cases (Nóbrega, Nóbrega &amp; Soares, 2021).</w:t>
      </w:r>
    </w:p>
    <w:p w14:paraId="148B7CA4" w14:textId="77777777" w:rsidR="00DD4BD0" w:rsidRPr="00C223C3" w:rsidRDefault="00F445BF"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According to Gomes (2015), epidemiology examines the distribution and determinants of diseases and health impairments, proposing preventive measures to manage or eradicate diseases. In this context, the relevance of epidemiological research on pituitary diseases in </w:t>
      </w:r>
      <w:proofErr w:type="spellStart"/>
      <w:r w:rsidRPr="00C223C3">
        <w:rPr>
          <w:rFonts w:ascii="Arial" w:hAnsi="Arial" w:cs="Arial"/>
          <w:color w:val="000000" w:themeColor="text1"/>
        </w:rPr>
        <w:t>Chapecó</w:t>
      </w:r>
      <w:proofErr w:type="spellEnd"/>
      <w:r w:rsidRPr="00C223C3">
        <w:rPr>
          <w:rFonts w:ascii="Arial" w:hAnsi="Arial" w:cs="Arial"/>
          <w:color w:val="000000" w:themeColor="text1"/>
        </w:rPr>
        <w:t xml:space="preserve">, Santa Catarina, stands out, as it can support the development of action plans and more effective diagnostic protocols. In the municipality of </w:t>
      </w:r>
      <w:proofErr w:type="spellStart"/>
      <w:r w:rsidRPr="00C223C3">
        <w:rPr>
          <w:rFonts w:ascii="Arial" w:hAnsi="Arial" w:cs="Arial"/>
          <w:color w:val="000000" w:themeColor="text1"/>
        </w:rPr>
        <w:t>Chapecó</w:t>
      </w:r>
      <w:proofErr w:type="spellEnd"/>
      <w:r w:rsidRPr="00C223C3">
        <w:rPr>
          <w:rFonts w:ascii="Arial" w:hAnsi="Arial" w:cs="Arial"/>
          <w:color w:val="000000" w:themeColor="text1"/>
        </w:rPr>
        <w:t>/SC, there is a lack of data on the prevalence and incidence of pituitary disorders. Therefore, this study aims to describe the profile of patients with neuroendocrine disorders, including hyperprolactinemia, acromegaly, Cushing’s syndrome, and panhypopituitarism.</w:t>
      </w:r>
    </w:p>
    <w:p w14:paraId="366AA8F0" w14:textId="0CE050E1" w:rsidR="007A310D" w:rsidRPr="00C223C3" w:rsidRDefault="00F445BF"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Specifically, it aims to: (a) identify the prevalence and incidence of pituitary diseases in the municipality of </w:t>
      </w:r>
      <w:proofErr w:type="spellStart"/>
      <w:r w:rsidRPr="00C223C3">
        <w:rPr>
          <w:rFonts w:ascii="Arial" w:hAnsi="Arial" w:cs="Arial"/>
          <w:color w:val="000000" w:themeColor="text1"/>
        </w:rPr>
        <w:t>Chapecó</w:t>
      </w:r>
      <w:proofErr w:type="spellEnd"/>
      <w:r w:rsidRPr="00C223C3">
        <w:rPr>
          <w:rFonts w:ascii="Arial" w:hAnsi="Arial" w:cs="Arial"/>
          <w:color w:val="000000" w:themeColor="text1"/>
        </w:rPr>
        <w:t>, Santa Catarina; (b) describe the clinical profile of pituitary diseases identified in outpatients; and (c) identify the treatments implemented for different pituitary diseases, including both clinical and surgical approaches.</w:t>
      </w:r>
    </w:p>
    <w:p w14:paraId="6C55E03C" w14:textId="77777777" w:rsidR="00790ADA" w:rsidRPr="00C223C3" w:rsidRDefault="00790ADA" w:rsidP="00E47D39">
      <w:pPr>
        <w:pStyle w:val="Body"/>
        <w:spacing w:after="0" w:line="360" w:lineRule="auto"/>
        <w:rPr>
          <w:rFonts w:ascii="Arial" w:hAnsi="Arial" w:cs="Arial"/>
          <w:color w:val="000000" w:themeColor="text1"/>
        </w:rPr>
      </w:pPr>
    </w:p>
    <w:p w14:paraId="35885635" w14:textId="199E6971" w:rsidR="007F7B32" w:rsidRPr="00C223C3" w:rsidRDefault="00902823" w:rsidP="00E47D39">
      <w:pPr>
        <w:pStyle w:val="AbstHead"/>
        <w:spacing w:after="0" w:line="360" w:lineRule="auto"/>
        <w:jc w:val="both"/>
        <w:rPr>
          <w:rFonts w:ascii="Arial" w:hAnsi="Arial" w:cs="Arial"/>
          <w:color w:val="000000" w:themeColor="text1"/>
        </w:rPr>
      </w:pPr>
      <w:r w:rsidRPr="00C223C3">
        <w:rPr>
          <w:rFonts w:ascii="Arial" w:hAnsi="Arial" w:cs="Arial"/>
          <w:color w:val="000000" w:themeColor="text1"/>
        </w:rPr>
        <w:t>2. material and method</w:t>
      </w:r>
      <w:r w:rsidR="00000F8F" w:rsidRPr="00C223C3">
        <w:rPr>
          <w:rFonts w:ascii="Arial" w:hAnsi="Arial" w:cs="Arial"/>
          <w:color w:val="000000" w:themeColor="text1"/>
        </w:rPr>
        <w:t>s</w:t>
      </w:r>
    </w:p>
    <w:p w14:paraId="4A600532" w14:textId="77777777" w:rsidR="00790ADA" w:rsidRPr="00C223C3" w:rsidRDefault="00790ADA" w:rsidP="00E47D39">
      <w:pPr>
        <w:pStyle w:val="AbstHead"/>
        <w:spacing w:after="0" w:line="360" w:lineRule="auto"/>
        <w:jc w:val="both"/>
        <w:rPr>
          <w:rFonts w:ascii="Arial" w:hAnsi="Arial" w:cs="Arial"/>
          <w:b w:val="0"/>
          <w:bCs/>
          <w:color w:val="000000" w:themeColor="text1"/>
        </w:rPr>
      </w:pPr>
    </w:p>
    <w:p w14:paraId="2E2A1CB2" w14:textId="0DFCC1ED" w:rsidR="00DD4BD0"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This is a retrospective observational cohort study. A cohort study is based on observational analytical epidemiology. In this type of study, the researcher collects past information on exposure factors and follows individuals over a period of time (Camargo, Silva &amp; </w:t>
      </w:r>
      <w:proofErr w:type="spellStart"/>
      <w:r w:rsidRPr="00C223C3">
        <w:rPr>
          <w:rFonts w:ascii="Arial" w:hAnsi="Arial" w:cs="Arial"/>
          <w:color w:val="000000" w:themeColor="text1"/>
        </w:rPr>
        <w:t>Meneguetti</w:t>
      </w:r>
      <w:proofErr w:type="spellEnd"/>
      <w:r w:rsidRPr="00C223C3">
        <w:rPr>
          <w:rFonts w:ascii="Arial" w:hAnsi="Arial" w:cs="Arial"/>
          <w:color w:val="000000" w:themeColor="text1"/>
        </w:rPr>
        <w:t>, 2019).</w:t>
      </w:r>
    </w:p>
    <w:p w14:paraId="00E085AB" w14:textId="77777777" w:rsidR="00DD4BD0"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lastRenderedPageBreak/>
        <w:t xml:space="preserve">The municipality of </w:t>
      </w:r>
      <w:proofErr w:type="spellStart"/>
      <w:r w:rsidRPr="00C223C3">
        <w:rPr>
          <w:rFonts w:ascii="Arial" w:hAnsi="Arial" w:cs="Arial"/>
          <w:color w:val="000000" w:themeColor="text1"/>
        </w:rPr>
        <w:t>Chapecó</w:t>
      </w:r>
      <w:proofErr w:type="spellEnd"/>
      <w:r w:rsidRPr="00C223C3">
        <w:rPr>
          <w:rFonts w:ascii="Arial" w:hAnsi="Arial" w:cs="Arial"/>
          <w:color w:val="000000" w:themeColor="text1"/>
        </w:rPr>
        <w:t xml:space="preserve"> covers a land area of 624.846 km² and is located in the western region of the state of Santa Catarina, Brazil. It has a population of 254,785 inhabitants and a population density of 407.76 inhabitants/km², ranking 6th and 16th, respectively, among the 295 municipalities in the state, according to the 2022 census by the Brazilian Institute of Geography and Statistics (IBGE). The city’s socioeconomic indicators are among the highest in the country, with a Municipal Human Development Index (MHDI) of 0.790 and a Gross Domestic Product (GDP) per capita of R$ 60,166.46. </w:t>
      </w:r>
      <w:proofErr w:type="spellStart"/>
      <w:r w:rsidRPr="00C223C3">
        <w:rPr>
          <w:rFonts w:ascii="Arial" w:hAnsi="Arial" w:cs="Arial"/>
          <w:color w:val="000000" w:themeColor="text1"/>
        </w:rPr>
        <w:t>Chapecó</w:t>
      </w:r>
      <w:proofErr w:type="spellEnd"/>
      <w:r w:rsidRPr="00C223C3">
        <w:rPr>
          <w:rFonts w:ascii="Arial" w:hAnsi="Arial" w:cs="Arial"/>
          <w:color w:val="000000" w:themeColor="text1"/>
        </w:rPr>
        <w:t xml:space="preserve"> has a school enrollment rate of 98.4% for children aged 6 to 14, distributed across 84 elementary schools and 31 schools that also offer secondary education. In addition, it has 59 health facilities linked to the Unified Health System (SUS) and an average infant mortality rate of 10.23 per 1,000 live births (IBGE, 2024).</w:t>
      </w:r>
    </w:p>
    <w:p w14:paraId="1B0FC54B" w14:textId="793F5157" w:rsidR="00DD4BD0"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The </w:t>
      </w:r>
      <w:proofErr w:type="spellStart"/>
      <w:r w:rsidRPr="00C223C3">
        <w:rPr>
          <w:rFonts w:ascii="Arial" w:hAnsi="Arial" w:cs="Arial"/>
          <w:color w:val="000000" w:themeColor="text1"/>
        </w:rPr>
        <w:t>Chapecó</w:t>
      </w:r>
      <w:proofErr w:type="spellEnd"/>
      <w:r w:rsidRPr="00C223C3">
        <w:rPr>
          <w:rFonts w:ascii="Arial" w:hAnsi="Arial" w:cs="Arial"/>
          <w:color w:val="000000" w:themeColor="text1"/>
        </w:rPr>
        <w:t xml:space="preserve"> Health Department is a public entity that aims to meet the health needs of the entire population of </w:t>
      </w:r>
      <w:proofErr w:type="spellStart"/>
      <w:r w:rsidRPr="00C223C3">
        <w:rPr>
          <w:rFonts w:ascii="Arial" w:hAnsi="Arial" w:cs="Arial"/>
          <w:color w:val="000000" w:themeColor="text1"/>
        </w:rPr>
        <w:t>Chapecó</w:t>
      </w:r>
      <w:proofErr w:type="spellEnd"/>
      <w:r w:rsidRPr="00C223C3">
        <w:rPr>
          <w:rFonts w:ascii="Arial" w:hAnsi="Arial" w:cs="Arial"/>
          <w:color w:val="000000" w:themeColor="text1"/>
        </w:rPr>
        <w:t xml:space="preserve"> through various sectors. </w:t>
      </w:r>
      <w:r w:rsidRPr="00C223C3">
        <w:rPr>
          <w:rFonts w:ascii="Arial" w:hAnsi="Arial" w:cs="Arial"/>
          <w:color w:val="000000" w:themeColor="text1"/>
          <w:lang w:val="pt-BR"/>
        </w:rPr>
        <w:t>It</w:t>
      </w:r>
      <w:r w:rsidR="00E37B05" w:rsidRPr="00C223C3">
        <w:rPr>
          <w:rFonts w:ascii="Arial" w:hAnsi="Arial" w:cs="Arial"/>
          <w:color w:val="000000" w:themeColor="text1"/>
          <w:lang w:val="pt-BR"/>
        </w:rPr>
        <w:t>´</w:t>
      </w:r>
      <w:r w:rsidRPr="00C223C3">
        <w:rPr>
          <w:rFonts w:ascii="Arial" w:hAnsi="Arial" w:cs="Arial"/>
          <w:color w:val="000000" w:themeColor="text1"/>
          <w:lang w:val="pt-BR"/>
        </w:rPr>
        <w:t xml:space="preserve">s located at Rua Marechal Floriano Peixoto, 700L - Arena Condá, Ala Norte, Centro, Chapecó/SC. </w:t>
      </w:r>
      <w:r w:rsidRPr="00C223C3">
        <w:rPr>
          <w:rFonts w:ascii="Arial" w:hAnsi="Arial" w:cs="Arial"/>
          <w:color w:val="000000" w:themeColor="text1"/>
        </w:rPr>
        <w:t>Within the Health Department, there is the Municipal Polyclinic, which provides SUS users with consultations and procedures in various medical specialties, centralized in a single location.</w:t>
      </w:r>
    </w:p>
    <w:p w14:paraId="6281C341" w14:textId="77777777" w:rsidR="00DD4BD0"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A survey was conducted from 2014 to 2024 to identify potential case studies based on the International Classification of Diseases (ICD) by searching medical records for data corresponding to neuroendocrine diseases. This survey was carried out in January 2024 using the </w:t>
      </w:r>
      <w:proofErr w:type="spellStart"/>
      <w:r w:rsidRPr="00C223C3">
        <w:rPr>
          <w:rFonts w:ascii="Arial" w:hAnsi="Arial" w:cs="Arial"/>
          <w:color w:val="000000" w:themeColor="text1"/>
        </w:rPr>
        <w:t>iDS</w:t>
      </w:r>
      <w:proofErr w:type="spellEnd"/>
      <w:r w:rsidRPr="00C223C3">
        <w:rPr>
          <w:rFonts w:ascii="Arial" w:hAnsi="Arial" w:cs="Arial"/>
          <w:color w:val="000000" w:themeColor="text1"/>
        </w:rPr>
        <w:t xml:space="preserve"> </w:t>
      </w:r>
      <w:proofErr w:type="spellStart"/>
      <w:r w:rsidRPr="00C223C3">
        <w:rPr>
          <w:rFonts w:ascii="Arial" w:hAnsi="Arial" w:cs="Arial"/>
          <w:color w:val="000000" w:themeColor="text1"/>
        </w:rPr>
        <w:t>Saúde</w:t>
      </w:r>
      <w:proofErr w:type="spellEnd"/>
      <w:r w:rsidRPr="00C223C3">
        <w:rPr>
          <w:rFonts w:ascii="Arial" w:hAnsi="Arial" w:cs="Arial"/>
          <w:color w:val="000000" w:themeColor="text1"/>
        </w:rPr>
        <w:t xml:space="preserve"> electronic medical record system, applying filters for pathologies with the ICD codes E221, E220, E249, and E230. A total of 304 potential study cases related to neuroendocrine diseases were identified, along with the SUS registration number used to locate each medical record authentically.</w:t>
      </w:r>
    </w:p>
    <w:p w14:paraId="6B85E108" w14:textId="77777777" w:rsidR="00DD4BD0"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The following inclusion criteria were applied: having the corresponding ICD code; having an electronic medical record available in the system for data collection; being 18 years or older; and providing consent through the Free and Informed Consent Form (FICF).</w:t>
      </w:r>
    </w:p>
    <w:p w14:paraId="5BF1CFDB" w14:textId="77777777" w:rsidR="00DD4BD0"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Exclusion criteria included: incomplete medical records; ICD codes not corresponding to neuroendocrine diseases; patients under 18 years of age; absence of imaging tests or inconclusive imaging; hormonal elevation resulting from medication use; and cases showing an empty or partially empty </w:t>
      </w:r>
      <w:proofErr w:type="spellStart"/>
      <w:r w:rsidRPr="00C223C3">
        <w:rPr>
          <w:rFonts w:ascii="Arial" w:hAnsi="Arial" w:cs="Arial"/>
          <w:color w:val="000000" w:themeColor="text1"/>
        </w:rPr>
        <w:t>sella</w:t>
      </w:r>
      <w:proofErr w:type="spellEnd"/>
      <w:r w:rsidRPr="00C223C3">
        <w:rPr>
          <w:rFonts w:ascii="Arial" w:hAnsi="Arial" w:cs="Arial"/>
          <w:color w:val="000000" w:themeColor="text1"/>
        </w:rPr>
        <w:t xml:space="preserve"> turcica on imaging.</w:t>
      </w:r>
    </w:p>
    <w:p w14:paraId="2C1526C8" w14:textId="77777777" w:rsidR="00DD4BD0"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A total of 93 medical records were found eligible for the study. Of these, 58 patients did not respond to contact attempts via phone or WhatsApp to participate and were excluded, along with five other records whose patients did not provide consent. The final sample included 30 medical records.</w:t>
      </w:r>
    </w:p>
    <w:p w14:paraId="15BAA640" w14:textId="77777777" w:rsidR="00DD4BD0"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For the detailed analysis of these 30 cases, patients were contacted by phone, WhatsApp message, or in person at their reference Basic Health Unit. The FICF was signed either physically or through an electronic form created on Google Forms.</w:t>
      </w:r>
    </w:p>
    <w:p w14:paraId="038F89D5" w14:textId="77777777" w:rsidR="00DD4BD0"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Data collection, authorized by the patients, took place from January 23, 2024, to April 12, 2024, by searching each patient’s SUS number to locate consultations associated with the ICD code for the specific pathology.</w:t>
      </w:r>
    </w:p>
    <w:p w14:paraId="74810607" w14:textId="68F725C4" w:rsidR="00930107"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lastRenderedPageBreak/>
        <w:t>After consent was obtained, medical records were accessed using the login credentials of the supervising professor of this study. The following data were collected: patient phone number, age, sex, pathology, imaging data, treatment applied, continuation of clinical follow-up, and latest treatment status (recurrence, cure, ongoing treatment, or discontinuation). The information was extracted through direct record review and organized using Excel software.</w:t>
      </w:r>
    </w:p>
    <w:p w14:paraId="3EEB236B" w14:textId="77777777" w:rsidR="00930107"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Data were arranged in an Excel matrix concurrently with medical record access. Descriptive statistical analyses including frequency, count, percentages, mean, minimum, and maximum values</w:t>
      </w:r>
      <w:r w:rsidR="00930107" w:rsidRPr="00C223C3">
        <w:rPr>
          <w:rFonts w:ascii="Arial" w:hAnsi="Arial" w:cs="Arial"/>
          <w:color w:val="000000" w:themeColor="text1"/>
        </w:rPr>
        <w:t>,</w:t>
      </w:r>
      <w:r w:rsidRPr="00C223C3">
        <w:rPr>
          <w:rFonts w:ascii="Arial" w:hAnsi="Arial" w:cs="Arial"/>
          <w:color w:val="000000" w:themeColor="text1"/>
        </w:rPr>
        <w:t xml:space="preserve"> were used to summarize the data and present results.</w:t>
      </w:r>
    </w:p>
    <w:p w14:paraId="2D2AF916" w14:textId="2E59A2EB" w:rsidR="00930107"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Quantitative variables were tested for normality using the Shapiro–Wilk test (Shapiro &amp; Wilk, 1965). Nonparametric chi-square tests</w:t>
      </w:r>
      <w:r w:rsidR="005D6EAD" w:rsidRPr="00C223C3">
        <w:rPr>
          <w:rFonts w:ascii="Arial" w:hAnsi="Arial" w:cs="Arial"/>
          <w:color w:val="000000" w:themeColor="text1"/>
        </w:rPr>
        <w:t xml:space="preserve"> </w:t>
      </w:r>
      <w:r w:rsidRPr="00C223C3">
        <w:rPr>
          <w:rFonts w:ascii="Arial" w:hAnsi="Arial" w:cs="Arial"/>
          <w:color w:val="000000" w:themeColor="text1"/>
        </w:rPr>
        <w:t>were applied to verify associations between qualitative variables. To compare independent samples, Kruskal–Wallis and Mann–Whitney tests were used. In addition, Spearman’s correlation test was applied to assess correlations between variables such as age and lesion size</w:t>
      </w:r>
      <w:r w:rsidR="00930107" w:rsidRPr="00C223C3">
        <w:rPr>
          <w:rFonts w:ascii="Arial" w:hAnsi="Arial" w:cs="Arial"/>
          <w:color w:val="000000" w:themeColor="text1"/>
        </w:rPr>
        <w:t>.</w:t>
      </w:r>
    </w:p>
    <w:p w14:paraId="146BAB62" w14:textId="590197D7" w:rsidR="00E66E10" w:rsidRPr="00C223C3" w:rsidRDefault="00D87A54"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All analyses were conducted using the Statistical Package for the Social Sciences (SPSS) software.</w:t>
      </w:r>
      <w:r w:rsidR="002D7C75" w:rsidRPr="00C223C3">
        <w:rPr>
          <w:rFonts w:ascii="Arial" w:hAnsi="Arial" w:cs="Arial"/>
          <w:color w:val="000000" w:themeColor="text1"/>
        </w:rPr>
        <w:t xml:space="preserve"> </w:t>
      </w:r>
      <w:r w:rsidRPr="00C223C3">
        <w:rPr>
          <w:rFonts w:ascii="Arial" w:hAnsi="Arial" w:cs="Arial"/>
          <w:color w:val="000000" w:themeColor="text1"/>
        </w:rPr>
        <w:t>The research was approved by the Research Ethics Committee (CEP), under approval number 6,597,422. The identity of all participants was fully protected.</w:t>
      </w:r>
    </w:p>
    <w:p w14:paraId="57380D61" w14:textId="77777777" w:rsidR="000D3541" w:rsidRPr="00C223C3" w:rsidRDefault="000D3541" w:rsidP="00E47D39">
      <w:pPr>
        <w:pStyle w:val="Body"/>
        <w:spacing w:after="0" w:line="360" w:lineRule="auto"/>
        <w:rPr>
          <w:rFonts w:ascii="Arial" w:hAnsi="Arial" w:cs="Arial"/>
          <w:color w:val="000000" w:themeColor="text1"/>
        </w:rPr>
      </w:pPr>
    </w:p>
    <w:p w14:paraId="2599F2AF" w14:textId="77777777" w:rsidR="00902823" w:rsidRPr="00C223C3" w:rsidRDefault="00000F8F" w:rsidP="00E47D39">
      <w:pPr>
        <w:pStyle w:val="Head1"/>
        <w:spacing w:after="0" w:line="360" w:lineRule="auto"/>
        <w:jc w:val="both"/>
        <w:rPr>
          <w:rFonts w:ascii="Arial" w:hAnsi="Arial" w:cs="Arial"/>
          <w:color w:val="000000" w:themeColor="text1"/>
        </w:rPr>
      </w:pPr>
      <w:r w:rsidRPr="00C223C3">
        <w:rPr>
          <w:rFonts w:ascii="Arial" w:hAnsi="Arial" w:cs="Arial"/>
          <w:color w:val="000000" w:themeColor="text1"/>
        </w:rPr>
        <w:t>3</w:t>
      </w:r>
      <w:r w:rsidR="00902823" w:rsidRPr="00C223C3">
        <w:rPr>
          <w:rFonts w:ascii="Arial" w:hAnsi="Arial" w:cs="Arial"/>
          <w:color w:val="000000" w:themeColor="text1"/>
        </w:rPr>
        <w:t xml:space="preserve">. </w:t>
      </w:r>
      <w:r w:rsidRPr="00C223C3">
        <w:rPr>
          <w:rFonts w:ascii="Arial" w:hAnsi="Arial" w:cs="Arial"/>
          <w:color w:val="000000" w:themeColor="text1"/>
        </w:rPr>
        <w:t>results and discussion</w:t>
      </w:r>
    </w:p>
    <w:p w14:paraId="4F9B4892" w14:textId="77777777" w:rsidR="001E57FC" w:rsidRPr="00C223C3" w:rsidRDefault="001E57FC" w:rsidP="00E47D39">
      <w:pPr>
        <w:pStyle w:val="Body"/>
        <w:spacing w:after="0" w:line="360" w:lineRule="auto"/>
        <w:rPr>
          <w:rFonts w:ascii="Arial" w:hAnsi="Arial" w:cs="Arial"/>
          <w:color w:val="000000" w:themeColor="text1"/>
        </w:rPr>
      </w:pPr>
    </w:p>
    <w:p w14:paraId="034D5FF7" w14:textId="77777777" w:rsidR="00930107" w:rsidRPr="00C223C3" w:rsidRDefault="00365F3A"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The initial screening of medical records, based on ICD codes related to </w:t>
      </w:r>
      <w:proofErr w:type="spellStart"/>
      <w:r w:rsidRPr="00C223C3">
        <w:rPr>
          <w:rFonts w:ascii="Arial" w:hAnsi="Arial" w:cs="Arial"/>
          <w:color w:val="000000" w:themeColor="text1"/>
        </w:rPr>
        <w:t>neurohypophyseal</w:t>
      </w:r>
      <w:proofErr w:type="spellEnd"/>
      <w:r w:rsidRPr="00C223C3">
        <w:rPr>
          <w:rFonts w:ascii="Arial" w:hAnsi="Arial" w:cs="Arial"/>
          <w:color w:val="000000" w:themeColor="text1"/>
        </w:rPr>
        <w:t xml:space="preserve"> diseases, identified 93 eligible records. Of these, 85 had a diagnosis of prolactinoma, five had acromegaly, two had nonfunctioning pituitary adenoma, and one had Cushing syndrome. After applying the inclusion criteria and obtaining informed consent, the final sample comprised 30 patients, including 26 with prolactinoma, two with acromegaly, one with Cushing syndrome, and one with nonfunctioning pituitary adenoma.</w:t>
      </w:r>
    </w:p>
    <w:p w14:paraId="2530A24D" w14:textId="0AC75075" w:rsidR="00930107" w:rsidRPr="00C223C3" w:rsidRDefault="00365F3A"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The mean age of the participants was 44 years (SD = 12.39), ranging from 19 to 81 years, which is consistent with the age distribution reported in the literature for the diagnosis of these conditions. The mean lesion size was 7.11 mm (SD = 5.78), with a maximum diameter of 25 mm; in one case, lesion size could not be assessed due to the absence of imaging, and the diagnosis was presumed. These findings reinforce the predominance of clinically relevant pituitary adenomas and highlight the role of magnetic resonance imaging in their detection (Daly</w:t>
      </w:r>
      <w:r w:rsidR="00E37B05" w:rsidRPr="00C223C3">
        <w:rPr>
          <w:rFonts w:ascii="Arial" w:hAnsi="Arial" w:cs="Arial"/>
          <w:color w:val="000000" w:themeColor="text1"/>
        </w:rPr>
        <w:t xml:space="preserve"> &amp;</w:t>
      </w:r>
      <w:r w:rsidRPr="00C223C3">
        <w:rPr>
          <w:rFonts w:ascii="Arial" w:hAnsi="Arial" w:cs="Arial"/>
          <w:color w:val="000000" w:themeColor="text1"/>
        </w:rPr>
        <w:t xml:space="preserve"> Beckers, 2020).</w:t>
      </w:r>
    </w:p>
    <w:p w14:paraId="010CF724" w14:textId="2805F774" w:rsidR="00930107" w:rsidRPr="00C223C3" w:rsidRDefault="00365F3A"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A marked predominance of female patients was observed (93.3%), consistent with both the initially screened cohort and the final analyzed sample. This finding aligns with previous studies and may be explained, particularly in prolactinomas, by the greater intensity and earlier onset of clinical manifestations in women, which favors earlier diagnosis. In contrast, symptoms in men tend to be later and less specific, potentially delaying medical consultation (</w:t>
      </w:r>
      <w:proofErr w:type="spellStart"/>
      <w:r w:rsidRPr="00C223C3">
        <w:rPr>
          <w:rFonts w:ascii="Arial" w:hAnsi="Arial" w:cs="Arial"/>
          <w:color w:val="000000" w:themeColor="text1"/>
        </w:rPr>
        <w:t>Glezer</w:t>
      </w:r>
      <w:proofErr w:type="spellEnd"/>
      <w:r w:rsidR="00E37B05" w:rsidRPr="00C223C3">
        <w:rPr>
          <w:rFonts w:ascii="Arial" w:hAnsi="Arial" w:cs="Arial"/>
          <w:color w:val="000000" w:themeColor="text1"/>
        </w:rPr>
        <w:t xml:space="preserve"> &amp;</w:t>
      </w:r>
      <w:r w:rsidRPr="00C223C3">
        <w:rPr>
          <w:rFonts w:ascii="Arial" w:hAnsi="Arial" w:cs="Arial"/>
          <w:color w:val="000000" w:themeColor="text1"/>
        </w:rPr>
        <w:t xml:space="preserve"> Bronstein, 2014; Daly</w:t>
      </w:r>
      <w:r w:rsidR="00E37B05" w:rsidRPr="00C223C3">
        <w:rPr>
          <w:rFonts w:ascii="Arial" w:hAnsi="Arial" w:cs="Arial"/>
          <w:color w:val="000000" w:themeColor="text1"/>
        </w:rPr>
        <w:t xml:space="preserve"> &amp;</w:t>
      </w:r>
      <w:r w:rsidRPr="00C223C3">
        <w:rPr>
          <w:rFonts w:ascii="Arial" w:hAnsi="Arial" w:cs="Arial"/>
          <w:color w:val="000000" w:themeColor="text1"/>
        </w:rPr>
        <w:t xml:space="preserve"> Beckers, 2020).</w:t>
      </w:r>
    </w:p>
    <w:p w14:paraId="4BBD3B11" w14:textId="218A7B54" w:rsidR="00930107" w:rsidRPr="00C223C3" w:rsidRDefault="00365F3A"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lastRenderedPageBreak/>
        <w:t xml:space="preserve">In the present study, 96.7% of patients had functioning pituitary adenomas, with a clear predominance of prolactinomas (86.7%), followed by acromegaly (6.7%) and Cushing syndrome (3.3%). These results are consistent with the literature, which describes prolactinomas as the most prevalent pituitary </w:t>
      </w:r>
      <w:proofErr w:type="spellStart"/>
      <w:r w:rsidRPr="00C223C3">
        <w:rPr>
          <w:rFonts w:ascii="Arial" w:hAnsi="Arial" w:cs="Arial"/>
          <w:color w:val="000000" w:themeColor="text1"/>
        </w:rPr>
        <w:t>subpathology</w:t>
      </w:r>
      <w:proofErr w:type="spellEnd"/>
      <w:r w:rsidRPr="00C223C3">
        <w:rPr>
          <w:rFonts w:ascii="Arial" w:hAnsi="Arial" w:cs="Arial"/>
          <w:color w:val="000000" w:themeColor="text1"/>
        </w:rPr>
        <w:t xml:space="preserve"> in specialized centers (Capozzi et al., 2015). The distribution of the main clinical and therapeutic variables is </w:t>
      </w:r>
      <w:r w:rsidR="00E37B05" w:rsidRPr="00C223C3">
        <w:rPr>
          <w:rFonts w:ascii="Arial" w:hAnsi="Arial" w:cs="Arial"/>
          <w:color w:val="000000" w:themeColor="text1"/>
        </w:rPr>
        <w:t xml:space="preserve">presented in the </w:t>
      </w:r>
      <w:r w:rsidRPr="00C223C3">
        <w:rPr>
          <w:rFonts w:ascii="Arial" w:hAnsi="Arial" w:cs="Arial"/>
          <w:color w:val="000000" w:themeColor="text1"/>
        </w:rPr>
        <w:t>Table 1.</w:t>
      </w:r>
    </w:p>
    <w:p w14:paraId="5A619CC4" w14:textId="58AA11F2" w:rsidR="00365F3A" w:rsidRPr="00C223C3" w:rsidRDefault="00365F3A" w:rsidP="00E47D39">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Regarding treatment, most patients were managed with a clinical approach, predominantly using dopamine agonists (cabergoline or bromocriptine), which were prescribed to 63.3% of the sample. This strategy is considered the gold standard for the management of prolactinomas. Surgical intervention was adopted as the initial treatment in only three cases, as shown in</w:t>
      </w:r>
      <w:r w:rsidR="00E37B05" w:rsidRPr="00C223C3">
        <w:rPr>
          <w:rFonts w:ascii="Arial" w:hAnsi="Arial" w:cs="Arial"/>
          <w:color w:val="000000" w:themeColor="text1"/>
        </w:rPr>
        <w:t xml:space="preserve"> the </w:t>
      </w:r>
      <w:r w:rsidRPr="00C223C3">
        <w:rPr>
          <w:rFonts w:ascii="Arial" w:hAnsi="Arial" w:cs="Arial"/>
          <w:color w:val="000000" w:themeColor="text1"/>
        </w:rPr>
        <w:t>Table 1.</w:t>
      </w:r>
    </w:p>
    <w:p w14:paraId="5FA9400C" w14:textId="77777777" w:rsidR="00E47D39" w:rsidRPr="00C223C3" w:rsidRDefault="00E47D39" w:rsidP="00E47D39">
      <w:pPr>
        <w:pStyle w:val="Body"/>
        <w:spacing w:after="0" w:line="360" w:lineRule="auto"/>
        <w:ind w:firstLine="720"/>
        <w:rPr>
          <w:rFonts w:ascii="Arial" w:hAnsi="Arial" w:cs="Arial"/>
          <w:color w:val="000000" w:themeColor="text1"/>
        </w:rPr>
      </w:pPr>
    </w:p>
    <w:p w14:paraId="585FC5FA" w14:textId="21F7F63D" w:rsidR="00382601" w:rsidRPr="00C223C3" w:rsidRDefault="007A6BFF" w:rsidP="00382601">
      <w:pPr>
        <w:pStyle w:val="Body"/>
        <w:spacing w:after="0" w:line="360" w:lineRule="auto"/>
        <w:jc w:val="center"/>
        <w:rPr>
          <w:rFonts w:ascii="Arial" w:hAnsi="Arial" w:cs="Arial"/>
          <w:color w:val="000000" w:themeColor="text1"/>
        </w:rPr>
      </w:pPr>
      <w:r w:rsidRPr="00C223C3">
        <w:rPr>
          <w:rFonts w:ascii="Arial" w:hAnsi="Arial" w:cs="Arial"/>
          <w:b/>
          <w:bCs/>
          <w:color w:val="000000" w:themeColor="text1"/>
        </w:rPr>
        <w:t xml:space="preserve">Table 1. Categorized frequencies of the variables analyzed related to neuroendocrine pathologies, </w:t>
      </w:r>
      <w:proofErr w:type="spellStart"/>
      <w:r w:rsidRPr="00C223C3">
        <w:rPr>
          <w:rFonts w:ascii="Arial" w:hAnsi="Arial" w:cs="Arial"/>
          <w:b/>
          <w:bCs/>
          <w:color w:val="000000" w:themeColor="text1"/>
        </w:rPr>
        <w:t>Chapecó</w:t>
      </w:r>
      <w:proofErr w:type="spellEnd"/>
      <w:r w:rsidRPr="00C223C3">
        <w:rPr>
          <w:rFonts w:ascii="Arial" w:hAnsi="Arial" w:cs="Arial"/>
          <w:b/>
          <w:bCs/>
          <w:color w:val="000000" w:themeColor="text1"/>
        </w:rPr>
        <w:t xml:space="preserve">/SC, </w:t>
      </w:r>
      <w:r w:rsidR="00E37B05" w:rsidRPr="00C223C3">
        <w:rPr>
          <w:rFonts w:ascii="Arial" w:hAnsi="Arial" w:cs="Arial"/>
          <w:b/>
          <w:bCs/>
          <w:color w:val="000000" w:themeColor="text1"/>
        </w:rPr>
        <w:t xml:space="preserve">Brazil, </w:t>
      </w:r>
      <w:r w:rsidRPr="00C223C3">
        <w:rPr>
          <w:rFonts w:ascii="Arial" w:hAnsi="Arial" w:cs="Arial"/>
          <w:b/>
          <w:bCs/>
          <w:color w:val="000000" w:themeColor="text1"/>
        </w:rPr>
        <w:t>2024</w:t>
      </w:r>
    </w:p>
    <w:tbl>
      <w:tblPr>
        <w:tblW w:w="9277" w:type="dxa"/>
        <w:jc w:val="center"/>
        <w:tblCellMar>
          <w:left w:w="70" w:type="dxa"/>
          <w:right w:w="70" w:type="dxa"/>
        </w:tblCellMar>
        <w:tblLook w:val="04A0" w:firstRow="1" w:lastRow="0" w:firstColumn="1" w:lastColumn="0" w:noHBand="0" w:noVBand="1"/>
      </w:tblPr>
      <w:tblGrid>
        <w:gridCol w:w="5118"/>
        <w:gridCol w:w="1925"/>
        <w:gridCol w:w="2234"/>
      </w:tblGrid>
      <w:tr w:rsidR="00382601" w:rsidRPr="00C223C3" w14:paraId="07ACDD1F" w14:textId="77777777" w:rsidTr="00E37B05">
        <w:trPr>
          <w:trHeight w:val="280"/>
          <w:jc w:val="center"/>
        </w:trPr>
        <w:tc>
          <w:tcPr>
            <w:tcW w:w="5118" w:type="dxa"/>
            <w:tcBorders>
              <w:top w:val="single" w:sz="18" w:space="0" w:color="auto"/>
              <w:left w:val="nil"/>
              <w:bottom w:val="single" w:sz="4" w:space="0" w:color="auto"/>
              <w:right w:val="nil"/>
            </w:tcBorders>
            <w:noWrap/>
            <w:vAlign w:val="bottom"/>
            <w:hideMark/>
          </w:tcPr>
          <w:p w14:paraId="6D3AF3F0" w14:textId="4B22F327" w:rsidR="00382601" w:rsidRPr="00C223C3" w:rsidRDefault="000E568D" w:rsidP="00E37B05">
            <w:pPr>
              <w:rPr>
                <w:rFonts w:ascii="Arial" w:hAnsi="Arial" w:cs="Arial"/>
                <w:b/>
                <w:bCs/>
                <w:color w:val="000000" w:themeColor="text1"/>
                <w:lang w:eastAsia="pt-BR"/>
              </w:rPr>
            </w:pPr>
            <w:r w:rsidRPr="00C223C3">
              <w:rPr>
                <w:rFonts w:ascii="Arial" w:hAnsi="Arial" w:cs="Arial"/>
                <w:b/>
                <w:bCs/>
                <w:color w:val="000000" w:themeColor="text1"/>
                <w:lang w:eastAsia="pt-BR"/>
              </w:rPr>
              <w:t>Variables</w:t>
            </w:r>
          </w:p>
        </w:tc>
        <w:tc>
          <w:tcPr>
            <w:tcW w:w="1925" w:type="dxa"/>
            <w:tcBorders>
              <w:top w:val="single" w:sz="18" w:space="0" w:color="auto"/>
              <w:left w:val="nil"/>
              <w:bottom w:val="single" w:sz="4" w:space="0" w:color="auto"/>
              <w:right w:val="nil"/>
            </w:tcBorders>
            <w:noWrap/>
            <w:vAlign w:val="bottom"/>
            <w:hideMark/>
          </w:tcPr>
          <w:p w14:paraId="09AD4284" w14:textId="72F676CB" w:rsidR="00382601" w:rsidRPr="00C223C3" w:rsidRDefault="00C87DB4" w:rsidP="00E37B05">
            <w:pPr>
              <w:jc w:val="center"/>
              <w:rPr>
                <w:rFonts w:ascii="Arial" w:hAnsi="Arial" w:cs="Arial"/>
                <w:b/>
                <w:bCs/>
                <w:color w:val="000000" w:themeColor="text1"/>
                <w:lang w:eastAsia="pt-BR"/>
              </w:rPr>
            </w:pPr>
            <w:r w:rsidRPr="00C223C3">
              <w:rPr>
                <w:rFonts w:ascii="Arial" w:hAnsi="Arial" w:cs="Arial"/>
                <w:b/>
                <w:bCs/>
                <w:color w:val="000000" w:themeColor="text1"/>
                <w:lang w:eastAsia="pt-BR"/>
              </w:rPr>
              <w:t>Frequency</w:t>
            </w:r>
          </w:p>
        </w:tc>
        <w:tc>
          <w:tcPr>
            <w:tcW w:w="2234" w:type="dxa"/>
            <w:tcBorders>
              <w:top w:val="single" w:sz="18" w:space="0" w:color="auto"/>
              <w:left w:val="nil"/>
              <w:bottom w:val="single" w:sz="4" w:space="0" w:color="auto"/>
              <w:right w:val="nil"/>
            </w:tcBorders>
            <w:noWrap/>
            <w:vAlign w:val="bottom"/>
            <w:hideMark/>
          </w:tcPr>
          <w:p w14:paraId="56DD6D09" w14:textId="0811A553" w:rsidR="00382601" w:rsidRPr="00C223C3" w:rsidRDefault="00C87DB4" w:rsidP="00E37B05">
            <w:pPr>
              <w:jc w:val="center"/>
              <w:rPr>
                <w:rFonts w:ascii="Arial" w:hAnsi="Arial" w:cs="Arial"/>
                <w:b/>
                <w:bCs/>
                <w:color w:val="000000" w:themeColor="text1"/>
                <w:lang w:eastAsia="pt-BR"/>
              </w:rPr>
            </w:pPr>
            <w:r w:rsidRPr="00C223C3">
              <w:rPr>
                <w:rFonts w:ascii="Arial" w:hAnsi="Arial" w:cs="Arial"/>
                <w:b/>
                <w:bCs/>
                <w:color w:val="000000" w:themeColor="text1"/>
                <w:lang w:eastAsia="pt-BR"/>
              </w:rPr>
              <w:t>Percentage</w:t>
            </w:r>
          </w:p>
        </w:tc>
      </w:tr>
      <w:tr w:rsidR="00382601" w:rsidRPr="00C223C3" w14:paraId="7CA52E51" w14:textId="77777777" w:rsidTr="00E37B05">
        <w:trPr>
          <w:trHeight w:val="269"/>
          <w:jc w:val="center"/>
        </w:trPr>
        <w:tc>
          <w:tcPr>
            <w:tcW w:w="5118" w:type="dxa"/>
            <w:tcBorders>
              <w:top w:val="single" w:sz="4" w:space="0" w:color="auto"/>
              <w:left w:val="nil"/>
              <w:right w:val="nil"/>
            </w:tcBorders>
            <w:noWrap/>
            <w:vAlign w:val="bottom"/>
            <w:hideMark/>
          </w:tcPr>
          <w:p w14:paraId="0DABA27D" w14:textId="288EF4D0" w:rsidR="00382601" w:rsidRPr="00C223C3" w:rsidRDefault="001668C9" w:rsidP="00E37B05">
            <w:pPr>
              <w:rPr>
                <w:rFonts w:ascii="Arial" w:hAnsi="Arial" w:cs="Arial"/>
                <w:b/>
                <w:bCs/>
                <w:color w:val="000000" w:themeColor="text1"/>
                <w:lang w:eastAsia="pt-BR"/>
              </w:rPr>
            </w:pPr>
            <w:r w:rsidRPr="00C223C3">
              <w:rPr>
                <w:rFonts w:ascii="Arial" w:hAnsi="Arial" w:cs="Arial"/>
                <w:b/>
                <w:bCs/>
                <w:color w:val="000000" w:themeColor="text1"/>
                <w:lang w:eastAsia="pt-BR"/>
              </w:rPr>
              <w:t>Gender</w:t>
            </w:r>
          </w:p>
        </w:tc>
        <w:tc>
          <w:tcPr>
            <w:tcW w:w="1925" w:type="dxa"/>
            <w:tcBorders>
              <w:top w:val="single" w:sz="4" w:space="0" w:color="auto"/>
              <w:left w:val="nil"/>
              <w:right w:val="nil"/>
            </w:tcBorders>
            <w:noWrap/>
            <w:vAlign w:val="bottom"/>
            <w:hideMark/>
          </w:tcPr>
          <w:p w14:paraId="0C85600B" w14:textId="77777777" w:rsidR="00382601" w:rsidRPr="00C223C3" w:rsidRDefault="00382601" w:rsidP="00E37B05">
            <w:pPr>
              <w:jc w:val="center"/>
              <w:rPr>
                <w:rFonts w:ascii="Arial" w:hAnsi="Arial" w:cs="Arial"/>
                <w:b/>
                <w:bCs/>
                <w:color w:val="000000" w:themeColor="text1"/>
                <w:lang w:eastAsia="pt-BR"/>
              </w:rPr>
            </w:pPr>
          </w:p>
        </w:tc>
        <w:tc>
          <w:tcPr>
            <w:tcW w:w="2234" w:type="dxa"/>
            <w:tcBorders>
              <w:top w:val="single" w:sz="4" w:space="0" w:color="auto"/>
              <w:left w:val="nil"/>
              <w:right w:val="nil"/>
            </w:tcBorders>
            <w:noWrap/>
            <w:vAlign w:val="bottom"/>
            <w:hideMark/>
          </w:tcPr>
          <w:p w14:paraId="73C2362C" w14:textId="77777777" w:rsidR="00382601" w:rsidRPr="00C223C3" w:rsidRDefault="00382601" w:rsidP="00E37B05">
            <w:pPr>
              <w:jc w:val="center"/>
              <w:rPr>
                <w:rFonts w:ascii="Arial" w:hAnsi="Arial" w:cs="Arial"/>
                <w:color w:val="000000" w:themeColor="text1"/>
                <w:lang w:eastAsia="pt-BR"/>
              </w:rPr>
            </w:pPr>
          </w:p>
        </w:tc>
      </w:tr>
      <w:tr w:rsidR="00382601" w:rsidRPr="00C223C3" w14:paraId="76E9906F" w14:textId="77777777" w:rsidTr="00E37B05">
        <w:trPr>
          <w:trHeight w:val="269"/>
          <w:jc w:val="center"/>
        </w:trPr>
        <w:tc>
          <w:tcPr>
            <w:tcW w:w="5118" w:type="dxa"/>
            <w:tcBorders>
              <w:left w:val="nil"/>
              <w:bottom w:val="nil"/>
              <w:right w:val="nil"/>
            </w:tcBorders>
            <w:noWrap/>
            <w:vAlign w:val="bottom"/>
            <w:hideMark/>
          </w:tcPr>
          <w:p w14:paraId="67EECED6" w14:textId="6C335329" w:rsidR="00382601" w:rsidRPr="00C223C3" w:rsidRDefault="00CD6B09" w:rsidP="00E37B05">
            <w:pPr>
              <w:rPr>
                <w:rFonts w:ascii="Arial" w:hAnsi="Arial" w:cs="Arial"/>
                <w:color w:val="000000" w:themeColor="text1"/>
                <w:lang w:eastAsia="pt-BR"/>
              </w:rPr>
            </w:pPr>
            <w:r w:rsidRPr="00C223C3">
              <w:rPr>
                <w:rFonts w:ascii="Arial" w:hAnsi="Arial" w:cs="Arial"/>
                <w:color w:val="000000" w:themeColor="text1"/>
                <w:lang w:eastAsia="pt-BR"/>
              </w:rPr>
              <w:t>Female</w:t>
            </w:r>
          </w:p>
        </w:tc>
        <w:tc>
          <w:tcPr>
            <w:tcW w:w="1925" w:type="dxa"/>
            <w:tcBorders>
              <w:left w:val="nil"/>
              <w:bottom w:val="nil"/>
              <w:right w:val="nil"/>
            </w:tcBorders>
            <w:noWrap/>
            <w:vAlign w:val="bottom"/>
            <w:hideMark/>
          </w:tcPr>
          <w:p w14:paraId="4F81D9DB"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28</w:t>
            </w:r>
          </w:p>
        </w:tc>
        <w:tc>
          <w:tcPr>
            <w:tcW w:w="2234" w:type="dxa"/>
            <w:tcBorders>
              <w:left w:val="nil"/>
              <w:bottom w:val="nil"/>
              <w:right w:val="nil"/>
            </w:tcBorders>
            <w:noWrap/>
            <w:vAlign w:val="bottom"/>
            <w:hideMark/>
          </w:tcPr>
          <w:p w14:paraId="438F98E6"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93,3</w:t>
            </w:r>
          </w:p>
        </w:tc>
      </w:tr>
      <w:tr w:rsidR="00382601" w:rsidRPr="00C223C3" w14:paraId="717711B5" w14:textId="77777777" w:rsidTr="00E37B05">
        <w:trPr>
          <w:trHeight w:val="269"/>
          <w:jc w:val="center"/>
        </w:trPr>
        <w:tc>
          <w:tcPr>
            <w:tcW w:w="5118" w:type="dxa"/>
            <w:tcBorders>
              <w:top w:val="nil"/>
              <w:left w:val="nil"/>
              <w:bottom w:val="single" w:sz="4" w:space="0" w:color="auto"/>
              <w:right w:val="nil"/>
            </w:tcBorders>
            <w:noWrap/>
            <w:vAlign w:val="bottom"/>
            <w:hideMark/>
          </w:tcPr>
          <w:p w14:paraId="7956ED34" w14:textId="42425426" w:rsidR="00382601" w:rsidRPr="00C223C3" w:rsidRDefault="00382601" w:rsidP="00E37B05">
            <w:pPr>
              <w:rPr>
                <w:rFonts w:ascii="Arial" w:hAnsi="Arial" w:cs="Arial"/>
                <w:color w:val="000000" w:themeColor="text1"/>
                <w:lang w:eastAsia="pt-BR"/>
              </w:rPr>
            </w:pPr>
            <w:r w:rsidRPr="00C223C3">
              <w:rPr>
                <w:rFonts w:ascii="Arial" w:hAnsi="Arial" w:cs="Arial"/>
                <w:color w:val="000000" w:themeColor="text1"/>
                <w:lang w:eastAsia="pt-BR"/>
              </w:rPr>
              <w:t>Ma</w:t>
            </w:r>
            <w:r w:rsidR="00CD6B09" w:rsidRPr="00C223C3">
              <w:rPr>
                <w:rFonts w:ascii="Arial" w:hAnsi="Arial" w:cs="Arial"/>
                <w:color w:val="000000" w:themeColor="text1"/>
                <w:lang w:eastAsia="pt-BR"/>
              </w:rPr>
              <w:t>le</w:t>
            </w:r>
          </w:p>
        </w:tc>
        <w:tc>
          <w:tcPr>
            <w:tcW w:w="1925" w:type="dxa"/>
            <w:tcBorders>
              <w:top w:val="nil"/>
              <w:left w:val="nil"/>
              <w:bottom w:val="single" w:sz="4" w:space="0" w:color="auto"/>
              <w:right w:val="nil"/>
            </w:tcBorders>
            <w:noWrap/>
            <w:vAlign w:val="bottom"/>
            <w:hideMark/>
          </w:tcPr>
          <w:p w14:paraId="16D6DFE6"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2</w:t>
            </w:r>
          </w:p>
        </w:tc>
        <w:tc>
          <w:tcPr>
            <w:tcW w:w="2234" w:type="dxa"/>
            <w:tcBorders>
              <w:top w:val="nil"/>
              <w:left w:val="nil"/>
              <w:bottom w:val="single" w:sz="4" w:space="0" w:color="auto"/>
              <w:right w:val="nil"/>
            </w:tcBorders>
            <w:noWrap/>
            <w:vAlign w:val="bottom"/>
            <w:hideMark/>
          </w:tcPr>
          <w:p w14:paraId="4C5845B5"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6,7</w:t>
            </w:r>
          </w:p>
        </w:tc>
      </w:tr>
      <w:tr w:rsidR="00382601" w:rsidRPr="00C223C3" w14:paraId="6AC0529B" w14:textId="77777777" w:rsidTr="00E37B05">
        <w:trPr>
          <w:trHeight w:val="269"/>
          <w:jc w:val="center"/>
        </w:trPr>
        <w:tc>
          <w:tcPr>
            <w:tcW w:w="5118" w:type="dxa"/>
            <w:tcBorders>
              <w:top w:val="single" w:sz="4" w:space="0" w:color="auto"/>
              <w:left w:val="nil"/>
              <w:right w:val="nil"/>
            </w:tcBorders>
            <w:noWrap/>
            <w:vAlign w:val="bottom"/>
            <w:hideMark/>
          </w:tcPr>
          <w:p w14:paraId="7FEF4E9A" w14:textId="14F80BF1" w:rsidR="00382601" w:rsidRPr="00C223C3" w:rsidRDefault="00F93868" w:rsidP="00E37B05">
            <w:pPr>
              <w:rPr>
                <w:rFonts w:ascii="Arial" w:hAnsi="Arial" w:cs="Arial"/>
                <w:color w:val="000000" w:themeColor="text1"/>
                <w:lang w:eastAsia="pt-BR"/>
              </w:rPr>
            </w:pPr>
            <w:r w:rsidRPr="00C223C3">
              <w:rPr>
                <w:rFonts w:ascii="Arial" w:hAnsi="Arial" w:cs="Arial"/>
                <w:b/>
                <w:bCs/>
                <w:color w:val="000000" w:themeColor="text1"/>
                <w:lang w:eastAsia="pt-BR"/>
              </w:rPr>
              <w:t>Pathology</w:t>
            </w:r>
          </w:p>
        </w:tc>
        <w:tc>
          <w:tcPr>
            <w:tcW w:w="1925" w:type="dxa"/>
            <w:tcBorders>
              <w:top w:val="single" w:sz="4" w:space="0" w:color="auto"/>
              <w:left w:val="nil"/>
              <w:right w:val="nil"/>
            </w:tcBorders>
            <w:noWrap/>
            <w:vAlign w:val="bottom"/>
            <w:hideMark/>
          </w:tcPr>
          <w:p w14:paraId="1AA761E8" w14:textId="77777777" w:rsidR="00382601" w:rsidRPr="00C223C3" w:rsidRDefault="00382601" w:rsidP="00E37B05">
            <w:pPr>
              <w:jc w:val="center"/>
              <w:rPr>
                <w:rFonts w:ascii="Arial" w:hAnsi="Arial" w:cs="Arial"/>
                <w:color w:val="000000" w:themeColor="text1"/>
                <w:lang w:eastAsia="pt-BR"/>
              </w:rPr>
            </w:pPr>
          </w:p>
        </w:tc>
        <w:tc>
          <w:tcPr>
            <w:tcW w:w="2234" w:type="dxa"/>
            <w:tcBorders>
              <w:top w:val="single" w:sz="4" w:space="0" w:color="auto"/>
              <w:left w:val="nil"/>
              <w:right w:val="nil"/>
            </w:tcBorders>
            <w:noWrap/>
            <w:vAlign w:val="bottom"/>
            <w:hideMark/>
          </w:tcPr>
          <w:p w14:paraId="2263D3C8" w14:textId="77777777" w:rsidR="00382601" w:rsidRPr="00C223C3" w:rsidRDefault="00382601" w:rsidP="00E37B05">
            <w:pPr>
              <w:jc w:val="center"/>
              <w:rPr>
                <w:rFonts w:ascii="Arial" w:hAnsi="Arial" w:cs="Arial"/>
                <w:color w:val="000000" w:themeColor="text1"/>
                <w:lang w:eastAsia="pt-BR"/>
              </w:rPr>
            </w:pPr>
          </w:p>
        </w:tc>
      </w:tr>
      <w:tr w:rsidR="00382601" w:rsidRPr="00C223C3" w14:paraId="1FAAB79E" w14:textId="77777777" w:rsidTr="00E37B05">
        <w:trPr>
          <w:trHeight w:val="269"/>
          <w:jc w:val="center"/>
        </w:trPr>
        <w:tc>
          <w:tcPr>
            <w:tcW w:w="5118" w:type="dxa"/>
            <w:tcBorders>
              <w:top w:val="nil"/>
              <w:left w:val="nil"/>
              <w:right w:val="nil"/>
            </w:tcBorders>
            <w:noWrap/>
            <w:vAlign w:val="bottom"/>
            <w:hideMark/>
          </w:tcPr>
          <w:p w14:paraId="6F2DF1ED" w14:textId="4A9377CD" w:rsidR="00382601" w:rsidRPr="00C223C3" w:rsidRDefault="00D85EC4" w:rsidP="00E37B05">
            <w:pPr>
              <w:rPr>
                <w:rFonts w:ascii="Arial" w:hAnsi="Arial" w:cs="Arial"/>
                <w:color w:val="000000" w:themeColor="text1"/>
                <w:lang w:eastAsia="pt-BR"/>
              </w:rPr>
            </w:pPr>
            <w:r w:rsidRPr="00C223C3">
              <w:rPr>
                <w:rFonts w:ascii="Arial" w:hAnsi="Arial" w:cs="Arial"/>
                <w:color w:val="000000" w:themeColor="text1"/>
                <w:lang w:eastAsia="pt-BR"/>
              </w:rPr>
              <w:t>Functioning pituitary adenoma</w:t>
            </w:r>
          </w:p>
        </w:tc>
        <w:tc>
          <w:tcPr>
            <w:tcW w:w="1925" w:type="dxa"/>
            <w:tcBorders>
              <w:top w:val="nil"/>
              <w:left w:val="nil"/>
              <w:right w:val="nil"/>
            </w:tcBorders>
            <w:noWrap/>
            <w:vAlign w:val="bottom"/>
            <w:hideMark/>
          </w:tcPr>
          <w:p w14:paraId="50A70755"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29</w:t>
            </w:r>
          </w:p>
        </w:tc>
        <w:tc>
          <w:tcPr>
            <w:tcW w:w="2234" w:type="dxa"/>
            <w:tcBorders>
              <w:top w:val="nil"/>
              <w:left w:val="nil"/>
              <w:right w:val="nil"/>
            </w:tcBorders>
            <w:noWrap/>
            <w:vAlign w:val="bottom"/>
            <w:hideMark/>
          </w:tcPr>
          <w:p w14:paraId="32D139FF"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96,7</w:t>
            </w:r>
          </w:p>
        </w:tc>
      </w:tr>
      <w:tr w:rsidR="00382601" w:rsidRPr="00C223C3" w14:paraId="4237FA09" w14:textId="77777777" w:rsidTr="00E37B05">
        <w:trPr>
          <w:trHeight w:val="269"/>
          <w:jc w:val="center"/>
        </w:trPr>
        <w:tc>
          <w:tcPr>
            <w:tcW w:w="5118" w:type="dxa"/>
            <w:tcBorders>
              <w:top w:val="nil"/>
              <w:left w:val="nil"/>
              <w:bottom w:val="single" w:sz="4" w:space="0" w:color="auto"/>
              <w:right w:val="nil"/>
            </w:tcBorders>
            <w:noWrap/>
            <w:vAlign w:val="bottom"/>
          </w:tcPr>
          <w:p w14:paraId="7352E2EA" w14:textId="5E58080E" w:rsidR="00382601" w:rsidRPr="00C223C3" w:rsidRDefault="00D85EC4" w:rsidP="00E37B05">
            <w:pPr>
              <w:rPr>
                <w:rFonts w:ascii="Arial" w:hAnsi="Arial" w:cs="Arial"/>
                <w:color w:val="000000" w:themeColor="text1"/>
                <w:lang w:eastAsia="pt-BR"/>
              </w:rPr>
            </w:pPr>
            <w:r w:rsidRPr="00C223C3">
              <w:rPr>
                <w:rFonts w:ascii="Arial" w:hAnsi="Arial" w:cs="Arial"/>
                <w:color w:val="000000" w:themeColor="text1"/>
                <w:lang w:eastAsia="pt-BR"/>
              </w:rPr>
              <w:t>Non-functioning pituitary adenoma</w:t>
            </w:r>
          </w:p>
        </w:tc>
        <w:tc>
          <w:tcPr>
            <w:tcW w:w="1925" w:type="dxa"/>
            <w:tcBorders>
              <w:top w:val="nil"/>
              <w:left w:val="nil"/>
              <w:bottom w:val="single" w:sz="4" w:space="0" w:color="auto"/>
              <w:right w:val="nil"/>
            </w:tcBorders>
            <w:noWrap/>
            <w:vAlign w:val="bottom"/>
          </w:tcPr>
          <w:p w14:paraId="4DD825E4"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1</w:t>
            </w:r>
          </w:p>
        </w:tc>
        <w:tc>
          <w:tcPr>
            <w:tcW w:w="2234" w:type="dxa"/>
            <w:tcBorders>
              <w:top w:val="nil"/>
              <w:left w:val="nil"/>
              <w:bottom w:val="single" w:sz="4" w:space="0" w:color="auto"/>
              <w:right w:val="nil"/>
            </w:tcBorders>
            <w:noWrap/>
            <w:vAlign w:val="bottom"/>
          </w:tcPr>
          <w:p w14:paraId="78327178"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3,3</w:t>
            </w:r>
          </w:p>
        </w:tc>
      </w:tr>
      <w:tr w:rsidR="00382601" w:rsidRPr="00C223C3" w14:paraId="47F635B3" w14:textId="77777777" w:rsidTr="00E37B05">
        <w:trPr>
          <w:trHeight w:val="269"/>
          <w:jc w:val="center"/>
        </w:trPr>
        <w:tc>
          <w:tcPr>
            <w:tcW w:w="5118" w:type="dxa"/>
            <w:tcBorders>
              <w:top w:val="single" w:sz="4" w:space="0" w:color="auto"/>
              <w:left w:val="nil"/>
              <w:right w:val="nil"/>
            </w:tcBorders>
            <w:noWrap/>
            <w:vAlign w:val="bottom"/>
            <w:hideMark/>
          </w:tcPr>
          <w:p w14:paraId="78800568" w14:textId="44FFAE28" w:rsidR="00382601" w:rsidRPr="00C223C3" w:rsidRDefault="00752E0F" w:rsidP="00E37B05">
            <w:pPr>
              <w:rPr>
                <w:rFonts w:ascii="Arial" w:hAnsi="Arial" w:cs="Arial"/>
                <w:b/>
                <w:bCs/>
                <w:color w:val="000000" w:themeColor="text1"/>
                <w:lang w:eastAsia="pt-BR"/>
              </w:rPr>
            </w:pPr>
            <w:proofErr w:type="spellStart"/>
            <w:r w:rsidRPr="00C223C3">
              <w:rPr>
                <w:rFonts w:ascii="Arial" w:hAnsi="Arial" w:cs="Arial"/>
                <w:b/>
                <w:bCs/>
                <w:color w:val="000000" w:themeColor="text1"/>
                <w:lang w:eastAsia="pt-BR"/>
              </w:rPr>
              <w:t>Subpathology</w:t>
            </w:r>
            <w:proofErr w:type="spellEnd"/>
          </w:p>
        </w:tc>
        <w:tc>
          <w:tcPr>
            <w:tcW w:w="1925" w:type="dxa"/>
            <w:tcBorders>
              <w:top w:val="single" w:sz="4" w:space="0" w:color="auto"/>
              <w:left w:val="nil"/>
              <w:right w:val="nil"/>
            </w:tcBorders>
            <w:noWrap/>
            <w:vAlign w:val="bottom"/>
            <w:hideMark/>
          </w:tcPr>
          <w:p w14:paraId="625C5453" w14:textId="77777777" w:rsidR="00382601" w:rsidRPr="00C223C3" w:rsidRDefault="00382601" w:rsidP="00E37B05">
            <w:pPr>
              <w:jc w:val="center"/>
              <w:rPr>
                <w:rFonts w:ascii="Arial" w:hAnsi="Arial" w:cs="Arial"/>
                <w:b/>
                <w:bCs/>
                <w:color w:val="000000" w:themeColor="text1"/>
                <w:lang w:eastAsia="pt-BR"/>
              </w:rPr>
            </w:pPr>
          </w:p>
        </w:tc>
        <w:tc>
          <w:tcPr>
            <w:tcW w:w="2234" w:type="dxa"/>
            <w:tcBorders>
              <w:top w:val="single" w:sz="4" w:space="0" w:color="auto"/>
              <w:left w:val="nil"/>
              <w:right w:val="nil"/>
            </w:tcBorders>
            <w:noWrap/>
            <w:vAlign w:val="bottom"/>
            <w:hideMark/>
          </w:tcPr>
          <w:p w14:paraId="0B1BE393" w14:textId="77777777" w:rsidR="00382601" w:rsidRPr="00C223C3" w:rsidRDefault="00382601" w:rsidP="00E37B05">
            <w:pPr>
              <w:jc w:val="center"/>
              <w:rPr>
                <w:rFonts w:ascii="Arial" w:hAnsi="Arial" w:cs="Arial"/>
                <w:color w:val="000000" w:themeColor="text1"/>
                <w:lang w:eastAsia="pt-BR"/>
              </w:rPr>
            </w:pPr>
          </w:p>
        </w:tc>
      </w:tr>
      <w:tr w:rsidR="00382601" w:rsidRPr="00C223C3" w14:paraId="050F7636" w14:textId="77777777" w:rsidTr="00E37B05">
        <w:trPr>
          <w:trHeight w:val="269"/>
          <w:jc w:val="center"/>
        </w:trPr>
        <w:tc>
          <w:tcPr>
            <w:tcW w:w="5118" w:type="dxa"/>
            <w:tcBorders>
              <w:left w:val="nil"/>
              <w:bottom w:val="nil"/>
              <w:right w:val="nil"/>
            </w:tcBorders>
            <w:noWrap/>
            <w:vAlign w:val="bottom"/>
            <w:hideMark/>
          </w:tcPr>
          <w:p w14:paraId="4B76EFD0" w14:textId="6776FEC2" w:rsidR="00382601" w:rsidRPr="00C223C3" w:rsidRDefault="00752E0F" w:rsidP="00E37B05">
            <w:pPr>
              <w:rPr>
                <w:rFonts w:ascii="Arial" w:hAnsi="Arial" w:cs="Arial"/>
                <w:color w:val="000000" w:themeColor="text1"/>
                <w:lang w:eastAsia="pt-BR"/>
              </w:rPr>
            </w:pPr>
            <w:r w:rsidRPr="00C223C3">
              <w:rPr>
                <w:rFonts w:ascii="Arial" w:hAnsi="Arial" w:cs="Arial"/>
                <w:color w:val="000000" w:themeColor="text1"/>
                <w:lang w:eastAsia="pt-BR"/>
              </w:rPr>
              <w:t>Prolactinoma</w:t>
            </w:r>
          </w:p>
        </w:tc>
        <w:tc>
          <w:tcPr>
            <w:tcW w:w="1925" w:type="dxa"/>
            <w:tcBorders>
              <w:left w:val="nil"/>
              <w:bottom w:val="nil"/>
              <w:right w:val="nil"/>
            </w:tcBorders>
            <w:noWrap/>
            <w:vAlign w:val="bottom"/>
            <w:hideMark/>
          </w:tcPr>
          <w:p w14:paraId="2CDAEBF6"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26</w:t>
            </w:r>
          </w:p>
        </w:tc>
        <w:tc>
          <w:tcPr>
            <w:tcW w:w="2234" w:type="dxa"/>
            <w:tcBorders>
              <w:left w:val="nil"/>
              <w:bottom w:val="nil"/>
              <w:right w:val="nil"/>
            </w:tcBorders>
            <w:noWrap/>
            <w:vAlign w:val="bottom"/>
            <w:hideMark/>
          </w:tcPr>
          <w:p w14:paraId="659AF755"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86,7</w:t>
            </w:r>
          </w:p>
        </w:tc>
      </w:tr>
      <w:tr w:rsidR="00382601" w:rsidRPr="00C223C3" w14:paraId="5AB0C2B1" w14:textId="77777777" w:rsidTr="00E37B05">
        <w:trPr>
          <w:trHeight w:val="269"/>
          <w:jc w:val="center"/>
        </w:trPr>
        <w:tc>
          <w:tcPr>
            <w:tcW w:w="5118" w:type="dxa"/>
            <w:tcBorders>
              <w:left w:val="nil"/>
              <w:bottom w:val="nil"/>
              <w:right w:val="nil"/>
            </w:tcBorders>
            <w:noWrap/>
            <w:vAlign w:val="bottom"/>
          </w:tcPr>
          <w:p w14:paraId="3D36B289" w14:textId="1A21BAC9" w:rsidR="00382601" w:rsidRPr="00C223C3" w:rsidRDefault="00752E0F" w:rsidP="00E37B05">
            <w:pPr>
              <w:rPr>
                <w:rFonts w:ascii="Arial" w:hAnsi="Arial" w:cs="Arial"/>
                <w:color w:val="000000" w:themeColor="text1"/>
                <w:lang w:eastAsia="pt-BR"/>
              </w:rPr>
            </w:pPr>
            <w:r w:rsidRPr="00C223C3">
              <w:rPr>
                <w:rFonts w:ascii="Arial" w:hAnsi="Arial" w:cs="Arial"/>
                <w:color w:val="000000" w:themeColor="text1"/>
                <w:lang w:eastAsia="pt-BR"/>
              </w:rPr>
              <w:t>Acromegaly</w:t>
            </w:r>
          </w:p>
        </w:tc>
        <w:tc>
          <w:tcPr>
            <w:tcW w:w="1925" w:type="dxa"/>
            <w:tcBorders>
              <w:left w:val="nil"/>
              <w:bottom w:val="nil"/>
              <w:right w:val="nil"/>
            </w:tcBorders>
            <w:noWrap/>
            <w:vAlign w:val="bottom"/>
          </w:tcPr>
          <w:p w14:paraId="766BFF18"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2</w:t>
            </w:r>
          </w:p>
        </w:tc>
        <w:tc>
          <w:tcPr>
            <w:tcW w:w="2234" w:type="dxa"/>
            <w:tcBorders>
              <w:left w:val="nil"/>
              <w:bottom w:val="nil"/>
              <w:right w:val="nil"/>
            </w:tcBorders>
            <w:noWrap/>
            <w:vAlign w:val="bottom"/>
          </w:tcPr>
          <w:p w14:paraId="282626F1"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6,7</w:t>
            </w:r>
          </w:p>
        </w:tc>
      </w:tr>
      <w:tr w:rsidR="00382601" w:rsidRPr="00C223C3" w14:paraId="19F2680F" w14:textId="77777777" w:rsidTr="00E37B05">
        <w:trPr>
          <w:trHeight w:val="269"/>
          <w:jc w:val="center"/>
        </w:trPr>
        <w:tc>
          <w:tcPr>
            <w:tcW w:w="5118" w:type="dxa"/>
            <w:tcBorders>
              <w:top w:val="nil"/>
              <w:left w:val="nil"/>
              <w:bottom w:val="nil"/>
              <w:right w:val="nil"/>
            </w:tcBorders>
            <w:noWrap/>
            <w:vAlign w:val="bottom"/>
            <w:hideMark/>
          </w:tcPr>
          <w:p w14:paraId="4A29E3A8" w14:textId="775CAA0C" w:rsidR="00382601" w:rsidRPr="00C223C3" w:rsidRDefault="004E694F" w:rsidP="00E37B05">
            <w:pPr>
              <w:rPr>
                <w:rFonts w:ascii="Arial" w:hAnsi="Arial" w:cs="Arial"/>
                <w:color w:val="000000" w:themeColor="text1"/>
                <w:lang w:eastAsia="pt-BR"/>
              </w:rPr>
            </w:pPr>
            <w:r w:rsidRPr="00C223C3">
              <w:rPr>
                <w:rFonts w:ascii="Arial" w:hAnsi="Arial" w:cs="Arial"/>
                <w:color w:val="000000" w:themeColor="text1"/>
                <w:lang w:eastAsia="pt-BR"/>
              </w:rPr>
              <w:t>Cushing’s syndrome</w:t>
            </w:r>
          </w:p>
        </w:tc>
        <w:tc>
          <w:tcPr>
            <w:tcW w:w="1925" w:type="dxa"/>
            <w:tcBorders>
              <w:top w:val="nil"/>
              <w:left w:val="nil"/>
              <w:bottom w:val="nil"/>
              <w:right w:val="nil"/>
            </w:tcBorders>
            <w:noWrap/>
            <w:vAlign w:val="bottom"/>
            <w:hideMark/>
          </w:tcPr>
          <w:p w14:paraId="440F7853"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1</w:t>
            </w:r>
          </w:p>
        </w:tc>
        <w:tc>
          <w:tcPr>
            <w:tcW w:w="2234" w:type="dxa"/>
            <w:tcBorders>
              <w:top w:val="nil"/>
              <w:left w:val="nil"/>
              <w:bottom w:val="nil"/>
              <w:right w:val="nil"/>
            </w:tcBorders>
            <w:noWrap/>
            <w:vAlign w:val="bottom"/>
            <w:hideMark/>
          </w:tcPr>
          <w:p w14:paraId="2087EF42"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3,3</w:t>
            </w:r>
          </w:p>
        </w:tc>
      </w:tr>
      <w:tr w:rsidR="00382601" w:rsidRPr="00C223C3" w14:paraId="6C76F797" w14:textId="77777777" w:rsidTr="00E37B05">
        <w:trPr>
          <w:trHeight w:val="269"/>
          <w:jc w:val="center"/>
        </w:trPr>
        <w:tc>
          <w:tcPr>
            <w:tcW w:w="5118" w:type="dxa"/>
            <w:tcBorders>
              <w:top w:val="nil"/>
              <w:left w:val="nil"/>
              <w:bottom w:val="single" w:sz="4" w:space="0" w:color="auto"/>
              <w:right w:val="nil"/>
            </w:tcBorders>
            <w:noWrap/>
            <w:vAlign w:val="bottom"/>
            <w:hideMark/>
          </w:tcPr>
          <w:p w14:paraId="038EB9F4" w14:textId="346E8D23" w:rsidR="00382601" w:rsidRPr="00C223C3" w:rsidRDefault="004E694F" w:rsidP="00E37B05">
            <w:pPr>
              <w:rPr>
                <w:rFonts w:ascii="Arial" w:hAnsi="Arial" w:cs="Arial"/>
                <w:color w:val="000000" w:themeColor="text1"/>
                <w:lang w:val="pt-BR" w:eastAsia="pt-BR"/>
              </w:rPr>
            </w:pPr>
            <w:r w:rsidRPr="00C223C3">
              <w:rPr>
                <w:rFonts w:ascii="Arial" w:hAnsi="Arial" w:cs="Arial"/>
                <w:color w:val="000000" w:themeColor="text1"/>
                <w:lang w:val="pt-BR" w:eastAsia="pt-BR"/>
              </w:rPr>
              <w:t>Non-functioning</w:t>
            </w:r>
          </w:p>
        </w:tc>
        <w:tc>
          <w:tcPr>
            <w:tcW w:w="1925" w:type="dxa"/>
            <w:tcBorders>
              <w:top w:val="nil"/>
              <w:left w:val="nil"/>
              <w:bottom w:val="single" w:sz="4" w:space="0" w:color="auto"/>
              <w:right w:val="nil"/>
            </w:tcBorders>
            <w:noWrap/>
            <w:vAlign w:val="bottom"/>
            <w:hideMark/>
          </w:tcPr>
          <w:p w14:paraId="15808974"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1</w:t>
            </w:r>
          </w:p>
        </w:tc>
        <w:tc>
          <w:tcPr>
            <w:tcW w:w="2234" w:type="dxa"/>
            <w:tcBorders>
              <w:top w:val="nil"/>
              <w:left w:val="nil"/>
              <w:bottom w:val="single" w:sz="4" w:space="0" w:color="auto"/>
              <w:right w:val="nil"/>
            </w:tcBorders>
            <w:noWrap/>
            <w:vAlign w:val="bottom"/>
            <w:hideMark/>
          </w:tcPr>
          <w:p w14:paraId="7F25E960"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3,3</w:t>
            </w:r>
          </w:p>
        </w:tc>
      </w:tr>
      <w:tr w:rsidR="00382601" w:rsidRPr="00C223C3" w14:paraId="3D9B97F1" w14:textId="77777777" w:rsidTr="00E37B05">
        <w:trPr>
          <w:trHeight w:val="269"/>
          <w:jc w:val="center"/>
        </w:trPr>
        <w:tc>
          <w:tcPr>
            <w:tcW w:w="5118" w:type="dxa"/>
            <w:tcBorders>
              <w:top w:val="single" w:sz="4" w:space="0" w:color="auto"/>
              <w:left w:val="nil"/>
              <w:right w:val="nil"/>
            </w:tcBorders>
            <w:noWrap/>
            <w:vAlign w:val="bottom"/>
            <w:hideMark/>
          </w:tcPr>
          <w:p w14:paraId="2B055577" w14:textId="0B3E15F4" w:rsidR="00382601" w:rsidRPr="00C223C3" w:rsidRDefault="00BC35DE" w:rsidP="00E37B05">
            <w:pPr>
              <w:rPr>
                <w:rFonts w:ascii="Arial" w:hAnsi="Arial" w:cs="Arial"/>
                <w:b/>
                <w:bCs/>
                <w:color w:val="000000" w:themeColor="text1"/>
                <w:lang w:eastAsia="pt-BR"/>
              </w:rPr>
            </w:pPr>
            <w:r w:rsidRPr="00C223C3">
              <w:rPr>
                <w:rFonts w:ascii="Arial" w:hAnsi="Arial" w:cs="Arial"/>
                <w:b/>
                <w:bCs/>
                <w:color w:val="000000" w:themeColor="text1"/>
                <w:lang w:eastAsia="pt-BR"/>
              </w:rPr>
              <w:t>Surgery</w:t>
            </w:r>
          </w:p>
        </w:tc>
        <w:tc>
          <w:tcPr>
            <w:tcW w:w="1925" w:type="dxa"/>
            <w:tcBorders>
              <w:top w:val="single" w:sz="4" w:space="0" w:color="auto"/>
              <w:left w:val="nil"/>
              <w:right w:val="nil"/>
            </w:tcBorders>
            <w:noWrap/>
            <w:vAlign w:val="bottom"/>
            <w:hideMark/>
          </w:tcPr>
          <w:p w14:paraId="06AC8895" w14:textId="77777777" w:rsidR="00382601" w:rsidRPr="00C223C3" w:rsidRDefault="00382601" w:rsidP="00E37B05">
            <w:pPr>
              <w:jc w:val="center"/>
              <w:rPr>
                <w:rFonts w:ascii="Arial" w:hAnsi="Arial" w:cs="Arial"/>
                <w:b/>
                <w:bCs/>
                <w:color w:val="000000" w:themeColor="text1"/>
                <w:lang w:eastAsia="pt-BR"/>
              </w:rPr>
            </w:pPr>
          </w:p>
        </w:tc>
        <w:tc>
          <w:tcPr>
            <w:tcW w:w="2234" w:type="dxa"/>
            <w:tcBorders>
              <w:top w:val="single" w:sz="4" w:space="0" w:color="auto"/>
              <w:left w:val="nil"/>
              <w:right w:val="nil"/>
            </w:tcBorders>
            <w:noWrap/>
            <w:vAlign w:val="bottom"/>
            <w:hideMark/>
          </w:tcPr>
          <w:p w14:paraId="24006125" w14:textId="77777777" w:rsidR="00382601" w:rsidRPr="00C223C3" w:rsidRDefault="00382601" w:rsidP="00E37B05">
            <w:pPr>
              <w:jc w:val="center"/>
              <w:rPr>
                <w:rFonts w:ascii="Arial" w:hAnsi="Arial" w:cs="Arial"/>
                <w:color w:val="000000" w:themeColor="text1"/>
                <w:lang w:eastAsia="pt-BR"/>
              </w:rPr>
            </w:pPr>
          </w:p>
        </w:tc>
      </w:tr>
      <w:tr w:rsidR="00382601" w:rsidRPr="00C223C3" w14:paraId="24FAAA8F" w14:textId="77777777" w:rsidTr="00E37B05">
        <w:trPr>
          <w:trHeight w:val="269"/>
          <w:jc w:val="center"/>
        </w:trPr>
        <w:tc>
          <w:tcPr>
            <w:tcW w:w="5118" w:type="dxa"/>
            <w:tcBorders>
              <w:left w:val="nil"/>
              <w:bottom w:val="nil"/>
              <w:right w:val="nil"/>
            </w:tcBorders>
            <w:noWrap/>
            <w:vAlign w:val="bottom"/>
          </w:tcPr>
          <w:p w14:paraId="1520C7AE" w14:textId="160430E9" w:rsidR="00382601" w:rsidRPr="00C223C3" w:rsidRDefault="00382601" w:rsidP="00E37B05">
            <w:pPr>
              <w:rPr>
                <w:rFonts w:ascii="Arial" w:hAnsi="Arial" w:cs="Arial"/>
                <w:color w:val="000000" w:themeColor="text1"/>
                <w:lang w:eastAsia="pt-BR"/>
              </w:rPr>
            </w:pPr>
            <w:r w:rsidRPr="00C223C3">
              <w:rPr>
                <w:rFonts w:ascii="Arial" w:hAnsi="Arial" w:cs="Arial"/>
                <w:color w:val="000000" w:themeColor="text1"/>
                <w:lang w:eastAsia="pt-BR"/>
              </w:rPr>
              <w:t>N</w:t>
            </w:r>
            <w:r w:rsidR="00BC35DE" w:rsidRPr="00C223C3">
              <w:rPr>
                <w:rFonts w:ascii="Arial" w:hAnsi="Arial" w:cs="Arial"/>
                <w:color w:val="000000" w:themeColor="text1"/>
                <w:lang w:eastAsia="pt-BR"/>
              </w:rPr>
              <w:t>o</w:t>
            </w:r>
          </w:p>
        </w:tc>
        <w:tc>
          <w:tcPr>
            <w:tcW w:w="1925" w:type="dxa"/>
            <w:tcBorders>
              <w:left w:val="nil"/>
              <w:bottom w:val="nil"/>
              <w:right w:val="nil"/>
            </w:tcBorders>
            <w:noWrap/>
            <w:vAlign w:val="bottom"/>
          </w:tcPr>
          <w:p w14:paraId="25990A7F"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27</w:t>
            </w:r>
          </w:p>
        </w:tc>
        <w:tc>
          <w:tcPr>
            <w:tcW w:w="2234" w:type="dxa"/>
            <w:tcBorders>
              <w:left w:val="nil"/>
              <w:bottom w:val="nil"/>
              <w:right w:val="nil"/>
            </w:tcBorders>
            <w:noWrap/>
            <w:vAlign w:val="bottom"/>
          </w:tcPr>
          <w:p w14:paraId="7B346B05"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90,0</w:t>
            </w:r>
          </w:p>
        </w:tc>
      </w:tr>
      <w:tr w:rsidR="00382601" w:rsidRPr="00C223C3" w14:paraId="021903E3" w14:textId="77777777" w:rsidTr="00E37B05">
        <w:trPr>
          <w:trHeight w:val="269"/>
          <w:jc w:val="center"/>
        </w:trPr>
        <w:tc>
          <w:tcPr>
            <w:tcW w:w="5118" w:type="dxa"/>
            <w:tcBorders>
              <w:left w:val="nil"/>
              <w:bottom w:val="nil"/>
              <w:right w:val="nil"/>
            </w:tcBorders>
            <w:noWrap/>
            <w:vAlign w:val="bottom"/>
            <w:hideMark/>
          </w:tcPr>
          <w:p w14:paraId="3F6E00A6" w14:textId="61D951AA" w:rsidR="00382601" w:rsidRPr="00C223C3" w:rsidRDefault="00BC35DE" w:rsidP="00E37B05">
            <w:pPr>
              <w:rPr>
                <w:rFonts w:ascii="Arial" w:hAnsi="Arial" w:cs="Arial"/>
                <w:color w:val="000000" w:themeColor="text1"/>
                <w:lang w:eastAsia="pt-BR"/>
              </w:rPr>
            </w:pPr>
            <w:r w:rsidRPr="00C223C3">
              <w:rPr>
                <w:rFonts w:ascii="Arial" w:hAnsi="Arial" w:cs="Arial"/>
                <w:color w:val="000000" w:themeColor="text1"/>
                <w:lang w:eastAsia="pt-BR"/>
              </w:rPr>
              <w:t>Yes</w:t>
            </w:r>
          </w:p>
        </w:tc>
        <w:tc>
          <w:tcPr>
            <w:tcW w:w="1925" w:type="dxa"/>
            <w:tcBorders>
              <w:left w:val="nil"/>
              <w:bottom w:val="nil"/>
              <w:right w:val="nil"/>
            </w:tcBorders>
            <w:noWrap/>
            <w:vAlign w:val="bottom"/>
            <w:hideMark/>
          </w:tcPr>
          <w:p w14:paraId="7A1BABD4"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3</w:t>
            </w:r>
          </w:p>
        </w:tc>
        <w:tc>
          <w:tcPr>
            <w:tcW w:w="2234" w:type="dxa"/>
            <w:tcBorders>
              <w:left w:val="nil"/>
              <w:bottom w:val="nil"/>
              <w:right w:val="nil"/>
            </w:tcBorders>
            <w:noWrap/>
            <w:vAlign w:val="bottom"/>
            <w:hideMark/>
          </w:tcPr>
          <w:p w14:paraId="129BE7D1"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10,0</w:t>
            </w:r>
          </w:p>
        </w:tc>
      </w:tr>
      <w:tr w:rsidR="00382601" w:rsidRPr="00C223C3" w14:paraId="06973807" w14:textId="77777777" w:rsidTr="00E37B05">
        <w:trPr>
          <w:trHeight w:val="269"/>
          <w:jc w:val="center"/>
        </w:trPr>
        <w:tc>
          <w:tcPr>
            <w:tcW w:w="5118" w:type="dxa"/>
            <w:tcBorders>
              <w:top w:val="single" w:sz="4" w:space="0" w:color="auto"/>
              <w:left w:val="nil"/>
              <w:right w:val="nil"/>
            </w:tcBorders>
            <w:noWrap/>
            <w:vAlign w:val="bottom"/>
            <w:hideMark/>
          </w:tcPr>
          <w:p w14:paraId="14B6CF78" w14:textId="58F10EBF" w:rsidR="00382601" w:rsidRPr="00C223C3" w:rsidRDefault="00170A2A" w:rsidP="00E37B05">
            <w:pPr>
              <w:rPr>
                <w:rFonts w:ascii="Arial" w:hAnsi="Arial" w:cs="Arial"/>
                <w:b/>
                <w:bCs/>
                <w:color w:val="000000" w:themeColor="text1"/>
                <w:lang w:eastAsia="pt-BR"/>
              </w:rPr>
            </w:pPr>
            <w:r w:rsidRPr="00C223C3">
              <w:rPr>
                <w:rFonts w:ascii="Arial" w:hAnsi="Arial" w:cs="Arial"/>
                <w:b/>
                <w:bCs/>
                <w:color w:val="000000" w:themeColor="text1"/>
                <w:lang w:eastAsia="pt-BR"/>
              </w:rPr>
              <w:t>Clinical treatment</w:t>
            </w:r>
          </w:p>
        </w:tc>
        <w:tc>
          <w:tcPr>
            <w:tcW w:w="1925" w:type="dxa"/>
            <w:tcBorders>
              <w:top w:val="single" w:sz="4" w:space="0" w:color="auto"/>
              <w:left w:val="nil"/>
              <w:right w:val="nil"/>
            </w:tcBorders>
            <w:noWrap/>
            <w:vAlign w:val="bottom"/>
            <w:hideMark/>
          </w:tcPr>
          <w:p w14:paraId="4441E452" w14:textId="77777777" w:rsidR="00382601" w:rsidRPr="00C223C3" w:rsidRDefault="00382601" w:rsidP="00E37B05">
            <w:pPr>
              <w:jc w:val="center"/>
              <w:rPr>
                <w:rFonts w:ascii="Arial" w:hAnsi="Arial" w:cs="Arial"/>
                <w:b/>
                <w:bCs/>
                <w:color w:val="000000" w:themeColor="text1"/>
                <w:lang w:eastAsia="pt-BR"/>
              </w:rPr>
            </w:pPr>
          </w:p>
        </w:tc>
        <w:tc>
          <w:tcPr>
            <w:tcW w:w="2234" w:type="dxa"/>
            <w:tcBorders>
              <w:top w:val="single" w:sz="4" w:space="0" w:color="auto"/>
              <w:left w:val="nil"/>
              <w:right w:val="nil"/>
            </w:tcBorders>
            <w:noWrap/>
            <w:vAlign w:val="bottom"/>
            <w:hideMark/>
          </w:tcPr>
          <w:p w14:paraId="2EE0F156" w14:textId="77777777" w:rsidR="00382601" w:rsidRPr="00C223C3" w:rsidRDefault="00382601" w:rsidP="00E37B05">
            <w:pPr>
              <w:jc w:val="center"/>
              <w:rPr>
                <w:rFonts w:ascii="Arial" w:hAnsi="Arial" w:cs="Arial"/>
                <w:color w:val="000000" w:themeColor="text1"/>
                <w:lang w:eastAsia="pt-BR"/>
              </w:rPr>
            </w:pPr>
          </w:p>
        </w:tc>
      </w:tr>
      <w:tr w:rsidR="00382601" w:rsidRPr="00C223C3" w14:paraId="685B7CEA" w14:textId="77777777" w:rsidTr="00E37B05">
        <w:trPr>
          <w:trHeight w:val="269"/>
          <w:jc w:val="center"/>
        </w:trPr>
        <w:tc>
          <w:tcPr>
            <w:tcW w:w="5118" w:type="dxa"/>
            <w:tcBorders>
              <w:left w:val="nil"/>
              <w:bottom w:val="nil"/>
              <w:right w:val="nil"/>
            </w:tcBorders>
            <w:noWrap/>
            <w:vAlign w:val="bottom"/>
            <w:hideMark/>
          </w:tcPr>
          <w:p w14:paraId="724D1877" w14:textId="01159C4B" w:rsidR="00382601" w:rsidRPr="00C223C3" w:rsidRDefault="00170A2A" w:rsidP="00E37B05">
            <w:pPr>
              <w:rPr>
                <w:rFonts w:ascii="Arial" w:hAnsi="Arial" w:cs="Arial"/>
                <w:color w:val="000000" w:themeColor="text1"/>
                <w:lang w:eastAsia="pt-BR"/>
              </w:rPr>
            </w:pPr>
            <w:r w:rsidRPr="00C223C3">
              <w:rPr>
                <w:rFonts w:ascii="Arial" w:hAnsi="Arial" w:cs="Arial"/>
                <w:color w:val="000000" w:themeColor="text1"/>
                <w:lang w:eastAsia="pt-BR"/>
              </w:rPr>
              <w:t>Yes</w:t>
            </w:r>
          </w:p>
        </w:tc>
        <w:tc>
          <w:tcPr>
            <w:tcW w:w="1925" w:type="dxa"/>
            <w:tcBorders>
              <w:left w:val="nil"/>
              <w:bottom w:val="nil"/>
              <w:right w:val="nil"/>
            </w:tcBorders>
            <w:noWrap/>
            <w:vAlign w:val="bottom"/>
            <w:hideMark/>
          </w:tcPr>
          <w:p w14:paraId="12B088B7"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22</w:t>
            </w:r>
          </w:p>
        </w:tc>
        <w:tc>
          <w:tcPr>
            <w:tcW w:w="2234" w:type="dxa"/>
            <w:tcBorders>
              <w:left w:val="nil"/>
              <w:bottom w:val="nil"/>
              <w:right w:val="nil"/>
            </w:tcBorders>
            <w:noWrap/>
            <w:vAlign w:val="bottom"/>
            <w:hideMark/>
          </w:tcPr>
          <w:p w14:paraId="19799525"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73,3</w:t>
            </w:r>
          </w:p>
        </w:tc>
      </w:tr>
      <w:tr w:rsidR="00382601" w:rsidRPr="00C223C3" w14:paraId="168ABE5C" w14:textId="77777777" w:rsidTr="00E37B05">
        <w:trPr>
          <w:trHeight w:val="269"/>
          <w:jc w:val="center"/>
        </w:trPr>
        <w:tc>
          <w:tcPr>
            <w:tcW w:w="5118" w:type="dxa"/>
            <w:tcBorders>
              <w:top w:val="nil"/>
              <w:left w:val="nil"/>
              <w:bottom w:val="single" w:sz="4" w:space="0" w:color="auto"/>
              <w:right w:val="nil"/>
            </w:tcBorders>
            <w:noWrap/>
            <w:vAlign w:val="bottom"/>
            <w:hideMark/>
          </w:tcPr>
          <w:p w14:paraId="18D3F9FF" w14:textId="676917C6" w:rsidR="00382601" w:rsidRPr="00C223C3" w:rsidRDefault="00170A2A" w:rsidP="00E37B05">
            <w:pPr>
              <w:rPr>
                <w:rFonts w:ascii="Arial" w:hAnsi="Arial" w:cs="Arial"/>
                <w:color w:val="000000" w:themeColor="text1"/>
                <w:lang w:eastAsia="pt-BR"/>
              </w:rPr>
            </w:pPr>
            <w:r w:rsidRPr="00C223C3">
              <w:rPr>
                <w:rFonts w:ascii="Arial" w:hAnsi="Arial" w:cs="Arial"/>
                <w:color w:val="000000" w:themeColor="text1"/>
                <w:lang w:eastAsia="pt-BR"/>
              </w:rPr>
              <w:t>No</w:t>
            </w:r>
          </w:p>
        </w:tc>
        <w:tc>
          <w:tcPr>
            <w:tcW w:w="1925" w:type="dxa"/>
            <w:tcBorders>
              <w:top w:val="nil"/>
              <w:left w:val="nil"/>
              <w:bottom w:val="single" w:sz="4" w:space="0" w:color="auto"/>
              <w:right w:val="nil"/>
            </w:tcBorders>
            <w:noWrap/>
            <w:vAlign w:val="bottom"/>
            <w:hideMark/>
          </w:tcPr>
          <w:p w14:paraId="172A6F13"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8</w:t>
            </w:r>
          </w:p>
        </w:tc>
        <w:tc>
          <w:tcPr>
            <w:tcW w:w="2234" w:type="dxa"/>
            <w:tcBorders>
              <w:top w:val="nil"/>
              <w:left w:val="nil"/>
              <w:bottom w:val="single" w:sz="4" w:space="0" w:color="auto"/>
              <w:right w:val="nil"/>
            </w:tcBorders>
            <w:noWrap/>
            <w:vAlign w:val="bottom"/>
            <w:hideMark/>
          </w:tcPr>
          <w:p w14:paraId="51F3F1A9"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26,7</w:t>
            </w:r>
          </w:p>
        </w:tc>
      </w:tr>
      <w:tr w:rsidR="00382601" w:rsidRPr="00C223C3" w14:paraId="4A92C2FA" w14:textId="77777777" w:rsidTr="00E37B05">
        <w:trPr>
          <w:trHeight w:val="269"/>
          <w:jc w:val="center"/>
        </w:trPr>
        <w:tc>
          <w:tcPr>
            <w:tcW w:w="5118" w:type="dxa"/>
            <w:tcBorders>
              <w:top w:val="single" w:sz="4" w:space="0" w:color="auto"/>
              <w:left w:val="nil"/>
              <w:right w:val="nil"/>
            </w:tcBorders>
            <w:noWrap/>
            <w:vAlign w:val="bottom"/>
            <w:hideMark/>
          </w:tcPr>
          <w:p w14:paraId="63B57A5B" w14:textId="17D74654" w:rsidR="00382601" w:rsidRPr="00C223C3" w:rsidRDefault="00170A2A" w:rsidP="00E37B05">
            <w:pPr>
              <w:rPr>
                <w:rFonts w:ascii="Arial" w:hAnsi="Arial" w:cs="Arial"/>
                <w:b/>
                <w:bCs/>
                <w:color w:val="000000" w:themeColor="text1"/>
                <w:lang w:eastAsia="pt-BR"/>
              </w:rPr>
            </w:pPr>
            <w:r w:rsidRPr="00C223C3">
              <w:rPr>
                <w:rFonts w:ascii="Arial" w:hAnsi="Arial" w:cs="Arial"/>
                <w:b/>
                <w:bCs/>
                <w:color w:val="000000" w:themeColor="text1"/>
                <w:lang w:eastAsia="pt-BR"/>
              </w:rPr>
              <w:t>Type of clinical treatment</w:t>
            </w:r>
          </w:p>
        </w:tc>
        <w:tc>
          <w:tcPr>
            <w:tcW w:w="1925" w:type="dxa"/>
            <w:tcBorders>
              <w:top w:val="single" w:sz="4" w:space="0" w:color="auto"/>
              <w:left w:val="nil"/>
              <w:right w:val="nil"/>
            </w:tcBorders>
            <w:noWrap/>
            <w:vAlign w:val="bottom"/>
            <w:hideMark/>
          </w:tcPr>
          <w:p w14:paraId="4423D1F8" w14:textId="77777777" w:rsidR="00382601" w:rsidRPr="00C223C3" w:rsidRDefault="00382601" w:rsidP="00E37B05">
            <w:pPr>
              <w:jc w:val="center"/>
              <w:rPr>
                <w:rFonts w:ascii="Arial" w:hAnsi="Arial" w:cs="Arial"/>
                <w:b/>
                <w:bCs/>
                <w:color w:val="000000" w:themeColor="text1"/>
                <w:lang w:eastAsia="pt-BR"/>
              </w:rPr>
            </w:pPr>
          </w:p>
        </w:tc>
        <w:tc>
          <w:tcPr>
            <w:tcW w:w="2234" w:type="dxa"/>
            <w:tcBorders>
              <w:top w:val="single" w:sz="4" w:space="0" w:color="auto"/>
              <w:left w:val="nil"/>
              <w:right w:val="nil"/>
            </w:tcBorders>
            <w:noWrap/>
            <w:vAlign w:val="bottom"/>
            <w:hideMark/>
          </w:tcPr>
          <w:p w14:paraId="2D3AF9ED" w14:textId="77777777" w:rsidR="00382601" w:rsidRPr="00C223C3" w:rsidRDefault="00382601" w:rsidP="00E37B05">
            <w:pPr>
              <w:jc w:val="center"/>
              <w:rPr>
                <w:rFonts w:ascii="Arial" w:hAnsi="Arial" w:cs="Arial"/>
                <w:color w:val="000000" w:themeColor="text1"/>
                <w:lang w:eastAsia="pt-BR"/>
              </w:rPr>
            </w:pPr>
          </w:p>
        </w:tc>
      </w:tr>
      <w:tr w:rsidR="00382601" w:rsidRPr="00C223C3" w14:paraId="673DE30A" w14:textId="77777777" w:rsidTr="00E37B05">
        <w:trPr>
          <w:trHeight w:val="269"/>
          <w:jc w:val="center"/>
        </w:trPr>
        <w:tc>
          <w:tcPr>
            <w:tcW w:w="5118" w:type="dxa"/>
            <w:tcBorders>
              <w:left w:val="nil"/>
              <w:bottom w:val="nil"/>
              <w:right w:val="nil"/>
            </w:tcBorders>
            <w:noWrap/>
            <w:vAlign w:val="bottom"/>
            <w:hideMark/>
          </w:tcPr>
          <w:p w14:paraId="7B4ECE67" w14:textId="5AD1C5A8" w:rsidR="00382601" w:rsidRPr="00C223C3" w:rsidRDefault="00156EE4" w:rsidP="00E37B05">
            <w:pPr>
              <w:rPr>
                <w:rFonts w:ascii="Arial" w:hAnsi="Arial" w:cs="Arial"/>
                <w:color w:val="000000" w:themeColor="text1"/>
                <w:lang w:eastAsia="pt-BR"/>
              </w:rPr>
            </w:pPr>
            <w:r w:rsidRPr="00C223C3">
              <w:rPr>
                <w:rFonts w:ascii="Arial" w:hAnsi="Arial" w:cs="Arial"/>
                <w:color w:val="000000" w:themeColor="text1"/>
                <w:lang w:eastAsia="pt-BR"/>
              </w:rPr>
              <w:t>Cabergoline/Bromocriptine</w:t>
            </w:r>
          </w:p>
        </w:tc>
        <w:tc>
          <w:tcPr>
            <w:tcW w:w="1925" w:type="dxa"/>
            <w:tcBorders>
              <w:left w:val="nil"/>
              <w:bottom w:val="nil"/>
              <w:right w:val="nil"/>
            </w:tcBorders>
            <w:noWrap/>
            <w:vAlign w:val="bottom"/>
            <w:hideMark/>
          </w:tcPr>
          <w:p w14:paraId="1951409A"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19</w:t>
            </w:r>
          </w:p>
        </w:tc>
        <w:tc>
          <w:tcPr>
            <w:tcW w:w="2234" w:type="dxa"/>
            <w:tcBorders>
              <w:left w:val="nil"/>
              <w:bottom w:val="nil"/>
              <w:right w:val="nil"/>
            </w:tcBorders>
            <w:noWrap/>
            <w:vAlign w:val="bottom"/>
            <w:hideMark/>
          </w:tcPr>
          <w:p w14:paraId="5D281F19"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63,3</w:t>
            </w:r>
          </w:p>
        </w:tc>
      </w:tr>
      <w:tr w:rsidR="00382601" w:rsidRPr="00C223C3" w14:paraId="5680BA6C" w14:textId="77777777" w:rsidTr="00E37B05">
        <w:trPr>
          <w:trHeight w:val="269"/>
          <w:jc w:val="center"/>
        </w:trPr>
        <w:tc>
          <w:tcPr>
            <w:tcW w:w="5118" w:type="dxa"/>
            <w:tcBorders>
              <w:left w:val="nil"/>
              <w:bottom w:val="nil"/>
              <w:right w:val="nil"/>
            </w:tcBorders>
            <w:noWrap/>
            <w:vAlign w:val="bottom"/>
          </w:tcPr>
          <w:p w14:paraId="4C3BD21F" w14:textId="39A54E7A" w:rsidR="00382601" w:rsidRPr="00C223C3" w:rsidRDefault="00156EE4" w:rsidP="00E37B05">
            <w:pPr>
              <w:rPr>
                <w:rFonts w:ascii="Arial" w:hAnsi="Arial" w:cs="Arial"/>
                <w:color w:val="000000" w:themeColor="text1"/>
                <w:lang w:eastAsia="pt-BR"/>
              </w:rPr>
            </w:pPr>
            <w:r w:rsidRPr="00C223C3">
              <w:rPr>
                <w:rFonts w:ascii="Arial" w:hAnsi="Arial" w:cs="Arial"/>
                <w:color w:val="000000" w:themeColor="text1"/>
                <w:lang w:eastAsia="pt-BR"/>
              </w:rPr>
              <w:t>No clinical treatment</w:t>
            </w:r>
          </w:p>
        </w:tc>
        <w:tc>
          <w:tcPr>
            <w:tcW w:w="1925" w:type="dxa"/>
            <w:tcBorders>
              <w:left w:val="nil"/>
              <w:bottom w:val="nil"/>
              <w:right w:val="nil"/>
            </w:tcBorders>
            <w:noWrap/>
            <w:vAlign w:val="bottom"/>
          </w:tcPr>
          <w:p w14:paraId="2DF8C0C9"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8</w:t>
            </w:r>
          </w:p>
        </w:tc>
        <w:tc>
          <w:tcPr>
            <w:tcW w:w="2234" w:type="dxa"/>
            <w:tcBorders>
              <w:left w:val="nil"/>
              <w:bottom w:val="nil"/>
              <w:right w:val="nil"/>
            </w:tcBorders>
            <w:noWrap/>
            <w:vAlign w:val="bottom"/>
          </w:tcPr>
          <w:p w14:paraId="3B08AA79"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26,7</w:t>
            </w:r>
          </w:p>
        </w:tc>
      </w:tr>
      <w:tr w:rsidR="00382601" w:rsidRPr="00C223C3" w14:paraId="21067AA5" w14:textId="77777777" w:rsidTr="00E37B05">
        <w:trPr>
          <w:trHeight w:val="269"/>
          <w:jc w:val="center"/>
        </w:trPr>
        <w:tc>
          <w:tcPr>
            <w:tcW w:w="5118" w:type="dxa"/>
            <w:tcBorders>
              <w:top w:val="nil"/>
              <w:left w:val="nil"/>
              <w:right w:val="nil"/>
            </w:tcBorders>
            <w:noWrap/>
            <w:vAlign w:val="bottom"/>
            <w:hideMark/>
          </w:tcPr>
          <w:p w14:paraId="237CB29A" w14:textId="7AE46BFB" w:rsidR="00382601" w:rsidRPr="00C223C3" w:rsidRDefault="00156EE4" w:rsidP="00E37B05">
            <w:pPr>
              <w:rPr>
                <w:rFonts w:ascii="Arial" w:hAnsi="Arial" w:cs="Arial"/>
                <w:color w:val="000000" w:themeColor="text1"/>
                <w:lang w:eastAsia="pt-BR"/>
              </w:rPr>
            </w:pPr>
            <w:r w:rsidRPr="00C223C3">
              <w:rPr>
                <w:rFonts w:ascii="Arial" w:hAnsi="Arial" w:cs="Arial"/>
                <w:color w:val="000000" w:themeColor="text1"/>
                <w:lang w:eastAsia="pt-BR"/>
              </w:rPr>
              <w:t>Octreotide/</w:t>
            </w:r>
            <w:proofErr w:type="spellStart"/>
            <w:r w:rsidRPr="00C223C3">
              <w:rPr>
                <w:rFonts w:ascii="Arial" w:hAnsi="Arial" w:cs="Arial"/>
                <w:color w:val="000000" w:themeColor="text1"/>
                <w:lang w:eastAsia="pt-BR"/>
              </w:rPr>
              <w:t>Lanreotide</w:t>
            </w:r>
            <w:proofErr w:type="spellEnd"/>
          </w:p>
        </w:tc>
        <w:tc>
          <w:tcPr>
            <w:tcW w:w="1925" w:type="dxa"/>
            <w:tcBorders>
              <w:top w:val="nil"/>
              <w:left w:val="nil"/>
              <w:right w:val="nil"/>
            </w:tcBorders>
            <w:noWrap/>
            <w:vAlign w:val="bottom"/>
            <w:hideMark/>
          </w:tcPr>
          <w:p w14:paraId="01DC90F8"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2</w:t>
            </w:r>
          </w:p>
        </w:tc>
        <w:tc>
          <w:tcPr>
            <w:tcW w:w="2234" w:type="dxa"/>
            <w:tcBorders>
              <w:top w:val="nil"/>
              <w:left w:val="nil"/>
              <w:right w:val="nil"/>
            </w:tcBorders>
            <w:noWrap/>
            <w:vAlign w:val="bottom"/>
            <w:hideMark/>
          </w:tcPr>
          <w:p w14:paraId="05B23777"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6,7</w:t>
            </w:r>
          </w:p>
        </w:tc>
      </w:tr>
      <w:tr w:rsidR="00382601" w:rsidRPr="00C223C3" w14:paraId="0EA14E52" w14:textId="77777777" w:rsidTr="00E37B05">
        <w:trPr>
          <w:trHeight w:val="269"/>
          <w:jc w:val="center"/>
        </w:trPr>
        <w:tc>
          <w:tcPr>
            <w:tcW w:w="5118" w:type="dxa"/>
            <w:tcBorders>
              <w:top w:val="nil"/>
              <w:left w:val="nil"/>
              <w:bottom w:val="single" w:sz="18" w:space="0" w:color="auto"/>
              <w:right w:val="nil"/>
            </w:tcBorders>
            <w:noWrap/>
            <w:vAlign w:val="bottom"/>
            <w:hideMark/>
          </w:tcPr>
          <w:p w14:paraId="109BCF12" w14:textId="3CD2F22D" w:rsidR="00382601" w:rsidRPr="00C223C3" w:rsidRDefault="00CF3CC2" w:rsidP="00E37B05">
            <w:pPr>
              <w:rPr>
                <w:rFonts w:ascii="Arial" w:hAnsi="Arial" w:cs="Arial"/>
                <w:color w:val="000000" w:themeColor="text1"/>
                <w:lang w:eastAsia="pt-BR"/>
              </w:rPr>
            </w:pPr>
            <w:r w:rsidRPr="00C223C3">
              <w:rPr>
                <w:rFonts w:ascii="Arial" w:hAnsi="Arial" w:cs="Arial"/>
                <w:color w:val="000000" w:themeColor="text1"/>
                <w:lang w:eastAsia="pt-BR"/>
              </w:rPr>
              <w:t>Other</w:t>
            </w:r>
          </w:p>
        </w:tc>
        <w:tc>
          <w:tcPr>
            <w:tcW w:w="1925" w:type="dxa"/>
            <w:tcBorders>
              <w:top w:val="nil"/>
              <w:left w:val="nil"/>
              <w:bottom w:val="single" w:sz="18" w:space="0" w:color="auto"/>
              <w:right w:val="nil"/>
            </w:tcBorders>
            <w:noWrap/>
            <w:vAlign w:val="bottom"/>
            <w:hideMark/>
          </w:tcPr>
          <w:p w14:paraId="4463A68A"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1</w:t>
            </w:r>
          </w:p>
        </w:tc>
        <w:tc>
          <w:tcPr>
            <w:tcW w:w="2234" w:type="dxa"/>
            <w:tcBorders>
              <w:top w:val="nil"/>
              <w:left w:val="nil"/>
              <w:bottom w:val="single" w:sz="18" w:space="0" w:color="auto"/>
              <w:right w:val="nil"/>
            </w:tcBorders>
            <w:noWrap/>
            <w:vAlign w:val="bottom"/>
            <w:hideMark/>
          </w:tcPr>
          <w:p w14:paraId="3DF8D8C8" w14:textId="77777777" w:rsidR="00382601" w:rsidRPr="00C223C3" w:rsidRDefault="00382601" w:rsidP="00E37B05">
            <w:pPr>
              <w:jc w:val="center"/>
              <w:rPr>
                <w:rFonts w:ascii="Arial" w:hAnsi="Arial" w:cs="Arial"/>
                <w:color w:val="000000" w:themeColor="text1"/>
                <w:lang w:eastAsia="pt-BR"/>
              </w:rPr>
            </w:pPr>
            <w:r w:rsidRPr="00C223C3">
              <w:rPr>
                <w:rFonts w:ascii="Arial" w:hAnsi="Arial" w:cs="Arial"/>
                <w:color w:val="000000" w:themeColor="text1"/>
                <w:lang w:eastAsia="pt-BR"/>
              </w:rPr>
              <w:t>3,3</w:t>
            </w:r>
          </w:p>
        </w:tc>
      </w:tr>
    </w:tbl>
    <w:p w14:paraId="234077E3" w14:textId="4F7FF8A9" w:rsidR="001431B7" w:rsidRPr="00C223C3" w:rsidRDefault="001431B7" w:rsidP="001431B7">
      <w:pPr>
        <w:pStyle w:val="Body"/>
        <w:spacing w:after="0" w:line="360" w:lineRule="auto"/>
        <w:jc w:val="center"/>
        <w:rPr>
          <w:rFonts w:ascii="Arial" w:hAnsi="Arial" w:cs="Arial"/>
          <w:color w:val="000000" w:themeColor="text1"/>
          <w:lang w:val="pt-BR"/>
        </w:rPr>
      </w:pPr>
      <w:r w:rsidRPr="00C223C3">
        <w:rPr>
          <w:rFonts w:ascii="Arial" w:hAnsi="Arial" w:cs="Arial"/>
          <w:color w:val="000000" w:themeColor="text1"/>
          <w:lang w:val="pt-BR"/>
        </w:rPr>
        <w:t>Source: Authors, 2024.</w:t>
      </w:r>
    </w:p>
    <w:p w14:paraId="26E53E3D" w14:textId="77777777" w:rsidR="00C27187" w:rsidRPr="00C223C3" w:rsidRDefault="00C27187" w:rsidP="00E47D39">
      <w:pPr>
        <w:pStyle w:val="Body"/>
        <w:spacing w:after="0" w:line="360" w:lineRule="auto"/>
        <w:rPr>
          <w:rFonts w:ascii="Arial" w:hAnsi="Arial" w:cs="Arial"/>
          <w:color w:val="000000" w:themeColor="text1"/>
        </w:rPr>
      </w:pPr>
    </w:p>
    <w:p w14:paraId="7B0E3DE6" w14:textId="77777777" w:rsidR="00CF5474" w:rsidRPr="00C223C3" w:rsidRDefault="002A53BE"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A significant difference in pituitary lesion size was observed according to sex, with men presenting a significantly larger mean lesion size (18.5 mm) compared with women (6.3 mm) (Figure 1). This finding reinforces the tendency toward later diagnosis in males, which often results in larger lesions at the time of detection.</w:t>
      </w:r>
    </w:p>
    <w:p w14:paraId="1819EEBC" w14:textId="77777777" w:rsidR="00CF5474" w:rsidRPr="00C223C3" w:rsidRDefault="002A53BE"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lastRenderedPageBreak/>
        <w:t>Only one case of Cushing’s syndrome was identified, occurring in a 47-year-old woman. This finding is consistent with the literature regarding the typical age group and the higher prevalence of this condition in females, although the small number of cases limits broader inferences (Hartmann et al., 2023).</w:t>
      </w:r>
    </w:p>
    <w:p w14:paraId="38B62110" w14:textId="09FD4EE7" w:rsidR="002A53BE" w:rsidRPr="00C223C3" w:rsidRDefault="002A53BE"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The specific analysis of prolactinomas confirmed this sex-related difference, with larger lesions observed in men (18.5 mm) compared with women (6.82 mm), in agreement with studies reporting delayed diagnosis and greater tumor invasiveness in males (Chanson</w:t>
      </w:r>
      <w:r w:rsidR="00E37B05" w:rsidRPr="00C223C3">
        <w:rPr>
          <w:rFonts w:ascii="Arial" w:hAnsi="Arial" w:cs="Arial"/>
          <w:color w:val="000000" w:themeColor="text1"/>
        </w:rPr>
        <w:t xml:space="preserve"> &amp; </w:t>
      </w:r>
      <w:proofErr w:type="spellStart"/>
      <w:r w:rsidRPr="00C223C3">
        <w:rPr>
          <w:rFonts w:ascii="Arial" w:hAnsi="Arial" w:cs="Arial"/>
          <w:color w:val="000000" w:themeColor="text1"/>
        </w:rPr>
        <w:t>Maiter</w:t>
      </w:r>
      <w:proofErr w:type="spellEnd"/>
      <w:r w:rsidRPr="00C223C3">
        <w:rPr>
          <w:rFonts w:ascii="Arial" w:hAnsi="Arial" w:cs="Arial"/>
          <w:color w:val="000000" w:themeColor="text1"/>
        </w:rPr>
        <w:t>, 2019). These results add to the still limited body of literature addressing sex differences in pituitary lesion size.</w:t>
      </w:r>
    </w:p>
    <w:p w14:paraId="30E6D3CC" w14:textId="77777777" w:rsidR="00CF5474" w:rsidRPr="00C223C3" w:rsidRDefault="00CF5474" w:rsidP="00CF5474">
      <w:pPr>
        <w:pStyle w:val="Body"/>
        <w:spacing w:after="0" w:line="360" w:lineRule="auto"/>
        <w:ind w:firstLine="720"/>
        <w:rPr>
          <w:rFonts w:ascii="Arial" w:hAnsi="Arial" w:cs="Arial"/>
          <w:color w:val="000000" w:themeColor="text1"/>
        </w:rPr>
      </w:pPr>
    </w:p>
    <w:p w14:paraId="1457B66D" w14:textId="77777777" w:rsidR="000D3541" w:rsidRPr="00C223C3" w:rsidRDefault="000D3541" w:rsidP="00CF5474">
      <w:pPr>
        <w:pStyle w:val="Body"/>
        <w:spacing w:after="0" w:line="360" w:lineRule="auto"/>
        <w:ind w:firstLine="720"/>
        <w:rPr>
          <w:rFonts w:ascii="Arial" w:hAnsi="Arial" w:cs="Arial"/>
          <w:color w:val="000000" w:themeColor="text1"/>
        </w:rPr>
      </w:pPr>
    </w:p>
    <w:p w14:paraId="49DFE20C" w14:textId="77777777" w:rsidR="000D3541" w:rsidRPr="00C223C3" w:rsidRDefault="000D3541" w:rsidP="00CF5474">
      <w:pPr>
        <w:pStyle w:val="Body"/>
        <w:spacing w:after="0" w:line="360" w:lineRule="auto"/>
        <w:ind w:firstLine="720"/>
        <w:rPr>
          <w:rFonts w:ascii="Arial" w:hAnsi="Arial" w:cs="Arial"/>
          <w:color w:val="000000" w:themeColor="text1"/>
        </w:rPr>
      </w:pPr>
    </w:p>
    <w:p w14:paraId="03572598" w14:textId="77777777" w:rsidR="000D3541" w:rsidRPr="00C223C3" w:rsidRDefault="000D3541" w:rsidP="00CF5474">
      <w:pPr>
        <w:pStyle w:val="Body"/>
        <w:spacing w:after="0" w:line="360" w:lineRule="auto"/>
        <w:ind w:firstLine="720"/>
        <w:rPr>
          <w:rFonts w:ascii="Arial" w:hAnsi="Arial" w:cs="Arial"/>
          <w:color w:val="000000" w:themeColor="text1"/>
        </w:rPr>
      </w:pPr>
    </w:p>
    <w:p w14:paraId="4A938C77" w14:textId="77777777" w:rsidR="000D3541" w:rsidRPr="00C223C3" w:rsidRDefault="000D3541" w:rsidP="00CF5474">
      <w:pPr>
        <w:pStyle w:val="Body"/>
        <w:spacing w:after="0" w:line="360" w:lineRule="auto"/>
        <w:ind w:firstLine="720"/>
        <w:rPr>
          <w:rFonts w:ascii="Arial" w:hAnsi="Arial" w:cs="Arial"/>
          <w:color w:val="000000" w:themeColor="text1"/>
        </w:rPr>
      </w:pPr>
    </w:p>
    <w:p w14:paraId="76973E5A" w14:textId="77777777" w:rsidR="000D3541" w:rsidRPr="00C223C3" w:rsidRDefault="000D3541" w:rsidP="00CF5474">
      <w:pPr>
        <w:pStyle w:val="Body"/>
        <w:spacing w:after="0" w:line="360" w:lineRule="auto"/>
        <w:ind w:firstLine="720"/>
        <w:rPr>
          <w:rFonts w:ascii="Arial" w:hAnsi="Arial" w:cs="Arial"/>
          <w:color w:val="000000" w:themeColor="text1"/>
        </w:rPr>
      </w:pPr>
    </w:p>
    <w:p w14:paraId="66214CE3" w14:textId="77777777" w:rsidR="000D3541" w:rsidRPr="00C223C3" w:rsidRDefault="000D3541" w:rsidP="00CF5474">
      <w:pPr>
        <w:pStyle w:val="Body"/>
        <w:spacing w:after="0" w:line="360" w:lineRule="auto"/>
        <w:ind w:firstLine="720"/>
        <w:rPr>
          <w:rFonts w:ascii="Arial" w:hAnsi="Arial" w:cs="Arial"/>
          <w:color w:val="000000" w:themeColor="text1"/>
        </w:rPr>
      </w:pPr>
    </w:p>
    <w:p w14:paraId="6E1F3CC8" w14:textId="77777777" w:rsidR="000D3541" w:rsidRPr="00C223C3" w:rsidRDefault="000D3541" w:rsidP="00CF5474">
      <w:pPr>
        <w:pStyle w:val="Body"/>
        <w:spacing w:after="0" w:line="360" w:lineRule="auto"/>
        <w:ind w:firstLine="720"/>
        <w:rPr>
          <w:rFonts w:ascii="Arial" w:hAnsi="Arial" w:cs="Arial"/>
          <w:color w:val="000000" w:themeColor="text1"/>
        </w:rPr>
      </w:pPr>
    </w:p>
    <w:p w14:paraId="251B55B5" w14:textId="77777777" w:rsidR="000D3541" w:rsidRPr="00C223C3" w:rsidRDefault="000D3541" w:rsidP="00CF5474">
      <w:pPr>
        <w:pStyle w:val="Body"/>
        <w:spacing w:after="0" w:line="360" w:lineRule="auto"/>
        <w:ind w:firstLine="720"/>
        <w:rPr>
          <w:rFonts w:ascii="Arial" w:hAnsi="Arial" w:cs="Arial"/>
          <w:color w:val="000000" w:themeColor="text1"/>
        </w:rPr>
      </w:pPr>
    </w:p>
    <w:p w14:paraId="1F971045" w14:textId="77777777" w:rsidR="000D3541" w:rsidRPr="00C223C3" w:rsidRDefault="000D3541" w:rsidP="00CF5474">
      <w:pPr>
        <w:pStyle w:val="Body"/>
        <w:spacing w:after="0" w:line="360" w:lineRule="auto"/>
        <w:ind w:firstLine="720"/>
        <w:rPr>
          <w:rFonts w:ascii="Arial" w:hAnsi="Arial" w:cs="Arial"/>
          <w:color w:val="000000" w:themeColor="text1"/>
        </w:rPr>
      </w:pPr>
    </w:p>
    <w:p w14:paraId="2298B5F9" w14:textId="77777777" w:rsidR="000D3541" w:rsidRPr="00C223C3" w:rsidRDefault="000D3541" w:rsidP="00CF5474">
      <w:pPr>
        <w:pStyle w:val="Body"/>
        <w:spacing w:after="0" w:line="360" w:lineRule="auto"/>
        <w:ind w:firstLine="720"/>
        <w:rPr>
          <w:rFonts w:ascii="Arial" w:hAnsi="Arial" w:cs="Arial"/>
          <w:color w:val="000000" w:themeColor="text1"/>
        </w:rPr>
      </w:pPr>
    </w:p>
    <w:p w14:paraId="5C437743" w14:textId="77777777" w:rsidR="000D3541" w:rsidRPr="00C223C3" w:rsidRDefault="000D3541" w:rsidP="00CF5474">
      <w:pPr>
        <w:pStyle w:val="Body"/>
        <w:spacing w:after="0" w:line="360" w:lineRule="auto"/>
        <w:ind w:firstLine="720"/>
        <w:rPr>
          <w:rFonts w:ascii="Arial" w:hAnsi="Arial" w:cs="Arial"/>
          <w:color w:val="000000" w:themeColor="text1"/>
        </w:rPr>
      </w:pPr>
    </w:p>
    <w:p w14:paraId="63ADBB3F" w14:textId="77777777" w:rsidR="000D3541" w:rsidRPr="00C223C3" w:rsidRDefault="000D3541" w:rsidP="00CF5474">
      <w:pPr>
        <w:pStyle w:val="Body"/>
        <w:spacing w:after="0" w:line="360" w:lineRule="auto"/>
        <w:ind w:firstLine="720"/>
        <w:rPr>
          <w:rFonts w:ascii="Arial" w:hAnsi="Arial" w:cs="Arial"/>
          <w:color w:val="000000" w:themeColor="text1"/>
        </w:rPr>
      </w:pPr>
    </w:p>
    <w:p w14:paraId="5237C6BE" w14:textId="77777777" w:rsidR="000D3541" w:rsidRPr="00C223C3" w:rsidRDefault="000D3541" w:rsidP="00CF5474">
      <w:pPr>
        <w:pStyle w:val="Body"/>
        <w:spacing w:after="0" w:line="360" w:lineRule="auto"/>
        <w:ind w:firstLine="720"/>
        <w:rPr>
          <w:rFonts w:ascii="Arial" w:hAnsi="Arial" w:cs="Arial"/>
          <w:color w:val="000000" w:themeColor="text1"/>
        </w:rPr>
      </w:pPr>
    </w:p>
    <w:p w14:paraId="6DBA8D7A" w14:textId="61C81450" w:rsidR="001E57FC" w:rsidRPr="00C223C3" w:rsidRDefault="00C27187" w:rsidP="001940EC">
      <w:pPr>
        <w:pStyle w:val="Body"/>
        <w:spacing w:after="0" w:line="360" w:lineRule="auto"/>
        <w:jc w:val="center"/>
        <w:rPr>
          <w:rFonts w:ascii="Arial" w:hAnsi="Arial" w:cs="Arial"/>
          <w:b/>
          <w:bCs/>
          <w:color w:val="000000" w:themeColor="text1"/>
        </w:rPr>
      </w:pPr>
      <w:r w:rsidRPr="00C223C3">
        <w:rPr>
          <w:rFonts w:ascii="Arial" w:hAnsi="Arial" w:cs="Arial"/>
          <w:b/>
          <w:bCs/>
          <w:color w:val="000000" w:themeColor="text1"/>
        </w:rPr>
        <w:t xml:space="preserve">Figure 1. Average lesion size in male and female patients participating in the survey on neuroendocrine pathologies, </w:t>
      </w:r>
      <w:proofErr w:type="spellStart"/>
      <w:r w:rsidRPr="00C223C3">
        <w:rPr>
          <w:rFonts w:ascii="Arial" w:hAnsi="Arial" w:cs="Arial"/>
          <w:b/>
          <w:bCs/>
          <w:color w:val="000000" w:themeColor="text1"/>
        </w:rPr>
        <w:t>Chapecó</w:t>
      </w:r>
      <w:proofErr w:type="spellEnd"/>
      <w:r w:rsidRPr="00C223C3">
        <w:rPr>
          <w:rFonts w:ascii="Arial" w:hAnsi="Arial" w:cs="Arial"/>
          <w:b/>
          <w:bCs/>
          <w:color w:val="000000" w:themeColor="text1"/>
        </w:rPr>
        <w:t>/SC,</w:t>
      </w:r>
      <w:r w:rsidR="00E37B05" w:rsidRPr="00C223C3">
        <w:rPr>
          <w:rFonts w:ascii="Arial" w:hAnsi="Arial" w:cs="Arial"/>
          <w:b/>
          <w:bCs/>
          <w:color w:val="000000" w:themeColor="text1"/>
        </w:rPr>
        <w:t xml:space="preserve"> Brazil,</w:t>
      </w:r>
      <w:r w:rsidRPr="00C223C3">
        <w:rPr>
          <w:rFonts w:ascii="Arial" w:hAnsi="Arial" w:cs="Arial"/>
          <w:b/>
          <w:bCs/>
          <w:color w:val="000000" w:themeColor="text1"/>
        </w:rPr>
        <w:t xml:space="preserve"> 2024</w:t>
      </w:r>
    </w:p>
    <w:p w14:paraId="297AE508" w14:textId="77777777" w:rsidR="00CF5474" w:rsidRPr="00C223C3" w:rsidRDefault="003F079A" w:rsidP="00E47D39">
      <w:pPr>
        <w:pStyle w:val="Body"/>
        <w:spacing w:after="0" w:line="360" w:lineRule="auto"/>
        <w:rPr>
          <w:rFonts w:ascii="Arial" w:hAnsi="Arial" w:cs="Arial"/>
          <w:color w:val="000000" w:themeColor="text1"/>
        </w:rPr>
      </w:pPr>
      <w:r w:rsidRPr="00C223C3">
        <w:rPr>
          <w:noProof/>
          <w:color w:val="000000" w:themeColor="text1"/>
        </w:rPr>
        <w:lastRenderedPageBreak/>
        <w:drawing>
          <wp:inline distT="0" distB="0" distL="0" distR="0" wp14:anchorId="2FAFC314" wp14:editId="6151729B">
            <wp:extent cx="5212080" cy="3139440"/>
            <wp:effectExtent l="0" t="0" r="7620" b="3810"/>
            <wp:docPr id="309697455" name="Gráfico 1">
              <a:extLst xmlns:a="http://schemas.openxmlformats.org/drawingml/2006/main">
                <a:ext uri="{FF2B5EF4-FFF2-40B4-BE49-F238E27FC236}">
                  <a16:creationId xmlns:a16="http://schemas.microsoft.com/office/drawing/2014/main" id="{2CE65D9E-5D8B-4E64-A8F9-95BC1E1FB0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DD9A12" w14:textId="77777777" w:rsidR="00CF3CC2" w:rsidRPr="00C223C3" w:rsidRDefault="00CF3CC2" w:rsidP="00CF3CC2">
      <w:pPr>
        <w:pStyle w:val="Body"/>
        <w:spacing w:after="0" w:line="360" w:lineRule="auto"/>
        <w:jc w:val="center"/>
        <w:rPr>
          <w:rFonts w:ascii="Arial" w:hAnsi="Arial" w:cs="Arial"/>
          <w:color w:val="000000" w:themeColor="text1"/>
        </w:rPr>
      </w:pPr>
      <w:r w:rsidRPr="00C223C3">
        <w:rPr>
          <w:rFonts w:ascii="Arial" w:hAnsi="Arial" w:cs="Arial"/>
          <w:color w:val="000000" w:themeColor="text1"/>
        </w:rPr>
        <w:t>Source: Authors, 2024.</w:t>
      </w:r>
    </w:p>
    <w:p w14:paraId="581D3095" w14:textId="77777777" w:rsidR="00CF3CC2" w:rsidRPr="00C223C3" w:rsidRDefault="00CF3CC2" w:rsidP="00CF5474">
      <w:pPr>
        <w:pStyle w:val="Body"/>
        <w:spacing w:after="0" w:line="360" w:lineRule="auto"/>
        <w:ind w:firstLine="720"/>
        <w:rPr>
          <w:rFonts w:ascii="Arial" w:hAnsi="Arial" w:cs="Arial"/>
          <w:color w:val="000000" w:themeColor="text1"/>
        </w:rPr>
      </w:pPr>
    </w:p>
    <w:p w14:paraId="596BAD84" w14:textId="36D9AF0C" w:rsidR="00CF5474" w:rsidRPr="00C223C3" w:rsidRDefault="00E57365"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Patients’ age did not differ significantly between those who underwent surgery and those who did not, between those who received clinical treatment and those who did not, or according to the different types of clinical treatment (p &gt; 0.05). However, when comparing </w:t>
      </w:r>
      <w:proofErr w:type="spellStart"/>
      <w:r w:rsidRPr="00C223C3">
        <w:rPr>
          <w:rFonts w:ascii="Arial" w:hAnsi="Arial" w:cs="Arial"/>
          <w:color w:val="000000" w:themeColor="text1"/>
        </w:rPr>
        <w:t>subpathologies</w:t>
      </w:r>
      <w:proofErr w:type="spellEnd"/>
      <w:r w:rsidRPr="00C223C3">
        <w:rPr>
          <w:rFonts w:ascii="Arial" w:hAnsi="Arial" w:cs="Arial"/>
          <w:color w:val="000000" w:themeColor="text1"/>
        </w:rPr>
        <w:t>, patients with acromegaly had a significantly higher mean age than those with other diagnoses (p &lt; 0.05) (Table 2). In the present study, the mean age of patients with acromegaly was 61.5 years, which is higher than that reported in the literature, where diagnosis typically occurs around 50 years of age (</w:t>
      </w:r>
      <w:proofErr w:type="spellStart"/>
      <w:r w:rsidRPr="00C223C3">
        <w:rPr>
          <w:rFonts w:ascii="Arial" w:hAnsi="Arial" w:cs="Arial"/>
          <w:color w:val="000000" w:themeColor="text1"/>
        </w:rPr>
        <w:t>Lavrentaki</w:t>
      </w:r>
      <w:proofErr w:type="spellEnd"/>
      <w:r w:rsidRPr="00C223C3">
        <w:rPr>
          <w:rFonts w:ascii="Arial" w:hAnsi="Arial" w:cs="Arial"/>
          <w:color w:val="000000" w:themeColor="text1"/>
        </w:rPr>
        <w:t xml:space="preserve"> et al., 2017; </w:t>
      </w:r>
      <w:proofErr w:type="spellStart"/>
      <w:r w:rsidRPr="00C223C3">
        <w:rPr>
          <w:rFonts w:ascii="Arial" w:hAnsi="Arial" w:cs="Arial"/>
          <w:color w:val="000000" w:themeColor="text1"/>
        </w:rPr>
        <w:t>Ershadinia</w:t>
      </w:r>
      <w:proofErr w:type="spellEnd"/>
      <w:r w:rsidRPr="00C223C3">
        <w:rPr>
          <w:rFonts w:ascii="Arial" w:hAnsi="Arial" w:cs="Arial"/>
          <w:color w:val="000000" w:themeColor="text1"/>
        </w:rPr>
        <w:t xml:space="preserve"> &amp; </w:t>
      </w:r>
      <w:proofErr w:type="spellStart"/>
      <w:r w:rsidRPr="00C223C3">
        <w:rPr>
          <w:rFonts w:ascii="Arial" w:hAnsi="Arial" w:cs="Arial"/>
          <w:color w:val="000000" w:themeColor="text1"/>
        </w:rPr>
        <w:t>Tritos</w:t>
      </w:r>
      <w:proofErr w:type="spellEnd"/>
      <w:r w:rsidRPr="00C223C3">
        <w:rPr>
          <w:rFonts w:ascii="Arial" w:hAnsi="Arial" w:cs="Arial"/>
          <w:color w:val="000000" w:themeColor="text1"/>
        </w:rPr>
        <w:t>, 2022). This finding suggests a diagnostic delay of approximately 10 years, possibly related to the insidious clinical course of the disease and the difficulty in early recognition, as previously discussed by Neto et al. (2011).</w:t>
      </w:r>
    </w:p>
    <w:p w14:paraId="0B826242" w14:textId="77777777" w:rsidR="00CF5474" w:rsidRPr="00C223C3" w:rsidRDefault="00E57365"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For prolactinoma, the mean age observed was 42 years, consistent with studies showing a higher prevalence of this neoplasm among women of reproductive age, usually before 50 years of age (</w:t>
      </w:r>
      <w:proofErr w:type="spellStart"/>
      <w:r w:rsidRPr="00C223C3">
        <w:rPr>
          <w:rFonts w:ascii="Arial" w:hAnsi="Arial" w:cs="Arial"/>
          <w:color w:val="000000" w:themeColor="text1"/>
        </w:rPr>
        <w:t>Glezer</w:t>
      </w:r>
      <w:proofErr w:type="spellEnd"/>
      <w:r w:rsidRPr="00C223C3">
        <w:rPr>
          <w:rFonts w:ascii="Arial" w:hAnsi="Arial" w:cs="Arial"/>
          <w:color w:val="000000" w:themeColor="text1"/>
        </w:rPr>
        <w:t xml:space="preserve"> &amp; Bronstein, 2014). This result reinforces the well-established epidemiological pattern for this </w:t>
      </w:r>
      <w:proofErr w:type="spellStart"/>
      <w:r w:rsidRPr="00C223C3">
        <w:rPr>
          <w:rFonts w:ascii="Arial" w:hAnsi="Arial" w:cs="Arial"/>
          <w:color w:val="000000" w:themeColor="text1"/>
        </w:rPr>
        <w:t>subpathology</w:t>
      </w:r>
      <w:proofErr w:type="spellEnd"/>
      <w:r w:rsidRPr="00C223C3">
        <w:rPr>
          <w:rFonts w:ascii="Arial" w:hAnsi="Arial" w:cs="Arial"/>
          <w:color w:val="000000" w:themeColor="text1"/>
        </w:rPr>
        <w:t>.</w:t>
      </w:r>
    </w:p>
    <w:p w14:paraId="6B48F925" w14:textId="77777777" w:rsidR="00CF5474" w:rsidRPr="00C223C3" w:rsidRDefault="00E57365"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Lesion size did not differ significantly when analyzed according to surgical treatment, clinical treatment, or type of clinical treatment (p &gt; 0.05). However, a statistically significant difference was observed with respect to sex (p &lt; 0.05), with larger lesions identified in men (Table 2). Male patients had adenomas with a mean size of 18.5 mm, whereas women presented smaller tumors, with a mean size of 6.3 mm, considering prolactinoma cases. This finding is consistent with the literature, which describes later diagnosis and larger tumors in men, possibly due to delayed onset or recognition of hormonal symptoms.</w:t>
      </w:r>
    </w:p>
    <w:p w14:paraId="04EFE754" w14:textId="77777777" w:rsidR="00CF5474" w:rsidRPr="00C223C3" w:rsidRDefault="00E57365"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lastRenderedPageBreak/>
        <w:t>Although the mean lesion size among women with prolactinoma (6.82 mm) was slightly higher than the overall mean for female lesions, this difference was not statistically significant. It should also be noted that all male patients included in the study were diagnosed with prolactinoma, which may have influenced the observed distribution of tumor sizes.</w:t>
      </w:r>
    </w:p>
    <w:p w14:paraId="50F5405B" w14:textId="28E8C590" w:rsidR="00E57365" w:rsidRPr="00C223C3" w:rsidRDefault="00E57365"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Finally, analyses of associations between age and </w:t>
      </w:r>
      <w:proofErr w:type="spellStart"/>
      <w:r w:rsidRPr="00C223C3">
        <w:rPr>
          <w:rFonts w:ascii="Arial" w:hAnsi="Arial" w:cs="Arial"/>
          <w:color w:val="000000" w:themeColor="text1"/>
        </w:rPr>
        <w:t>subpathologies</w:t>
      </w:r>
      <w:proofErr w:type="spellEnd"/>
      <w:r w:rsidRPr="00C223C3">
        <w:rPr>
          <w:rFonts w:ascii="Arial" w:hAnsi="Arial" w:cs="Arial"/>
          <w:color w:val="000000" w:themeColor="text1"/>
        </w:rPr>
        <w:t>, age and treatment, and age and type of clinical treatment did not demonstrate statistical significance (Table 2). Similarly, the associations between lesion size and sex presented in Table 3 were not statistically significant, reinforcing that, except for the difference observed in tumor size according to sex, the other variables analyzed did not significantly affect the outcomes evaluated.</w:t>
      </w:r>
    </w:p>
    <w:p w14:paraId="2E50E435" w14:textId="77777777" w:rsidR="006E64AF" w:rsidRPr="00C223C3" w:rsidRDefault="006E64AF" w:rsidP="00E47D39">
      <w:pPr>
        <w:pStyle w:val="Body"/>
        <w:spacing w:after="0" w:line="360" w:lineRule="auto"/>
        <w:rPr>
          <w:rFonts w:ascii="Arial" w:hAnsi="Arial" w:cs="Arial"/>
          <w:color w:val="000000" w:themeColor="text1"/>
        </w:rPr>
      </w:pPr>
    </w:p>
    <w:p w14:paraId="3EFFBE7F" w14:textId="0B5B2B0C" w:rsidR="00821732" w:rsidRPr="00C223C3" w:rsidRDefault="006E64AF" w:rsidP="00821732">
      <w:pPr>
        <w:pStyle w:val="Body"/>
        <w:spacing w:after="0" w:line="360" w:lineRule="auto"/>
        <w:jc w:val="center"/>
        <w:rPr>
          <w:rFonts w:ascii="Arial" w:hAnsi="Arial" w:cs="Arial"/>
          <w:b/>
          <w:bCs/>
          <w:color w:val="000000" w:themeColor="text1"/>
        </w:rPr>
      </w:pPr>
      <w:r w:rsidRPr="00C223C3">
        <w:rPr>
          <w:rFonts w:ascii="Arial" w:hAnsi="Arial" w:cs="Arial"/>
          <w:b/>
          <w:bCs/>
          <w:color w:val="000000" w:themeColor="text1"/>
        </w:rPr>
        <w:t xml:space="preserve">Table 2. Comparison of age (years) and lesion size (mm) with variables collected from the medical records of patients with neuroendocrine pathologies, </w:t>
      </w:r>
      <w:proofErr w:type="spellStart"/>
      <w:r w:rsidRPr="00C223C3">
        <w:rPr>
          <w:rFonts w:ascii="Arial" w:hAnsi="Arial" w:cs="Arial"/>
          <w:b/>
          <w:bCs/>
          <w:color w:val="000000" w:themeColor="text1"/>
        </w:rPr>
        <w:t>Chapecó</w:t>
      </w:r>
      <w:proofErr w:type="spellEnd"/>
      <w:r w:rsidRPr="00C223C3">
        <w:rPr>
          <w:rFonts w:ascii="Arial" w:hAnsi="Arial" w:cs="Arial"/>
          <w:b/>
          <w:bCs/>
          <w:color w:val="000000" w:themeColor="text1"/>
        </w:rPr>
        <w:t>/SC,</w:t>
      </w:r>
      <w:r w:rsidR="00E37B05" w:rsidRPr="00C223C3">
        <w:rPr>
          <w:rFonts w:ascii="Arial" w:hAnsi="Arial" w:cs="Arial"/>
          <w:b/>
          <w:bCs/>
          <w:color w:val="000000" w:themeColor="text1"/>
        </w:rPr>
        <w:t xml:space="preserve"> Brazil,</w:t>
      </w:r>
      <w:r w:rsidRPr="00C223C3">
        <w:rPr>
          <w:rFonts w:ascii="Arial" w:hAnsi="Arial" w:cs="Arial"/>
          <w:b/>
          <w:bCs/>
          <w:color w:val="000000" w:themeColor="text1"/>
        </w:rPr>
        <w:t xml:space="preserve"> 2024</w:t>
      </w:r>
    </w:p>
    <w:tbl>
      <w:tblPr>
        <w:tblW w:w="9111" w:type="dxa"/>
        <w:jc w:val="center"/>
        <w:tblCellMar>
          <w:left w:w="70" w:type="dxa"/>
          <w:right w:w="70" w:type="dxa"/>
        </w:tblCellMar>
        <w:tblLook w:val="04A0" w:firstRow="1" w:lastRow="0" w:firstColumn="1" w:lastColumn="0" w:noHBand="0" w:noVBand="1"/>
      </w:tblPr>
      <w:tblGrid>
        <w:gridCol w:w="3425"/>
        <w:gridCol w:w="1182"/>
        <w:gridCol w:w="1329"/>
        <w:gridCol w:w="1377"/>
        <w:gridCol w:w="1798"/>
      </w:tblGrid>
      <w:tr w:rsidR="00821732" w:rsidRPr="00C223C3" w14:paraId="3C145CC8" w14:textId="77777777" w:rsidTr="00E37B05">
        <w:trPr>
          <w:trHeight w:val="237"/>
          <w:jc w:val="center"/>
        </w:trPr>
        <w:tc>
          <w:tcPr>
            <w:tcW w:w="3425" w:type="dxa"/>
            <w:tcBorders>
              <w:top w:val="single" w:sz="18" w:space="0" w:color="auto"/>
              <w:left w:val="nil"/>
              <w:bottom w:val="single" w:sz="4" w:space="0" w:color="auto"/>
              <w:right w:val="nil"/>
            </w:tcBorders>
            <w:noWrap/>
            <w:vAlign w:val="bottom"/>
            <w:hideMark/>
          </w:tcPr>
          <w:p w14:paraId="743BDFA8" w14:textId="5875997F" w:rsidR="00821732" w:rsidRPr="00C223C3" w:rsidRDefault="0052035A" w:rsidP="00E37B05">
            <w:pPr>
              <w:rPr>
                <w:rFonts w:ascii="Arial" w:hAnsi="Arial" w:cs="Arial"/>
                <w:b/>
                <w:bCs/>
                <w:color w:val="000000" w:themeColor="text1"/>
                <w:lang w:eastAsia="pt-BR"/>
              </w:rPr>
            </w:pPr>
            <w:r w:rsidRPr="00C223C3">
              <w:rPr>
                <w:rFonts w:ascii="Arial" w:hAnsi="Arial" w:cs="Arial"/>
                <w:b/>
                <w:bCs/>
                <w:color w:val="000000" w:themeColor="text1"/>
                <w:lang w:eastAsia="pt-BR"/>
              </w:rPr>
              <w:t>Variables</w:t>
            </w:r>
          </w:p>
        </w:tc>
        <w:tc>
          <w:tcPr>
            <w:tcW w:w="1182" w:type="dxa"/>
            <w:tcBorders>
              <w:top w:val="single" w:sz="18" w:space="0" w:color="auto"/>
              <w:left w:val="nil"/>
              <w:bottom w:val="single" w:sz="4" w:space="0" w:color="auto"/>
              <w:right w:val="nil"/>
            </w:tcBorders>
            <w:noWrap/>
            <w:vAlign w:val="bottom"/>
            <w:hideMark/>
          </w:tcPr>
          <w:p w14:paraId="380021D9" w14:textId="77777777" w:rsidR="00821732" w:rsidRPr="00C223C3" w:rsidRDefault="00821732" w:rsidP="00E37B05">
            <w:pPr>
              <w:rPr>
                <w:rFonts w:ascii="Arial" w:hAnsi="Arial" w:cs="Arial"/>
                <w:b/>
                <w:bCs/>
                <w:color w:val="000000" w:themeColor="text1"/>
                <w:lang w:eastAsia="pt-BR"/>
              </w:rPr>
            </w:pPr>
            <w:r w:rsidRPr="00C223C3">
              <w:rPr>
                <w:rFonts w:ascii="Arial" w:hAnsi="Arial" w:cs="Arial"/>
                <w:b/>
                <w:bCs/>
                <w:color w:val="000000" w:themeColor="text1"/>
                <w:lang w:eastAsia="pt-BR"/>
              </w:rPr>
              <w:t> </w:t>
            </w:r>
          </w:p>
        </w:tc>
        <w:tc>
          <w:tcPr>
            <w:tcW w:w="1329" w:type="dxa"/>
            <w:tcBorders>
              <w:top w:val="single" w:sz="18" w:space="0" w:color="auto"/>
              <w:left w:val="nil"/>
              <w:bottom w:val="single" w:sz="4" w:space="0" w:color="auto"/>
              <w:right w:val="nil"/>
            </w:tcBorders>
            <w:noWrap/>
            <w:vAlign w:val="bottom"/>
            <w:hideMark/>
          </w:tcPr>
          <w:p w14:paraId="781F585F"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377" w:type="dxa"/>
            <w:tcBorders>
              <w:top w:val="single" w:sz="18" w:space="0" w:color="auto"/>
              <w:left w:val="nil"/>
              <w:bottom w:val="single" w:sz="4" w:space="0" w:color="auto"/>
              <w:right w:val="nil"/>
            </w:tcBorders>
            <w:noWrap/>
            <w:vAlign w:val="bottom"/>
            <w:hideMark/>
          </w:tcPr>
          <w:p w14:paraId="658E2CD8"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798" w:type="dxa"/>
            <w:tcBorders>
              <w:top w:val="single" w:sz="18" w:space="0" w:color="auto"/>
              <w:left w:val="nil"/>
              <w:bottom w:val="single" w:sz="4" w:space="0" w:color="auto"/>
              <w:right w:val="nil"/>
            </w:tcBorders>
            <w:noWrap/>
            <w:vAlign w:val="bottom"/>
            <w:hideMark/>
          </w:tcPr>
          <w:p w14:paraId="1A5B4FE2"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821732" w:rsidRPr="00C223C3" w14:paraId="5D9E2C67" w14:textId="77777777" w:rsidTr="00E37B05">
        <w:trPr>
          <w:trHeight w:val="237"/>
          <w:jc w:val="center"/>
        </w:trPr>
        <w:tc>
          <w:tcPr>
            <w:tcW w:w="3425" w:type="dxa"/>
            <w:tcBorders>
              <w:top w:val="single" w:sz="4" w:space="0" w:color="auto"/>
              <w:left w:val="nil"/>
              <w:bottom w:val="single" w:sz="4" w:space="0" w:color="auto"/>
              <w:right w:val="nil"/>
            </w:tcBorders>
            <w:noWrap/>
            <w:vAlign w:val="bottom"/>
            <w:hideMark/>
          </w:tcPr>
          <w:p w14:paraId="743829AA" w14:textId="08569474" w:rsidR="00821732" w:rsidRPr="00C223C3" w:rsidRDefault="002B0D7D" w:rsidP="00E37B05">
            <w:pPr>
              <w:rPr>
                <w:rFonts w:ascii="Arial" w:hAnsi="Arial" w:cs="Arial"/>
                <w:b/>
                <w:bCs/>
                <w:color w:val="000000" w:themeColor="text1"/>
                <w:lang w:eastAsia="pt-BR"/>
              </w:rPr>
            </w:pPr>
            <w:r w:rsidRPr="00C223C3">
              <w:rPr>
                <w:rFonts w:ascii="Arial" w:hAnsi="Arial" w:cs="Arial"/>
                <w:b/>
                <w:bCs/>
                <w:color w:val="000000" w:themeColor="text1"/>
                <w:lang w:eastAsia="pt-BR"/>
              </w:rPr>
              <w:t>Age</w:t>
            </w:r>
          </w:p>
        </w:tc>
        <w:tc>
          <w:tcPr>
            <w:tcW w:w="1182" w:type="dxa"/>
            <w:tcBorders>
              <w:top w:val="single" w:sz="4" w:space="0" w:color="auto"/>
              <w:left w:val="nil"/>
              <w:bottom w:val="single" w:sz="4" w:space="0" w:color="auto"/>
              <w:right w:val="nil"/>
            </w:tcBorders>
            <w:noWrap/>
            <w:vAlign w:val="bottom"/>
            <w:hideMark/>
          </w:tcPr>
          <w:p w14:paraId="29A343C3" w14:textId="06FC25CC" w:rsidR="00821732" w:rsidRPr="00C223C3" w:rsidRDefault="00507D86" w:rsidP="00E37B05">
            <w:pPr>
              <w:jc w:val="center"/>
              <w:rPr>
                <w:rFonts w:ascii="Arial" w:hAnsi="Arial" w:cs="Arial"/>
                <w:b/>
                <w:bCs/>
                <w:color w:val="000000" w:themeColor="text1"/>
                <w:lang w:eastAsia="pt-BR"/>
              </w:rPr>
            </w:pPr>
            <w:r w:rsidRPr="00C223C3">
              <w:rPr>
                <w:rFonts w:ascii="Arial" w:hAnsi="Arial" w:cs="Arial"/>
                <w:b/>
                <w:bCs/>
                <w:color w:val="000000" w:themeColor="text1"/>
                <w:lang w:eastAsia="pt-BR"/>
              </w:rPr>
              <w:t>Mean</w:t>
            </w:r>
          </w:p>
        </w:tc>
        <w:tc>
          <w:tcPr>
            <w:tcW w:w="1329" w:type="dxa"/>
            <w:tcBorders>
              <w:top w:val="single" w:sz="4" w:space="0" w:color="auto"/>
              <w:left w:val="nil"/>
              <w:bottom w:val="single" w:sz="4" w:space="0" w:color="auto"/>
              <w:right w:val="nil"/>
            </w:tcBorders>
            <w:noWrap/>
            <w:vAlign w:val="bottom"/>
            <w:hideMark/>
          </w:tcPr>
          <w:p w14:paraId="776B63FB" w14:textId="09F2A0B3" w:rsidR="00821732" w:rsidRPr="00C223C3" w:rsidRDefault="00507D86" w:rsidP="00E37B05">
            <w:pPr>
              <w:jc w:val="center"/>
              <w:rPr>
                <w:rFonts w:ascii="Arial" w:hAnsi="Arial" w:cs="Arial"/>
                <w:b/>
                <w:bCs/>
                <w:color w:val="000000" w:themeColor="text1"/>
                <w:lang w:eastAsia="pt-BR"/>
              </w:rPr>
            </w:pPr>
            <w:r w:rsidRPr="00C223C3">
              <w:rPr>
                <w:rFonts w:ascii="Arial" w:hAnsi="Arial" w:cs="Arial"/>
                <w:b/>
                <w:bCs/>
                <w:color w:val="000000" w:themeColor="text1"/>
                <w:lang w:eastAsia="pt-BR"/>
              </w:rPr>
              <w:t>Minimum</w:t>
            </w:r>
          </w:p>
        </w:tc>
        <w:tc>
          <w:tcPr>
            <w:tcW w:w="1377" w:type="dxa"/>
            <w:tcBorders>
              <w:top w:val="single" w:sz="4" w:space="0" w:color="auto"/>
              <w:left w:val="nil"/>
              <w:bottom w:val="single" w:sz="4" w:space="0" w:color="auto"/>
              <w:right w:val="nil"/>
            </w:tcBorders>
            <w:noWrap/>
            <w:vAlign w:val="bottom"/>
            <w:hideMark/>
          </w:tcPr>
          <w:p w14:paraId="6DE793B6" w14:textId="11D7A2B3" w:rsidR="00821732" w:rsidRPr="00C223C3" w:rsidRDefault="00507D86" w:rsidP="00E37B05">
            <w:pPr>
              <w:jc w:val="center"/>
              <w:rPr>
                <w:rFonts w:ascii="Arial" w:hAnsi="Arial" w:cs="Arial"/>
                <w:b/>
                <w:bCs/>
                <w:color w:val="000000" w:themeColor="text1"/>
                <w:lang w:eastAsia="pt-BR"/>
              </w:rPr>
            </w:pPr>
            <w:r w:rsidRPr="00C223C3">
              <w:rPr>
                <w:rFonts w:ascii="Arial" w:hAnsi="Arial" w:cs="Arial"/>
                <w:b/>
                <w:bCs/>
                <w:color w:val="000000" w:themeColor="text1"/>
                <w:lang w:eastAsia="pt-BR"/>
              </w:rPr>
              <w:t>Maximum</w:t>
            </w:r>
          </w:p>
        </w:tc>
        <w:tc>
          <w:tcPr>
            <w:tcW w:w="1798" w:type="dxa"/>
            <w:tcBorders>
              <w:top w:val="single" w:sz="4" w:space="0" w:color="auto"/>
              <w:left w:val="nil"/>
              <w:bottom w:val="single" w:sz="4" w:space="0" w:color="auto"/>
              <w:right w:val="nil"/>
            </w:tcBorders>
            <w:noWrap/>
            <w:vAlign w:val="bottom"/>
            <w:hideMark/>
          </w:tcPr>
          <w:p w14:paraId="681A8CF3" w14:textId="79E08EBC" w:rsidR="00821732" w:rsidRPr="00C223C3" w:rsidRDefault="00F82E81" w:rsidP="00E37B05">
            <w:pPr>
              <w:rPr>
                <w:rFonts w:ascii="Arial" w:hAnsi="Arial" w:cs="Arial"/>
                <w:b/>
                <w:bCs/>
                <w:color w:val="000000" w:themeColor="text1"/>
                <w:lang w:eastAsia="pt-BR"/>
              </w:rPr>
            </w:pPr>
            <w:r w:rsidRPr="00C223C3">
              <w:rPr>
                <w:rFonts w:ascii="Arial" w:hAnsi="Arial" w:cs="Arial"/>
                <w:b/>
                <w:bCs/>
                <w:color w:val="000000" w:themeColor="text1"/>
                <w:lang w:eastAsia="pt-BR"/>
              </w:rPr>
              <w:t>Significance</w:t>
            </w:r>
          </w:p>
        </w:tc>
      </w:tr>
      <w:tr w:rsidR="00821732" w:rsidRPr="00C223C3" w14:paraId="3B3DA482" w14:textId="77777777" w:rsidTr="00E37B05">
        <w:trPr>
          <w:trHeight w:val="237"/>
          <w:jc w:val="center"/>
        </w:trPr>
        <w:tc>
          <w:tcPr>
            <w:tcW w:w="3425" w:type="dxa"/>
            <w:tcBorders>
              <w:top w:val="nil"/>
              <w:left w:val="nil"/>
              <w:bottom w:val="nil"/>
              <w:right w:val="nil"/>
            </w:tcBorders>
            <w:noWrap/>
            <w:vAlign w:val="bottom"/>
            <w:hideMark/>
          </w:tcPr>
          <w:p w14:paraId="181A5B5D" w14:textId="36127DAB" w:rsidR="00821732" w:rsidRPr="00C223C3" w:rsidRDefault="00F61AC2" w:rsidP="00E37B05">
            <w:pPr>
              <w:rPr>
                <w:rFonts w:ascii="Arial" w:hAnsi="Arial" w:cs="Arial"/>
                <w:b/>
                <w:bCs/>
                <w:color w:val="000000" w:themeColor="text1"/>
                <w:lang w:eastAsia="pt-BR"/>
              </w:rPr>
            </w:pPr>
            <w:proofErr w:type="spellStart"/>
            <w:r w:rsidRPr="00C223C3">
              <w:rPr>
                <w:rFonts w:ascii="Arial" w:hAnsi="Arial" w:cs="Arial"/>
                <w:b/>
                <w:bCs/>
                <w:color w:val="000000" w:themeColor="text1"/>
                <w:lang w:eastAsia="pt-BR"/>
              </w:rPr>
              <w:t>Subpathology</w:t>
            </w:r>
            <w:proofErr w:type="spellEnd"/>
          </w:p>
        </w:tc>
        <w:tc>
          <w:tcPr>
            <w:tcW w:w="1182" w:type="dxa"/>
            <w:tcBorders>
              <w:top w:val="nil"/>
              <w:left w:val="nil"/>
              <w:bottom w:val="nil"/>
              <w:right w:val="nil"/>
            </w:tcBorders>
            <w:noWrap/>
            <w:vAlign w:val="bottom"/>
            <w:hideMark/>
          </w:tcPr>
          <w:p w14:paraId="462FC07F" w14:textId="77777777" w:rsidR="00821732" w:rsidRPr="00C223C3" w:rsidRDefault="00821732" w:rsidP="00E37B05">
            <w:pPr>
              <w:rPr>
                <w:rFonts w:ascii="Arial" w:hAnsi="Arial" w:cs="Arial"/>
                <w:b/>
                <w:bCs/>
                <w:color w:val="000000" w:themeColor="text1"/>
                <w:lang w:eastAsia="pt-BR"/>
              </w:rPr>
            </w:pPr>
          </w:p>
        </w:tc>
        <w:tc>
          <w:tcPr>
            <w:tcW w:w="1329" w:type="dxa"/>
            <w:tcBorders>
              <w:top w:val="nil"/>
              <w:left w:val="nil"/>
              <w:bottom w:val="nil"/>
              <w:right w:val="nil"/>
            </w:tcBorders>
            <w:noWrap/>
            <w:vAlign w:val="bottom"/>
            <w:hideMark/>
          </w:tcPr>
          <w:p w14:paraId="30F8AD71" w14:textId="77777777" w:rsidR="00821732" w:rsidRPr="00C223C3" w:rsidRDefault="00821732" w:rsidP="00E37B05">
            <w:pPr>
              <w:jc w:val="center"/>
              <w:rPr>
                <w:rFonts w:ascii="Arial" w:hAnsi="Arial" w:cs="Arial"/>
                <w:color w:val="000000" w:themeColor="text1"/>
                <w:lang w:eastAsia="pt-BR"/>
              </w:rPr>
            </w:pPr>
          </w:p>
        </w:tc>
        <w:tc>
          <w:tcPr>
            <w:tcW w:w="1377" w:type="dxa"/>
            <w:tcBorders>
              <w:top w:val="nil"/>
              <w:left w:val="nil"/>
              <w:bottom w:val="nil"/>
              <w:right w:val="nil"/>
            </w:tcBorders>
            <w:noWrap/>
            <w:vAlign w:val="bottom"/>
            <w:hideMark/>
          </w:tcPr>
          <w:p w14:paraId="4F2291B4" w14:textId="77777777" w:rsidR="00821732" w:rsidRPr="00C223C3" w:rsidRDefault="00821732" w:rsidP="00E37B05">
            <w:pPr>
              <w:jc w:val="center"/>
              <w:rPr>
                <w:rFonts w:ascii="Arial" w:hAnsi="Arial" w:cs="Arial"/>
                <w:color w:val="000000" w:themeColor="text1"/>
                <w:lang w:eastAsia="pt-BR"/>
              </w:rPr>
            </w:pPr>
          </w:p>
        </w:tc>
        <w:tc>
          <w:tcPr>
            <w:tcW w:w="1798" w:type="dxa"/>
            <w:tcBorders>
              <w:top w:val="nil"/>
              <w:left w:val="nil"/>
              <w:bottom w:val="nil"/>
              <w:right w:val="nil"/>
            </w:tcBorders>
            <w:noWrap/>
            <w:vAlign w:val="bottom"/>
            <w:hideMark/>
          </w:tcPr>
          <w:p w14:paraId="7C3C956E" w14:textId="77777777" w:rsidR="00821732" w:rsidRPr="00C223C3" w:rsidRDefault="00821732" w:rsidP="00E37B05">
            <w:pPr>
              <w:jc w:val="center"/>
              <w:rPr>
                <w:rFonts w:ascii="Arial" w:hAnsi="Arial" w:cs="Arial"/>
                <w:color w:val="000000" w:themeColor="text1"/>
                <w:lang w:eastAsia="pt-BR"/>
              </w:rPr>
            </w:pPr>
          </w:p>
        </w:tc>
      </w:tr>
      <w:tr w:rsidR="00821732" w:rsidRPr="00C223C3" w14:paraId="09B35378" w14:textId="77777777" w:rsidTr="00E37B05">
        <w:trPr>
          <w:trHeight w:val="237"/>
          <w:jc w:val="center"/>
        </w:trPr>
        <w:tc>
          <w:tcPr>
            <w:tcW w:w="3425" w:type="dxa"/>
            <w:tcBorders>
              <w:top w:val="nil"/>
              <w:left w:val="nil"/>
              <w:bottom w:val="nil"/>
              <w:right w:val="nil"/>
            </w:tcBorders>
            <w:noWrap/>
            <w:vAlign w:val="bottom"/>
            <w:hideMark/>
          </w:tcPr>
          <w:p w14:paraId="46DCD955" w14:textId="642B4FD4" w:rsidR="00821732" w:rsidRPr="00C223C3" w:rsidRDefault="00F805F8" w:rsidP="00E37B05">
            <w:pPr>
              <w:rPr>
                <w:rFonts w:ascii="Arial" w:hAnsi="Arial" w:cs="Arial"/>
                <w:color w:val="000000" w:themeColor="text1"/>
                <w:lang w:eastAsia="pt-BR"/>
              </w:rPr>
            </w:pPr>
            <w:r w:rsidRPr="00C223C3">
              <w:rPr>
                <w:rFonts w:ascii="Arial" w:hAnsi="Arial" w:cs="Arial"/>
                <w:color w:val="000000" w:themeColor="text1"/>
                <w:lang w:eastAsia="pt-BR"/>
              </w:rPr>
              <w:t>Prolactinoma</w:t>
            </w:r>
          </w:p>
        </w:tc>
        <w:tc>
          <w:tcPr>
            <w:tcW w:w="1182" w:type="dxa"/>
            <w:tcBorders>
              <w:top w:val="nil"/>
              <w:left w:val="nil"/>
              <w:bottom w:val="nil"/>
              <w:right w:val="nil"/>
            </w:tcBorders>
            <w:noWrap/>
            <w:vAlign w:val="bottom"/>
            <w:hideMark/>
          </w:tcPr>
          <w:p w14:paraId="218A5E02"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42,1</w:t>
            </w:r>
          </w:p>
        </w:tc>
        <w:tc>
          <w:tcPr>
            <w:tcW w:w="1329" w:type="dxa"/>
            <w:tcBorders>
              <w:top w:val="nil"/>
              <w:left w:val="nil"/>
              <w:bottom w:val="nil"/>
              <w:right w:val="nil"/>
            </w:tcBorders>
            <w:noWrap/>
            <w:vAlign w:val="bottom"/>
            <w:hideMark/>
          </w:tcPr>
          <w:p w14:paraId="54453B2E"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19</w:t>
            </w:r>
          </w:p>
        </w:tc>
        <w:tc>
          <w:tcPr>
            <w:tcW w:w="1377" w:type="dxa"/>
            <w:tcBorders>
              <w:top w:val="nil"/>
              <w:left w:val="nil"/>
              <w:bottom w:val="nil"/>
              <w:right w:val="nil"/>
            </w:tcBorders>
            <w:noWrap/>
            <w:vAlign w:val="bottom"/>
            <w:hideMark/>
          </w:tcPr>
          <w:p w14:paraId="7EFC4659"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68</w:t>
            </w:r>
          </w:p>
        </w:tc>
        <w:tc>
          <w:tcPr>
            <w:tcW w:w="1798" w:type="dxa"/>
            <w:vMerge w:val="restart"/>
            <w:tcBorders>
              <w:top w:val="nil"/>
              <w:left w:val="nil"/>
              <w:bottom w:val="nil"/>
              <w:right w:val="nil"/>
            </w:tcBorders>
            <w:vAlign w:val="center"/>
            <w:hideMark/>
          </w:tcPr>
          <w:p w14:paraId="2F23C117" w14:textId="77777777" w:rsidR="00821732" w:rsidRPr="00C223C3" w:rsidRDefault="00821732" w:rsidP="00E37B05">
            <w:pPr>
              <w:jc w:val="center"/>
              <w:rPr>
                <w:rFonts w:ascii="Arial" w:hAnsi="Arial" w:cs="Arial"/>
                <w:color w:val="000000" w:themeColor="text1"/>
                <w:lang w:eastAsia="pt-BR"/>
              </w:rPr>
            </w:pPr>
            <w:proofErr w:type="spellStart"/>
            <w:r w:rsidRPr="00C223C3">
              <w:rPr>
                <w:rFonts w:ascii="Arial" w:hAnsi="Arial" w:cs="Arial"/>
                <w:color w:val="000000" w:themeColor="text1"/>
                <w:lang w:eastAsia="pt-BR"/>
              </w:rPr>
              <w:t>Hc</w:t>
            </w:r>
            <w:proofErr w:type="spellEnd"/>
            <w:r w:rsidRPr="00C223C3">
              <w:rPr>
                <w:rFonts w:ascii="Arial" w:hAnsi="Arial" w:cs="Arial"/>
                <w:color w:val="000000" w:themeColor="text1"/>
                <w:lang w:eastAsia="pt-BR"/>
              </w:rPr>
              <w:t xml:space="preserve"> = 1,</w:t>
            </w:r>
            <w:proofErr w:type="gramStart"/>
            <w:r w:rsidRPr="00C223C3">
              <w:rPr>
                <w:rFonts w:ascii="Arial" w:hAnsi="Arial" w:cs="Arial"/>
                <w:color w:val="000000" w:themeColor="text1"/>
                <w:lang w:eastAsia="pt-BR"/>
              </w:rPr>
              <w:t xml:space="preserve">7;   </w:t>
            </w:r>
            <w:proofErr w:type="gramEnd"/>
            <w:r w:rsidRPr="00C223C3">
              <w:rPr>
                <w:rFonts w:ascii="Arial" w:hAnsi="Arial" w:cs="Arial"/>
                <w:color w:val="000000" w:themeColor="text1"/>
                <w:lang w:eastAsia="pt-BR"/>
              </w:rPr>
              <w:t xml:space="preserve">               p = 0,41</w:t>
            </w:r>
          </w:p>
        </w:tc>
      </w:tr>
      <w:tr w:rsidR="00821732" w:rsidRPr="00C223C3" w14:paraId="51D6209E" w14:textId="77777777" w:rsidTr="00E37B05">
        <w:trPr>
          <w:trHeight w:val="237"/>
          <w:jc w:val="center"/>
        </w:trPr>
        <w:tc>
          <w:tcPr>
            <w:tcW w:w="3425" w:type="dxa"/>
            <w:tcBorders>
              <w:top w:val="nil"/>
              <w:left w:val="nil"/>
              <w:bottom w:val="nil"/>
              <w:right w:val="nil"/>
            </w:tcBorders>
            <w:noWrap/>
            <w:vAlign w:val="bottom"/>
            <w:hideMark/>
          </w:tcPr>
          <w:p w14:paraId="3F95DA57" w14:textId="1E9F508C" w:rsidR="00821732" w:rsidRPr="00C223C3" w:rsidRDefault="006F5689" w:rsidP="00E37B05">
            <w:pPr>
              <w:rPr>
                <w:rFonts w:ascii="Arial" w:hAnsi="Arial" w:cs="Arial"/>
                <w:color w:val="000000" w:themeColor="text1"/>
                <w:lang w:eastAsia="pt-BR"/>
              </w:rPr>
            </w:pPr>
            <w:r w:rsidRPr="00C223C3">
              <w:rPr>
                <w:rFonts w:ascii="Arial" w:hAnsi="Arial" w:cs="Arial"/>
                <w:color w:val="000000" w:themeColor="text1"/>
                <w:lang w:eastAsia="pt-BR"/>
              </w:rPr>
              <w:t>Cushing syndrome</w:t>
            </w:r>
          </w:p>
        </w:tc>
        <w:tc>
          <w:tcPr>
            <w:tcW w:w="1182" w:type="dxa"/>
            <w:tcBorders>
              <w:top w:val="nil"/>
              <w:left w:val="nil"/>
              <w:bottom w:val="nil"/>
              <w:right w:val="nil"/>
            </w:tcBorders>
            <w:noWrap/>
            <w:vAlign w:val="bottom"/>
            <w:hideMark/>
          </w:tcPr>
          <w:p w14:paraId="72E61AD6"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47</w:t>
            </w:r>
          </w:p>
        </w:tc>
        <w:tc>
          <w:tcPr>
            <w:tcW w:w="1329" w:type="dxa"/>
            <w:tcBorders>
              <w:top w:val="nil"/>
              <w:left w:val="nil"/>
              <w:bottom w:val="nil"/>
              <w:right w:val="nil"/>
            </w:tcBorders>
            <w:noWrap/>
            <w:vAlign w:val="bottom"/>
            <w:hideMark/>
          </w:tcPr>
          <w:p w14:paraId="00A07EC7"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47</w:t>
            </w:r>
          </w:p>
        </w:tc>
        <w:tc>
          <w:tcPr>
            <w:tcW w:w="1377" w:type="dxa"/>
            <w:tcBorders>
              <w:top w:val="nil"/>
              <w:left w:val="nil"/>
              <w:bottom w:val="nil"/>
              <w:right w:val="nil"/>
            </w:tcBorders>
            <w:noWrap/>
            <w:vAlign w:val="bottom"/>
            <w:hideMark/>
          </w:tcPr>
          <w:p w14:paraId="282C55A9"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47</w:t>
            </w:r>
          </w:p>
        </w:tc>
        <w:tc>
          <w:tcPr>
            <w:tcW w:w="1798" w:type="dxa"/>
            <w:vMerge/>
            <w:tcBorders>
              <w:top w:val="nil"/>
              <w:left w:val="nil"/>
              <w:bottom w:val="nil"/>
              <w:right w:val="nil"/>
            </w:tcBorders>
            <w:vAlign w:val="center"/>
            <w:hideMark/>
          </w:tcPr>
          <w:p w14:paraId="47DF052B" w14:textId="77777777" w:rsidR="00821732" w:rsidRPr="00C223C3" w:rsidRDefault="00821732" w:rsidP="00E37B05">
            <w:pPr>
              <w:rPr>
                <w:rFonts w:ascii="Arial" w:hAnsi="Arial" w:cs="Arial"/>
                <w:color w:val="000000" w:themeColor="text1"/>
                <w:lang w:eastAsia="pt-BR"/>
              </w:rPr>
            </w:pPr>
          </w:p>
        </w:tc>
      </w:tr>
      <w:tr w:rsidR="00821732" w:rsidRPr="00C223C3" w14:paraId="455C79CB" w14:textId="77777777" w:rsidTr="00E37B05">
        <w:trPr>
          <w:trHeight w:val="237"/>
          <w:jc w:val="center"/>
        </w:trPr>
        <w:tc>
          <w:tcPr>
            <w:tcW w:w="3425" w:type="dxa"/>
            <w:tcBorders>
              <w:top w:val="nil"/>
              <w:left w:val="nil"/>
              <w:bottom w:val="nil"/>
              <w:right w:val="nil"/>
            </w:tcBorders>
            <w:noWrap/>
            <w:vAlign w:val="bottom"/>
            <w:hideMark/>
          </w:tcPr>
          <w:p w14:paraId="1EAE3567" w14:textId="4F37E3C8" w:rsidR="00821732" w:rsidRPr="00C223C3" w:rsidRDefault="006F5689" w:rsidP="00E37B05">
            <w:pPr>
              <w:rPr>
                <w:rFonts w:ascii="Arial" w:hAnsi="Arial" w:cs="Arial"/>
                <w:color w:val="000000" w:themeColor="text1"/>
                <w:lang w:eastAsia="pt-BR"/>
              </w:rPr>
            </w:pPr>
            <w:r w:rsidRPr="00C223C3">
              <w:rPr>
                <w:rFonts w:ascii="Arial" w:hAnsi="Arial" w:cs="Arial"/>
                <w:color w:val="000000" w:themeColor="text1"/>
                <w:lang w:eastAsia="pt-BR"/>
              </w:rPr>
              <w:t>Acromegaly</w:t>
            </w:r>
          </w:p>
        </w:tc>
        <w:tc>
          <w:tcPr>
            <w:tcW w:w="1182" w:type="dxa"/>
            <w:tcBorders>
              <w:top w:val="nil"/>
              <w:left w:val="nil"/>
              <w:bottom w:val="nil"/>
              <w:right w:val="nil"/>
            </w:tcBorders>
            <w:noWrap/>
            <w:vAlign w:val="bottom"/>
            <w:hideMark/>
          </w:tcPr>
          <w:p w14:paraId="1C436864"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61,5</w:t>
            </w:r>
          </w:p>
        </w:tc>
        <w:tc>
          <w:tcPr>
            <w:tcW w:w="1329" w:type="dxa"/>
            <w:tcBorders>
              <w:top w:val="nil"/>
              <w:left w:val="nil"/>
              <w:bottom w:val="nil"/>
              <w:right w:val="nil"/>
            </w:tcBorders>
            <w:noWrap/>
            <w:vAlign w:val="bottom"/>
            <w:hideMark/>
          </w:tcPr>
          <w:p w14:paraId="6108921A"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42</w:t>
            </w:r>
          </w:p>
        </w:tc>
        <w:tc>
          <w:tcPr>
            <w:tcW w:w="1377" w:type="dxa"/>
            <w:tcBorders>
              <w:top w:val="nil"/>
              <w:left w:val="nil"/>
              <w:bottom w:val="nil"/>
              <w:right w:val="nil"/>
            </w:tcBorders>
            <w:noWrap/>
            <w:vAlign w:val="bottom"/>
            <w:hideMark/>
          </w:tcPr>
          <w:p w14:paraId="20D9DE1E"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81</w:t>
            </w:r>
          </w:p>
        </w:tc>
        <w:tc>
          <w:tcPr>
            <w:tcW w:w="1798" w:type="dxa"/>
            <w:vMerge/>
            <w:tcBorders>
              <w:top w:val="nil"/>
              <w:left w:val="nil"/>
              <w:bottom w:val="nil"/>
              <w:right w:val="nil"/>
            </w:tcBorders>
            <w:vAlign w:val="center"/>
            <w:hideMark/>
          </w:tcPr>
          <w:p w14:paraId="612AE33D" w14:textId="77777777" w:rsidR="00821732" w:rsidRPr="00C223C3" w:rsidRDefault="00821732" w:rsidP="00E37B05">
            <w:pPr>
              <w:rPr>
                <w:rFonts w:ascii="Arial" w:hAnsi="Arial" w:cs="Arial"/>
                <w:color w:val="000000" w:themeColor="text1"/>
                <w:lang w:eastAsia="pt-BR"/>
              </w:rPr>
            </w:pPr>
          </w:p>
        </w:tc>
      </w:tr>
      <w:tr w:rsidR="00821732" w:rsidRPr="00C223C3" w14:paraId="1F1A7F22" w14:textId="77777777" w:rsidTr="00E37B05">
        <w:trPr>
          <w:trHeight w:val="237"/>
          <w:jc w:val="center"/>
        </w:trPr>
        <w:tc>
          <w:tcPr>
            <w:tcW w:w="3425" w:type="dxa"/>
            <w:tcBorders>
              <w:top w:val="single" w:sz="4" w:space="0" w:color="auto"/>
              <w:left w:val="nil"/>
              <w:bottom w:val="nil"/>
              <w:right w:val="nil"/>
            </w:tcBorders>
            <w:noWrap/>
            <w:vAlign w:val="bottom"/>
            <w:hideMark/>
          </w:tcPr>
          <w:p w14:paraId="07B94A66" w14:textId="19906B24" w:rsidR="00821732" w:rsidRPr="00C223C3" w:rsidRDefault="006F5689" w:rsidP="00E37B05">
            <w:pPr>
              <w:rPr>
                <w:rFonts w:ascii="Arial" w:hAnsi="Arial" w:cs="Arial"/>
                <w:b/>
                <w:bCs/>
                <w:color w:val="000000" w:themeColor="text1"/>
                <w:lang w:eastAsia="pt-BR"/>
              </w:rPr>
            </w:pPr>
            <w:r w:rsidRPr="00C223C3">
              <w:rPr>
                <w:rFonts w:ascii="Arial" w:hAnsi="Arial" w:cs="Arial"/>
                <w:b/>
                <w:bCs/>
                <w:color w:val="000000" w:themeColor="text1"/>
                <w:lang w:eastAsia="pt-BR"/>
              </w:rPr>
              <w:t>Surgery</w:t>
            </w:r>
          </w:p>
        </w:tc>
        <w:tc>
          <w:tcPr>
            <w:tcW w:w="1182" w:type="dxa"/>
            <w:tcBorders>
              <w:top w:val="single" w:sz="4" w:space="0" w:color="auto"/>
              <w:left w:val="nil"/>
              <w:bottom w:val="nil"/>
              <w:right w:val="nil"/>
            </w:tcBorders>
            <w:noWrap/>
            <w:vAlign w:val="bottom"/>
            <w:hideMark/>
          </w:tcPr>
          <w:p w14:paraId="6A67E2E0"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329" w:type="dxa"/>
            <w:tcBorders>
              <w:top w:val="single" w:sz="4" w:space="0" w:color="auto"/>
              <w:left w:val="nil"/>
              <w:bottom w:val="nil"/>
              <w:right w:val="nil"/>
            </w:tcBorders>
            <w:noWrap/>
            <w:vAlign w:val="bottom"/>
            <w:hideMark/>
          </w:tcPr>
          <w:p w14:paraId="2E779194"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377" w:type="dxa"/>
            <w:tcBorders>
              <w:top w:val="single" w:sz="4" w:space="0" w:color="auto"/>
              <w:left w:val="nil"/>
              <w:bottom w:val="nil"/>
              <w:right w:val="nil"/>
            </w:tcBorders>
            <w:noWrap/>
            <w:vAlign w:val="bottom"/>
            <w:hideMark/>
          </w:tcPr>
          <w:p w14:paraId="3C18AB50"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798" w:type="dxa"/>
            <w:tcBorders>
              <w:top w:val="single" w:sz="4" w:space="0" w:color="auto"/>
              <w:left w:val="nil"/>
              <w:bottom w:val="nil"/>
              <w:right w:val="nil"/>
            </w:tcBorders>
            <w:noWrap/>
            <w:vAlign w:val="bottom"/>
            <w:hideMark/>
          </w:tcPr>
          <w:p w14:paraId="19710005"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821732" w:rsidRPr="00C223C3" w14:paraId="53DAD2F9" w14:textId="77777777" w:rsidTr="00E37B05">
        <w:trPr>
          <w:trHeight w:val="237"/>
          <w:jc w:val="center"/>
        </w:trPr>
        <w:tc>
          <w:tcPr>
            <w:tcW w:w="3425" w:type="dxa"/>
            <w:tcBorders>
              <w:top w:val="nil"/>
              <w:left w:val="nil"/>
              <w:bottom w:val="nil"/>
              <w:right w:val="nil"/>
            </w:tcBorders>
            <w:noWrap/>
            <w:vAlign w:val="bottom"/>
            <w:hideMark/>
          </w:tcPr>
          <w:p w14:paraId="568C017C" w14:textId="42151271" w:rsidR="00821732" w:rsidRPr="00C223C3" w:rsidRDefault="006F5689" w:rsidP="00E37B05">
            <w:pPr>
              <w:rPr>
                <w:rFonts w:ascii="Arial" w:hAnsi="Arial" w:cs="Arial"/>
                <w:color w:val="000000" w:themeColor="text1"/>
                <w:lang w:eastAsia="pt-BR"/>
              </w:rPr>
            </w:pPr>
            <w:r w:rsidRPr="00C223C3">
              <w:rPr>
                <w:rFonts w:ascii="Arial" w:hAnsi="Arial" w:cs="Arial"/>
                <w:color w:val="000000" w:themeColor="text1"/>
                <w:lang w:eastAsia="pt-BR"/>
              </w:rPr>
              <w:t>Yes</w:t>
            </w:r>
          </w:p>
        </w:tc>
        <w:tc>
          <w:tcPr>
            <w:tcW w:w="1182" w:type="dxa"/>
            <w:tcBorders>
              <w:top w:val="nil"/>
              <w:left w:val="nil"/>
              <w:bottom w:val="nil"/>
              <w:right w:val="nil"/>
            </w:tcBorders>
            <w:noWrap/>
            <w:vAlign w:val="bottom"/>
            <w:hideMark/>
          </w:tcPr>
          <w:p w14:paraId="5421CC7C"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44,6</w:t>
            </w:r>
          </w:p>
        </w:tc>
        <w:tc>
          <w:tcPr>
            <w:tcW w:w="1329" w:type="dxa"/>
            <w:tcBorders>
              <w:top w:val="nil"/>
              <w:left w:val="nil"/>
              <w:bottom w:val="nil"/>
              <w:right w:val="nil"/>
            </w:tcBorders>
            <w:noWrap/>
            <w:vAlign w:val="bottom"/>
            <w:hideMark/>
          </w:tcPr>
          <w:p w14:paraId="2FAE941A"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42</w:t>
            </w:r>
          </w:p>
        </w:tc>
        <w:tc>
          <w:tcPr>
            <w:tcW w:w="1377" w:type="dxa"/>
            <w:tcBorders>
              <w:top w:val="nil"/>
              <w:left w:val="nil"/>
              <w:bottom w:val="nil"/>
              <w:right w:val="nil"/>
            </w:tcBorders>
            <w:noWrap/>
            <w:vAlign w:val="bottom"/>
            <w:hideMark/>
          </w:tcPr>
          <w:p w14:paraId="5774883A"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47</w:t>
            </w:r>
          </w:p>
        </w:tc>
        <w:tc>
          <w:tcPr>
            <w:tcW w:w="1798" w:type="dxa"/>
            <w:vMerge w:val="restart"/>
            <w:tcBorders>
              <w:top w:val="nil"/>
              <w:left w:val="nil"/>
              <w:bottom w:val="nil"/>
              <w:right w:val="nil"/>
            </w:tcBorders>
            <w:vAlign w:val="bottom"/>
            <w:hideMark/>
          </w:tcPr>
          <w:p w14:paraId="2C9B10A8"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U = 34,</w:t>
            </w:r>
            <w:proofErr w:type="gramStart"/>
            <w:r w:rsidRPr="00C223C3">
              <w:rPr>
                <w:rFonts w:ascii="Arial" w:hAnsi="Arial" w:cs="Arial"/>
                <w:color w:val="000000" w:themeColor="text1"/>
                <w:lang w:eastAsia="pt-BR"/>
              </w:rPr>
              <w:t xml:space="preserve">0;   </w:t>
            </w:r>
            <w:proofErr w:type="gramEnd"/>
            <w:r w:rsidRPr="00C223C3">
              <w:rPr>
                <w:rFonts w:ascii="Arial" w:hAnsi="Arial" w:cs="Arial"/>
                <w:color w:val="000000" w:themeColor="text1"/>
                <w:lang w:eastAsia="pt-BR"/>
              </w:rPr>
              <w:t xml:space="preserve">              p = 0,65</w:t>
            </w:r>
          </w:p>
        </w:tc>
      </w:tr>
      <w:tr w:rsidR="00821732" w:rsidRPr="00C223C3" w14:paraId="03DDA45E" w14:textId="77777777" w:rsidTr="00E37B05">
        <w:trPr>
          <w:trHeight w:val="237"/>
          <w:jc w:val="center"/>
        </w:trPr>
        <w:tc>
          <w:tcPr>
            <w:tcW w:w="3425" w:type="dxa"/>
            <w:tcBorders>
              <w:top w:val="nil"/>
              <w:left w:val="nil"/>
              <w:bottom w:val="nil"/>
              <w:right w:val="nil"/>
            </w:tcBorders>
            <w:noWrap/>
            <w:vAlign w:val="bottom"/>
            <w:hideMark/>
          </w:tcPr>
          <w:p w14:paraId="0CDC8169" w14:textId="3D714EB2"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No</w:t>
            </w:r>
          </w:p>
        </w:tc>
        <w:tc>
          <w:tcPr>
            <w:tcW w:w="1182" w:type="dxa"/>
            <w:tcBorders>
              <w:top w:val="nil"/>
              <w:left w:val="nil"/>
              <w:bottom w:val="nil"/>
              <w:right w:val="nil"/>
            </w:tcBorders>
            <w:noWrap/>
            <w:vAlign w:val="bottom"/>
            <w:hideMark/>
          </w:tcPr>
          <w:p w14:paraId="025D62A7"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43,9</w:t>
            </w:r>
          </w:p>
        </w:tc>
        <w:tc>
          <w:tcPr>
            <w:tcW w:w="1329" w:type="dxa"/>
            <w:tcBorders>
              <w:top w:val="nil"/>
              <w:left w:val="nil"/>
              <w:bottom w:val="nil"/>
              <w:right w:val="nil"/>
            </w:tcBorders>
            <w:noWrap/>
            <w:vAlign w:val="bottom"/>
            <w:hideMark/>
          </w:tcPr>
          <w:p w14:paraId="539E5B69"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19</w:t>
            </w:r>
          </w:p>
        </w:tc>
        <w:tc>
          <w:tcPr>
            <w:tcW w:w="1377" w:type="dxa"/>
            <w:tcBorders>
              <w:top w:val="nil"/>
              <w:left w:val="nil"/>
              <w:bottom w:val="nil"/>
              <w:right w:val="nil"/>
            </w:tcBorders>
            <w:noWrap/>
            <w:vAlign w:val="bottom"/>
            <w:hideMark/>
          </w:tcPr>
          <w:p w14:paraId="7D25B491"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81</w:t>
            </w:r>
          </w:p>
        </w:tc>
        <w:tc>
          <w:tcPr>
            <w:tcW w:w="1798" w:type="dxa"/>
            <w:vMerge/>
            <w:tcBorders>
              <w:top w:val="nil"/>
              <w:left w:val="nil"/>
              <w:bottom w:val="nil"/>
              <w:right w:val="nil"/>
            </w:tcBorders>
            <w:vAlign w:val="center"/>
            <w:hideMark/>
          </w:tcPr>
          <w:p w14:paraId="2A8D2553" w14:textId="77777777" w:rsidR="00821732" w:rsidRPr="00C223C3" w:rsidRDefault="00821732" w:rsidP="00E37B05">
            <w:pPr>
              <w:rPr>
                <w:rFonts w:ascii="Arial" w:hAnsi="Arial" w:cs="Arial"/>
                <w:color w:val="000000" w:themeColor="text1"/>
                <w:lang w:eastAsia="pt-BR"/>
              </w:rPr>
            </w:pPr>
          </w:p>
        </w:tc>
      </w:tr>
      <w:tr w:rsidR="00821732" w:rsidRPr="00C223C3" w14:paraId="6C70D02F" w14:textId="77777777" w:rsidTr="00E37B05">
        <w:trPr>
          <w:trHeight w:val="237"/>
          <w:jc w:val="center"/>
        </w:trPr>
        <w:tc>
          <w:tcPr>
            <w:tcW w:w="3425" w:type="dxa"/>
            <w:tcBorders>
              <w:top w:val="single" w:sz="4" w:space="0" w:color="auto"/>
              <w:left w:val="nil"/>
              <w:bottom w:val="nil"/>
              <w:right w:val="nil"/>
            </w:tcBorders>
            <w:noWrap/>
            <w:vAlign w:val="bottom"/>
            <w:hideMark/>
          </w:tcPr>
          <w:p w14:paraId="68F75B00" w14:textId="20B64DFD" w:rsidR="00821732" w:rsidRPr="00C223C3" w:rsidRDefault="0019041A" w:rsidP="00E37B05">
            <w:pPr>
              <w:rPr>
                <w:rFonts w:ascii="Arial" w:hAnsi="Arial" w:cs="Arial"/>
                <w:b/>
                <w:bCs/>
                <w:color w:val="000000" w:themeColor="text1"/>
                <w:lang w:eastAsia="pt-BR"/>
              </w:rPr>
            </w:pPr>
            <w:r w:rsidRPr="00C223C3">
              <w:rPr>
                <w:rFonts w:ascii="Arial" w:hAnsi="Arial" w:cs="Arial"/>
                <w:b/>
                <w:bCs/>
                <w:color w:val="000000" w:themeColor="text1"/>
                <w:lang w:eastAsia="pt-BR"/>
              </w:rPr>
              <w:t>Clinical treatment</w:t>
            </w:r>
          </w:p>
        </w:tc>
        <w:tc>
          <w:tcPr>
            <w:tcW w:w="1182" w:type="dxa"/>
            <w:tcBorders>
              <w:top w:val="single" w:sz="4" w:space="0" w:color="auto"/>
              <w:left w:val="nil"/>
              <w:bottom w:val="nil"/>
              <w:right w:val="nil"/>
            </w:tcBorders>
            <w:noWrap/>
            <w:vAlign w:val="bottom"/>
            <w:hideMark/>
          </w:tcPr>
          <w:p w14:paraId="746AF952"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329" w:type="dxa"/>
            <w:tcBorders>
              <w:top w:val="single" w:sz="4" w:space="0" w:color="auto"/>
              <w:left w:val="nil"/>
              <w:bottom w:val="nil"/>
              <w:right w:val="nil"/>
            </w:tcBorders>
            <w:noWrap/>
            <w:vAlign w:val="bottom"/>
            <w:hideMark/>
          </w:tcPr>
          <w:p w14:paraId="46EBB553"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377" w:type="dxa"/>
            <w:tcBorders>
              <w:top w:val="single" w:sz="4" w:space="0" w:color="auto"/>
              <w:left w:val="nil"/>
              <w:bottom w:val="nil"/>
              <w:right w:val="nil"/>
            </w:tcBorders>
            <w:noWrap/>
            <w:vAlign w:val="bottom"/>
            <w:hideMark/>
          </w:tcPr>
          <w:p w14:paraId="5B9818C7"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798" w:type="dxa"/>
            <w:tcBorders>
              <w:top w:val="single" w:sz="4" w:space="0" w:color="auto"/>
              <w:left w:val="nil"/>
              <w:bottom w:val="nil"/>
              <w:right w:val="nil"/>
            </w:tcBorders>
            <w:noWrap/>
            <w:vAlign w:val="bottom"/>
            <w:hideMark/>
          </w:tcPr>
          <w:p w14:paraId="74FB6C25"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821732" w:rsidRPr="00C223C3" w14:paraId="380A433E" w14:textId="77777777" w:rsidTr="00E37B05">
        <w:trPr>
          <w:trHeight w:val="237"/>
          <w:jc w:val="center"/>
        </w:trPr>
        <w:tc>
          <w:tcPr>
            <w:tcW w:w="3425" w:type="dxa"/>
            <w:tcBorders>
              <w:top w:val="nil"/>
              <w:left w:val="nil"/>
              <w:bottom w:val="nil"/>
              <w:right w:val="nil"/>
            </w:tcBorders>
            <w:noWrap/>
            <w:vAlign w:val="bottom"/>
            <w:hideMark/>
          </w:tcPr>
          <w:p w14:paraId="3EEF87F2" w14:textId="6762826A" w:rsidR="00821732" w:rsidRPr="00C223C3" w:rsidRDefault="006F5689" w:rsidP="00E37B05">
            <w:pPr>
              <w:rPr>
                <w:rFonts w:ascii="Arial" w:hAnsi="Arial" w:cs="Arial"/>
                <w:color w:val="000000" w:themeColor="text1"/>
                <w:lang w:eastAsia="pt-BR"/>
              </w:rPr>
            </w:pPr>
            <w:r w:rsidRPr="00C223C3">
              <w:rPr>
                <w:rFonts w:ascii="Arial" w:hAnsi="Arial" w:cs="Arial"/>
                <w:color w:val="000000" w:themeColor="text1"/>
                <w:lang w:eastAsia="pt-BR"/>
              </w:rPr>
              <w:t>Yes</w:t>
            </w:r>
          </w:p>
        </w:tc>
        <w:tc>
          <w:tcPr>
            <w:tcW w:w="1182" w:type="dxa"/>
            <w:tcBorders>
              <w:top w:val="nil"/>
              <w:left w:val="nil"/>
              <w:bottom w:val="nil"/>
              <w:right w:val="nil"/>
            </w:tcBorders>
            <w:noWrap/>
            <w:vAlign w:val="bottom"/>
            <w:hideMark/>
          </w:tcPr>
          <w:p w14:paraId="063F25E9"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45,5</w:t>
            </w:r>
          </w:p>
        </w:tc>
        <w:tc>
          <w:tcPr>
            <w:tcW w:w="1329" w:type="dxa"/>
            <w:tcBorders>
              <w:top w:val="nil"/>
              <w:left w:val="nil"/>
              <w:bottom w:val="nil"/>
              <w:right w:val="nil"/>
            </w:tcBorders>
            <w:noWrap/>
            <w:vAlign w:val="bottom"/>
            <w:hideMark/>
          </w:tcPr>
          <w:p w14:paraId="3F9E0AB3"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31</w:t>
            </w:r>
          </w:p>
        </w:tc>
        <w:tc>
          <w:tcPr>
            <w:tcW w:w="1377" w:type="dxa"/>
            <w:tcBorders>
              <w:top w:val="nil"/>
              <w:left w:val="nil"/>
              <w:bottom w:val="nil"/>
              <w:right w:val="nil"/>
            </w:tcBorders>
            <w:noWrap/>
            <w:vAlign w:val="bottom"/>
            <w:hideMark/>
          </w:tcPr>
          <w:p w14:paraId="2D0D5191"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81</w:t>
            </w:r>
          </w:p>
        </w:tc>
        <w:tc>
          <w:tcPr>
            <w:tcW w:w="1798" w:type="dxa"/>
            <w:vMerge w:val="restart"/>
            <w:tcBorders>
              <w:top w:val="nil"/>
              <w:left w:val="nil"/>
              <w:bottom w:val="nil"/>
              <w:right w:val="nil"/>
            </w:tcBorders>
            <w:vAlign w:val="bottom"/>
            <w:hideMark/>
          </w:tcPr>
          <w:p w14:paraId="72FEE7A9"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U = 75,</w:t>
            </w:r>
            <w:proofErr w:type="gramStart"/>
            <w:r w:rsidRPr="00C223C3">
              <w:rPr>
                <w:rFonts w:ascii="Arial" w:hAnsi="Arial" w:cs="Arial"/>
                <w:color w:val="000000" w:themeColor="text1"/>
                <w:lang w:eastAsia="pt-BR"/>
              </w:rPr>
              <w:t xml:space="preserve">5;   </w:t>
            </w:r>
            <w:proofErr w:type="gramEnd"/>
            <w:r w:rsidRPr="00C223C3">
              <w:rPr>
                <w:rFonts w:ascii="Arial" w:hAnsi="Arial" w:cs="Arial"/>
                <w:color w:val="000000" w:themeColor="text1"/>
                <w:lang w:eastAsia="pt-BR"/>
              </w:rPr>
              <w:t xml:space="preserve">              p = 0,55</w:t>
            </w:r>
          </w:p>
        </w:tc>
      </w:tr>
      <w:tr w:rsidR="00821732" w:rsidRPr="00C223C3" w14:paraId="009F016A" w14:textId="77777777" w:rsidTr="00E37B05">
        <w:trPr>
          <w:trHeight w:val="237"/>
          <w:jc w:val="center"/>
        </w:trPr>
        <w:tc>
          <w:tcPr>
            <w:tcW w:w="3425" w:type="dxa"/>
            <w:tcBorders>
              <w:top w:val="nil"/>
              <w:left w:val="nil"/>
              <w:bottom w:val="nil"/>
              <w:right w:val="nil"/>
            </w:tcBorders>
            <w:noWrap/>
            <w:vAlign w:val="bottom"/>
            <w:hideMark/>
          </w:tcPr>
          <w:p w14:paraId="7CC27D4F" w14:textId="3EE4CDBE"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No</w:t>
            </w:r>
          </w:p>
        </w:tc>
        <w:tc>
          <w:tcPr>
            <w:tcW w:w="1182" w:type="dxa"/>
            <w:tcBorders>
              <w:top w:val="nil"/>
              <w:left w:val="nil"/>
              <w:bottom w:val="nil"/>
              <w:right w:val="nil"/>
            </w:tcBorders>
            <w:noWrap/>
            <w:vAlign w:val="bottom"/>
            <w:hideMark/>
          </w:tcPr>
          <w:p w14:paraId="4C4E2D18"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39,7</w:t>
            </w:r>
          </w:p>
        </w:tc>
        <w:tc>
          <w:tcPr>
            <w:tcW w:w="1329" w:type="dxa"/>
            <w:tcBorders>
              <w:top w:val="nil"/>
              <w:left w:val="nil"/>
              <w:bottom w:val="nil"/>
              <w:right w:val="nil"/>
            </w:tcBorders>
            <w:noWrap/>
            <w:vAlign w:val="bottom"/>
            <w:hideMark/>
          </w:tcPr>
          <w:p w14:paraId="6E24D30C"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19</w:t>
            </w:r>
          </w:p>
        </w:tc>
        <w:tc>
          <w:tcPr>
            <w:tcW w:w="1377" w:type="dxa"/>
            <w:tcBorders>
              <w:top w:val="nil"/>
              <w:left w:val="nil"/>
              <w:bottom w:val="nil"/>
              <w:right w:val="nil"/>
            </w:tcBorders>
            <w:noWrap/>
            <w:vAlign w:val="bottom"/>
            <w:hideMark/>
          </w:tcPr>
          <w:p w14:paraId="15C171B1"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53</w:t>
            </w:r>
          </w:p>
        </w:tc>
        <w:tc>
          <w:tcPr>
            <w:tcW w:w="1798" w:type="dxa"/>
            <w:vMerge/>
            <w:tcBorders>
              <w:top w:val="nil"/>
              <w:left w:val="nil"/>
              <w:bottom w:val="nil"/>
              <w:right w:val="nil"/>
            </w:tcBorders>
            <w:vAlign w:val="center"/>
            <w:hideMark/>
          </w:tcPr>
          <w:p w14:paraId="3933505E" w14:textId="77777777" w:rsidR="00821732" w:rsidRPr="00C223C3" w:rsidRDefault="00821732" w:rsidP="00E37B05">
            <w:pPr>
              <w:rPr>
                <w:rFonts w:ascii="Arial" w:hAnsi="Arial" w:cs="Arial"/>
                <w:color w:val="000000" w:themeColor="text1"/>
                <w:lang w:eastAsia="pt-BR"/>
              </w:rPr>
            </w:pPr>
          </w:p>
        </w:tc>
      </w:tr>
      <w:tr w:rsidR="00821732" w:rsidRPr="00C223C3" w14:paraId="243B1A1E" w14:textId="77777777" w:rsidTr="00E37B05">
        <w:trPr>
          <w:trHeight w:val="237"/>
          <w:jc w:val="center"/>
        </w:trPr>
        <w:tc>
          <w:tcPr>
            <w:tcW w:w="3425" w:type="dxa"/>
            <w:tcBorders>
              <w:top w:val="single" w:sz="4" w:space="0" w:color="auto"/>
              <w:left w:val="nil"/>
              <w:bottom w:val="nil"/>
              <w:right w:val="nil"/>
            </w:tcBorders>
            <w:noWrap/>
            <w:vAlign w:val="bottom"/>
            <w:hideMark/>
          </w:tcPr>
          <w:p w14:paraId="6F05FC1F" w14:textId="7C12FA11" w:rsidR="00821732" w:rsidRPr="00C223C3" w:rsidRDefault="0019041A" w:rsidP="00E37B05">
            <w:pPr>
              <w:rPr>
                <w:rFonts w:ascii="Arial" w:hAnsi="Arial" w:cs="Arial"/>
                <w:b/>
                <w:bCs/>
                <w:color w:val="000000" w:themeColor="text1"/>
                <w:lang w:eastAsia="pt-BR"/>
              </w:rPr>
            </w:pPr>
            <w:r w:rsidRPr="00C223C3">
              <w:rPr>
                <w:rFonts w:ascii="Arial" w:hAnsi="Arial" w:cs="Arial"/>
                <w:b/>
                <w:bCs/>
                <w:color w:val="000000" w:themeColor="text1"/>
                <w:lang w:eastAsia="pt-BR"/>
              </w:rPr>
              <w:t>Type of clinical treatment</w:t>
            </w:r>
          </w:p>
        </w:tc>
        <w:tc>
          <w:tcPr>
            <w:tcW w:w="1182" w:type="dxa"/>
            <w:tcBorders>
              <w:top w:val="single" w:sz="4" w:space="0" w:color="auto"/>
              <w:left w:val="nil"/>
              <w:bottom w:val="nil"/>
              <w:right w:val="nil"/>
            </w:tcBorders>
            <w:noWrap/>
            <w:vAlign w:val="bottom"/>
            <w:hideMark/>
          </w:tcPr>
          <w:p w14:paraId="53A62F71"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329" w:type="dxa"/>
            <w:tcBorders>
              <w:top w:val="single" w:sz="4" w:space="0" w:color="auto"/>
              <w:left w:val="nil"/>
              <w:bottom w:val="nil"/>
              <w:right w:val="nil"/>
            </w:tcBorders>
            <w:noWrap/>
            <w:vAlign w:val="bottom"/>
            <w:hideMark/>
          </w:tcPr>
          <w:p w14:paraId="2976E2EF"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377" w:type="dxa"/>
            <w:tcBorders>
              <w:top w:val="single" w:sz="4" w:space="0" w:color="auto"/>
              <w:left w:val="nil"/>
              <w:bottom w:val="nil"/>
              <w:right w:val="nil"/>
            </w:tcBorders>
            <w:noWrap/>
            <w:vAlign w:val="bottom"/>
            <w:hideMark/>
          </w:tcPr>
          <w:p w14:paraId="50ECBF58"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798" w:type="dxa"/>
            <w:tcBorders>
              <w:top w:val="single" w:sz="4" w:space="0" w:color="auto"/>
              <w:left w:val="nil"/>
              <w:bottom w:val="nil"/>
              <w:right w:val="nil"/>
            </w:tcBorders>
            <w:noWrap/>
            <w:vAlign w:val="bottom"/>
            <w:hideMark/>
          </w:tcPr>
          <w:p w14:paraId="2575689D"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821732" w:rsidRPr="00C223C3" w14:paraId="3A7E91BC" w14:textId="77777777" w:rsidTr="00E37B05">
        <w:trPr>
          <w:trHeight w:val="237"/>
          <w:jc w:val="center"/>
        </w:trPr>
        <w:tc>
          <w:tcPr>
            <w:tcW w:w="3425" w:type="dxa"/>
            <w:tcBorders>
              <w:top w:val="nil"/>
              <w:left w:val="nil"/>
              <w:bottom w:val="nil"/>
              <w:right w:val="nil"/>
            </w:tcBorders>
            <w:noWrap/>
            <w:vAlign w:val="bottom"/>
            <w:hideMark/>
          </w:tcPr>
          <w:p w14:paraId="0A65A487" w14:textId="7EBAE0B2" w:rsidR="00821732" w:rsidRPr="00C223C3" w:rsidRDefault="0019041A" w:rsidP="00E37B05">
            <w:pPr>
              <w:rPr>
                <w:rFonts w:ascii="Arial" w:hAnsi="Arial" w:cs="Arial"/>
                <w:color w:val="000000" w:themeColor="text1"/>
                <w:lang w:eastAsia="pt-BR"/>
              </w:rPr>
            </w:pPr>
            <w:r w:rsidRPr="00C223C3">
              <w:rPr>
                <w:rFonts w:ascii="Arial" w:hAnsi="Arial" w:cs="Arial"/>
                <w:color w:val="000000" w:themeColor="text1"/>
                <w:lang w:eastAsia="pt-BR"/>
              </w:rPr>
              <w:t>Cabergoline/Bromocriptine</w:t>
            </w:r>
          </w:p>
        </w:tc>
        <w:tc>
          <w:tcPr>
            <w:tcW w:w="1182" w:type="dxa"/>
            <w:tcBorders>
              <w:top w:val="nil"/>
              <w:left w:val="nil"/>
              <w:bottom w:val="nil"/>
              <w:right w:val="nil"/>
            </w:tcBorders>
            <w:noWrap/>
            <w:vAlign w:val="bottom"/>
            <w:hideMark/>
          </w:tcPr>
          <w:p w14:paraId="78658849"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43,3</w:t>
            </w:r>
          </w:p>
        </w:tc>
        <w:tc>
          <w:tcPr>
            <w:tcW w:w="1329" w:type="dxa"/>
            <w:tcBorders>
              <w:top w:val="nil"/>
              <w:left w:val="nil"/>
              <w:bottom w:val="nil"/>
              <w:right w:val="nil"/>
            </w:tcBorders>
            <w:noWrap/>
            <w:vAlign w:val="bottom"/>
            <w:hideMark/>
          </w:tcPr>
          <w:p w14:paraId="6A2A5007"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31</w:t>
            </w:r>
          </w:p>
        </w:tc>
        <w:tc>
          <w:tcPr>
            <w:tcW w:w="1377" w:type="dxa"/>
            <w:tcBorders>
              <w:top w:val="nil"/>
              <w:left w:val="nil"/>
              <w:bottom w:val="nil"/>
              <w:right w:val="nil"/>
            </w:tcBorders>
            <w:noWrap/>
            <w:vAlign w:val="bottom"/>
            <w:hideMark/>
          </w:tcPr>
          <w:p w14:paraId="744D11F4"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68</w:t>
            </w:r>
          </w:p>
        </w:tc>
        <w:tc>
          <w:tcPr>
            <w:tcW w:w="1798" w:type="dxa"/>
            <w:vMerge w:val="restart"/>
            <w:tcBorders>
              <w:top w:val="nil"/>
              <w:left w:val="nil"/>
              <w:bottom w:val="single" w:sz="4" w:space="0" w:color="000000"/>
              <w:right w:val="nil"/>
            </w:tcBorders>
            <w:vAlign w:val="center"/>
            <w:hideMark/>
          </w:tcPr>
          <w:p w14:paraId="4BB6AFAE" w14:textId="77777777" w:rsidR="00821732" w:rsidRPr="00C223C3" w:rsidRDefault="00821732" w:rsidP="00E37B05">
            <w:pPr>
              <w:jc w:val="center"/>
              <w:rPr>
                <w:rFonts w:ascii="Arial" w:hAnsi="Arial" w:cs="Arial"/>
                <w:color w:val="000000" w:themeColor="text1"/>
                <w:lang w:eastAsia="pt-BR"/>
              </w:rPr>
            </w:pPr>
            <w:proofErr w:type="spellStart"/>
            <w:r w:rsidRPr="00C223C3">
              <w:rPr>
                <w:rFonts w:ascii="Arial" w:hAnsi="Arial" w:cs="Arial"/>
                <w:color w:val="000000" w:themeColor="text1"/>
                <w:lang w:eastAsia="pt-BR"/>
              </w:rPr>
              <w:t>Hc</w:t>
            </w:r>
            <w:proofErr w:type="spellEnd"/>
            <w:r w:rsidRPr="00C223C3">
              <w:rPr>
                <w:rFonts w:ascii="Arial" w:hAnsi="Arial" w:cs="Arial"/>
                <w:color w:val="000000" w:themeColor="text1"/>
                <w:lang w:eastAsia="pt-BR"/>
              </w:rPr>
              <w:t xml:space="preserve"> = 3,</w:t>
            </w:r>
            <w:proofErr w:type="gramStart"/>
            <w:r w:rsidRPr="00C223C3">
              <w:rPr>
                <w:rFonts w:ascii="Arial" w:hAnsi="Arial" w:cs="Arial"/>
                <w:color w:val="000000" w:themeColor="text1"/>
                <w:lang w:eastAsia="pt-BR"/>
              </w:rPr>
              <w:t xml:space="preserve">0;   </w:t>
            </w:r>
            <w:proofErr w:type="gramEnd"/>
            <w:r w:rsidRPr="00C223C3">
              <w:rPr>
                <w:rFonts w:ascii="Arial" w:hAnsi="Arial" w:cs="Arial"/>
                <w:color w:val="000000" w:themeColor="text1"/>
                <w:lang w:eastAsia="pt-BR"/>
              </w:rPr>
              <w:t xml:space="preserve">               p = 0,38</w:t>
            </w:r>
          </w:p>
        </w:tc>
      </w:tr>
      <w:tr w:rsidR="00821732" w:rsidRPr="00C223C3" w14:paraId="041D1DD7" w14:textId="77777777" w:rsidTr="00E37B05">
        <w:trPr>
          <w:trHeight w:val="237"/>
          <w:jc w:val="center"/>
        </w:trPr>
        <w:tc>
          <w:tcPr>
            <w:tcW w:w="3425" w:type="dxa"/>
            <w:tcBorders>
              <w:top w:val="nil"/>
              <w:left w:val="nil"/>
              <w:bottom w:val="nil"/>
              <w:right w:val="nil"/>
            </w:tcBorders>
            <w:noWrap/>
            <w:vAlign w:val="bottom"/>
            <w:hideMark/>
          </w:tcPr>
          <w:p w14:paraId="24A9A5E0" w14:textId="28EF7AD6" w:rsidR="00821732" w:rsidRPr="00C223C3" w:rsidRDefault="00472D8F" w:rsidP="00E37B05">
            <w:pPr>
              <w:rPr>
                <w:rFonts w:ascii="Arial" w:hAnsi="Arial" w:cs="Arial"/>
                <w:color w:val="000000" w:themeColor="text1"/>
                <w:lang w:eastAsia="pt-BR"/>
              </w:rPr>
            </w:pPr>
            <w:r w:rsidRPr="00C223C3">
              <w:rPr>
                <w:rFonts w:ascii="Arial" w:hAnsi="Arial" w:cs="Arial"/>
                <w:color w:val="000000" w:themeColor="text1"/>
                <w:lang w:eastAsia="pt-BR"/>
              </w:rPr>
              <w:t>Octreotide/</w:t>
            </w:r>
            <w:proofErr w:type="spellStart"/>
            <w:r w:rsidRPr="00C223C3">
              <w:rPr>
                <w:rFonts w:ascii="Arial" w:hAnsi="Arial" w:cs="Arial"/>
                <w:color w:val="000000" w:themeColor="text1"/>
                <w:lang w:eastAsia="pt-BR"/>
              </w:rPr>
              <w:t>Lanreotide</w:t>
            </w:r>
            <w:proofErr w:type="spellEnd"/>
          </w:p>
        </w:tc>
        <w:tc>
          <w:tcPr>
            <w:tcW w:w="1182" w:type="dxa"/>
            <w:tcBorders>
              <w:top w:val="nil"/>
              <w:left w:val="nil"/>
              <w:bottom w:val="nil"/>
              <w:right w:val="nil"/>
            </w:tcBorders>
            <w:noWrap/>
            <w:vAlign w:val="bottom"/>
            <w:hideMark/>
          </w:tcPr>
          <w:p w14:paraId="1B4D4E48"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61,5</w:t>
            </w:r>
          </w:p>
        </w:tc>
        <w:tc>
          <w:tcPr>
            <w:tcW w:w="1329" w:type="dxa"/>
            <w:tcBorders>
              <w:top w:val="nil"/>
              <w:left w:val="nil"/>
              <w:bottom w:val="nil"/>
              <w:right w:val="nil"/>
            </w:tcBorders>
            <w:noWrap/>
            <w:vAlign w:val="bottom"/>
            <w:hideMark/>
          </w:tcPr>
          <w:p w14:paraId="7FC0D3B4"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42</w:t>
            </w:r>
          </w:p>
        </w:tc>
        <w:tc>
          <w:tcPr>
            <w:tcW w:w="1377" w:type="dxa"/>
            <w:tcBorders>
              <w:top w:val="nil"/>
              <w:left w:val="nil"/>
              <w:bottom w:val="nil"/>
              <w:right w:val="nil"/>
            </w:tcBorders>
            <w:noWrap/>
            <w:vAlign w:val="bottom"/>
            <w:hideMark/>
          </w:tcPr>
          <w:p w14:paraId="23869F65"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81</w:t>
            </w:r>
          </w:p>
        </w:tc>
        <w:tc>
          <w:tcPr>
            <w:tcW w:w="1798" w:type="dxa"/>
            <w:vMerge/>
            <w:tcBorders>
              <w:top w:val="nil"/>
              <w:left w:val="nil"/>
              <w:bottom w:val="single" w:sz="4" w:space="0" w:color="000000"/>
              <w:right w:val="nil"/>
            </w:tcBorders>
            <w:vAlign w:val="center"/>
            <w:hideMark/>
          </w:tcPr>
          <w:p w14:paraId="7E9DBB08" w14:textId="77777777" w:rsidR="00821732" w:rsidRPr="00C223C3" w:rsidRDefault="00821732" w:rsidP="00E37B05">
            <w:pPr>
              <w:rPr>
                <w:rFonts w:ascii="Arial" w:hAnsi="Arial" w:cs="Arial"/>
                <w:color w:val="000000" w:themeColor="text1"/>
                <w:lang w:eastAsia="pt-BR"/>
              </w:rPr>
            </w:pPr>
          </w:p>
        </w:tc>
      </w:tr>
      <w:tr w:rsidR="00821732" w:rsidRPr="00C223C3" w14:paraId="76B47A64" w14:textId="77777777" w:rsidTr="00E37B05">
        <w:trPr>
          <w:trHeight w:val="237"/>
          <w:jc w:val="center"/>
        </w:trPr>
        <w:tc>
          <w:tcPr>
            <w:tcW w:w="3425" w:type="dxa"/>
            <w:tcBorders>
              <w:top w:val="nil"/>
              <w:left w:val="nil"/>
              <w:bottom w:val="nil"/>
              <w:right w:val="nil"/>
            </w:tcBorders>
            <w:noWrap/>
            <w:vAlign w:val="bottom"/>
            <w:hideMark/>
          </w:tcPr>
          <w:p w14:paraId="6C0E855D" w14:textId="3096D7E7" w:rsidR="00821732" w:rsidRPr="00C223C3" w:rsidRDefault="00472D8F" w:rsidP="00E37B05">
            <w:pPr>
              <w:rPr>
                <w:rFonts w:ascii="Arial" w:hAnsi="Arial" w:cs="Arial"/>
                <w:color w:val="000000" w:themeColor="text1"/>
                <w:lang w:eastAsia="pt-BR"/>
              </w:rPr>
            </w:pPr>
            <w:r w:rsidRPr="00C223C3">
              <w:rPr>
                <w:rFonts w:ascii="Arial" w:hAnsi="Arial" w:cs="Arial"/>
                <w:color w:val="000000" w:themeColor="text1"/>
                <w:lang w:eastAsia="pt-BR"/>
              </w:rPr>
              <w:t>Other</w:t>
            </w:r>
          </w:p>
        </w:tc>
        <w:tc>
          <w:tcPr>
            <w:tcW w:w="1182" w:type="dxa"/>
            <w:tcBorders>
              <w:top w:val="nil"/>
              <w:left w:val="nil"/>
              <w:bottom w:val="nil"/>
              <w:right w:val="nil"/>
            </w:tcBorders>
            <w:noWrap/>
            <w:vAlign w:val="bottom"/>
            <w:hideMark/>
          </w:tcPr>
          <w:p w14:paraId="041F2CD6"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55</w:t>
            </w:r>
          </w:p>
        </w:tc>
        <w:tc>
          <w:tcPr>
            <w:tcW w:w="1329" w:type="dxa"/>
            <w:tcBorders>
              <w:top w:val="nil"/>
              <w:left w:val="nil"/>
              <w:bottom w:val="nil"/>
              <w:right w:val="nil"/>
            </w:tcBorders>
            <w:noWrap/>
            <w:vAlign w:val="bottom"/>
            <w:hideMark/>
          </w:tcPr>
          <w:p w14:paraId="3B07BE85"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55</w:t>
            </w:r>
          </w:p>
        </w:tc>
        <w:tc>
          <w:tcPr>
            <w:tcW w:w="1377" w:type="dxa"/>
            <w:tcBorders>
              <w:top w:val="nil"/>
              <w:left w:val="nil"/>
              <w:bottom w:val="nil"/>
              <w:right w:val="nil"/>
            </w:tcBorders>
            <w:noWrap/>
            <w:vAlign w:val="bottom"/>
            <w:hideMark/>
          </w:tcPr>
          <w:p w14:paraId="3324D7AC"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55</w:t>
            </w:r>
          </w:p>
        </w:tc>
        <w:tc>
          <w:tcPr>
            <w:tcW w:w="1798" w:type="dxa"/>
            <w:vMerge/>
            <w:tcBorders>
              <w:top w:val="nil"/>
              <w:left w:val="nil"/>
              <w:bottom w:val="single" w:sz="4" w:space="0" w:color="000000"/>
              <w:right w:val="nil"/>
            </w:tcBorders>
            <w:vAlign w:val="center"/>
            <w:hideMark/>
          </w:tcPr>
          <w:p w14:paraId="2772B5C8" w14:textId="77777777" w:rsidR="00821732" w:rsidRPr="00C223C3" w:rsidRDefault="00821732" w:rsidP="00E37B05">
            <w:pPr>
              <w:rPr>
                <w:rFonts w:ascii="Arial" w:hAnsi="Arial" w:cs="Arial"/>
                <w:color w:val="000000" w:themeColor="text1"/>
                <w:lang w:eastAsia="pt-BR"/>
              </w:rPr>
            </w:pPr>
          </w:p>
        </w:tc>
      </w:tr>
      <w:tr w:rsidR="00821732" w:rsidRPr="00C223C3" w14:paraId="46C3E325" w14:textId="77777777" w:rsidTr="00E37B05">
        <w:trPr>
          <w:trHeight w:val="237"/>
          <w:jc w:val="center"/>
        </w:trPr>
        <w:tc>
          <w:tcPr>
            <w:tcW w:w="3425" w:type="dxa"/>
            <w:tcBorders>
              <w:top w:val="nil"/>
              <w:left w:val="nil"/>
              <w:bottom w:val="nil"/>
              <w:right w:val="nil"/>
            </w:tcBorders>
            <w:noWrap/>
            <w:vAlign w:val="bottom"/>
            <w:hideMark/>
          </w:tcPr>
          <w:p w14:paraId="04C84C23" w14:textId="26570DE2" w:rsidR="00821732" w:rsidRPr="00C223C3" w:rsidRDefault="00472D8F" w:rsidP="00E37B05">
            <w:pPr>
              <w:rPr>
                <w:rFonts w:ascii="Arial" w:hAnsi="Arial" w:cs="Arial"/>
                <w:color w:val="000000" w:themeColor="text1"/>
                <w:lang w:val="pt-BR" w:eastAsia="pt-BR"/>
              </w:rPr>
            </w:pPr>
            <w:r w:rsidRPr="00C223C3">
              <w:rPr>
                <w:rFonts w:ascii="Arial" w:hAnsi="Arial" w:cs="Arial"/>
                <w:color w:val="000000" w:themeColor="text1"/>
                <w:lang w:val="pt-BR" w:eastAsia="pt-BR"/>
              </w:rPr>
              <w:t>No clinical treatment</w:t>
            </w:r>
          </w:p>
        </w:tc>
        <w:tc>
          <w:tcPr>
            <w:tcW w:w="1182" w:type="dxa"/>
            <w:tcBorders>
              <w:top w:val="nil"/>
              <w:left w:val="nil"/>
              <w:bottom w:val="nil"/>
              <w:right w:val="nil"/>
            </w:tcBorders>
            <w:noWrap/>
            <w:hideMark/>
          </w:tcPr>
          <w:p w14:paraId="131D8D4B"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39,7</w:t>
            </w:r>
          </w:p>
        </w:tc>
        <w:tc>
          <w:tcPr>
            <w:tcW w:w="1329" w:type="dxa"/>
            <w:tcBorders>
              <w:top w:val="nil"/>
              <w:left w:val="nil"/>
              <w:bottom w:val="nil"/>
              <w:right w:val="nil"/>
            </w:tcBorders>
            <w:noWrap/>
            <w:vAlign w:val="bottom"/>
            <w:hideMark/>
          </w:tcPr>
          <w:p w14:paraId="6FC24106"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19</w:t>
            </w:r>
          </w:p>
        </w:tc>
        <w:tc>
          <w:tcPr>
            <w:tcW w:w="1377" w:type="dxa"/>
            <w:tcBorders>
              <w:top w:val="nil"/>
              <w:left w:val="nil"/>
              <w:bottom w:val="nil"/>
              <w:right w:val="nil"/>
            </w:tcBorders>
            <w:noWrap/>
            <w:vAlign w:val="bottom"/>
            <w:hideMark/>
          </w:tcPr>
          <w:p w14:paraId="0A4567AA"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53</w:t>
            </w:r>
          </w:p>
        </w:tc>
        <w:tc>
          <w:tcPr>
            <w:tcW w:w="1798" w:type="dxa"/>
            <w:vMerge/>
            <w:tcBorders>
              <w:top w:val="nil"/>
              <w:left w:val="nil"/>
              <w:bottom w:val="single" w:sz="4" w:space="0" w:color="000000"/>
              <w:right w:val="nil"/>
            </w:tcBorders>
            <w:vAlign w:val="center"/>
            <w:hideMark/>
          </w:tcPr>
          <w:p w14:paraId="23A68833" w14:textId="77777777" w:rsidR="00821732" w:rsidRPr="00C223C3" w:rsidRDefault="00821732" w:rsidP="00E37B05">
            <w:pPr>
              <w:rPr>
                <w:rFonts w:ascii="Arial" w:hAnsi="Arial" w:cs="Arial"/>
                <w:color w:val="000000" w:themeColor="text1"/>
                <w:lang w:eastAsia="pt-BR"/>
              </w:rPr>
            </w:pPr>
          </w:p>
        </w:tc>
      </w:tr>
      <w:tr w:rsidR="00F82E81" w:rsidRPr="00C223C3" w14:paraId="2A7AA0C9" w14:textId="77777777" w:rsidTr="00E37B05">
        <w:trPr>
          <w:trHeight w:val="237"/>
          <w:jc w:val="center"/>
        </w:trPr>
        <w:tc>
          <w:tcPr>
            <w:tcW w:w="3425" w:type="dxa"/>
            <w:tcBorders>
              <w:top w:val="single" w:sz="4" w:space="0" w:color="auto"/>
              <w:left w:val="nil"/>
              <w:bottom w:val="single" w:sz="4" w:space="0" w:color="auto"/>
              <w:right w:val="nil"/>
            </w:tcBorders>
            <w:noWrap/>
            <w:vAlign w:val="bottom"/>
            <w:hideMark/>
          </w:tcPr>
          <w:p w14:paraId="63EDDB61" w14:textId="0A9C2B86" w:rsidR="00F82E81" w:rsidRPr="00C223C3" w:rsidRDefault="0064177F" w:rsidP="00F82E81">
            <w:pPr>
              <w:rPr>
                <w:rFonts w:ascii="Arial" w:hAnsi="Arial" w:cs="Arial"/>
                <w:b/>
                <w:bCs/>
                <w:color w:val="000000" w:themeColor="text1"/>
                <w:lang w:val="pt-BR" w:eastAsia="pt-BR"/>
              </w:rPr>
            </w:pPr>
            <w:r w:rsidRPr="00C223C3">
              <w:rPr>
                <w:rFonts w:ascii="Arial" w:hAnsi="Arial" w:cs="Arial"/>
                <w:b/>
                <w:bCs/>
                <w:color w:val="000000" w:themeColor="text1"/>
                <w:lang w:val="pt-BR" w:eastAsia="pt-BR"/>
              </w:rPr>
              <w:t>Lesion size</w:t>
            </w:r>
          </w:p>
        </w:tc>
        <w:tc>
          <w:tcPr>
            <w:tcW w:w="1182" w:type="dxa"/>
            <w:tcBorders>
              <w:top w:val="single" w:sz="4" w:space="0" w:color="auto"/>
              <w:left w:val="nil"/>
              <w:bottom w:val="single" w:sz="4" w:space="0" w:color="auto"/>
              <w:right w:val="nil"/>
            </w:tcBorders>
            <w:noWrap/>
            <w:vAlign w:val="bottom"/>
            <w:hideMark/>
          </w:tcPr>
          <w:p w14:paraId="37060962" w14:textId="6685F325" w:rsidR="00F82E81" w:rsidRPr="00C223C3" w:rsidRDefault="00F82E81" w:rsidP="00F82E81">
            <w:pPr>
              <w:jc w:val="center"/>
              <w:rPr>
                <w:rFonts w:ascii="Arial" w:hAnsi="Arial" w:cs="Arial"/>
                <w:b/>
                <w:bCs/>
                <w:color w:val="000000" w:themeColor="text1"/>
                <w:lang w:eastAsia="pt-BR"/>
              </w:rPr>
            </w:pPr>
            <w:r w:rsidRPr="00C223C3">
              <w:rPr>
                <w:rFonts w:ascii="Arial" w:hAnsi="Arial" w:cs="Arial"/>
                <w:b/>
                <w:bCs/>
                <w:color w:val="000000" w:themeColor="text1"/>
                <w:lang w:eastAsia="pt-BR"/>
              </w:rPr>
              <w:t>Mean</w:t>
            </w:r>
          </w:p>
        </w:tc>
        <w:tc>
          <w:tcPr>
            <w:tcW w:w="1329" w:type="dxa"/>
            <w:tcBorders>
              <w:top w:val="single" w:sz="4" w:space="0" w:color="auto"/>
              <w:left w:val="nil"/>
              <w:bottom w:val="single" w:sz="4" w:space="0" w:color="auto"/>
              <w:right w:val="nil"/>
            </w:tcBorders>
            <w:noWrap/>
            <w:vAlign w:val="bottom"/>
            <w:hideMark/>
          </w:tcPr>
          <w:p w14:paraId="7DA2B2B7" w14:textId="60002DAB" w:rsidR="00F82E81" w:rsidRPr="00C223C3" w:rsidRDefault="00F82E81" w:rsidP="00F82E81">
            <w:pPr>
              <w:jc w:val="center"/>
              <w:rPr>
                <w:rFonts w:ascii="Arial" w:hAnsi="Arial" w:cs="Arial"/>
                <w:b/>
                <w:bCs/>
                <w:color w:val="000000" w:themeColor="text1"/>
                <w:lang w:eastAsia="pt-BR"/>
              </w:rPr>
            </w:pPr>
            <w:r w:rsidRPr="00C223C3">
              <w:rPr>
                <w:rFonts w:ascii="Arial" w:hAnsi="Arial" w:cs="Arial"/>
                <w:b/>
                <w:bCs/>
                <w:color w:val="000000" w:themeColor="text1"/>
                <w:lang w:eastAsia="pt-BR"/>
              </w:rPr>
              <w:t>Minimum</w:t>
            </w:r>
          </w:p>
        </w:tc>
        <w:tc>
          <w:tcPr>
            <w:tcW w:w="1377" w:type="dxa"/>
            <w:tcBorders>
              <w:top w:val="single" w:sz="4" w:space="0" w:color="auto"/>
              <w:left w:val="nil"/>
              <w:bottom w:val="single" w:sz="4" w:space="0" w:color="auto"/>
              <w:right w:val="nil"/>
            </w:tcBorders>
            <w:noWrap/>
            <w:vAlign w:val="bottom"/>
            <w:hideMark/>
          </w:tcPr>
          <w:p w14:paraId="65AF0692" w14:textId="424FFB1C" w:rsidR="00F82E81" w:rsidRPr="00C223C3" w:rsidRDefault="00F82E81" w:rsidP="00F82E81">
            <w:pPr>
              <w:jc w:val="center"/>
              <w:rPr>
                <w:rFonts w:ascii="Arial" w:hAnsi="Arial" w:cs="Arial"/>
                <w:b/>
                <w:bCs/>
                <w:color w:val="000000" w:themeColor="text1"/>
                <w:lang w:eastAsia="pt-BR"/>
              </w:rPr>
            </w:pPr>
            <w:r w:rsidRPr="00C223C3">
              <w:rPr>
                <w:rFonts w:ascii="Arial" w:hAnsi="Arial" w:cs="Arial"/>
                <w:b/>
                <w:bCs/>
                <w:color w:val="000000" w:themeColor="text1"/>
                <w:lang w:eastAsia="pt-BR"/>
              </w:rPr>
              <w:t>Maximum</w:t>
            </w:r>
          </w:p>
        </w:tc>
        <w:tc>
          <w:tcPr>
            <w:tcW w:w="1798" w:type="dxa"/>
            <w:tcBorders>
              <w:top w:val="nil"/>
              <w:left w:val="nil"/>
              <w:bottom w:val="single" w:sz="4" w:space="0" w:color="auto"/>
              <w:right w:val="nil"/>
            </w:tcBorders>
            <w:noWrap/>
            <w:vAlign w:val="bottom"/>
            <w:hideMark/>
          </w:tcPr>
          <w:p w14:paraId="069C050E" w14:textId="58729E2A" w:rsidR="00F82E81" w:rsidRPr="00C223C3" w:rsidRDefault="00F82E81" w:rsidP="00F82E81">
            <w:pPr>
              <w:rPr>
                <w:rFonts w:ascii="Arial" w:hAnsi="Arial" w:cs="Arial"/>
                <w:b/>
                <w:bCs/>
                <w:color w:val="000000" w:themeColor="text1"/>
                <w:lang w:eastAsia="pt-BR"/>
              </w:rPr>
            </w:pPr>
            <w:r w:rsidRPr="00C223C3">
              <w:rPr>
                <w:rFonts w:ascii="Arial" w:hAnsi="Arial" w:cs="Arial"/>
                <w:b/>
                <w:bCs/>
                <w:color w:val="000000" w:themeColor="text1"/>
                <w:lang w:eastAsia="pt-BR"/>
              </w:rPr>
              <w:t>Significance</w:t>
            </w:r>
          </w:p>
        </w:tc>
      </w:tr>
      <w:tr w:rsidR="00821732" w:rsidRPr="00C223C3" w14:paraId="3A1DB1F3" w14:textId="77777777" w:rsidTr="00E37B05">
        <w:trPr>
          <w:trHeight w:val="237"/>
          <w:jc w:val="center"/>
        </w:trPr>
        <w:tc>
          <w:tcPr>
            <w:tcW w:w="3425" w:type="dxa"/>
            <w:tcBorders>
              <w:top w:val="nil"/>
              <w:left w:val="nil"/>
              <w:bottom w:val="nil"/>
              <w:right w:val="nil"/>
            </w:tcBorders>
            <w:noWrap/>
            <w:vAlign w:val="bottom"/>
            <w:hideMark/>
          </w:tcPr>
          <w:p w14:paraId="3D77096C" w14:textId="31FB52A4" w:rsidR="00821732" w:rsidRPr="00C223C3" w:rsidRDefault="001668C9" w:rsidP="00E37B05">
            <w:pPr>
              <w:rPr>
                <w:rFonts w:ascii="Arial" w:hAnsi="Arial" w:cs="Arial"/>
                <w:b/>
                <w:bCs/>
                <w:color w:val="000000" w:themeColor="text1"/>
                <w:lang w:eastAsia="pt-BR"/>
              </w:rPr>
            </w:pPr>
            <w:r w:rsidRPr="00C223C3">
              <w:rPr>
                <w:rFonts w:ascii="Arial" w:hAnsi="Arial" w:cs="Arial"/>
                <w:b/>
                <w:bCs/>
                <w:color w:val="000000" w:themeColor="text1"/>
                <w:lang w:eastAsia="pt-BR"/>
              </w:rPr>
              <w:t>Gender</w:t>
            </w:r>
          </w:p>
        </w:tc>
        <w:tc>
          <w:tcPr>
            <w:tcW w:w="1182" w:type="dxa"/>
            <w:tcBorders>
              <w:top w:val="nil"/>
              <w:left w:val="nil"/>
              <w:bottom w:val="nil"/>
              <w:right w:val="nil"/>
            </w:tcBorders>
            <w:noWrap/>
            <w:vAlign w:val="bottom"/>
            <w:hideMark/>
          </w:tcPr>
          <w:p w14:paraId="1AB15C3D" w14:textId="77777777" w:rsidR="00821732" w:rsidRPr="00C223C3" w:rsidRDefault="00821732" w:rsidP="00E37B05">
            <w:pPr>
              <w:rPr>
                <w:rFonts w:ascii="Arial" w:hAnsi="Arial" w:cs="Arial"/>
                <w:b/>
                <w:bCs/>
                <w:color w:val="000000" w:themeColor="text1"/>
                <w:lang w:eastAsia="pt-BR"/>
              </w:rPr>
            </w:pPr>
          </w:p>
        </w:tc>
        <w:tc>
          <w:tcPr>
            <w:tcW w:w="1329" w:type="dxa"/>
            <w:tcBorders>
              <w:top w:val="nil"/>
              <w:left w:val="nil"/>
              <w:bottom w:val="nil"/>
              <w:right w:val="nil"/>
            </w:tcBorders>
            <w:noWrap/>
            <w:vAlign w:val="bottom"/>
            <w:hideMark/>
          </w:tcPr>
          <w:p w14:paraId="212C4822" w14:textId="77777777" w:rsidR="00821732" w:rsidRPr="00C223C3" w:rsidRDefault="00821732" w:rsidP="00E37B05">
            <w:pPr>
              <w:jc w:val="center"/>
              <w:rPr>
                <w:rFonts w:ascii="Arial" w:hAnsi="Arial" w:cs="Arial"/>
                <w:color w:val="000000" w:themeColor="text1"/>
                <w:lang w:eastAsia="pt-BR"/>
              </w:rPr>
            </w:pPr>
          </w:p>
        </w:tc>
        <w:tc>
          <w:tcPr>
            <w:tcW w:w="1377" w:type="dxa"/>
            <w:tcBorders>
              <w:top w:val="nil"/>
              <w:left w:val="nil"/>
              <w:bottom w:val="nil"/>
              <w:right w:val="nil"/>
            </w:tcBorders>
            <w:noWrap/>
            <w:vAlign w:val="bottom"/>
            <w:hideMark/>
          </w:tcPr>
          <w:p w14:paraId="3AD80E21" w14:textId="77777777" w:rsidR="00821732" w:rsidRPr="00C223C3" w:rsidRDefault="00821732" w:rsidP="00E37B05">
            <w:pPr>
              <w:jc w:val="center"/>
              <w:rPr>
                <w:rFonts w:ascii="Arial" w:hAnsi="Arial" w:cs="Arial"/>
                <w:color w:val="000000" w:themeColor="text1"/>
                <w:lang w:eastAsia="pt-BR"/>
              </w:rPr>
            </w:pPr>
          </w:p>
        </w:tc>
        <w:tc>
          <w:tcPr>
            <w:tcW w:w="1798" w:type="dxa"/>
            <w:tcBorders>
              <w:top w:val="nil"/>
              <w:left w:val="nil"/>
              <w:bottom w:val="nil"/>
              <w:right w:val="nil"/>
            </w:tcBorders>
            <w:noWrap/>
            <w:vAlign w:val="bottom"/>
            <w:hideMark/>
          </w:tcPr>
          <w:p w14:paraId="0DA2D04C" w14:textId="77777777" w:rsidR="00821732" w:rsidRPr="00C223C3" w:rsidRDefault="00821732" w:rsidP="00E37B05">
            <w:pPr>
              <w:jc w:val="center"/>
              <w:rPr>
                <w:rFonts w:ascii="Arial" w:hAnsi="Arial" w:cs="Arial"/>
                <w:color w:val="000000" w:themeColor="text1"/>
                <w:lang w:eastAsia="pt-BR"/>
              </w:rPr>
            </w:pPr>
          </w:p>
        </w:tc>
      </w:tr>
      <w:tr w:rsidR="00821732" w:rsidRPr="00C223C3" w14:paraId="7DA90FC9" w14:textId="77777777" w:rsidTr="00E37B05">
        <w:trPr>
          <w:trHeight w:val="237"/>
          <w:jc w:val="center"/>
        </w:trPr>
        <w:tc>
          <w:tcPr>
            <w:tcW w:w="3425" w:type="dxa"/>
            <w:tcBorders>
              <w:top w:val="nil"/>
              <w:left w:val="nil"/>
              <w:bottom w:val="nil"/>
              <w:right w:val="nil"/>
            </w:tcBorders>
            <w:noWrap/>
            <w:vAlign w:val="bottom"/>
            <w:hideMark/>
          </w:tcPr>
          <w:p w14:paraId="204095EA" w14:textId="3CA23941" w:rsidR="00821732" w:rsidRPr="00C223C3" w:rsidRDefault="0064177F" w:rsidP="00E37B05">
            <w:pPr>
              <w:rPr>
                <w:rFonts w:ascii="Arial" w:hAnsi="Arial" w:cs="Arial"/>
                <w:color w:val="000000" w:themeColor="text1"/>
                <w:lang w:eastAsia="pt-BR"/>
              </w:rPr>
            </w:pPr>
            <w:r w:rsidRPr="00C223C3">
              <w:rPr>
                <w:rFonts w:ascii="Arial" w:hAnsi="Arial" w:cs="Arial"/>
                <w:color w:val="000000" w:themeColor="text1"/>
                <w:lang w:eastAsia="pt-BR"/>
              </w:rPr>
              <w:t>Female</w:t>
            </w:r>
          </w:p>
        </w:tc>
        <w:tc>
          <w:tcPr>
            <w:tcW w:w="1182" w:type="dxa"/>
            <w:tcBorders>
              <w:top w:val="nil"/>
              <w:left w:val="nil"/>
              <w:bottom w:val="nil"/>
              <w:right w:val="nil"/>
            </w:tcBorders>
            <w:noWrap/>
            <w:vAlign w:val="bottom"/>
            <w:hideMark/>
          </w:tcPr>
          <w:p w14:paraId="68C3F54B"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6,3</w:t>
            </w:r>
          </w:p>
        </w:tc>
        <w:tc>
          <w:tcPr>
            <w:tcW w:w="1329" w:type="dxa"/>
            <w:tcBorders>
              <w:top w:val="nil"/>
              <w:left w:val="nil"/>
              <w:bottom w:val="nil"/>
              <w:right w:val="nil"/>
            </w:tcBorders>
            <w:noWrap/>
            <w:vAlign w:val="bottom"/>
            <w:hideMark/>
          </w:tcPr>
          <w:p w14:paraId="40A61C6E"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377" w:type="dxa"/>
            <w:tcBorders>
              <w:top w:val="nil"/>
              <w:left w:val="nil"/>
              <w:bottom w:val="nil"/>
              <w:right w:val="nil"/>
            </w:tcBorders>
            <w:noWrap/>
            <w:vAlign w:val="bottom"/>
            <w:hideMark/>
          </w:tcPr>
          <w:p w14:paraId="3F9D8E2A"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17</w:t>
            </w:r>
          </w:p>
        </w:tc>
        <w:tc>
          <w:tcPr>
            <w:tcW w:w="1798" w:type="dxa"/>
            <w:vMerge w:val="restart"/>
            <w:tcBorders>
              <w:top w:val="nil"/>
              <w:left w:val="nil"/>
              <w:bottom w:val="nil"/>
              <w:right w:val="nil"/>
            </w:tcBorders>
            <w:vAlign w:val="bottom"/>
            <w:hideMark/>
          </w:tcPr>
          <w:p w14:paraId="1A63B1CF"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U = 4,</w:t>
            </w:r>
            <w:proofErr w:type="gramStart"/>
            <w:r w:rsidRPr="00C223C3">
              <w:rPr>
                <w:rFonts w:ascii="Arial" w:hAnsi="Arial" w:cs="Arial"/>
                <w:color w:val="000000" w:themeColor="text1"/>
                <w:lang w:eastAsia="pt-BR"/>
              </w:rPr>
              <w:t xml:space="preserve">0;   </w:t>
            </w:r>
            <w:proofErr w:type="gramEnd"/>
            <w:r w:rsidRPr="00C223C3">
              <w:rPr>
                <w:rFonts w:ascii="Arial" w:hAnsi="Arial" w:cs="Arial"/>
                <w:color w:val="000000" w:themeColor="text1"/>
                <w:lang w:eastAsia="pt-BR"/>
              </w:rPr>
              <w:t xml:space="preserve">                p = 0,04</w:t>
            </w:r>
          </w:p>
        </w:tc>
      </w:tr>
      <w:tr w:rsidR="00821732" w:rsidRPr="00C223C3" w14:paraId="0364525D" w14:textId="77777777" w:rsidTr="00E37B05">
        <w:trPr>
          <w:trHeight w:val="237"/>
          <w:jc w:val="center"/>
        </w:trPr>
        <w:tc>
          <w:tcPr>
            <w:tcW w:w="3425" w:type="dxa"/>
            <w:tcBorders>
              <w:top w:val="nil"/>
              <w:left w:val="nil"/>
              <w:bottom w:val="nil"/>
              <w:right w:val="nil"/>
            </w:tcBorders>
            <w:noWrap/>
            <w:vAlign w:val="bottom"/>
            <w:hideMark/>
          </w:tcPr>
          <w:p w14:paraId="59CF9E0F" w14:textId="20C93E1D" w:rsidR="00821732" w:rsidRPr="00C223C3" w:rsidRDefault="001668C9" w:rsidP="00E37B05">
            <w:pPr>
              <w:rPr>
                <w:rFonts w:ascii="Arial" w:hAnsi="Arial" w:cs="Arial"/>
                <w:color w:val="000000" w:themeColor="text1"/>
                <w:lang w:eastAsia="pt-BR"/>
              </w:rPr>
            </w:pPr>
            <w:r w:rsidRPr="00C223C3">
              <w:rPr>
                <w:rFonts w:ascii="Arial" w:hAnsi="Arial" w:cs="Arial"/>
                <w:color w:val="000000" w:themeColor="text1"/>
                <w:lang w:eastAsia="pt-BR"/>
              </w:rPr>
              <w:t>Male</w:t>
            </w:r>
          </w:p>
        </w:tc>
        <w:tc>
          <w:tcPr>
            <w:tcW w:w="1182" w:type="dxa"/>
            <w:tcBorders>
              <w:top w:val="nil"/>
              <w:left w:val="nil"/>
              <w:bottom w:val="nil"/>
              <w:right w:val="nil"/>
            </w:tcBorders>
            <w:noWrap/>
            <w:vAlign w:val="bottom"/>
            <w:hideMark/>
          </w:tcPr>
          <w:p w14:paraId="0CEF9206"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18,5</w:t>
            </w:r>
          </w:p>
        </w:tc>
        <w:tc>
          <w:tcPr>
            <w:tcW w:w="1329" w:type="dxa"/>
            <w:tcBorders>
              <w:top w:val="nil"/>
              <w:left w:val="nil"/>
              <w:bottom w:val="nil"/>
              <w:right w:val="nil"/>
            </w:tcBorders>
            <w:noWrap/>
            <w:vAlign w:val="bottom"/>
            <w:hideMark/>
          </w:tcPr>
          <w:p w14:paraId="5DC1AB39"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12</w:t>
            </w:r>
          </w:p>
        </w:tc>
        <w:tc>
          <w:tcPr>
            <w:tcW w:w="1377" w:type="dxa"/>
            <w:tcBorders>
              <w:top w:val="nil"/>
              <w:left w:val="nil"/>
              <w:bottom w:val="nil"/>
              <w:right w:val="nil"/>
            </w:tcBorders>
            <w:noWrap/>
            <w:vAlign w:val="bottom"/>
            <w:hideMark/>
          </w:tcPr>
          <w:p w14:paraId="69D288A4"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25</w:t>
            </w:r>
          </w:p>
        </w:tc>
        <w:tc>
          <w:tcPr>
            <w:tcW w:w="1798" w:type="dxa"/>
            <w:vMerge/>
            <w:tcBorders>
              <w:top w:val="nil"/>
              <w:left w:val="nil"/>
              <w:bottom w:val="nil"/>
              <w:right w:val="nil"/>
            </w:tcBorders>
            <w:vAlign w:val="center"/>
            <w:hideMark/>
          </w:tcPr>
          <w:p w14:paraId="4CD0DABD" w14:textId="77777777" w:rsidR="00821732" w:rsidRPr="00C223C3" w:rsidRDefault="00821732" w:rsidP="00E37B05">
            <w:pPr>
              <w:rPr>
                <w:rFonts w:ascii="Arial" w:hAnsi="Arial" w:cs="Arial"/>
                <w:color w:val="000000" w:themeColor="text1"/>
                <w:lang w:eastAsia="pt-BR"/>
              </w:rPr>
            </w:pPr>
          </w:p>
        </w:tc>
      </w:tr>
      <w:tr w:rsidR="00821732" w:rsidRPr="00C223C3" w14:paraId="42C6A9B9" w14:textId="77777777" w:rsidTr="00E37B05">
        <w:trPr>
          <w:trHeight w:val="237"/>
          <w:jc w:val="center"/>
        </w:trPr>
        <w:tc>
          <w:tcPr>
            <w:tcW w:w="3425" w:type="dxa"/>
            <w:tcBorders>
              <w:top w:val="single" w:sz="4" w:space="0" w:color="auto"/>
              <w:left w:val="nil"/>
              <w:bottom w:val="nil"/>
              <w:right w:val="nil"/>
            </w:tcBorders>
            <w:noWrap/>
            <w:vAlign w:val="bottom"/>
            <w:hideMark/>
          </w:tcPr>
          <w:p w14:paraId="3AB87B20" w14:textId="4E070723" w:rsidR="00821732" w:rsidRPr="00C223C3" w:rsidRDefault="006517DC" w:rsidP="00E37B05">
            <w:pPr>
              <w:rPr>
                <w:rFonts w:ascii="Arial" w:hAnsi="Arial" w:cs="Arial"/>
                <w:b/>
                <w:bCs/>
                <w:color w:val="000000" w:themeColor="text1"/>
                <w:lang w:eastAsia="pt-BR"/>
              </w:rPr>
            </w:pPr>
            <w:proofErr w:type="spellStart"/>
            <w:r w:rsidRPr="00C223C3">
              <w:rPr>
                <w:rFonts w:ascii="Arial" w:hAnsi="Arial" w:cs="Arial"/>
                <w:b/>
                <w:bCs/>
                <w:color w:val="000000" w:themeColor="text1"/>
                <w:lang w:eastAsia="pt-BR"/>
              </w:rPr>
              <w:t>Subpathology</w:t>
            </w:r>
            <w:proofErr w:type="spellEnd"/>
          </w:p>
        </w:tc>
        <w:tc>
          <w:tcPr>
            <w:tcW w:w="1182" w:type="dxa"/>
            <w:tcBorders>
              <w:top w:val="single" w:sz="4" w:space="0" w:color="auto"/>
              <w:left w:val="nil"/>
              <w:bottom w:val="nil"/>
              <w:right w:val="nil"/>
            </w:tcBorders>
            <w:noWrap/>
            <w:vAlign w:val="bottom"/>
            <w:hideMark/>
          </w:tcPr>
          <w:p w14:paraId="52583D16"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1329" w:type="dxa"/>
            <w:tcBorders>
              <w:top w:val="single" w:sz="4" w:space="0" w:color="auto"/>
              <w:left w:val="nil"/>
              <w:bottom w:val="nil"/>
              <w:right w:val="nil"/>
            </w:tcBorders>
            <w:noWrap/>
            <w:vAlign w:val="bottom"/>
            <w:hideMark/>
          </w:tcPr>
          <w:p w14:paraId="1E2C5341"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1377" w:type="dxa"/>
            <w:tcBorders>
              <w:top w:val="single" w:sz="4" w:space="0" w:color="auto"/>
              <w:left w:val="nil"/>
              <w:bottom w:val="nil"/>
              <w:right w:val="nil"/>
            </w:tcBorders>
            <w:noWrap/>
            <w:vAlign w:val="bottom"/>
            <w:hideMark/>
          </w:tcPr>
          <w:p w14:paraId="2582AB6C"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1798" w:type="dxa"/>
            <w:tcBorders>
              <w:top w:val="single" w:sz="4" w:space="0" w:color="auto"/>
              <w:left w:val="nil"/>
              <w:bottom w:val="nil"/>
              <w:right w:val="nil"/>
            </w:tcBorders>
            <w:noWrap/>
            <w:vAlign w:val="bottom"/>
            <w:hideMark/>
          </w:tcPr>
          <w:p w14:paraId="20F71AAA"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821732" w:rsidRPr="00C223C3" w14:paraId="6C1E6ABA" w14:textId="77777777" w:rsidTr="00E37B05">
        <w:trPr>
          <w:trHeight w:val="237"/>
          <w:jc w:val="center"/>
        </w:trPr>
        <w:tc>
          <w:tcPr>
            <w:tcW w:w="3425" w:type="dxa"/>
            <w:tcBorders>
              <w:top w:val="nil"/>
              <w:left w:val="nil"/>
              <w:bottom w:val="nil"/>
              <w:right w:val="nil"/>
            </w:tcBorders>
            <w:noWrap/>
            <w:vAlign w:val="bottom"/>
            <w:hideMark/>
          </w:tcPr>
          <w:p w14:paraId="5A6A005D" w14:textId="326529E7" w:rsidR="00821732" w:rsidRPr="00C223C3" w:rsidRDefault="006517DC" w:rsidP="00E37B05">
            <w:pPr>
              <w:rPr>
                <w:rFonts w:ascii="Arial" w:hAnsi="Arial" w:cs="Arial"/>
                <w:color w:val="000000" w:themeColor="text1"/>
                <w:lang w:eastAsia="pt-BR"/>
              </w:rPr>
            </w:pPr>
            <w:r w:rsidRPr="00C223C3">
              <w:rPr>
                <w:rFonts w:ascii="Arial" w:hAnsi="Arial" w:cs="Arial"/>
                <w:color w:val="000000" w:themeColor="text1"/>
                <w:lang w:eastAsia="pt-BR"/>
              </w:rPr>
              <w:t>Prolactinoma</w:t>
            </w:r>
          </w:p>
        </w:tc>
        <w:tc>
          <w:tcPr>
            <w:tcW w:w="1182" w:type="dxa"/>
            <w:tcBorders>
              <w:top w:val="nil"/>
              <w:left w:val="nil"/>
              <w:bottom w:val="nil"/>
              <w:right w:val="nil"/>
            </w:tcBorders>
            <w:noWrap/>
            <w:vAlign w:val="bottom"/>
            <w:hideMark/>
          </w:tcPr>
          <w:p w14:paraId="2F9CC7AD"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7,7</w:t>
            </w:r>
          </w:p>
        </w:tc>
        <w:tc>
          <w:tcPr>
            <w:tcW w:w="1329" w:type="dxa"/>
            <w:tcBorders>
              <w:top w:val="nil"/>
              <w:left w:val="nil"/>
              <w:bottom w:val="nil"/>
              <w:right w:val="nil"/>
            </w:tcBorders>
            <w:noWrap/>
            <w:vAlign w:val="bottom"/>
            <w:hideMark/>
          </w:tcPr>
          <w:p w14:paraId="2CA51429"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377" w:type="dxa"/>
            <w:tcBorders>
              <w:top w:val="nil"/>
              <w:left w:val="nil"/>
              <w:bottom w:val="nil"/>
              <w:right w:val="nil"/>
            </w:tcBorders>
            <w:noWrap/>
            <w:vAlign w:val="bottom"/>
            <w:hideMark/>
          </w:tcPr>
          <w:p w14:paraId="54033A57"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25</w:t>
            </w:r>
          </w:p>
        </w:tc>
        <w:tc>
          <w:tcPr>
            <w:tcW w:w="1798" w:type="dxa"/>
            <w:vMerge w:val="restart"/>
            <w:tcBorders>
              <w:top w:val="nil"/>
              <w:left w:val="nil"/>
              <w:bottom w:val="nil"/>
              <w:right w:val="nil"/>
            </w:tcBorders>
            <w:vAlign w:val="center"/>
            <w:hideMark/>
          </w:tcPr>
          <w:p w14:paraId="1AE20675" w14:textId="77777777" w:rsidR="00821732" w:rsidRPr="00C223C3" w:rsidRDefault="00821732" w:rsidP="00E37B05">
            <w:pPr>
              <w:jc w:val="center"/>
              <w:rPr>
                <w:rFonts w:ascii="Arial" w:hAnsi="Arial" w:cs="Arial"/>
                <w:color w:val="000000" w:themeColor="text1"/>
                <w:lang w:eastAsia="pt-BR"/>
              </w:rPr>
            </w:pPr>
            <w:proofErr w:type="spellStart"/>
            <w:r w:rsidRPr="00C223C3">
              <w:rPr>
                <w:rFonts w:ascii="Arial" w:hAnsi="Arial" w:cs="Arial"/>
                <w:color w:val="000000" w:themeColor="text1"/>
                <w:lang w:eastAsia="pt-BR"/>
              </w:rPr>
              <w:t>Hc</w:t>
            </w:r>
            <w:proofErr w:type="spellEnd"/>
            <w:r w:rsidRPr="00C223C3">
              <w:rPr>
                <w:rFonts w:ascii="Arial" w:hAnsi="Arial" w:cs="Arial"/>
                <w:color w:val="000000" w:themeColor="text1"/>
                <w:lang w:eastAsia="pt-BR"/>
              </w:rPr>
              <w:t xml:space="preserve"> = 1,</w:t>
            </w:r>
            <w:proofErr w:type="gramStart"/>
            <w:r w:rsidRPr="00C223C3">
              <w:rPr>
                <w:rFonts w:ascii="Arial" w:hAnsi="Arial" w:cs="Arial"/>
                <w:color w:val="000000" w:themeColor="text1"/>
                <w:lang w:eastAsia="pt-BR"/>
              </w:rPr>
              <w:t xml:space="preserve">0;   </w:t>
            </w:r>
            <w:proofErr w:type="gramEnd"/>
            <w:r w:rsidRPr="00C223C3">
              <w:rPr>
                <w:rFonts w:ascii="Arial" w:hAnsi="Arial" w:cs="Arial"/>
                <w:color w:val="000000" w:themeColor="text1"/>
                <w:lang w:eastAsia="pt-BR"/>
              </w:rPr>
              <w:t xml:space="preserve">               p = 0,58</w:t>
            </w:r>
          </w:p>
        </w:tc>
      </w:tr>
      <w:tr w:rsidR="00821732" w:rsidRPr="00C223C3" w14:paraId="2FAD86F5" w14:textId="77777777" w:rsidTr="00E37B05">
        <w:trPr>
          <w:trHeight w:val="237"/>
          <w:jc w:val="center"/>
        </w:trPr>
        <w:tc>
          <w:tcPr>
            <w:tcW w:w="3425" w:type="dxa"/>
            <w:tcBorders>
              <w:top w:val="nil"/>
              <w:left w:val="nil"/>
              <w:bottom w:val="nil"/>
              <w:right w:val="nil"/>
            </w:tcBorders>
            <w:noWrap/>
            <w:vAlign w:val="bottom"/>
            <w:hideMark/>
          </w:tcPr>
          <w:p w14:paraId="65F1528F" w14:textId="166CB515" w:rsidR="00821732" w:rsidRPr="00C223C3" w:rsidRDefault="006517DC" w:rsidP="00E37B05">
            <w:pPr>
              <w:rPr>
                <w:rFonts w:ascii="Arial" w:hAnsi="Arial" w:cs="Arial"/>
                <w:color w:val="000000" w:themeColor="text1"/>
                <w:lang w:eastAsia="pt-BR"/>
              </w:rPr>
            </w:pPr>
            <w:r w:rsidRPr="00C223C3">
              <w:rPr>
                <w:rFonts w:ascii="Arial" w:hAnsi="Arial" w:cs="Arial"/>
                <w:color w:val="000000" w:themeColor="text1"/>
                <w:lang w:eastAsia="pt-BR"/>
              </w:rPr>
              <w:t>Cushing syndrome</w:t>
            </w:r>
          </w:p>
        </w:tc>
        <w:tc>
          <w:tcPr>
            <w:tcW w:w="1182" w:type="dxa"/>
            <w:tcBorders>
              <w:top w:val="nil"/>
              <w:left w:val="nil"/>
              <w:bottom w:val="nil"/>
              <w:right w:val="nil"/>
            </w:tcBorders>
            <w:noWrap/>
            <w:vAlign w:val="bottom"/>
            <w:hideMark/>
          </w:tcPr>
          <w:p w14:paraId="75F934DA"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6</w:t>
            </w:r>
          </w:p>
        </w:tc>
        <w:tc>
          <w:tcPr>
            <w:tcW w:w="1329" w:type="dxa"/>
            <w:tcBorders>
              <w:top w:val="nil"/>
              <w:left w:val="nil"/>
              <w:bottom w:val="nil"/>
              <w:right w:val="nil"/>
            </w:tcBorders>
            <w:noWrap/>
            <w:vAlign w:val="bottom"/>
            <w:hideMark/>
          </w:tcPr>
          <w:p w14:paraId="746D8787"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6</w:t>
            </w:r>
          </w:p>
        </w:tc>
        <w:tc>
          <w:tcPr>
            <w:tcW w:w="1377" w:type="dxa"/>
            <w:tcBorders>
              <w:top w:val="nil"/>
              <w:left w:val="nil"/>
              <w:bottom w:val="nil"/>
              <w:right w:val="nil"/>
            </w:tcBorders>
            <w:noWrap/>
            <w:vAlign w:val="bottom"/>
            <w:hideMark/>
          </w:tcPr>
          <w:p w14:paraId="28F53B75"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6</w:t>
            </w:r>
          </w:p>
        </w:tc>
        <w:tc>
          <w:tcPr>
            <w:tcW w:w="1798" w:type="dxa"/>
            <w:vMerge/>
            <w:tcBorders>
              <w:top w:val="nil"/>
              <w:left w:val="nil"/>
              <w:bottom w:val="nil"/>
              <w:right w:val="nil"/>
            </w:tcBorders>
            <w:vAlign w:val="center"/>
            <w:hideMark/>
          </w:tcPr>
          <w:p w14:paraId="62F6C341" w14:textId="77777777" w:rsidR="00821732" w:rsidRPr="00C223C3" w:rsidRDefault="00821732" w:rsidP="00E37B05">
            <w:pPr>
              <w:rPr>
                <w:rFonts w:ascii="Arial" w:hAnsi="Arial" w:cs="Arial"/>
                <w:color w:val="000000" w:themeColor="text1"/>
                <w:lang w:eastAsia="pt-BR"/>
              </w:rPr>
            </w:pPr>
          </w:p>
        </w:tc>
      </w:tr>
      <w:tr w:rsidR="00821732" w:rsidRPr="00C223C3" w14:paraId="474C43D3" w14:textId="77777777" w:rsidTr="00E37B05">
        <w:trPr>
          <w:trHeight w:val="237"/>
          <w:jc w:val="center"/>
        </w:trPr>
        <w:tc>
          <w:tcPr>
            <w:tcW w:w="3425" w:type="dxa"/>
            <w:tcBorders>
              <w:top w:val="nil"/>
              <w:left w:val="nil"/>
              <w:bottom w:val="nil"/>
              <w:right w:val="nil"/>
            </w:tcBorders>
            <w:noWrap/>
            <w:vAlign w:val="bottom"/>
            <w:hideMark/>
          </w:tcPr>
          <w:p w14:paraId="2F1F1F86" w14:textId="10CEB279" w:rsidR="00821732" w:rsidRPr="00C223C3" w:rsidRDefault="00426AC4" w:rsidP="00E37B05">
            <w:pPr>
              <w:rPr>
                <w:rFonts w:ascii="Arial" w:hAnsi="Arial" w:cs="Arial"/>
                <w:color w:val="000000" w:themeColor="text1"/>
                <w:lang w:eastAsia="pt-BR"/>
              </w:rPr>
            </w:pPr>
            <w:r w:rsidRPr="00C223C3">
              <w:rPr>
                <w:rFonts w:ascii="Arial" w:hAnsi="Arial" w:cs="Arial"/>
                <w:color w:val="000000" w:themeColor="text1"/>
                <w:lang w:eastAsia="pt-BR"/>
              </w:rPr>
              <w:t>Acromegaly</w:t>
            </w:r>
          </w:p>
        </w:tc>
        <w:tc>
          <w:tcPr>
            <w:tcW w:w="1182" w:type="dxa"/>
            <w:tcBorders>
              <w:top w:val="nil"/>
              <w:left w:val="nil"/>
              <w:bottom w:val="nil"/>
              <w:right w:val="nil"/>
            </w:tcBorders>
            <w:noWrap/>
            <w:vAlign w:val="bottom"/>
            <w:hideMark/>
          </w:tcPr>
          <w:p w14:paraId="58092C33"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3,3</w:t>
            </w:r>
          </w:p>
        </w:tc>
        <w:tc>
          <w:tcPr>
            <w:tcW w:w="1329" w:type="dxa"/>
            <w:tcBorders>
              <w:top w:val="nil"/>
              <w:left w:val="nil"/>
              <w:bottom w:val="nil"/>
              <w:right w:val="nil"/>
            </w:tcBorders>
            <w:noWrap/>
            <w:vAlign w:val="bottom"/>
            <w:hideMark/>
          </w:tcPr>
          <w:p w14:paraId="72F1762B"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377" w:type="dxa"/>
            <w:tcBorders>
              <w:top w:val="nil"/>
              <w:left w:val="nil"/>
              <w:bottom w:val="nil"/>
              <w:right w:val="nil"/>
            </w:tcBorders>
            <w:noWrap/>
            <w:vAlign w:val="bottom"/>
            <w:hideMark/>
          </w:tcPr>
          <w:p w14:paraId="344F4110"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6,6</w:t>
            </w:r>
          </w:p>
        </w:tc>
        <w:tc>
          <w:tcPr>
            <w:tcW w:w="1798" w:type="dxa"/>
            <w:vMerge/>
            <w:tcBorders>
              <w:top w:val="nil"/>
              <w:left w:val="nil"/>
              <w:bottom w:val="nil"/>
              <w:right w:val="nil"/>
            </w:tcBorders>
            <w:vAlign w:val="center"/>
            <w:hideMark/>
          </w:tcPr>
          <w:p w14:paraId="5F7FDCF3" w14:textId="77777777" w:rsidR="00821732" w:rsidRPr="00C223C3" w:rsidRDefault="00821732" w:rsidP="00E37B05">
            <w:pPr>
              <w:rPr>
                <w:rFonts w:ascii="Arial" w:hAnsi="Arial" w:cs="Arial"/>
                <w:color w:val="000000" w:themeColor="text1"/>
                <w:lang w:eastAsia="pt-BR"/>
              </w:rPr>
            </w:pPr>
          </w:p>
        </w:tc>
      </w:tr>
      <w:tr w:rsidR="00821732" w:rsidRPr="00C223C3" w14:paraId="634383CC" w14:textId="77777777" w:rsidTr="00E37B05">
        <w:trPr>
          <w:trHeight w:val="237"/>
          <w:jc w:val="center"/>
        </w:trPr>
        <w:tc>
          <w:tcPr>
            <w:tcW w:w="3425" w:type="dxa"/>
            <w:tcBorders>
              <w:top w:val="single" w:sz="4" w:space="0" w:color="auto"/>
              <w:left w:val="nil"/>
              <w:bottom w:val="nil"/>
              <w:right w:val="nil"/>
            </w:tcBorders>
            <w:noWrap/>
            <w:vAlign w:val="bottom"/>
            <w:hideMark/>
          </w:tcPr>
          <w:p w14:paraId="53D2BE8F" w14:textId="6E0E6232" w:rsidR="00821732" w:rsidRPr="00C223C3" w:rsidRDefault="00426AC4" w:rsidP="00E37B05">
            <w:pPr>
              <w:rPr>
                <w:rFonts w:ascii="Arial" w:hAnsi="Arial" w:cs="Arial"/>
                <w:b/>
                <w:bCs/>
                <w:color w:val="000000" w:themeColor="text1"/>
                <w:lang w:eastAsia="pt-BR"/>
              </w:rPr>
            </w:pPr>
            <w:r w:rsidRPr="00C223C3">
              <w:rPr>
                <w:rFonts w:ascii="Arial" w:hAnsi="Arial" w:cs="Arial"/>
                <w:b/>
                <w:bCs/>
                <w:color w:val="000000" w:themeColor="text1"/>
                <w:lang w:eastAsia="pt-BR"/>
              </w:rPr>
              <w:t>Surgery</w:t>
            </w:r>
          </w:p>
        </w:tc>
        <w:tc>
          <w:tcPr>
            <w:tcW w:w="1182" w:type="dxa"/>
            <w:tcBorders>
              <w:top w:val="single" w:sz="4" w:space="0" w:color="auto"/>
              <w:left w:val="nil"/>
              <w:bottom w:val="nil"/>
              <w:right w:val="nil"/>
            </w:tcBorders>
            <w:noWrap/>
            <w:vAlign w:val="bottom"/>
            <w:hideMark/>
          </w:tcPr>
          <w:p w14:paraId="56E543AC"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329" w:type="dxa"/>
            <w:tcBorders>
              <w:top w:val="single" w:sz="4" w:space="0" w:color="auto"/>
              <w:left w:val="nil"/>
              <w:bottom w:val="nil"/>
              <w:right w:val="nil"/>
            </w:tcBorders>
            <w:noWrap/>
            <w:vAlign w:val="bottom"/>
            <w:hideMark/>
          </w:tcPr>
          <w:p w14:paraId="34620184"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377" w:type="dxa"/>
            <w:tcBorders>
              <w:top w:val="single" w:sz="4" w:space="0" w:color="auto"/>
              <w:left w:val="nil"/>
              <w:bottom w:val="nil"/>
              <w:right w:val="nil"/>
            </w:tcBorders>
            <w:noWrap/>
            <w:vAlign w:val="bottom"/>
            <w:hideMark/>
          </w:tcPr>
          <w:p w14:paraId="2EE0EB3D"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798" w:type="dxa"/>
            <w:tcBorders>
              <w:top w:val="single" w:sz="4" w:space="0" w:color="auto"/>
              <w:left w:val="nil"/>
              <w:bottom w:val="nil"/>
              <w:right w:val="nil"/>
            </w:tcBorders>
            <w:noWrap/>
            <w:vAlign w:val="bottom"/>
            <w:hideMark/>
          </w:tcPr>
          <w:p w14:paraId="05AD452D"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821732" w:rsidRPr="00C223C3" w14:paraId="01A96AC1" w14:textId="77777777" w:rsidTr="00E37B05">
        <w:trPr>
          <w:trHeight w:val="237"/>
          <w:jc w:val="center"/>
        </w:trPr>
        <w:tc>
          <w:tcPr>
            <w:tcW w:w="3425" w:type="dxa"/>
            <w:tcBorders>
              <w:top w:val="nil"/>
              <w:left w:val="nil"/>
              <w:bottom w:val="nil"/>
              <w:right w:val="nil"/>
            </w:tcBorders>
            <w:noWrap/>
            <w:vAlign w:val="bottom"/>
            <w:hideMark/>
          </w:tcPr>
          <w:p w14:paraId="302408A5" w14:textId="148A03EE" w:rsidR="00821732" w:rsidRPr="00C223C3" w:rsidRDefault="006F5689" w:rsidP="00E37B05">
            <w:pPr>
              <w:rPr>
                <w:rFonts w:ascii="Arial" w:hAnsi="Arial" w:cs="Arial"/>
                <w:color w:val="000000" w:themeColor="text1"/>
                <w:lang w:eastAsia="pt-BR"/>
              </w:rPr>
            </w:pPr>
            <w:r w:rsidRPr="00C223C3">
              <w:rPr>
                <w:rFonts w:ascii="Arial" w:hAnsi="Arial" w:cs="Arial"/>
                <w:color w:val="000000" w:themeColor="text1"/>
                <w:lang w:eastAsia="pt-BR"/>
              </w:rPr>
              <w:t>Yes</w:t>
            </w:r>
          </w:p>
        </w:tc>
        <w:tc>
          <w:tcPr>
            <w:tcW w:w="1182" w:type="dxa"/>
            <w:tcBorders>
              <w:top w:val="nil"/>
              <w:left w:val="nil"/>
              <w:bottom w:val="nil"/>
              <w:right w:val="nil"/>
            </w:tcBorders>
            <w:noWrap/>
            <w:vAlign w:val="bottom"/>
            <w:hideMark/>
          </w:tcPr>
          <w:p w14:paraId="716C6C1E"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10,3</w:t>
            </w:r>
          </w:p>
        </w:tc>
        <w:tc>
          <w:tcPr>
            <w:tcW w:w="1329" w:type="dxa"/>
            <w:tcBorders>
              <w:top w:val="nil"/>
              <w:left w:val="nil"/>
              <w:bottom w:val="nil"/>
              <w:right w:val="nil"/>
            </w:tcBorders>
            <w:noWrap/>
            <w:vAlign w:val="bottom"/>
            <w:hideMark/>
          </w:tcPr>
          <w:p w14:paraId="677CB45B"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377" w:type="dxa"/>
            <w:tcBorders>
              <w:top w:val="nil"/>
              <w:left w:val="nil"/>
              <w:bottom w:val="nil"/>
              <w:right w:val="nil"/>
            </w:tcBorders>
            <w:noWrap/>
            <w:vAlign w:val="bottom"/>
            <w:hideMark/>
          </w:tcPr>
          <w:p w14:paraId="361FF1D5"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25</w:t>
            </w:r>
          </w:p>
        </w:tc>
        <w:tc>
          <w:tcPr>
            <w:tcW w:w="1798" w:type="dxa"/>
            <w:vMerge w:val="restart"/>
            <w:tcBorders>
              <w:top w:val="nil"/>
              <w:left w:val="nil"/>
              <w:bottom w:val="single" w:sz="4" w:space="0" w:color="000000"/>
              <w:right w:val="nil"/>
            </w:tcBorders>
            <w:vAlign w:val="bottom"/>
            <w:hideMark/>
          </w:tcPr>
          <w:p w14:paraId="028D4C01"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U = 39,</w:t>
            </w:r>
            <w:proofErr w:type="gramStart"/>
            <w:r w:rsidRPr="00C223C3">
              <w:rPr>
                <w:rFonts w:ascii="Arial" w:hAnsi="Arial" w:cs="Arial"/>
                <w:color w:val="000000" w:themeColor="text1"/>
                <w:lang w:eastAsia="pt-BR"/>
              </w:rPr>
              <w:t xml:space="preserve">0;   </w:t>
            </w:r>
            <w:proofErr w:type="gramEnd"/>
            <w:r w:rsidRPr="00C223C3">
              <w:rPr>
                <w:rFonts w:ascii="Arial" w:hAnsi="Arial" w:cs="Arial"/>
                <w:color w:val="000000" w:themeColor="text1"/>
                <w:lang w:eastAsia="pt-BR"/>
              </w:rPr>
              <w:t xml:space="preserve">              p = 0,91</w:t>
            </w:r>
          </w:p>
        </w:tc>
      </w:tr>
      <w:tr w:rsidR="00821732" w:rsidRPr="00C223C3" w14:paraId="7B101E23" w14:textId="77777777" w:rsidTr="00E37B05">
        <w:trPr>
          <w:trHeight w:val="237"/>
          <w:jc w:val="center"/>
        </w:trPr>
        <w:tc>
          <w:tcPr>
            <w:tcW w:w="3425" w:type="dxa"/>
            <w:tcBorders>
              <w:top w:val="nil"/>
              <w:left w:val="nil"/>
              <w:bottom w:val="single" w:sz="4" w:space="0" w:color="auto"/>
              <w:right w:val="nil"/>
            </w:tcBorders>
            <w:noWrap/>
            <w:vAlign w:val="bottom"/>
            <w:hideMark/>
          </w:tcPr>
          <w:p w14:paraId="5B711DEB" w14:textId="0DC57D2F"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No</w:t>
            </w:r>
          </w:p>
        </w:tc>
        <w:tc>
          <w:tcPr>
            <w:tcW w:w="1182" w:type="dxa"/>
            <w:tcBorders>
              <w:top w:val="nil"/>
              <w:left w:val="nil"/>
              <w:bottom w:val="single" w:sz="4" w:space="0" w:color="auto"/>
              <w:right w:val="nil"/>
            </w:tcBorders>
            <w:noWrap/>
            <w:vAlign w:val="bottom"/>
            <w:hideMark/>
          </w:tcPr>
          <w:p w14:paraId="1D95ACDD"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6,7</w:t>
            </w:r>
          </w:p>
        </w:tc>
        <w:tc>
          <w:tcPr>
            <w:tcW w:w="1329" w:type="dxa"/>
            <w:tcBorders>
              <w:top w:val="nil"/>
              <w:left w:val="nil"/>
              <w:bottom w:val="single" w:sz="4" w:space="0" w:color="auto"/>
              <w:right w:val="nil"/>
            </w:tcBorders>
            <w:noWrap/>
            <w:vAlign w:val="bottom"/>
            <w:hideMark/>
          </w:tcPr>
          <w:p w14:paraId="1215619F"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377" w:type="dxa"/>
            <w:tcBorders>
              <w:top w:val="nil"/>
              <w:left w:val="nil"/>
              <w:bottom w:val="single" w:sz="4" w:space="0" w:color="auto"/>
              <w:right w:val="nil"/>
            </w:tcBorders>
            <w:noWrap/>
            <w:vAlign w:val="bottom"/>
            <w:hideMark/>
          </w:tcPr>
          <w:p w14:paraId="594EC13D"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17</w:t>
            </w:r>
          </w:p>
        </w:tc>
        <w:tc>
          <w:tcPr>
            <w:tcW w:w="1798" w:type="dxa"/>
            <w:vMerge/>
            <w:tcBorders>
              <w:top w:val="nil"/>
              <w:left w:val="nil"/>
              <w:bottom w:val="single" w:sz="4" w:space="0" w:color="000000"/>
              <w:right w:val="nil"/>
            </w:tcBorders>
            <w:vAlign w:val="center"/>
            <w:hideMark/>
          </w:tcPr>
          <w:p w14:paraId="3D582F01" w14:textId="77777777" w:rsidR="00821732" w:rsidRPr="00C223C3" w:rsidRDefault="00821732" w:rsidP="00E37B05">
            <w:pPr>
              <w:rPr>
                <w:rFonts w:ascii="Arial" w:hAnsi="Arial" w:cs="Arial"/>
                <w:color w:val="000000" w:themeColor="text1"/>
                <w:lang w:eastAsia="pt-BR"/>
              </w:rPr>
            </w:pPr>
          </w:p>
        </w:tc>
      </w:tr>
      <w:tr w:rsidR="00821732" w:rsidRPr="00C223C3" w14:paraId="5BDB9EBE" w14:textId="77777777" w:rsidTr="00E37B05">
        <w:trPr>
          <w:trHeight w:val="237"/>
          <w:jc w:val="center"/>
        </w:trPr>
        <w:tc>
          <w:tcPr>
            <w:tcW w:w="3425" w:type="dxa"/>
            <w:tcBorders>
              <w:top w:val="nil"/>
              <w:left w:val="nil"/>
              <w:bottom w:val="nil"/>
              <w:right w:val="nil"/>
            </w:tcBorders>
            <w:noWrap/>
            <w:vAlign w:val="bottom"/>
            <w:hideMark/>
          </w:tcPr>
          <w:p w14:paraId="346130AF" w14:textId="38E4B82E" w:rsidR="00821732" w:rsidRPr="00C223C3" w:rsidRDefault="00426AC4" w:rsidP="00E37B05">
            <w:pPr>
              <w:rPr>
                <w:rFonts w:ascii="Arial" w:hAnsi="Arial" w:cs="Arial"/>
                <w:b/>
                <w:bCs/>
                <w:color w:val="000000" w:themeColor="text1"/>
                <w:lang w:eastAsia="pt-BR"/>
              </w:rPr>
            </w:pPr>
            <w:r w:rsidRPr="00C223C3">
              <w:rPr>
                <w:rFonts w:ascii="Arial" w:hAnsi="Arial" w:cs="Arial"/>
                <w:b/>
                <w:bCs/>
                <w:color w:val="000000" w:themeColor="text1"/>
                <w:lang w:eastAsia="pt-BR"/>
              </w:rPr>
              <w:t>Clinical treatment</w:t>
            </w:r>
          </w:p>
        </w:tc>
        <w:tc>
          <w:tcPr>
            <w:tcW w:w="1182" w:type="dxa"/>
            <w:tcBorders>
              <w:top w:val="nil"/>
              <w:left w:val="nil"/>
              <w:bottom w:val="nil"/>
              <w:right w:val="nil"/>
            </w:tcBorders>
            <w:noWrap/>
            <w:vAlign w:val="bottom"/>
            <w:hideMark/>
          </w:tcPr>
          <w:p w14:paraId="0F9568BE" w14:textId="77777777" w:rsidR="00821732" w:rsidRPr="00C223C3" w:rsidRDefault="00821732" w:rsidP="00E37B05">
            <w:pPr>
              <w:rPr>
                <w:rFonts w:ascii="Arial" w:hAnsi="Arial" w:cs="Arial"/>
                <w:b/>
                <w:bCs/>
                <w:color w:val="000000" w:themeColor="text1"/>
                <w:lang w:eastAsia="pt-BR"/>
              </w:rPr>
            </w:pPr>
          </w:p>
        </w:tc>
        <w:tc>
          <w:tcPr>
            <w:tcW w:w="1329" w:type="dxa"/>
            <w:tcBorders>
              <w:top w:val="nil"/>
              <w:left w:val="nil"/>
              <w:bottom w:val="nil"/>
              <w:right w:val="nil"/>
            </w:tcBorders>
            <w:noWrap/>
            <w:vAlign w:val="bottom"/>
            <w:hideMark/>
          </w:tcPr>
          <w:p w14:paraId="71DFF938" w14:textId="77777777" w:rsidR="00821732" w:rsidRPr="00C223C3" w:rsidRDefault="00821732" w:rsidP="00E37B05">
            <w:pPr>
              <w:rPr>
                <w:rFonts w:ascii="Arial" w:hAnsi="Arial" w:cs="Arial"/>
                <w:color w:val="000000" w:themeColor="text1"/>
                <w:lang w:eastAsia="pt-BR"/>
              </w:rPr>
            </w:pPr>
          </w:p>
        </w:tc>
        <w:tc>
          <w:tcPr>
            <w:tcW w:w="1377" w:type="dxa"/>
            <w:tcBorders>
              <w:top w:val="nil"/>
              <w:left w:val="nil"/>
              <w:bottom w:val="nil"/>
              <w:right w:val="nil"/>
            </w:tcBorders>
            <w:noWrap/>
            <w:vAlign w:val="bottom"/>
            <w:hideMark/>
          </w:tcPr>
          <w:p w14:paraId="3868BC06" w14:textId="77777777" w:rsidR="00821732" w:rsidRPr="00C223C3" w:rsidRDefault="00821732" w:rsidP="00E37B05">
            <w:pPr>
              <w:rPr>
                <w:rFonts w:ascii="Arial" w:hAnsi="Arial" w:cs="Arial"/>
                <w:color w:val="000000" w:themeColor="text1"/>
                <w:lang w:eastAsia="pt-BR"/>
              </w:rPr>
            </w:pPr>
          </w:p>
        </w:tc>
        <w:tc>
          <w:tcPr>
            <w:tcW w:w="1798" w:type="dxa"/>
            <w:tcBorders>
              <w:top w:val="nil"/>
              <w:left w:val="nil"/>
              <w:bottom w:val="nil"/>
              <w:right w:val="nil"/>
            </w:tcBorders>
            <w:noWrap/>
            <w:vAlign w:val="bottom"/>
            <w:hideMark/>
          </w:tcPr>
          <w:p w14:paraId="25021490" w14:textId="77777777" w:rsidR="00821732" w:rsidRPr="00C223C3" w:rsidRDefault="00821732" w:rsidP="00E37B05">
            <w:pPr>
              <w:rPr>
                <w:rFonts w:ascii="Arial" w:hAnsi="Arial" w:cs="Arial"/>
                <w:color w:val="000000" w:themeColor="text1"/>
                <w:lang w:eastAsia="pt-BR"/>
              </w:rPr>
            </w:pPr>
          </w:p>
        </w:tc>
      </w:tr>
      <w:tr w:rsidR="00821732" w:rsidRPr="00C223C3" w14:paraId="414BB60D" w14:textId="77777777" w:rsidTr="00E37B05">
        <w:trPr>
          <w:trHeight w:val="237"/>
          <w:jc w:val="center"/>
        </w:trPr>
        <w:tc>
          <w:tcPr>
            <w:tcW w:w="3425" w:type="dxa"/>
            <w:tcBorders>
              <w:top w:val="nil"/>
              <w:left w:val="nil"/>
              <w:bottom w:val="nil"/>
              <w:right w:val="nil"/>
            </w:tcBorders>
            <w:noWrap/>
            <w:vAlign w:val="bottom"/>
            <w:hideMark/>
          </w:tcPr>
          <w:p w14:paraId="1365D557" w14:textId="400F390D" w:rsidR="00821732" w:rsidRPr="00C223C3" w:rsidRDefault="006F5689" w:rsidP="00E37B05">
            <w:pPr>
              <w:rPr>
                <w:rFonts w:ascii="Arial" w:hAnsi="Arial" w:cs="Arial"/>
                <w:color w:val="000000" w:themeColor="text1"/>
                <w:lang w:eastAsia="pt-BR"/>
              </w:rPr>
            </w:pPr>
            <w:r w:rsidRPr="00C223C3">
              <w:rPr>
                <w:rFonts w:ascii="Arial" w:hAnsi="Arial" w:cs="Arial"/>
                <w:color w:val="000000" w:themeColor="text1"/>
                <w:lang w:eastAsia="pt-BR"/>
              </w:rPr>
              <w:t>Yes</w:t>
            </w:r>
          </w:p>
        </w:tc>
        <w:tc>
          <w:tcPr>
            <w:tcW w:w="1182" w:type="dxa"/>
            <w:tcBorders>
              <w:top w:val="nil"/>
              <w:left w:val="nil"/>
              <w:bottom w:val="nil"/>
              <w:right w:val="nil"/>
            </w:tcBorders>
            <w:noWrap/>
            <w:vAlign w:val="bottom"/>
            <w:hideMark/>
          </w:tcPr>
          <w:p w14:paraId="44B616D0"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6,9</w:t>
            </w:r>
          </w:p>
        </w:tc>
        <w:tc>
          <w:tcPr>
            <w:tcW w:w="1329" w:type="dxa"/>
            <w:tcBorders>
              <w:top w:val="nil"/>
              <w:left w:val="nil"/>
              <w:bottom w:val="nil"/>
              <w:right w:val="nil"/>
            </w:tcBorders>
            <w:noWrap/>
            <w:vAlign w:val="bottom"/>
            <w:hideMark/>
          </w:tcPr>
          <w:p w14:paraId="189609D9"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377" w:type="dxa"/>
            <w:tcBorders>
              <w:top w:val="nil"/>
              <w:left w:val="nil"/>
              <w:bottom w:val="nil"/>
              <w:right w:val="nil"/>
            </w:tcBorders>
            <w:noWrap/>
            <w:vAlign w:val="bottom"/>
            <w:hideMark/>
          </w:tcPr>
          <w:p w14:paraId="4F048CF8"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15</w:t>
            </w:r>
          </w:p>
        </w:tc>
        <w:tc>
          <w:tcPr>
            <w:tcW w:w="1798" w:type="dxa"/>
            <w:vMerge w:val="restart"/>
            <w:tcBorders>
              <w:top w:val="nil"/>
              <w:left w:val="nil"/>
              <w:bottom w:val="nil"/>
              <w:right w:val="nil"/>
            </w:tcBorders>
            <w:vAlign w:val="bottom"/>
            <w:hideMark/>
          </w:tcPr>
          <w:p w14:paraId="7CA0D657"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U = 77,</w:t>
            </w:r>
            <w:proofErr w:type="gramStart"/>
            <w:r w:rsidRPr="00C223C3">
              <w:rPr>
                <w:rFonts w:ascii="Arial" w:hAnsi="Arial" w:cs="Arial"/>
                <w:color w:val="000000" w:themeColor="text1"/>
                <w:lang w:eastAsia="pt-BR"/>
              </w:rPr>
              <w:t xml:space="preserve">5;   </w:t>
            </w:r>
            <w:proofErr w:type="gramEnd"/>
            <w:r w:rsidRPr="00C223C3">
              <w:rPr>
                <w:rFonts w:ascii="Arial" w:hAnsi="Arial" w:cs="Arial"/>
                <w:color w:val="000000" w:themeColor="text1"/>
                <w:lang w:eastAsia="pt-BR"/>
              </w:rPr>
              <w:t xml:space="preserve">              p = 0,62</w:t>
            </w:r>
          </w:p>
        </w:tc>
      </w:tr>
      <w:tr w:rsidR="00821732" w:rsidRPr="00C223C3" w14:paraId="7FB373AB" w14:textId="77777777" w:rsidTr="00E37B05">
        <w:trPr>
          <w:trHeight w:val="237"/>
          <w:jc w:val="center"/>
        </w:trPr>
        <w:tc>
          <w:tcPr>
            <w:tcW w:w="3425" w:type="dxa"/>
            <w:tcBorders>
              <w:top w:val="nil"/>
              <w:left w:val="nil"/>
              <w:bottom w:val="nil"/>
              <w:right w:val="nil"/>
            </w:tcBorders>
            <w:noWrap/>
            <w:vAlign w:val="bottom"/>
            <w:hideMark/>
          </w:tcPr>
          <w:p w14:paraId="1093E0AD" w14:textId="6C601EA2"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No</w:t>
            </w:r>
          </w:p>
        </w:tc>
        <w:tc>
          <w:tcPr>
            <w:tcW w:w="1182" w:type="dxa"/>
            <w:tcBorders>
              <w:top w:val="nil"/>
              <w:left w:val="nil"/>
              <w:bottom w:val="nil"/>
              <w:right w:val="nil"/>
            </w:tcBorders>
            <w:noWrap/>
            <w:vAlign w:val="bottom"/>
            <w:hideMark/>
          </w:tcPr>
          <w:p w14:paraId="141EF90F"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7,7</w:t>
            </w:r>
          </w:p>
        </w:tc>
        <w:tc>
          <w:tcPr>
            <w:tcW w:w="1329" w:type="dxa"/>
            <w:tcBorders>
              <w:top w:val="nil"/>
              <w:left w:val="nil"/>
              <w:bottom w:val="nil"/>
              <w:right w:val="nil"/>
            </w:tcBorders>
            <w:noWrap/>
            <w:vAlign w:val="bottom"/>
            <w:hideMark/>
          </w:tcPr>
          <w:p w14:paraId="03456E5F"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377" w:type="dxa"/>
            <w:tcBorders>
              <w:top w:val="nil"/>
              <w:left w:val="nil"/>
              <w:bottom w:val="nil"/>
              <w:right w:val="nil"/>
            </w:tcBorders>
            <w:noWrap/>
            <w:vAlign w:val="bottom"/>
            <w:hideMark/>
          </w:tcPr>
          <w:p w14:paraId="19A7F5A6"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25</w:t>
            </w:r>
          </w:p>
        </w:tc>
        <w:tc>
          <w:tcPr>
            <w:tcW w:w="1798" w:type="dxa"/>
            <w:vMerge/>
            <w:tcBorders>
              <w:top w:val="nil"/>
              <w:left w:val="nil"/>
              <w:bottom w:val="nil"/>
              <w:right w:val="nil"/>
            </w:tcBorders>
            <w:vAlign w:val="center"/>
            <w:hideMark/>
          </w:tcPr>
          <w:p w14:paraId="5B87B18E" w14:textId="77777777" w:rsidR="00821732" w:rsidRPr="00C223C3" w:rsidRDefault="00821732" w:rsidP="00E37B05">
            <w:pPr>
              <w:rPr>
                <w:rFonts w:ascii="Arial" w:hAnsi="Arial" w:cs="Arial"/>
                <w:color w:val="000000" w:themeColor="text1"/>
                <w:lang w:eastAsia="pt-BR"/>
              </w:rPr>
            </w:pPr>
          </w:p>
        </w:tc>
      </w:tr>
      <w:tr w:rsidR="00821732" w:rsidRPr="00C223C3" w14:paraId="505EEBB4" w14:textId="77777777" w:rsidTr="00E37B05">
        <w:trPr>
          <w:trHeight w:val="237"/>
          <w:jc w:val="center"/>
        </w:trPr>
        <w:tc>
          <w:tcPr>
            <w:tcW w:w="3425" w:type="dxa"/>
            <w:tcBorders>
              <w:top w:val="single" w:sz="4" w:space="0" w:color="auto"/>
              <w:left w:val="nil"/>
              <w:bottom w:val="nil"/>
              <w:right w:val="nil"/>
            </w:tcBorders>
            <w:noWrap/>
            <w:vAlign w:val="bottom"/>
            <w:hideMark/>
          </w:tcPr>
          <w:p w14:paraId="22695438" w14:textId="2C4DF799" w:rsidR="00821732" w:rsidRPr="00C223C3" w:rsidRDefault="00046214" w:rsidP="00E37B05">
            <w:pPr>
              <w:rPr>
                <w:rFonts w:ascii="Arial" w:hAnsi="Arial" w:cs="Arial"/>
                <w:b/>
                <w:bCs/>
                <w:color w:val="000000" w:themeColor="text1"/>
                <w:lang w:eastAsia="pt-BR"/>
              </w:rPr>
            </w:pPr>
            <w:r w:rsidRPr="00C223C3">
              <w:rPr>
                <w:rFonts w:ascii="Arial" w:hAnsi="Arial" w:cs="Arial"/>
                <w:b/>
                <w:bCs/>
                <w:color w:val="000000" w:themeColor="text1"/>
                <w:lang w:eastAsia="pt-BR"/>
              </w:rPr>
              <w:t>Type of clinical treatment</w:t>
            </w:r>
          </w:p>
        </w:tc>
        <w:tc>
          <w:tcPr>
            <w:tcW w:w="1182" w:type="dxa"/>
            <w:tcBorders>
              <w:top w:val="single" w:sz="4" w:space="0" w:color="auto"/>
              <w:left w:val="nil"/>
              <w:bottom w:val="nil"/>
              <w:right w:val="nil"/>
            </w:tcBorders>
            <w:noWrap/>
            <w:vAlign w:val="bottom"/>
            <w:hideMark/>
          </w:tcPr>
          <w:p w14:paraId="3DD0ADCE"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329" w:type="dxa"/>
            <w:tcBorders>
              <w:top w:val="single" w:sz="4" w:space="0" w:color="auto"/>
              <w:left w:val="nil"/>
              <w:bottom w:val="nil"/>
              <w:right w:val="nil"/>
            </w:tcBorders>
            <w:noWrap/>
            <w:vAlign w:val="bottom"/>
            <w:hideMark/>
          </w:tcPr>
          <w:p w14:paraId="09A879ED"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377" w:type="dxa"/>
            <w:tcBorders>
              <w:top w:val="single" w:sz="4" w:space="0" w:color="auto"/>
              <w:left w:val="nil"/>
              <w:bottom w:val="nil"/>
              <w:right w:val="nil"/>
            </w:tcBorders>
            <w:noWrap/>
            <w:vAlign w:val="bottom"/>
            <w:hideMark/>
          </w:tcPr>
          <w:p w14:paraId="1F5A3485"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c>
          <w:tcPr>
            <w:tcW w:w="1798" w:type="dxa"/>
            <w:tcBorders>
              <w:top w:val="single" w:sz="4" w:space="0" w:color="auto"/>
              <w:left w:val="nil"/>
              <w:bottom w:val="nil"/>
              <w:right w:val="nil"/>
            </w:tcBorders>
            <w:noWrap/>
            <w:vAlign w:val="bottom"/>
            <w:hideMark/>
          </w:tcPr>
          <w:p w14:paraId="629D875D" w14:textId="77777777" w:rsidR="00821732" w:rsidRPr="00C223C3" w:rsidRDefault="00821732"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821732" w:rsidRPr="00C223C3" w14:paraId="1DEEFB72" w14:textId="77777777" w:rsidTr="00E37B05">
        <w:trPr>
          <w:trHeight w:val="237"/>
          <w:jc w:val="center"/>
        </w:trPr>
        <w:tc>
          <w:tcPr>
            <w:tcW w:w="3425" w:type="dxa"/>
            <w:tcBorders>
              <w:top w:val="nil"/>
              <w:left w:val="nil"/>
              <w:bottom w:val="nil"/>
              <w:right w:val="nil"/>
            </w:tcBorders>
            <w:noWrap/>
            <w:vAlign w:val="bottom"/>
            <w:hideMark/>
          </w:tcPr>
          <w:p w14:paraId="648527F6" w14:textId="643D5F66" w:rsidR="00821732" w:rsidRPr="00C223C3" w:rsidRDefault="00046214" w:rsidP="00E37B05">
            <w:pPr>
              <w:rPr>
                <w:rFonts w:ascii="Arial" w:hAnsi="Arial" w:cs="Arial"/>
                <w:color w:val="000000" w:themeColor="text1"/>
                <w:lang w:eastAsia="pt-BR"/>
              </w:rPr>
            </w:pPr>
            <w:r w:rsidRPr="00C223C3">
              <w:rPr>
                <w:rFonts w:ascii="Arial" w:hAnsi="Arial" w:cs="Arial"/>
                <w:color w:val="000000" w:themeColor="text1"/>
                <w:lang w:eastAsia="pt-BR"/>
              </w:rPr>
              <w:t>Cabergoline/Bromocriptine</w:t>
            </w:r>
          </w:p>
        </w:tc>
        <w:tc>
          <w:tcPr>
            <w:tcW w:w="1182" w:type="dxa"/>
            <w:tcBorders>
              <w:top w:val="nil"/>
              <w:left w:val="nil"/>
              <w:bottom w:val="nil"/>
              <w:right w:val="nil"/>
            </w:tcBorders>
            <w:noWrap/>
            <w:vAlign w:val="bottom"/>
            <w:hideMark/>
          </w:tcPr>
          <w:p w14:paraId="635B04D2"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7,6</w:t>
            </w:r>
          </w:p>
        </w:tc>
        <w:tc>
          <w:tcPr>
            <w:tcW w:w="1329" w:type="dxa"/>
            <w:tcBorders>
              <w:top w:val="nil"/>
              <w:left w:val="nil"/>
              <w:bottom w:val="nil"/>
              <w:right w:val="nil"/>
            </w:tcBorders>
            <w:noWrap/>
            <w:vAlign w:val="bottom"/>
            <w:hideMark/>
          </w:tcPr>
          <w:p w14:paraId="35D4E12E"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377" w:type="dxa"/>
            <w:tcBorders>
              <w:top w:val="nil"/>
              <w:left w:val="nil"/>
              <w:bottom w:val="nil"/>
              <w:right w:val="nil"/>
            </w:tcBorders>
            <w:noWrap/>
            <w:vAlign w:val="bottom"/>
            <w:hideMark/>
          </w:tcPr>
          <w:p w14:paraId="42CF62F9"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15</w:t>
            </w:r>
          </w:p>
        </w:tc>
        <w:tc>
          <w:tcPr>
            <w:tcW w:w="1798" w:type="dxa"/>
            <w:vMerge w:val="restart"/>
            <w:tcBorders>
              <w:top w:val="nil"/>
              <w:left w:val="nil"/>
              <w:bottom w:val="single" w:sz="8" w:space="0" w:color="000000"/>
              <w:right w:val="nil"/>
            </w:tcBorders>
            <w:vAlign w:val="center"/>
            <w:hideMark/>
          </w:tcPr>
          <w:p w14:paraId="2914CC51" w14:textId="77777777" w:rsidR="00821732" w:rsidRPr="00C223C3" w:rsidRDefault="00821732" w:rsidP="00E37B05">
            <w:pPr>
              <w:jc w:val="center"/>
              <w:rPr>
                <w:rFonts w:ascii="Arial" w:hAnsi="Arial" w:cs="Arial"/>
                <w:color w:val="000000" w:themeColor="text1"/>
                <w:lang w:eastAsia="pt-BR"/>
              </w:rPr>
            </w:pPr>
            <w:proofErr w:type="spellStart"/>
            <w:r w:rsidRPr="00C223C3">
              <w:rPr>
                <w:rFonts w:ascii="Arial" w:hAnsi="Arial" w:cs="Arial"/>
                <w:color w:val="000000" w:themeColor="text1"/>
                <w:lang w:eastAsia="pt-BR"/>
              </w:rPr>
              <w:t>Hc</w:t>
            </w:r>
            <w:proofErr w:type="spellEnd"/>
            <w:r w:rsidRPr="00C223C3">
              <w:rPr>
                <w:rFonts w:ascii="Arial" w:hAnsi="Arial" w:cs="Arial"/>
                <w:color w:val="000000" w:themeColor="text1"/>
                <w:lang w:eastAsia="pt-BR"/>
              </w:rPr>
              <w:t xml:space="preserve"> = 4,</w:t>
            </w:r>
            <w:proofErr w:type="gramStart"/>
            <w:r w:rsidRPr="00C223C3">
              <w:rPr>
                <w:rFonts w:ascii="Arial" w:hAnsi="Arial" w:cs="Arial"/>
                <w:color w:val="000000" w:themeColor="text1"/>
                <w:lang w:eastAsia="pt-BR"/>
              </w:rPr>
              <w:t xml:space="preserve">0;   </w:t>
            </w:r>
            <w:proofErr w:type="gramEnd"/>
            <w:r w:rsidRPr="00C223C3">
              <w:rPr>
                <w:rFonts w:ascii="Arial" w:hAnsi="Arial" w:cs="Arial"/>
                <w:color w:val="000000" w:themeColor="text1"/>
                <w:lang w:eastAsia="pt-BR"/>
              </w:rPr>
              <w:t xml:space="preserve">               p = 0,25</w:t>
            </w:r>
          </w:p>
        </w:tc>
      </w:tr>
      <w:tr w:rsidR="00821732" w:rsidRPr="00C223C3" w14:paraId="5611529D" w14:textId="77777777" w:rsidTr="00E37B05">
        <w:trPr>
          <w:trHeight w:val="237"/>
          <w:jc w:val="center"/>
        </w:trPr>
        <w:tc>
          <w:tcPr>
            <w:tcW w:w="3425" w:type="dxa"/>
            <w:tcBorders>
              <w:top w:val="nil"/>
              <w:left w:val="nil"/>
              <w:bottom w:val="nil"/>
              <w:right w:val="nil"/>
            </w:tcBorders>
            <w:noWrap/>
            <w:vAlign w:val="bottom"/>
            <w:hideMark/>
          </w:tcPr>
          <w:p w14:paraId="74310AD8" w14:textId="5441E47D" w:rsidR="00821732" w:rsidRPr="00C223C3" w:rsidRDefault="00046214" w:rsidP="00E37B05">
            <w:pPr>
              <w:rPr>
                <w:rFonts w:ascii="Arial" w:hAnsi="Arial" w:cs="Arial"/>
                <w:color w:val="000000" w:themeColor="text1"/>
                <w:lang w:eastAsia="pt-BR"/>
              </w:rPr>
            </w:pPr>
            <w:r w:rsidRPr="00C223C3">
              <w:rPr>
                <w:rFonts w:ascii="Arial" w:hAnsi="Arial" w:cs="Arial"/>
                <w:color w:val="000000" w:themeColor="text1"/>
                <w:lang w:eastAsia="pt-BR"/>
              </w:rPr>
              <w:t>Octreotide/</w:t>
            </w:r>
            <w:proofErr w:type="spellStart"/>
            <w:r w:rsidRPr="00C223C3">
              <w:rPr>
                <w:rFonts w:ascii="Arial" w:hAnsi="Arial" w:cs="Arial"/>
                <w:color w:val="000000" w:themeColor="text1"/>
                <w:lang w:eastAsia="pt-BR"/>
              </w:rPr>
              <w:t>Lanreotide</w:t>
            </w:r>
            <w:proofErr w:type="spellEnd"/>
          </w:p>
        </w:tc>
        <w:tc>
          <w:tcPr>
            <w:tcW w:w="1182" w:type="dxa"/>
            <w:tcBorders>
              <w:top w:val="nil"/>
              <w:left w:val="nil"/>
              <w:bottom w:val="nil"/>
              <w:right w:val="nil"/>
            </w:tcBorders>
            <w:noWrap/>
            <w:vAlign w:val="bottom"/>
            <w:hideMark/>
          </w:tcPr>
          <w:p w14:paraId="1879F6C9"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3,3</w:t>
            </w:r>
          </w:p>
        </w:tc>
        <w:tc>
          <w:tcPr>
            <w:tcW w:w="1329" w:type="dxa"/>
            <w:tcBorders>
              <w:top w:val="nil"/>
              <w:left w:val="nil"/>
              <w:bottom w:val="nil"/>
              <w:right w:val="nil"/>
            </w:tcBorders>
            <w:noWrap/>
            <w:vAlign w:val="bottom"/>
            <w:hideMark/>
          </w:tcPr>
          <w:p w14:paraId="19FD294E"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377" w:type="dxa"/>
            <w:tcBorders>
              <w:top w:val="nil"/>
              <w:left w:val="nil"/>
              <w:bottom w:val="nil"/>
              <w:right w:val="nil"/>
            </w:tcBorders>
            <w:noWrap/>
            <w:vAlign w:val="bottom"/>
            <w:hideMark/>
          </w:tcPr>
          <w:p w14:paraId="2026563A"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6,6</w:t>
            </w:r>
          </w:p>
        </w:tc>
        <w:tc>
          <w:tcPr>
            <w:tcW w:w="1798" w:type="dxa"/>
            <w:vMerge/>
            <w:tcBorders>
              <w:top w:val="nil"/>
              <w:left w:val="nil"/>
              <w:bottom w:val="single" w:sz="8" w:space="0" w:color="000000"/>
              <w:right w:val="nil"/>
            </w:tcBorders>
            <w:vAlign w:val="center"/>
            <w:hideMark/>
          </w:tcPr>
          <w:p w14:paraId="79C6AE15" w14:textId="77777777" w:rsidR="00821732" w:rsidRPr="00C223C3" w:rsidRDefault="00821732" w:rsidP="00E37B05">
            <w:pPr>
              <w:rPr>
                <w:rFonts w:ascii="Arial" w:hAnsi="Arial" w:cs="Arial"/>
                <w:color w:val="000000" w:themeColor="text1"/>
                <w:lang w:eastAsia="pt-BR"/>
              </w:rPr>
            </w:pPr>
          </w:p>
        </w:tc>
      </w:tr>
      <w:tr w:rsidR="00821732" w:rsidRPr="00C223C3" w14:paraId="71B1C757" w14:textId="77777777" w:rsidTr="00E37B05">
        <w:trPr>
          <w:trHeight w:val="237"/>
          <w:jc w:val="center"/>
        </w:trPr>
        <w:tc>
          <w:tcPr>
            <w:tcW w:w="3425" w:type="dxa"/>
            <w:tcBorders>
              <w:top w:val="nil"/>
              <w:left w:val="nil"/>
              <w:bottom w:val="nil"/>
              <w:right w:val="nil"/>
            </w:tcBorders>
            <w:noWrap/>
            <w:vAlign w:val="bottom"/>
            <w:hideMark/>
          </w:tcPr>
          <w:p w14:paraId="719B3BF5" w14:textId="7CF312A7" w:rsidR="00821732"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Other</w:t>
            </w:r>
          </w:p>
        </w:tc>
        <w:tc>
          <w:tcPr>
            <w:tcW w:w="1182" w:type="dxa"/>
            <w:tcBorders>
              <w:top w:val="nil"/>
              <w:left w:val="nil"/>
              <w:bottom w:val="nil"/>
              <w:right w:val="nil"/>
            </w:tcBorders>
            <w:noWrap/>
            <w:vAlign w:val="bottom"/>
            <w:hideMark/>
          </w:tcPr>
          <w:p w14:paraId="6B58078F"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329" w:type="dxa"/>
            <w:tcBorders>
              <w:top w:val="nil"/>
              <w:left w:val="nil"/>
              <w:bottom w:val="nil"/>
              <w:right w:val="nil"/>
            </w:tcBorders>
            <w:noWrap/>
            <w:vAlign w:val="bottom"/>
            <w:hideMark/>
          </w:tcPr>
          <w:p w14:paraId="2B26E5F9"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377" w:type="dxa"/>
            <w:tcBorders>
              <w:top w:val="nil"/>
              <w:left w:val="nil"/>
              <w:bottom w:val="nil"/>
              <w:right w:val="nil"/>
            </w:tcBorders>
            <w:noWrap/>
            <w:vAlign w:val="bottom"/>
            <w:hideMark/>
          </w:tcPr>
          <w:p w14:paraId="0E514007"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798" w:type="dxa"/>
            <w:vMerge/>
            <w:tcBorders>
              <w:top w:val="nil"/>
              <w:left w:val="nil"/>
              <w:bottom w:val="single" w:sz="8" w:space="0" w:color="000000"/>
              <w:right w:val="nil"/>
            </w:tcBorders>
            <w:vAlign w:val="center"/>
            <w:hideMark/>
          </w:tcPr>
          <w:p w14:paraId="5E11F35B" w14:textId="77777777" w:rsidR="00821732" w:rsidRPr="00C223C3" w:rsidRDefault="00821732" w:rsidP="00E37B05">
            <w:pPr>
              <w:rPr>
                <w:rFonts w:ascii="Arial" w:hAnsi="Arial" w:cs="Arial"/>
                <w:color w:val="000000" w:themeColor="text1"/>
                <w:lang w:eastAsia="pt-BR"/>
              </w:rPr>
            </w:pPr>
          </w:p>
        </w:tc>
      </w:tr>
      <w:tr w:rsidR="00821732" w:rsidRPr="00C223C3" w14:paraId="619290CF" w14:textId="77777777" w:rsidTr="00E37B05">
        <w:trPr>
          <w:trHeight w:val="248"/>
          <w:jc w:val="center"/>
        </w:trPr>
        <w:tc>
          <w:tcPr>
            <w:tcW w:w="3425" w:type="dxa"/>
            <w:tcBorders>
              <w:top w:val="nil"/>
              <w:left w:val="nil"/>
              <w:bottom w:val="single" w:sz="18" w:space="0" w:color="auto"/>
              <w:right w:val="nil"/>
            </w:tcBorders>
            <w:noWrap/>
            <w:vAlign w:val="bottom"/>
            <w:hideMark/>
          </w:tcPr>
          <w:p w14:paraId="4C395A47" w14:textId="4058F5CB" w:rsidR="00821732" w:rsidRPr="00C223C3" w:rsidRDefault="00B860BE" w:rsidP="00E37B05">
            <w:pPr>
              <w:rPr>
                <w:rFonts w:ascii="Arial" w:hAnsi="Arial" w:cs="Arial"/>
                <w:color w:val="000000" w:themeColor="text1"/>
                <w:lang w:val="pt-BR" w:eastAsia="pt-BR"/>
              </w:rPr>
            </w:pPr>
            <w:r w:rsidRPr="00C223C3">
              <w:rPr>
                <w:rFonts w:ascii="Arial" w:hAnsi="Arial" w:cs="Arial"/>
                <w:color w:val="000000" w:themeColor="text1"/>
                <w:lang w:val="pt-BR" w:eastAsia="pt-BR"/>
              </w:rPr>
              <w:t>No clinical treatment</w:t>
            </w:r>
          </w:p>
        </w:tc>
        <w:tc>
          <w:tcPr>
            <w:tcW w:w="1182" w:type="dxa"/>
            <w:tcBorders>
              <w:top w:val="nil"/>
              <w:left w:val="nil"/>
              <w:bottom w:val="single" w:sz="18" w:space="0" w:color="auto"/>
              <w:right w:val="nil"/>
            </w:tcBorders>
            <w:noWrap/>
            <w:vAlign w:val="bottom"/>
            <w:hideMark/>
          </w:tcPr>
          <w:p w14:paraId="4F49316E"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7,7</w:t>
            </w:r>
          </w:p>
        </w:tc>
        <w:tc>
          <w:tcPr>
            <w:tcW w:w="1329" w:type="dxa"/>
            <w:tcBorders>
              <w:top w:val="nil"/>
              <w:left w:val="nil"/>
              <w:bottom w:val="single" w:sz="18" w:space="0" w:color="auto"/>
              <w:right w:val="nil"/>
            </w:tcBorders>
            <w:noWrap/>
            <w:vAlign w:val="bottom"/>
            <w:hideMark/>
          </w:tcPr>
          <w:p w14:paraId="45FA286B"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0</w:t>
            </w:r>
          </w:p>
        </w:tc>
        <w:tc>
          <w:tcPr>
            <w:tcW w:w="1377" w:type="dxa"/>
            <w:tcBorders>
              <w:top w:val="nil"/>
              <w:left w:val="nil"/>
              <w:bottom w:val="single" w:sz="18" w:space="0" w:color="auto"/>
              <w:right w:val="nil"/>
            </w:tcBorders>
            <w:noWrap/>
            <w:vAlign w:val="bottom"/>
            <w:hideMark/>
          </w:tcPr>
          <w:p w14:paraId="28ED7A72" w14:textId="77777777" w:rsidR="00821732" w:rsidRPr="00C223C3" w:rsidRDefault="00821732" w:rsidP="00E37B05">
            <w:pPr>
              <w:jc w:val="center"/>
              <w:rPr>
                <w:rFonts w:ascii="Arial" w:hAnsi="Arial" w:cs="Arial"/>
                <w:color w:val="000000" w:themeColor="text1"/>
                <w:lang w:eastAsia="pt-BR"/>
              </w:rPr>
            </w:pPr>
            <w:r w:rsidRPr="00C223C3">
              <w:rPr>
                <w:rFonts w:ascii="Arial" w:hAnsi="Arial" w:cs="Arial"/>
                <w:color w:val="000000" w:themeColor="text1"/>
                <w:lang w:eastAsia="pt-BR"/>
              </w:rPr>
              <w:t>25</w:t>
            </w:r>
          </w:p>
        </w:tc>
        <w:tc>
          <w:tcPr>
            <w:tcW w:w="1798" w:type="dxa"/>
            <w:vMerge/>
            <w:tcBorders>
              <w:top w:val="nil"/>
              <w:left w:val="nil"/>
              <w:bottom w:val="single" w:sz="18" w:space="0" w:color="auto"/>
              <w:right w:val="nil"/>
            </w:tcBorders>
            <w:vAlign w:val="center"/>
            <w:hideMark/>
          </w:tcPr>
          <w:p w14:paraId="397F3EA2" w14:textId="77777777" w:rsidR="00821732" w:rsidRPr="00C223C3" w:rsidRDefault="00821732" w:rsidP="00E37B05">
            <w:pPr>
              <w:rPr>
                <w:rFonts w:ascii="Arial" w:hAnsi="Arial" w:cs="Arial"/>
                <w:color w:val="000000" w:themeColor="text1"/>
                <w:lang w:eastAsia="pt-BR"/>
              </w:rPr>
            </w:pPr>
          </w:p>
        </w:tc>
      </w:tr>
    </w:tbl>
    <w:p w14:paraId="249638B9" w14:textId="77777777" w:rsidR="00821732" w:rsidRPr="00C223C3" w:rsidRDefault="00821732" w:rsidP="00821732">
      <w:pPr>
        <w:pStyle w:val="Body"/>
        <w:spacing w:after="0" w:line="360" w:lineRule="auto"/>
        <w:jc w:val="center"/>
        <w:rPr>
          <w:rFonts w:ascii="Arial" w:hAnsi="Arial" w:cs="Arial"/>
          <w:color w:val="000000" w:themeColor="text1"/>
          <w:lang w:val="pt-BR"/>
        </w:rPr>
      </w:pPr>
      <w:r w:rsidRPr="00C223C3">
        <w:rPr>
          <w:rFonts w:ascii="Arial" w:hAnsi="Arial" w:cs="Arial"/>
          <w:color w:val="000000" w:themeColor="text1"/>
          <w:lang w:val="pt-BR"/>
        </w:rPr>
        <w:lastRenderedPageBreak/>
        <w:t>Source: Authors, 2024.</w:t>
      </w:r>
    </w:p>
    <w:p w14:paraId="053DE7C0" w14:textId="77777777" w:rsidR="00316521" w:rsidRPr="00C223C3" w:rsidRDefault="00316521" w:rsidP="00E47D39">
      <w:pPr>
        <w:pStyle w:val="Body"/>
        <w:spacing w:after="0" w:line="360" w:lineRule="auto"/>
        <w:rPr>
          <w:rFonts w:ascii="Arial" w:hAnsi="Arial" w:cs="Arial"/>
          <w:b/>
          <w:bCs/>
          <w:color w:val="000000" w:themeColor="text1"/>
        </w:rPr>
      </w:pPr>
    </w:p>
    <w:p w14:paraId="230CE56E" w14:textId="77777777" w:rsidR="00CF5474" w:rsidRPr="00C223C3" w:rsidRDefault="00FD10E8"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Statistically significant associations were identified between pathology and the type of clinical treatment instituted (χ² = 30.0; p &lt; 0.001), as well as between </w:t>
      </w:r>
      <w:proofErr w:type="spellStart"/>
      <w:r w:rsidRPr="00C223C3">
        <w:rPr>
          <w:rFonts w:ascii="Arial" w:hAnsi="Arial" w:cs="Arial"/>
          <w:color w:val="000000" w:themeColor="text1"/>
        </w:rPr>
        <w:t>subpathology</w:t>
      </w:r>
      <w:proofErr w:type="spellEnd"/>
      <w:r w:rsidRPr="00C223C3">
        <w:rPr>
          <w:rFonts w:ascii="Arial" w:hAnsi="Arial" w:cs="Arial"/>
          <w:color w:val="000000" w:themeColor="text1"/>
        </w:rPr>
        <w:t xml:space="preserve"> and the type of clinical treatment (χ² = 62.7; p &lt; 0.001), as shown in Table 3. These findings are consistent with clinical practice, as different pituitary disorders and their subtypes require specific therapeutic approaches.</w:t>
      </w:r>
    </w:p>
    <w:p w14:paraId="00D5B2DB" w14:textId="77777777" w:rsidR="00CF5474" w:rsidRPr="00C223C3" w:rsidRDefault="00FD10E8"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Most patients with prolactinoma were treated clinically, in agreement with the literature, which identifies dopamine agonists (cabergoline or bromocriptine) as first-line therapy because of their high efficacy and favorable safety profile (</w:t>
      </w:r>
      <w:proofErr w:type="spellStart"/>
      <w:r w:rsidRPr="00C223C3">
        <w:rPr>
          <w:rFonts w:ascii="Arial" w:hAnsi="Arial" w:cs="Arial"/>
          <w:color w:val="000000" w:themeColor="text1"/>
        </w:rPr>
        <w:t>Wildemberg</w:t>
      </w:r>
      <w:proofErr w:type="spellEnd"/>
      <w:r w:rsidRPr="00C223C3">
        <w:rPr>
          <w:rFonts w:ascii="Arial" w:hAnsi="Arial" w:cs="Arial"/>
          <w:color w:val="000000" w:themeColor="text1"/>
        </w:rPr>
        <w:t xml:space="preserve">, </w:t>
      </w:r>
      <w:proofErr w:type="spellStart"/>
      <w:r w:rsidRPr="00C223C3">
        <w:rPr>
          <w:rFonts w:ascii="Arial" w:hAnsi="Arial" w:cs="Arial"/>
          <w:color w:val="000000" w:themeColor="text1"/>
        </w:rPr>
        <w:t>Fialho</w:t>
      </w:r>
      <w:proofErr w:type="spellEnd"/>
      <w:r w:rsidRPr="00C223C3">
        <w:rPr>
          <w:rFonts w:ascii="Arial" w:hAnsi="Arial" w:cs="Arial"/>
          <w:color w:val="000000" w:themeColor="text1"/>
        </w:rPr>
        <w:t>, &amp; Gadelha, 2021). The primary goals of pharmacological treatment are tumor shrinkage and normalization of serum prolactin levels, particularly in macroprolactinomas (≥ 10 mm) (</w:t>
      </w:r>
      <w:proofErr w:type="spellStart"/>
      <w:r w:rsidRPr="00C223C3">
        <w:rPr>
          <w:rFonts w:ascii="Arial" w:hAnsi="Arial" w:cs="Arial"/>
          <w:color w:val="000000" w:themeColor="text1"/>
        </w:rPr>
        <w:t>Kuraba</w:t>
      </w:r>
      <w:proofErr w:type="spellEnd"/>
      <w:r w:rsidRPr="00C223C3">
        <w:rPr>
          <w:rFonts w:ascii="Arial" w:hAnsi="Arial" w:cs="Arial"/>
          <w:color w:val="000000" w:themeColor="text1"/>
        </w:rPr>
        <w:t>, 2022).</w:t>
      </w:r>
    </w:p>
    <w:p w14:paraId="4146D168" w14:textId="77777777" w:rsidR="00CF5474" w:rsidRPr="00C223C3" w:rsidRDefault="00FD10E8"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Conversely, some patients with </w:t>
      </w:r>
      <w:proofErr w:type="spellStart"/>
      <w:r w:rsidRPr="00C223C3">
        <w:rPr>
          <w:rFonts w:ascii="Arial" w:hAnsi="Arial" w:cs="Arial"/>
          <w:color w:val="000000" w:themeColor="text1"/>
        </w:rPr>
        <w:t>microprolactinomas</w:t>
      </w:r>
      <w:proofErr w:type="spellEnd"/>
      <w:r w:rsidRPr="00C223C3">
        <w:rPr>
          <w:rFonts w:ascii="Arial" w:hAnsi="Arial" w:cs="Arial"/>
          <w:color w:val="000000" w:themeColor="text1"/>
        </w:rPr>
        <w:t xml:space="preserve"> (&lt; 10 mm) did not receive treatment, which can be attributed to the frequently asymptomatic nature of these lesions and the absence of clinically significant hormonal abnormalities, thus supporting a watchful waiting strategy (</w:t>
      </w:r>
      <w:proofErr w:type="spellStart"/>
      <w:r w:rsidRPr="00C223C3">
        <w:rPr>
          <w:rFonts w:ascii="Arial" w:hAnsi="Arial" w:cs="Arial"/>
          <w:color w:val="000000" w:themeColor="text1"/>
        </w:rPr>
        <w:t>Kuraba</w:t>
      </w:r>
      <w:proofErr w:type="spellEnd"/>
      <w:r w:rsidRPr="00C223C3">
        <w:rPr>
          <w:rFonts w:ascii="Arial" w:hAnsi="Arial" w:cs="Arial"/>
          <w:color w:val="000000" w:themeColor="text1"/>
        </w:rPr>
        <w:t>, 2022). In addition, advanced age and the presence of multiple comorbidities influenced therapeutic decision-making, which is particularly relevant in this study, given a mean age of 44 years and patients as old as 81 years.</w:t>
      </w:r>
    </w:p>
    <w:p w14:paraId="57802B43" w14:textId="77777777" w:rsidR="00CF5474" w:rsidRPr="00C223C3" w:rsidRDefault="00FD10E8"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Regarding non-prolactinoma pituitary adenomas, transsphenoidal surgery is described as the preferred initial approach when intervention is indicated (Tritos &amp; Miller, 2023; </w:t>
      </w:r>
      <w:proofErr w:type="spellStart"/>
      <w:r w:rsidRPr="00C223C3">
        <w:rPr>
          <w:rFonts w:ascii="Arial" w:hAnsi="Arial" w:cs="Arial"/>
          <w:color w:val="000000" w:themeColor="text1"/>
        </w:rPr>
        <w:t>Fleseriu</w:t>
      </w:r>
      <w:proofErr w:type="spellEnd"/>
      <w:r w:rsidRPr="00C223C3">
        <w:rPr>
          <w:rFonts w:ascii="Arial" w:hAnsi="Arial" w:cs="Arial"/>
          <w:color w:val="000000" w:themeColor="text1"/>
        </w:rPr>
        <w:t xml:space="preserve"> et al., 2021). In the present study, the patient with Cushing’s syndrome underwent surgical treatment, in line with recommendations that consider surgery the first-line option for eliminating the source of endogenous hypercortisolism (</w:t>
      </w:r>
      <w:proofErr w:type="spellStart"/>
      <w:r w:rsidRPr="00C223C3">
        <w:rPr>
          <w:rFonts w:ascii="Arial" w:hAnsi="Arial" w:cs="Arial"/>
          <w:color w:val="000000" w:themeColor="text1"/>
        </w:rPr>
        <w:t>Reincke</w:t>
      </w:r>
      <w:proofErr w:type="spellEnd"/>
      <w:r w:rsidRPr="00C223C3">
        <w:rPr>
          <w:rFonts w:ascii="Arial" w:hAnsi="Arial" w:cs="Arial"/>
          <w:color w:val="000000" w:themeColor="text1"/>
        </w:rPr>
        <w:t xml:space="preserve"> &amp; </w:t>
      </w:r>
      <w:proofErr w:type="spellStart"/>
      <w:r w:rsidRPr="00C223C3">
        <w:rPr>
          <w:rFonts w:ascii="Arial" w:hAnsi="Arial" w:cs="Arial"/>
          <w:color w:val="000000" w:themeColor="text1"/>
        </w:rPr>
        <w:t>Fleseriu</w:t>
      </w:r>
      <w:proofErr w:type="spellEnd"/>
      <w:r w:rsidRPr="00C223C3">
        <w:rPr>
          <w:rFonts w:ascii="Arial" w:hAnsi="Arial" w:cs="Arial"/>
          <w:color w:val="000000" w:themeColor="text1"/>
        </w:rPr>
        <w:t>, 2023). However, information on postoperative follow-up was unavailable, possibly due to difficulties in accessing specialized care within the Unified Health System, which is recognized as a major barrier to comprehensive care (Farias et al., 2019).</w:t>
      </w:r>
    </w:p>
    <w:p w14:paraId="647AEFA6" w14:textId="619DFF71" w:rsidR="00CF5474" w:rsidRPr="00C223C3" w:rsidRDefault="00FD10E8"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With respect to acromegaly, different therapeutic approaches were observed, with one patient undergoing surgery and another managed clinically. This therapeutic heterogeneity reflects the literature, in which surgery is regarded as the only curative option, while somatostatin analogs and dopamine agonists may be used alone or as adjunctive therapies, depending on clinical characteristics and resource availability (Bollerslev, Heck, &amp; Olarescu, 2019). Limited availability of specialized surgical professionals may also have influenced treatment decisions; notably, both patients ultimately received clinical therapy.</w:t>
      </w:r>
    </w:p>
    <w:p w14:paraId="7CAFF15F" w14:textId="6C71CAB8" w:rsidR="00FD10E8" w:rsidRPr="00C223C3" w:rsidRDefault="00FD10E8"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The patient with a clinically nonfunctioning adenoma did not undergo specific treatment, possibly because the lesion was a pituitary incidentaloma identified in an asymptomatic individual, a scenario in which radiological surveillance alone is recommended (Vilar et al., 2000). Although evidence suggests that these adenomas may express dopamine and somatostatin receptors, allowing pharmacological or surgical interventions in selected cases, a watchful waiting approach is considered appropriate for asymptomatic presentations (Vargas-Ortega, Gonzalez-Virla, &amp; Romero-Gameros, 2023).</w:t>
      </w:r>
    </w:p>
    <w:p w14:paraId="06C5B5F2" w14:textId="77777777" w:rsidR="00316521" w:rsidRPr="00C223C3" w:rsidRDefault="00316521" w:rsidP="00E47D39">
      <w:pPr>
        <w:pStyle w:val="Body"/>
        <w:spacing w:after="0" w:line="360" w:lineRule="auto"/>
        <w:rPr>
          <w:rFonts w:ascii="Arial" w:hAnsi="Arial" w:cs="Arial"/>
          <w:color w:val="000000" w:themeColor="text1"/>
        </w:rPr>
      </w:pPr>
    </w:p>
    <w:p w14:paraId="2CB9CA63" w14:textId="1B8BB76C" w:rsidR="00B860BE" w:rsidRPr="00C223C3" w:rsidRDefault="00316521" w:rsidP="00B860BE">
      <w:pPr>
        <w:pStyle w:val="Body"/>
        <w:spacing w:after="0" w:line="360" w:lineRule="auto"/>
        <w:jc w:val="center"/>
        <w:rPr>
          <w:rFonts w:ascii="Arial" w:hAnsi="Arial" w:cs="Arial"/>
          <w:b/>
          <w:bCs/>
          <w:color w:val="000000" w:themeColor="text1"/>
        </w:rPr>
      </w:pPr>
      <w:r w:rsidRPr="00C223C3">
        <w:rPr>
          <w:rFonts w:ascii="Arial" w:hAnsi="Arial" w:cs="Arial"/>
          <w:b/>
          <w:bCs/>
          <w:color w:val="000000" w:themeColor="text1"/>
        </w:rPr>
        <w:t xml:space="preserve">Table 3. Association between gender, neuroendocrine disorders, and related treatments, </w:t>
      </w:r>
      <w:proofErr w:type="spellStart"/>
      <w:r w:rsidRPr="00C223C3">
        <w:rPr>
          <w:rFonts w:ascii="Arial" w:hAnsi="Arial" w:cs="Arial"/>
          <w:b/>
          <w:bCs/>
          <w:color w:val="000000" w:themeColor="text1"/>
        </w:rPr>
        <w:t>Chapecó</w:t>
      </w:r>
      <w:proofErr w:type="spellEnd"/>
      <w:r w:rsidRPr="00C223C3">
        <w:rPr>
          <w:rFonts w:ascii="Arial" w:hAnsi="Arial" w:cs="Arial"/>
          <w:b/>
          <w:bCs/>
          <w:color w:val="000000" w:themeColor="text1"/>
        </w:rPr>
        <w:t>/SC,</w:t>
      </w:r>
      <w:r w:rsidR="00C223C3" w:rsidRPr="00C223C3">
        <w:rPr>
          <w:rFonts w:ascii="Arial" w:hAnsi="Arial" w:cs="Arial"/>
          <w:b/>
          <w:bCs/>
          <w:color w:val="000000" w:themeColor="text1"/>
        </w:rPr>
        <w:t xml:space="preserve"> Brazil,</w:t>
      </w:r>
      <w:r w:rsidRPr="00C223C3">
        <w:rPr>
          <w:rFonts w:ascii="Arial" w:hAnsi="Arial" w:cs="Arial"/>
          <w:b/>
          <w:bCs/>
          <w:color w:val="000000" w:themeColor="text1"/>
        </w:rPr>
        <w:t xml:space="preserve"> 2024. *Statistical significance (p&lt; 0.001)</w:t>
      </w:r>
    </w:p>
    <w:tbl>
      <w:tblPr>
        <w:tblW w:w="9381" w:type="dxa"/>
        <w:tblCellMar>
          <w:left w:w="70" w:type="dxa"/>
          <w:right w:w="70" w:type="dxa"/>
        </w:tblCellMar>
        <w:tblLook w:val="04A0" w:firstRow="1" w:lastRow="0" w:firstColumn="1" w:lastColumn="0" w:noHBand="0" w:noVBand="1"/>
      </w:tblPr>
      <w:tblGrid>
        <w:gridCol w:w="2997"/>
        <w:gridCol w:w="140"/>
        <w:gridCol w:w="1215"/>
        <w:gridCol w:w="1056"/>
        <w:gridCol w:w="1282"/>
        <w:gridCol w:w="1058"/>
        <w:gridCol w:w="29"/>
        <w:gridCol w:w="1592"/>
        <w:gridCol w:w="12"/>
      </w:tblGrid>
      <w:tr w:rsidR="00B860BE" w:rsidRPr="00C223C3" w14:paraId="02285DBE" w14:textId="77777777" w:rsidTr="00E37B05">
        <w:trPr>
          <w:gridAfter w:val="1"/>
          <w:wAfter w:w="12" w:type="dxa"/>
          <w:trHeight w:val="271"/>
        </w:trPr>
        <w:tc>
          <w:tcPr>
            <w:tcW w:w="3137" w:type="dxa"/>
            <w:gridSpan w:val="2"/>
            <w:tcBorders>
              <w:top w:val="single" w:sz="18" w:space="0" w:color="auto"/>
              <w:left w:val="nil"/>
              <w:bottom w:val="nil"/>
              <w:right w:val="nil"/>
            </w:tcBorders>
            <w:noWrap/>
            <w:vAlign w:val="bottom"/>
            <w:hideMark/>
          </w:tcPr>
          <w:p w14:paraId="6E9608D0" w14:textId="06D52CC8" w:rsidR="00B860BE" w:rsidRPr="00C223C3" w:rsidRDefault="009B4EB8" w:rsidP="00E37B05">
            <w:pPr>
              <w:rPr>
                <w:rFonts w:ascii="Arial" w:hAnsi="Arial" w:cs="Arial"/>
                <w:b/>
                <w:bCs/>
                <w:color w:val="000000" w:themeColor="text1"/>
                <w:lang w:eastAsia="pt-BR"/>
              </w:rPr>
            </w:pPr>
            <w:r w:rsidRPr="00C223C3">
              <w:rPr>
                <w:rFonts w:ascii="Arial" w:hAnsi="Arial" w:cs="Arial"/>
                <w:b/>
                <w:bCs/>
                <w:color w:val="000000" w:themeColor="text1"/>
                <w:lang w:eastAsia="pt-BR"/>
              </w:rPr>
              <w:t>Variables</w:t>
            </w:r>
          </w:p>
        </w:tc>
        <w:tc>
          <w:tcPr>
            <w:tcW w:w="2271" w:type="dxa"/>
            <w:gridSpan w:val="2"/>
            <w:tcBorders>
              <w:top w:val="single" w:sz="18" w:space="0" w:color="auto"/>
              <w:left w:val="nil"/>
              <w:bottom w:val="nil"/>
              <w:right w:val="nil"/>
            </w:tcBorders>
            <w:noWrap/>
            <w:vAlign w:val="bottom"/>
            <w:hideMark/>
          </w:tcPr>
          <w:p w14:paraId="0CDD0409" w14:textId="77777777" w:rsidR="00B860BE" w:rsidRPr="00C223C3" w:rsidRDefault="00B860BE" w:rsidP="00E37B05">
            <w:pPr>
              <w:rPr>
                <w:rFonts w:ascii="Arial" w:hAnsi="Arial" w:cs="Arial"/>
                <w:b/>
                <w:bCs/>
                <w:color w:val="000000" w:themeColor="text1"/>
                <w:lang w:eastAsia="pt-BR"/>
              </w:rPr>
            </w:pPr>
          </w:p>
        </w:tc>
        <w:tc>
          <w:tcPr>
            <w:tcW w:w="2340" w:type="dxa"/>
            <w:gridSpan w:val="2"/>
            <w:tcBorders>
              <w:top w:val="single" w:sz="18" w:space="0" w:color="auto"/>
              <w:left w:val="nil"/>
              <w:bottom w:val="nil"/>
              <w:right w:val="nil"/>
            </w:tcBorders>
            <w:noWrap/>
            <w:vAlign w:val="bottom"/>
            <w:hideMark/>
          </w:tcPr>
          <w:p w14:paraId="15F0731C" w14:textId="77777777" w:rsidR="00B860BE" w:rsidRPr="00C223C3" w:rsidRDefault="00B860BE" w:rsidP="00E37B05">
            <w:pPr>
              <w:jc w:val="center"/>
              <w:rPr>
                <w:rFonts w:ascii="Arial" w:hAnsi="Arial" w:cs="Arial"/>
                <w:color w:val="000000" w:themeColor="text1"/>
                <w:lang w:eastAsia="pt-BR"/>
              </w:rPr>
            </w:pPr>
          </w:p>
        </w:tc>
        <w:tc>
          <w:tcPr>
            <w:tcW w:w="1621" w:type="dxa"/>
            <w:gridSpan w:val="2"/>
            <w:tcBorders>
              <w:top w:val="single" w:sz="18" w:space="0" w:color="auto"/>
              <w:left w:val="nil"/>
              <w:bottom w:val="nil"/>
              <w:right w:val="nil"/>
            </w:tcBorders>
            <w:noWrap/>
            <w:vAlign w:val="bottom"/>
            <w:hideMark/>
          </w:tcPr>
          <w:p w14:paraId="447CC899" w14:textId="77777777" w:rsidR="00B860BE" w:rsidRPr="00C223C3" w:rsidRDefault="00B860BE" w:rsidP="00E37B05">
            <w:pPr>
              <w:jc w:val="center"/>
              <w:rPr>
                <w:rFonts w:ascii="Arial" w:hAnsi="Arial" w:cs="Arial"/>
                <w:color w:val="000000" w:themeColor="text1"/>
                <w:lang w:eastAsia="pt-BR"/>
              </w:rPr>
            </w:pPr>
          </w:p>
        </w:tc>
      </w:tr>
      <w:tr w:rsidR="001B5D7F" w:rsidRPr="00C223C3" w14:paraId="36349A60" w14:textId="77777777" w:rsidTr="00E37B05">
        <w:trPr>
          <w:gridAfter w:val="1"/>
          <w:wAfter w:w="12" w:type="dxa"/>
          <w:trHeight w:val="271"/>
        </w:trPr>
        <w:tc>
          <w:tcPr>
            <w:tcW w:w="3137" w:type="dxa"/>
            <w:gridSpan w:val="2"/>
            <w:tcBorders>
              <w:top w:val="single" w:sz="4" w:space="0" w:color="auto"/>
              <w:left w:val="nil"/>
              <w:bottom w:val="single" w:sz="4" w:space="0" w:color="auto"/>
              <w:right w:val="nil"/>
            </w:tcBorders>
            <w:noWrap/>
            <w:hideMark/>
          </w:tcPr>
          <w:p w14:paraId="61A0F26D" w14:textId="78608FD6" w:rsidR="001B5D7F" w:rsidRPr="00C223C3" w:rsidRDefault="001B5D7F" w:rsidP="001B5D7F">
            <w:pPr>
              <w:rPr>
                <w:rFonts w:ascii="Arial" w:hAnsi="Arial" w:cs="Arial"/>
                <w:b/>
                <w:bCs/>
                <w:color w:val="000000" w:themeColor="text1"/>
                <w:lang w:eastAsia="pt-BR"/>
              </w:rPr>
            </w:pPr>
            <w:r w:rsidRPr="00C223C3">
              <w:rPr>
                <w:rFonts w:ascii="Arial" w:hAnsi="Arial" w:cs="Arial"/>
                <w:b/>
                <w:bCs/>
                <w:color w:val="000000" w:themeColor="text1"/>
              </w:rPr>
              <w:t>Sex</w:t>
            </w:r>
            <w:r w:rsidRPr="00C223C3">
              <w:rPr>
                <w:rFonts w:ascii="Arial" w:hAnsi="Arial" w:cs="Arial"/>
                <w:b/>
                <w:bCs/>
                <w:color w:val="000000" w:themeColor="text1"/>
              </w:rPr>
              <w:t> </w:t>
            </w:r>
          </w:p>
        </w:tc>
        <w:tc>
          <w:tcPr>
            <w:tcW w:w="2271" w:type="dxa"/>
            <w:gridSpan w:val="2"/>
            <w:tcBorders>
              <w:top w:val="single" w:sz="4" w:space="0" w:color="auto"/>
              <w:left w:val="nil"/>
              <w:bottom w:val="single" w:sz="4" w:space="0" w:color="auto"/>
              <w:right w:val="nil"/>
            </w:tcBorders>
            <w:noWrap/>
            <w:hideMark/>
          </w:tcPr>
          <w:p w14:paraId="76812679" w14:textId="63DA9C49" w:rsidR="001B5D7F" w:rsidRPr="00C223C3" w:rsidRDefault="001B5D7F" w:rsidP="001B5D7F">
            <w:pPr>
              <w:jc w:val="center"/>
              <w:rPr>
                <w:rFonts w:ascii="Arial" w:hAnsi="Arial" w:cs="Arial"/>
                <w:b/>
                <w:bCs/>
                <w:color w:val="000000" w:themeColor="text1"/>
                <w:lang w:eastAsia="pt-BR"/>
              </w:rPr>
            </w:pPr>
            <w:r w:rsidRPr="00C223C3">
              <w:rPr>
                <w:rFonts w:ascii="Arial" w:hAnsi="Arial" w:cs="Arial"/>
                <w:b/>
                <w:bCs/>
                <w:color w:val="000000" w:themeColor="text1"/>
              </w:rPr>
              <w:t>Female</w:t>
            </w:r>
            <w:r w:rsidRPr="00C223C3">
              <w:rPr>
                <w:rFonts w:ascii="Arial" w:hAnsi="Arial" w:cs="Arial"/>
                <w:b/>
                <w:bCs/>
                <w:color w:val="000000" w:themeColor="text1"/>
              </w:rPr>
              <w:t> </w:t>
            </w:r>
          </w:p>
        </w:tc>
        <w:tc>
          <w:tcPr>
            <w:tcW w:w="2340" w:type="dxa"/>
            <w:gridSpan w:val="2"/>
            <w:tcBorders>
              <w:top w:val="single" w:sz="4" w:space="0" w:color="auto"/>
              <w:left w:val="nil"/>
              <w:bottom w:val="single" w:sz="4" w:space="0" w:color="auto"/>
              <w:right w:val="nil"/>
            </w:tcBorders>
            <w:noWrap/>
            <w:hideMark/>
          </w:tcPr>
          <w:p w14:paraId="53ADEFDC" w14:textId="2DF551C8" w:rsidR="001B5D7F" w:rsidRPr="00C223C3" w:rsidRDefault="001B5D7F" w:rsidP="001B5D7F">
            <w:pPr>
              <w:jc w:val="center"/>
              <w:rPr>
                <w:rFonts w:ascii="Arial" w:hAnsi="Arial" w:cs="Arial"/>
                <w:b/>
                <w:bCs/>
                <w:color w:val="000000" w:themeColor="text1"/>
                <w:lang w:eastAsia="pt-BR"/>
              </w:rPr>
            </w:pPr>
            <w:r w:rsidRPr="00C223C3">
              <w:rPr>
                <w:rFonts w:ascii="Arial" w:hAnsi="Arial" w:cs="Arial"/>
                <w:b/>
                <w:bCs/>
                <w:color w:val="000000" w:themeColor="text1"/>
              </w:rPr>
              <w:t>Male</w:t>
            </w:r>
            <w:r w:rsidRPr="00C223C3">
              <w:rPr>
                <w:rFonts w:ascii="Arial" w:hAnsi="Arial" w:cs="Arial"/>
                <w:b/>
                <w:bCs/>
                <w:color w:val="000000" w:themeColor="text1"/>
              </w:rPr>
              <w:t> </w:t>
            </w:r>
          </w:p>
        </w:tc>
        <w:tc>
          <w:tcPr>
            <w:tcW w:w="1621" w:type="dxa"/>
            <w:gridSpan w:val="2"/>
            <w:tcBorders>
              <w:top w:val="single" w:sz="4" w:space="0" w:color="auto"/>
              <w:left w:val="nil"/>
              <w:bottom w:val="single" w:sz="4" w:space="0" w:color="auto"/>
              <w:right w:val="nil"/>
            </w:tcBorders>
            <w:noWrap/>
            <w:hideMark/>
          </w:tcPr>
          <w:p w14:paraId="52D7A728" w14:textId="374F25DF" w:rsidR="001B5D7F" w:rsidRPr="00C223C3" w:rsidRDefault="001B5D7F" w:rsidP="001B5D7F">
            <w:pPr>
              <w:jc w:val="center"/>
              <w:rPr>
                <w:rFonts w:ascii="Arial" w:hAnsi="Arial" w:cs="Arial"/>
                <w:b/>
                <w:bCs/>
                <w:color w:val="000000" w:themeColor="text1"/>
                <w:lang w:eastAsia="pt-BR"/>
              </w:rPr>
            </w:pPr>
            <w:r w:rsidRPr="00C223C3">
              <w:rPr>
                <w:rFonts w:ascii="Arial" w:hAnsi="Arial" w:cs="Arial"/>
                <w:b/>
                <w:bCs/>
                <w:color w:val="000000" w:themeColor="text1"/>
              </w:rPr>
              <w:t>Significance</w:t>
            </w:r>
          </w:p>
        </w:tc>
      </w:tr>
      <w:tr w:rsidR="00B860BE" w:rsidRPr="00C223C3" w14:paraId="58A7943B"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1B131D7C" w14:textId="2EEA3FEE" w:rsidR="00B860BE" w:rsidRPr="00C223C3" w:rsidRDefault="00C350D3" w:rsidP="00E37B05">
            <w:pPr>
              <w:rPr>
                <w:rFonts w:ascii="Arial" w:hAnsi="Arial" w:cs="Arial"/>
                <w:b/>
                <w:bCs/>
                <w:color w:val="000000" w:themeColor="text1"/>
                <w:lang w:eastAsia="pt-BR"/>
              </w:rPr>
            </w:pPr>
            <w:r w:rsidRPr="00C223C3">
              <w:rPr>
                <w:rFonts w:ascii="Arial" w:hAnsi="Arial" w:cs="Arial"/>
                <w:b/>
                <w:bCs/>
                <w:color w:val="000000" w:themeColor="text1"/>
                <w:lang w:eastAsia="pt-BR"/>
              </w:rPr>
              <w:t>Pathology</w:t>
            </w:r>
          </w:p>
        </w:tc>
        <w:tc>
          <w:tcPr>
            <w:tcW w:w="2271" w:type="dxa"/>
            <w:gridSpan w:val="2"/>
            <w:tcBorders>
              <w:top w:val="nil"/>
              <w:left w:val="nil"/>
              <w:bottom w:val="nil"/>
              <w:right w:val="nil"/>
            </w:tcBorders>
            <w:noWrap/>
            <w:vAlign w:val="bottom"/>
            <w:hideMark/>
          </w:tcPr>
          <w:p w14:paraId="475ED1E6" w14:textId="77777777" w:rsidR="00B860BE" w:rsidRPr="00C223C3" w:rsidRDefault="00B860BE" w:rsidP="00E37B05">
            <w:pPr>
              <w:rPr>
                <w:rFonts w:ascii="Arial" w:hAnsi="Arial" w:cs="Arial"/>
                <w:b/>
                <w:bCs/>
                <w:color w:val="000000" w:themeColor="text1"/>
                <w:lang w:eastAsia="pt-BR"/>
              </w:rPr>
            </w:pPr>
          </w:p>
        </w:tc>
        <w:tc>
          <w:tcPr>
            <w:tcW w:w="2340" w:type="dxa"/>
            <w:gridSpan w:val="2"/>
            <w:tcBorders>
              <w:top w:val="nil"/>
              <w:left w:val="nil"/>
              <w:bottom w:val="nil"/>
              <w:right w:val="nil"/>
            </w:tcBorders>
            <w:noWrap/>
            <w:vAlign w:val="bottom"/>
            <w:hideMark/>
          </w:tcPr>
          <w:p w14:paraId="1BA732B5" w14:textId="77777777" w:rsidR="00B860BE" w:rsidRPr="00C223C3" w:rsidRDefault="00B860BE" w:rsidP="00E37B05">
            <w:pPr>
              <w:jc w:val="center"/>
              <w:rPr>
                <w:rFonts w:ascii="Arial" w:hAnsi="Arial" w:cs="Arial"/>
                <w:color w:val="000000" w:themeColor="text1"/>
                <w:lang w:eastAsia="pt-BR"/>
              </w:rPr>
            </w:pPr>
          </w:p>
        </w:tc>
        <w:tc>
          <w:tcPr>
            <w:tcW w:w="1621" w:type="dxa"/>
            <w:gridSpan w:val="2"/>
            <w:tcBorders>
              <w:top w:val="nil"/>
              <w:left w:val="nil"/>
              <w:bottom w:val="nil"/>
              <w:right w:val="nil"/>
            </w:tcBorders>
            <w:noWrap/>
            <w:vAlign w:val="bottom"/>
            <w:hideMark/>
          </w:tcPr>
          <w:p w14:paraId="78510E89" w14:textId="77777777" w:rsidR="00B860BE" w:rsidRPr="00C223C3" w:rsidRDefault="00B860BE" w:rsidP="00E37B05">
            <w:pPr>
              <w:jc w:val="center"/>
              <w:rPr>
                <w:rFonts w:ascii="Arial" w:hAnsi="Arial" w:cs="Arial"/>
                <w:color w:val="000000" w:themeColor="text1"/>
                <w:lang w:eastAsia="pt-BR"/>
              </w:rPr>
            </w:pPr>
          </w:p>
        </w:tc>
      </w:tr>
      <w:tr w:rsidR="00B860BE" w:rsidRPr="00C223C3" w14:paraId="637FCDED"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2FEE7C04" w14:textId="251B9548" w:rsidR="00B860BE" w:rsidRPr="00C223C3" w:rsidRDefault="00150941" w:rsidP="00E37B05">
            <w:pPr>
              <w:rPr>
                <w:rFonts w:ascii="Arial" w:hAnsi="Arial" w:cs="Arial"/>
                <w:color w:val="000000" w:themeColor="text1"/>
                <w:lang w:eastAsia="pt-BR"/>
              </w:rPr>
            </w:pPr>
            <w:r w:rsidRPr="00C223C3">
              <w:rPr>
                <w:rFonts w:ascii="Arial" w:hAnsi="Arial" w:cs="Arial"/>
                <w:color w:val="000000" w:themeColor="text1"/>
                <w:lang w:eastAsia="pt-BR"/>
              </w:rPr>
              <w:t>Non-functioning AH</w:t>
            </w:r>
          </w:p>
        </w:tc>
        <w:tc>
          <w:tcPr>
            <w:tcW w:w="2271" w:type="dxa"/>
            <w:gridSpan w:val="2"/>
            <w:tcBorders>
              <w:top w:val="nil"/>
              <w:left w:val="nil"/>
              <w:bottom w:val="nil"/>
              <w:right w:val="nil"/>
            </w:tcBorders>
            <w:noWrap/>
            <w:vAlign w:val="bottom"/>
            <w:hideMark/>
          </w:tcPr>
          <w:p w14:paraId="6B188476"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2340" w:type="dxa"/>
            <w:gridSpan w:val="2"/>
            <w:tcBorders>
              <w:top w:val="nil"/>
              <w:left w:val="nil"/>
              <w:bottom w:val="nil"/>
              <w:right w:val="nil"/>
            </w:tcBorders>
            <w:noWrap/>
            <w:vAlign w:val="bottom"/>
            <w:hideMark/>
          </w:tcPr>
          <w:p w14:paraId="269E88FF"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621" w:type="dxa"/>
            <w:gridSpan w:val="2"/>
            <w:vMerge w:val="restart"/>
            <w:tcBorders>
              <w:top w:val="nil"/>
              <w:left w:val="nil"/>
              <w:bottom w:val="nil"/>
              <w:right w:val="nil"/>
            </w:tcBorders>
            <w:vAlign w:val="center"/>
            <w:hideMark/>
          </w:tcPr>
          <w:p w14:paraId="2AFA684B"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X</w:t>
            </w:r>
            <w:r w:rsidRPr="00C223C3">
              <w:rPr>
                <w:rFonts w:ascii="Arial" w:hAnsi="Arial" w:cs="Arial"/>
                <w:color w:val="000000" w:themeColor="text1"/>
                <w:vertAlign w:val="superscript"/>
                <w:lang w:eastAsia="pt-BR"/>
              </w:rPr>
              <w:t>2</w:t>
            </w:r>
            <w:r w:rsidRPr="00C223C3">
              <w:rPr>
                <w:rFonts w:ascii="Arial" w:hAnsi="Arial" w:cs="Arial"/>
                <w:color w:val="000000" w:themeColor="text1"/>
                <w:lang w:eastAsia="pt-BR"/>
              </w:rPr>
              <w:t xml:space="preserve"> = 0,</w:t>
            </w:r>
            <w:proofErr w:type="gramStart"/>
            <w:r w:rsidRPr="00C223C3">
              <w:rPr>
                <w:rFonts w:ascii="Arial" w:hAnsi="Arial" w:cs="Arial"/>
                <w:color w:val="000000" w:themeColor="text1"/>
                <w:lang w:eastAsia="pt-BR"/>
              </w:rPr>
              <w:t xml:space="preserve">73;   </w:t>
            </w:r>
            <w:proofErr w:type="gramEnd"/>
            <w:r w:rsidRPr="00C223C3">
              <w:rPr>
                <w:rFonts w:ascii="Arial" w:hAnsi="Arial" w:cs="Arial"/>
                <w:color w:val="000000" w:themeColor="text1"/>
                <w:lang w:eastAsia="pt-BR"/>
              </w:rPr>
              <w:t xml:space="preserve">         p = 0,93</w:t>
            </w:r>
          </w:p>
        </w:tc>
      </w:tr>
      <w:tr w:rsidR="00B860BE" w:rsidRPr="00C223C3" w14:paraId="560BCACC"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390BDE48" w14:textId="09F9CF11" w:rsidR="00B860BE" w:rsidRPr="00C223C3" w:rsidRDefault="007847B7" w:rsidP="00E37B05">
            <w:pPr>
              <w:rPr>
                <w:rFonts w:ascii="Arial" w:hAnsi="Arial" w:cs="Arial"/>
                <w:color w:val="000000" w:themeColor="text1"/>
                <w:lang w:val="pt-BR" w:eastAsia="pt-BR"/>
              </w:rPr>
            </w:pPr>
            <w:r w:rsidRPr="00C223C3">
              <w:rPr>
                <w:rFonts w:ascii="Arial" w:hAnsi="Arial" w:cs="Arial"/>
                <w:color w:val="000000" w:themeColor="text1"/>
                <w:lang w:val="pt-BR" w:eastAsia="pt-BR"/>
              </w:rPr>
              <w:t>Functioning AH</w:t>
            </w:r>
          </w:p>
        </w:tc>
        <w:tc>
          <w:tcPr>
            <w:tcW w:w="2271" w:type="dxa"/>
            <w:gridSpan w:val="2"/>
            <w:tcBorders>
              <w:top w:val="nil"/>
              <w:left w:val="nil"/>
              <w:bottom w:val="nil"/>
              <w:right w:val="nil"/>
            </w:tcBorders>
            <w:noWrap/>
            <w:vAlign w:val="bottom"/>
            <w:hideMark/>
          </w:tcPr>
          <w:p w14:paraId="175B3A30"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27 (90%)</w:t>
            </w:r>
          </w:p>
        </w:tc>
        <w:tc>
          <w:tcPr>
            <w:tcW w:w="2340" w:type="dxa"/>
            <w:gridSpan w:val="2"/>
            <w:tcBorders>
              <w:top w:val="nil"/>
              <w:left w:val="nil"/>
              <w:bottom w:val="nil"/>
              <w:right w:val="nil"/>
            </w:tcBorders>
            <w:noWrap/>
            <w:vAlign w:val="bottom"/>
            <w:hideMark/>
          </w:tcPr>
          <w:p w14:paraId="21D40899"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 (6,7%)</w:t>
            </w:r>
          </w:p>
        </w:tc>
        <w:tc>
          <w:tcPr>
            <w:tcW w:w="1621" w:type="dxa"/>
            <w:gridSpan w:val="2"/>
            <w:vMerge/>
            <w:vAlign w:val="center"/>
            <w:hideMark/>
          </w:tcPr>
          <w:p w14:paraId="5E5AA228" w14:textId="77777777" w:rsidR="00B860BE" w:rsidRPr="00C223C3" w:rsidRDefault="00B860BE" w:rsidP="00E37B05">
            <w:pPr>
              <w:rPr>
                <w:rFonts w:ascii="Arial" w:hAnsi="Arial" w:cs="Arial"/>
                <w:color w:val="000000" w:themeColor="text1"/>
                <w:lang w:eastAsia="pt-BR"/>
              </w:rPr>
            </w:pPr>
          </w:p>
        </w:tc>
      </w:tr>
      <w:tr w:rsidR="00B860BE" w:rsidRPr="00C223C3" w14:paraId="2AF90E75" w14:textId="77777777" w:rsidTr="00E37B05">
        <w:trPr>
          <w:gridAfter w:val="1"/>
          <w:wAfter w:w="12" w:type="dxa"/>
          <w:trHeight w:val="271"/>
        </w:trPr>
        <w:tc>
          <w:tcPr>
            <w:tcW w:w="3137" w:type="dxa"/>
            <w:gridSpan w:val="2"/>
            <w:tcBorders>
              <w:top w:val="single" w:sz="4" w:space="0" w:color="auto"/>
              <w:left w:val="nil"/>
              <w:bottom w:val="nil"/>
              <w:right w:val="nil"/>
            </w:tcBorders>
            <w:noWrap/>
            <w:vAlign w:val="bottom"/>
            <w:hideMark/>
          </w:tcPr>
          <w:p w14:paraId="1D6FCE07" w14:textId="4C66F0FD" w:rsidR="00B860BE" w:rsidRPr="00C223C3" w:rsidRDefault="007847B7" w:rsidP="00E37B05">
            <w:pPr>
              <w:rPr>
                <w:rFonts w:ascii="Arial" w:hAnsi="Arial" w:cs="Arial"/>
                <w:b/>
                <w:bCs/>
                <w:color w:val="000000" w:themeColor="text1"/>
                <w:lang w:eastAsia="pt-BR"/>
              </w:rPr>
            </w:pPr>
            <w:proofErr w:type="spellStart"/>
            <w:r w:rsidRPr="00C223C3">
              <w:rPr>
                <w:rFonts w:ascii="Arial" w:hAnsi="Arial" w:cs="Arial"/>
                <w:b/>
                <w:bCs/>
                <w:color w:val="000000" w:themeColor="text1"/>
                <w:lang w:eastAsia="pt-BR"/>
              </w:rPr>
              <w:t>Subpathology</w:t>
            </w:r>
            <w:proofErr w:type="spellEnd"/>
          </w:p>
        </w:tc>
        <w:tc>
          <w:tcPr>
            <w:tcW w:w="2271" w:type="dxa"/>
            <w:gridSpan w:val="2"/>
            <w:tcBorders>
              <w:top w:val="single" w:sz="4" w:space="0" w:color="auto"/>
              <w:left w:val="nil"/>
              <w:bottom w:val="nil"/>
              <w:right w:val="nil"/>
            </w:tcBorders>
            <w:noWrap/>
            <w:vAlign w:val="bottom"/>
            <w:hideMark/>
          </w:tcPr>
          <w:p w14:paraId="653F94D1"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2340" w:type="dxa"/>
            <w:gridSpan w:val="2"/>
            <w:tcBorders>
              <w:top w:val="single" w:sz="4" w:space="0" w:color="auto"/>
              <w:left w:val="nil"/>
              <w:bottom w:val="nil"/>
              <w:right w:val="nil"/>
            </w:tcBorders>
            <w:noWrap/>
            <w:vAlign w:val="bottom"/>
            <w:hideMark/>
          </w:tcPr>
          <w:p w14:paraId="533D118E"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1621" w:type="dxa"/>
            <w:gridSpan w:val="2"/>
            <w:tcBorders>
              <w:top w:val="single" w:sz="4" w:space="0" w:color="auto"/>
              <w:left w:val="nil"/>
              <w:right w:val="nil"/>
            </w:tcBorders>
            <w:noWrap/>
            <w:vAlign w:val="bottom"/>
            <w:hideMark/>
          </w:tcPr>
          <w:p w14:paraId="68D7698C" w14:textId="77777777" w:rsidR="00B860BE"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B860BE" w:rsidRPr="00C223C3" w14:paraId="7E8B0457"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2FAC55E1" w14:textId="356FCB85" w:rsidR="00B860BE" w:rsidRPr="00C223C3" w:rsidRDefault="007847B7" w:rsidP="00E37B05">
            <w:pPr>
              <w:rPr>
                <w:rFonts w:ascii="Arial" w:hAnsi="Arial" w:cs="Arial"/>
                <w:color w:val="000000" w:themeColor="text1"/>
                <w:lang w:eastAsia="pt-BR"/>
              </w:rPr>
            </w:pPr>
            <w:r w:rsidRPr="00C223C3">
              <w:rPr>
                <w:rFonts w:ascii="Arial" w:hAnsi="Arial" w:cs="Arial"/>
                <w:color w:val="000000" w:themeColor="text1"/>
                <w:lang w:eastAsia="pt-BR"/>
              </w:rPr>
              <w:t>Prolactinoma</w:t>
            </w:r>
          </w:p>
        </w:tc>
        <w:tc>
          <w:tcPr>
            <w:tcW w:w="2271" w:type="dxa"/>
            <w:gridSpan w:val="2"/>
            <w:tcBorders>
              <w:top w:val="nil"/>
              <w:left w:val="nil"/>
              <w:bottom w:val="nil"/>
              <w:right w:val="nil"/>
            </w:tcBorders>
            <w:noWrap/>
            <w:vAlign w:val="bottom"/>
            <w:hideMark/>
          </w:tcPr>
          <w:p w14:paraId="01675522"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24 (80%)</w:t>
            </w:r>
          </w:p>
        </w:tc>
        <w:tc>
          <w:tcPr>
            <w:tcW w:w="2340" w:type="dxa"/>
            <w:gridSpan w:val="2"/>
            <w:tcBorders>
              <w:top w:val="nil"/>
              <w:left w:val="nil"/>
              <w:bottom w:val="nil"/>
              <w:right w:val="nil"/>
            </w:tcBorders>
            <w:noWrap/>
            <w:vAlign w:val="bottom"/>
            <w:hideMark/>
          </w:tcPr>
          <w:p w14:paraId="7439BC42"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 (6,7)</w:t>
            </w:r>
          </w:p>
        </w:tc>
        <w:tc>
          <w:tcPr>
            <w:tcW w:w="1621" w:type="dxa"/>
            <w:gridSpan w:val="2"/>
            <w:vMerge w:val="restart"/>
            <w:tcBorders>
              <w:top w:val="nil"/>
              <w:left w:val="nil"/>
              <w:bottom w:val="single" w:sz="4" w:space="0" w:color="auto"/>
              <w:right w:val="nil"/>
            </w:tcBorders>
            <w:vAlign w:val="center"/>
            <w:hideMark/>
          </w:tcPr>
          <w:p w14:paraId="65F8380C"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X</w:t>
            </w:r>
            <w:r w:rsidRPr="00C223C3">
              <w:rPr>
                <w:rFonts w:ascii="Arial" w:hAnsi="Arial" w:cs="Arial"/>
                <w:color w:val="000000" w:themeColor="text1"/>
                <w:vertAlign w:val="superscript"/>
                <w:lang w:eastAsia="pt-BR"/>
              </w:rPr>
              <w:t>2</w:t>
            </w:r>
            <w:r w:rsidRPr="00C223C3">
              <w:rPr>
                <w:rFonts w:ascii="Arial" w:hAnsi="Arial" w:cs="Arial"/>
                <w:color w:val="000000" w:themeColor="text1"/>
                <w:lang w:eastAsia="pt-BR"/>
              </w:rPr>
              <w:t xml:space="preserve"> = 0,</w:t>
            </w:r>
            <w:proofErr w:type="gramStart"/>
            <w:r w:rsidRPr="00C223C3">
              <w:rPr>
                <w:rFonts w:ascii="Arial" w:hAnsi="Arial" w:cs="Arial"/>
                <w:color w:val="000000" w:themeColor="text1"/>
                <w:lang w:eastAsia="pt-BR"/>
              </w:rPr>
              <w:t xml:space="preserve">33;   </w:t>
            </w:r>
            <w:proofErr w:type="gramEnd"/>
            <w:r w:rsidRPr="00C223C3">
              <w:rPr>
                <w:rFonts w:ascii="Arial" w:hAnsi="Arial" w:cs="Arial"/>
                <w:color w:val="000000" w:themeColor="text1"/>
                <w:lang w:eastAsia="pt-BR"/>
              </w:rPr>
              <w:t xml:space="preserve">         p = 0,95</w:t>
            </w:r>
          </w:p>
        </w:tc>
      </w:tr>
      <w:tr w:rsidR="00B860BE" w:rsidRPr="00C223C3" w14:paraId="01222C8D"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36327198" w14:textId="06E77103" w:rsidR="00B860BE" w:rsidRPr="00C223C3" w:rsidRDefault="00616742" w:rsidP="00E37B05">
            <w:pPr>
              <w:rPr>
                <w:rFonts w:ascii="Arial" w:hAnsi="Arial" w:cs="Arial"/>
                <w:color w:val="000000" w:themeColor="text1"/>
                <w:lang w:eastAsia="pt-BR"/>
              </w:rPr>
            </w:pPr>
            <w:r w:rsidRPr="00C223C3">
              <w:rPr>
                <w:rFonts w:ascii="Arial" w:hAnsi="Arial" w:cs="Arial"/>
                <w:color w:val="000000" w:themeColor="text1"/>
                <w:lang w:eastAsia="pt-BR"/>
              </w:rPr>
              <w:t>Cushing’s syndrome</w:t>
            </w:r>
          </w:p>
        </w:tc>
        <w:tc>
          <w:tcPr>
            <w:tcW w:w="2271" w:type="dxa"/>
            <w:gridSpan w:val="2"/>
            <w:tcBorders>
              <w:top w:val="nil"/>
              <w:left w:val="nil"/>
              <w:bottom w:val="nil"/>
              <w:right w:val="nil"/>
            </w:tcBorders>
            <w:noWrap/>
            <w:vAlign w:val="bottom"/>
            <w:hideMark/>
          </w:tcPr>
          <w:p w14:paraId="483CB4F3"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2340" w:type="dxa"/>
            <w:gridSpan w:val="2"/>
            <w:tcBorders>
              <w:top w:val="nil"/>
              <w:left w:val="nil"/>
              <w:bottom w:val="nil"/>
              <w:right w:val="nil"/>
            </w:tcBorders>
            <w:noWrap/>
            <w:vAlign w:val="bottom"/>
            <w:hideMark/>
          </w:tcPr>
          <w:p w14:paraId="5BF6BB39"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621" w:type="dxa"/>
            <w:gridSpan w:val="2"/>
            <w:vMerge/>
            <w:tcBorders>
              <w:bottom w:val="single" w:sz="4" w:space="0" w:color="auto"/>
            </w:tcBorders>
            <w:vAlign w:val="center"/>
            <w:hideMark/>
          </w:tcPr>
          <w:p w14:paraId="23795798" w14:textId="77777777" w:rsidR="00B860BE" w:rsidRPr="00C223C3" w:rsidRDefault="00B860BE" w:rsidP="00E37B05">
            <w:pPr>
              <w:rPr>
                <w:rFonts w:ascii="Arial" w:hAnsi="Arial" w:cs="Arial"/>
                <w:color w:val="000000" w:themeColor="text1"/>
                <w:lang w:eastAsia="pt-BR"/>
              </w:rPr>
            </w:pPr>
          </w:p>
        </w:tc>
      </w:tr>
      <w:tr w:rsidR="00B860BE" w:rsidRPr="00C223C3" w14:paraId="43E74748"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1713D7E5" w14:textId="56D42400" w:rsidR="00B860BE" w:rsidRPr="00C223C3" w:rsidRDefault="00616742" w:rsidP="00E37B05">
            <w:pPr>
              <w:rPr>
                <w:rFonts w:ascii="Arial" w:hAnsi="Arial" w:cs="Arial"/>
                <w:color w:val="000000" w:themeColor="text1"/>
                <w:lang w:eastAsia="pt-BR"/>
              </w:rPr>
            </w:pPr>
            <w:r w:rsidRPr="00C223C3">
              <w:rPr>
                <w:rFonts w:ascii="Arial" w:hAnsi="Arial" w:cs="Arial"/>
                <w:color w:val="000000" w:themeColor="text1"/>
                <w:lang w:eastAsia="pt-BR"/>
              </w:rPr>
              <w:t>Acromegaly</w:t>
            </w:r>
          </w:p>
        </w:tc>
        <w:tc>
          <w:tcPr>
            <w:tcW w:w="2271" w:type="dxa"/>
            <w:gridSpan w:val="2"/>
            <w:tcBorders>
              <w:top w:val="nil"/>
              <w:left w:val="nil"/>
              <w:bottom w:val="nil"/>
              <w:right w:val="nil"/>
            </w:tcBorders>
            <w:noWrap/>
            <w:vAlign w:val="bottom"/>
            <w:hideMark/>
          </w:tcPr>
          <w:p w14:paraId="6F4E2848"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 (6,7%)</w:t>
            </w:r>
          </w:p>
        </w:tc>
        <w:tc>
          <w:tcPr>
            <w:tcW w:w="2340" w:type="dxa"/>
            <w:gridSpan w:val="2"/>
            <w:tcBorders>
              <w:top w:val="nil"/>
              <w:left w:val="nil"/>
              <w:bottom w:val="nil"/>
              <w:right w:val="nil"/>
            </w:tcBorders>
            <w:noWrap/>
            <w:vAlign w:val="bottom"/>
            <w:hideMark/>
          </w:tcPr>
          <w:p w14:paraId="246C516D"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621" w:type="dxa"/>
            <w:gridSpan w:val="2"/>
            <w:vMerge/>
            <w:tcBorders>
              <w:bottom w:val="single" w:sz="4" w:space="0" w:color="auto"/>
            </w:tcBorders>
            <w:vAlign w:val="center"/>
            <w:hideMark/>
          </w:tcPr>
          <w:p w14:paraId="6A7C76D2" w14:textId="77777777" w:rsidR="00B860BE" w:rsidRPr="00C223C3" w:rsidRDefault="00B860BE" w:rsidP="00E37B05">
            <w:pPr>
              <w:rPr>
                <w:rFonts w:ascii="Arial" w:hAnsi="Arial" w:cs="Arial"/>
                <w:color w:val="000000" w:themeColor="text1"/>
                <w:lang w:eastAsia="pt-BR"/>
              </w:rPr>
            </w:pPr>
          </w:p>
        </w:tc>
      </w:tr>
      <w:tr w:rsidR="00B860BE" w:rsidRPr="00C223C3" w14:paraId="7C9B6196" w14:textId="77777777" w:rsidTr="00E37B05">
        <w:trPr>
          <w:gridAfter w:val="1"/>
          <w:wAfter w:w="12" w:type="dxa"/>
          <w:trHeight w:val="271"/>
        </w:trPr>
        <w:tc>
          <w:tcPr>
            <w:tcW w:w="3137" w:type="dxa"/>
            <w:gridSpan w:val="2"/>
            <w:tcBorders>
              <w:top w:val="nil"/>
              <w:left w:val="nil"/>
              <w:bottom w:val="single" w:sz="4" w:space="0" w:color="auto"/>
              <w:right w:val="nil"/>
            </w:tcBorders>
            <w:noWrap/>
            <w:vAlign w:val="bottom"/>
            <w:hideMark/>
          </w:tcPr>
          <w:p w14:paraId="1AA66BB3" w14:textId="681079FC" w:rsidR="00B860BE" w:rsidRPr="00C223C3" w:rsidRDefault="00616742" w:rsidP="00E37B05">
            <w:pPr>
              <w:rPr>
                <w:rFonts w:ascii="Arial" w:hAnsi="Arial" w:cs="Arial"/>
                <w:color w:val="000000" w:themeColor="text1"/>
                <w:lang w:val="pt-BR" w:eastAsia="pt-BR"/>
              </w:rPr>
            </w:pPr>
            <w:r w:rsidRPr="00C223C3">
              <w:rPr>
                <w:rFonts w:ascii="Arial" w:hAnsi="Arial" w:cs="Arial"/>
                <w:color w:val="000000" w:themeColor="text1"/>
                <w:lang w:val="pt-BR" w:eastAsia="pt-BR"/>
              </w:rPr>
              <w:t>Non-functioning</w:t>
            </w:r>
          </w:p>
        </w:tc>
        <w:tc>
          <w:tcPr>
            <w:tcW w:w="2271" w:type="dxa"/>
            <w:gridSpan w:val="2"/>
            <w:tcBorders>
              <w:top w:val="nil"/>
              <w:left w:val="nil"/>
              <w:bottom w:val="single" w:sz="4" w:space="0" w:color="auto"/>
              <w:right w:val="nil"/>
            </w:tcBorders>
            <w:noWrap/>
            <w:vAlign w:val="bottom"/>
            <w:hideMark/>
          </w:tcPr>
          <w:p w14:paraId="7D7E83FF"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2340" w:type="dxa"/>
            <w:gridSpan w:val="2"/>
            <w:tcBorders>
              <w:top w:val="nil"/>
              <w:left w:val="nil"/>
              <w:bottom w:val="single" w:sz="4" w:space="0" w:color="auto"/>
              <w:right w:val="nil"/>
            </w:tcBorders>
            <w:noWrap/>
            <w:vAlign w:val="bottom"/>
            <w:hideMark/>
          </w:tcPr>
          <w:p w14:paraId="799AC2E5"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621" w:type="dxa"/>
            <w:gridSpan w:val="2"/>
            <w:vMerge/>
            <w:tcBorders>
              <w:bottom w:val="single" w:sz="4" w:space="0" w:color="auto"/>
            </w:tcBorders>
            <w:vAlign w:val="center"/>
            <w:hideMark/>
          </w:tcPr>
          <w:p w14:paraId="4133D5BC" w14:textId="77777777" w:rsidR="00B860BE" w:rsidRPr="00C223C3" w:rsidRDefault="00B860BE" w:rsidP="00E37B05">
            <w:pPr>
              <w:rPr>
                <w:rFonts w:ascii="Arial" w:hAnsi="Arial" w:cs="Arial"/>
                <w:color w:val="000000" w:themeColor="text1"/>
                <w:lang w:eastAsia="pt-BR"/>
              </w:rPr>
            </w:pPr>
          </w:p>
        </w:tc>
      </w:tr>
      <w:tr w:rsidR="00B860BE" w:rsidRPr="00C223C3" w14:paraId="56793738"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6FFBC4F4" w14:textId="2327E83D" w:rsidR="00B860BE" w:rsidRPr="00C223C3" w:rsidRDefault="009136D6" w:rsidP="00E37B05">
            <w:pPr>
              <w:rPr>
                <w:rFonts w:ascii="Arial" w:hAnsi="Arial" w:cs="Arial"/>
                <w:b/>
                <w:bCs/>
                <w:color w:val="000000" w:themeColor="text1"/>
                <w:lang w:eastAsia="pt-BR"/>
              </w:rPr>
            </w:pPr>
            <w:r w:rsidRPr="00C223C3">
              <w:rPr>
                <w:rFonts w:ascii="Arial" w:hAnsi="Arial" w:cs="Arial"/>
                <w:b/>
                <w:bCs/>
                <w:color w:val="000000" w:themeColor="text1"/>
                <w:lang w:eastAsia="pt-BR"/>
              </w:rPr>
              <w:t>Surgery</w:t>
            </w:r>
          </w:p>
        </w:tc>
        <w:tc>
          <w:tcPr>
            <w:tcW w:w="2271" w:type="dxa"/>
            <w:gridSpan w:val="2"/>
            <w:tcBorders>
              <w:top w:val="nil"/>
              <w:left w:val="nil"/>
              <w:bottom w:val="nil"/>
              <w:right w:val="nil"/>
            </w:tcBorders>
            <w:noWrap/>
            <w:vAlign w:val="bottom"/>
            <w:hideMark/>
          </w:tcPr>
          <w:p w14:paraId="28BFC272" w14:textId="77777777" w:rsidR="00B860BE" w:rsidRPr="00C223C3" w:rsidRDefault="00B860BE" w:rsidP="00E37B05">
            <w:pPr>
              <w:rPr>
                <w:rFonts w:ascii="Arial" w:hAnsi="Arial" w:cs="Arial"/>
                <w:b/>
                <w:bCs/>
                <w:color w:val="000000" w:themeColor="text1"/>
                <w:lang w:eastAsia="pt-BR"/>
              </w:rPr>
            </w:pPr>
          </w:p>
        </w:tc>
        <w:tc>
          <w:tcPr>
            <w:tcW w:w="2340" w:type="dxa"/>
            <w:gridSpan w:val="2"/>
            <w:tcBorders>
              <w:top w:val="nil"/>
              <w:left w:val="nil"/>
              <w:bottom w:val="nil"/>
              <w:right w:val="nil"/>
            </w:tcBorders>
            <w:noWrap/>
            <w:vAlign w:val="bottom"/>
            <w:hideMark/>
          </w:tcPr>
          <w:p w14:paraId="5F93685A" w14:textId="77777777" w:rsidR="00B860BE" w:rsidRPr="00C223C3" w:rsidRDefault="00B860BE" w:rsidP="00E37B05">
            <w:pPr>
              <w:jc w:val="center"/>
              <w:rPr>
                <w:rFonts w:ascii="Arial" w:hAnsi="Arial" w:cs="Arial"/>
                <w:color w:val="000000" w:themeColor="text1"/>
                <w:lang w:eastAsia="pt-BR"/>
              </w:rPr>
            </w:pPr>
          </w:p>
        </w:tc>
        <w:tc>
          <w:tcPr>
            <w:tcW w:w="1621" w:type="dxa"/>
            <w:gridSpan w:val="2"/>
            <w:tcBorders>
              <w:top w:val="single" w:sz="4" w:space="0" w:color="auto"/>
              <w:left w:val="nil"/>
              <w:bottom w:val="nil"/>
              <w:right w:val="nil"/>
            </w:tcBorders>
            <w:noWrap/>
            <w:vAlign w:val="bottom"/>
            <w:hideMark/>
          </w:tcPr>
          <w:p w14:paraId="351735D7" w14:textId="77777777" w:rsidR="00B860BE" w:rsidRPr="00C223C3" w:rsidRDefault="00B860BE" w:rsidP="00E37B05">
            <w:pPr>
              <w:jc w:val="center"/>
              <w:rPr>
                <w:rFonts w:ascii="Arial" w:hAnsi="Arial" w:cs="Arial"/>
                <w:color w:val="000000" w:themeColor="text1"/>
                <w:lang w:eastAsia="pt-BR"/>
              </w:rPr>
            </w:pPr>
          </w:p>
        </w:tc>
      </w:tr>
      <w:tr w:rsidR="00B860BE" w:rsidRPr="00C223C3" w14:paraId="36B8DFF2"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03484F71" w14:textId="5A5880CA" w:rsidR="00B860BE" w:rsidRPr="00C223C3" w:rsidRDefault="00616742" w:rsidP="00E37B05">
            <w:pPr>
              <w:rPr>
                <w:rFonts w:ascii="Arial" w:hAnsi="Arial" w:cs="Arial"/>
                <w:color w:val="000000" w:themeColor="text1"/>
                <w:lang w:eastAsia="pt-BR"/>
              </w:rPr>
            </w:pPr>
            <w:r w:rsidRPr="00C223C3">
              <w:rPr>
                <w:rFonts w:ascii="Arial" w:hAnsi="Arial" w:cs="Arial"/>
                <w:color w:val="000000" w:themeColor="text1"/>
                <w:lang w:eastAsia="pt-BR"/>
              </w:rPr>
              <w:t>Yes</w:t>
            </w:r>
          </w:p>
        </w:tc>
        <w:tc>
          <w:tcPr>
            <w:tcW w:w="2271" w:type="dxa"/>
            <w:gridSpan w:val="2"/>
            <w:tcBorders>
              <w:top w:val="nil"/>
              <w:left w:val="nil"/>
              <w:bottom w:val="nil"/>
              <w:right w:val="nil"/>
            </w:tcBorders>
            <w:noWrap/>
            <w:vAlign w:val="bottom"/>
            <w:hideMark/>
          </w:tcPr>
          <w:p w14:paraId="081C4B57"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 (6,7%)</w:t>
            </w:r>
          </w:p>
        </w:tc>
        <w:tc>
          <w:tcPr>
            <w:tcW w:w="2340" w:type="dxa"/>
            <w:gridSpan w:val="2"/>
            <w:tcBorders>
              <w:top w:val="nil"/>
              <w:left w:val="nil"/>
              <w:bottom w:val="nil"/>
              <w:right w:val="nil"/>
            </w:tcBorders>
            <w:noWrap/>
            <w:vAlign w:val="bottom"/>
            <w:hideMark/>
          </w:tcPr>
          <w:p w14:paraId="4082FF4E"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621" w:type="dxa"/>
            <w:gridSpan w:val="2"/>
            <w:vMerge w:val="restart"/>
            <w:tcBorders>
              <w:top w:val="nil"/>
              <w:left w:val="nil"/>
              <w:bottom w:val="nil"/>
              <w:right w:val="nil"/>
            </w:tcBorders>
            <w:vAlign w:val="center"/>
            <w:hideMark/>
          </w:tcPr>
          <w:p w14:paraId="7C8934BB"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X</w:t>
            </w:r>
            <w:r w:rsidRPr="00C223C3">
              <w:rPr>
                <w:rFonts w:ascii="Arial" w:hAnsi="Arial" w:cs="Arial"/>
                <w:color w:val="000000" w:themeColor="text1"/>
                <w:vertAlign w:val="superscript"/>
                <w:lang w:eastAsia="pt-BR"/>
              </w:rPr>
              <w:t>2</w:t>
            </w:r>
            <w:r w:rsidRPr="00C223C3">
              <w:rPr>
                <w:rFonts w:ascii="Arial" w:hAnsi="Arial" w:cs="Arial"/>
                <w:color w:val="000000" w:themeColor="text1"/>
                <w:lang w:eastAsia="pt-BR"/>
              </w:rPr>
              <w:t xml:space="preserve"> = 3,</w:t>
            </w:r>
            <w:proofErr w:type="gramStart"/>
            <w:r w:rsidRPr="00C223C3">
              <w:rPr>
                <w:rFonts w:ascii="Arial" w:hAnsi="Arial" w:cs="Arial"/>
                <w:color w:val="000000" w:themeColor="text1"/>
                <w:lang w:eastAsia="pt-BR"/>
              </w:rPr>
              <w:t xml:space="preserve">81;   </w:t>
            </w:r>
            <w:proofErr w:type="gramEnd"/>
            <w:r w:rsidRPr="00C223C3">
              <w:rPr>
                <w:rFonts w:ascii="Arial" w:hAnsi="Arial" w:cs="Arial"/>
                <w:color w:val="000000" w:themeColor="text1"/>
                <w:lang w:eastAsia="pt-BR"/>
              </w:rPr>
              <w:t xml:space="preserve">         p = 0,19</w:t>
            </w:r>
          </w:p>
        </w:tc>
      </w:tr>
      <w:tr w:rsidR="00B860BE" w:rsidRPr="00C223C3" w14:paraId="46228B48"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6D74240C" w14:textId="1051ACDD" w:rsidR="00B860BE"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No</w:t>
            </w:r>
          </w:p>
        </w:tc>
        <w:tc>
          <w:tcPr>
            <w:tcW w:w="2271" w:type="dxa"/>
            <w:gridSpan w:val="2"/>
            <w:tcBorders>
              <w:top w:val="nil"/>
              <w:left w:val="nil"/>
              <w:bottom w:val="nil"/>
              <w:right w:val="nil"/>
            </w:tcBorders>
            <w:noWrap/>
            <w:vAlign w:val="bottom"/>
            <w:hideMark/>
          </w:tcPr>
          <w:p w14:paraId="1B97D819"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26 (86,7%)</w:t>
            </w:r>
          </w:p>
        </w:tc>
        <w:tc>
          <w:tcPr>
            <w:tcW w:w="2340" w:type="dxa"/>
            <w:gridSpan w:val="2"/>
            <w:tcBorders>
              <w:top w:val="nil"/>
              <w:left w:val="nil"/>
              <w:bottom w:val="nil"/>
              <w:right w:val="nil"/>
            </w:tcBorders>
            <w:noWrap/>
            <w:vAlign w:val="bottom"/>
            <w:hideMark/>
          </w:tcPr>
          <w:p w14:paraId="2B49F4C0"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621" w:type="dxa"/>
            <w:gridSpan w:val="2"/>
            <w:vMerge/>
            <w:vAlign w:val="center"/>
            <w:hideMark/>
          </w:tcPr>
          <w:p w14:paraId="4F3F3008" w14:textId="77777777" w:rsidR="00B860BE" w:rsidRPr="00C223C3" w:rsidRDefault="00B860BE" w:rsidP="00E37B05">
            <w:pPr>
              <w:rPr>
                <w:rFonts w:ascii="Arial" w:hAnsi="Arial" w:cs="Arial"/>
                <w:color w:val="000000" w:themeColor="text1"/>
                <w:lang w:eastAsia="pt-BR"/>
              </w:rPr>
            </w:pPr>
          </w:p>
        </w:tc>
      </w:tr>
      <w:tr w:rsidR="00B860BE" w:rsidRPr="00C223C3" w14:paraId="453669C1" w14:textId="77777777" w:rsidTr="00E37B05">
        <w:trPr>
          <w:gridAfter w:val="1"/>
          <w:wAfter w:w="12" w:type="dxa"/>
          <w:trHeight w:val="271"/>
        </w:trPr>
        <w:tc>
          <w:tcPr>
            <w:tcW w:w="3137" w:type="dxa"/>
            <w:gridSpan w:val="2"/>
            <w:tcBorders>
              <w:top w:val="single" w:sz="4" w:space="0" w:color="auto"/>
              <w:left w:val="nil"/>
              <w:bottom w:val="nil"/>
              <w:right w:val="nil"/>
            </w:tcBorders>
            <w:noWrap/>
            <w:vAlign w:val="bottom"/>
            <w:hideMark/>
          </w:tcPr>
          <w:p w14:paraId="364623F8" w14:textId="62E3E2B3" w:rsidR="00B860BE" w:rsidRPr="00C223C3" w:rsidRDefault="009136D6" w:rsidP="00E37B05">
            <w:pPr>
              <w:rPr>
                <w:rFonts w:ascii="Arial" w:hAnsi="Arial" w:cs="Arial"/>
                <w:b/>
                <w:bCs/>
                <w:color w:val="000000" w:themeColor="text1"/>
                <w:lang w:eastAsia="pt-BR"/>
              </w:rPr>
            </w:pPr>
            <w:r w:rsidRPr="00C223C3">
              <w:rPr>
                <w:rFonts w:ascii="Arial" w:hAnsi="Arial" w:cs="Arial"/>
                <w:b/>
                <w:bCs/>
                <w:color w:val="000000" w:themeColor="text1"/>
                <w:lang w:eastAsia="pt-BR"/>
              </w:rPr>
              <w:t>Clinical treatment</w:t>
            </w:r>
          </w:p>
        </w:tc>
        <w:tc>
          <w:tcPr>
            <w:tcW w:w="2271" w:type="dxa"/>
            <w:gridSpan w:val="2"/>
            <w:tcBorders>
              <w:top w:val="single" w:sz="4" w:space="0" w:color="auto"/>
              <w:left w:val="nil"/>
              <w:bottom w:val="nil"/>
              <w:right w:val="nil"/>
            </w:tcBorders>
            <w:noWrap/>
            <w:vAlign w:val="bottom"/>
            <w:hideMark/>
          </w:tcPr>
          <w:p w14:paraId="3BDEC0A1"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2340" w:type="dxa"/>
            <w:gridSpan w:val="2"/>
            <w:tcBorders>
              <w:top w:val="single" w:sz="4" w:space="0" w:color="auto"/>
              <w:left w:val="nil"/>
              <w:bottom w:val="nil"/>
              <w:right w:val="nil"/>
            </w:tcBorders>
            <w:noWrap/>
            <w:vAlign w:val="bottom"/>
            <w:hideMark/>
          </w:tcPr>
          <w:p w14:paraId="6B90AAAA"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1621" w:type="dxa"/>
            <w:gridSpan w:val="2"/>
            <w:tcBorders>
              <w:top w:val="single" w:sz="4" w:space="0" w:color="auto"/>
              <w:left w:val="nil"/>
              <w:right w:val="nil"/>
            </w:tcBorders>
            <w:noWrap/>
            <w:vAlign w:val="bottom"/>
            <w:hideMark/>
          </w:tcPr>
          <w:p w14:paraId="27F03538" w14:textId="77777777" w:rsidR="00B860BE"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B860BE" w:rsidRPr="00C223C3" w14:paraId="74E97845"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5383E4BB" w14:textId="3A8780EC" w:rsidR="00B860BE" w:rsidRPr="00C223C3" w:rsidRDefault="00616742" w:rsidP="00E37B05">
            <w:pPr>
              <w:rPr>
                <w:rFonts w:ascii="Arial" w:hAnsi="Arial" w:cs="Arial"/>
                <w:color w:val="000000" w:themeColor="text1"/>
                <w:lang w:eastAsia="pt-BR"/>
              </w:rPr>
            </w:pPr>
            <w:r w:rsidRPr="00C223C3">
              <w:rPr>
                <w:rFonts w:ascii="Arial" w:hAnsi="Arial" w:cs="Arial"/>
                <w:color w:val="000000" w:themeColor="text1"/>
                <w:lang w:eastAsia="pt-BR"/>
              </w:rPr>
              <w:t>Yes</w:t>
            </w:r>
          </w:p>
        </w:tc>
        <w:tc>
          <w:tcPr>
            <w:tcW w:w="2271" w:type="dxa"/>
            <w:gridSpan w:val="2"/>
            <w:tcBorders>
              <w:top w:val="nil"/>
              <w:left w:val="nil"/>
              <w:bottom w:val="nil"/>
              <w:right w:val="nil"/>
            </w:tcBorders>
            <w:noWrap/>
            <w:vAlign w:val="bottom"/>
            <w:hideMark/>
          </w:tcPr>
          <w:p w14:paraId="05EACF0D"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21 (70%)</w:t>
            </w:r>
          </w:p>
        </w:tc>
        <w:tc>
          <w:tcPr>
            <w:tcW w:w="2340" w:type="dxa"/>
            <w:gridSpan w:val="2"/>
            <w:tcBorders>
              <w:top w:val="nil"/>
              <w:left w:val="nil"/>
              <w:bottom w:val="nil"/>
              <w:right w:val="nil"/>
            </w:tcBorders>
            <w:noWrap/>
            <w:vAlign w:val="bottom"/>
            <w:hideMark/>
          </w:tcPr>
          <w:p w14:paraId="1C15D588"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621" w:type="dxa"/>
            <w:gridSpan w:val="2"/>
            <w:vMerge w:val="restart"/>
            <w:tcBorders>
              <w:top w:val="nil"/>
              <w:left w:val="nil"/>
              <w:bottom w:val="single" w:sz="4" w:space="0" w:color="auto"/>
              <w:right w:val="nil"/>
            </w:tcBorders>
            <w:vAlign w:val="center"/>
            <w:hideMark/>
          </w:tcPr>
          <w:p w14:paraId="0CAD718A"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X</w:t>
            </w:r>
            <w:r w:rsidRPr="00C223C3">
              <w:rPr>
                <w:rFonts w:ascii="Arial" w:hAnsi="Arial" w:cs="Arial"/>
                <w:color w:val="000000" w:themeColor="text1"/>
                <w:vertAlign w:val="superscript"/>
                <w:lang w:eastAsia="pt-BR"/>
              </w:rPr>
              <w:t>2</w:t>
            </w:r>
            <w:r w:rsidRPr="00C223C3">
              <w:rPr>
                <w:rFonts w:ascii="Arial" w:hAnsi="Arial" w:cs="Arial"/>
                <w:color w:val="000000" w:themeColor="text1"/>
                <w:lang w:eastAsia="pt-BR"/>
              </w:rPr>
              <w:t xml:space="preserve"> = 0,</w:t>
            </w:r>
            <w:proofErr w:type="gramStart"/>
            <w:r w:rsidRPr="00C223C3">
              <w:rPr>
                <w:rFonts w:ascii="Arial" w:hAnsi="Arial" w:cs="Arial"/>
                <w:color w:val="000000" w:themeColor="text1"/>
                <w:lang w:eastAsia="pt-BR"/>
              </w:rPr>
              <w:t xml:space="preserve">60;   </w:t>
            </w:r>
            <w:proofErr w:type="gramEnd"/>
            <w:r w:rsidRPr="00C223C3">
              <w:rPr>
                <w:rFonts w:ascii="Arial" w:hAnsi="Arial" w:cs="Arial"/>
                <w:color w:val="000000" w:themeColor="text1"/>
                <w:lang w:eastAsia="pt-BR"/>
              </w:rPr>
              <w:t xml:space="preserve">         p = 0,47</w:t>
            </w:r>
          </w:p>
        </w:tc>
      </w:tr>
      <w:tr w:rsidR="00B860BE" w:rsidRPr="00C223C3" w14:paraId="4F8DF28F" w14:textId="77777777" w:rsidTr="00E37B05">
        <w:trPr>
          <w:gridAfter w:val="1"/>
          <w:wAfter w:w="12" w:type="dxa"/>
          <w:trHeight w:val="271"/>
        </w:trPr>
        <w:tc>
          <w:tcPr>
            <w:tcW w:w="3137" w:type="dxa"/>
            <w:gridSpan w:val="2"/>
            <w:tcBorders>
              <w:top w:val="nil"/>
              <w:left w:val="nil"/>
              <w:bottom w:val="single" w:sz="4" w:space="0" w:color="auto"/>
              <w:right w:val="nil"/>
            </w:tcBorders>
            <w:noWrap/>
            <w:vAlign w:val="bottom"/>
            <w:hideMark/>
          </w:tcPr>
          <w:p w14:paraId="3BB7F7A9" w14:textId="7B69C415" w:rsidR="00B860BE"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No</w:t>
            </w:r>
          </w:p>
        </w:tc>
        <w:tc>
          <w:tcPr>
            <w:tcW w:w="2271" w:type="dxa"/>
            <w:gridSpan w:val="2"/>
            <w:tcBorders>
              <w:top w:val="nil"/>
              <w:left w:val="nil"/>
              <w:bottom w:val="single" w:sz="4" w:space="0" w:color="auto"/>
              <w:right w:val="nil"/>
            </w:tcBorders>
            <w:noWrap/>
            <w:vAlign w:val="bottom"/>
            <w:hideMark/>
          </w:tcPr>
          <w:p w14:paraId="1BA4ED55"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7 (23,4%)</w:t>
            </w:r>
          </w:p>
        </w:tc>
        <w:tc>
          <w:tcPr>
            <w:tcW w:w="2340" w:type="dxa"/>
            <w:gridSpan w:val="2"/>
            <w:tcBorders>
              <w:top w:val="nil"/>
              <w:left w:val="nil"/>
              <w:bottom w:val="single" w:sz="4" w:space="0" w:color="auto"/>
              <w:right w:val="nil"/>
            </w:tcBorders>
            <w:noWrap/>
            <w:vAlign w:val="bottom"/>
            <w:hideMark/>
          </w:tcPr>
          <w:p w14:paraId="21318EAD"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621" w:type="dxa"/>
            <w:gridSpan w:val="2"/>
            <w:vMerge/>
            <w:tcBorders>
              <w:top w:val="single" w:sz="4" w:space="0" w:color="000000" w:themeColor="text1"/>
              <w:bottom w:val="single" w:sz="4" w:space="0" w:color="auto"/>
            </w:tcBorders>
            <w:vAlign w:val="center"/>
            <w:hideMark/>
          </w:tcPr>
          <w:p w14:paraId="053B508D" w14:textId="77777777" w:rsidR="00B860BE" w:rsidRPr="00C223C3" w:rsidRDefault="00B860BE" w:rsidP="00E37B05">
            <w:pPr>
              <w:rPr>
                <w:rFonts w:ascii="Arial" w:hAnsi="Arial" w:cs="Arial"/>
                <w:color w:val="000000" w:themeColor="text1"/>
                <w:lang w:eastAsia="pt-BR"/>
              </w:rPr>
            </w:pPr>
          </w:p>
        </w:tc>
      </w:tr>
      <w:tr w:rsidR="00B860BE" w:rsidRPr="00C223C3" w14:paraId="6E3C7C69"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139F40C7" w14:textId="2FF33751" w:rsidR="00B860BE" w:rsidRPr="00C223C3" w:rsidRDefault="00937DA7" w:rsidP="00E37B05">
            <w:pPr>
              <w:rPr>
                <w:rFonts w:ascii="Arial" w:hAnsi="Arial" w:cs="Arial"/>
                <w:b/>
                <w:bCs/>
                <w:color w:val="000000" w:themeColor="text1"/>
                <w:lang w:eastAsia="pt-BR"/>
              </w:rPr>
            </w:pPr>
            <w:r w:rsidRPr="00C223C3">
              <w:rPr>
                <w:rFonts w:ascii="Arial" w:hAnsi="Arial" w:cs="Arial"/>
                <w:b/>
                <w:bCs/>
                <w:color w:val="000000" w:themeColor="text1"/>
                <w:lang w:eastAsia="pt-BR"/>
              </w:rPr>
              <w:t>Type of clinical treatment</w:t>
            </w:r>
          </w:p>
        </w:tc>
        <w:tc>
          <w:tcPr>
            <w:tcW w:w="2271" w:type="dxa"/>
            <w:gridSpan w:val="2"/>
            <w:tcBorders>
              <w:top w:val="nil"/>
              <w:left w:val="nil"/>
              <w:bottom w:val="nil"/>
              <w:right w:val="nil"/>
            </w:tcBorders>
            <w:noWrap/>
            <w:vAlign w:val="bottom"/>
            <w:hideMark/>
          </w:tcPr>
          <w:p w14:paraId="5F84CA30" w14:textId="77777777" w:rsidR="00B860BE" w:rsidRPr="00C223C3" w:rsidRDefault="00B860BE" w:rsidP="00E37B05">
            <w:pPr>
              <w:rPr>
                <w:rFonts w:ascii="Arial" w:hAnsi="Arial" w:cs="Arial"/>
                <w:b/>
                <w:bCs/>
                <w:color w:val="000000" w:themeColor="text1"/>
                <w:lang w:eastAsia="pt-BR"/>
              </w:rPr>
            </w:pPr>
          </w:p>
        </w:tc>
        <w:tc>
          <w:tcPr>
            <w:tcW w:w="2340" w:type="dxa"/>
            <w:gridSpan w:val="2"/>
            <w:tcBorders>
              <w:top w:val="nil"/>
              <w:left w:val="nil"/>
              <w:bottom w:val="nil"/>
              <w:right w:val="nil"/>
            </w:tcBorders>
            <w:noWrap/>
            <w:vAlign w:val="bottom"/>
            <w:hideMark/>
          </w:tcPr>
          <w:p w14:paraId="044D809D" w14:textId="77777777" w:rsidR="00B860BE" w:rsidRPr="00C223C3" w:rsidRDefault="00B860BE" w:rsidP="00E37B05">
            <w:pPr>
              <w:jc w:val="center"/>
              <w:rPr>
                <w:rFonts w:ascii="Arial" w:hAnsi="Arial" w:cs="Arial"/>
                <w:color w:val="000000" w:themeColor="text1"/>
                <w:lang w:eastAsia="pt-BR"/>
              </w:rPr>
            </w:pPr>
          </w:p>
        </w:tc>
        <w:tc>
          <w:tcPr>
            <w:tcW w:w="1621" w:type="dxa"/>
            <w:gridSpan w:val="2"/>
            <w:tcBorders>
              <w:top w:val="single" w:sz="4" w:space="0" w:color="auto"/>
              <w:left w:val="nil"/>
              <w:bottom w:val="nil"/>
              <w:right w:val="nil"/>
            </w:tcBorders>
            <w:noWrap/>
            <w:vAlign w:val="bottom"/>
            <w:hideMark/>
          </w:tcPr>
          <w:p w14:paraId="2C4BAD1A" w14:textId="77777777" w:rsidR="00B860BE" w:rsidRPr="00C223C3" w:rsidRDefault="00B860BE" w:rsidP="00E37B05">
            <w:pPr>
              <w:jc w:val="center"/>
              <w:rPr>
                <w:rFonts w:ascii="Arial" w:hAnsi="Arial" w:cs="Arial"/>
                <w:color w:val="000000" w:themeColor="text1"/>
                <w:lang w:eastAsia="pt-BR"/>
              </w:rPr>
            </w:pPr>
          </w:p>
        </w:tc>
      </w:tr>
      <w:tr w:rsidR="00B860BE" w:rsidRPr="00C223C3" w14:paraId="47EDB39D"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217DAA4E" w14:textId="13303D2D" w:rsidR="00B860BE" w:rsidRPr="00C223C3" w:rsidRDefault="00937DA7" w:rsidP="00E37B05">
            <w:pPr>
              <w:rPr>
                <w:rFonts w:ascii="Arial" w:hAnsi="Arial" w:cs="Arial"/>
                <w:color w:val="000000" w:themeColor="text1"/>
                <w:lang w:eastAsia="pt-BR"/>
              </w:rPr>
            </w:pPr>
            <w:r w:rsidRPr="00C223C3">
              <w:rPr>
                <w:rFonts w:ascii="Arial" w:hAnsi="Arial" w:cs="Arial"/>
                <w:color w:val="000000" w:themeColor="text1"/>
                <w:lang w:eastAsia="pt-BR"/>
              </w:rPr>
              <w:t>Cabergoline/Bromocriptine</w:t>
            </w:r>
          </w:p>
        </w:tc>
        <w:tc>
          <w:tcPr>
            <w:tcW w:w="2271" w:type="dxa"/>
            <w:gridSpan w:val="2"/>
            <w:tcBorders>
              <w:top w:val="nil"/>
              <w:left w:val="nil"/>
              <w:bottom w:val="nil"/>
              <w:right w:val="nil"/>
            </w:tcBorders>
            <w:noWrap/>
            <w:vAlign w:val="bottom"/>
            <w:hideMark/>
          </w:tcPr>
          <w:p w14:paraId="6CFB2403"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18 (60%)</w:t>
            </w:r>
          </w:p>
        </w:tc>
        <w:tc>
          <w:tcPr>
            <w:tcW w:w="2340" w:type="dxa"/>
            <w:gridSpan w:val="2"/>
            <w:tcBorders>
              <w:top w:val="nil"/>
              <w:left w:val="nil"/>
              <w:bottom w:val="nil"/>
              <w:right w:val="nil"/>
            </w:tcBorders>
            <w:noWrap/>
            <w:vAlign w:val="bottom"/>
            <w:hideMark/>
          </w:tcPr>
          <w:p w14:paraId="79A17156"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621" w:type="dxa"/>
            <w:gridSpan w:val="2"/>
            <w:vMerge w:val="restart"/>
            <w:tcBorders>
              <w:top w:val="nil"/>
              <w:left w:val="nil"/>
              <w:bottom w:val="nil"/>
              <w:right w:val="nil"/>
            </w:tcBorders>
            <w:vAlign w:val="center"/>
            <w:hideMark/>
          </w:tcPr>
          <w:p w14:paraId="4185DFF6"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X</w:t>
            </w:r>
            <w:r w:rsidRPr="00C223C3">
              <w:rPr>
                <w:rFonts w:ascii="Arial" w:hAnsi="Arial" w:cs="Arial"/>
                <w:color w:val="000000" w:themeColor="text1"/>
                <w:vertAlign w:val="superscript"/>
                <w:lang w:eastAsia="pt-BR"/>
              </w:rPr>
              <w:t>2</w:t>
            </w:r>
            <w:r w:rsidRPr="00C223C3">
              <w:rPr>
                <w:rFonts w:ascii="Arial" w:hAnsi="Arial" w:cs="Arial"/>
                <w:color w:val="000000" w:themeColor="text1"/>
                <w:lang w:eastAsia="pt-BR"/>
              </w:rPr>
              <w:t xml:space="preserve"> = 0,</w:t>
            </w:r>
            <w:proofErr w:type="gramStart"/>
            <w:r w:rsidRPr="00C223C3">
              <w:rPr>
                <w:rFonts w:ascii="Arial" w:hAnsi="Arial" w:cs="Arial"/>
                <w:color w:val="000000" w:themeColor="text1"/>
                <w:lang w:eastAsia="pt-BR"/>
              </w:rPr>
              <w:t xml:space="preserve">71;   </w:t>
            </w:r>
            <w:proofErr w:type="gramEnd"/>
            <w:r w:rsidRPr="00C223C3">
              <w:rPr>
                <w:rFonts w:ascii="Arial" w:hAnsi="Arial" w:cs="Arial"/>
                <w:color w:val="000000" w:themeColor="text1"/>
                <w:lang w:eastAsia="pt-BR"/>
              </w:rPr>
              <w:t xml:space="preserve">         p = 0,87</w:t>
            </w:r>
          </w:p>
        </w:tc>
      </w:tr>
      <w:tr w:rsidR="00B860BE" w:rsidRPr="00C223C3" w14:paraId="2B0F444E"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0510604F" w14:textId="2747E52B" w:rsidR="00B860BE" w:rsidRPr="00C223C3" w:rsidRDefault="00937DA7" w:rsidP="00E37B05">
            <w:pPr>
              <w:rPr>
                <w:rFonts w:ascii="Arial" w:hAnsi="Arial" w:cs="Arial"/>
                <w:color w:val="000000" w:themeColor="text1"/>
                <w:lang w:eastAsia="pt-BR"/>
              </w:rPr>
            </w:pPr>
            <w:r w:rsidRPr="00C223C3">
              <w:rPr>
                <w:rFonts w:ascii="Arial" w:hAnsi="Arial" w:cs="Arial"/>
                <w:color w:val="000000" w:themeColor="text1"/>
                <w:lang w:eastAsia="pt-BR"/>
              </w:rPr>
              <w:t>Octreotide/</w:t>
            </w:r>
            <w:proofErr w:type="spellStart"/>
            <w:r w:rsidRPr="00C223C3">
              <w:rPr>
                <w:rFonts w:ascii="Arial" w:hAnsi="Arial" w:cs="Arial"/>
                <w:color w:val="000000" w:themeColor="text1"/>
                <w:lang w:eastAsia="pt-BR"/>
              </w:rPr>
              <w:t>Lanreotide</w:t>
            </w:r>
            <w:proofErr w:type="spellEnd"/>
          </w:p>
        </w:tc>
        <w:tc>
          <w:tcPr>
            <w:tcW w:w="2271" w:type="dxa"/>
            <w:gridSpan w:val="2"/>
            <w:tcBorders>
              <w:top w:val="nil"/>
              <w:left w:val="nil"/>
              <w:bottom w:val="nil"/>
              <w:right w:val="nil"/>
            </w:tcBorders>
            <w:noWrap/>
            <w:vAlign w:val="bottom"/>
            <w:hideMark/>
          </w:tcPr>
          <w:p w14:paraId="604B7B1B"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 (6,7%)</w:t>
            </w:r>
          </w:p>
        </w:tc>
        <w:tc>
          <w:tcPr>
            <w:tcW w:w="2340" w:type="dxa"/>
            <w:gridSpan w:val="2"/>
            <w:tcBorders>
              <w:top w:val="nil"/>
              <w:left w:val="nil"/>
              <w:bottom w:val="nil"/>
              <w:right w:val="nil"/>
            </w:tcBorders>
            <w:noWrap/>
            <w:vAlign w:val="bottom"/>
            <w:hideMark/>
          </w:tcPr>
          <w:p w14:paraId="4ABEB4CB"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621" w:type="dxa"/>
            <w:gridSpan w:val="2"/>
            <w:vMerge/>
            <w:vAlign w:val="center"/>
            <w:hideMark/>
          </w:tcPr>
          <w:p w14:paraId="112A9E80" w14:textId="77777777" w:rsidR="00B860BE" w:rsidRPr="00C223C3" w:rsidRDefault="00B860BE" w:rsidP="00E37B05">
            <w:pPr>
              <w:rPr>
                <w:rFonts w:ascii="Arial" w:hAnsi="Arial" w:cs="Arial"/>
                <w:color w:val="000000" w:themeColor="text1"/>
                <w:lang w:eastAsia="pt-BR"/>
              </w:rPr>
            </w:pPr>
          </w:p>
        </w:tc>
      </w:tr>
      <w:tr w:rsidR="00B860BE" w:rsidRPr="00C223C3" w14:paraId="7DB66108"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03BC39D5" w14:textId="700A90F5" w:rsidR="00B860BE" w:rsidRPr="00C223C3" w:rsidRDefault="008A1090" w:rsidP="00E37B05">
            <w:pPr>
              <w:rPr>
                <w:rFonts w:ascii="Arial" w:hAnsi="Arial" w:cs="Arial"/>
                <w:color w:val="000000" w:themeColor="text1"/>
                <w:lang w:eastAsia="pt-BR"/>
              </w:rPr>
            </w:pPr>
            <w:r w:rsidRPr="00C223C3">
              <w:rPr>
                <w:rFonts w:ascii="Arial" w:hAnsi="Arial" w:cs="Arial"/>
                <w:color w:val="000000" w:themeColor="text1"/>
                <w:lang w:eastAsia="pt-BR"/>
              </w:rPr>
              <w:t>Other</w:t>
            </w:r>
          </w:p>
        </w:tc>
        <w:tc>
          <w:tcPr>
            <w:tcW w:w="2271" w:type="dxa"/>
            <w:gridSpan w:val="2"/>
            <w:tcBorders>
              <w:top w:val="nil"/>
              <w:left w:val="nil"/>
              <w:bottom w:val="nil"/>
              <w:right w:val="nil"/>
            </w:tcBorders>
            <w:noWrap/>
            <w:vAlign w:val="bottom"/>
            <w:hideMark/>
          </w:tcPr>
          <w:p w14:paraId="67035D85"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2340" w:type="dxa"/>
            <w:gridSpan w:val="2"/>
            <w:tcBorders>
              <w:top w:val="nil"/>
              <w:left w:val="nil"/>
              <w:bottom w:val="nil"/>
              <w:right w:val="nil"/>
            </w:tcBorders>
            <w:noWrap/>
            <w:vAlign w:val="bottom"/>
            <w:hideMark/>
          </w:tcPr>
          <w:p w14:paraId="0727998D"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621" w:type="dxa"/>
            <w:gridSpan w:val="2"/>
            <w:vMerge/>
            <w:vAlign w:val="center"/>
            <w:hideMark/>
          </w:tcPr>
          <w:p w14:paraId="153A6EB9" w14:textId="77777777" w:rsidR="00B860BE" w:rsidRPr="00C223C3" w:rsidRDefault="00B860BE" w:rsidP="00E37B05">
            <w:pPr>
              <w:rPr>
                <w:rFonts w:ascii="Arial" w:hAnsi="Arial" w:cs="Arial"/>
                <w:color w:val="000000" w:themeColor="text1"/>
                <w:lang w:eastAsia="pt-BR"/>
              </w:rPr>
            </w:pPr>
          </w:p>
        </w:tc>
      </w:tr>
      <w:tr w:rsidR="00B860BE" w:rsidRPr="00C223C3" w14:paraId="78D61512"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58B56817" w14:textId="07C81FE6" w:rsidR="00B860BE" w:rsidRPr="00C223C3" w:rsidRDefault="008A1090" w:rsidP="00E37B05">
            <w:pPr>
              <w:rPr>
                <w:rFonts w:ascii="Arial" w:hAnsi="Arial" w:cs="Arial"/>
                <w:color w:val="000000" w:themeColor="text1"/>
                <w:lang w:val="pt-BR" w:eastAsia="pt-BR"/>
              </w:rPr>
            </w:pPr>
            <w:r w:rsidRPr="00C223C3">
              <w:rPr>
                <w:rFonts w:ascii="Arial" w:hAnsi="Arial" w:cs="Arial"/>
                <w:color w:val="000000" w:themeColor="text1"/>
                <w:lang w:val="pt-BR" w:eastAsia="pt-BR"/>
              </w:rPr>
              <w:t>No clinical treatment</w:t>
            </w:r>
          </w:p>
        </w:tc>
        <w:tc>
          <w:tcPr>
            <w:tcW w:w="2271" w:type="dxa"/>
            <w:gridSpan w:val="2"/>
            <w:tcBorders>
              <w:top w:val="nil"/>
              <w:left w:val="nil"/>
              <w:bottom w:val="nil"/>
              <w:right w:val="nil"/>
            </w:tcBorders>
            <w:noWrap/>
            <w:vAlign w:val="bottom"/>
            <w:hideMark/>
          </w:tcPr>
          <w:p w14:paraId="426721AF"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7 (23,4%)</w:t>
            </w:r>
          </w:p>
        </w:tc>
        <w:tc>
          <w:tcPr>
            <w:tcW w:w="2340" w:type="dxa"/>
            <w:gridSpan w:val="2"/>
            <w:tcBorders>
              <w:top w:val="nil"/>
              <w:left w:val="nil"/>
              <w:bottom w:val="nil"/>
              <w:right w:val="nil"/>
            </w:tcBorders>
            <w:noWrap/>
            <w:vAlign w:val="bottom"/>
            <w:hideMark/>
          </w:tcPr>
          <w:p w14:paraId="0983FC90"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621" w:type="dxa"/>
            <w:gridSpan w:val="2"/>
            <w:vMerge/>
            <w:vAlign w:val="center"/>
            <w:hideMark/>
          </w:tcPr>
          <w:p w14:paraId="277CC674" w14:textId="77777777" w:rsidR="00B860BE" w:rsidRPr="00C223C3" w:rsidRDefault="00B860BE" w:rsidP="00E37B05">
            <w:pPr>
              <w:rPr>
                <w:rFonts w:ascii="Arial" w:hAnsi="Arial" w:cs="Arial"/>
                <w:color w:val="000000" w:themeColor="text1"/>
                <w:lang w:eastAsia="pt-BR"/>
              </w:rPr>
            </w:pPr>
          </w:p>
        </w:tc>
      </w:tr>
      <w:tr w:rsidR="00B860BE" w:rsidRPr="00C223C3" w14:paraId="61E88BAE" w14:textId="77777777" w:rsidTr="00E37B05">
        <w:trPr>
          <w:gridAfter w:val="1"/>
          <w:wAfter w:w="12" w:type="dxa"/>
          <w:trHeight w:val="271"/>
        </w:trPr>
        <w:tc>
          <w:tcPr>
            <w:tcW w:w="3137" w:type="dxa"/>
            <w:gridSpan w:val="2"/>
            <w:tcBorders>
              <w:top w:val="single" w:sz="4" w:space="0" w:color="auto"/>
              <w:left w:val="nil"/>
              <w:bottom w:val="single" w:sz="4" w:space="0" w:color="auto"/>
              <w:right w:val="nil"/>
            </w:tcBorders>
            <w:noWrap/>
            <w:vAlign w:val="bottom"/>
            <w:hideMark/>
          </w:tcPr>
          <w:p w14:paraId="47F357F0" w14:textId="48D02F21" w:rsidR="00B860BE" w:rsidRPr="00C223C3" w:rsidRDefault="00616742" w:rsidP="00E37B05">
            <w:pPr>
              <w:rPr>
                <w:rFonts w:ascii="Arial" w:hAnsi="Arial" w:cs="Arial"/>
                <w:b/>
                <w:bCs/>
                <w:color w:val="000000" w:themeColor="text1"/>
                <w:lang w:eastAsia="pt-BR"/>
              </w:rPr>
            </w:pPr>
            <w:r w:rsidRPr="00C223C3">
              <w:rPr>
                <w:rFonts w:ascii="Arial" w:hAnsi="Arial" w:cs="Arial"/>
                <w:b/>
                <w:bCs/>
                <w:color w:val="000000" w:themeColor="text1"/>
                <w:lang w:eastAsia="pt-BR"/>
              </w:rPr>
              <w:t>Pathology</w:t>
            </w:r>
          </w:p>
        </w:tc>
        <w:tc>
          <w:tcPr>
            <w:tcW w:w="2271" w:type="dxa"/>
            <w:gridSpan w:val="2"/>
            <w:tcBorders>
              <w:top w:val="single" w:sz="4" w:space="0" w:color="auto"/>
              <w:left w:val="nil"/>
              <w:bottom w:val="single" w:sz="4" w:space="0" w:color="auto"/>
              <w:right w:val="nil"/>
            </w:tcBorders>
            <w:noWrap/>
            <w:vAlign w:val="bottom"/>
            <w:hideMark/>
          </w:tcPr>
          <w:p w14:paraId="5D816A87" w14:textId="5A8410D4" w:rsidR="00B860BE" w:rsidRPr="00C223C3" w:rsidRDefault="00C41515" w:rsidP="00E37B05">
            <w:pPr>
              <w:rPr>
                <w:rFonts w:ascii="Arial" w:hAnsi="Arial" w:cs="Arial"/>
                <w:b/>
                <w:bCs/>
                <w:color w:val="000000" w:themeColor="text1"/>
                <w:lang w:eastAsia="pt-BR"/>
              </w:rPr>
            </w:pPr>
            <w:r w:rsidRPr="00C223C3">
              <w:rPr>
                <w:rFonts w:ascii="Arial" w:hAnsi="Arial" w:cs="Arial"/>
                <w:b/>
                <w:bCs/>
                <w:color w:val="000000" w:themeColor="text1"/>
                <w:lang w:eastAsia="pt-BR"/>
              </w:rPr>
              <w:t>AH not functioning</w:t>
            </w:r>
          </w:p>
        </w:tc>
        <w:tc>
          <w:tcPr>
            <w:tcW w:w="2340" w:type="dxa"/>
            <w:gridSpan w:val="2"/>
            <w:tcBorders>
              <w:top w:val="single" w:sz="4" w:space="0" w:color="auto"/>
              <w:left w:val="nil"/>
              <w:bottom w:val="single" w:sz="4" w:space="0" w:color="auto"/>
              <w:right w:val="nil"/>
            </w:tcBorders>
            <w:noWrap/>
            <w:vAlign w:val="bottom"/>
            <w:hideMark/>
          </w:tcPr>
          <w:p w14:paraId="48E09CCD" w14:textId="7AF4AC08" w:rsidR="00B860BE" w:rsidRPr="00C223C3" w:rsidRDefault="00132ABE" w:rsidP="00E37B05">
            <w:pPr>
              <w:rPr>
                <w:rFonts w:ascii="Arial" w:hAnsi="Arial" w:cs="Arial"/>
                <w:b/>
                <w:bCs/>
                <w:color w:val="000000" w:themeColor="text1"/>
                <w:lang w:eastAsia="pt-BR"/>
              </w:rPr>
            </w:pPr>
            <w:r w:rsidRPr="00C223C3">
              <w:rPr>
                <w:rFonts w:ascii="Arial" w:hAnsi="Arial" w:cs="Arial"/>
                <w:b/>
                <w:bCs/>
                <w:color w:val="000000" w:themeColor="text1"/>
                <w:lang w:eastAsia="pt-BR"/>
              </w:rPr>
              <w:t>AH functioning</w:t>
            </w:r>
          </w:p>
        </w:tc>
        <w:tc>
          <w:tcPr>
            <w:tcW w:w="1621" w:type="dxa"/>
            <w:gridSpan w:val="2"/>
            <w:tcBorders>
              <w:top w:val="single" w:sz="4" w:space="0" w:color="auto"/>
              <w:left w:val="nil"/>
              <w:bottom w:val="single" w:sz="4" w:space="0" w:color="auto"/>
              <w:right w:val="nil"/>
            </w:tcBorders>
            <w:noWrap/>
            <w:vAlign w:val="bottom"/>
            <w:hideMark/>
          </w:tcPr>
          <w:p w14:paraId="6BEC438E" w14:textId="11F8B08D" w:rsidR="00B860BE" w:rsidRPr="00C223C3" w:rsidRDefault="00771859" w:rsidP="00E37B05">
            <w:pPr>
              <w:jc w:val="center"/>
              <w:rPr>
                <w:rFonts w:ascii="Arial" w:hAnsi="Arial" w:cs="Arial"/>
                <w:b/>
                <w:bCs/>
                <w:color w:val="000000" w:themeColor="text1"/>
                <w:lang w:eastAsia="pt-BR"/>
              </w:rPr>
            </w:pPr>
            <w:r w:rsidRPr="00C223C3">
              <w:rPr>
                <w:rFonts w:ascii="Arial" w:hAnsi="Arial" w:cs="Arial"/>
                <w:b/>
                <w:bCs/>
                <w:color w:val="000000" w:themeColor="text1"/>
              </w:rPr>
              <w:t>Significance</w:t>
            </w:r>
          </w:p>
        </w:tc>
      </w:tr>
      <w:tr w:rsidR="00B860BE" w:rsidRPr="00C223C3" w14:paraId="6FC2A8DE" w14:textId="77777777" w:rsidTr="00E37B05">
        <w:trPr>
          <w:gridAfter w:val="1"/>
          <w:wAfter w:w="12" w:type="dxa"/>
          <w:trHeight w:val="271"/>
        </w:trPr>
        <w:tc>
          <w:tcPr>
            <w:tcW w:w="3137" w:type="dxa"/>
            <w:gridSpan w:val="2"/>
            <w:tcBorders>
              <w:top w:val="single" w:sz="4" w:space="0" w:color="auto"/>
              <w:left w:val="nil"/>
              <w:bottom w:val="nil"/>
              <w:right w:val="nil"/>
            </w:tcBorders>
            <w:noWrap/>
            <w:vAlign w:val="bottom"/>
            <w:hideMark/>
          </w:tcPr>
          <w:p w14:paraId="31437E09" w14:textId="5316877F" w:rsidR="00B860BE" w:rsidRPr="00C223C3" w:rsidRDefault="009136D6" w:rsidP="00E37B05">
            <w:pPr>
              <w:rPr>
                <w:rFonts w:ascii="Arial" w:hAnsi="Arial" w:cs="Arial"/>
                <w:b/>
                <w:bCs/>
                <w:color w:val="000000" w:themeColor="text1"/>
                <w:lang w:eastAsia="pt-BR"/>
              </w:rPr>
            </w:pPr>
            <w:r w:rsidRPr="00C223C3">
              <w:rPr>
                <w:rFonts w:ascii="Arial" w:hAnsi="Arial" w:cs="Arial"/>
                <w:b/>
                <w:bCs/>
                <w:color w:val="000000" w:themeColor="text1"/>
                <w:lang w:eastAsia="pt-BR"/>
              </w:rPr>
              <w:t>Surgery</w:t>
            </w:r>
          </w:p>
        </w:tc>
        <w:tc>
          <w:tcPr>
            <w:tcW w:w="2271" w:type="dxa"/>
            <w:gridSpan w:val="2"/>
            <w:tcBorders>
              <w:top w:val="single" w:sz="4" w:space="0" w:color="auto"/>
              <w:left w:val="nil"/>
              <w:bottom w:val="nil"/>
              <w:right w:val="nil"/>
            </w:tcBorders>
            <w:noWrap/>
            <w:vAlign w:val="bottom"/>
            <w:hideMark/>
          </w:tcPr>
          <w:p w14:paraId="0546E15C"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2340" w:type="dxa"/>
            <w:gridSpan w:val="2"/>
            <w:tcBorders>
              <w:top w:val="single" w:sz="4" w:space="0" w:color="auto"/>
              <w:left w:val="nil"/>
              <w:bottom w:val="nil"/>
              <w:right w:val="nil"/>
            </w:tcBorders>
            <w:noWrap/>
            <w:vAlign w:val="bottom"/>
            <w:hideMark/>
          </w:tcPr>
          <w:p w14:paraId="0B4041D8"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1621" w:type="dxa"/>
            <w:gridSpan w:val="2"/>
            <w:tcBorders>
              <w:top w:val="single" w:sz="4" w:space="0" w:color="auto"/>
              <w:left w:val="nil"/>
              <w:right w:val="nil"/>
            </w:tcBorders>
            <w:noWrap/>
            <w:vAlign w:val="bottom"/>
            <w:hideMark/>
          </w:tcPr>
          <w:p w14:paraId="3B2AB085" w14:textId="77777777" w:rsidR="00B860BE"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B860BE" w:rsidRPr="00C223C3" w14:paraId="7C292186"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19D54297" w14:textId="2D62AA88" w:rsidR="00B860BE" w:rsidRPr="00C223C3" w:rsidRDefault="00616742" w:rsidP="00E37B05">
            <w:pPr>
              <w:rPr>
                <w:rFonts w:ascii="Arial" w:hAnsi="Arial" w:cs="Arial"/>
                <w:color w:val="000000" w:themeColor="text1"/>
                <w:lang w:eastAsia="pt-BR"/>
              </w:rPr>
            </w:pPr>
            <w:r w:rsidRPr="00C223C3">
              <w:rPr>
                <w:rFonts w:ascii="Arial" w:hAnsi="Arial" w:cs="Arial"/>
                <w:color w:val="000000" w:themeColor="text1"/>
                <w:lang w:eastAsia="pt-BR"/>
              </w:rPr>
              <w:t>Yes</w:t>
            </w:r>
          </w:p>
        </w:tc>
        <w:tc>
          <w:tcPr>
            <w:tcW w:w="2271" w:type="dxa"/>
            <w:gridSpan w:val="2"/>
            <w:tcBorders>
              <w:top w:val="nil"/>
              <w:left w:val="nil"/>
              <w:bottom w:val="nil"/>
              <w:right w:val="nil"/>
            </w:tcBorders>
            <w:noWrap/>
            <w:vAlign w:val="bottom"/>
            <w:hideMark/>
          </w:tcPr>
          <w:p w14:paraId="25684ABD"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2340" w:type="dxa"/>
            <w:gridSpan w:val="2"/>
            <w:tcBorders>
              <w:top w:val="nil"/>
              <w:left w:val="nil"/>
              <w:bottom w:val="nil"/>
              <w:right w:val="nil"/>
            </w:tcBorders>
            <w:noWrap/>
            <w:vAlign w:val="bottom"/>
            <w:hideMark/>
          </w:tcPr>
          <w:p w14:paraId="2D07EAC3"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3 (10%)</w:t>
            </w:r>
          </w:p>
        </w:tc>
        <w:tc>
          <w:tcPr>
            <w:tcW w:w="1621" w:type="dxa"/>
            <w:gridSpan w:val="2"/>
            <w:vMerge w:val="restart"/>
            <w:tcBorders>
              <w:top w:val="nil"/>
              <w:left w:val="nil"/>
              <w:bottom w:val="single" w:sz="4" w:space="0" w:color="auto"/>
              <w:right w:val="nil"/>
            </w:tcBorders>
            <w:vAlign w:val="bottom"/>
            <w:hideMark/>
          </w:tcPr>
          <w:p w14:paraId="23C5F3DD"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X</w:t>
            </w:r>
            <w:r w:rsidRPr="00C223C3">
              <w:rPr>
                <w:rFonts w:ascii="Arial" w:hAnsi="Arial" w:cs="Arial"/>
                <w:color w:val="000000" w:themeColor="text1"/>
                <w:vertAlign w:val="superscript"/>
                <w:lang w:eastAsia="pt-BR"/>
              </w:rPr>
              <w:t>2</w:t>
            </w:r>
            <w:r w:rsidRPr="00C223C3">
              <w:rPr>
                <w:rFonts w:ascii="Arial" w:hAnsi="Arial" w:cs="Arial"/>
                <w:color w:val="000000" w:themeColor="text1"/>
                <w:lang w:eastAsia="pt-BR"/>
              </w:rPr>
              <w:t xml:space="preserve"> = 0,</w:t>
            </w:r>
            <w:proofErr w:type="gramStart"/>
            <w:r w:rsidRPr="00C223C3">
              <w:rPr>
                <w:rFonts w:ascii="Arial" w:hAnsi="Arial" w:cs="Arial"/>
                <w:color w:val="000000" w:themeColor="text1"/>
                <w:lang w:eastAsia="pt-BR"/>
              </w:rPr>
              <w:t xml:space="preserve">11;   </w:t>
            </w:r>
            <w:proofErr w:type="gramEnd"/>
            <w:r w:rsidRPr="00C223C3">
              <w:rPr>
                <w:rFonts w:ascii="Arial" w:hAnsi="Arial" w:cs="Arial"/>
                <w:color w:val="000000" w:themeColor="text1"/>
                <w:lang w:eastAsia="pt-BR"/>
              </w:rPr>
              <w:t xml:space="preserve">         p = 0,9</w:t>
            </w:r>
          </w:p>
        </w:tc>
      </w:tr>
      <w:tr w:rsidR="00B860BE" w:rsidRPr="00C223C3" w14:paraId="6F29F9DC" w14:textId="77777777" w:rsidTr="00E37B05">
        <w:trPr>
          <w:gridAfter w:val="1"/>
          <w:wAfter w:w="12" w:type="dxa"/>
          <w:trHeight w:val="271"/>
        </w:trPr>
        <w:tc>
          <w:tcPr>
            <w:tcW w:w="3137" w:type="dxa"/>
            <w:gridSpan w:val="2"/>
            <w:tcBorders>
              <w:top w:val="nil"/>
              <w:left w:val="nil"/>
              <w:bottom w:val="single" w:sz="4" w:space="0" w:color="auto"/>
              <w:right w:val="nil"/>
            </w:tcBorders>
            <w:noWrap/>
            <w:vAlign w:val="bottom"/>
            <w:hideMark/>
          </w:tcPr>
          <w:p w14:paraId="50F81361" w14:textId="3D34E844" w:rsidR="00B860BE"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No</w:t>
            </w:r>
          </w:p>
        </w:tc>
        <w:tc>
          <w:tcPr>
            <w:tcW w:w="2271" w:type="dxa"/>
            <w:gridSpan w:val="2"/>
            <w:tcBorders>
              <w:top w:val="nil"/>
              <w:left w:val="nil"/>
              <w:bottom w:val="single" w:sz="4" w:space="0" w:color="auto"/>
              <w:right w:val="nil"/>
            </w:tcBorders>
            <w:noWrap/>
            <w:vAlign w:val="bottom"/>
            <w:hideMark/>
          </w:tcPr>
          <w:p w14:paraId="580C5A43"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2340" w:type="dxa"/>
            <w:gridSpan w:val="2"/>
            <w:tcBorders>
              <w:top w:val="nil"/>
              <w:left w:val="nil"/>
              <w:bottom w:val="single" w:sz="4" w:space="0" w:color="auto"/>
              <w:right w:val="nil"/>
            </w:tcBorders>
            <w:noWrap/>
            <w:vAlign w:val="bottom"/>
            <w:hideMark/>
          </w:tcPr>
          <w:p w14:paraId="6CEF9700"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26 (86,7%)</w:t>
            </w:r>
          </w:p>
        </w:tc>
        <w:tc>
          <w:tcPr>
            <w:tcW w:w="1621" w:type="dxa"/>
            <w:gridSpan w:val="2"/>
            <w:vMerge/>
            <w:tcBorders>
              <w:top w:val="single" w:sz="4" w:space="0" w:color="000000" w:themeColor="text1"/>
              <w:bottom w:val="single" w:sz="4" w:space="0" w:color="auto"/>
            </w:tcBorders>
            <w:vAlign w:val="center"/>
            <w:hideMark/>
          </w:tcPr>
          <w:p w14:paraId="3E80D2F6" w14:textId="77777777" w:rsidR="00B860BE" w:rsidRPr="00C223C3" w:rsidRDefault="00B860BE" w:rsidP="00E37B05">
            <w:pPr>
              <w:rPr>
                <w:rFonts w:ascii="Arial" w:hAnsi="Arial" w:cs="Arial"/>
                <w:color w:val="000000" w:themeColor="text1"/>
                <w:lang w:eastAsia="pt-BR"/>
              </w:rPr>
            </w:pPr>
          </w:p>
        </w:tc>
      </w:tr>
      <w:tr w:rsidR="00B860BE" w:rsidRPr="00C223C3" w14:paraId="3002623E" w14:textId="77777777" w:rsidTr="00E37B05">
        <w:trPr>
          <w:gridAfter w:val="1"/>
          <w:wAfter w:w="12" w:type="dxa"/>
          <w:trHeight w:val="271"/>
        </w:trPr>
        <w:tc>
          <w:tcPr>
            <w:tcW w:w="3137" w:type="dxa"/>
            <w:gridSpan w:val="2"/>
            <w:tcBorders>
              <w:top w:val="nil"/>
              <w:left w:val="nil"/>
              <w:right w:val="nil"/>
            </w:tcBorders>
            <w:noWrap/>
            <w:vAlign w:val="bottom"/>
            <w:hideMark/>
          </w:tcPr>
          <w:p w14:paraId="38636C9A" w14:textId="4AAF1E99" w:rsidR="00B860BE" w:rsidRPr="00C223C3" w:rsidRDefault="00101394" w:rsidP="00E37B05">
            <w:pPr>
              <w:rPr>
                <w:rFonts w:ascii="Arial" w:hAnsi="Arial" w:cs="Arial"/>
                <w:b/>
                <w:bCs/>
                <w:color w:val="000000" w:themeColor="text1"/>
                <w:lang w:eastAsia="pt-BR"/>
              </w:rPr>
            </w:pPr>
            <w:r w:rsidRPr="00C223C3">
              <w:rPr>
                <w:rFonts w:ascii="Arial" w:hAnsi="Arial" w:cs="Arial"/>
                <w:b/>
                <w:bCs/>
                <w:color w:val="000000" w:themeColor="text1"/>
                <w:lang w:eastAsia="pt-BR"/>
              </w:rPr>
              <w:t>Clinical treatment</w:t>
            </w:r>
          </w:p>
        </w:tc>
        <w:tc>
          <w:tcPr>
            <w:tcW w:w="2271" w:type="dxa"/>
            <w:gridSpan w:val="2"/>
            <w:tcBorders>
              <w:top w:val="nil"/>
              <w:left w:val="nil"/>
              <w:right w:val="nil"/>
            </w:tcBorders>
            <w:noWrap/>
            <w:vAlign w:val="bottom"/>
            <w:hideMark/>
          </w:tcPr>
          <w:p w14:paraId="594A1733"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2340" w:type="dxa"/>
            <w:gridSpan w:val="2"/>
            <w:tcBorders>
              <w:top w:val="nil"/>
              <w:left w:val="nil"/>
              <w:right w:val="nil"/>
            </w:tcBorders>
            <w:noWrap/>
            <w:vAlign w:val="bottom"/>
            <w:hideMark/>
          </w:tcPr>
          <w:p w14:paraId="0A68F5C5"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1621" w:type="dxa"/>
            <w:gridSpan w:val="2"/>
            <w:tcBorders>
              <w:top w:val="single" w:sz="4" w:space="0" w:color="auto"/>
              <w:left w:val="nil"/>
              <w:right w:val="nil"/>
            </w:tcBorders>
            <w:noWrap/>
            <w:vAlign w:val="bottom"/>
            <w:hideMark/>
          </w:tcPr>
          <w:p w14:paraId="77A92BCD" w14:textId="77777777" w:rsidR="00B860BE"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B860BE" w:rsidRPr="00C223C3" w14:paraId="6CD305F8" w14:textId="77777777" w:rsidTr="00E37B05">
        <w:trPr>
          <w:gridAfter w:val="1"/>
          <w:wAfter w:w="12" w:type="dxa"/>
          <w:trHeight w:val="271"/>
        </w:trPr>
        <w:tc>
          <w:tcPr>
            <w:tcW w:w="3137" w:type="dxa"/>
            <w:gridSpan w:val="2"/>
            <w:tcBorders>
              <w:top w:val="nil"/>
              <w:left w:val="nil"/>
              <w:right w:val="nil"/>
            </w:tcBorders>
            <w:noWrap/>
            <w:vAlign w:val="bottom"/>
            <w:hideMark/>
          </w:tcPr>
          <w:p w14:paraId="667FA748" w14:textId="5ACBD39D" w:rsidR="00B860BE" w:rsidRPr="00C223C3" w:rsidRDefault="00616742" w:rsidP="00E37B05">
            <w:pPr>
              <w:rPr>
                <w:rFonts w:ascii="Arial" w:hAnsi="Arial" w:cs="Arial"/>
                <w:color w:val="000000" w:themeColor="text1"/>
                <w:lang w:eastAsia="pt-BR"/>
              </w:rPr>
            </w:pPr>
            <w:r w:rsidRPr="00C223C3">
              <w:rPr>
                <w:rFonts w:ascii="Arial" w:hAnsi="Arial" w:cs="Arial"/>
                <w:color w:val="000000" w:themeColor="text1"/>
                <w:lang w:eastAsia="pt-BR"/>
              </w:rPr>
              <w:t>Yes</w:t>
            </w:r>
            <w:r w:rsidR="00B860BE" w:rsidRPr="00C223C3">
              <w:rPr>
                <w:rFonts w:ascii="Arial" w:hAnsi="Arial" w:cs="Arial"/>
                <w:color w:val="000000" w:themeColor="text1"/>
                <w:lang w:eastAsia="pt-BR"/>
              </w:rPr>
              <w:t xml:space="preserve"> </w:t>
            </w:r>
          </w:p>
        </w:tc>
        <w:tc>
          <w:tcPr>
            <w:tcW w:w="2271" w:type="dxa"/>
            <w:gridSpan w:val="2"/>
            <w:tcBorders>
              <w:top w:val="nil"/>
              <w:left w:val="nil"/>
              <w:right w:val="nil"/>
            </w:tcBorders>
            <w:noWrap/>
            <w:vAlign w:val="bottom"/>
            <w:hideMark/>
          </w:tcPr>
          <w:p w14:paraId="4A416F4A"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2340" w:type="dxa"/>
            <w:gridSpan w:val="2"/>
            <w:tcBorders>
              <w:top w:val="nil"/>
              <w:left w:val="nil"/>
              <w:right w:val="nil"/>
            </w:tcBorders>
            <w:noWrap/>
            <w:vAlign w:val="bottom"/>
            <w:hideMark/>
          </w:tcPr>
          <w:p w14:paraId="4B574692"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21 (70%)</w:t>
            </w:r>
          </w:p>
        </w:tc>
        <w:tc>
          <w:tcPr>
            <w:tcW w:w="1621" w:type="dxa"/>
            <w:gridSpan w:val="2"/>
            <w:vMerge w:val="restart"/>
            <w:tcBorders>
              <w:top w:val="nil"/>
              <w:left w:val="nil"/>
              <w:right w:val="nil"/>
            </w:tcBorders>
            <w:vAlign w:val="bottom"/>
            <w:hideMark/>
          </w:tcPr>
          <w:p w14:paraId="6E3B1CF6"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X</w:t>
            </w:r>
            <w:r w:rsidRPr="00C223C3">
              <w:rPr>
                <w:rFonts w:ascii="Arial" w:hAnsi="Arial" w:cs="Arial"/>
                <w:color w:val="000000" w:themeColor="text1"/>
                <w:vertAlign w:val="superscript"/>
                <w:lang w:eastAsia="pt-BR"/>
              </w:rPr>
              <w:t>2</w:t>
            </w:r>
            <w:r w:rsidRPr="00C223C3">
              <w:rPr>
                <w:rFonts w:ascii="Arial" w:hAnsi="Arial" w:cs="Arial"/>
                <w:color w:val="000000" w:themeColor="text1"/>
                <w:lang w:eastAsia="pt-BR"/>
              </w:rPr>
              <w:t xml:space="preserve"> = 0,</w:t>
            </w:r>
            <w:proofErr w:type="gramStart"/>
            <w:r w:rsidRPr="00C223C3">
              <w:rPr>
                <w:rFonts w:ascii="Arial" w:hAnsi="Arial" w:cs="Arial"/>
                <w:color w:val="000000" w:themeColor="text1"/>
                <w:lang w:eastAsia="pt-BR"/>
              </w:rPr>
              <w:t xml:space="preserve">37;   </w:t>
            </w:r>
            <w:proofErr w:type="gramEnd"/>
            <w:r w:rsidRPr="00C223C3">
              <w:rPr>
                <w:rFonts w:ascii="Arial" w:hAnsi="Arial" w:cs="Arial"/>
                <w:color w:val="000000" w:themeColor="text1"/>
                <w:lang w:eastAsia="pt-BR"/>
              </w:rPr>
              <w:t xml:space="preserve">         p = 0,73</w:t>
            </w:r>
          </w:p>
        </w:tc>
      </w:tr>
      <w:tr w:rsidR="00B860BE" w:rsidRPr="00C223C3" w14:paraId="10060F20" w14:textId="77777777" w:rsidTr="00E37B05">
        <w:trPr>
          <w:gridAfter w:val="1"/>
          <w:wAfter w:w="12" w:type="dxa"/>
          <w:trHeight w:val="271"/>
        </w:trPr>
        <w:tc>
          <w:tcPr>
            <w:tcW w:w="3137" w:type="dxa"/>
            <w:gridSpan w:val="2"/>
            <w:tcBorders>
              <w:left w:val="nil"/>
              <w:right w:val="nil"/>
            </w:tcBorders>
            <w:noWrap/>
            <w:vAlign w:val="bottom"/>
            <w:hideMark/>
          </w:tcPr>
          <w:p w14:paraId="7698FDFE" w14:textId="58820E51" w:rsidR="00B860BE"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No</w:t>
            </w:r>
          </w:p>
        </w:tc>
        <w:tc>
          <w:tcPr>
            <w:tcW w:w="2271" w:type="dxa"/>
            <w:gridSpan w:val="2"/>
            <w:tcBorders>
              <w:left w:val="nil"/>
              <w:right w:val="nil"/>
            </w:tcBorders>
            <w:noWrap/>
            <w:vAlign w:val="bottom"/>
            <w:hideMark/>
          </w:tcPr>
          <w:p w14:paraId="6654DFB3"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2340" w:type="dxa"/>
            <w:gridSpan w:val="2"/>
            <w:tcBorders>
              <w:left w:val="nil"/>
              <w:right w:val="nil"/>
            </w:tcBorders>
            <w:noWrap/>
            <w:vAlign w:val="bottom"/>
            <w:hideMark/>
          </w:tcPr>
          <w:p w14:paraId="6116BB8E"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8 (26,7%)</w:t>
            </w:r>
          </w:p>
        </w:tc>
        <w:tc>
          <w:tcPr>
            <w:tcW w:w="1621" w:type="dxa"/>
            <w:gridSpan w:val="2"/>
            <w:vMerge/>
            <w:vAlign w:val="center"/>
            <w:hideMark/>
          </w:tcPr>
          <w:p w14:paraId="40261525" w14:textId="77777777" w:rsidR="00B860BE" w:rsidRPr="00C223C3" w:rsidRDefault="00B860BE" w:rsidP="00E37B05">
            <w:pPr>
              <w:rPr>
                <w:rFonts w:ascii="Arial" w:hAnsi="Arial" w:cs="Arial"/>
                <w:color w:val="000000" w:themeColor="text1"/>
                <w:lang w:eastAsia="pt-BR"/>
              </w:rPr>
            </w:pPr>
          </w:p>
        </w:tc>
      </w:tr>
      <w:tr w:rsidR="00B860BE" w:rsidRPr="00C223C3" w14:paraId="0B9F7CB3" w14:textId="77777777" w:rsidTr="00E37B05">
        <w:trPr>
          <w:gridAfter w:val="1"/>
          <w:wAfter w:w="12" w:type="dxa"/>
          <w:trHeight w:val="271"/>
        </w:trPr>
        <w:tc>
          <w:tcPr>
            <w:tcW w:w="3137" w:type="dxa"/>
            <w:gridSpan w:val="2"/>
            <w:tcBorders>
              <w:top w:val="single" w:sz="4" w:space="0" w:color="auto"/>
              <w:left w:val="nil"/>
              <w:right w:val="nil"/>
            </w:tcBorders>
            <w:noWrap/>
            <w:vAlign w:val="bottom"/>
            <w:hideMark/>
          </w:tcPr>
          <w:p w14:paraId="537EFA91" w14:textId="653C879F" w:rsidR="00B860BE" w:rsidRPr="00C223C3" w:rsidRDefault="00141D08" w:rsidP="00E37B05">
            <w:pPr>
              <w:rPr>
                <w:rFonts w:ascii="Arial" w:hAnsi="Arial" w:cs="Arial"/>
                <w:b/>
                <w:bCs/>
                <w:color w:val="000000" w:themeColor="text1"/>
                <w:lang w:eastAsia="pt-BR"/>
              </w:rPr>
            </w:pPr>
            <w:r w:rsidRPr="00C223C3">
              <w:rPr>
                <w:rFonts w:ascii="Arial" w:hAnsi="Arial" w:cs="Arial"/>
                <w:b/>
                <w:bCs/>
                <w:color w:val="000000" w:themeColor="text1"/>
                <w:lang w:eastAsia="pt-BR"/>
              </w:rPr>
              <w:t>Type of clinical treatment</w:t>
            </w:r>
          </w:p>
        </w:tc>
        <w:tc>
          <w:tcPr>
            <w:tcW w:w="2271" w:type="dxa"/>
            <w:gridSpan w:val="2"/>
            <w:tcBorders>
              <w:top w:val="single" w:sz="4" w:space="0" w:color="auto"/>
              <w:left w:val="nil"/>
              <w:right w:val="nil"/>
            </w:tcBorders>
            <w:noWrap/>
            <w:vAlign w:val="bottom"/>
            <w:hideMark/>
          </w:tcPr>
          <w:p w14:paraId="495F7281"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2340" w:type="dxa"/>
            <w:gridSpan w:val="2"/>
            <w:tcBorders>
              <w:top w:val="single" w:sz="4" w:space="0" w:color="auto"/>
              <w:left w:val="nil"/>
              <w:right w:val="nil"/>
            </w:tcBorders>
            <w:noWrap/>
            <w:vAlign w:val="bottom"/>
            <w:hideMark/>
          </w:tcPr>
          <w:p w14:paraId="6DB892EE"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1621" w:type="dxa"/>
            <w:gridSpan w:val="2"/>
            <w:tcBorders>
              <w:top w:val="single" w:sz="4" w:space="0" w:color="auto"/>
              <w:left w:val="nil"/>
              <w:right w:val="nil"/>
            </w:tcBorders>
            <w:noWrap/>
            <w:vAlign w:val="bottom"/>
            <w:hideMark/>
          </w:tcPr>
          <w:p w14:paraId="5CE9AD05" w14:textId="77777777" w:rsidR="00B860BE"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B860BE" w:rsidRPr="00C223C3" w14:paraId="359B4C37" w14:textId="77777777" w:rsidTr="00E37B05">
        <w:trPr>
          <w:gridAfter w:val="1"/>
          <w:wAfter w:w="12" w:type="dxa"/>
          <w:trHeight w:val="271"/>
        </w:trPr>
        <w:tc>
          <w:tcPr>
            <w:tcW w:w="3137" w:type="dxa"/>
            <w:gridSpan w:val="2"/>
            <w:tcBorders>
              <w:left w:val="nil"/>
              <w:bottom w:val="nil"/>
              <w:right w:val="nil"/>
            </w:tcBorders>
            <w:noWrap/>
            <w:vAlign w:val="bottom"/>
            <w:hideMark/>
          </w:tcPr>
          <w:p w14:paraId="007F9761" w14:textId="31A48830" w:rsidR="00B860BE" w:rsidRPr="00C223C3" w:rsidRDefault="00101394" w:rsidP="00E37B05">
            <w:pPr>
              <w:rPr>
                <w:rFonts w:ascii="Arial" w:hAnsi="Arial" w:cs="Arial"/>
                <w:color w:val="000000" w:themeColor="text1"/>
                <w:lang w:eastAsia="pt-BR"/>
              </w:rPr>
            </w:pPr>
            <w:r w:rsidRPr="00C223C3">
              <w:rPr>
                <w:rFonts w:ascii="Arial" w:hAnsi="Arial" w:cs="Arial"/>
                <w:color w:val="000000" w:themeColor="text1"/>
                <w:lang w:eastAsia="pt-BR"/>
              </w:rPr>
              <w:t>Cabergoline/Bromocriptine</w:t>
            </w:r>
          </w:p>
        </w:tc>
        <w:tc>
          <w:tcPr>
            <w:tcW w:w="2271" w:type="dxa"/>
            <w:gridSpan w:val="2"/>
            <w:tcBorders>
              <w:left w:val="nil"/>
              <w:bottom w:val="nil"/>
              <w:right w:val="nil"/>
            </w:tcBorders>
            <w:noWrap/>
            <w:vAlign w:val="bottom"/>
            <w:hideMark/>
          </w:tcPr>
          <w:p w14:paraId="39DF0821"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2340" w:type="dxa"/>
            <w:gridSpan w:val="2"/>
            <w:tcBorders>
              <w:left w:val="nil"/>
              <w:bottom w:val="nil"/>
              <w:right w:val="nil"/>
            </w:tcBorders>
            <w:noWrap/>
            <w:vAlign w:val="bottom"/>
            <w:hideMark/>
          </w:tcPr>
          <w:p w14:paraId="3C47B40E"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19 (63,3%)</w:t>
            </w:r>
          </w:p>
        </w:tc>
        <w:tc>
          <w:tcPr>
            <w:tcW w:w="1621" w:type="dxa"/>
            <w:gridSpan w:val="2"/>
            <w:vMerge w:val="restart"/>
            <w:tcBorders>
              <w:left w:val="nil"/>
              <w:bottom w:val="nil"/>
              <w:right w:val="nil"/>
            </w:tcBorders>
            <w:vAlign w:val="center"/>
            <w:hideMark/>
          </w:tcPr>
          <w:p w14:paraId="25D348C4"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X</w:t>
            </w:r>
            <w:r w:rsidRPr="00C223C3">
              <w:rPr>
                <w:rFonts w:ascii="Arial" w:hAnsi="Arial" w:cs="Arial"/>
                <w:color w:val="000000" w:themeColor="text1"/>
                <w:vertAlign w:val="superscript"/>
                <w:lang w:eastAsia="pt-BR"/>
              </w:rPr>
              <w:t>2</w:t>
            </w:r>
            <w:r w:rsidRPr="00C223C3">
              <w:rPr>
                <w:rFonts w:ascii="Arial" w:hAnsi="Arial" w:cs="Arial"/>
                <w:color w:val="000000" w:themeColor="text1"/>
                <w:lang w:eastAsia="pt-BR"/>
              </w:rPr>
              <w:t xml:space="preserve"> = 30,</w:t>
            </w:r>
            <w:proofErr w:type="gramStart"/>
            <w:r w:rsidRPr="00C223C3">
              <w:rPr>
                <w:rFonts w:ascii="Arial" w:hAnsi="Arial" w:cs="Arial"/>
                <w:color w:val="000000" w:themeColor="text1"/>
                <w:lang w:eastAsia="pt-BR"/>
              </w:rPr>
              <w:t xml:space="preserve">0;   </w:t>
            </w:r>
            <w:proofErr w:type="gramEnd"/>
            <w:r w:rsidRPr="00C223C3">
              <w:rPr>
                <w:rFonts w:ascii="Arial" w:hAnsi="Arial" w:cs="Arial"/>
                <w:color w:val="000000" w:themeColor="text1"/>
                <w:lang w:eastAsia="pt-BR"/>
              </w:rPr>
              <w:t xml:space="preserve">         p &lt; 0,001*</w:t>
            </w:r>
          </w:p>
        </w:tc>
      </w:tr>
      <w:tr w:rsidR="00B860BE" w:rsidRPr="00C223C3" w14:paraId="3AE643B3"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21C7989F" w14:textId="5C44558F" w:rsidR="00B860BE" w:rsidRPr="00C223C3" w:rsidRDefault="002F31A9" w:rsidP="00E37B05">
            <w:pPr>
              <w:rPr>
                <w:rFonts w:ascii="Arial" w:hAnsi="Arial" w:cs="Arial"/>
                <w:color w:val="000000" w:themeColor="text1"/>
                <w:lang w:eastAsia="pt-BR"/>
              </w:rPr>
            </w:pPr>
            <w:r w:rsidRPr="00C223C3">
              <w:rPr>
                <w:rFonts w:ascii="Arial" w:hAnsi="Arial" w:cs="Arial"/>
                <w:color w:val="000000" w:themeColor="text1"/>
                <w:lang w:eastAsia="pt-BR"/>
              </w:rPr>
              <w:t>Octreotide/</w:t>
            </w:r>
            <w:proofErr w:type="spellStart"/>
            <w:r w:rsidRPr="00C223C3">
              <w:rPr>
                <w:rFonts w:ascii="Arial" w:hAnsi="Arial" w:cs="Arial"/>
                <w:color w:val="000000" w:themeColor="text1"/>
                <w:lang w:eastAsia="pt-BR"/>
              </w:rPr>
              <w:t>Lanreotide</w:t>
            </w:r>
            <w:proofErr w:type="spellEnd"/>
          </w:p>
        </w:tc>
        <w:tc>
          <w:tcPr>
            <w:tcW w:w="2271" w:type="dxa"/>
            <w:gridSpan w:val="2"/>
            <w:tcBorders>
              <w:top w:val="nil"/>
              <w:left w:val="nil"/>
              <w:bottom w:val="nil"/>
              <w:right w:val="nil"/>
            </w:tcBorders>
            <w:noWrap/>
            <w:vAlign w:val="bottom"/>
            <w:hideMark/>
          </w:tcPr>
          <w:p w14:paraId="0136DFE9"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2340" w:type="dxa"/>
            <w:gridSpan w:val="2"/>
            <w:tcBorders>
              <w:top w:val="nil"/>
              <w:left w:val="nil"/>
              <w:bottom w:val="nil"/>
              <w:right w:val="nil"/>
            </w:tcBorders>
            <w:noWrap/>
            <w:vAlign w:val="bottom"/>
            <w:hideMark/>
          </w:tcPr>
          <w:p w14:paraId="3138A072"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 (6,7%)</w:t>
            </w:r>
          </w:p>
        </w:tc>
        <w:tc>
          <w:tcPr>
            <w:tcW w:w="1621" w:type="dxa"/>
            <w:gridSpan w:val="2"/>
            <w:vMerge/>
            <w:vAlign w:val="center"/>
            <w:hideMark/>
          </w:tcPr>
          <w:p w14:paraId="64701519" w14:textId="77777777" w:rsidR="00B860BE" w:rsidRPr="00C223C3" w:rsidRDefault="00B860BE" w:rsidP="00E37B05">
            <w:pPr>
              <w:rPr>
                <w:rFonts w:ascii="Arial" w:hAnsi="Arial" w:cs="Arial"/>
                <w:color w:val="000000" w:themeColor="text1"/>
                <w:lang w:eastAsia="pt-BR"/>
              </w:rPr>
            </w:pPr>
          </w:p>
        </w:tc>
      </w:tr>
      <w:tr w:rsidR="00B860BE" w:rsidRPr="00C223C3" w14:paraId="26419419"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2EC0037E" w14:textId="4A518F38" w:rsidR="00B860BE" w:rsidRPr="00C223C3" w:rsidRDefault="008A1090" w:rsidP="00E37B05">
            <w:pPr>
              <w:rPr>
                <w:rFonts w:ascii="Arial" w:hAnsi="Arial" w:cs="Arial"/>
                <w:color w:val="000000" w:themeColor="text1"/>
                <w:lang w:eastAsia="pt-BR"/>
              </w:rPr>
            </w:pPr>
            <w:r w:rsidRPr="00C223C3">
              <w:rPr>
                <w:rFonts w:ascii="Arial" w:hAnsi="Arial" w:cs="Arial"/>
                <w:color w:val="000000" w:themeColor="text1"/>
                <w:lang w:eastAsia="pt-BR"/>
              </w:rPr>
              <w:t>Other</w:t>
            </w:r>
          </w:p>
        </w:tc>
        <w:tc>
          <w:tcPr>
            <w:tcW w:w="2271" w:type="dxa"/>
            <w:gridSpan w:val="2"/>
            <w:tcBorders>
              <w:top w:val="nil"/>
              <w:left w:val="nil"/>
              <w:bottom w:val="nil"/>
              <w:right w:val="nil"/>
            </w:tcBorders>
            <w:noWrap/>
            <w:vAlign w:val="bottom"/>
            <w:hideMark/>
          </w:tcPr>
          <w:p w14:paraId="1752CDF8"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2340" w:type="dxa"/>
            <w:gridSpan w:val="2"/>
            <w:tcBorders>
              <w:top w:val="nil"/>
              <w:left w:val="nil"/>
              <w:bottom w:val="nil"/>
              <w:right w:val="nil"/>
            </w:tcBorders>
            <w:noWrap/>
            <w:vAlign w:val="bottom"/>
            <w:hideMark/>
          </w:tcPr>
          <w:p w14:paraId="5EB46AB9"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621" w:type="dxa"/>
            <w:gridSpan w:val="2"/>
            <w:vMerge/>
            <w:vAlign w:val="center"/>
            <w:hideMark/>
          </w:tcPr>
          <w:p w14:paraId="4A6F2DEC" w14:textId="77777777" w:rsidR="00B860BE" w:rsidRPr="00C223C3" w:rsidRDefault="00B860BE" w:rsidP="00E37B05">
            <w:pPr>
              <w:rPr>
                <w:rFonts w:ascii="Arial" w:hAnsi="Arial" w:cs="Arial"/>
                <w:color w:val="000000" w:themeColor="text1"/>
                <w:lang w:eastAsia="pt-BR"/>
              </w:rPr>
            </w:pPr>
          </w:p>
        </w:tc>
      </w:tr>
      <w:tr w:rsidR="00B860BE" w:rsidRPr="00C223C3" w14:paraId="4FEB09D9" w14:textId="77777777" w:rsidTr="00E37B05">
        <w:trPr>
          <w:gridAfter w:val="1"/>
          <w:wAfter w:w="12" w:type="dxa"/>
          <w:trHeight w:val="271"/>
        </w:trPr>
        <w:tc>
          <w:tcPr>
            <w:tcW w:w="3137" w:type="dxa"/>
            <w:gridSpan w:val="2"/>
            <w:tcBorders>
              <w:top w:val="nil"/>
              <w:left w:val="nil"/>
              <w:bottom w:val="nil"/>
              <w:right w:val="nil"/>
            </w:tcBorders>
            <w:noWrap/>
            <w:vAlign w:val="bottom"/>
            <w:hideMark/>
          </w:tcPr>
          <w:p w14:paraId="3CDB42FF" w14:textId="47AD60C9" w:rsidR="00B860BE" w:rsidRPr="00C223C3" w:rsidRDefault="002F31A9" w:rsidP="00E37B05">
            <w:pPr>
              <w:rPr>
                <w:rFonts w:ascii="Arial" w:hAnsi="Arial" w:cs="Arial"/>
                <w:color w:val="000000" w:themeColor="text1"/>
                <w:lang w:val="pt-BR" w:eastAsia="pt-BR"/>
              </w:rPr>
            </w:pPr>
            <w:r w:rsidRPr="00C223C3">
              <w:rPr>
                <w:rFonts w:ascii="Arial" w:hAnsi="Arial" w:cs="Arial"/>
                <w:color w:val="000000" w:themeColor="text1"/>
                <w:lang w:val="pt-BR" w:eastAsia="pt-BR"/>
              </w:rPr>
              <w:t>No clinical treatment</w:t>
            </w:r>
          </w:p>
        </w:tc>
        <w:tc>
          <w:tcPr>
            <w:tcW w:w="2271" w:type="dxa"/>
            <w:gridSpan w:val="2"/>
            <w:tcBorders>
              <w:top w:val="nil"/>
              <w:left w:val="nil"/>
              <w:bottom w:val="nil"/>
              <w:right w:val="nil"/>
            </w:tcBorders>
            <w:noWrap/>
            <w:vAlign w:val="bottom"/>
            <w:hideMark/>
          </w:tcPr>
          <w:p w14:paraId="42A60827"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2340" w:type="dxa"/>
            <w:gridSpan w:val="2"/>
            <w:tcBorders>
              <w:top w:val="nil"/>
              <w:left w:val="nil"/>
              <w:bottom w:val="nil"/>
              <w:right w:val="nil"/>
            </w:tcBorders>
            <w:noWrap/>
            <w:vAlign w:val="bottom"/>
            <w:hideMark/>
          </w:tcPr>
          <w:p w14:paraId="7693A000"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8 (26,7%)</w:t>
            </w:r>
          </w:p>
        </w:tc>
        <w:tc>
          <w:tcPr>
            <w:tcW w:w="1621" w:type="dxa"/>
            <w:gridSpan w:val="2"/>
            <w:vMerge/>
            <w:vAlign w:val="center"/>
            <w:hideMark/>
          </w:tcPr>
          <w:p w14:paraId="186E060E" w14:textId="77777777" w:rsidR="00B860BE" w:rsidRPr="00C223C3" w:rsidRDefault="00B860BE" w:rsidP="00E37B05">
            <w:pPr>
              <w:rPr>
                <w:rFonts w:ascii="Arial" w:hAnsi="Arial" w:cs="Arial"/>
                <w:color w:val="000000" w:themeColor="text1"/>
                <w:lang w:eastAsia="pt-BR"/>
              </w:rPr>
            </w:pPr>
          </w:p>
        </w:tc>
      </w:tr>
      <w:tr w:rsidR="00B860BE" w:rsidRPr="00C223C3" w14:paraId="1406F79C" w14:textId="77777777" w:rsidTr="00E37B05">
        <w:trPr>
          <w:trHeight w:val="290"/>
        </w:trPr>
        <w:tc>
          <w:tcPr>
            <w:tcW w:w="2997" w:type="dxa"/>
            <w:tcBorders>
              <w:top w:val="single" w:sz="4" w:space="0" w:color="auto"/>
              <w:left w:val="nil"/>
              <w:bottom w:val="single" w:sz="4" w:space="0" w:color="auto"/>
              <w:right w:val="nil"/>
            </w:tcBorders>
            <w:noWrap/>
            <w:vAlign w:val="bottom"/>
            <w:hideMark/>
          </w:tcPr>
          <w:p w14:paraId="06E59D9B" w14:textId="42C797D6" w:rsidR="00B860BE" w:rsidRPr="00C223C3" w:rsidRDefault="002F31A9" w:rsidP="00E37B05">
            <w:pPr>
              <w:rPr>
                <w:rFonts w:ascii="Arial" w:hAnsi="Arial" w:cs="Arial"/>
                <w:b/>
                <w:bCs/>
                <w:color w:val="000000" w:themeColor="text1"/>
                <w:lang w:eastAsia="pt-BR"/>
              </w:rPr>
            </w:pPr>
            <w:proofErr w:type="spellStart"/>
            <w:r w:rsidRPr="00C223C3">
              <w:rPr>
                <w:rFonts w:ascii="Arial" w:hAnsi="Arial" w:cs="Arial"/>
                <w:b/>
                <w:bCs/>
                <w:color w:val="000000" w:themeColor="text1"/>
                <w:lang w:eastAsia="pt-BR"/>
              </w:rPr>
              <w:t>Subpathology</w:t>
            </w:r>
            <w:proofErr w:type="spellEnd"/>
          </w:p>
        </w:tc>
        <w:tc>
          <w:tcPr>
            <w:tcW w:w="1355" w:type="dxa"/>
            <w:gridSpan w:val="2"/>
            <w:tcBorders>
              <w:top w:val="single" w:sz="4" w:space="0" w:color="auto"/>
              <w:left w:val="nil"/>
              <w:bottom w:val="single" w:sz="4" w:space="0" w:color="auto"/>
              <w:right w:val="nil"/>
            </w:tcBorders>
            <w:noWrap/>
            <w:vAlign w:val="center"/>
            <w:hideMark/>
          </w:tcPr>
          <w:p w14:paraId="31DBF9A2" w14:textId="77777777" w:rsidR="00B860BE" w:rsidRPr="00C223C3" w:rsidRDefault="00B860BE" w:rsidP="00E37B05">
            <w:pPr>
              <w:jc w:val="center"/>
              <w:rPr>
                <w:rFonts w:ascii="Arial" w:hAnsi="Arial" w:cs="Arial"/>
                <w:b/>
                <w:bCs/>
                <w:color w:val="000000" w:themeColor="text1"/>
                <w:lang w:eastAsia="pt-BR"/>
              </w:rPr>
            </w:pPr>
            <w:r w:rsidRPr="00C223C3">
              <w:rPr>
                <w:rFonts w:ascii="Arial" w:hAnsi="Arial" w:cs="Arial"/>
                <w:b/>
                <w:bCs/>
                <w:color w:val="000000" w:themeColor="text1"/>
                <w:lang w:eastAsia="pt-BR"/>
              </w:rPr>
              <w:t>PRL</w:t>
            </w:r>
          </w:p>
        </w:tc>
        <w:tc>
          <w:tcPr>
            <w:tcW w:w="1056" w:type="dxa"/>
            <w:tcBorders>
              <w:top w:val="single" w:sz="4" w:space="0" w:color="auto"/>
              <w:left w:val="nil"/>
              <w:bottom w:val="single" w:sz="4" w:space="0" w:color="auto"/>
              <w:right w:val="nil"/>
            </w:tcBorders>
            <w:noWrap/>
            <w:vAlign w:val="center"/>
            <w:hideMark/>
          </w:tcPr>
          <w:p w14:paraId="5F0489C7" w14:textId="77777777" w:rsidR="00B860BE" w:rsidRPr="00C223C3" w:rsidRDefault="00B860BE" w:rsidP="00E37B05">
            <w:pPr>
              <w:jc w:val="center"/>
              <w:rPr>
                <w:rFonts w:ascii="Arial" w:hAnsi="Arial" w:cs="Arial"/>
                <w:b/>
                <w:bCs/>
                <w:color w:val="000000" w:themeColor="text1"/>
                <w:lang w:eastAsia="pt-BR"/>
              </w:rPr>
            </w:pPr>
            <w:r w:rsidRPr="00C223C3">
              <w:rPr>
                <w:rFonts w:ascii="Arial" w:hAnsi="Arial" w:cs="Arial"/>
                <w:b/>
                <w:bCs/>
                <w:color w:val="000000" w:themeColor="text1"/>
                <w:lang w:eastAsia="pt-BR"/>
              </w:rPr>
              <w:t>CSH</w:t>
            </w:r>
          </w:p>
        </w:tc>
        <w:tc>
          <w:tcPr>
            <w:tcW w:w="1282" w:type="dxa"/>
            <w:tcBorders>
              <w:top w:val="single" w:sz="4" w:space="0" w:color="auto"/>
              <w:left w:val="nil"/>
              <w:bottom w:val="single" w:sz="4" w:space="0" w:color="auto"/>
              <w:right w:val="nil"/>
            </w:tcBorders>
            <w:noWrap/>
            <w:vAlign w:val="center"/>
            <w:hideMark/>
          </w:tcPr>
          <w:p w14:paraId="4C266D89" w14:textId="77777777" w:rsidR="00B860BE" w:rsidRPr="00C223C3" w:rsidRDefault="00B860BE" w:rsidP="00E37B05">
            <w:pPr>
              <w:jc w:val="center"/>
              <w:rPr>
                <w:rFonts w:ascii="Arial" w:hAnsi="Arial" w:cs="Arial"/>
                <w:b/>
                <w:bCs/>
                <w:color w:val="000000" w:themeColor="text1"/>
                <w:lang w:eastAsia="pt-BR"/>
              </w:rPr>
            </w:pPr>
            <w:r w:rsidRPr="00C223C3">
              <w:rPr>
                <w:rFonts w:ascii="Arial" w:hAnsi="Arial" w:cs="Arial"/>
                <w:b/>
                <w:bCs/>
                <w:color w:val="000000" w:themeColor="text1"/>
                <w:lang w:eastAsia="pt-BR"/>
              </w:rPr>
              <w:t>ACRO</w:t>
            </w:r>
          </w:p>
        </w:tc>
        <w:tc>
          <w:tcPr>
            <w:tcW w:w="1087" w:type="dxa"/>
            <w:gridSpan w:val="2"/>
            <w:tcBorders>
              <w:top w:val="single" w:sz="4" w:space="0" w:color="auto"/>
              <w:left w:val="nil"/>
              <w:bottom w:val="single" w:sz="4" w:space="0" w:color="auto"/>
              <w:right w:val="nil"/>
            </w:tcBorders>
            <w:noWrap/>
            <w:vAlign w:val="center"/>
            <w:hideMark/>
          </w:tcPr>
          <w:p w14:paraId="7944FD3A" w14:textId="77777777" w:rsidR="00B860BE" w:rsidRPr="00C223C3" w:rsidRDefault="00B860BE" w:rsidP="00E37B05">
            <w:pPr>
              <w:jc w:val="center"/>
              <w:rPr>
                <w:rFonts w:ascii="Arial" w:hAnsi="Arial" w:cs="Arial"/>
                <w:b/>
                <w:bCs/>
                <w:color w:val="000000" w:themeColor="text1"/>
                <w:lang w:eastAsia="pt-BR"/>
              </w:rPr>
            </w:pPr>
            <w:r w:rsidRPr="00C223C3">
              <w:rPr>
                <w:rFonts w:ascii="Arial" w:hAnsi="Arial" w:cs="Arial"/>
                <w:b/>
                <w:bCs/>
                <w:color w:val="000000" w:themeColor="text1"/>
                <w:lang w:eastAsia="pt-BR"/>
              </w:rPr>
              <w:t>ACNF</w:t>
            </w:r>
          </w:p>
        </w:tc>
        <w:tc>
          <w:tcPr>
            <w:tcW w:w="1604" w:type="dxa"/>
            <w:gridSpan w:val="2"/>
            <w:tcBorders>
              <w:top w:val="single" w:sz="4" w:space="0" w:color="auto"/>
              <w:left w:val="nil"/>
              <w:bottom w:val="single" w:sz="4" w:space="0" w:color="auto"/>
              <w:right w:val="nil"/>
            </w:tcBorders>
            <w:noWrap/>
            <w:vAlign w:val="bottom"/>
            <w:hideMark/>
          </w:tcPr>
          <w:p w14:paraId="66B39FD1" w14:textId="024416E5" w:rsidR="00B860BE" w:rsidRPr="00C223C3" w:rsidRDefault="00771859" w:rsidP="00E37B05">
            <w:pPr>
              <w:jc w:val="center"/>
              <w:rPr>
                <w:rFonts w:ascii="Arial" w:hAnsi="Arial" w:cs="Arial"/>
                <w:b/>
                <w:bCs/>
                <w:color w:val="000000" w:themeColor="text1"/>
                <w:lang w:eastAsia="pt-BR"/>
              </w:rPr>
            </w:pPr>
            <w:r w:rsidRPr="00C223C3">
              <w:rPr>
                <w:rFonts w:ascii="Arial" w:hAnsi="Arial" w:cs="Arial"/>
                <w:b/>
                <w:bCs/>
                <w:color w:val="000000" w:themeColor="text1"/>
              </w:rPr>
              <w:t>Significance</w:t>
            </w:r>
          </w:p>
        </w:tc>
      </w:tr>
      <w:tr w:rsidR="00B860BE" w:rsidRPr="00C223C3" w14:paraId="080854A3" w14:textId="77777777" w:rsidTr="00E37B05">
        <w:trPr>
          <w:trHeight w:val="290"/>
        </w:trPr>
        <w:tc>
          <w:tcPr>
            <w:tcW w:w="2997" w:type="dxa"/>
            <w:tcBorders>
              <w:top w:val="nil"/>
              <w:left w:val="nil"/>
              <w:bottom w:val="nil"/>
              <w:right w:val="nil"/>
            </w:tcBorders>
            <w:noWrap/>
            <w:vAlign w:val="bottom"/>
            <w:hideMark/>
          </w:tcPr>
          <w:p w14:paraId="6A55D79D" w14:textId="07F0F023" w:rsidR="00B860BE" w:rsidRPr="00C223C3" w:rsidRDefault="009136D6" w:rsidP="00E37B05">
            <w:pPr>
              <w:rPr>
                <w:rFonts w:ascii="Arial" w:hAnsi="Arial" w:cs="Arial"/>
                <w:b/>
                <w:bCs/>
                <w:color w:val="000000" w:themeColor="text1"/>
                <w:lang w:eastAsia="pt-BR"/>
              </w:rPr>
            </w:pPr>
            <w:r w:rsidRPr="00C223C3">
              <w:rPr>
                <w:rFonts w:ascii="Arial" w:hAnsi="Arial" w:cs="Arial"/>
                <w:b/>
                <w:bCs/>
                <w:color w:val="000000" w:themeColor="text1"/>
                <w:lang w:eastAsia="pt-BR"/>
              </w:rPr>
              <w:t>Surgery</w:t>
            </w:r>
          </w:p>
        </w:tc>
        <w:tc>
          <w:tcPr>
            <w:tcW w:w="1355" w:type="dxa"/>
            <w:gridSpan w:val="2"/>
            <w:tcBorders>
              <w:top w:val="nil"/>
              <w:left w:val="nil"/>
              <w:bottom w:val="nil"/>
              <w:right w:val="nil"/>
            </w:tcBorders>
            <w:noWrap/>
            <w:vAlign w:val="center"/>
            <w:hideMark/>
          </w:tcPr>
          <w:p w14:paraId="7A3D87DC" w14:textId="77777777" w:rsidR="00B860BE" w:rsidRPr="00C223C3" w:rsidRDefault="00B860BE" w:rsidP="00E37B05">
            <w:pPr>
              <w:rPr>
                <w:rFonts w:ascii="Arial" w:hAnsi="Arial" w:cs="Arial"/>
                <w:b/>
                <w:bCs/>
                <w:color w:val="000000" w:themeColor="text1"/>
                <w:lang w:eastAsia="pt-BR"/>
              </w:rPr>
            </w:pPr>
          </w:p>
        </w:tc>
        <w:tc>
          <w:tcPr>
            <w:tcW w:w="1056" w:type="dxa"/>
            <w:tcBorders>
              <w:top w:val="nil"/>
              <w:left w:val="nil"/>
              <w:bottom w:val="nil"/>
              <w:right w:val="nil"/>
            </w:tcBorders>
            <w:noWrap/>
            <w:vAlign w:val="center"/>
            <w:hideMark/>
          </w:tcPr>
          <w:p w14:paraId="2591FD5B" w14:textId="77777777" w:rsidR="00B860BE" w:rsidRPr="00C223C3" w:rsidRDefault="00B860BE" w:rsidP="00E37B05">
            <w:pPr>
              <w:jc w:val="center"/>
              <w:rPr>
                <w:rFonts w:ascii="Arial" w:hAnsi="Arial" w:cs="Arial"/>
                <w:color w:val="000000" w:themeColor="text1"/>
                <w:lang w:eastAsia="pt-BR"/>
              </w:rPr>
            </w:pPr>
          </w:p>
        </w:tc>
        <w:tc>
          <w:tcPr>
            <w:tcW w:w="1282" w:type="dxa"/>
            <w:tcBorders>
              <w:top w:val="nil"/>
              <w:left w:val="nil"/>
              <w:bottom w:val="nil"/>
              <w:right w:val="nil"/>
            </w:tcBorders>
            <w:noWrap/>
            <w:vAlign w:val="center"/>
            <w:hideMark/>
          </w:tcPr>
          <w:p w14:paraId="6CB15E67" w14:textId="77777777" w:rsidR="00B860BE" w:rsidRPr="00C223C3" w:rsidRDefault="00B860BE" w:rsidP="00E37B05">
            <w:pPr>
              <w:jc w:val="center"/>
              <w:rPr>
                <w:rFonts w:ascii="Arial" w:hAnsi="Arial" w:cs="Arial"/>
                <w:color w:val="000000" w:themeColor="text1"/>
                <w:lang w:eastAsia="pt-BR"/>
              </w:rPr>
            </w:pPr>
          </w:p>
        </w:tc>
        <w:tc>
          <w:tcPr>
            <w:tcW w:w="1087" w:type="dxa"/>
            <w:gridSpan w:val="2"/>
            <w:tcBorders>
              <w:top w:val="nil"/>
              <w:left w:val="nil"/>
              <w:bottom w:val="nil"/>
              <w:right w:val="nil"/>
            </w:tcBorders>
            <w:noWrap/>
            <w:vAlign w:val="center"/>
            <w:hideMark/>
          </w:tcPr>
          <w:p w14:paraId="6B7F8728" w14:textId="77777777" w:rsidR="00B860BE" w:rsidRPr="00C223C3" w:rsidRDefault="00B860BE" w:rsidP="00E37B05">
            <w:pPr>
              <w:jc w:val="center"/>
              <w:rPr>
                <w:rFonts w:ascii="Arial" w:hAnsi="Arial" w:cs="Arial"/>
                <w:color w:val="000000" w:themeColor="text1"/>
                <w:lang w:eastAsia="pt-BR"/>
              </w:rPr>
            </w:pPr>
          </w:p>
        </w:tc>
        <w:tc>
          <w:tcPr>
            <w:tcW w:w="1604" w:type="dxa"/>
            <w:gridSpan w:val="2"/>
            <w:tcBorders>
              <w:top w:val="nil"/>
              <w:left w:val="nil"/>
              <w:bottom w:val="nil"/>
              <w:right w:val="nil"/>
            </w:tcBorders>
            <w:noWrap/>
            <w:vAlign w:val="bottom"/>
            <w:hideMark/>
          </w:tcPr>
          <w:p w14:paraId="1670FF8C" w14:textId="77777777" w:rsidR="00B860BE" w:rsidRPr="00C223C3" w:rsidRDefault="00B860BE" w:rsidP="00E37B05">
            <w:pPr>
              <w:jc w:val="center"/>
              <w:rPr>
                <w:rFonts w:ascii="Arial" w:hAnsi="Arial" w:cs="Arial"/>
                <w:color w:val="000000" w:themeColor="text1"/>
                <w:lang w:eastAsia="pt-BR"/>
              </w:rPr>
            </w:pPr>
          </w:p>
        </w:tc>
      </w:tr>
      <w:tr w:rsidR="00B860BE" w:rsidRPr="00C223C3" w14:paraId="6B6A1C26" w14:textId="77777777" w:rsidTr="00E37B05">
        <w:trPr>
          <w:trHeight w:val="290"/>
        </w:trPr>
        <w:tc>
          <w:tcPr>
            <w:tcW w:w="2997" w:type="dxa"/>
            <w:tcBorders>
              <w:top w:val="nil"/>
              <w:left w:val="nil"/>
              <w:bottom w:val="nil"/>
              <w:right w:val="nil"/>
            </w:tcBorders>
            <w:noWrap/>
            <w:vAlign w:val="bottom"/>
            <w:hideMark/>
          </w:tcPr>
          <w:p w14:paraId="42A39C39" w14:textId="67445A67" w:rsidR="00B860BE" w:rsidRPr="00C223C3" w:rsidRDefault="00616742" w:rsidP="00E37B05">
            <w:pPr>
              <w:rPr>
                <w:rFonts w:ascii="Arial" w:hAnsi="Arial" w:cs="Arial"/>
                <w:color w:val="000000" w:themeColor="text1"/>
                <w:lang w:eastAsia="pt-BR"/>
              </w:rPr>
            </w:pPr>
            <w:r w:rsidRPr="00C223C3">
              <w:rPr>
                <w:rFonts w:ascii="Arial" w:hAnsi="Arial" w:cs="Arial"/>
                <w:color w:val="000000" w:themeColor="text1"/>
                <w:lang w:eastAsia="pt-BR"/>
              </w:rPr>
              <w:t>Yes</w:t>
            </w:r>
          </w:p>
        </w:tc>
        <w:tc>
          <w:tcPr>
            <w:tcW w:w="1355" w:type="dxa"/>
            <w:gridSpan w:val="2"/>
            <w:tcBorders>
              <w:top w:val="nil"/>
              <w:left w:val="nil"/>
              <w:bottom w:val="nil"/>
              <w:right w:val="nil"/>
            </w:tcBorders>
            <w:noWrap/>
            <w:vAlign w:val="center"/>
            <w:hideMark/>
          </w:tcPr>
          <w:p w14:paraId="19AD1A97"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056" w:type="dxa"/>
            <w:tcBorders>
              <w:top w:val="nil"/>
              <w:left w:val="nil"/>
              <w:bottom w:val="nil"/>
              <w:right w:val="nil"/>
            </w:tcBorders>
            <w:noWrap/>
            <w:vAlign w:val="center"/>
            <w:hideMark/>
          </w:tcPr>
          <w:p w14:paraId="20E1CB34"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282" w:type="dxa"/>
            <w:tcBorders>
              <w:top w:val="nil"/>
              <w:left w:val="nil"/>
              <w:bottom w:val="nil"/>
              <w:right w:val="nil"/>
            </w:tcBorders>
            <w:noWrap/>
            <w:vAlign w:val="center"/>
            <w:hideMark/>
          </w:tcPr>
          <w:p w14:paraId="113D5426"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087" w:type="dxa"/>
            <w:gridSpan w:val="2"/>
            <w:tcBorders>
              <w:top w:val="nil"/>
              <w:left w:val="nil"/>
              <w:bottom w:val="nil"/>
              <w:right w:val="nil"/>
            </w:tcBorders>
            <w:noWrap/>
            <w:vAlign w:val="bottom"/>
            <w:hideMark/>
          </w:tcPr>
          <w:p w14:paraId="78D1E981"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604" w:type="dxa"/>
            <w:gridSpan w:val="2"/>
            <w:vMerge w:val="restart"/>
            <w:tcBorders>
              <w:top w:val="nil"/>
              <w:left w:val="nil"/>
              <w:bottom w:val="nil"/>
              <w:right w:val="nil"/>
            </w:tcBorders>
            <w:vAlign w:val="bottom"/>
            <w:hideMark/>
          </w:tcPr>
          <w:p w14:paraId="27F7E071"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X</w:t>
            </w:r>
            <w:r w:rsidRPr="00C223C3">
              <w:rPr>
                <w:rFonts w:ascii="Arial" w:hAnsi="Arial" w:cs="Arial"/>
                <w:color w:val="000000" w:themeColor="text1"/>
                <w:vertAlign w:val="superscript"/>
                <w:lang w:eastAsia="pt-BR"/>
              </w:rPr>
              <w:t xml:space="preserve">2 </w:t>
            </w:r>
            <w:r w:rsidRPr="00C223C3">
              <w:rPr>
                <w:rFonts w:ascii="Arial" w:hAnsi="Arial" w:cs="Arial"/>
                <w:color w:val="000000" w:themeColor="text1"/>
                <w:lang w:eastAsia="pt-BR"/>
              </w:rPr>
              <w:t>= 13,</w:t>
            </w:r>
            <w:proofErr w:type="gramStart"/>
            <w:r w:rsidRPr="00C223C3">
              <w:rPr>
                <w:rFonts w:ascii="Arial" w:hAnsi="Arial" w:cs="Arial"/>
                <w:color w:val="000000" w:themeColor="text1"/>
                <w:lang w:eastAsia="pt-BR"/>
              </w:rPr>
              <w:t xml:space="preserve">7;   </w:t>
            </w:r>
            <w:proofErr w:type="gramEnd"/>
            <w:r w:rsidRPr="00C223C3">
              <w:rPr>
                <w:rFonts w:ascii="Arial" w:hAnsi="Arial" w:cs="Arial"/>
                <w:color w:val="000000" w:themeColor="text1"/>
                <w:lang w:eastAsia="pt-BR"/>
              </w:rPr>
              <w:t xml:space="preserve">         p = 0,003</w:t>
            </w:r>
          </w:p>
        </w:tc>
      </w:tr>
      <w:tr w:rsidR="00B860BE" w:rsidRPr="00C223C3" w14:paraId="09DB0F2F" w14:textId="77777777" w:rsidTr="00E37B05">
        <w:trPr>
          <w:trHeight w:val="290"/>
        </w:trPr>
        <w:tc>
          <w:tcPr>
            <w:tcW w:w="2997" w:type="dxa"/>
            <w:tcBorders>
              <w:top w:val="nil"/>
              <w:left w:val="nil"/>
              <w:bottom w:val="nil"/>
              <w:right w:val="nil"/>
            </w:tcBorders>
            <w:noWrap/>
            <w:vAlign w:val="bottom"/>
            <w:hideMark/>
          </w:tcPr>
          <w:p w14:paraId="60C6DA7C" w14:textId="444D0A2B" w:rsidR="00B860BE"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No</w:t>
            </w:r>
          </w:p>
        </w:tc>
        <w:tc>
          <w:tcPr>
            <w:tcW w:w="1355" w:type="dxa"/>
            <w:gridSpan w:val="2"/>
            <w:tcBorders>
              <w:top w:val="nil"/>
              <w:left w:val="nil"/>
              <w:bottom w:val="nil"/>
              <w:right w:val="nil"/>
            </w:tcBorders>
            <w:noWrap/>
            <w:vAlign w:val="center"/>
            <w:hideMark/>
          </w:tcPr>
          <w:p w14:paraId="47B8AA7A"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25 (83,3%)</w:t>
            </w:r>
          </w:p>
        </w:tc>
        <w:tc>
          <w:tcPr>
            <w:tcW w:w="1056" w:type="dxa"/>
            <w:tcBorders>
              <w:top w:val="nil"/>
              <w:left w:val="nil"/>
              <w:bottom w:val="nil"/>
              <w:right w:val="nil"/>
            </w:tcBorders>
            <w:noWrap/>
            <w:vAlign w:val="bottom"/>
            <w:hideMark/>
          </w:tcPr>
          <w:p w14:paraId="1270E596"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282" w:type="dxa"/>
            <w:tcBorders>
              <w:top w:val="nil"/>
              <w:left w:val="nil"/>
              <w:bottom w:val="nil"/>
              <w:right w:val="nil"/>
            </w:tcBorders>
            <w:noWrap/>
            <w:vAlign w:val="center"/>
            <w:hideMark/>
          </w:tcPr>
          <w:p w14:paraId="1024681D"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087" w:type="dxa"/>
            <w:gridSpan w:val="2"/>
            <w:tcBorders>
              <w:top w:val="nil"/>
              <w:left w:val="nil"/>
              <w:bottom w:val="nil"/>
              <w:right w:val="nil"/>
            </w:tcBorders>
            <w:noWrap/>
            <w:vAlign w:val="center"/>
            <w:hideMark/>
          </w:tcPr>
          <w:p w14:paraId="5FBAD1FC"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604" w:type="dxa"/>
            <w:gridSpan w:val="2"/>
            <w:vMerge/>
            <w:vAlign w:val="center"/>
            <w:hideMark/>
          </w:tcPr>
          <w:p w14:paraId="1D16AC42" w14:textId="77777777" w:rsidR="00B860BE" w:rsidRPr="00C223C3" w:rsidRDefault="00B860BE" w:rsidP="00E37B05">
            <w:pPr>
              <w:rPr>
                <w:rFonts w:ascii="Arial" w:hAnsi="Arial" w:cs="Arial"/>
                <w:color w:val="000000" w:themeColor="text1"/>
                <w:lang w:eastAsia="pt-BR"/>
              </w:rPr>
            </w:pPr>
          </w:p>
        </w:tc>
      </w:tr>
      <w:tr w:rsidR="00B860BE" w:rsidRPr="00C223C3" w14:paraId="37F8E53D" w14:textId="77777777" w:rsidTr="00E37B05">
        <w:trPr>
          <w:trHeight w:val="290"/>
        </w:trPr>
        <w:tc>
          <w:tcPr>
            <w:tcW w:w="2997" w:type="dxa"/>
            <w:tcBorders>
              <w:top w:val="single" w:sz="4" w:space="0" w:color="auto"/>
              <w:left w:val="nil"/>
              <w:bottom w:val="nil"/>
              <w:right w:val="nil"/>
            </w:tcBorders>
            <w:noWrap/>
            <w:vAlign w:val="bottom"/>
            <w:hideMark/>
          </w:tcPr>
          <w:p w14:paraId="33E2422F" w14:textId="3D86D6A1" w:rsidR="00B860BE" w:rsidRPr="00C223C3" w:rsidRDefault="00AF7C8F" w:rsidP="00E37B05">
            <w:pPr>
              <w:rPr>
                <w:rFonts w:ascii="Arial" w:hAnsi="Arial" w:cs="Arial"/>
                <w:b/>
                <w:bCs/>
                <w:color w:val="000000" w:themeColor="text1"/>
                <w:lang w:eastAsia="pt-BR"/>
              </w:rPr>
            </w:pPr>
            <w:r w:rsidRPr="00C223C3">
              <w:rPr>
                <w:rFonts w:ascii="Arial" w:hAnsi="Arial" w:cs="Arial"/>
                <w:b/>
                <w:bCs/>
                <w:color w:val="000000" w:themeColor="text1"/>
                <w:lang w:eastAsia="pt-BR"/>
              </w:rPr>
              <w:t>Clinical treatment</w:t>
            </w:r>
          </w:p>
        </w:tc>
        <w:tc>
          <w:tcPr>
            <w:tcW w:w="1355" w:type="dxa"/>
            <w:gridSpan w:val="2"/>
            <w:tcBorders>
              <w:top w:val="single" w:sz="4" w:space="0" w:color="auto"/>
              <w:left w:val="nil"/>
              <w:bottom w:val="nil"/>
              <w:right w:val="nil"/>
            </w:tcBorders>
            <w:noWrap/>
            <w:vAlign w:val="center"/>
            <w:hideMark/>
          </w:tcPr>
          <w:p w14:paraId="0A11E330"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1056" w:type="dxa"/>
            <w:tcBorders>
              <w:top w:val="single" w:sz="4" w:space="0" w:color="auto"/>
              <w:left w:val="nil"/>
              <w:bottom w:val="nil"/>
              <w:right w:val="nil"/>
            </w:tcBorders>
            <w:noWrap/>
            <w:vAlign w:val="center"/>
            <w:hideMark/>
          </w:tcPr>
          <w:p w14:paraId="6B45614E"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1282" w:type="dxa"/>
            <w:tcBorders>
              <w:top w:val="single" w:sz="4" w:space="0" w:color="auto"/>
              <w:left w:val="nil"/>
              <w:bottom w:val="nil"/>
              <w:right w:val="nil"/>
            </w:tcBorders>
            <w:noWrap/>
            <w:vAlign w:val="center"/>
            <w:hideMark/>
          </w:tcPr>
          <w:p w14:paraId="5FB2E85E"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1087" w:type="dxa"/>
            <w:gridSpan w:val="2"/>
            <w:tcBorders>
              <w:top w:val="single" w:sz="4" w:space="0" w:color="auto"/>
              <w:left w:val="nil"/>
              <w:bottom w:val="nil"/>
              <w:right w:val="nil"/>
            </w:tcBorders>
            <w:noWrap/>
            <w:vAlign w:val="center"/>
            <w:hideMark/>
          </w:tcPr>
          <w:p w14:paraId="6D8941E0"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 </w:t>
            </w:r>
          </w:p>
        </w:tc>
        <w:tc>
          <w:tcPr>
            <w:tcW w:w="1604" w:type="dxa"/>
            <w:gridSpan w:val="2"/>
            <w:tcBorders>
              <w:top w:val="single" w:sz="4" w:space="0" w:color="auto"/>
              <w:left w:val="nil"/>
              <w:right w:val="nil"/>
            </w:tcBorders>
            <w:noWrap/>
            <w:vAlign w:val="bottom"/>
            <w:hideMark/>
          </w:tcPr>
          <w:p w14:paraId="45B12583" w14:textId="77777777" w:rsidR="00B860BE"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 </w:t>
            </w:r>
          </w:p>
        </w:tc>
      </w:tr>
      <w:tr w:rsidR="00B860BE" w:rsidRPr="00C223C3" w14:paraId="7170ABE2" w14:textId="77777777" w:rsidTr="00E37B05">
        <w:trPr>
          <w:trHeight w:val="290"/>
        </w:trPr>
        <w:tc>
          <w:tcPr>
            <w:tcW w:w="2997" w:type="dxa"/>
            <w:tcBorders>
              <w:top w:val="nil"/>
              <w:left w:val="nil"/>
              <w:bottom w:val="nil"/>
              <w:right w:val="nil"/>
            </w:tcBorders>
            <w:noWrap/>
            <w:vAlign w:val="bottom"/>
            <w:hideMark/>
          </w:tcPr>
          <w:p w14:paraId="627F160C" w14:textId="41F99385" w:rsidR="00B860BE" w:rsidRPr="00C223C3" w:rsidRDefault="00616742" w:rsidP="00E37B05">
            <w:pPr>
              <w:rPr>
                <w:rFonts w:ascii="Arial" w:hAnsi="Arial" w:cs="Arial"/>
                <w:color w:val="000000" w:themeColor="text1"/>
                <w:lang w:eastAsia="pt-BR"/>
              </w:rPr>
            </w:pPr>
            <w:r w:rsidRPr="00C223C3">
              <w:rPr>
                <w:rFonts w:ascii="Arial" w:hAnsi="Arial" w:cs="Arial"/>
                <w:color w:val="000000" w:themeColor="text1"/>
                <w:lang w:eastAsia="pt-BR"/>
              </w:rPr>
              <w:t>Yes</w:t>
            </w:r>
          </w:p>
        </w:tc>
        <w:tc>
          <w:tcPr>
            <w:tcW w:w="1355" w:type="dxa"/>
            <w:gridSpan w:val="2"/>
            <w:tcBorders>
              <w:top w:val="nil"/>
              <w:left w:val="nil"/>
              <w:bottom w:val="nil"/>
              <w:right w:val="nil"/>
            </w:tcBorders>
            <w:noWrap/>
            <w:vAlign w:val="center"/>
            <w:hideMark/>
          </w:tcPr>
          <w:p w14:paraId="407DAFBD"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19 (63,3%)</w:t>
            </w:r>
          </w:p>
        </w:tc>
        <w:tc>
          <w:tcPr>
            <w:tcW w:w="1056" w:type="dxa"/>
            <w:tcBorders>
              <w:top w:val="nil"/>
              <w:left w:val="nil"/>
              <w:bottom w:val="nil"/>
              <w:right w:val="nil"/>
            </w:tcBorders>
            <w:noWrap/>
            <w:vAlign w:val="bottom"/>
            <w:hideMark/>
          </w:tcPr>
          <w:p w14:paraId="30CBB649"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282" w:type="dxa"/>
            <w:tcBorders>
              <w:top w:val="nil"/>
              <w:left w:val="nil"/>
              <w:bottom w:val="nil"/>
              <w:right w:val="nil"/>
            </w:tcBorders>
            <w:noWrap/>
            <w:vAlign w:val="bottom"/>
            <w:hideMark/>
          </w:tcPr>
          <w:p w14:paraId="121CD315"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 (6,7%)</w:t>
            </w:r>
          </w:p>
        </w:tc>
        <w:tc>
          <w:tcPr>
            <w:tcW w:w="1087" w:type="dxa"/>
            <w:gridSpan w:val="2"/>
            <w:tcBorders>
              <w:top w:val="nil"/>
              <w:left w:val="nil"/>
              <w:bottom w:val="nil"/>
              <w:right w:val="nil"/>
            </w:tcBorders>
            <w:noWrap/>
            <w:vAlign w:val="center"/>
            <w:hideMark/>
          </w:tcPr>
          <w:p w14:paraId="76DA87D2"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604" w:type="dxa"/>
            <w:gridSpan w:val="2"/>
            <w:vMerge w:val="restart"/>
            <w:tcBorders>
              <w:top w:val="nil"/>
              <w:left w:val="nil"/>
              <w:bottom w:val="single" w:sz="4" w:space="0" w:color="auto"/>
              <w:right w:val="nil"/>
            </w:tcBorders>
            <w:vAlign w:val="bottom"/>
            <w:hideMark/>
          </w:tcPr>
          <w:p w14:paraId="38997029"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X</w:t>
            </w:r>
            <w:r w:rsidRPr="00C223C3">
              <w:rPr>
                <w:rFonts w:ascii="Arial" w:hAnsi="Arial" w:cs="Arial"/>
                <w:color w:val="000000" w:themeColor="text1"/>
                <w:vertAlign w:val="superscript"/>
                <w:lang w:eastAsia="pt-BR"/>
              </w:rPr>
              <w:t>2</w:t>
            </w:r>
            <w:r w:rsidRPr="00C223C3">
              <w:rPr>
                <w:rFonts w:ascii="Arial" w:hAnsi="Arial" w:cs="Arial"/>
                <w:color w:val="000000" w:themeColor="text1"/>
                <w:lang w:eastAsia="pt-BR"/>
              </w:rPr>
              <w:t xml:space="preserve"> = 3,</w:t>
            </w:r>
            <w:proofErr w:type="gramStart"/>
            <w:r w:rsidRPr="00C223C3">
              <w:rPr>
                <w:rFonts w:ascii="Arial" w:hAnsi="Arial" w:cs="Arial"/>
                <w:color w:val="000000" w:themeColor="text1"/>
                <w:lang w:eastAsia="pt-BR"/>
              </w:rPr>
              <w:t xml:space="preserve">84;   </w:t>
            </w:r>
            <w:proofErr w:type="gramEnd"/>
            <w:r w:rsidRPr="00C223C3">
              <w:rPr>
                <w:rFonts w:ascii="Arial" w:hAnsi="Arial" w:cs="Arial"/>
                <w:color w:val="000000" w:themeColor="text1"/>
                <w:lang w:eastAsia="pt-BR"/>
              </w:rPr>
              <w:t xml:space="preserve">        p = 0,27</w:t>
            </w:r>
          </w:p>
        </w:tc>
      </w:tr>
      <w:tr w:rsidR="00B860BE" w:rsidRPr="00C223C3" w14:paraId="32102583" w14:textId="77777777" w:rsidTr="00E37B05">
        <w:trPr>
          <w:trHeight w:val="290"/>
        </w:trPr>
        <w:tc>
          <w:tcPr>
            <w:tcW w:w="2997" w:type="dxa"/>
            <w:tcBorders>
              <w:top w:val="nil"/>
              <w:left w:val="nil"/>
              <w:bottom w:val="single" w:sz="4" w:space="0" w:color="auto"/>
              <w:right w:val="nil"/>
            </w:tcBorders>
            <w:noWrap/>
            <w:vAlign w:val="bottom"/>
            <w:hideMark/>
          </w:tcPr>
          <w:p w14:paraId="0A7EF8E3" w14:textId="5A8BEAE9" w:rsidR="00B860BE" w:rsidRPr="00C223C3" w:rsidRDefault="00B860BE" w:rsidP="00E37B05">
            <w:pPr>
              <w:rPr>
                <w:rFonts w:ascii="Arial" w:hAnsi="Arial" w:cs="Arial"/>
                <w:color w:val="000000" w:themeColor="text1"/>
                <w:lang w:eastAsia="pt-BR"/>
              </w:rPr>
            </w:pPr>
            <w:r w:rsidRPr="00C223C3">
              <w:rPr>
                <w:rFonts w:ascii="Arial" w:hAnsi="Arial" w:cs="Arial"/>
                <w:color w:val="000000" w:themeColor="text1"/>
                <w:lang w:eastAsia="pt-BR"/>
              </w:rPr>
              <w:t>No</w:t>
            </w:r>
          </w:p>
        </w:tc>
        <w:tc>
          <w:tcPr>
            <w:tcW w:w="1355" w:type="dxa"/>
            <w:gridSpan w:val="2"/>
            <w:tcBorders>
              <w:top w:val="nil"/>
              <w:left w:val="nil"/>
              <w:bottom w:val="single" w:sz="4" w:space="0" w:color="auto"/>
              <w:right w:val="nil"/>
            </w:tcBorders>
            <w:noWrap/>
            <w:vAlign w:val="center"/>
            <w:hideMark/>
          </w:tcPr>
          <w:p w14:paraId="441ED2A3"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7 (23,3%)</w:t>
            </w:r>
          </w:p>
        </w:tc>
        <w:tc>
          <w:tcPr>
            <w:tcW w:w="1056" w:type="dxa"/>
            <w:tcBorders>
              <w:top w:val="nil"/>
              <w:left w:val="nil"/>
              <w:bottom w:val="single" w:sz="4" w:space="0" w:color="auto"/>
              <w:right w:val="nil"/>
            </w:tcBorders>
            <w:noWrap/>
            <w:vAlign w:val="center"/>
            <w:hideMark/>
          </w:tcPr>
          <w:p w14:paraId="6D839D90"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282" w:type="dxa"/>
            <w:tcBorders>
              <w:top w:val="nil"/>
              <w:left w:val="nil"/>
              <w:bottom w:val="single" w:sz="4" w:space="0" w:color="auto"/>
              <w:right w:val="nil"/>
            </w:tcBorders>
            <w:noWrap/>
            <w:vAlign w:val="bottom"/>
            <w:hideMark/>
          </w:tcPr>
          <w:p w14:paraId="6D40A228"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087" w:type="dxa"/>
            <w:gridSpan w:val="2"/>
            <w:tcBorders>
              <w:top w:val="nil"/>
              <w:left w:val="nil"/>
              <w:bottom w:val="single" w:sz="4" w:space="0" w:color="auto"/>
              <w:right w:val="nil"/>
            </w:tcBorders>
            <w:noWrap/>
            <w:vAlign w:val="bottom"/>
            <w:hideMark/>
          </w:tcPr>
          <w:p w14:paraId="6399DAAE"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604" w:type="dxa"/>
            <w:gridSpan w:val="2"/>
            <w:vMerge/>
            <w:tcBorders>
              <w:top w:val="single" w:sz="4" w:space="0" w:color="000000" w:themeColor="text1"/>
              <w:bottom w:val="single" w:sz="4" w:space="0" w:color="auto"/>
            </w:tcBorders>
            <w:vAlign w:val="center"/>
            <w:hideMark/>
          </w:tcPr>
          <w:p w14:paraId="206732AF" w14:textId="77777777" w:rsidR="00B860BE" w:rsidRPr="00C223C3" w:rsidRDefault="00B860BE" w:rsidP="00E37B05">
            <w:pPr>
              <w:rPr>
                <w:rFonts w:ascii="Arial" w:hAnsi="Arial" w:cs="Arial"/>
                <w:color w:val="000000" w:themeColor="text1"/>
                <w:lang w:eastAsia="pt-BR"/>
              </w:rPr>
            </w:pPr>
          </w:p>
        </w:tc>
      </w:tr>
      <w:tr w:rsidR="00B860BE" w:rsidRPr="00C223C3" w14:paraId="1EB072A2" w14:textId="77777777" w:rsidTr="00E37B05">
        <w:trPr>
          <w:trHeight w:val="290"/>
        </w:trPr>
        <w:tc>
          <w:tcPr>
            <w:tcW w:w="2997" w:type="dxa"/>
            <w:tcBorders>
              <w:top w:val="nil"/>
              <w:left w:val="nil"/>
              <w:bottom w:val="nil"/>
              <w:right w:val="nil"/>
            </w:tcBorders>
            <w:noWrap/>
            <w:vAlign w:val="bottom"/>
            <w:hideMark/>
          </w:tcPr>
          <w:p w14:paraId="307BE670" w14:textId="741E468B" w:rsidR="00B860BE" w:rsidRPr="00C223C3" w:rsidRDefault="00AF7C8F" w:rsidP="00E37B05">
            <w:pPr>
              <w:rPr>
                <w:rFonts w:ascii="Arial" w:hAnsi="Arial" w:cs="Arial"/>
                <w:b/>
                <w:bCs/>
                <w:color w:val="000000" w:themeColor="text1"/>
                <w:lang w:eastAsia="pt-BR"/>
              </w:rPr>
            </w:pPr>
            <w:r w:rsidRPr="00C223C3">
              <w:rPr>
                <w:rFonts w:ascii="Arial" w:hAnsi="Arial" w:cs="Arial"/>
                <w:b/>
                <w:bCs/>
                <w:color w:val="000000" w:themeColor="text1"/>
                <w:lang w:eastAsia="pt-BR"/>
              </w:rPr>
              <w:t>Type of clinical treatment</w:t>
            </w:r>
          </w:p>
        </w:tc>
        <w:tc>
          <w:tcPr>
            <w:tcW w:w="1355" w:type="dxa"/>
            <w:gridSpan w:val="2"/>
            <w:tcBorders>
              <w:top w:val="nil"/>
              <w:left w:val="nil"/>
              <w:bottom w:val="nil"/>
              <w:right w:val="nil"/>
            </w:tcBorders>
            <w:noWrap/>
            <w:vAlign w:val="center"/>
            <w:hideMark/>
          </w:tcPr>
          <w:p w14:paraId="1C4413FB" w14:textId="77777777" w:rsidR="00B860BE" w:rsidRPr="00C223C3" w:rsidRDefault="00B860BE" w:rsidP="00E37B05">
            <w:pPr>
              <w:rPr>
                <w:rFonts w:ascii="Arial" w:hAnsi="Arial" w:cs="Arial"/>
                <w:b/>
                <w:bCs/>
                <w:color w:val="000000" w:themeColor="text1"/>
                <w:lang w:eastAsia="pt-BR"/>
              </w:rPr>
            </w:pPr>
          </w:p>
        </w:tc>
        <w:tc>
          <w:tcPr>
            <w:tcW w:w="1056" w:type="dxa"/>
            <w:tcBorders>
              <w:top w:val="nil"/>
              <w:left w:val="nil"/>
              <w:bottom w:val="nil"/>
              <w:right w:val="nil"/>
            </w:tcBorders>
            <w:noWrap/>
            <w:vAlign w:val="center"/>
            <w:hideMark/>
          </w:tcPr>
          <w:p w14:paraId="7ABF4DFC" w14:textId="77777777" w:rsidR="00B860BE" w:rsidRPr="00C223C3" w:rsidRDefault="00B860BE" w:rsidP="00E37B05">
            <w:pPr>
              <w:jc w:val="center"/>
              <w:rPr>
                <w:rFonts w:ascii="Arial" w:hAnsi="Arial" w:cs="Arial"/>
                <w:color w:val="000000" w:themeColor="text1"/>
                <w:lang w:eastAsia="pt-BR"/>
              </w:rPr>
            </w:pPr>
          </w:p>
        </w:tc>
        <w:tc>
          <w:tcPr>
            <w:tcW w:w="1282" w:type="dxa"/>
            <w:tcBorders>
              <w:top w:val="nil"/>
              <w:left w:val="nil"/>
              <w:bottom w:val="nil"/>
              <w:right w:val="nil"/>
            </w:tcBorders>
            <w:noWrap/>
            <w:vAlign w:val="center"/>
            <w:hideMark/>
          </w:tcPr>
          <w:p w14:paraId="181FB988" w14:textId="77777777" w:rsidR="00B860BE" w:rsidRPr="00C223C3" w:rsidRDefault="00B860BE" w:rsidP="00E37B05">
            <w:pPr>
              <w:jc w:val="center"/>
              <w:rPr>
                <w:rFonts w:ascii="Arial" w:hAnsi="Arial" w:cs="Arial"/>
                <w:color w:val="000000" w:themeColor="text1"/>
                <w:lang w:eastAsia="pt-BR"/>
              </w:rPr>
            </w:pPr>
          </w:p>
        </w:tc>
        <w:tc>
          <w:tcPr>
            <w:tcW w:w="1087" w:type="dxa"/>
            <w:gridSpan w:val="2"/>
            <w:tcBorders>
              <w:top w:val="nil"/>
              <w:left w:val="nil"/>
              <w:bottom w:val="nil"/>
              <w:right w:val="nil"/>
            </w:tcBorders>
            <w:noWrap/>
            <w:vAlign w:val="center"/>
            <w:hideMark/>
          </w:tcPr>
          <w:p w14:paraId="141D48FC" w14:textId="77777777" w:rsidR="00B860BE" w:rsidRPr="00C223C3" w:rsidRDefault="00B860BE" w:rsidP="00E37B05">
            <w:pPr>
              <w:jc w:val="center"/>
              <w:rPr>
                <w:rFonts w:ascii="Arial" w:hAnsi="Arial" w:cs="Arial"/>
                <w:color w:val="000000" w:themeColor="text1"/>
                <w:lang w:eastAsia="pt-BR"/>
              </w:rPr>
            </w:pPr>
          </w:p>
        </w:tc>
        <w:tc>
          <w:tcPr>
            <w:tcW w:w="1604" w:type="dxa"/>
            <w:gridSpan w:val="2"/>
            <w:tcBorders>
              <w:top w:val="single" w:sz="4" w:space="0" w:color="auto"/>
              <w:left w:val="nil"/>
              <w:bottom w:val="nil"/>
              <w:right w:val="nil"/>
            </w:tcBorders>
            <w:noWrap/>
            <w:vAlign w:val="bottom"/>
            <w:hideMark/>
          </w:tcPr>
          <w:p w14:paraId="4285B653" w14:textId="77777777" w:rsidR="00B860BE" w:rsidRPr="00C223C3" w:rsidRDefault="00B860BE" w:rsidP="00E37B05">
            <w:pPr>
              <w:jc w:val="center"/>
              <w:rPr>
                <w:rFonts w:ascii="Arial" w:hAnsi="Arial" w:cs="Arial"/>
                <w:color w:val="000000" w:themeColor="text1"/>
                <w:lang w:eastAsia="pt-BR"/>
              </w:rPr>
            </w:pPr>
          </w:p>
        </w:tc>
      </w:tr>
      <w:tr w:rsidR="00B860BE" w:rsidRPr="00C223C3" w14:paraId="24D2D9B2" w14:textId="77777777" w:rsidTr="00E37B05">
        <w:trPr>
          <w:trHeight w:val="290"/>
        </w:trPr>
        <w:tc>
          <w:tcPr>
            <w:tcW w:w="2997" w:type="dxa"/>
            <w:tcBorders>
              <w:top w:val="nil"/>
              <w:left w:val="nil"/>
              <w:bottom w:val="nil"/>
              <w:right w:val="nil"/>
            </w:tcBorders>
            <w:noWrap/>
            <w:vAlign w:val="bottom"/>
            <w:hideMark/>
          </w:tcPr>
          <w:p w14:paraId="722A7A94" w14:textId="2CC45C08" w:rsidR="00B860BE" w:rsidRPr="00C223C3" w:rsidRDefault="00AF7C8F" w:rsidP="00E37B05">
            <w:pPr>
              <w:rPr>
                <w:rFonts w:ascii="Arial" w:hAnsi="Arial" w:cs="Arial"/>
                <w:color w:val="000000" w:themeColor="text1"/>
                <w:lang w:eastAsia="pt-BR"/>
              </w:rPr>
            </w:pPr>
            <w:r w:rsidRPr="00C223C3">
              <w:rPr>
                <w:rFonts w:ascii="Arial" w:hAnsi="Arial" w:cs="Arial"/>
                <w:color w:val="000000" w:themeColor="text1"/>
                <w:lang w:eastAsia="pt-BR"/>
              </w:rPr>
              <w:t>Cabergoline/Bromocriptine</w:t>
            </w:r>
          </w:p>
        </w:tc>
        <w:tc>
          <w:tcPr>
            <w:tcW w:w="1355" w:type="dxa"/>
            <w:gridSpan w:val="2"/>
            <w:tcBorders>
              <w:top w:val="nil"/>
              <w:left w:val="nil"/>
              <w:bottom w:val="nil"/>
              <w:right w:val="nil"/>
            </w:tcBorders>
            <w:noWrap/>
            <w:vAlign w:val="center"/>
            <w:hideMark/>
          </w:tcPr>
          <w:p w14:paraId="62AD75C7"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19 (63,3%)</w:t>
            </w:r>
          </w:p>
        </w:tc>
        <w:tc>
          <w:tcPr>
            <w:tcW w:w="1056" w:type="dxa"/>
            <w:tcBorders>
              <w:top w:val="nil"/>
              <w:left w:val="nil"/>
              <w:bottom w:val="nil"/>
              <w:right w:val="nil"/>
            </w:tcBorders>
            <w:noWrap/>
            <w:vAlign w:val="bottom"/>
            <w:hideMark/>
          </w:tcPr>
          <w:p w14:paraId="338C306E"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282" w:type="dxa"/>
            <w:tcBorders>
              <w:top w:val="nil"/>
              <w:left w:val="nil"/>
              <w:bottom w:val="nil"/>
              <w:right w:val="nil"/>
            </w:tcBorders>
            <w:noWrap/>
            <w:vAlign w:val="bottom"/>
            <w:hideMark/>
          </w:tcPr>
          <w:p w14:paraId="242ABD56"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087" w:type="dxa"/>
            <w:gridSpan w:val="2"/>
            <w:tcBorders>
              <w:top w:val="nil"/>
              <w:left w:val="nil"/>
              <w:bottom w:val="nil"/>
              <w:right w:val="nil"/>
            </w:tcBorders>
            <w:noWrap/>
            <w:vAlign w:val="bottom"/>
            <w:hideMark/>
          </w:tcPr>
          <w:p w14:paraId="16AE49C3"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604" w:type="dxa"/>
            <w:gridSpan w:val="2"/>
            <w:vMerge w:val="restart"/>
            <w:tcBorders>
              <w:top w:val="nil"/>
              <w:left w:val="nil"/>
              <w:bottom w:val="nil"/>
              <w:right w:val="nil"/>
            </w:tcBorders>
            <w:vAlign w:val="center"/>
            <w:hideMark/>
          </w:tcPr>
          <w:p w14:paraId="37507630"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X</w:t>
            </w:r>
            <w:r w:rsidRPr="00C223C3">
              <w:rPr>
                <w:rFonts w:ascii="Arial" w:hAnsi="Arial" w:cs="Arial"/>
                <w:color w:val="000000" w:themeColor="text1"/>
                <w:vertAlign w:val="superscript"/>
                <w:lang w:eastAsia="pt-BR"/>
              </w:rPr>
              <w:t>2</w:t>
            </w:r>
            <w:r w:rsidRPr="00C223C3">
              <w:rPr>
                <w:rFonts w:ascii="Arial" w:hAnsi="Arial" w:cs="Arial"/>
                <w:color w:val="000000" w:themeColor="text1"/>
                <w:lang w:eastAsia="pt-BR"/>
              </w:rPr>
              <w:t xml:space="preserve"> = 62,</w:t>
            </w:r>
            <w:proofErr w:type="gramStart"/>
            <w:r w:rsidRPr="00C223C3">
              <w:rPr>
                <w:rFonts w:ascii="Arial" w:hAnsi="Arial" w:cs="Arial"/>
                <w:color w:val="000000" w:themeColor="text1"/>
                <w:lang w:eastAsia="pt-BR"/>
              </w:rPr>
              <w:t xml:space="preserve">7;   </w:t>
            </w:r>
            <w:proofErr w:type="gramEnd"/>
            <w:r w:rsidRPr="00C223C3">
              <w:rPr>
                <w:rFonts w:ascii="Arial" w:hAnsi="Arial" w:cs="Arial"/>
                <w:color w:val="000000" w:themeColor="text1"/>
                <w:lang w:eastAsia="pt-BR"/>
              </w:rPr>
              <w:t xml:space="preserve">        p &lt; 0,001*</w:t>
            </w:r>
          </w:p>
        </w:tc>
      </w:tr>
      <w:tr w:rsidR="00B860BE" w:rsidRPr="00C223C3" w14:paraId="7AFDB939" w14:textId="77777777" w:rsidTr="00E37B05">
        <w:trPr>
          <w:trHeight w:val="290"/>
        </w:trPr>
        <w:tc>
          <w:tcPr>
            <w:tcW w:w="2997" w:type="dxa"/>
            <w:tcBorders>
              <w:top w:val="nil"/>
              <w:left w:val="nil"/>
              <w:bottom w:val="nil"/>
              <w:right w:val="nil"/>
            </w:tcBorders>
            <w:noWrap/>
            <w:vAlign w:val="bottom"/>
            <w:hideMark/>
          </w:tcPr>
          <w:p w14:paraId="47F6355D" w14:textId="3AA135E8" w:rsidR="00B860BE" w:rsidRPr="00C223C3" w:rsidRDefault="00771859" w:rsidP="00E37B05">
            <w:pPr>
              <w:rPr>
                <w:rFonts w:ascii="Arial" w:hAnsi="Arial" w:cs="Arial"/>
                <w:color w:val="000000" w:themeColor="text1"/>
                <w:lang w:eastAsia="pt-BR"/>
              </w:rPr>
            </w:pPr>
            <w:r w:rsidRPr="00C223C3">
              <w:rPr>
                <w:rFonts w:ascii="Arial" w:hAnsi="Arial" w:cs="Arial"/>
                <w:color w:val="000000" w:themeColor="text1"/>
                <w:lang w:eastAsia="pt-BR"/>
              </w:rPr>
              <w:lastRenderedPageBreak/>
              <w:t>Octreotide/</w:t>
            </w:r>
            <w:proofErr w:type="spellStart"/>
            <w:r w:rsidRPr="00C223C3">
              <w:rPr>
                <w:rFonts w:ascii="Arial" w:hAnsi="Arial" w:cs="Arial"/>
                <w:color w:val="000000" w:themeColor="text1"/>
                <w:lang w:eastAsia="pt-BR"/>
              </w:rPr>
              <w:t>Lanreotide</w:t>
            </w:r>
            <w:proofErr w:type="spellEnd"/>
          </w:p>
        </w:tc>
        <w:tc>
          <w:tcPr>
            <w:tcW w:w="1355" w:type="dxa"/>
            <w:gridSpan w:val="2"/>
            <w:tcBorders>
              <w:top w:val="nil"/>
              <w:left w:val="nil"/>
              <w:bottom w:val="nil"/>
              <w:right w:val="nil"/>
            </w:tcBorders>
            <w:noWrap/>
            <w:vAlign w:val="bottom"/>
            <w:hideMark/>
          </w:tcPr>
          <w:p w14:paraId="4B6A175D"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056" w:type="dxa"/>
            <w:tcBorders>
              <w:top w:val="nil"/>
              <w:left w:val="nil"/>
              <w:bottom w:val="nil"/>
              <w:right w:val="nil"/>
            </w:tcBorders>
            <w:noWrap/>
            <w:vAlign w:val="bottom"/>
            <w:hideMark/>
          </w:tcPr>
          <w:p w14:paraId="400F17D0"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282" w:type="dxa"/>
            <w:tcBorders>
              <w:top w:val="nil"/>
              <w:left w:val="nil"/>
              <w:bottom w:val="nil"/>
              <w:right w:val="nil"/>
            </w:tcBorders>
            <w:noWrap/>
            <w:vAlign w:val="bottom"/>
            <w:hideMark/>
          </w:tcPr>
          <w:p w14:paraId="1E1155EA"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2 (6,7%)</w:t>
            </w:r>
          </w:p>
        </w:tc>
        <w:tc>
          <w:tcPr>
            <w:tcW w:w="1087" w:type="dxa"/>
            <w:gridSpan w:val="2"/>
            <w:tcBorders>
              <w:top w:val="nil"/>
              <w:left w:val="nil"/>
              <w:bottom w:val="nil"/>
              <w:right w:val="nil"/>
            </w:tcBorders>
            <w:noWrap/>
            <w:vAlign w:val="bottom"/>
            <w:hideMark/>
          </w:tcPr>
          <w:p w14:paraId="1A19B333"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604" w:type="dxa"/>
            <w:gridSpan w:val="2"/>
            <w:vMerge/>
            <w:vAlign w:val="center"/>
            <w:hideMark/>
          </w:tcPr>
          <w:p w14:paraId="66FC600D" w14:textId="77777777" w:rsidR="00B860BE" w:rsidRPr="00C223C3" w:rsidRDefault="00B860BE" w:rsidP="00E37B05">
            <w:pPr>
              <w:rPr>
                <w:rFonts w:ascii="Arial" w:hAnsi="Arial" w:cs="Arial"/>
                <w:color w:val="000000" w:themeColor="text1"/>
                <w:lang w:eastAsia="pt-BR"/>
              </w:rPr>
            </w:pPr>
          </w:p>
        </w:tc>
      </w:tr>
      <w:tr w:rsidR="00B860BE" w:rsidRPr="00C223C3" w14:paraId="6D60077F" w14:textId="77777777" w:rsidTr="00E37B05">
        <w:trPr>
          <w:trHeight w:val="290"/>
        </w:trPr>
        <w:tc>
          <w:tcPr>
            <w:tcW w:w="2997" w:type="dxa"/>
            <w:tcBorders>
              <w:top w:val="nil"/>
              <w:left w:val="nil"/>
              <w:bottom w:val="nil"/>
              <w:right w:val="nil"/>
            </w:tcBorders>
            <w:noWrap/>
            <w:vAlign w:val="bottom"/>
            <w:hideMark/>
          </w:tcPr>
          <w:p w14:paraId="72B7AC20" w14:textId="45D4515E" w:rsidR="00B860BE" w:rsidRPr="00C223C3" w:rsidRDefault="008A1090" w:rsidP="00E37B05">
            <w:pPr>
              <w:rPr>
                <w:rFonts w:ascii="Arial" w:hAnsi="Arial" w:cs="Arial"/>
                <w:color w:val="000000" w:themeColor="text1"/>
                <w:lang w:eastAsia="pt-BR"/>
              </w:rPr>
            </w:pPr>
            <w:r w:rsidRPr="00C223C3">
              <w:rPr>
                <w:rFonts w:ascii="Arial" w:hAnsi="Arial" w:cs="Arial"/>
                <w:color w:val="000000" w:themeColor="text1"/>
                <w:lang w:eastAsia="pt-BR"/>
              </w:rPr>
              <w:t>Other</w:t>
            </w:r>
          </w:p>
        </w:tc>
        <w:tc>
          <w:tcPr>
            <w:tcW w:w="1355" w:type="dxa"/>
            <w:gridSpan w:val="2"/>
            <w:tcBorders>
              <w:top w:val="nil"/>
              <w:left w:val="nil"/>
              <w:bottom w:val="nil"/>
              <w:right w:val="nil"/>
            </w:tcBorders>
            <w:noWrap/>
            <w:vAlign w:val="bottom"/>
            <w:hideMark/>
          </w:tcPr>
          <w:p w14:paraId="0B534189"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056" w:type="dxa"/>
            <w:tcBorders>
              <w:top w:val="nil"/>
              <w:left w:val="nil"/>
              <w:bottom w:val="nil"/>
              <w:right w:val="nil"/>
            </w:tcBorders>
            <w:noWrap/>
            <w:vAlign w:val="bottom"/>
            <w:hideMark/>
          </w:tcPr>
          <w:p w14:paraId="1405ECA1"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282" w:type="dxa"/>
            <w:tcBorders>
              <w:top w:val="nil"/>
              <w:left w:val="nil"/>
              <w:bottom w:val="nil"/>
              <w:right w:val="nil"/>
            </w:tcBorders>
            <w:noWrap/>
            <w:vAlign w:val="bottom"/>
            <w:hideMark/>
          </w:tcPr>
          <w:p w14:paraId="42539762"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087" w:type="dxa"/>
            <w:gridSpan w:val="2"/>
            <w:tcBorders>
              <w:top w:val="nil"/>
              <w:left w:val="nil"/>
              <w:bottom w:val="nil"/>
              <w:right w:val="nil"/>
            </w:tcBorders>
            <w:noWrap/>
            <w:vAlign w:val="center"/>
            <w:hideMark/>
          </w:tcPr>
          <w:p w14:paraId="1BE35B9A"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604" w:type="dxa"/>
            <w:gridSpan w:val="2"/>
            <w:vMerge/>
            <w:vAlign w:val="center"/>
            <w:hideMark/>
          </w:tcPr>
          <w:p w14:paraId="7C3DE3FB" w14:textId="77777777" w:rsidR="00B860BE" w:rsidRPr="00C223C3" w:rsidRDefault="00B860BE" w:rsidP="00E37B05">
            <w:pPr>
              <w:rPr>
                <w:rFonts w:ascii="Arial" w:hAnsi="Arial" w:cs="Arial"/>
                <w:color w:val="000000" w:themeColor="text1"/>
                <w:lang w:eastAsia="pt-BR"/>
              </w:rPr>
            </w:pPr>
          </w:p>
        </w:tc>
      </w:tr>
      <w:tr w:rsidR="00B860BE" w:rsidRPr="00C223C3" w14:paraId="5A8F3AD0" w14:textId="77777777" w:rsidTr="00E37B05">
        <w:trPr>
          <w:trHeight w:val="290"/>
        </w:trPr>
        <w:tc>
          <w:tcPr>
            <w:tcW w:w="2997" w:type="dxa"/>
            <w:tcBorders>
              <w:top w:val="nil"/>
              <w:left w:val="nil"/>
              <w:bottom w:val="single" w:sz="18" w:space="0" w:color="auto"/>
              <w:right w:val="nil"/>
            </w:tcBorders>
            <w:noWrap/>
            <w:vAlign w:val="bottom"/>
            <w:hideMark/>
          </w:tcPr>
          <w:p w14:paraId="180C81F5" w14:textId="2ECDE06F" w:rsidR="00B860BE" w:rsidRPr="00C223C3" w:rsidRDefault="00771859" w:rsidP="00E37B05">
            <w:pPr>
              <w:rPr>
                <w:rFonts w:ascii="Arial" w:hAnsi="Arial" w:cs="Arial"/>
                <w:color w:val="000000" w:themeColor="text1"/>
                <w:lang w:val="pt-BR" w:eastAsia="pt-BR"/>
              </w:rPr>
            </w:pPr>
            <w:r w:rsidRPr="00C223C3">
              <w:rPr>
                <w:rFonts w:ascii="Arial" w:hAnsi="Arial" w:cs="Arial"/>
                <w:color w:val="000000" w:themeColor="text1"/>
                <w:lang w:val="pt-BR" w:eastAsia="pt-BR"/>
              </w:rPr>
              <w:t>No clinical treatment</w:t>
            </w:r>
          </w:p>
        </w:tc>
        <w:tc>
          <w:tcPr>
            <w:tcW w:w="1355" w:type="dxa"/>
            <w:gridSpan w:val="2"/>
            <w:tcBorders>
              <w:top w:val="nil"/>
              <w:left w:val="nil"/>
              <w:bottom w:val="single" w:sz="18" w:space="0" w:color="auto"/>
              <w:right w:val="nil"/>
            </w:tcBorders>
            <w:noWrap/>
            <w:vAlign w:val="center"/>
            <w:hideMark/>
          </w:tcPr>
          <w:p w14:paraId="32E2605B"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7 (23,3%)</w:t>
            </w:r>
          </w:p>
        </w:tc>
        <w:tc>
          <w:tcPr>
            <w:tcW w:w="1056" w:type="dxa"/>
            <w:tcBorders>
              <w:top w:val="nil"/>
              <w:left w:val="nil"/>
              <w:bottom w:val="single" w:sz="18" w:space="0" w:color="auto"/>
              <w:right w:val="nil"/>
            </w:tcBorders>
            <w:noWrap/>
            <w:vAlign w:val="center"/>
            <w:hideMark/>
          </w:tcPr>
          <w:p w14:paraId="3197606C"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1 (3,3%)</w:t>
            </w:r>
          </w:p>
        </w:tc>
        <w:tc>
          <w:tcPr>
            <w:tcW w:w="1282" w:type="dxa"/>
            <w:tcBorders>
              <w:top w:val="nil"/>
              <w:left w:val="nil"/>
              <w:bottom w:val="single" w:sz="18" w:space="0" w:color="auto"/>
              <w:right w:val="nil"/>
            </w:tcBorders>
            <w:noWrap/>
            <w:vAlign w:val="bottom"/>
            <w:hideMark/>
          </w:tcPr>
          <w:p w14:paraId="175ACF27"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087" w:type="dxa"/>
            <w:gridSpan w:val="2"/>
            <w:tcBorders>
              <w:top w:val="nil"/>
              <w:left w:val="nil"/>
              <w:bottom w:val="single" w:sz="18" w:space="0" w:color="auto"/>
              <w:right w:val="nil"/>
            </w:tcBorders>
            <w:noWrap/>
            <w:vAlign w:val="bottom"/>
            <w:hideMark/>
          </w:tcPr>
          <w:p w14:paraId="11C9BC53" w14:textId="77777777" w:rsidR="00B860BE" w:rsidRPr="00C223C3" w:rsidRDefault="00B860BE" w:rsidP="00E37B05">
            <w:pPr>
              <w:jc w:val="center"/>
              <w:rPr>
                <w:rFonts w:ascii="Arial" w:hAnsi="Arial" w:cs="Arial"/>
                <w:color w:val="000000" w:themeColor="text1"/>
                <w:lang w:eastAsia="pt-BR"/>
              </w:rPr>
            </w:pPr>
            <w:r w:rsidRPr="00C223C3">
              <w:rPr>
                <w:rFonts w:ascii="Arial" w:hAnsi="Arial" w:cs="Arial"/>
                <w:color w:val="000000" w:themeColor="text1"/>
                <w:lang w:eastAsia="pt-BR"/>
              </w:rPr>
              <w:t>0 (0%)</w:t>
            </w:r>
          </w:p>
        </w:tc>
        <w:tc>
          <w:tcPr>
            <w:tcW w:w="1604" w:type="dxa"/>
            <w:gridSpan w:val="2"/>
            <w:vMerge/>
            <w:tcBorders>
              <w:bottom w:val="single" w:sz="18" w:space="0" w:color="auto"/>
            </w:tcBorders>
            <w:vAlign w:val="center"/>
            <w:hideMark/>
          </w:tcPr>
          <w:p w14:paraId="034A75A0" w14:textId="77777777" w:rsidR="00B860BE" w:rsidRPr="00C223C3" w:rsidRDefault="00B860BE" w:rsidP="00E37B05">
            <w:pPr>
              <w:rPr>
                <w:rFonts w:ascii="Arial" w:hAnsi="Arial" w:cs="Arial"/>
                <w:color w:val="000000" w:themeColor="text1"/>
                <w:lang w:eastAsia="pt-BR"/>
              </w:rPr>
            </w:pPr>
          </w:p>
        </w:tc>
      </w:tr>
    </w:tbl>
    <w:p w14:paraId="43D0268A" w14:textId="39F2523F" w:rsidR="00B860BE" w:rsidRPr="00C223C3" w:rsidRDefault="00B860BE" w:rsidP="000F5801">
      <w:pPr>
        <w:pStyle w:val="Body"/>
        <w:spacing w:after="0" w:line="360" w:lineRule="auto"/>
        <w:jc w:val="center"/>
        <w:rPr>
          <w:rFonts w:ascii="Arial" w:hAnsi="Arial" w:cs="Arial"/>
          <w:color w:val="000000" w:themeColor="text1"/>
        </w:rPr>
      </w:pPr>
      <w:r w:rsidRPr="00C223C3">
        <w:rPr>
          <w:rFonts w:ascii="Arial" w:hAnsi="Arial" w:cs="Arial"/>
          <w:color w:val="000000" w:themeColor="text1"/>
        </w:rPr>
        <w:t>Source: Authors, 2024.</w:t>
      </w:r>
      <w:r w:rsidR="000F5801" w:rsidRPr="00C223C3">
        <w:rPr>
          <w:rFonts w:ascii="Arial" w:hAnsi="Arial" w:cs="Arial"/>
          <w:color w:val="000000" w:themeColor="text1"/>
        </w:rPr>
        <w:t xml:space="preserve"> </w:t>
      </w:r>
      <w:r w:rsidR="00CD13E8" w:rsidRPr="00C223C3">
        <w:rPr>
          <w:rFonts w:ascii="Arial" w:hAnsi="Arial" w:cs="Arial"/>
          <w:color w:val="000000" w:themeColor="text1"/>
        </w:rPr>
        <w:t>AH: pituitary adenoma; PRL: prolactinoma; CS: Cushing’s syndrome; ACRO: acromegaly; CNFA: clinically nonfunctioning adenoma.</w:t>
      </w:r>
    </w:p>
    <w:p w14:paraId="47CEAB66" w14:textId="77777777" w:rsidR="00316521" w:rsidRPr="00C223C3" w:rsidRDefault="00316521" w:rsidP="00E47D39">
      <w:pPr>
        <w:pStyle w:val="Body"/>
        <w:spacing w:after="0" w:line="360" w:lineRule="auto"/>
        <w:rPr>
          <w:rFonts w:ascii="Arial" w:hAnsi="Arial" w:cs="Arial"/>
          <w:color w:val="000000" w:themeColor="text1"/>
        </w:rPr>
      </w:pPr>
    </w:p>
    <w:p w14:paraId="31F22BF4" w14:textId="77777777" w:rsidR="00163DC8" w:rsidRPr="00C223C3" w:rsidRDefault="00163DC8" w:rsidP="00CF5474">
      <w:pPr>
        <w:pStyle w:val="ConcHead"/>
        <w:spacing w:after="0" w:line="360" w:lineRule="auto"/>
        <w:ind w:firstLine="720"/>
        <w:jc w:val="both"/>
        <w:rPr>
          <w:rFonts w:ascii="Arial" w:hAnsi="Arial" w:cs="Arial"/>
          <w:b w:val="0"/>
          <w:caps w:val="0"/>
          <w:color w:val="000000" w:themeColor="text1"/>
          <w:sz w:val="20"/>
        </w:rPr>
      </w:pPr>
      <w:r w:rsidRPr="00C223C3">
        <w:rPr>
          <w:rFonts w:ascii="Arial" w:hAnsi="Arial" w:cs="Arial"/>
          <w:b w:val="0"/>
          <w:caps w:val="0"/>
          <w:color w:val="000000" w:themeColor="text1"/>
          <w:sz w:val="20"/>
        </w:rPr>
        <w:t>The limitations of this study include the low patient acceptance rate, which substantially reduced the sample size and limited the generalizability of the findings. Additionally, the scarcity of national epidemiological studies on pituitary disorders and the underreporting of these conditions hinder more robust comparisons, underscoring the need for further investigations to expand knowledge of the clinical and therapeutic profiles of these pathologies within the Brazilian context.</w:t>
      </w:r>
    </w:p>
    <w:p w14:paraId="687D9C2C" w14:textId="77777777" w:rsidR="00163DC8" w:rsidRPr="00C223C3" w:rsidRDefault="00163DC8" w:rsidP="00E47D39">
      <w:pPr>
        <w:pStyle w:val="ConcHead"/>
        <w:spacing w:after="0" w:line="360" w:lineRule="auto"/>
        <w:jc w:val="both"/>
        <w:rPr>
          <w:rFonts w:ascii="Arial" w:hAnsi="Arial" w:cs="Arial"/>
          <w:b w:val="0"/>
          <w:caps w:val="0"/>
          <w:color w:val="000000" w:themeColor="text1"/>
          <w:sz w:val="20"/>
        </w:rPr>
      </w:pPr>
    </w:p>
    <w:p w14:paraId="2235717A" w14:textId="328D0ECD" w:rsidR="00B01FCD" w:rsidRPr="00C223C3" w:rsidRDefault="00000F8F" w:rsidP="00E47D39">
      <w:pPr>
        <w:pStyle w:val="ConcHead"/>
        <w:spacing w:after="0" w:line="360" w:lineRule="auto"/>
        <w:jc w:val="both"/>
        <w:rPr>
          <w:rFonts w:ascii="Arial" w:hAnsi="Arial" w:cs="Arial"/>
          <w:color w:val="000000" w:themeColor="text1"/>
        </w:rPr>
      </w:pPr>
      <w:r w:rsidRPr="00C223C3">
        <w:rPr>
          <w:rFonts w:ascii="Arial" w:hAnsi="Arial" w:cs="Arial"/>
          <w:color w:val="000000" w:themeColor="text1"/>
        </w:rPr>
        <w:t xml:space="preserve">4. </w:t>
      </w:r>
      <w:r w:rsidR="00B01FCD" w:rsidRPr="00C223C3">
        <w:rPr>
          <w:rFonts w:ascii="Arial" w:hAnsi="Arial" w:cs="Arial"/>
          <w:color w:val="000000" w:themeColor="text1"/>
        </w:rPr>
        <w:t>Conclusion</w:t>
      </w:r>
    </w:p>
    <w:p w14:paraId="4E720CE9" w14:textId="77777777" w:rsidR="00CF5474" w:rsidRPr="00C223C3" w:rsidRDefault="00CF5474" w:rsidP="00E47D39">
      <w:pPr>
        <w:pStyle w:val="Body"/>
        <w:spacing w:after="0" w:line="360" w:lineRule="auto"/>
        <w:rPr>
          <w:rFonts w:ascii="Arial" w:hAnsi="Arial" w:cs="Arial"/>
          <w:color w:val="000000" w:themeColor="text1"/>
        </w:rPr>
      </w:pPr>
    </w:p>
    <w:p w14:paraId="73E69FFF" w14:textId="77777777" w:rsidR="00CF5474" w:rsidRPr="00C223C3" w:rsidRDefault="00A51778"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 xml:space="preserve">This study shows a predominance of functioning adenomas in the municipality of </w:t>
      </w:r>
      <w:proofErr w:type="spellStart"/>
      <w:r w:rsidRPr="00C223C3">
        <w:rPr>
          <w:rFonts w:ascii="Arial" w:hAnsi="Arial" w:cs="Arial"/>
          <w:color w:val="000000" w:themeColor="text1"/>
        </w:rPr>
        <w:t>Chapecó</w:t>
      </w:r>
      <w:proofErr w:type="spellEnd"/>
      <w:r w:rsidRPr="00C223C3">
        <w:rPr>
          <w:rFonts w:ascii="Arial" w:hAnsi="Arial" w:cs="Arial"/>
          <w:color w:val="000000" w:themeColor="text1"/>
        </w:rPr>
        <w:t>, Santa Catarina, corresponding to the majority of the cases analyzed, with emphasis on prolactinomas, which represented most of the diseases studied. The profile of patients with prolactinoma is composed mainly of women who underwent clinical treatment with Cabergoline/Bromocriptine and presented smaller lesions compared to men.</w:t>
      </w:r>
    </w:p>
    <w:p w14:paraId="2FC4292F" w14:textId="77777777" w:rsidR="00CF5474" w:rsidRPr="00C223C3" w:rsidRDefault="00A51778"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Regarding acromegaly and Cushing’s syndrome, the study does not allow a definitive clinical profile to be established due to the low number of patients included, underreporting, and delayed diagnosis of these conditions. Thus, the information obtained does not allow for epidemiological conclusions about these diseases.</w:t>
      </w:r>
    </w:p>
    <w:p w14:paraId="6943DF13" w14:textId="0A2B074F" w:rsidR="00A51778" w:rsidRPr="00C223C3" w:rsidRDefault="00A51778" w:rsidP="00CF5474">
      <w:pPr>
        <w:pStyle w:val="Body"/>
        <w:spacing w:after="0" w:line="360" w:lineRule="auto"/>
        <w:ind w:firstLine="720"/>
        <w:rPr>
          <w:rFonts w:ascii="Arial" w:hAnsi="Arial" w:cs="Arial"/>
          <w:color w:val="000000" w:themeColor="text1"/>
        </w:rPr>
      </w:pPr>
      <w:r w:rsidRPr="00C223C3">
        <w:rPr>
          <w:rFonts w:ascii="Arial" w:hAnsi="Arial" w:cs="Arial"/>
          <w:color w:val="000000" w:themeColor="text1"/>
        </w:rPr>
        <w:t>The study contributes to the understanding of pituitary diseases in the region, highlighting important gaps in the local and national literature, such as the scarcity of epidemiological studies and the underreporting of pathologies, which hinder broader comparisons. Despite these limitations, the research represents a relevant starting point, laying the foundation for future investigations and expanding knowledge about the clinical and therapeutic profile of patients with neuroendocrine diseases.</w:t>
      </w:r>
    </w:p>
    <w:p w14:paraId="701ED26E" w14:textId="7D02BF7A" w:rsidR="006F3CB9" w:rsidRPr="00C223C3" w:rsidRDefault="006F3CB9" w:rsidP="00E47D39">
      <w:pPr>
        <w:spacing w:line="360" w:lineRule="auto"/>
        <w:rPr>
          <w:color w:val="000000" w:themeColor="text1"/>
        </w:rPr>
      </w:pPr>
      <w:r w:rsidRPr="00C223C3">
        <w:rPr>
          <w:color w:val="000000" w:themeColor="text1"/>
        </w:rPr>
        <w:t xml:space="preserve"> </w:t>
      </w:r>
    </w:p>
    <w:p w14:paraId="72F8416E" w14:textId="77777777" w:rsidR="006F3CB9" w:rsidRPr="00C223C3" w:rsidRDefault="006F3CB9" w:rsidP="006F3CB9">
      <w:pPr>
        <w:spacing w:line="360" w:lineRule="auto"/>
        <w:jc w:val="both"/>
        <w:rPr>
          <w:rFonts w:ascii="Arial" w:hAnsi="Arial" w:cs="Arial"/>
          <w:b/>
          <w:bCs/>
          <w:color w:val="000000" w:themeColor="text1"/>
          <w:sz w:val="22"/>
          <w:szCs w:val="22"/>
        </w:rPr>
      </w:pPr>
      <w:r w:rsidRPr="00C223C3">
        <w:rPr>
          <w:rFonts w:ascii="Arial" w:hAnsi="Arial" w:cs="Arial"/>
          <w:b/>
          <w:bCs/>
          <w:color w:val="000000" w:themeColor="text1"/>
          <w:sz w:val="22"/>
          <w:szCs w:val="22"/>
        </w:rPr>
        <w:t>DISCLAIMER (ARTIFICIAL INTELLIGENCE)</w:t>
      </w:r>
    </w:p>
    <w:p w14:paraId="38F31EA2" w14:textId="77777777" w:rsidR="006F3CB9" w:rsidRPr="00C223C3" w:rsidRDefault="006F3CB9" w:rsidP="006F3CB9">
      <w:pPr>
        <w:spacing w:line="360" w:lineRule="auto"/>
        <w:jc w:val="both"/>
        <w:rPr>
          <w:rFonts w:ascii="Arial" w:hAnsi="Arial" w:cs="Arial"/>
          <w:b/>
          <w:bCs/>
          <w:color w:val="000000" w:themeColor="text1"/>
        </w:rPr>
      </w:pPr>
    </w:p>
    <w:p w14:paraId="10B182DF" w14:textId="2A1A8DFA" w:rsidR="006F3CB9" w:rsidRPr="00C223C3" w:rsidRDefault="006F3CB9" w:rsidP="006F3CB9">
      <w:pPr>
        <w:spacing w:line="360" w:lineRule="auto"/>
        <w:rPr>
          <w:rFonts w:ascii="Arial" w:hAnsi="Arial" w:cs="Arial"/>
          <w:color w:val="000000" w:themeColor="text1"/>
        </w:rPr>
      </w:pPr>
      <w:r w:rsidRPr="00C223C3">
        <w:rPr>
          <w:rFonts w:ascii="Arial" w:hAnsi="Arial" w:cs="Arial"/>
          <w:color w:val="000000" w:themeColor="text1"/>
        </w:rPr>
        <w:t>Author(s) hereby declare that NO generative AI technologies such as Large Language Models (ChatGPT, COPILOT, etc.) and text-to-image generators have been used during the writing or editing of this manuscript.</w:t>
      </w:r>
    </w:p>
    <w:p w14:paraId="04F6683A" w14:textId="77777777" w:rsidR="006F3CB9" w:rsidRPr="00C223C3" w:rsidRDefault="006F3CB9" w:rsidP="006F3CB9">
      <w:pPr>
        <w:spacing w:line="360" w:lineRule="auto"/>
        <w:rPr>
          <w:rFonts w:ascii="Arial" w:hAnsi="Arial" w:cs="Arial"/>
          <w:b/>
          <w:bCs/>
          <w:color w:val="000000" w:themeColor="text1"/>
          <w:sz w:val="22"/>
          <w:szCs w:val="22"/>
        </w:rPr>
      </w:pPr>
      <w:r w:rsidRPr="00C223C3">
        <w:rPr>
          <w:rFonts w:ascii="Arial" w:hAnsi="Arial" w:cs="Arial"/>
          <w:b/>
          <w:bCs/>
          <w:color w:val="000000" w:themeColor="text1"/>
          <w:sz w:val="22"/>
          <w:szCs w:val="22"/>
        </w:rPr>
        <w:t>COMPETING INTERESTS</w:t>
      </w:r>
    </w:p>
    <w:p w14:paraId="7C0929EC" w14:textId="77777777" w:rsidR="006F3CB9" w:rsidRPr="00C223C3" w:rsidRDefault="006F3CB9" w:rsidP="006F3CB9">
      <w:pPr>
        <w:spacing w:line="360" w:lineRule="auto"/>
        <w:rPr>
          <w:rFonts w:ascii="Arial" w:hAnsi="Arial" w:cs="Arial"/>
          <w:color w:val="000000" w:themeColor="text1"/>
        </w:rPr>
      </w:pPr>
    </w:p>
    <w:p w14:paraId="069A2D10" w14:textId="77777777" w:rsidR="006F3CB9" w:rsidRPr="00C223C3" w:rsidRDefault="006F3CB9" w:rsidP="006F3CB9">
      <w:pPr>
        <w:spacing w:line="360" w:lineRule="auto"/>
        <w:rPr>
          <w:rFonts w:ascii="Arial" w:hAnsi="Arial" w:cs="Arial"/>
          <w:color w:val="000000" w:themeColor="text1"/>
        </w:rPr>
      </w:pPr>
      <w:r w:rsidRPr="00C223C3">
        <w:rPr>
          <w:rFonts w:ascii="Arial" w:hAnsi="Arial" w:cs="Arial"/>
          <w:color w:val="000000" w:themeColor="text1"/>
        </w:rPr>
        <w:t>Authors have declared that no competing interests exist.</w:t>
      </w:r>
    </w:p>
    <w:p w14:paraId="1229CC29" w14:textId="77777777" w:rsidR="00860000" w:rsidRPr="00C223C3" w:rsidRDefault="00860000" w:rsidP="00E47D39">
      <w:pPr>
        <w:pStyle w:val="ReferHead"/>
        <w:spacing w:after="0" w:line="360" w:lineRule="auto"/>
        <w:jc w:val="both"/>
        <w:rPr>
          <w:rFonts w:ascii="Arial" w:hAnsi="Arial" w:cs="Arial"/>
          <w:color w:val="000000" w:themeColor="text1"/>
        </w:rPr>
      </w:pPr>
    </w:p>
    <w:p w14:paraId="6889EBAD" w14:textId="77777777" w:rsidR="00B01FCD" w:rsidRPr="00C223C3" w:rsidRDefault="00B01FCD" w:rsidP="00E47D39">
      <w:pPr>
        <w:pStyle w:val="ReferHead"/>
        <w:spacing w:after="0" w:line="360" w:lineRule="auto"/>
        <w:jc w:val="both"/>
        <w:rPr>
          <w:rFonts w:ascii="Arial" w:hAnsi="Arial" w:cs="Arial"/>
          <w:color w:val="000000" w:themeColor="text1"/>
        </w:rPr>
      </w:pPr>
      <w:r w:rsidRPr="00C223C3">
        <w:rPr>
          <w:rFonts w:ascii="Arial" w:hAnsi="Arial" w:cs="Arial"/>
          <w:color w:val="000000" w:themeColor="text1"/>
        </w:rPr>
        <w:t>References</w:t>
      </w:r>
    </w:p>
    <w:p w14:paraId="0E234130" w14:textId="77777777" w:rsidR="00790ADA" w:rsidRPr="00C223C3" w:rsidRDefault="00790ADA" w:rsidP="00E47D39">
      <w:pPr>
        <w:pStyle w:val="ReferHead"/>
        <w:spacing w:after="0" w:line="360" w:lineRule="auto"/>
        <w:jc w:val="both"/>
        <w:rPr>
          <w:rFonts w:ascii="Arial" w:hAnsi="Arial" w:cs="Arial"/>
          <w:b w:val="0"/>
          <w:bCs/>
          <w:color w:val="000000" w:themeColor="text1"/>
        </w:rPr>
      </w:pPr>
    </w:p>
    <w:p w14:paraId="75BE87B3" w14:textId="77C1D149" w:rsidR="00322558" w:rsidRPr="00C223C3" w:rsidRDefault="00D23918" w:rsidP="00322558">
      <w:pPr>
        <w:pStyle w:val="ListParagraph"/>
        <w:numPr>
          <w:ilvl w:val="0"/>
          <w:numId w:val="33"/>
        </w:numPr>
        <w:spacing w:line="240" w:lineRule="auto"/>
        <w:jc w:val="left"/>
        <w:rPr>
          <w:rFonts w:ascii="Arial" w:hAnsi="Arial" w:cs="Arial"/>
          <w:color w:val="000000" w:themeColor="text1"/>
          <w:sz w:val="20"/>
          <w:szCs w:val="20"/>
        </w:rPr>
      </w:pPr>
      <w:proofErr w:type="spellStart"/>
      <w:r w:rsidRPr="00D23918">
        <w:rPr>
          <w:rFonts w:ascii="Arial" w:hAnsi="Arial" w:cs="Arial"/>
          <w:color w:val="000000" w:themeColor="text1"/>
          <w:sz w:val="20"/>
          <w:szCs w:val="20"/>
          <w:lang w:val="en-US"/>
        </w:rPr>
        <w:t>Silverthorn</w:t>
      </w:r>
      <w:proofErr w:type="spellEnd"/>
      <w:r w:rsidRPr="00D23918">
        <w:rPr>
          <w:rFonts w:ascii="Arial" w:hAnsi="Arial" w:cs="Arial"/>
          <w:color w:val="000000" w:themeColor="text1"/>
          <w:sz w:val="20"/>
          <w:szCs w:val="20"/>
          <w:lang w:val="en-US"/>
        </w:rPr>
        <w:t>, D. U. (2015). Human physiology: An integrated approach (7th ed.). Pearson.</w:t>
      </w:r>
    </w:p>
    <w:p w14:paraId="2968C61B" w14:textId="77777777" w:rsidR="00322558" w:rsidRPr="00C223C3" w:rsidRDefault="00322558" w:rsidP="00322558">
      <w:pPr>
        <w:ind w:left="360"/>
        <w:rPr>
          <w:rFonts w:ascii="Arial" w:hAnsi="Arial" w:cs="Arial"/>
          <w:color w:val="000000" w:themeColor="text1"/>
        </w:rPr>
      </w:pPr>
    </w:p>
    <w:p w14:paraId="3384B8D3" w14:textId="1526A6C7" w:rsidR="00322558" w:rsidRPr="00C223C3" w:rsidRDefault="00D23918" w:rsidP="00322558">
      <w:pPr>
        <w:pStyle w:val="ListParagraph"/>
        <w:numPr>
          <w:ilvl w:val="0"/>
          <w:numId w:val="33"/>
        </w:numPr>
        <w:spacing w:line="240" w:lineRule="auto"/>
        <w:jc w:val="left"/>
        <w:rPr>
          <w:rFonts w:ascii="Arial" w:hAnsi="Arial" w:cs="Arial"/>
          <w:color w:val="000000" w:themeColor="text1"/>
          <w:sz w:val="20"/>
          <w:szCs w:val="20"/>
        </w:rPr>
      </w:pPr>
      <w:r w:rsidRPr="00D23918">
        <w:rPr>
          <w:rFonts w:ascii="Arial" w:hAnsi="Arial" w:cs="Arial"/>
          <w:color w:val="000000" w:themeColor="text1"/>
          <w:sz w:val="20"/>
          <w:szCs w:val="20"/>
          <w:lang w:val="en-US"/>
        </w:rPr>
        <w:t xml:space="preserve">Guyton, A. C., &amp; Hall, J. E. (2015). Textbook of medical physiology (13th ed.). Elsevier. </w:t>
      </w:r>
      <w:hyperlink r:id="rId15" w:history="1">
        <w:r w:rsidRPr="008A4A01">
          <w:rPr>
            <w:rStyle w:val="Hyperlink"/>
            <w:rFonts w:ascii="Arial" w:hAnsi="Arial" w:cs="Arial"/>
            <w:sz w:val="20"/>
            <w:szCs w:val="20"/>
            <w:lang w:val="en-US"/>
          </w:rPr>
          <w:t>https://www.unisaebooks.co.za/books/guyton-and-hall-textbook-of-medical-physiology-e-book/</w:t>
        </w:r>
      </w:hyperlink>
      <w:r>
        <w:rPr>
          <w:rFonts w:ascii="Arial" w:hAnsi="Arial" w:cs="Arial"/>
          <w:color w:val="000000" w:themeColor="text1"/>
          <w:sz w:val="20"/>
          <w:szCs w:val="20"/>
          <w:lang w:val="en-US"/>
        </w:rPr>
        <w:t xml:space="preserve"> </w:t>
      </w:r>
    </w:p>
    <w:p w14:paraId="05B34747" w14:textId="77777777" w:rsidR="00322558" w:rsidRPr="00C223C3" w:rsidRDefault="00322558" w:rsidP="00322558">
      <w:pPr>
        <w:rPr>
          <w:rFonts w:ascii="Arial" w:hAnsi="Arial" w:cs="Arial"/>
          <w:color w:val="000000" w:themeColor="text1"/>
        </w:rPr>
      </w:pPr>
    </w:p>
    <w:p w14:paraId="49C2335A" w14:textId="372ADB9C" w:rsidR="00322558" w:rsidRPr="00C223C3" w:rsidRDefault="00CB57ED" w:rsidP="00322558">
      <w:pPr>
        <w:pStyle w:val="ListParagraph"/>
        <w:numPr>
          <w:ilvl w:val="0"/>
          <w:numId w:val="33"/>
        </w:numPr>
        <w:spacing w:line="240" w:lineRule="auto"/>
        <w:jc w:val="left"/>
        <w:rPr>
          <w:rFonts w:ascii="Arial" w:hAnsi="Arial" w:cs="Arial"/>
          <w:color w:val="000000" w:themeColor="text1"/>
          <w:sz w:val="20"/>
          <w:szCs w:val="20"/>
        </w:rPr>
      </w:pPr>
      <w:proofErr w:type="spellStart"/>
      <w:r w:rsidRPr="00CB57ED">
        <w:rPr>
          <w:rFonts w:ascii="Arial" w:hAnsi="Arial" w:cs="Arial"/>
          <w:color w:val="000000" w:themeColor="text1"/>
          <w:sz w:val="20"/>
          <w:szCs w:val="20"/>
          <w:lang w:val="en-US"/>
        </w:rPr>
        <w:t>Capozzi</w:t>
      </w:r>
      <w:proofErr w:type="spellEnd"/>
      <w:r w:rsidRPr="00CB57ED">
        <w:rPr>
          <w:rFonts w:ascii="Arial" w:hAnsi="Arial" w:cs="Arial"/>
          <w:color w:val="000000" w:themeColor="text1"/>
          <w:sz w:val="20"/>
          <w:szCs w:val="20"/>
          <w:lang w:val="en-US"/>
        </w:rPr>
        <w:t xml:space="preserve">, A., </w:t>
      </w:r>
      <w:proofErr w:type="spellStart"/>
      <w:r w:rsidRPr="00CB57ED">
        <w:rPr>
          <w:rFonts w:ascii="Arial" w:hAnsi="Arial" w:cs="Arial"/>
          <w:color w:val="000000" w:themeColor="text1"/>
          <w:sz w:val="20"/>
          <w:szCs w:val="20"/>
          <w:lang w:val="en-US"/>
        </w:rPr>
        <w:t>Scambia</w:t>
      </w:r>
      <w:proofErr w:type="spellEnd"/>
      <w:r w:rsidRPr="00CB57ED">
        <w:rPr>
          <w:rFonts w:ascii="Arial" w:hAnsi="Arial" w:cs="Arial"/>
          <w:color w:val="000000" w:themeColor="text1"/>
          <w:sz w:val="20"/>
          <w:szCs w:val="20"/>
          <w:lang w:val="en-US"/>
        </w:rPr>
        <w:t xml:space="preserve">, G., </w:t>
      </w:r>
      <w:proofErr w:type="spellStart"/>
      <w:r w:rsidRPr="00CB57ED">
        <w:rPr>
          <w:rFonts w:ascii="Arial" w:hAnsi="Arial" w:cs="Arial"/>
          <w:color w:val="000000" w:themeColor="text1"/>
          <w:sz w:val="20"/>
          <w:szCs w:val="20"/>
          <w:lang w:val="en-US"/>
        </w:rPr>
        <w:t>Pontecorvi</w:t>
      </w:r>
      <w:proofErr w:type="spellEnd"/>
      <w:r w:rsidRPr="00CB57ED">
        <w:rPr>
          <w:rFonts w:ascii="Arial" w:hAnsi="Arial" w:cs="Arial"/>
          <w:color w:val="000000" w:themeColor="text1"/>
          <w:sz w:val="20"/>
          <w:szCs w:val="20"/>
          <w:lang w:val="en-US"/>
        </w:rPr>
        <w:t xml:space="preserve">, A., &amp; </w:t>
      </w:r>
      <w:proofErr w:type="spellStart"/>
      <w:r w:rsidRPr="00CB57ED">
        <w:rPr>
          <w:rFonts w:ascii="Arial" w:hAnsi="Arial" w:cs="Arial"/>
          <w:color w:val="000000" w:themeColor="text1"/>
          <w:sz w:val="20"/>
          <w:szCs w:val="20"/>
          <w:lang w:val="en-US"/>
        </w:rPr>
        <w:t>Lello</w:t>
      </w:r>
      <w:proofErr w:type="spellEnd"/>
      <w:r w:rsidRPr="00CB57ED">
        <w:rPr>
          <w:rFonts w:ascii="Arial" w:hAnsi="Arial" w:cs="Arial"/>
          <w:color w:val="000000" w:themeColor="text1"/>
          <w:sz w:val="20"/>
          <w:szCs w:val="20"/>
          <w:lang w:val="en-US"/>
        </w:rPr>
        <w:t xml:space="preserve">, S. (2015). Hyperprolactinemia: pathophysiology and therapeutic approach. Gynecological Endocrinology, 31(7), 506–510. </w:t>
      </w:r>
      <w:hyperlink r:id="rId16" w:history="1">
        <w:r w:rsidRPr="008A4A01">
          <w:rPr>
            <w:rStyle w:val="Hyperlink"/>
            <w:rFonts w:ascii="Arial" w:hAnsi="Arial" w:cs="Arial"/>
            <w:sz w:val="20"/>
            <w:szCs w:val="20"/>
            <w:lang w:val="en-US"/>
          </w:rPr>
          <w:t>https://doi.org/10.3109/09513590.2015.1017810</w:t>
        </w:r>
      </w:hyperlink>
      <w:r>
        <w:rPr>
          <w:rFonts w:ascii="Arial" w:hAnsi="Arial" w:cs="Arial"/>
          <w:color w:val="000000" w:themeColor="text1"/>
          <w:sz w:val="20"/>
          <w:szCs w:val="20"/>
          <w:lang w:val="en-US"/>
        </w:rPr>
        <w:t xml:space="preserve"> </w:t>
      </w:r>
    </w:p>
    <w:p w14:paraId="3A38E541" w14:textId="77777777" w:rsidR="00322558" w:rsidRPr="00C223C3" w:rsidRDefault="00322558" w:rsidP="00322558">
      <w:pPr>
        <w:ind w:left="360"/>
        <w:rPr>
          <w:rFonts w:ascii="Arial" w:hAnsi="Arial" w:cs="Arial"/>
          <w:color w:val="000000" w:themeColor="text1"/>
        </w:rPr>
      </w:pPr>
    </w:p>
    <w:p w14:paraId="33BFB51F" w14:textId="06C9B013" w:rsidR="00322558" w:rsidRPr="00C223C3" w:rsidRDefault="008760A1" w:rsidP="00322558">
      <w:pPr>
        <w:pStyle w:val="ListParagraph"/>
        <w:numPr>
          <w:ilvl w:val="0"/>
          <w:numId w:val="33"/>
        </w:numPr>
        <w:spacing w:line="240" w:lineRule="auto"/>
        <w:jc w:val="left"/>
        <w:rPr>
          <w:rFonts w:ascii="Arial" w:hAnsi="Arial" w:cs="Arial"/>
          <w:color w:val="000000" w:themeColor="text1"/>
          <w:sz w:val="20"/>
          <w:szCs w:val="20"/>
        </w:rPr>
      </w:pPr>
      <w:proofErr w:type="spellStart"/>
      <w:r w:rsidRPr="008760A1">
        <w:rPr>
          <w:rFonts w:ascii="Arial" w:hAnsi="Arial" w:cs="Arial"/>
          <w:color w:val="000000" w:themeColor="text1"/>
          <w:sz w:val="20"/>
          <w:szCs w:val="20"/>
          <w:lang w:val="en-US"/>
        </w:rPr>
        <w:t>Lavrentaki</w:t>
      </w:r>
      <w:proofErr w:type="spellEnd"/>
      <w:r w:rsidRPr="008760A1">
        <w:rPr>
          <w:rFonts w:ascii="Arial" w:hAnsi="Arial" w:cs="Arial"/>
          <w:color w:val="000000" w:themeColor="text1"/>
          <w:sz w:val="20"/>
          <w:szCs w:val="20"/>
          <w:lang w:val="en-US"/>
        </w:rPr>
        <w:t xml:space="preserve">, A., </w:t>
      </w:r>
      <w:proofErr w:type="spellStart"/>
      <w:r w:rsidRPr="008760A1">
        <w:rPr>
          <w:rFonts w:ascii="Arial" w:hAnsi="Arial" w:cs="Arial"/>
          <w:color w:val="000000" w:themeColor="text1"/>
          <w:sz w:val="20"/>
          <w:szCs w:val="20"/>
          <w:lang w:val="en-US"/>
        </w:rPr>
        <w:t>Paluzzi</w:t>
      </w:r>
      <w:proofErr w:type="spellEnd"/>
      <w:r w:rsidRPr="008760A1">
        <w:rPr>
          <w:rFonts w:ascii="Arial" w:hAnsi="Arial" w:cs="Arial"/>
          <w:color w:val="000000" w:themeColor="text1"/>
          <w:sz w:val="20"/>
          <w:szCs w:val="20"/>
          <w:lang w:val="en-US"/>
        </w:rPr>
        <w:t xml:space="preserve">, A., Wass, J. A. H., &amp; </w:t>
      </w:r>
      <w:proofErr w:type="spellStart"/>
      <w:r w:rsidRPr="008760A1">
        <w:rPr>
          <w:rFonts w:ascii="Arial" w:hAnsi="Arial" w:cs="Arial"/>
          <w:color w:val="000000" w:themeColor="text1"/>
          <w:sz w:val="20"/>
          <w:szCs w:val="20"/>
          <w:lang w:val="en-US"/>
        </w:rPr>
        <w:t>Karavitaki</w:t>
      </w:r>
      <w:proofErr w:type="spellEnd"/>
      <w:r w:rsidRPr="008760A1">
        <w:rPr>
          <w:rFonts w:ascii="Arial" w:hAnsi="Arial" w:cs="Arial"/>
          <w:color w:val="000000" w:themeColor="text1"/>
          <w:sz w:val="20"/>
          <w:szCs w:val="20"/>
          <w:lang w:val="en-US"/>
        </w:rPr>
        <w:t xml:space="preserve">, N. (2017). Epidemiology of acromegaly: review of population studies. Pituitary, 20(1), 4–9. </w:t>
      </w:r>
      <w:hyperlink r:id="rId17" w:history="1">
        <w:r w:rsidRPr="008A4A01">
          <w:rPr>
            <w:rStyle w:val="Hyperlink"/>
            <w:rFonts w:ascii="Arial" w:hAnsi="Arial" w:cs="Arial"/>
            <w:sz w:val="20"/>
            <w:szCs w:val="20"/>
            <w:lang w:val="en-US"/>
          </w:rPr>
          <w:t>https://doi.org/10.1007/s11102-016-0754-x</w:t>
        </w:r>
      </w:hyperlink>
      <w:r>
        <w:rPr>
          <w:rFonts w:ascii="Arial" w:hAnsi="Arial" w:cs="Arial"/>
          <w:color w:val="000000" w:themeColor="text1"/>
          <w:sz w:val="20"/>
          <w:szCs w:val="20"/>
          <w:lang w:val="en-US"/>
        </w:rPr>
        <w:t xml:space="preserve"> </w:t>
      </w:r>
    </w:p>
    <w:p w14:paraId="5C943D2D"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3DFBDC29" w14:textId="547D3FEC" w:rsidR="00322558" w:rsidRPr="00C223C3" w:rsidRDefault="00606F8A" w:rsidP="00322558">
      <w:pPr>
        <w:pStyle w:val="ListParagraph"/>
        <w:numPr>
          <w:ilvl w:val="0"/>
          <w:numId w:val="33"/>
        </w:numPr>
        <w:spacing w:line="240" w:lineRule="auto"/>
        <w:jc w:val="left"/>
        <w:rPr>
          <w:rFonts w:ascii="Arial" w:hAnsi="Arial" w:cs="Arial"/>
          <w:color w:val="000000" w:themeColor="text1"/>
          <w:sz w:val="20"/>
          <w:szCs w:val="20"/>
        </w:rPr>
      </w:pPr>
      <w:r w:rsidRPr="00606F8A">
        <w:rPr>
          <w:rFonts w:ascii="Arial" w:hAnsi="Arial" w:cs="Arial"/>
          <w:color w:val="000000" w:themeColor="text1"/>
          <w:sz w:val="20"/>
          <w:szCs w:val="20"/>
        </w:rPr>
        <w:t xml:space="preserve">Ershadinia, N., &amp; Tritos, N. A. (2022). Diagnosis and treatment of acromegaly: An update. Mayo Clinic Proceedings, 97(2), 333–346.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HYPERLINK "</w:instrText>
      </w:r>
      <w:r w:rsidRPr="00606F8A">
        <w:rPr>
          <w:rFonts w:ascii="Arial" w:hAnsi="Arial" w:cs="Arial"/>
          <w:color w:val="000000" w:themeColor="text1"/>
          <w:sz w:val="20"/>
          <w:szCs w:val="20"/>
        </w:rPr>
        <w:instrText>https://doi.org/10.1016/j.mayocp.2021.11.007</w:instrText>
      </w:r>
      <w:r>
        <w:rPr>
          <w:rFonts w:ascii="Arial" w:hAnsi="Arial" w:cs="Arial"/>
          <w:color w:val="000000" w:themeColor="text1"/>
          <w:sz w:val="20"/>
          <w:szCs w:val="20"/>
        </w:rPr>
        <w:instrText xml:space="preserve">" </w:instrText>
      </w:r>
      <w:r>
        <w:rPr>
          <w:rFonts w:ascii="Arial" w:hAnsi="Arial" w:cs="Arial"/>
          <w:color w:val="000000" w:themeColor="text1"/>
          <w:sz w:val="20"/>
          <w:szCs w:val="20"/>
        </w:rPr>
        <w:fldChar w:fldCharType="separate"/>
      </w:r>
      <w:r w:rsidRPr="008A4A01">
        <w:rPr>
          <w:rStyle w:val="Hyperlink"/>
          <w:rFonts w:ascii="Arial" w:hAnsi="Arial" w:cs="Arial"/>
          <w:sz w:val="20"/>
          <w:szCs w:val="20"/>
        </w:rPr>
        <w:t>https://doi.org/10.1016/j.mayocp.2021.11.007</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0239F18E"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03F49434" w14:textId="29FCBB04" w:rsidR="00322558" w:rsidRPr="00C223C3" w:rsidRDefault="00322558" w:rsidP="00322558">
      <w:pPr>
        <w:pStyle w:val="ListParagraph"/>
        <w:numPr>
          <w:ilvl w:val="0"/>
          <w:numId w:val="33"/>
        </w:numPr>
        <w:spacing w:line="240" w:lineRule="auto"/>
        <w:jc w:val="left"/>
        <w:rPr>
          <w:rFonts w:ascii="Arial" w:hAnsi="Arial" w:cs="Arial"/>
          <w:color w:val="000000" w:themeColor="text1"/>
          <w:sz w:val="20"/>
          <w:szCs w:val="20"/>
        </w:rPr>
      </w:pPr>
      <w:proofErr w:type="spellStart"/>
      <w:r w:rsidRPr="00C223C3">
        <w:rPr>
          <w:rFonts w:ascii="Arial" w:hAnsi="Arial" w:cs="Arial"/>
          <w:color w:val="000000" w:themeColor="text1"/>
          <w:sz w:val="20"/>
          <w:szCs w:val="20"/>
          <w:lang w:val="en-US"/>
        </w:rPr>
        <w:t>Lonser</w:t>
      </w:r>
      <w:proofErr w:type="spellEnd"/>
      <w:r w:rsidRPr="00C223C3">
        <w:rPr>
          <w:rFonts w:ascii="Arial" w:hAnsi="Arial" w:cs="Arial"/>
          <w:color w:val="000000" w:themeColor="text1"/>
          <w:sz w:val="20"/>
          <w:szCs w:val="20"/>
          <w:lang w:val="en-US"/>
        </w:rPr>
        <w:t xml:space="preserve">, R. R., Nieman, L., &amp; Oldfield, E. H. (2017). Cushing's disease: pathobiology, diagnosis, and management. </w:t>
      </w:r>
      <w:r w:rsidRPr="00C223C3">
        <w:rPr>
          <w:rFonts w:ascii="Arial" w:hAnsi="Arial" w:cs="Arial"/>
          <w:color w:val="000000" w:themeColor="text1"/>
          <w:sz w:val="20"/>
          <w:szCs w:val="20"/>
        </w:rPr>
        <w:t>Journal of Neurosurgery, 126(2), 404–417. https://doi.org/10.3171/2016.1.JNS152119</w:t>
      </w:r>
    </w:p>
    <w:p w14:paraId="58E64A89"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15C64AB8" w14:textId="4B335C60" w:rsidR="00322558" w:rsidRPr="00C223C3" w:rsidRDefault="00D4534A" w:rsidP="00322558">
      <w:pPr>
        <w:pStyle w:val="ListParagraph"/>
        <w:numPr>
          <w:ilvl w:val="0"/>
          <w:numId w:val="33"/>
        </w:numPr>
        <w:spacing w:line="240" w:lineRule="auto"/>
        <w:jc w:val="left"/>
        <w:rPr>
          <w:rFonts w:ascii="Arial" w:hAnsi="Arial" w:cs="Arial"/>
          <w:color w:val="000000" w:themeColor="text1"/>
          <w:sz w:val="20"/>
          <w:szCs w:val="20"/>
          <w:lang w:val="en-US"/>
        </w:rPr>
      </w:pPr>
      <w:proofErr w:type="spellStart"/>
      <w:r w:rsidRPr="00D4534A">
        <w:rPr>
          <w:rFonts w:ascii="Arial" w:hAnsi="Arial" w:cs="Arial"/>
          <w:color w:val="000000" w:themeColor="text1"/>
          <w:sz w:val="20"/>
          <w:szCs w:val="20"/>
          <w:lang w:val="en-US"/>
        </w:rPr>
        <w:t>Hakami</w:t>
      </w:r>
      <w:proofErr w:type="spellEnd"/>
      <w:r w:rsidRPr="00D4534A">
        <w:rPr>
          <w:rFonts w:ascii="Arial" w:hAnsi="Arial" w:cs="Arial"/>
          <w:color w:val="000000" w:themeColor="text1"/>
          <w:sz w:val="20"/>
          <w:szCs w:val="20"/>
          <w:lang w:val="en-US"/>
        </w:rPr>
        <w:t xml:space="preserve">, O. A., Ahmed, S., &amp; </w:t>
      </w:r>
      <w:proofErr w:type="spellStart"/>
      <w:r w:rsidRPr="00D4534A">
        <w:rPr>
          <w:rFonts w:ascii="Arial" w:hAnsi="Arial" w:cs="Arial"/>
          <w:color w:val="000000" w:themeColor="text1"/>
          <w:sz w:val="20"/>
          <w:szCs w:val="20"/>
          <w:lang w:val="en-US"/>
        </w:rPr>
        <w:t>Karavitaki</w:t>
      </w:r>
      <w:proofErr w:type="spellEnd"/>
      <w:r w:rsidRPr="00D4534A">
        <w:rPr>
          <w:rFonts w:ascii="Arial" w:hAnsi="Arial" w:cs="Arial"/>
          <w:color w:val="000000" w:themeColor="text1"/>
          <w:sz w:val="20"/>
          <w:szCs w:val="20"/>
          <w:lang w:val="en-US"/>
        </w:rPr>
        <w:t xml:space="preserve">, N. (2021). Epidemiology and mortality of Cushing's syndrome. Best Practice &amp; Research Clinical Endocrinology &amp; Metabolism </w:t>
      </w:r>
      <w:hyperlink r:id="rId18" w:history="1">
        <w:r w:rsidRPr="008A4A01">
          <w:rPr>
            <w:rStyle w:val="Hyperlink"/>
            <w:rFonts w:ascii="Arial" w:hAnsi="Arial" w:cs="Arial"/>
            <w:sz w:val="20"/>
            <w:szCs w:val="20"/>
            <w:lang w:val="en-US"/>
          </w:rPr>
          <w:t>https://doi.org/10.1016/j.beem.2021.101521</w:t>
        </w:r>
      </w:hyperlink>
      <w:r>
        <w:rPr>
          <w:rFonts w:ascii="Arial" w:hAnsi="Arial" w:cs="Arial"/>
          <w:color w:val="000000" w:themeColor="text1"/>
          <w:sz w:val="20"/>
          <w:szCs w:val="20"/>
          <w:lang w:val="en-US"/>
        </w:rPr>
        <w:t xml:space="preserve"> </w:t>
      </w:r>
    </w:p>
    <w:p w14:paraId="732D410B" w14:textId="77777777" w:rsidR="00322558" w:rsidRPr="00C223C3" w:rsidRDefault="00322558" w:rsidP="00322558">
      <w:pPr>
        <w:pStyle w:val="ListParagraph"/>
        <w:spacing w:line="240" w:lineRule="auto"/>
        <w:jc w:val="left"/>
        <w:rPr>
          <w:rFonts w:ascii="Arial" w:hAnsi="Arial" w:cs="Arial"/>
          <w:color w:val="000000" w:themeColor="text1"/>
          <w:sz w:val="20"/>
          <w:szCs w:val="20"/>
          <w:lang w:val="en-US"/>
        </w:rPr>
      </w:pPr>
    </w:p>
    <w:p w14:paraId="2A2538C9" w14:textId="09C07F6C" w:rsidR="00322558" w:rsidRPr="00C223C3" w:rsidRDefault="001C6FB7" w:rsidP="00322558">
      <w:pPr>
        <w:pStyle w:val="ListParagraph"/>
        <w:numPr>
          <w:ilvl w:val="0"/>
          <w:numId w:val="33"/>
        </w:numPr>
        <w:spacing w:line="240" w:lineRule="auto"/>
        <w:jc w:val="left"/>
        <w:rPr>
          <w:rFonts w:ascii="Arial" w:hAnsi="Arial" w:cs="Arial"/>
          <w:color w:val="000000" w:themeColor="text1"/>
          <w:sz w:val="20"/>
          <w:szCs w:val="20"/>
          <w:lang w:val="en-US"/>
        </w:rPr>
      </w:pPr>
      <w:r w:rsidRPr="001C6FB7">
        <w:rPr>
          <w:rFonts w:ascii="Arial" w:hAnsi="Arial" w:cs="Arial"/>
          <w:color w:val="000000" w:themeColor="text1"/>
          <w:sz w:val="20"/>
          <w:szCs w:val="20"/>
        </w:rPr>
        <w:t xml:space="preserve">Federação Brasileira das Associações de Ginecologia e Obstetrícia (FEBRASGO). (2024). Hyperprolactinemia in women: diagnostic approach (Position statement No. 4).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HYPERLINK "</w:instrText>
      </w:r>
      <w:r w:rsidRPr="001C6FB7">
        <w:rPr>
          <w:rFonts w:ascii="Arial" w:hAnsi="Arial" w:cs="Arial"/>
          <w:color w:val="000000" w:themeColor="text1"/>
          <w:sz w:val="20"/>
          <w:szCs w:val="20"/>
        </w:rPr>
        <w:instrText>https://doi.org/10.61622/rbgo/2024FPS04</w:instrText>
      </w:r>
      <w:r>
        <w:rPr>
          <w:rFonts w:ascii="Arial" w:hAnsi="Arial" w:cs="Arial"/>
          <w:color w:val="000000" w:themeColor="text1"/>
          <w:sz w:val="20"/>
          <w:szCs w:val="20"/>
        </w:rPr>
        <w:instrText xml:space="preserve">" </w:instrText>
      </w:r>
      <w:r>
        <w:rPr>
          <w:rFonts w:ascii="Arial" w:hAnsi="Arial" w:cs="Arial"/>
          <w:color w:val="000000" w:themeColor="text1"/>
          <w:sz w:val="20"/>
          <w:szCs w:val="20"/>
        </w:rPr>
        <w:fldChar w:fldCharType="separate"/>
      </w:r>
      <w:r w:rsidRPr="008A4A01">
        <w:rPr>
          <w:rStyle w:val="Hyperlink"/>
          <w:rFonts w:ascii="Arial" w:hAnsi="Arial" w:cs="Arial"/>
          <w:sz w:val="20"/>
          <w:szCs w:val="20"/>
        </w:rPr>
        <w:t>https://doi.org/10.61622/rbgo/2024FPS04</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71003F2C" w14:textId="77777777" w:rsidR="00322558" w:rsidRPr="00C223C3" w:rsidRDefault="00322558" w:rsidP="00322558">
      <w:pPr>
        <w:pStyle w:val="ListParagraph"/>
        <w:spacing w:line="240" w:lineRule="auto"/>
        <w:jc w:val="left"/>
        <w:rPr>
          <w:rFonts w:ascii="Arial" w:hAnsi="Arial" w:cs="Arial"/>
          <w:color w:val="000000" w:themeColor="text1"/>
          <w:sz w:val="20"/>
          <w:szCs w:val="20"/>
          <w:lang w:val="en-US"/>
        </w:rPr>
      </w:pPr>
    </w:p>
    <w:p w14:paraId="3184781E" w14:textId="20922064" w:rsidR="00322558" w:rsidRPr="00C223C3" w:rsidRDefault="00455900" w:rsidP="00322558">
      <w:pPr>
        <w:pStyle w:val="ListParagraph"/>
        <w:numPr>
          <w:ilvl w:val="0"/>
          <w:numId w:val="33"/>
        </w:numPr>
        <w:spacing w:line="240" w:lineRule="auto"/>
        <w:jc w:val="left"/>
        <w:rPr>
          <w:rFonts w:ascii="Arial" w:hAnsi="Arial" w:cs="Arial"/>
          <w:color w:val="000000" w:themeColor="text1"/>
          <w:sz w:val="20"/>
          <w:szCs w:val="20"/>
          <w:lang w:val="en-US"/>
        </w:rPr>
      </w:pPr>
      <w:r w:rsidRPr="00455900">
        <w:rPr>
          <w:rFonts w:ascii="Arial" w:hAnsi="Arial" w:cs="Arial"/>
          <w:color w:val="000000" w:themeColor="text1"/>
          <w:sz w:val="20"/>
          <w:szCs w:val="20"/>
          <w:lang w:val="en-US"/>
        </w:rPr>
        <w:t xml:space="preserve">Daly, A. F., &amp; </w:t>
      </w:r>
      <w:proofErr w:type="spellStart"/>
      <w:r w:rsidRPr="00455900">
        <w:rPr>
          <w:rFonts w:ascii="Arial" w:hAnsi="Arial" w:cs="Arial"/>
          <w:color w:val="000000" w:themeColor="text1"/>
          <w:sz w:val="20"/>
          <w:szCs w:val="20"/>
          <w:lang w:val="en-US"/>
        </w:rPr>
        <w:t>Beckers</w:t>
      </w:r>
      <w:proofErr w:type="spellEnd"/>
      <w:r w:rsidRPr="00455900">
        <w:rPr>
          <w:rFonts w:ascii="Arial" w:hAnsi="Arial" w:cs="Arial"/>
          <w:color w:val="000000" w:themeColor="text1"/>
          <w:sz w:val="20"/>
          <w:szCs w:val="20"/>
          <w:lang w:val="en-US"/>
        </w:rPr>
        <w:t xml:space="preserve">, A. (2020). The epidemiology of pituitary adenomas. Endocrinology and Metabolism Clinics of North America, 49(3), 347–355. </w:t>
      </w:r>
      <w:hyperlink r:id="rId19" w:history="1">
        <w:r w:rsidRPr="008A4A01">
          <w:rPr>
            <w:rStyle w:val="Hyperlink"/>
            <w:rFonts w:ascii="Arial" w:hAnsi="Arial" w:cs="Arial"/>
            <w:sz w:val="20"/>
            <w:szCs w:val="20"/>
            <w:lang w:val="en-US"/>
          </w:rPr>
          <w:t>https://doi.org/10.1016/j.ecl.2020.04.002</w:t>
        </w:r>
      </w:hyperlink>
      <w:r>
        <w:rPr>
          <w:rFonts w:ascii="Arial" w:hAnsi="Arial" w:cs="Arial"/>
          <w:color w:val="000000" w:themeColor="text1"/>
          <w:sz w:val="20"/>
          <w:szCs w:val="20"/>
          <w:lang w:val="en-US"/>
        </w:rPr>
        <w:t xml:space="preserve"> </w:t>
      </w:r>
    </w:p>
    <w:p w14:paraId="4200D790" w14:textId="77777777" w:rsidR="00322558" w:rsidRPr="00C223C3" w:rsidRDefault="00322558" w:rsidP="00322558">
      <w:pPr>
        <w:pStyle w:val="ListParagraph"/>
        <w:spacing w:line="240" w:lineRule="auto"/>
        <w:jc w:val="left"/>
        <w:rPr>
          <w:rFonts w:ascii="Arial" w:hAnsi="Arial" w:cs="Arial"/>
          <w:color w:val="000000" w:themeColor="text1"/>
          <w:sz w:val="20"/>
          <w:szCs w:val="20"/>
          <w:lang w:val="en-US"/>
        </w:rPr>
      </w:pPr>
    </w:p>
    <w:p w14:paraId="355A7FC9" w14:textId="356F541A" w:rsidR="00322558" w:rsidRPr="00C223C3" w:rsidRDefault="00D71336" w:rsidP="00322558">
      <w:pPr>
        <w:pStyle w:val="ListParagraph"/>
        <w:numPr>
          <w:ilvl w:val="0"/>
          <w:numId w:val="33"/>
        </w:numPr>
        <w:spacing w:line="240" w:lineRule="auto"/>
        <w:jc w:val="left"/>
        <w:rPr>
          <w:rFonts w:ascii="Arial" w:hAnsi="Arial" w:cs="Arial"/>
          <w:color w:val="000000" w:themeColor="text1"/>
          <w:sz w:val="20"/>
          <w:szCs w:val="20"/>
        </w:rPr>
      </w:pPr>
      <w:r w:rsidRPr="00D71336">
        <w:rPr>
          <w:rFonts w:ascii="Arial" w:hAnsi="Arial" w:cs="Arial"/>
          <w:color w:val="000000" w:themeColor="text1"/>
          <w:sz w:val="20"/>
          <w:szCs w:val="20"/>
        </w:rPr>
        <w:t xml:space="preserve">Nóbrega, V. A., Nóbrega, V. A., &amp; Soares, R. C. V. L. (2021). Pan-Hipopituitarismo De Surgimento Na infância E diagnóstico Diferencial De Poliúria. Medicina (Ribeirão Preto), 54(4), e178625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HYPERLINK "</w:instrText>
      </w:r>
      <w:r w:rsidRPr="00D71336">
        <w:rPr>
          <w:rFonts w:ascii="Arial" w:hAnsi="Arial" w:cs="Arial"/>
          <w:color w:val="000000" w:themeColor="text1"/>
          <w:sz w:val="20"/>
          <w:szCs w:val="20"/>
        </w:rPr>
        <w:instrText>https://doi.org/10.11606/issn.2176-7262.rmrp.2021.178625</w:instrText>
      </w:r>
      <w:r>
        <w:rPr>
          <w:rFonts w:ascii="Arial" w:hAnsi="Arial" w:cs="Arial"/>
          <w:color w:val="000000" w:themeColor="text1"/>
          <w:sz w:val="20"/>
          <w:szCs w:val="20"/>
        </w:rPr>
        <w:instrText xml:space="preserve">" </w:instrText>
      </w:r>
      <w:r>
        <w:rPr>
          <w:rFonts w:ascii="Arial" w:hAnsi="Arial" w:cs="Arial"/>
          <w:color w:val="000000" w:themeColor="text1"/>
          <w:sz w:val="20"/>
          <w:szCs w:val="20"/>
        </w:rPr>
        <w:fldChar w:fldCharType="separate"/>
      </w:r>
      <w:r w:rsidRPr="008A4A01">
        <w:rPr>
          <w:rStyle w:val="Hyperlink"/>
          <w:rFonts w:ascii="Arial" w:hAnsi="Arial" w:cs="Arial"/>
          <w:sz w:val="20"/>
          <w:szCs w:val="20"/>
        </w:rPr>
        <w:t>https://doi.org/10.11606/issn.2176-7262.rmrp.2021.178625</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6BE51F01"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4FE35329" w14:textId="1A6B5ABC" w:rsidR="00322558" w:rsidRPr="00C223C3" w:rsidRDefault="00D8452A" w:rsidP="00322558">
      <w:pPr>
        <w:pStyle w:val="ListParagraph"/>
        <w:numPr>
          <w:ilvl w:val="0"/>
          <w:numId w:val="33"/>
        </w:numPr>
        <w:spacing w:line="240" w:lineRule="auto"/>
        <w:jc w:val="left"/>
        <w:rPr>
          <w:rFonts w:ascii="Arial" w:hAnsi="Arial" w:cs="Arial"/>
          <w:color w:val="000000" w:themeColor="text1"/>
          <w:sz w:val="20"/>
          <w:szCs w:val="20"/>
        </w:rPr>
      </w:pPr>
      <w:r w:rsidRPr="00D8452A">
        <w:rPr>
          <w:rFonts w:ascii="Arial" w:hAnsi="Arial" w:cs="Arial"/>
          <w:color w:val="000000" w:themeColor="text1"/>
          <w:sz w:val="20"/>
          <w:szCs w:val="20"/>
          <w:lang w:val="en-US"/>
        </w:rPr>
        <w:t xml:space="preserve">Gomes, E. C. S. (2015). Concepts and tools of epidemiology. </w:t>
      </w:r>
      <w:proofErr w:type="spellStart"/>
      <w:r w:rsidRPr="00D8452A">
        <w:rPr>
          <w:rFonts w:ascii="Arial" w:hAnsi="Arial" w:cs="Arial"/>
          <w:color w:val="000000" w:themeColor="text1"/>
          <w:sz w:val="20"/>
          <w:szCs w:val="20"/>
          <w:lang w:val="en-US"/>
        </w:rPr>
        <w:t>Editora</w:t>
      </w:r>
      <w:proofErr w:type="spellEnd"/>
      <w:r w:rsidRPr="00D8452A">
        <w:rPr>
          <w:rFonts w:ascii="Arial" w:hAnsi="Arial" w:cs="Arial"/>
          <w:color w:val="000000" w:themeColor="text1"/>
          <w:sz w:val="20"/>
          <w:szCs w:val="20"/>
          <w:lang w:val="en-US"/>
        </w:rPr>
        <w:t xml:space="preserve"> </w:t>
      </w:r>
      <w:proofErr w:type="spellStart"/>
      <w:r w:rsidRPr="00D8452A">
        <w:rPr>
          <w:rFonts w:ascii="Arial" w:hAnsi="Arial" w:cs="Arial"/>
          <w:color w:val="000000" w:themeColor="text1"/>
          <w:sz w:val="20"/>
          <w:szCs w:val="20"/>
          <w:lang w:val="en-US"/>
        </w:rPr>
        <w:t>Universitária</w:t>
      </w:r>
      <w:proofErr w:type="spellEnd"/>
      <w:r w:rsidRPr="00D8452A">
        <w:rPr>
          <w:rFonts w:ascii="Arial" w:hAnsi="Arial" w:cs="Arial"/>
          <w:color w:val="000000" w:themeColor="text1"/>
          <w:sz w:val="20"/>
          <w:szCs w:val="20"/>
          <w:lang w:val="en-US"/>
        </w:rPr>
        <w:t xml:space="preserve"> da UFPE. </w:t>
      </w:r>
      <w:hyperlink r:id="rId20" w:history="1">
        <w:r w:rsidRPr="008A4A01">
          <w:rPr>
            <w:rStyle w:val="Hyperlink"/>
            <w:rFonts w:ascii="Arial" w:hAnsi="Arial" w:cs="Arial"/>
            <w:sz w:val="20"/>
            <w:szCs w:val="20"/>
            <w:lang w:val="en-US"/>
          </w:rPr>
          <w:t>https://ares.unasus.gov.br/acervo/handle/ARES/3355</w:t>
        </w:r>
      </w:hyperlink>
      <w:r>
        <w:rPr>
          <w:rFonts w:ascii="Arial" w:hAnsi="Arial" w:cs="Arial"/>
          <w:color w:val="000000" w:themeColor="text1"/>
          <w:sz w:val="20"/>
          <w:szCs w:val="20"/>
          <w:lang w:val="en-US"/>
        </w:rPr>
        <w:t xml:space="preserve"> </w:t>
      </w:r>
    </w:p>
    <w:p w14:paraId="5EFA3804"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4043CF6A" w14:textId="278767E0" w:rsidR="00322558" w:rsidRPr="00C223C3" w:rsidRDefault="00E00C66" w:rsidP="00322558">
      <w:pPr>
        <w:pStyle w:val="ListParagraph"/>
        <w:numPr>
          <w:ilvl w:val="0"/>
          <w:numId w:val="33"/>
        </w:numPr>
        <w:spacing w:line="240" w:lineRule="auto"/>
        <w:jc w:val="left"/>
        <w:rPr>
          <w:rFonts w:ascii="Arial" w:hAnsi="Arial" w:cs="Arial"/>
          <w:color w:val="000000" w:themeColor="text1"/>
          <w:sz w:val="20"/>
          <w:szCs w:val="20"/>
          <w:lang w:val="en-US"/>
        </w:rPr>
      </w:pPr>
      <w:r w:rsidRPr="00E00C66">
        <w:rPr>
          <w:rFonts w:ascii="Arial" w:hAnsi="Arial" w:cs="Arial"/>
          <w:color w:val="000000" w:themeColor="text1"/>
          <w:sz w:val="20"/>
          <w:szCs w:val="20"/>
        </w:rPr>
        <w:t xml:space="preserve">Camargo, L. M. A., Silva, R. P. M., &amp; Meneguetti, D. U. O. (2019). Research methodology topics: Cohort studies or prospective and retrospective cohort studies. Journal of Human Growth and Development, 29(3), 433–436.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HYPERLINK "</w:instrText>
      </w:r>
      <w:r w:rsidRPr="00E00C66">
        <w:rPr>
          <w:rFonts w:ascii="Arial" w:hAnsi="Arial" w:cs="Arial"/>
          <w:color w:val="000000" w:themeColor="text1"/>
          <w:sz w:val="20"/>
          <w:szCs w:val="20"/>
        </w:rPr>
        <w:instrText>https://doi.org/10.7322/jhgd.v29.9543</w:instrText>
      </w:r>
      <w:r>
        <w:rPr>
          <w:rFonts w:ascii="Arial" w:hAnsi="Arial" w:cs="Arial"/>
          <w:color w:val="000000" w:themeColor="text1"/>
          <w:sz w:val="20"/>
          <w:szCs w:val="20"/>
        </w:rPr>
        <w:instrText xml:space="preserve">" </w:instrText>
      </w:r>
      <w:r>
        <w:rPr>
          <w:rFonts w:ascii="Arial" w:hAnsi="Arial" w:cs="Arial"/>
          <w:color w:val="000000" w:themeColor="text1"/>
          <w:sz w:val="20"/>
          <w:szCs w:val="20"/>
        </w:rPr>
        <w:fldChar w:fldCharType="separate"/>
      </w:r>
      <w:r w:rsidRPr="008A4A01">
        <w:rPr>
          <w:rStyle w:val="Hyperlink"/>
          <w:rFonts w:ascii="Arial" w:hAnsi="Arial" w:cs="Arial"/>
          <w:sz w:val="20"/>
          <w:szCs w:val="20"/>
        </w:rPr>
        <w:t>https://doi.org/10.7322/jhgd.v29.9543</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0478E6CF" w14:textId="77777777" w:rsidR="00322558" w:rsidRPr="00C223C3" w:rsidRDefault="00322558" w:rsidP="00322558">
      <w:pPr>
        <w:pStyle w:val="ListParagraph"/>
        <w:spacing w:line="240" w:lineRule="auto"/>
        <w:jc w:val="left"/>
        <w:rPr>
          <w:rFonts w:ascii="Arial" w:hAnsi="Arial" w:cs="Arial"/>
          <w:color w:val="000000" w:themeColor="text1"/>
          <w:sz w:val="20"/>
          <w:szCs w:val="20"/>
          <w:lang w:val="en-US"/>
        </w:rPr>
      </w:pPr>
    </w:p>
    <w:p w14:paraId="2D3B49C0" w14:textId="653660A9" w:rsidR="00322558" w:rsidRPr="00C223C3" w:rsidRDefault="005746C3" w:rsidP="00322558">
      <w:pPr>
        <w:pStyle w:val="ListParagraph"/>
        <w:numPr>
          <w:ilvl w:val="0"/>
          <w:numId w:val="33"/>
        </w:numPr>
        <w:spacing w:line="240" w:lineRule="auto"/>
        <w:jc w:val="left"/>
        <w:rPr>
          <w:rFonts w:ascii="Arial" w:hAnsi="Arial" w:cs="Arial"/>
          <w:color w:val="000000" w:themeColor="text1"/>
          <w:sz w:val="20"/>
          <w:szCs w:val="20"/>
          <w:lang w:val="en-US"/>
        </w:rPr>
      </w:pPr>
      <w:r w:rsidRPr="005746C3">
        <w:rPr>
          <w:rFonts w:ascii="Arial" w:hAnsi="Arial" w:cs="Arial"/>
          <w:color w:val="000000" w:themeColor="text1"/>
          <w:sz w:val="20"/>
          <w:szCs w:val="20"/>
        </w:rPr>
        <w:t xml:space="preserve">Instituto Brasileiro de Geografia e Estatística (IBGE). (2024). Cities: Chapecó.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HYPERLINK "</w:instrText>
      </w:r>
      <w:r w:rsidRPr="005746C3">
        <w:rPr>
          <w:rFonts w:ascii="Arial" w:hAnsi="Arial" w:cs="Arial"/>
          <w:color w:val="000000" w:themeColor="text1"/>
          <w:sz w:val="20"/>
          <w:szCs w:val="20"/>
        </w:rPr>
        <w:instrText>https://cidades.ibge.gov.br/brasil/sc/chapeco/panorama</w:instrText>
      </w:r>
      <w:r>
        <w:rPr>
          <w:rFonts w:ascii="Arial" w:hAnsi="Arial" w:cs="Arial"/>
          <w:color w:val="000000" w:themeColor="text1"/>
          <w:sz w:val="20"/>
          <w:szCs w:val="20"/>
        </w:rPr>
        <w:instrText xml:space="preserve">" </w:instrText>
      </w:r>
      <w:r>
        <w:rPr>
          <w:rFonts w:ascii="Arial" w:hAnsi="Arial" w:cs="Arial"/>
          <w:color w:val="000000" w:themeColor="text1"/>
          <w:sz w:val="20"/>
          <w:szCs w:val="20"/>
        </w:rPr>
        <w:fldChar w:fldCharType="separate"/>
      </w:r>
      <w:r w:rsidRPr="008A4A01">
        <w:rPr>
          <w:rStyle w:val="Hyperlink"/>
          <w:rFonts w:ascii="Arial" w:hAnsi="Arial" w:cs="Arial"/>
          <w:sz w:val="20"/>
          <w:szCs w:val="20"/>
        </w:rPr>
        <w:t>https://cidades.ibge.gov.br/brasil/sc/chapeco/panorama</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56890737" w14:textId="77777777" w:rsidR="00322558" w:rsidRPr="00C223C3" w:rsidRDefault="00322558" w:rsidP="00322558">
      <w:pPr>
        <w:pStyle w:val="ListParagraph"/>
        <w:spacing w:line="240" w:lineRule="auto"/>
        <w:jc w:val="left"/>
        <w:rPr>
          <w:rFonts w:ascii="Arial" w:hAnsi="Arial" w:cs="Arial"/>
          <w:color w:val="000000" w:themeColor="text1"/>
          <w:sz w:val="20"/>
          <w:szCs w:val="20"/>
          <w:lang w:val="en-US"/>
        </w:rPr>
      </w:pPr>
    </w:p>
    <w:p w14:paraId="61E6B939" w14:textId="52219225" w:rsidR="00322558" w:rsidRPr="00C223C3" w:rsidRDefault="00FB2DD0" w:rsidP="00322558">
      <w:pPr>
        <w:pStyle w:val="NormalWeb"/>
        <w:numPr>
          <w:ilvl w:val="0"/>
          <w:numId w:val="33"/>
        </w:numPr>
        <w:spacing w:before="0" w:beforeAutospacing="0" w:after="0" w:afterAutospacing="0"/>
        <w:rPr>
          <w:rFonts w:ascii="Arial" w:hAnsi="Arial" w:cs="Arial"/>
          <w:color w:val="000000" w:themeColor="text1"/>
          <w:sz w:val="20"/>
          <w:szCs w:val="20"/>
        </w:rPr>
      </w:pPr>
      <w:r w:rsidRPr="00FB2DD0">
        <w:rPr>
          <w:rFonts w:ascii="Arial" w:hAnsi="Arial" w:cs="Arial"/>
          <w:color w:val="000000" w:themeColor="text1"/>
          <w:sz w:val="20"/>
          <w:szCs w:val="20"/>
        </w:rPr>
        <w:t xml:space="preserve">Glezer, A., &amp; Bronstein, M. D. (2014). Prolactinoma. Arquivos Brasileiros de Endocrinologia &amp; Metabologia, 58(2), 118–123.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HYPERLINK "</w:instrText>
      </w:r>
      <w:r w:rsidRPr="00FB2DD0">
        <w:rPr>
          <w:rFonts w:ascii="Arial" w:hAnsi="Arial" w:cs="Arial"/>
          <w:color w:val="000000" w:themeColor="text1"/>
          <w:sz w:val="20"/>
          <w:szCs w:val="20"/>
        </w:rPr>
        <w:instrText>https://doi.org/10.1590/0004-2730000002961</w:instrText>
      </w:r>
      <w:r>
        <w:rPr>
          <w:rFonts w:ascii="Arial" w:hAnsi="Arial" w:cs="Arial"/>
          <w:color w:val="000000" w:themeColor="text1"/>
          <w:sz w:val="20"/>
          <w:szCs w:val="20"/>
        </w:rPr>
        <w:instrText xml:space="preserve">" </w:instrText>
      </w:r>
      <w:r>
        <w:rPr>
          <w:rFonts w:ascii="Arial" w:hAnsi="Arial" w:cs="Arial"/>
          <w:color w:val="000000" w:themeColor="text1"/>
          <w:sz w:val="20"/>
          <w:szCs w:val="20"/>
        </w:rPr>
        <w:fldChar w:fldCharType="separate"/>
      </w:r>
      <w:r w:rsidRPr="008A4A01">
        <w:rPr>
          <w:rStyle w:val="Hyperlink"/>
          <w:rFonts w:ascii="Arial" w:hAnsi="Arial" w:cs="Arial"/>
          <w:sz w:val="20"/>
          <w:szCs w:val="20"/>
        </w:rPr>
        <w:t>https://doi.org/10.1590/0004-2730000002961</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6B5C9D4A"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5B0B1B10" w14:textId="477C420A" w:rsidR="00322558" w:rsidRPr="00C223C3" w:rsidRDefault="00816D2B" w:rsidP="00322558">
      <w:pPr>
        <w:pStyle w:val="NormalWeb"/>
        <w:numPr>
          <w:ilvl w:val="0"/>
          <w:numId w:val="33"/>
        </w:numPr>
        <w:spacing w:before="0" w:beforeAutospacing="0" w:after="0" w:afterAutospacing="0"/>
        <w:rPr>
          <w:rFonts w:ascii="Arial" w:hAnsi="Arial" w:cs="Arial"/>
          <w:color w:val="000000" w:themeColor="text1"/>
          <w:sz w:val="20"/>
          <w:szCs w:val="20"/>
        </w:rPr>
      </w:pPr>
      <w:r w:rsidRPr="00816D2B">
        <w:rPr>
          <w:rFonts w:ascii="Arial" w:hAnsi="Arial" w:cs="Arial"/>
          <w:color w:val="000000" w:themeColor="text1"/>
          <w:sz w:val="20"/>
          <w:szCs w:val="20"/>
        </w:rPr>
        <w:lastRenderedPageBreak/>
        <w:t xml:space="preserve">Hartmann, A. C. A. A., Firmo, C. R., Alves, G. A. D., Couri, J. C. C., de Moura, L. S. R., Boaventura, J. V., Carvalho, L. S., da Cruz, T. B. F., da Fonseca, C. A. G., &amp; Araujo, J. V. G. (2023). Doença de Cushing – aspectos epidemiológicos, fisiopatológicos e manejo terapêutico. Brazilian Journal of Health Review, 6(4), 16740–16752. </w:t>
      </w:r>
      <w:hyperlink r:id="rId21" w:history="1">
        <w:r w:rsidRPr="008A4A01">
          <w:rPr>
            <w:rStyle w:val="Hyperlink"/>
            <w:rFonts w:ascii="Arial" w:hAnsi="Arial" w:cs="Arial"/>
            <w:sz w:val="20"/>
            <w:szCs w:val="20"/>
          </w:rPr>
          <w:t>https://doi.org/10.34119/bjhrv6n4-210</w:t>
        </w:r>
      </w:hyperlink>
      <w:r>
        <w:rPr>
          <w:rFonts w:ascii="Arial" w:hAnsi="Arial" w:cs="Arial"/>
          <w:color w:val="000000" w:themeColor="text1"/>
          <w:sz w:val="20"/>
          <w:szCs w:val="20"/>
        </w:rPr>
        <w:t xml:space="preserve"> </w:t>
      </w:r>
    </w:p>
    <w:p w14:paraId="541A2654"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0A3D457A" w14:textId="27C5F5F8" w:rsidR="00322558" w:rsidRPr="00C223C3" w:rsidRDefault="00CD37EE" w:rsidP="00322558">
      <w:pPr>
        <w:pStyle w:val="NormalWeb"/>
        <w:numPr>
          <w:ilvl w:val="0"/>
          <w:numId w:val="33"/>
        </w:numPr>
        <w:spacing w:before="0" w:beforeAutospacing="0" w:after="0" w:afterAutospacing="0"/>
        <w:rPr>
          <w:rFonts w:ascii="Arial" w:hAnsi="Arial" w:cs="Arial"/>
          <w:color w:val="000000" w:themeColor="text1"/>
          <w:sz w:val="20"/>
          <w:szCs w:val="20"/>
          <w:lang w:val="en-US"/>
        </w:rPr>
      </w:pPr>
      <w:r w:rsidRPr="00CD37EE">
        <w:rPr>
          <w:rFonts w:ascii="Arial" w:hAnsi="Arial" w:cs="Arial"/>
          <w:color w:val="000000" w:themeColor="text1"/>
          <w:sz w:val="20"/>
          <w:szCs w:val="20"/>
          <w:lang w:val="en-US"/>
        </w:rPr>
        <w:t xml:space="preserve">Chanson, P., &amp; </w:t>
      </w:r>
      <w:proofErr w:type="spellStart"/>
      <w:r w:rsidRPr="00CD37EE">
        <w:rPr>
          <w:rFonts w:ascii="Arial" w:hAnsi="Arial" w:cs="Arial"/>
          <w:color w:val="000000" w:themeColor="text1"/>
          <w:sz w:val="20"/>
          <w:szCs w:val="20"/>
          <w:lang w:val="en-US"/>
        </w:rPr>
        <w:t>Maiter</w:t>
      </w:r>
      <w:proofErr w:type="spellEnd"/>
      <w:r w:rsidRPr="00CD37EE">
        <w:rPr>
          <w:rFonts w:ascii="Arial" w:hAnsi="Arial" w:cs="Arial"/>
          <w:color w:val="000000" w:themeColor="text1"/>
          <w:sz w:val="20"/>
          <w:szCs w:val="20"/>
          <w:lang w:val="en-US"/>
        </w:rPr>
        <w:t xml:space="preserve">, D. (2019). The epidemiology, diagnosis and treatment of prolactinomas: The old and the new. Best Practice &amp; Research Clinical Endocrinology &amp; Metabolism </w:t>
      </w:r>
      <w:hyperlink r:id="rId22" w:history="1">
        <w:r w:rsidRPr="008A4A01">
          <w:rPr>
            <w:rStyle w:val="Hyperlink"/>
            <w:rFonts w:ascii="Arial" w:hAnsi="Arial" w:cs="Arial"/>
            <w:sz w:val="20"/>
            <w:szCs w:val="20"/>
            <w:lang w:val="en-US"/>
          </w:rPr>
          <w:t>https://doi.org/10.1016/j.beem.2019.101290</w:t>
        </w:r>
      </w:hyperlink>
      <w:r>
        <w:rPr>
          <w:rFonts w:ascii="Arial" w:hAnsi="Arial" w:cs="Arial"/>
          <w:color w:val="000000" w:themeColor="text1"/>
          <w:sz w:val="20"/>
          <w:szCs w:val="20"/>
          <w:lang w:val="en-US"/>
        </w:rPr>
        <w:t xml:space="preserve"> </w:t>
      </w:r>
    </w:p>
    <w:p w14:paraId="6B9F0E71" w14:textId="77777777" w:rsidR="00322558" w:rsidRPr="00C223C3" w:rsidRDefault="00322558" w:rsidP="00322558">
      <w:pPr>
        <w:pStyle w:val="ListParagraph"/>
        <w:spacing w:line="240" w:lineRule="auto"/>
        <w:jc w:val="left"/>
        <w:rPr>
          <w:rFonts w:ascii="Arial" w:hAnsi="Arial" w:cs="Arial"/>
          <w:color w:val="000000" w:themeColor="text1"/>
          <w:sz w:val="20"/>
          <w:szCs w:val="20"/>
          <w:lang w:val="en-US"/>
        </w:rPr>
      </w:pPr>
    </w:p>
    <w:p w14:paraId="4FF9FCEF" w14:textId="09E53F67" w:rsidR="00322558" w:rsidRPr="00C223C3" w:rsidRDefault="00322558" w:rsidP="00322558">
      <w:pPr>
        <w:pStyle w:val="NormalWeb"/>
        <w:numPr>
          <w:ilvl w:val="0"/>
          <w:numId w:val="33"/>
        </w:numPr>
        <w:spacing w:before="0" w:beforeAutospacing="0" w:after="0" w:afterAutospacing="0"/>
        <w:rPr>
          <w:rFonts w:ascii="Arial" w:hAnsi="Arial" w:cs="Arial"/>
          <w:color w:val="000000" w:themeColor="text1"/>
          <w:sz w:val="20"/>
          <w:szCs w:val="20"/>
        </w:rPr>
      </w:pPr>
      <w:r w:rsidRPr="00C223C3">
        <w:rPr>
          <w:rFonts w:ascii="Arial" w:hAnsi="Arial" w:cs="Arial"/>
          <w:color w:val="000000" w:themeColor="text1"/>
          <w:sz w:val="20"/>
          <w:szCs w:val="20"/>
        </w:rPr>
        <w:t>Vieira Neto, L., et al. (2011). Recomendações do Departamento de Neuroendocrinologia da Sociedade Brasileira de Endocrinologia e Metabologia para o diagnóstico e tratamento da acromegalia no Brasil. Arquivos Brasileiros de Endocrinologia e Metabologia, 55(2), 91–105. https://doi.org/10.1590/S0004-27302011000200001</w:t>
      </w:r>
    </w:p>
    <w:p w14:paraId="44694EA4"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16FAC00C" w14:textId="277652C7" w:rsidR="00322558" w:rsidRPr="00C223C3" w:rsidRDefault="006A7133" w:rsidP="00322558">
      <w:pPr>
        <w:pStyle w:val="NormalWeb"/>
        <w:numPr>
          <w:ilvl w:val="0"/>
          <w:numId w:val="33"/>
        </w:numPr>
        <w:spacing w:before="0" w:beforeAutospacing="0" w:after="0" w:afterAutospacing="0"/>
        <w:rPr>
          <w:rFonts w:ascii="Arial" w:hAnsi="Arial" w:cs="Arial"/>
          <w:color w:val="000000" w:themeColor="text1"/>
          <w:sz w:val="20"/>
          <w:szCs w:val="20"/>
        </w:rPr>
      </w:pPr>
      <w:r w:rsidRPr="006A7133">
        <w:rPr>
          <w:rFonts w:ascii="Arial" w:hAnsi="Arial" w:cs="Arial"/>
          <w:color w:val="000000" w:themeColor="text1"/>
          <w:sz w:val="20"/>
          <w:szCs w:val="20"/>
        </w:rPr>
        <w:t xml:space="preserve">Wildemberg, L. E., Fialho, C., &amp; Gadelha, M. R. (2021). Prolactinomas. La Presse Médicale, 50(4), 104080.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HYPERLINK "</w:instrText>
      </w:r>
      <w:r w:rsidRPr="006A7133">
        <w:rPr>
          <w:rFonts w:ascii="Arial" w:hAnsi="Arial" w:cs="Arial"/>
          <w:color w:val="000000" w:themeColor="text1"/>
          <w:sz w:val="20"/>
          <w:szCs w:val="20"/>
        </w:rPr>
        <w:instrText>https://doi.org/10.1016/j.lpm.2021.104080</w:instrText>
      </w:r>
      <w:r>
        <w:rPr>
          <w:rFonts w:ascii="Arial" w:hAnsi="Arial" w:cs="Arial"/>
          <w:color w:val="000000" w:themeColor="text1"/>
          <w:sz w:val="20"/>
          <w:szCs w:val="20"/>
        </w:rPr>
        <w:instrText xml:space="preserve">" </w:instrText>
      </w:r>
      <w:r>
        <w:rPr>
          <w:rFonts w:ascii="Arial" w:hAnsi="Arial" w:cs="Arial"/>
          <w:color w:val="000000" w:themeColor="text1"/>
          <w:sz w:val="20"/>
          <w:szCs w:val="20"/>
        </w:rPr>
        <w:fldChar w:fldCharType="separate"/>
      </w:r>
      <w:r w:rsidRPr="008A4A01">
        <w:rPr>
          <w:rStyle w:val="Hyperlink"/>
          <w:rFonts w:ascii="Arial" w:hAnsi="Arial" w:cs="Arial"/>
          <w:sz w:val="20"/>
          <w:szCs w:val="20"/>
        </w:rPr>
        <w:t>https://doi.org/10.1016/j.lpm.2021.104080</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2CA6575D"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04725DCF" w14:textId="4D7B8747" w:rsidR="00322558" w:rsidRPr="00C223C3" w:rsidRDefault="00697C50" w:rsidP="00322558">
      <w:pPr>
        <w:pStyle w:val="NormalWeb"/>
        <w:numPr>
          <w:ilvl w:val="0"/>
          <w:numId w:val="33"/>
        </w:numPr>
        <w:spacing w:before="0" w:beforeAutospacing="0" w:after="0" w:afterAutospacing="0"/>
        <w:rPr>
          <w:rFonts w:ascii="Arial" w:hAnsi="Arial" w:cs="Arial"/>
          <w:color w:val="000000" w:themeColor="text1"/>
          <w:sz w:val="20"/>
          <w:szCs w:val="20"/>
        </w:rPr>
      </w:pPr>
      <w:r w:rsidRPr="00697C50">
        <w:rPr>
          <w:rFonts w:ascii="Arial" w:hAnsi="Arial" w:cs="Arial"/>
          <w:color w:val="000000" w:themeColor="text1"/>
          <w:sz w:val="20"/>
          <w:szCs w:val="20"/>
        </w:rPr>
        <w:t xml:space="preserve">Kuraba, T. V. P. (2022). Adenoma hipofisário (prolactinoma) proveniente da disfunção hormonal da prolactina: revisão de literatura. Revista Brasileira de Análises Clínicas.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HYPERLINK "</w:instrText>
      </w:r>
      <w:r w:rsidRPr="00697C50">
        <w:rPr>
          <w:rFonts w:ascii="Arial" w:hAnsi="Arial" w:cs="Arial"/>
          <w:color w:val="000000" w:themeColor="text1"/>
          <w:sz w:val="20"/>
          <w:szCs w:val="20"/>
        </w:rPr>
        <w:instrText>https://doi.org/10.21877/2448-3877.202102028</w:instrText>
      </w:r>
      <w:r>
        <w:rPr>
          <w:rFonts w:ascii="Arial" w:hAnsi="Arial" w:cs="Arial"/>
          <w:color w:val="000000" w:themeColor="text1"/>
          <w:sz w:val="20"/>
          <w:szCs w:val="20"/>
        </w:rPr>
        <w:instrText xml:space="preserve">" </w:instrText>
      </w:r>
      <w:r>
        <w:rPr>
          <w:rFonts w:ascii="Arial" w:hAnsi="Arial" w:cs="Arial"/>
          <w:color w:val="000000" w:themeColor="text1"/>
          <w:sz w:val="20"/>
          <w:szCs w:val="20"/>
        </w:rPr>
        <w:fldChar w:fldCharType="separate"/>
      </w:r>
      <w:r w:rsidRPr="008A4A01">
        <w:rPr>
          <w:rStyle w:val="Hyperlink"/>
          <w:rFonts w:ascii="Arial" w:hAnsi="Arial" w:cs="Arial"/>
          <w:sz w:val="20"/>
          <w:szCs w:val="20"/>
        </w:rPr>
        <w:t>https://doi.org/10.21877/2448-3877.202102028</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32858B91"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48480A73" w14:textId="1428BB32" w:rsidR="00322558" w:rsidRPr="00C223C3" w:rsidRDefault="00243F77" w:rsidP="00322558">
      <w:pPr>
        <w:pStyle w:val="NormalWeb"/>
        <w:numPr>
          <w:ilvl w:val="0"/>
          <w:numId w:val="33"/>
        </w:numPr>
        <w:spacing w:before="0" w:beforeAutospacing="0" w:after="0" w:afterAutospacing="0"/>
        <w:rPr>
          <w:rFonts w:ascii="Arial" w:hAnsi="Arial" w:cs="Arial"/>
          <w:color w:val="000000" w:themeColor="text1"/>
          <w:sz w:val="20"/>
          <w:szCs w:val="20"/>
        </w:rPr>
      </w:pPr>
      <w:proofErr w:type="spellStart"/>
      <w:r w:rsidRPr="00243F77">
        <w:rPr>
          <w:rFonts w:ascii="Arial" w:hAnsi="Arial" w:cs="Arial"/>
          <w:color w:val="000000" w:themeColor="text1"/>
          <w:sz w:val="20"/>
          <w:szCs w:val="20"/>
          <w:lang w:val="en-US"/>
        </w:rPr>
        <w:t>Tritos</w:t>
      </w:r>
      <w:proofErr w:type="spellEnd"/>
      <w:r w:rsidRPr="00243F77">
        <w:rPr>
          <w:rFonts w:ascii="Arial" w:hAnsi="Arial" w:cs="Arial"/>
          <w:color w:val="000000" w:themeColor="text1"/>
          <w:sz w:val="20"/>
          <w:szCs w:val="20"/>
          <w:lang w:val="en-US"/>
        </w:rPr>
        <w:t xml:space="preserve">, N. A., &amp; Miller, K. K. (2023). Diagnosis and Management of Pituitary Adenomas: A Review. JAMA. </w:t>
      </w:r>
      <w:hyperlink r:id="rId23" w:history="1">
        <w:r w:rsidRPr="008A4A01">
          <w:rPr>
            <w:rStyle w:val="Hyperlink"/>
            <w:rFonts w:ascii="Arial" w:hAnsi="Arial" w:cs="Arial"/>
            <w:sz w:val="20"/>
            <w:szCs w:val="20"/>
            <w:lang w:val="en-US"/>
          </w:rPr>
          <w:t>https://doi.org/10.1001/jama.2023.5444</w:t>
        </w:r>
      </w:hyperlink>
      <w:r>
        <w:rPr>
          <w:rFonts w:ascii="Arial" w:hAnsi="Arial" w:cs="Arial"/>
          <w:color w:val="000000" w:themeColor="text1"/>
          <w:sz w:val="20"/>
          <w:szCs w:val="20"/>
          <w:lang w:val="en-US"/>
        </w:rPr>
        <w:t xml:space="preserve"> </w:t>
      </w:r>
    </w:p>
    <w:p w14:paraId="0EC5B047"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510846BE" w14:textId="36134E2C" w:rsidR="00322558" w:rsidRPr="00C223C3" w:rsidRDefault="00930FB7" w:rsidP="00322558">
      <w:pPr>
        <w:pStyle w:val="NormalWeb"/>
        <w:numPr>
          <w:ilvl w:val="0"/>
          <w:numId w:val="33"/>
        </w:numPr>
        <w:spacing w:before="0" w:beforeAutospacing="0" w:after="0" w:afterAutospacing="0"/>
        <w:rPr>
          <w:rFonts w:ascii="Arial" w:hAnsi="Arial" w:cs="Arial"/>
          <w:color w:val="000000" w:themeColor="text1"/>
          <w:sz w:val="20"/>
          <w:szCs w:val="20"/>
        </w:rPr>
      </w:pPr>
      <w:proofErr w:type="spellStart"/>
      <w:r w:rsidRPr="00930FB7">
        <w:rPr>
          <w:rFonts w:ascii="Arial" w:hAnsi="Arial" w:cs="Arial"/>
          <w:color w:val="000000" w:themeColor="text1"/>
          <w:sz w:val="20"/>
          <w:szCs w:val="20"/>
          <w:lang w:val="en-US"/>
        </w:rPr>
        <w:t>Fleseriu</w:t>
      </w:r>
      <w:proofErr w:type="spellEnd"/>
      <w:r w:rsidRPr="00930FB7">
        <w:rPr>
          <w:rFonts w:ascii="Arial" w:hAnsi="Arial" w:cs="Arial"/>
          <w:color w:val="000000" w:themeColor="text1"/>
          <w:sz w:val="20"/>
          <w:szCs w:val="20"/>
          <w:lang w:val="en-US"/>
        </w:rPr>
        <w:t xml:space="preserve">, M., </w:t>
      </w:r>
      <w:proofErr w:type="spellStart"/>
      <w:r w:rsidRPr="00930FB7">
        <w:rPr>
          <w:rFonts w:ascii="Arial" w:hAnsi="Arial" w:cs="Arial"/>
          <w:color w:val="000000" w:themeColor="text1"/>
          <w:sz w:val="20"/>
          <w:szCs w:val="20"/>
          <w:lang w:val="en-US"/>
        </w:rPr>
        <w:t>Auchus</w:t>
      </w:r>
      <w:proofErr w:type="spellEnd"/>
      <w:r w:rsidRPr="00930FB7">
        <w:rPr>
          <w:rFonts w:ascii="Arial" w:hAnsi="Arial" w:cs="Arial"/>
          <w:color w:val="000000" w:themeColor="text1"/>
          <w:sz w:val="20"/>
          <w:szCs w:val="20"/>
          <w:lang w:val="en-US"/>
        </w:rPr>
        <w:t xml:space="preserve">, R., </w:t>
      </w:r>
      <w:proofErr w:type="spellStart"/>
      <w:r w:rsidRPr="00930FB7">
        <w:rPr>
          <w:rFonts w:ascii="Arial" w:hAnsi="Arial" w:cs="Arial"/>
          <w:color w:val="000000" w:themeColor="text1"/>
          <w:sz w:val="20"/>
          <w:szCs w:val="20"/>
          <w:lang w:val="en-US"/>
        </w:rPr>
        <w:t>Bancos</w:t>
      </w:r>
      <w:proofErr w:type="spellEnd"/>
      <w:r w:rsidRPr="00930FB7">
        <w:rPr>
          <w:rFonts w:ascii="Arial" w:hAnsi="Arial" w:cs="Arial"/>
          <w:color w:val="000000" w:themeColor="text1"/>
          <w:sz w:val="20"/>
          <w:szCs w:val="20"/>
          <w:lang w:val="en-US"/>
        </w:rPr>
        <w:t>, I., Ben-</w:t>
      </w:r>
      <w:proofErr w:type="spellStart"/>
      <w:r w:rsidRPr="00930FB7">
        <w:rPr>
          <w:rFonts w:ascii="Arial" w:hAnsi="Arial" w:cs="Arial"/>
          <w:color w:val="000000" w:themeColor="text1"/>
          <w:sz w:val="20"/>
          <w:szCs w:val="20"/>
          <w:lang w:val="en-US"/>
        </w:rPr>
        <w:t>Shlomo</w:t>
      </w:r>
      <w:proofErr w:type="spellEnd"/>
      <w:r w:rsidRPr="00930FB7">
        <w:rPr>
          <w:rFonts w:ascii="Arial" w:hAnsi="Arial" w:cs="Arial"/>
          <w:color w:val="000000" w:themeColor="text1"/>
          <w:sz w:val="20"/>
          <w:szCs w:val="20"/>
          <w:lang w:val="en-US"/>
        </w:rPr>
        <w:t xml:space="preserve">, A., </w:t>
      </w:r>
      <w:proofErr w:type="spellStart"/>
      <w:r w:rsidRPr="00930FB7">
        <w:rPr>
          <w:rFonts w:ascii="Arial" w:hAnsi="Arial" w:cs="Arial"/>
          <w:color w:val="000000" w:themeColor="text1"/>
          <w:sz w:val="20"/>
          <w:szCs w:val="20"/>
          <w:lang w:val="en-US"/>
        </w:rPr>
        <w:t>Bertherat</w:t>
      </w:r>
      <w:proofErr w:type="spellEnd"/>
      <w:r w:rsidRPr="00930FB7">
        <w:rPr>
          <w:rFonts w:ascii="Arial" w:hAnsi="Arial" w:cs="Arial"/>
          <w:color w:val="000000" w:themeColor="text1"/>
          <w:sz w:val="20"/>
          <w:szCs w:val="20"/>
          <w:lang w:val="en-US"/>
        </w:rPr>
        <w:t xml:space="preserve">, J., </w:t>
      </w:r>
      <w:proofErr w:type="spellStart"/>
      <w:r w:rsidRPr="00930FB7">
        <w:rPr>
          <w:rFonts w:ascii="Arial" w:hAnsi="Arial" w:cs="Arial"/>
          <w:color w:val="000000" w:themeColor="text1"/>
          <w:sz w:val="20"/>
          <w:szCs w:val="20"/>
          <w:lang w:val="en-US"/>
        </w:rPr>
        <w:t>Biermasz</w:t>
      </w:r>
      <w:proofErr w:type="spellEnd"/>
      <w:r w:rsidRPr="00930FB7">
        <w:rPr>
          <w:rFonts w:ascii="Arial" w:hAnsi="Arial" w:cs="Arial"/>
          <w:color w:val="000000" w:themeColor="text1"/>
          <w:sz w:val="20"/>
          <w:szCs w:val="20"/>
          <w:lang w:val="en-US"/>
        </w:rPr>
        <w:t xml:space="preserve">, N. R., et al. (2021). Consensus on diagnosis and management of Cushing's disease: A guideline update. The Lancet Diabetes &amp; Endocrinology, 9(12), 847–875. </w:t>
      </w:r>
      <w:hyperlink r:id="rId24" w:history="1">
        <w:r w:rsidRPr="008A4A01">
          <w:rPr>
            <w:rStyle w:val="Hyperlink"/>
            <w:rFonts w:ascii="Arial" w:hAnsi="Arial" w:cs="Arial"/>
            <w:sz w:val="20"/>
            <w:szCs w:val="20"/>
            <w:lang w:val="en-US"/>
          </w:rPr>
          <w:t>https://doi.org/10.1016/S2213-8587(21)00235-7</w:t>
        </w:r>
      </w:hyperlink>
      <w:r>
        <w:rPr>
          <w:rFonts w:ascii="Arial" w:hAnsi="Arial" w:cs="Arial"/>
          <w:color w:val="000000" w:themeColor="text1"/>
          <w:sz w:val="20"/>
          <w:szCs w:val="20"/>
          <w:lang w:val="en-US"/>
        </w:rPr>
        <w:t xml:space="preserve"> </w:t>
      </w:r>
    </w:p>
    <w:p w14:paraId="458ED4A5"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13808DD1" w14:textId="52A76334" w:rsidR="00322558" w:rsidRPr="00C223C3" w:rsidRDefault="00F321F9" w:rsidP="00322558">
      <w:pPr>
        <w:pStyle w:val="NormalWeb"/>
        <w:numPr>
          <w:ilvl w:val="0"/>
          <w:numId w:val="33"/>
        </w:numPr>
        <w:spacing w:before="0" w:beforeAutospacing="0" w:after="0" w:afterAutospacing="0"/>
        <w:rPr>
          <w:rFonts w:ascii="Arial" w:hAnsi="Arial" w:cs="Arial"/>
          <w:color w:val="000000" w:themeColor="text1"/>
          <w:sz w:val="20"/>
          <w:szCs w:val="20"/>
        </w:rPr>
      </w:pPr>
      <w:r w:rsidRPr="00F321F9">
        <w:rPr>
          <w:rFonts w:ascii="Arial" w:hAnsi="Arial" w:cs="Arial"/>
          <w:color w:val="000000" w:themeColor="text1"/>
          <w:sz w:val="20"/>
          <w:szCs w:val="20"/>
        </w:rPr>
        <w:t xml:space="preserve">Reincke, M., &amp; Fleseriu, M. (2023). Cushing syndrome: A review. JAMA, 330(2), 170–181.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HYPERLINK "</w:instrText>
      </w:r>
      <w:r w:rsidRPr="00F321F9">
        <w:rPr>
          <w:rFonts w:ascii="Arial" w:hAnsi="Arial" w:cs="Arial"/>
          <w:color w:val="000000" w:themeColor="text1"/>
          <w:sz w:val="20"/>
          <w:szCs w:val="20"/>
        </w:rPr>
        <w:instrText>https://doi.org/10.1001/jama.2023.11305</w:instrText>
      </w:r>
      <w:r>
        <w:rPr>
          <w:rFonts w:ascii="Arial" w:hAnsi="Arial" w:cs="Arial"/>
          <w:color w:val="000000" w:themeColor="text1"/>
          <w:sz w:val="20"/>
          <w:szCs w:val="20"/>
        </w:rPr>
        <w:instrText xml:space="preserve">" </w:instrText>
      </w:r>
      <w:r>
        <w:rPr>
          <w:rFonts w:ascii="Arial" w:hAnsi="Arial" w:cs="Arial"/>
          <w:color w:val="000000" w:themeColor="text1"/>
          <w:sz w:val="20"/>
          <w:szCs w:val="20"/>
        </w:rPr>
        <w:fldChar w:fldCharType="separate"/>
      </w:r>
      <w:r w:rsidRPr="008A4A01">
        <w:rPr>
          <w:rStyle w:val="Hyperlink"/>
          <w:rFonts w:ascii="Arial" w:hAnsi="Arial" w:cs="Arial"/>
          <w:sz w:val="20"/>
          <w:szCs w:val="20"/>
        </w:rPr>
        <w:t>https://doi.org/10.1001/jama.2023.11305</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45CD5687"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717D5D72" w14:textId="2D90DE85" w:rsidR="00322558" w:rsidRPr="00C223C3" w:rsidRDefault="000E42A2" w:rsidP="00322558">
      <w:pPr>
        <w:pStyle w:val="NormalWeb"/>
        <w:numPr>
          <w:ilvl w:val="0"/>
          <w:numId w:val="33"/>
        </w:numPr>
        <w:spacing w:before="0" w:beforeAutospacing="0" w:after="0" w:afterAutospacing="0"/>
        <w:rPr>
          <w:rFonts w:ascii="Arial" w:hAnsi="Arial" w:cs="Arial"/>
          <w:color w:val="000000" w:themeColor="text1"/>
          <w:sz w:val="20"/>
          <w:szCs w:val="20"/>
        </w:rPr>
      </w:pPr>
      <w:r w:rsidRPr="000E42A2">
        <w:rPr>
          <w:rFonts w:ascii="Arial" w:hAnsi="Arial" w:cs="Arial"/>
          <w:color w:val="000000" w:themeColor="text1"/>
          <w:sz w:val="20"/>
          <w:szCs w:val="20"/>
          <w:lang w:val="en-US"/>
        </w:rPr>
        <w:t xml:space="preserve">Farias, C. M. L., </w:t>
      </w:r>
      <w:proofErr w:type="spellStart"/>
      <w:r w:rsidRPr="000E42A2">
        <w:rPr>
          <w:rFonts w:ascii="Arial" w:hAnsi="Arial" w:cs="Arial"/>
          <w:color w:val="000000" w:themeColor="text1"/>
          <w:sz w:val="20"/>
          <w:szCs w:val="20"/>
          <w:lang w:val="en-US"/>
        </w:rPr>
        <w:t>Giovanella</w:t>
      </w:r>
      <w:proofErr w:type="spellEnd"/>
      <w:r w:rsidRPr="000E42A2">
        <w:rPr>
          <w:rFonts w:ascii="Arial" w:hAnsi="Arial" w:cs="Arial"/>
          <w:color w:val="000000" w:themeColor="text1"/>
          <w:sz w:val="20"/>
          <w:szCs w:val="20"/>
          <w:lang w:val="en-US"/>
        </w:rPr>
        <w:t xml:space="preserve">, L., Oliveira, A. E., &amp; Santos </w:t>
      </w:r>
      <w:proofErr w:type="spellStart"/>
      <w:r w:rsidRPr="000E42A2">
        <w:rPr>
          <w:rFonts w:ascii="Arial" w:hAnsi="Arial" w:cs="Arial"/>
          <w:color w:val="000000" w:themeColor="text1"/>
          <w:sz w:val="20"/>
          <w:szCs w:val="20"/>
          <w:lang w:val="en-US"/>
        </w:rPr>
        <w:t>Neto</w:t>
      </w:r>
      <w:proofErr w:type="spellEnd"/>
      <w:r w:rsidRPr="000E42A2">
        <w:rPr>
          <w:rFonts w:ascii="Arial" w:hAnsi="Arial" w:cs="Arial"/>
          <w:color w:val="000000" w:themeColor="text1"/>
          <w:sz w:val="20"/>
          <w:szCs w:val="20"/>
          <w:lang w:val="en-US"/>
        </w:rPr>
        <w:t xml:space="preserve">, E. M. (2019). Waiting time and absenteeism in the secondary care: a challenge for universal health systems. </w:t>
      </w:r>
      <w:proofErr w:type="spellStart"/>
      <w:r w:rsidRPr="000E42A2">
        <w:rPr>
          <w:rFonts w:ascii="Arial" w:hAnsi="Arial" w:cs="Arial"/>
          <w:color w:val="000000" w:themeColor="text1"/>
          <w:sz w:val="20"/>
          <w:szCs w:val="20"/>
          <w:lang w:val="en-US"/>
        </w:rPr>
        <w:t>Saúde</w:t>
      </w:r>
      <w:proofErr w:type="spellEnd"/>
      <w:r w:rsidRPr="000E42A2">
        <w:rPr>
          <w:rFonts w:ascii="Arial" w:hAnsi="Arial" w:cs="Arial"/>
          <w:color w:val="000000" w:themeColor="text1"/>
          <w:sz w:val="20"/>
          <w:szCs w:val="20"/>
          <w:lang w:val="en-US"/>
        </w:rPr>
        <w:t xml:space="preserve"> </w:t>
      </w:r>
      <w:proofErr w:type="spellStart"/>
      <w:r w:rsidRPr="000E42A2">
        <w:rPr>
          <w:rFonts w:ascii="Arial" w:hAnsi="Arial" w:cs="Arial"/>
          <w:color w:val="000000" w:themeColor="text1"/>
          <w:sz w:val="20"/>
          <w:szCs w:val="20"/>
          <w:lang w:val="en-US"/>
        </w:rPr>
        <w:t>em</w:t>
      </w:r>
      <w:proofErr w:type="spellEnd"/>
      <w:r w:rsidRPr="000E42A2">
        <w:rPr>
          <w:rFonts w:ascii="Arial" w:hAnsi="Arial" w:cs="Arial"/>
          <w:color w:val="000000" w:themeColor="text1"/>
          <w:sz w:val="20"/>
          <w:szCs w:val="20"/>
          <w:lang w:val="en-US"/>
        </w:rPr>
        <w:t xml:space="preserve"> Debate, 43(Suppl 5), 190–204. </w:t>
      </w:r>
      <w:hyperlink r:id="rId25" w:history="1">
        <w:r w:rsidRPr="008A4A01">
          <w:rPr>
            <w:rStyle w:val="Hyperlink"/>
            <w:rFonts w:ascii="Arial" w:hAnsi="Arial" w:cs="Arial"/>
            <w:sz w:val="20"/>
            <w:szCs w:val="20"/>
            <w:lang w:val="en-US"/>
          </w:rPr>
          <w:t>https://doi.org/10.1590/0103-11042019S516</w:t>
        </w:r>
      </w:hyperlink>
      <w:r>
        <w:rPr>
          <w:rFonts w:ascii="Arial" w:hAnsi="Arial" w:cs="Arial"/>
          <w:color w:val="000000" w:themeColor="text1"/>
          <w:sz w:val="20"/>
          <w:szCs w:val="20"/>
          <w:lang w:val="en-US"/>
        </w:rPr>
        <w:t xml:space="preserve"> </w:t>
      </w:r>
    </w:p>
    <w:p w14:paraId="7176C789"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74D1CCFA" w14:textId="39AC840E" w:rsidR="00322558" w:rsidRPr="00C223C3" w:rsidRDefault="007565C2" w:rsidP="00322558">
      <w:pPr>
        <w:pStyle w:val="NormalWeb"/>
        <w:numPr>
          <w:ilvl w:val="0"/>
          <w:numId w:val="33"/>
        </w:numPr>
        <w:spacing w:before="0" w:beforeAutospacing="0" w:after="0" w:afterAutospacing="0"/>
        <w:rPr>
          <w:rFonts w:ascii="Arial" w:hAnsi="Arial" w:cs="Arial"/>
          <w:color w:val="000000" w:themeColor="text1"/>
          <w:sz w:val="20"/>
          <w:szCs w:val="20"/>
          <w:lang w:val="en-US"/>
        </w:rPr>
      </w:pPr>
      <w:proofErr w:type="spellStart"/>
      <w:r w:rsidRPr="007565C2">
        <w:rPr>
          <w:rFonts w:ascii="Arial" w:hAnsi="Arial" w:cs="Arial"/>
          <w:color w:val="000000" w:themeColor="text1"/>
          <w:sz w:val="20"/>
          <w:szCs w:val="20"/>
          <w:lang w:val="en-US"/>
        </w:rPr>
        <w:t>Bollerslev</w:t>
      </w:r>
      <w:proofErr w:type="spellEnd"/>
      <w:r w:rsidRPr="007565C2">
        <w:rPr>
          <w:rFonts w:ascii="Arial" w:hAnsi="Arial" w:cs="Arial"/>
          <w:color w:val="000000" w:themeColor="text1"/>
          <w:sz w:val="20"/>
          <w:szCs w:val="20"/>
          <w:lang w:val="en-US"/>
        </w:rPr>
        <w:t xml:space="preserve">, J., Heck, A., &amp; </w:t>
      </w:r>
      <w:proofErr w:type="spellStart"/>
      <w:r w:rsidRPr="007565C2">
        <w:rPr>
          <w:rFonts w:ascii="Arial" w:hAnsi="Arial" w:cs="Arial"/>
          <w:color w:val="000000" w:themeColor="text1"/>
          <w:sz w:val="20"/>
          <w:szCs w:val="20"/>
          <w:lang w:val="en-US"/>
        </w:rPr>
        <w:t>Olarescu</w:t>
      </w:r>
      <w:proofErr w:type="spellEnd"/>
      <w:r w:rsidRPr="007565C2">
        <w:rPr>
          <w:rFonts w:ascii="Arial" w:hAnsi="Arial" w:cs="Arial"/>
          <w:color w:val="000000" w:themeColor="text1"/>
          <w:sz w:val="20"/>
          <w:szCs w:val="20"/>
          <w:lang w:val="en-US"/>
        </w:rPr>
        <w:t xml:space="preserve">, N. C. (2019). Management of endocrine disease: </w:t>
      </w:r>
      <w:proofErr w:type="spellStart"/>
      <w:r w:rsidRPr="007565C2">
        <w:rPr>
          <w:rFonts w:ascii="Arial" w:hAnsi="Arial" w:cs="Arial"/>
          <w:color w:val="000000" w:themeColor="text1"/>
          <w:sz w:val="20"/>
          <w:szCs w:val="20"/>
          <w:lang w:val="en-US"/>
        </w:rPr>
        <w:t>Individualised</w:t>
      </w:r>
      <w:proofErr w:type="spellEnd"/>
      <w:r w:rsidRPr="007565C2">
        <w:rPr>
          <w:rFonts w:ascii="Arial" w:hAnsi="Arial" w:cs="Arial"/>
          <w:color w:val="000000" w:themeColor="text1"/>
          <w:sz w:val="20"/>
          <w:szCs w:val="20"/>
          <w:lang w:val="en-US"/>
        </w:rPr>
        <w:t xml:space="preserve"> management of acromegaly. European Journal of Endocrinology, 181(2), R57–R71. </w:t>
      </w:r>
      <w:hyperlink r:id="rId26" w:history="1">
        <w:r w:rsidRPr="008A4A01">
          <w:rPr>
            <w:rStyle w:val="Hyperlink"/>
            <w:rFonts w:ascii="Arial" w:hAnsi="Arial" w:cs="Arial"/>
            <w:sz w:val="20"/>
            <w:szCs w:val="20"/>
            <w:lang w:val="en-US"/>
          </w:rPr>
          <w:t>https://doi.org/10.1530/EJE-19-0124</w:t>
        </w:r>
      </w:hyperlink>
      <w:r>
        <w:rPr>
          <w:rFonts w:ascii="Arial" w:hAnsi="Arial" w:cs="Arial"/>
          <w:color w:val="000000" w:themeColor="text1"/>
          <w:sz w:val="20"/>
          <w:szCs w:val="20"/>
          <w:lang w:val="en-US"/>
        </w:rPr>
        <w:t xml:space="preserve"> </w:t>
      </w:r>
    </w:p>
    <w:p w14:paraId="2FB1768D" w14:textId="77777777" w:rsidR="00322558" w:rsidRPr="00C223C3" w:rsidRDefault="00322558" w:rsidP="00322558">
      <w:pPr>
        <w:pStyle w:val="ListParagraph"/>
        <w:spacing w:line="240" w:lineRule="auto"/>
        <w:jc w:val="left"/>
        <w:rPr>
          <w:rFonts w:ascii="Arial" w:hAnsi="Arial" w:cs="Arial"/>
          <w:color w:val="000000" w:themeColor="text1"/>
          <w:sz w:val="20"/>
          <w:szCs w:val="20"/>
          <w:lang w:val="en-US"/>
        </w:rPr>
      </w:pPr>
    </w:p>
    <w:p w14:paraId="461DD012" w14:textId="48BE5045" w:rsidR="00322558" w:rsidRPr="00C223C3" w:rsidRDefault="00322558" w:rsidP="00322558">
      <w:pPr>
        <w:pStyle w:val="NormalWeb"/>
        <w:numPr>
          <w:ilvl w:val="0"/>
          <w:numId w:val="33"/>
        </w:numPr>
        <w:spacing w:before="0" w:beforeAutospacing="0" w:after="0" w:afterAutospacing="0"/>
        <w:rPr>
          <w:rFonts w:ascii="Arial" w:hAnsi="Arial" w:cs="Arial"/>
          <w:color w:val="000000" w:themeColor="text1"/>
          <w:sz w:val="20"/>
          <w:szCs w:val="20"/>
        </w:rPr>
      </w:pPr>
      <w:r w:rsidRPr="00C223C3">
        <w:rPr>
          <w:rFonts w:ascii="Arial" w:hAnsi="Arial" w:cs="Arial"/>
          <w:color w:val="000000" w:themeColor="text1"/>
          <w:sz w:val="20"/>
          <w:szCs w:val="20"/>
          <w:lang w:val="en-US"/>
        </w:rPr>
        <w:t xml:space="preserve">Vilar, L., et al. (2000). Medical treatment of pituitary tumors. Part II: ACTH- and TSH-secreting adenomas and clinically nonfunctioning adenomas. </w:t>
      </w:r>
      <w:r w:rsidRPr="00C223C3">
        <w:rPr>
          <w:rFonts w:ascii="Arial" w:hAnsi="Arial" w:cs="Arial"/>
          <w:color w:val="000000" w:themeColor="text1"/>
          <w:sz w:val="20"/>
          <w:szCs w:val="20"/>
        </w:rPr>
        <w:t>Arquivos Brasileiros de Endocrinologia &amp; Metabologia, 44(6), 455–470. https://doi.org/10.1590/S0004-27302000000600004</w:t>
      </w:r>
    </w:p>
    <w:p w14:paraId="00C41C02" w14:textId="77777777" w:rsidR="00322558" w:rsidRPr="00C223C3" w:rsidRDefault="00322558" w:rsidP="00322558">
      <w:pPr>
        <w:pStyle w:val="ListParagraph"/>
        <w:spacing w:line="240" w:lineRule="auto"/>
        <w:jc w:val="left"/>
        <w:rPr>
          <w:rFonts w:ascii="Arial" w:hAnsi="Arial" w:cs="Arial"/>
          <w:color w:val="000000" w:themeColor="text1"/>
          <w:sz w:val="20"/>
          <w:szCs w:val="20"/>
        </w:rPr>
      </w:pPr>
    </w:p>
    <w:p w14:paraId="7E73278E" w14:textId="5E9108EB" w:rsidR="00322558" w:rsidRPr="00C223C3" w:rsidRDefault="00745C43" w:rsidP="00322558">
      <w:pPr>
        <w:pStyle w:val="NormalWeb"/>
        <w:numPr>
          <w:ilvl w:val="0"/>
          <w:numId w:val="33"/>
        </w:numPr>
        <w:spacing w:before="0" w:beforeAutospacing="0" w:after="0" w:afterAutospacing="0"/>
        <w:rPr>
          <w:rFonts w:ascii="Arial" w:hAnsi="Arial" w:cs="Arial"/>
          <w:color w:val="000000" w:themeColor="text1"/>
          <w:sz w:val="20"/>
          <w:szCs w:val="20"/>
          <w:lang w:val="en-US"/>
        </w:rPr>
      </w:pPr>
      <w:r w:rsidRPr="00745C43">
        <w:rPr>
          <w:rFonts w:ascii="Arial" w:hAnsi="Arial" w:cs="Arial"/>
          <w:color w:val="000000" w:themeColor="text1"/>
          <w:sz w:val="20"/>
          <w:szCs w:val="20"/>
          <w:lang w:val="es-419"/>
        </w:rPr>
        <w:t xml:space="preserve">Vargas-Ortega, G., </w:t>
      </w:r>
      <w:proofErr w:type="spellStart"/>
      <w:r w:rsidRPr="00745C43">
        <w:rPr>
          <w:rFonts w:ascii="Arial" w:hAnsi="Arial" w:cs="Arial"/>
          <w:color w:val="000000" w:themeColor="text1"/>
          <w:sz w:val="20"/>
          <w:szCs w:val="20"/>
          <w:lang w:val="es-419"/>
        </w:rPr>
        <w:t>Gonzalez-Virla</w:t>
      </w:r>
      <w:proofErr w:type="spellEnd"/>
      <w:r w:rsidRPr="00745C43">
        <w:rPr>
          <w:rFonts w:ascii="Arial" w:hAnsi="Arial" w:cs="Arial"/>
          <w:color w:val="000000" w:themeColor="text1"/>
          <w:sz w:val="20"/>
          <w:szCs w:val="20"/>
          <w:lang w:val="es-419"/>
        </w:rPr>
        <w:t>, B., &amp; Romero-</w:t>
      </w:r>
      <w:proofErr w:type="spellStart"/>
      <w:r w:rsidRPr="00745C43">
        <w:rPr>
          <w:rFonts w:ascii="Arial" w:hAnsi="Arial" w:cs="Arial"/>
          <w:color w:val="000000" w:themeColor="text1"/>
          <w:sz w:val="20"/>
          <w:szCs w:val="20"/>
          <w:lang w:val="es-419"/>
        </w:rPr>
        <w:t>Gameros</w:t>
      </w:r>
      <w:proofErr w:type="spellEnd"/>
      <w:r w:rsidRPr="00745C43">
        <w:rPr>
          <w:rFonts w:ascii="Arial" w:hAnsi="Arial" w:cs="Arial"/>
          <w:color w:val="000000" w:themeColor="text1"/>
          <w:sz w:val="20"/>
          <w:szCs w:val="20"/>
          <w:lang w:val="es-419"/>
        </w:rPr>
        <w:t xml:space="preserve">, C. A. (2023). </w:t>
      </w:r>
      <w:proofErr w:type="spellStart"/>
      <w:r w:rsidRPr="00745C43">
        <w:rPr>
          <w:rFonts w:ascii="Arial" w:hAnsi="Arial" w:cs="Arial"/>
          <w:color w:val="000000" w:themeColor="text1"/>
          <w:sz w:val="20"/>
          <w:szCs w:val="20"/>
          <w:lang w:val="es-419"/>
        </w:rPr>
        <w:t>Pharmacological</w:t>
      </w:r>
      <w:proofErr w:type="spellEnd"/>
      <w:r w:rsidRPr="00745C43">
        <w:rPr>
          <w:rFonts w:ascii="Arial" w:hAnsi="Arial" w:cs="Arial"/>
          <w:color w:val="000000" w:themeColor="text1"/>
          <w:sz w:val="20"/>
          <w:szCs w:val="20"/>
          <w:lang w:val="es-419"/>
        </w:rPr>
        <w:t xml:space="preserve"> </w:t>
      </w:r>
      <w:proofErr w:type="spellStart"/>
      <w:r w:rsidRPr="00745C43">
        <w:rPr>
          <w:rFonts w:ascii="Arial" w:hAnsi="Arial" w:cs="Arial"/>
          <w:color w:val="000000" w:themeColor="text1"/>
          <w:sz w:val="20"/>
          <w:szCs w:val="20"/>
          <w:lang w:val="es-419"/>
        </w:rPr>
        <w:t>treatment</w:t>
      </w:r>
      <w:proofErr w:type="spellEnd"/>
      <w:r w:rsidRPr="00745C43">
        <w:rPr>
          <w:rFonts w:ascii="Arial" w:hAnsi="Arial" w:cs="Arial"/>
          <w:color w:val="000000" w:themeColor="text1"/>
          <w:sz w:val="20"/>
          <w:szCs w:val="20"/>
          <w:lang w:val="es-419"/>
        </w:rPr>
        <w:t xml:space="preserve"> </w:t>
      </w:r>
      <w:proofErr w:type="spellStart"/>
      <w:r w:rsidRPr="00745C43">
        <w:rPr>
          <w:rFonts w:ascii="Arial" w:hAnsi="Arial" w:cs="Arial"/>
          <w:color w:val="000000" w:themeColor="text1"/>
          <w:sz w:val="20"/>
          <w:szCs w:val="20"/>
          <w:lang w:val="es-419"/>
        </w:rPr>
        <w:t>of</w:t>
      </w:r>
      <w:proofErr w:type="spellEnd"/>
      <w:r w:rsidRPr="00745C43">
        <w:rPr>
          <w:rFonts w:ascii="Arial" w:hAnsi="Arial" w:cs="Arial"/>
          <w:color w:val="000000" w:themeColor="text1"/>
          <w:sz w:val="20"/>
          <w:szCs w:val="20"/>
          <w:lang w:val="es-419"/>
        </w:rPr>
        <w:t xml:space="preserve"> non-</w:t>
      </w:r>
      <w:proofErr w:type="spellStart"/>
      <w:r w:rsidRPr="00745C43">
        <w:rPr>
          <w:rFonts w:ascii="Arial" w:hAnsi="Arial" w:cs="Arial"/>
          <w:color w:val="000000" w:themeColor="text1"/>
          <w:sz w:val="20"/>
          <w:szCs w:val="20"/>
          <w:lang w:val="es-419"/>
        </w:rPr>
        <w:t>functioning</w:t>
      </w:r>
      <w:proofErr w:type="spellEnd"/>
      <w:r w:rsidRPr="00745C43">
        <w:rPr>
          <w:rFonts w:ascii="Arial" w:hAnsi="Arial" w:cs="Arial"/>
          <w:color w:val="000000" w:themeColor="text1"/>
          <w:sz w:val="20"/>
          <w:szCs w:val="20"/>
          <w:lang w:val="es-419"/>
        </w:rPr>
        <w:t xml:space="preserve"> </w:t>
      </w:r>
      <w:proofErr w:type="spellStart"/>
      <w:r w:rsidRPr="00745C43">
        <w:rPr>
          <w:rFonts w:ascii="Arial" w:hAnsi="Arial" w:cs="Arial"/>
          <w:color w:val="000000" w:themeColor="text1"/>
          <w:sz w:val="20"/>
          <w:szCs w:val="20"/>
          <w:lang w:val="es-419"/>
        </w:rPr>
        <w:t>pituitary</w:t>
      </w:r>
      <w:proofErr w:type="spellEnd"/>
      <w:r w:rsidRPr="00745C43">
        <w:rPr>
          <w:rFonts w:ascii="Arial" w:hAnsi="Arial" w:cs="Arial"/>
          <w:color w:val="000000" w:themeColor="text1"/>
          <w:sz w:val="20"/>
          <w:szCs w:val="20"/>
          <w:lang w:val="es-419"/>
        </w:rPr>
        <w:t xml:space="preserve"> adenomas. Archives </w:t>
      </w:r>
      <w:proofErr w:type="spellStart"/>
      <w:r w:rsidRPr="00745C43">
        <w:rPr>
          <w:rFonts w:ascii="Arial" w:hAnsi="Arial" w:cs="Arial"/>
          <w:color w:val="000000" w:themeColor="text1"/>
          <w:sz w:val="20"/>
          <w:szCs w:val="20"/>
          <w:lang w:val="es-419"/>
        </w:rPr>
        <w:t>of</w:t>
      </w:r>
      <w:proofErr w:type="spellEnd"/>
      <w:r w:rsidRPr="00745C43">
        <w:rPr>
          <w:rFonts w:ascii="Arial" w:hAnsi="Arial" w:cs="Arial"/>
          <w:color w:val="000000" w:themeColor="text1"/>
          <w:sz w:val="20"/>
          <w:szCs w:val="20"/>
          <w:lang w:val="es-419"/>
        </w:rPr>
        <w:t xml:space="preserve"> Medical </w:t>
      </w:r>
      <w:proofErr w:type="spellStart"/>
      <w:r w:rsidRPr="00745C43">
        <w:rPr>
          <w:rFonts w:ascii="Arial" w:hAnsi="Arial" w:cs="Arial"/>
          <w:color w:val="000000" w:themeColor="text1"/>
          <w:sz w:val="20"/>
          <w:szCs w:val="20"/>
          <w:lang w:val="es-419"/>
        </w:rPr>
        <w:t>Research</w:t>
      </w:r>
      <w:proofErr w:type="spellEnd"/>
      <w:r w:rsidRPr="00745C43">
        <w:rPr>
          <w:rFonts w:ascii="Arial" w:hAnsi="Arial" w:cs="Arial"/>
          <w:color w:val="000000" w:themeColor="text1"/>
          <w:sz w:val="20"/>
          <w:szCs w:val="20"/>
          <w:lang w:val="es-419"/>
        </w:rPr>
        <w:t xml:space="preserve">, 54(11), 102917. </w:t>
      </w:r>
      <w:hyperlink r:id="rId27" w:history="1">
        <w:r w:rsidRPr="008A4A01">
          <w:rPr>
            <w:rStyle w:val="Hyperlink"/>
            <w:rFonts w:ascii="Arial" w:hAnsi="Arial" w:cs="Arial"/>
            <w:sz w:val="20"/>
            <w:szCs w:val="20"/>
            <w:lang w:val="es-419"/>
          </w:rPr>
          <w:t>https://doi.org/10.1016/j.arcmed.2023.102917</w:t>
        </w:r>
      </w:hyperlink>
      <w:r>
        <w:rPr>
          <w:rFonts w:ascii="Arial" w:hAnsi="Arial" w:cs="Arial"/>
          <w:color w:val="000000" w:themeColor="text1"/>
          <w:sz w:val="20"/>
          <w:szCs w:val="20"/>
          <w:lang w:val="es-419"/>
        </w:rPr>
        <w:t xml:space="preserve"> </w:t>
      </w:r>
    </w:p>
    <w:p w14:paraId="302B7211" w14:textId="77777777" w:rsidR="006F3CB9" w:rsidRPr="00C223C3" w:rsidRDefault="006F3CB9" w:rsidP="006F3CB9">
      <w:pPr>
        <w:pStyle w:val="ListParagraph"/>
        <w:rPr>
          <w:rFonts w:ascii="Arial" w:hAnsi="Arial" w:cs="Arial"/>
          <w:color w:val="000000" w:themeColor="text1"/>
          <w:sz w:val="20"/>
          <w:szCs w:val="20"/>
          <w:lang w:val="en-US"/>
        </w:rPr>
      </w:pPr>
    </w:p>
    <w:p w14:paraId="5BCCEB8A" w14:textId="77777777" w:rsidR="006F3CB9" w:rsidRPr="00C223C3" w:rsidRDefault="006F3CB9" w:rsidP="006F3CB9">
      <w:pPr>
        <w:pStyle w:val="NormalWeb"/>
        <w:spacing w:before="0" w:beforeAutospacing="0" w:after="0" w:afterAutospacing="0"/>
        <w:rPr>
          <w:rFonts w:ascii="Arial" w:hAnsi="Arial" w:cs="Arial"/>
          <w:color w:val="000000" w:themeColor="text1"/>
          <w:sz w:val="20"/>
          <w:szCs w:val="20"/>
          <w:lang w:val="en-US"/>
        </w:rPr>
      </w:pPr>
    </w:p>
    <w:p w14:paraId="7F9D637B" w14:textId="77777777" w:rsidR="006F3CB9" w:rsidRPr="00C223C3" w:rsidRDefault="006F3CB9" w:rsidP="006F3CB9">
      <w:pPr>
        <w:pStyle w:val="NormalWeb"/>
        <w:spacing w:before="0" w:beforeAutospacing="0" w:after="0" w:afterAutospacing="0"/>
        <w:rPr>
          <w:rFonts w:ascii="Arial" w:hAnsi="Arial" w:cs="Arial"/>
          <w:color w:val="000000" w:themeColor="text1"/>
          <w:sz w:val="20"/>
          <w:szCs w:val="20"/>
          <w:lang w:val="en-US"/>
        </w:rPr>
      </w:pPr>
    </w:p>
    <w:p w14:paraId="62411FA8" w14:textId="77777777" w:rsidR="006F3CB9" w:rsidRPr="00C223C3" w:rsidRDefault="006F3CB9" w:rsidP="006F3CB9">
      <w:pPr>
        <w:pStyle w:val="NormalWeb"/>
        <w:spacing w:before="0" w:beforeAutospacing="0" w:after="0" w:afterAutospacing="0"/>
        <w:rPr>
          <w:rFonts w:ascii="Arial" w:hAnsi="Arial" w:cs="Arial"/>
          <w:color w:val="000000" w:themeColor="text1"/>
          <w:sz w:val="20"/>
          <w:szCs w:val="20"/>
        </w:rPr>
      </w:pPr>
    </w:p>
    <w:sectPr w:rsidR="006F3CB9" w:rsidRPr="00C223C3" w:rsidSect="00DD4BD0">
      <w:headerReference w:type="even" r:id="rId28"/>
      <w:headerReference w:type="default" r:id="rId29"/>
      <w:footerReference w:type="default" r:id="rId30"/>
      <w:headerReference w:type="first" r:id="rId31"/>
      <w:type w:val="continuous"/>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9D8A9" w14:textId="77777777" w:rsidR="007856D2" w:rsidRPr="00380BED" w:rsidRDefault="007856D2" w:rsidP="00C37E61">
      <w:r w:rsidRPr="00380BED">
        <w:separator/>
      </w:r>
    </w:p>
  </w:endnote>
  <w:endnote w:type="continuationSeparator" w:id="0">
    <w:p w14:paraId="68429F31" w14:textId="77777777" w:rsidR="007856D2" w:rsidRPr="00380BED" w:rsidRDefault="007856D2" w:rsidP="00C37E61">
      <w:r w:rsidRPr="00380B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18F45" w14:textId="77777777" w:rsidR="006B6957" w:rsidRDefault="006B6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3B5D" w14:textId="77777777" w:rsidR="006B6957" w:rsidRDefault="006B6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41115" w14:textId="4779F8DF" w:rsidR="00E37B05" w:rsidRPr="0096666E" w:rsidRDefault="00E37B05" w:rsidP="0096666E">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A1E5" w14:textId="77777777" w:rsidR="00E37B05" w:rsidRPr="00380BED" w:rsidRDefault="00E37B0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65B93" w14:textId="77777777" w:rsidR="007856D2" w:rsidRPr="00380BED" w:rsidRDefault="007856D2" w:rsidP="00C37E61">
      <w:r w:rsidRPr="00380BED">
        <w:separator/>
      </w:r>
    </w:p>
  </w:footnote>
  <w:footnote w:type="continuationSeparator" w:id="0">
    <w:p w14:paraId="1703C398" w14:textId="77777777" w:rsidR="007856D2" w:rsidRPr="00380BED" w:rsidRDefault="007856D2" w:rsidP="00C37E61">
      <w:r w:rsidRPr="00380B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AFC1" w14:textId="736DCECF" w:rsidR="006B6957" w:rsidRDefault="006B6957">
    <w:pPr>
      <w:pStyle w:val="Header"/>
    </w:pPr>
    <w:r>
      <w:rPr>
        <w:noProof/>
      </w:rPr>
      <w:pict w14:anchorId="27FEC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35626" o:spid="_x0000_s2050" type="#_x0000_t136" style="position:absolute;margin-left:0;margin-top:0;width:559.85pt;height:63.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37DAD" w14:textId="10615915" w:rsidR="006B6957" w:rsidRDefault="006B6957">
    <w:pPr>
      <w:pStyle w:val="Header"/>
    </w:pPr>
    <w:r>
      <w:rPr>
        <w:noProof/>
      </w:rPr>
      <w:pict w14:anchorId="58C4C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35627" o:spid="_x0000_s2051" type="#_x0000_t136" style="position:absolute;margin-left:0;margin-top:0;width:559.85pt;height:63.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A872" w14:textId="2E0EA781" w:rsidR="00E37B05" w:rsidRPr="00380BED" w:rsidRDefault="006B6957" w:rsidP="00296529">
    <w:pPr>
      <w:ind w:left="2160"/>
      <w:jc w:val="center"/>
      <w:rPr>
        <w:rFonts w:ascii="Times New Roman" w:eastAsia="Calibri" w:hAnsi="Times New Roman"/>
        <w:i/>
        <w:sz w:val="18"/>
        <w:szCs w:val="22"/>
      </w:rPr>
    </w:pPr>
    <w:r>
      <w:rPr>
        <w:noProof/>
      </w:rPr>
      <w:pict w14:anchorId="5D840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35625" o:spid="_x0000_s2049" type="#_x0000_t136" style="position:absolute;left:0;text-align:left;margin-left:0;margin-top:0;width:559.85pt;height:63.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47EBDD" w14:textId="77777777" w:rsidR="00E37B05" w:rsidRPr="00380BED" w:rsidRDefault="00E37B05" w:rsidP="00296529">
    <w:pPr>
      <w:ind w:left="4320"/>
      <w:rPr>
        <w:rFonts w:ascii="Times New Roman" w:eastAsia="Calibri" w:hAnsi="Times New Roman"/>
        <w:i/>
        <w:sz w:val="18"/>
        <w:szCs w:val="22"/>
      </w:rPr>
    </w:pPr>
    <w:r w:rsidRPr="00380BED">
      <w:rPr>
        <w:rFonts w:ascii="Times New Roman" w:eastAsia="Calibri" w:hAnsi="Times New Roman"/>
        <w:i/>
        <w:sz w:val="18"/>
        <w:szCs w:val="22"/>
      </w:rPr>
      <w:t xml:space="preserve">.     </w:t>
    </w:r>
  </w:p>
  <w:p w14:paraId="2B305DF2" w14:textId="77777777" w:rsidR="00E37B05" w:rsidRPr="00380BED" w:rsidRDefault="00E37B05" w:rsidP="00296529">
    <w:pPr>
      <w:jc w:val="center"/>
      <w:rPr>
        <w:rFonts w:ascii="Times New Roman" w:eastAsia="Calibri" w:hAnsi="Times New Roman"/>
        <w:i/>
        <w:sz w:val="18"/>
        <w:szCs w:val="22"/>
      </w:rPr>
    </w:pPr>
    <w:r w:rsidRPr="00380BED">
      <w:rPr>
        <w:rFonts w:ascii="Times New Roman" w:eastAsia="Calibri" w:hAnsi="Times New Roman"/>
        <w:i/>
        <w:sz w:val="18"/>
        <w:szCs w:val="22"/>
      </w:rPr>
      <w:t>.</w:t>
    </w:r>
  </w:p>
  <w:p w14:paraId="7990CC86" w14:textId="77777777" w:rsidR="00E37B05" w:rsidRPr="00380BED" w:rsidRDefault="00E37B05" w:rsidP="00296529">
    <w:pPr>
      <w:spacing w:after="200"/>
      <w:jc w:val="center"/>
      <w:rPr>
        <w:rFonts w:ascii="Times New Roman" w:eastAsia="Calibri" w:hAnsi="Times New Roman"/>
        <w:b/>
        <w:i/>
        <w:sz w:val="32"/>
        <w:szCs w:val="22"/>
      </w:rPr>
    </w:pPr>
    <w:r w:rsidRPr="00380BED">
      <w:rPr>
        <w:rFonts w:ascii="Times New Roman" w:eastAsia="Calibri" w:hAnsi="Times New Roman"/>
        <w:b/>
        <w:i/>
        <w:sz w:val="32"/>
        <w:szCs w:val="22"/>
      </w:rPr>
      <w:t xml:space="preserve">              . </w:t>
    </w:r>
  </w:p>
  <w:p w14:paraId="4303390D" w14:textId="77777777" w:rsidR="00E37B05" w:rsidRPr="00380BED" w:rsidRDefault="00E37B05" w:rsidP="00296529">
    <w:pPr>
      <w:jc w:val="center"/>
      <w:rPr>
        <w:rFonts w:ascii="Times New Roman" w:eastAsia="Calibri" w:hAnsi="Times New Roman"/>
        <w:i/>
        <w:sz w:val="18"/>
        <w:szCs w:val="22"/>
      </w:rPr>
    </w:pPr>
    <w:r w:rsidRPr="00380BED">
      <w:rPr>
        <w:rFonts w:ascii="Times New Roman" w:eastAsia="Calibri" w:hAnsi="Times New Roman"/>
        <w:i/>
        <w:sz w:val="18"/>
        <w:szCs w:val="22"/>
      </w:rPr>
      <w:t xml:space="preserve">                     </w:t>
    </w:r>
  </w:p>
  <w:p w14:paraId="6DB071AD" w14:textId="77777777" w:rsidR="00E37B05" w:rsidRPr="00380BED" w:rsidRDefault="00E37B05" w:rsidP="00296529">
    <w:pPr>
      <w:tabs>
        <w:tab w:val="left" w:pos="2145"/>
      </w:tabs>
      <w:rPr>
        <w:rFonts w:ascii="Times New Roman" w:eastAsia="Calibri" w:hAnsi="Times New Roman"/>
        <w:i/>
        <w:sz w:val="18"/>
        <w:szCs w:val="22"/>
      </w:rPr>
    </w:pPr>
    <w:r w:rsidRPr="00380BED">
      <w:rPr>
        <w:rFonts w:ascii="Times New Roman" w:eastAsia="Calibri" w:hAnsi="Times New Roman"/>
        <w:i/>
        <w:sz w:val="18"/>
        <w:szCs w:val="22"/>
      </w:rPr>
      <w:tab/>
      <w:t>.</w:t>
    </w:r>
  </w:p>
  <w:p w14:paraId="2505DE67" w14:textId="77777777" w:rsidR="00E37B05" w:rsidRPr="00380BED" w:rsidRDefault="00E37B05">
    <w:pPr>
      <w:pStyle w:val="Header"/>
    </w:pPr>
    <w:r w:rsidRPr="00380BED">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ACB1" w14:textId="39E969A3" w:rsidR="006B6957" w:rsidRDefault="006B6957">
    <w:pPr>
      <w:pStyle w:val="Header"/>
    </w:pPr>
    <w:r>
      <w:rPr>
        <w:noProof/>
      </w:rPr>
      <w:pict w14:anchorId="515EB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35629" o:spid="_x0000_s2053" type="#_x0000_t136" style="position:absolute;margin-left:0;margin-top:0;width:559.85pt;height:63.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7EDF" w14:textId="3DAF70B7" w:rsidR="006B6957" w:rsidRDefault="006B6957">
    <w:pPr>
      <w:pStyle w:val="Header"/>
    </w:pPr>
    <w:r>
      <w:rPr>
        <w:noProof/>
      </w:rPr>
      <w:pict w14:anchorId="3707B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35630" o:spid="_x0000_s2054" type="#_x0000_t136" style="position:absolute;margin-left:0;margin-top:0;width:559.85pt;height:63.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70D5D" w14:textId="25DB401A" w:rsidR="006B6957" w:rsidRDefault="006B6957">
    <w:pPr>
      <w:pStyle w:val="Header"/>
    </w:pPr>
    <w:r>
      <w:rPr>
        <w:noProof/>
      </w:rPr>
      <w:pict w14:anchorId="210DB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35628" o:spid="_x0000_s2052" type="#_x0000_t136" style="position:absolute;margin-left:0;margin-top:0;width:559.85pt;height:63.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BD5FED"/>
    <w:multiLevelType w:val="hybridMultilevel"/>
    <w:tmpl w:val="D50A9E5A"/>
    <w:lvl w:ilvl="0" w:tplc="27A418E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12397"/>
    <w:multiLevelType w:val="hybridMultilevel"/>
    <w:tmpl w:val="645696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331C53"/>
    <w:multiLevelType w:val="hybridMultilevel"/>
    <w:tmpl w:val="AB0C9B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9"/>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0"/>
  </w:num>
  <w:num w:numId="32">
    <w:abstractNumId w:val="1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6E9"/>
    <w:rsid w:val="00030174"/>
    <w:rsid w:val="0004579C"/>
    <w:rsid w:val="00045831"/>
    <w:rsid w:val="00046214"/>
    <w:rsid w:val="000A47FA"/>
    <w:rsid w:val="000A65D3"/>
    <w:rsid w:val="000B1E33"/>
    <w:rsid w:val="000B77FB"/>
    <w:rsid w:val="000C30B6"/>
    <w:rsid w:val="000C684E"/>
    <w:rsid w:val="000D01E4"/>
    <w:rsid w:val="000D3541"/>
    <w:rsid w:val="000D689F"/>
    <w:rsid w:val="000E42A2"/>
    <w:rsid w:val="000E568D"/>
    <w:rsid w:val="000E7B7B"/>
    <w:rsid w:val="000E7D62"/>
    <w:rsid w:val="000F5801"/>
    <w:rsid w:val="00101394"/>
    <w:rsid w:val="00103357"/>
    <w:rsid w:val="00114AC9"/>
    <w:rsid w:val="00123C9F"/>
    <w:rsid w:val="00126190"/>
    <w:rsid w:val="00130F17"/>
    <w:rsid w:val="001313CA"/>
    <w:rsid w:val="001320BF"/>
    <w:rsid w:val="00132ABE"/>
    <w:rsid w:val="00141D08"/>
    <w:rsid w:val="00142CD8"/>
    <w:rsid w:val="001431B7"/>
    <w:rsid w:val="00150941"/>
    <w:rsid w:val="0015345A"/>
    <w:rsid w:val="00156EE4"/>
    <w:rsid w:val="00163BC4"/>
    <w:rsid w:val="00163DC8"/>
    <w:rsid w:val="00166131"/>
    <w:rsid w:val="001668C9"/>
    <w:rsid w:val="00170A2A"/>
    <w:rsid w:val="0019041A"/>
    <w:rsid w:val="00191062"/>
    <w:rsid w:val="00192B72"/>
    <w:rsid w:val="001940EC"/>
    <w:rsid w:val="001A29D8"/>
    <w:rsid w:val="001A5CAA"/>
    <w:rsid w:val="001B0427"/>
    <w:rsid w:val="001B5D7F"/>
    <w:rsid w:val="001C6FB7"/>
    <w:rsid w:val="001D3A51"/>
    <w:rsid w:val="001E047F"/>
    <w:rsid w:val="001E10D2"/>
    <w:rsid w:val="001E25B4"/>
    <w:rsid w:val="001E44FE"/>
    <w:rsid w:val="001E57FC"/>
    <w:rsid w:val="00200595"/>
    <w:rsid w:val="00204835"/>
    <w:rsid w:val="0021765C"/>
    <w:rsid w:val="002201D2"/>
    <w:rsid w:val="00225D74"/>
    <w:rsid w:val="00231920"/>
    <w:rsid w:val="0023195C"/>
    <w:rsid w:val="0024282C"/>
    <w:rsid w:val="00243F77"/>
    <w:rsid w:val="002460DC"/>
    <w:rsid w:val="00250985"/>
    <w:rsid w:val="002531CE"/>
    <w:rsid w:val="002556F6"/>
    <w:rsid w:val="002750AF"/>
    <w:rsid w:val="00283105"/>
    <w:rsid w:val="00284C4C"/>
    <w:rsid w:val="00287E68"/>
    <w:rsid w:val="00293BCE"/>
    <w:rsid w:val="002951D7"/>
    <w:rsid w:val="00296529"/>
    <w:rsid w:val="002A53BE"/>
    <w:rsid w:val="002B0D7D"/>
    <w:rsid w:val="002B0EFD"/>
    <w:rsid w:val="002B27FB"/>
    <w:rsid w:val="002B685A"/>
    <w:rsid w:val="002C57D2"/>
    <w:rsid w:val="002C6717"/>
    <w:rsid w:val="002D7C75"/>
    <w:rsid w:val="002E0D56"/>
    <w:rsid w:val="002F31A9"/>
    <w:rsid w:val="002F4240"/>
    <w:rsid w:val="00315186"/>
    <w:rsid w:val="00316521"/>
    <w:rsid w:val="00322558"/>
    <w:rsid w:val="00326069"/>
    <w:rsid w:val="0033343E"/>
    <w:rsid w:val="003512C2"/>
    <w:rsid w:val="00365F3A"/>
    <w:rsid w:val="00371FB6"/>
    <w:rsid w:val="003763C1"/>
    <w:rsid w:val="00376BBE"/>
    <w:rsid w:val="00380BED"/>
    <w:rsid w:val="00382601"/>
    <w:rsid w:val="00384874"/>
    <w:rsid w:val="00385A07"/>
    <w:rsid w:val="00390CED"/>
    <w:rsid w:val="0039224F"/>
    <w:rsid w:val="003A43A4"/>
    <w:rsid w:val="003A7E18"/>
    <w:rsid w:val="003C4C86"/>
    <w:rsid w:val="003C6258"/>
    <w:rsid w:val="003E110C"/>
    <w:rsid w:val="003E2904"/>
    <w:rsid w:val="003E5EE1"/>
    <w:rsid w:val="003F079A"/>
    <w:rsid w:val="00401927"/>
    <w:rsid w:val="0041027F"/>
    <w:rsid w:val="004112D1"/>
    <w:rsid w:val="00412475"/>
    <w:rsid w:val="00423789"/>
    <w:rsid w:val="00426AC4"/>
    <w:rsid w:val="00440F43"/>
    <w:rsid w:val="00441B6F"/>
    <w:rsid w:val="00443AE2"/>
    <w:rsid w:val="00446221"/>
    <w:rsid w:val="00450E62"/>
    <w:rsid w:val="004513DF"/>
    <w:rsid w:val="00451FC0"/>
    <w:rsid w:val="004539DB"/>
    <w:rsid w:val="00455900"/>
    <w:rsid w:val="00471A80"/>
    <w:rsid w:val="00472D8F"/>
    <w:rsid w:val="0049540F"/>
    <w:rsid w:val="004A3226"/>
    <w:rsid w:val="004D305E"/>
    <w:rsid w:val="004D4277"/>
    <w:rsid w:val="004E694F"/>
    <w:rsid w:val="00502516"/>
    <w:rsid w:val="0050483D"/>
    <w:rsid w:val="00505F06"/>
    <w:rsid w:val="00506828"/>
    <w:rsid w:val="00507D86"/>
    <w:rsid w:val="0052035A"/>
    <w:rsid w:val="00522546"/>
    <w:rsid w:val="00526C8F"/>
    <w:rsid w:val="0053056E"/>
    <w:rsid w:val="005545A1"/>
    <w:rsid w:val="00554FDA"/>
    <w:rsid w:val="0056101C"/>
    <w:rsid w:val="0056231C"/>
    <w:rsid w:val="005746C3"/>
    <w:rsid w:val="005A2A6F"/>
    <w:rsid w:val="005A350C"/>
    <w:rsid w:val="005B0662"/>
    <w:rsid w:val="005C784C"/>
    <w:rsid w:val="005D17F6"/>
    <w:rsid w:val="005D5C26"/>
    <w:rsid w:val="005D6EAD"/>
    <w:rsid w:val="005E5539"/>
    <w:rsid w:val="00602BF5"/>
    <w:rsid w:val="00606F8A"/>
    <w:rsid w:val="00607DB2"/>
    <w:rsid w:val="006139A3"/>
    <w:rsid w:val="00616742"/>
    <w:rsid w:val="00617FDD"/>
    <w:rsid w:val="00633614"/>
    <w:rsid w:val="00633F68"/>
    <w:rsid w:val="00636EB2"/>
    <w:rsid w:val="006375B8"/>
    <w:rsid w:val="0064177F"/>
    <w:rsid w:val="006517DC"/>
    <w:rsid w:val="0065397A"/>
    <w:rsid w:val="0066510A"/>
    <w:rsid w:val="0067390A"/>
    <w:rsid w:val="00673F9F"/>
    <w:rsid w:val="00675742"/>
    <w:rsid w:val="006758FD"/>
    <w:rsid w:val="00686953"/>
    <w:rsid w:val="00687DEA"/>
    <w:rsid w:val="00687E67"/>
    <w:rsid w:val="006967F7"/>
    <w:rsid w:val="00697C50"/>
    <w:rsid w:val="006A250C"/>
    <w:rsid w:val="006A398E"/>
    <w:rsid w:val="006A6F1D"/>
    <w:rsid w:val="006A7133"/>
    <w:rsid w:val="006B21D3"/>
    <w:rsid w:val="006B57D0"/>
    <w:rsid w:val="006B6957"/>
    <w:rsid w:val="006D30FF"/>
    <w:rsid w:val="006D6940"/>
    <w:rsid w:val="006E64AF"/>
    <w:rsid w:val="006F11EC"/>
    <w:rsid w:val="006F3CB9"/>
    <w:rsid w:val="006F5689"/>
    <w:rsid w:val="0070082C"/>
    <w:rsid w:val="00716C0E"/>
    <w:rsid w:val="00733012"/>
    <w:rsid w:val="007369E6"/>
    <w:rsid w:val="00745C43"/>
    <w:rsid w:val="00746E59"/>
    <w:rsid w:val="00752E0F"/>
    <w:rsid w:val="00754C9A"/>
    <w:rsid w:val="0075599A"/>
    <w:rsid w:val="007565C2"/>
    <w:rsid w:val="00761D52"/>
    <w:rsid w:val="00771859"/>
    <w:rsid w:val="00773A5A"/>
    <w:rsid w:val="0077749E"/>
    <w:rsid w:val="007847B7"/>
    <w:rsid w:val="007856D2"/>
    <w:rsid w:val="00790ADA"/>
    <w:rsid w:val="00791EC7"/>
    <w:rsid w:val="007A2EEF"/>
    <w:rsid w:val="007A310D"/>
    <w:rsid w:val="007A6BFF"/>
    <w:rsid w:val="007B585E"/>
    <w:rsid w:val="007D2288"/>
    <w:rsid w:val="007D324F"/>
    <w:rsid w:val="007D42A7"/>
    <w:rsid w:val="007E088F"/>
    <w:rsid w:val="007F10C3"/>
    <w:rsid w:val="007F7B32"/>
    <w:rsid w:val="00804BC2"/>
    <w:rsid w:val="0081431A"/>
    <w:rsid w:val="00816D2B"/>
    <w:rsid w:val="00820C08"/>
    <w:rsid w:val="00821732"/>
    <w:rsid w:val="0083216F"/>
    <w:rsid w:val="00833FE7"/>
    <w:rsid w:val="0084493E"/>
    <w:rsid w:val="00852B6F"/>
    <w:rsid w:val="00860000"/>
    <w:rsid w:val="00863BD3"/>
    <w:rsid w:val="008641ED"/>
    <w:rsid w:val="00866D66"/>
    <w:rsid w:val="008671C6"/>
    <w:rsid w:val="00875803"/>
    <w:rsid w:val="008760A1"/>
    <w:rsid w:val="008866D7"/>
    <w:rsid w:val="00890749"/>
    <w:rsid w:val="008A1090"/>
    <w:rsid w:val="008B459E"/>
    <w:rsid w:val="008E13AE"/>
    <w:rsid w:val="008E1506"/>
    <w:rsid w:val="008E710C"/>
    <w:rsid w:val="008F69D6"/>
    <w:rsid w:val="00902823"/>
    <w:rsid w:val="0090328D"/>
    <w:rsid w:val="00912A98"/>
    <w:rsid w:val="009136D6"/>
    <w:rsid w:val="00915CA6"/>
    <w:rsid w:val="00920DE0"/>
    <w:rsid w:val="00927834"/>
    <w:rsid w:val="00930107"/>
    <w:rsid w:val="00930FB7"/>
    <w:rsid w:val="00937DA7"/>
    <w:rsid w:val="0094567A"/>
    <w:rsid w:val="009500A6"/>
    <w:rsid w:val="00957C18"/>
    <w:rsid w:val="00962FB8"/>
    <w:rsid w:val="009659BA"/>
    <w:rsid w:val="0096666E"/>
    <w:rsid w:val="00983040"/>
    <w:rsid w:val="009B3FB9"/>
    <w:rsid w:val="009B4EB8"/>
    <w:rsid w:val="009B77EF"/>
    <w:rsid w:val="009C2465"/>
    <w:rsid w:val="009C7B59"/>
    <w:rsid w:val="009D35A0"/>
    <w:rsid w:val="009D7EB7"/>
    <w:rsid w:val="009E048A"/>
    <w:rsid w:val="009E08E9"/>
    <w:rsid w:val="009E3DB9"/>
    <w:rsid w:val="009E6E35"/>
    <w:rsid w:val="009F0EDA"/>
    <w:rsid w:val="009F37A7"/>
    <w:rsid w:val="00A00A31"/>
    <w:rsid w:val="00A024BA"/>
    <w:rsid w:val="00A03B96"/>
    <w:rsid w:val="00A05B19"/>
    <w:rsid w:val="00A1134E"/>
    <w:rsid w:val="00A1615B"/>
    <w:rsid w:val="00A24E7E"/>
    <w:rsid w:val="00A258C3"/>
    <w:rsid w:val="00A347C0"/>
    <w:rsid w:val="00A34D11"/>
    <w:rsid w:val="00A4341F"/>
    <w:rsid w:val="00A51431"/>
    <w:rsid w:val="00A51778"/>
    <w:rsid w:val="00A539AD"/>
    <w:rsid w:val="00A94063"/>
    <w:rsid w:val="00AA6219"/>
    <w:rsid w:val="00AA74E0"/>
    <w:rsid w:val="00AB2D61"/>
    <w:rsid w:val="00AB703F"/>
    <w:rsid w:val="00AC6BB8"/>
    <w:rsid w:val="00AD6541"/>
    <w:rsid w:val="00AE008F"/>
    <w:rsid w:val="00AF7C8F"/>
    <w:rsid w:val="00B01FCD"/>
    <w:rsid w:val="00B13221"/>
    <w:rsid w:val="00B1776C"/>
    <w:rsid w:val="00B20BA5"/>
    <w:rsid w:val="00B4277A"/>
    <w:rsid w:val="00B52583"/>
    <w:rsid w:val="00B52896"/>
    <w:rsid w:val="00B61DAF"/>
    <w:rsid w:val="00B760A7"/>
    <w:rsid w:val="00B8470C"/>
    <w:rsid w:val="00B860BE"/>
    <w:rsid w:val="00B902C2"/>
    <w:rsid w:val="00B95236"/>
    <w:rsid w:val="00B96BD9"/>
    <w:rsid w:val="00BA1B01"/>
    <w:rsid w:val="00BA2641"/>
    <w:rsid w:val="00BB14AE"/>
    <w:rsid w:val="00BB37AA"/>
    <w:rsid w:val="00BC35DE"/>
    <w:rsid w:val="00BC53A0"/>
    <w:rsid w:val="00BE44E6"/>
    <w:rsid w:val="00BE62AD"/>
    <w:rsid w:val="00BF121F"/>
    <w:rsid w:val="00BF1F80"/>
    <w:rsid w:val="00C100CE"/>
    <w:rsid w:val="00C12380"/>
    <w:rsid w:val="00C166EF"/>
    <w:rsid w:val="00C17EB0"/>
    <w:rsid w:val="00C223C3"/>
    <w:rsid w:val="00C27187"/>
    <w:rsid w:val="00C27F5F"/>
    <w:rsid w:val="00C30A0F"/>
    <w:rsid w:val="00C350D3"/>
    <w:rsid w:val="00C370DE"/>
    <w:rsid w:val="00C37E61"/>
    <w:rsid w:val="00C41515"/>
    <w:rsid w:val="00C70F1B"/>
    <w:rsid w:val="00C71A47"/>
    <w:rsid w:val="00C7464C"/>
    <w:rsid w:val="00C7485A"/>
    <w:rsid w:val="00C748FD"/>
    <w:rsid w:val="00C81C54"/>
    <w:rsid w:val="00C85588"/>
    <w:rsid w:val="00C87DB4"/>
    <w:rsid w:val="00CB57ED"/>
    <w:rsid w:val="00CC7E81"/>
    <w:rsid w:val="00CD13E8"/>
    <w:rsid w:val="00CD37EE"/>
    <w:rsid w:val="00CD6755"/>
    <w:rsid w:val="00CD6856"/>
    <w:rsid w:val="00CD6B09"/>
    <w:rsid w:val="00CE0089"/>
    <w:rsid w:val="00CE23CE"/>
    <w:rsid w:val="00CE792F"/>
    <w:rsid w:val="00CE793C"/>
    <w:rsid w:val="00CF193C"/>
    <w:rsid w:val="00CF3CC2"/>
    <w:rsid w:val="00CF5474"/>
    <w:rsid w:val="00D173F1"/>
    <w:rsid w:val="00D20D86"/>
    <w:rsid w:val="00D23918"/>
    <w:rsid w:val="00D422D0"/>
    <w:rsid w:val="00D4534A"/>
    <w:rsid w:val="00D50283"/>
    <w:rsid w:val="00D6311E"/>
    <w:rsid w:val="00D71336"/>
    <w:rsid w:val="00D71C5A"/>
    <w:rsid w:val="00D74CB0"/>
    <w:rsid w:val="00D8295D"/>
    <w:rsid w:val="00D8452A"/>
    <w:rsid w:val="00D85EC4"/>
    <w:rsid w:val="00D87A54"/>
    <w:rsid w:val="00D95D14"/>
    <w:rsid w:val="00DB4F33"/>
    <w:rsid w:val="00DB6091"/>
    <w:rsid w:val="00DC230B"/>
    <w:rsid w:val="00DC2A65"/>
    <w:rsid w:val="00DD4BD0"/>
    <w:rsid w:val="00DD7646"/>
    <w:rsid w:val="00DE0416"/>
    <w:rsid w:val="00DE15F0"/>
    <w:rsid w:val="00DE5663"/>
    <w:rsid w:val="00DE78AA"/>
    <w:rsid w:val="00DF2191"/>
    <w:rsid w:val="00E005BC"/>
    <w:rsid w:val="00E00C66"/>
    <w:rsid w:val="00E053D0"/>
    <w:rsid w:val="00E15994"/>
    <w:rsid w:val="00E3114E"/>
    <w:rsid w:val="00E31A70"/>
    <w:rsid w:val="00E32301"/>
    <w:rsid w:val="00E35B02"/>
    <w:rsid w:val="00E37B05"/>
    <w:rsid w:val="00E46382"/>
    <w:rsid w:val="00E47D39"/>
    <w:rsid w:val="00E57365"/>
    <w:rsid w:val="00E66496"/>
    <w:rsid w:val="00E66B35"/>
    <w:rsid w:val="00E66E10"/>
    <w:rsid w:val="00E726F1"/>
    <w:rsid w:val="00E769F6"/>
    <w:rsid w:val="00E8335D"/>
    <w:rsid w:val="00E83B56"/>
    <w:rsid w:val="00E8407C"/>
    <w:rsid w:val="00E84F3C"/>
    <w:rsid w:val="00EA012C"/>
    <w:rsid w:val="00EC4191"/>
    <w:rsid w:val="00EC6A55"/>
    <w:rsid w:val="00ED0288"/>
    <w:rsid w:val="00ED2AE3"/>
    <w:rsid w:val="00EE52CB"/>
    <w:rsid w:val="00EF5029"/>
    <w:rsid w:val="00EF581D"/>
    <w:rsid w:val="00EF7FD8"/>
    <w:rsid w:val="00F06F59"/>
    <w:rsid w:val="00F1127C"/>
    <w:rsid w:val="00F16B95"/>
    <w:rsid w:val="00F17988"/>
    <w:rsid w:val="00F22F22"/>
    <w:rsid w:val="00F321F9"/>
    <w:rsid w:val="00F445BF"/>
    <w:rsid w:val="00F469F0"/>
    <w:rsid w:val="00F53273"/>
    <w:rsid w:val="00F61AC2"/>
    <w:rsid w:val="00F755E4"/>
    <w:rsid w:val="00F77D02"/>
    <w:rsid w:val="00F805F8"/>
    <w:rsid w:val="00F82E81"/>
    <w:rsid w:val="00F91100"/>
    <w:rsid w:val="00F93868"/>
    <w:rsid w:val="00FA5754"/>
    <w:rsid w:val="00FB2DD0"/>
    <w:rsid w:val="00FB3A86"/>
    <w:rsid w:val="00FB7C52"/>
    <w:rsid w:val="00FC0BED"/>
    <w:rsid w:val="00FC1BB4"/>
    <w:rsid w:val="00FD10E8"/>
    <w:rsid w:val="00FD36C8"/>
    <w:rsid w:val="00FD6639"/>
    <w:rsid w:val="00FE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1225C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95D1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uiPriority w:val="99"/>
    <w:semiHidden/>
    <w:unhideWhenUsed/>
    <w:rsid w:val="005A350C"/>
    <w:pPr>
      <w:suppressAutoHyphens/>
    </w:pPr>
    <w:rPr>
      <w:rFonts w:ascii="Times New Roman" w:hAnsi="Times New Roman"/>
      <w:lang w:val="pt-BR" w:eastAsia="ar-SA"/>
    </w:rPr>
  </w:style>
  <w:style w:type="character" w:customStyle="1" w:styleId="FootnoteTextChar">
    <w:name w:val="Footnote Text Char"/>
    <w:basedOn w:val="DefaultParagraphFont"/>
    <w:link w:val="FootnoteText"/>
    <w:uiPriority w:val="99"/>
    <w:semiHidden/>
    <w:rsid w:val="005A350C"/>
    <w:rPr>
      <w:lang w:val="pt-BR" w:eastAsia="ar-SA"/>
    </w:rPr>
  </w:style>
  <w:style w:type="character" w:styleId="FootnoteReference">
    <w:name w:val="footnote reference"/>
    <w:uiPriority w:val="99"/>
    <w:semiHidden/>
    <w:unhideWhenUsed/>
    <w:rsid w:val="005A350C"/>
    <w:rPr>
      <w:vertAlign w:val="superscript"/>
    </w:rPr>
  </w:style>
  <w:style w:type="paragraph" w:styleId="ListParagraph">
    <w:name w:val="List Paragraph"/>
    <w:basedOn w:val="Normal"/>
    <w:uiPriority w:val="34"/>
    <w:qFormat/>
    <w:rsid w:val="00322558"/>
    <w:pPr>
      <w:tabs>
        <w:tab w:val="left" w:pos="709"/>
      </w:tabs>
      <w:spacing w:line="360" w:lineRule="auto"/>
      <w:ind w:left="720"/>
      <w:contextualSpacing/>
      <w:jc w:val="both"/>
    </w:pPr>
    <w:rPr>
      <w:rFonts w:ascii="Times New Roman" w:eastAsiaTheme="minorHAnsi" w:hAnsi="Times New Roman" w:cstheme="minorBidi"/>
      <w:kern w:val="2"/>
      <w:sz w:val="24"/>
      <w:szCs w:val="22"/>
      <w:lang w:val="pt-BR"/>
      <w14:ligatures w14:val="standardContextual"/>
    </w:rPr>
  </w:style>
  <w:style w:type="paragraph" w:styleId="NormalWeb">
    <w:name w:val="Normal (Web)"/>
    <w:basedOn w:val="Normal"/>
    <w:uiPriority w:val="99"/>
    <w:unhideWhenUsed/>
    <w:rsid w:val="00322558"/>
    <w:pPr>
      <w:spacing w:before="100" w:beforeAutospacing="1" w:after="100" w:afterAutospacing="1"/>
    </w:pPr>
    <w:rPr>
      <w:rFonts w:ascii="Times New Roman" w:hAnsi="Times New Roman"/>
      <w:sz w:val="24"/>
      <w:szCs w:val="24"/>
      <w:lang w:val="pt-BR" w:eastAsia="pt-BR"/>
    </w:rPr>
  </w:style>
  <w:style w:type="paragraph" w:styleId="BodyText">
    <w:name w:val="Body Text"/>
    <w:basedOn w:val="Normal"/>
    <w:link w:val="BodyTextChar"/>
    <w:semiHidden/>
    <w:unhideWhenUsed/>
    <w:rsid w:val="00382601"/>
    <w:pPr>
      <w:spacing w:after="120"/>
    </w:pPr>
  </w:style>
  <w:style w:type="character" w:customStyle="1" w:styleId="BodyTextChar">
    <w:name w:val="Body Text Char"/>
    <w:basedOn w:val="DefaultParagraphFont"/>
    <w:link w:val="BodyText"/>
    <w:semiHidden/>
    <w:rsid w:val="00382601"/>
    <w:rPr>
      <w:rFonts w:ascii="Helvetica" w:hAnsi="Helvetica"/>
    </w:rPr>
  </w:style>
  <w:style w:type="paragraph" w:styleId="BodyTextFirstIndent">
    <w:name w:val="Body Text First Indent"/>
    <w:basedOn w:val="BodyText"/>
    <w:link w:val="BodyTextFirstIndentChar"/>
    <w:semiHidden/>
    <w:unhideWhenUsed/>
    <w:rsid w:val="00382601"/>
    <w:pPr>
      <w:spacing w:after="0"/>
      <w:ind w:firstLine="360"/>
    </w:pPr>
  </w:style>
  <w:style w:type="character" w:customStyle="1" w:styleId="BodyTextFirstIndentChar">
    <w:name w:val="Body Text First Indent Char"/>
    <w:basedOn w:val="BodyTextChar"/>
    <w:link w:val="BodyTextFirstIndent"/>
    <w:semiHidden/>
    <w:rsid w:val="00382601"/>
    <w:rPr>
      <w:rFonts w:ascii="Helvetica" w:hAnsi="Helvetica"/>
    </w:rPr>
  </w:style>
  <w:style w:type="character" w:customStyle="1" w:styleId="Heading2Char">
    <w:name w:val="Heading 2 Char"/>
    <w:basedOn w:val="DefaultParagraphFont"/>
    <w:link w:val="Heading2"/>
    <w:semiHidden/>
    <w:rsid w:val="00D95D1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1732959">
      <w:bodyDiv w:val="1"/>
      <w:marLeft w:val="0"/>
      <w:marRight w:val="0"/>
      <w:marTop w:val="0"/>
      <w:marBottom w:val="0"/>
      <w:divBdr>
        <w:top w:val="none" w:sz="0" w:space="0" w:color="auto"/>
        <w:left w:val="none" w:sz="0" w:space="0" w:color="auto"/>
        <w:bottom w:val="none" w:sz="0" w:space="0" w:color="auto"/>
        <w:right w:val="none" w:sz="0" w:space="0" w:color="auto"/>
      </w:divBdr>
      <w:divsChild>
        <w:div w:id="617224564">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398003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beem.2021.101521" TargetMode="External"/><Relationship Id="rId26" Type="http://schemas.openxmlformats.org/officeDocument/2006/relationships/hyperlink" Target="https://doi.org/10.1530/EJE-19-0124" TargetMode="External"/><Relationship Id="rId3" Type="http://schemas.openxmlformats.org/officeDocument/2006/relationships/styles" Target="styles.xml"/><Relationship Id="rId21" Type="http://schemas.openxmlformats.org/officeDocument/2006/relationships/hyperlink" Target="https://doi.org/10.34119/bjhrv6n4-2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1102-016-0754-x" TargetMode="External"/><Relationship Id="rId25" Type="http://schemas.openxmlformats.org/officeDocument/2006/relationships/hyperlink" Target="https://doi.org/10.1590/0103-11042019S51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109/09513590.2015.1017810" TargetMode="External"/><Relationship Id="rId20" Type="http://schemas.openxmlformats.org/officeDocument/2006/relationships/hyperlink" Target="https://ares.unasus.gov.br/acervo/handle/ARES/3355"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S2213-8587(21)00235-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isaebooks.co.za/books/guyton-and-hall-textbook-of-medical-physiology-e-book/" TargetMode="External"/><Relationship Id="rId23" Type="http://schemas.openxmlformats.org/officeDocument/2006/relationships/hyperlink" Target="https://doi.org/10.1001/jama.2023.5444"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16/j.ecl.2020.04.002"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beem.2019.101290" TargetMode="External"/><Relationship Id="rId27" Type="http://schemas.openxmlformats.org/officeDocument/2006/relationships/hyperlink" Target="https://doi.org/10.1016/j.arcmed.2023.102917"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Vanessa%20Braganholi\Downloads\An&#225;lises%2002.05.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Planilha3!$H$8</c:f>
              <c:strCache>
                <c:ptCount val="1"/>
                <c:pt idx="0">
                  <c:v>Média</c:v>
                </c:pt>
              </c:strCache>
            </c:strRef>
          </c:tx>
          <c:spPr>
            <a:solidFill>
              <a:schemeClr val="accent1"/>
            </a:solidFill>
            <a:ln>
              <a:noFill/>
            </a:ln>
            <a:effectLst/>
          </c:spPr>
          <c:invertIfNegative val="0"/>
          <c:dPt>
            <c:idx val="0"/>
            <c:invertIfNegative val="0"/>
            <c:bubble3D val="0"/>
            <c:spPr>
              <a:solidFill>
                <a:schemeClr val="bg1">
                  <a:lumMod val="50000"/>
                </a:schemeClr>
              </a:solidFill>
              <a:ln>
                <a:noFill/>
              </a:ln>
              <a:effectLst/>
            </c:spPr>
            <c:extLst>
              <c:ext xmlns:c16="http://schemas.microsoft.com/office/drawing/2014/chart" uri="{C3380CC4-5D6E-409C-BE32-E72D297353CC}">
                <c16:uniqueId val="{00000001-1273-44E9-BA1B-4B43A14D3FF3}"/>
              </c:ext>
            </c:extLst>
          </c:dPt>
          <c:dPt>
            <c:idx val="1"/>
            <c:invertIfNegative val="0"/>
            <c:bubble3D val="0"/>
            <c:spPr>
              <a:solidFill>
                <a:schemeClr val="bg1">
                  <a:lumMod val="50000"/>
                </a:schemeClr>
              </a:solidFill>
              <a:ln>
                <a:noFill/>
              </a:ln>
              <a:effectLst/>
            </c:spPr>
            <c:extLst>
              <c:ext xmlns:c16="http://schemas.microsoft.com/office/drawing/2014/chart" uri="{C3380CC4-5D6E-409C-BE32-E72D297353CC}">
                <c16:uniqueId val="{00000003-1273-44E9-BA1B-4B43A14D3FF3}"/>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Planilha3!$G$9:$G$10</c:f>
              <c:strCache>
                <c:ptCount val="2"/>
                <c:pt idx="0">
                  <c:v>Male</c:v>
                </c:pt>
                <c:pt idx="1">
                  <c:v>Female</c:v>
                </c:pt>
              </c:strCache>
            </c:strRef>
          </c:cat>
          <c:val>
            <c:numRef>
              <c:f>Planilha3!$H$9:$H$10</c:f>
              <c:numCache>
                <c:formatCode>General</c:formatCode>
                <c:ptCount val="2"/>
                <c:pt idx="0">
                  <c:v>18.5</c:v>
                </c:pt>
                <c:pt idx="1">
                  <c:v>6.3</c:v>
                </c:pt>
              </c:numCache>
            </c:numRef>
          </c:val>
          <c:extLst>
            <c:ext xmlns:c16="http://schemas.microsoft.com/office/drawing/2014/chart" uri="{C3380CC4-5D6E-409C-BE32-E72D297353CC}">
              <c16:uniqueId val="{00000004-1273-44E9-BA1B-4B43A14D3FF3}"/>
            </c:ext>
          </c:extLst>
        </c:ser>
        <c:dLbls>
          <c:showLegendKey val="0"/>
          <c:showVal val="0"/>
          <c:showCatName val="0"/>
          <c:showSerName val="0"/>
          <c:showPercent val="0"/>
          <c:showBubbleSize val="0"/>
        </c:dLbls>
        <c:gapWidth val="150"/>
        <c:axId val="453357896"/>
        <c:axId val="457478808"/>
      </c:barChart>
      <c:catAx>
        <c:axId val="45335789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57478808"/>
        <c:crosses val="autoZero"/>
        <c:auto val="1"/>
        <c:lblAlgn val="ctr"/>
        <c:lblOffset val="100"/>
        <c:noMultiLvlLbl val="0"/>
      </c:catAx>
      <c:valAx>
        <c:axId val="4574788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pt-BR"/>
                  <a:t>Average lesion size (mm)</a:t>
                </a:r>
              </a:p>
            </c:rich>
          </c:tx>
          <c:layout>
            <c:manualLayout>
              <c:xMode val="edge"/>
              <c:yMode val="edge"/>
              <c:x val="1.1111111111111112E-2"/>
              <c:y val="0.1745316960995093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53357896"/>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203D4-9885-4253-BED4-9474F55F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13</Pages>
  <Words>4956</Words>
  <Characters>28253</Characters>
  <Application>Microsoft Office Word</Application>
  <DocSecurity>0</DocSecurity>
  <Lines>235</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33143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2025-12-22T23:03:00Z</dcterms:created>
  <dcterms:modified xsi:type="dcterms:W3CDTF">2025-12-23T11:40:00Z</dcterms:modified>
</cp:coreProperties>
</file>