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26AC3" w14:textId="77777777" w:rsidR="000E1074" w:rsidRDefault="000E1074" w:rsidP="00A37C08">
      <w:pPr>
        <w:spacing w:after="0" w:line="360" w:lineRule="auto"/>
        <w:jc w:val="center"/>
        <w:outlineLvl w:val="1"/>
        <w:rPr>
          <w:rFonts w:ascii="Arial" w:eastAsia="Times New Roman" w:hAnsi="Arial" w:cs="Arial"/>
          <w:b/>
          <w:bCs/>
          <w:kern w:val="0"/>
          <w:sz w:val="24"/>
          <w:szCs w:val="24"/>
          <w:lang w:eastAsia="en-IN"/>
          <w14:ligatures w14:val="none"/>
        </w:rPr>
      </w:pPr>
      <w:r w:rsidRPr="00A37C08">
        <w:rPr>
          <w:rFonts w:ascii="Arial" w:eastAsia="Times New Roman" w:hAnsi="Arial" w:cs="Arial"/>
          <w:b/>
          <w:bCs/>
          <w:kern w:val="0"/>
          <w:sz w:val="24"/>
          <w:szCs w:val="24"/>
          <w:lang w:eastAsia="en-IN"/>
          <w14:ligatures w14:val="none"/>
        </w:rPr>
        <w:t xml:space="preserve">Can </w:t>
      </w:r>
      <w:proofErr w:type="spellStart"/>
      <w:r w:rsidRPr="00A37C08">
        <w:rPr>
          <w:rFonts w:ascii="Arial" w:eastAsia="Times New Roman" w:hAnsi="Arial" w:cs="Arial"/>
          <w:b/>
          <w:bCs/>
          <w:kern w:val="0"/>
          <w:sz w:val="24"/>
          <w:szCs w:val="24"/>
          <w:lang w:eastAsia="en-IN"/>
          <w14:ligatures w14:val="none"/>
        </w:rPr>
        <w:t>Akkermansia</w:t>
      </w:r>
      <w:proofErr w:type="spellEnd"/>
      <w:r w:rsidRPr="00A37C08">
        <w:rPr>
          <w:rFonts w:ascii="Arial" w:eastAsia="Times New Roman" w:hAnsi="Arial" w:cs="Arial"/>
          <w:b/>
          <w:bCs/>
          <w:kern w:val="0"/>
          <w:sz w:val="24"/>
          <w:szCs w:val="24"/>
          <w:lang w:eastAsia="en-IN"/>
          <w14:ligatures w14:val="none"/>
        </w:rPr>
        <w:t xml:space="preserve"> </w:t>
      </w:r>
      <w:proofErr w:type="spellStart"/>
      <w:r w:rsidRPr="00A37C08">
        <w:rPr>
          <w:rFonts w:ascii="Arial" w:eastAsia="Times New Roman" w:hAnsi="Arial" w:cs="Arial"/>
          <w:b/>
          <w:bCs/>
          <w:kern w:val="0"/>
          <w:sz w:val="24"/>
          <w:szCs w:val="24"/>
          <w:lang w:eastAsia="en-IN"/>
          <w14:ligatures w14:val="none"/>
        </w:rPr>
        <w:t>muciniphila</w:t>
      </w:r>
      <w:proofErr w:type="spellEnd"/>
      <w:r w:rsidRPr="00A37C08">
        <w:rPr>
          <w:rFonts w:ascii="Arial" w:eastAsia="Times New Roman" w:hAnsi="Arial" w:cs="Arial"/>
          <w:b/>
          <w:bCs/>
          <w:kern w:val="0"/>
          <w:sz w:val="24"/>
          <w:szCs w:val="24"/>
          <w:lang w:eastAsia="en-IN"/>
          <w14:ligatures w14:val="none"/>
        </w:rPr>
        <w:t xml:space="preserve"> Serve as a Prognostic Indicator of Type 2 Diabetes Mellitus? A Narrative Review</w:t>
      </w:r>
      <w:bookmarkStart w:id="0" w:name="_GoBack"/>
      <w:bookmarkEnd w:id="0"/>
    </w:p>
    <w:p w14:paraId="1D644F4D" w14:textId="77777777" w:rsidR="00A37C08" w:rsidRPr="00A37C08" w:rsidRDefault="00A37C08" w:rsidP="00A37C08">
      <w:pPr>
        <w:spacing w:after="0" w:line="360" w:lineRule="auto"/>
        <w:jc w:val="center"/>
        <w:outlineLvl w:val="1"/>
        <w:rPr>
          <w:rFonts w:ascii="Arial" w:eastAsia="Times New Roman" w:hAnsi="Arial" w:cs="Arial"/>
          <w:b/>
          <w:bCs/>
          <w:kern w:val="0"/>
          <w:sz w:val="24"/>
          <w:szCs w:val="24"/>
          <w:lang w:eastAsia="en-IN"/>
          <w14:ligatures w14:val="none"/>
        </w:rPr>
      </w:pPr>
    </w:p>
    <w:p w14:paraId="41B6AE74" w14:textId="77777777" w:rsidR="000E1074" w:rsidRPr="00A37C08" w:rsidRDefault="000E1074" w:rsidP="00A37C08">
      <w:pPr>
        <w:spacing w:after="0" w:line="360" w:lineRule="auto"/>
        <w:outlineLvl w:val="1"/>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Abstract</w:t>
      </w:r>
    </w:p>
    <w:p w14:paraId="184F7C79" w14:textId="77777777" w:rsidR="000E1074"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Type 2 diabetes mellitus (T2DM) is a heterogeneous metabolic disorder characterized by progressive </w:t>
      </w:r>
      <w:proofErr w:type="spellStart"/>
      <w:r w:rsidRPr="00A37C08">
        <w:rPr>
          <w:rFonts w:ascii="Arial" w:eastAsia="Times New Roman" w:hAnsi="Arial" w:cs="Arial"/>
          <w:kern w:val="0"/>
          <w:sz w:val="20"/>
          <w:szCs w:val="20"/>
          <w:lang w:eastAsia="en-IN"/>
          <w14:ligatures w14:val="none"/>
        </w:rPr>
        <w:t>dysglycemia</w:t>
      </w:r>
      <w:proofErr w:type="spellEnd"/>
      <w:r w:rsidRPr="00A37C08">
        <w:rPr>
          <w:rFonts w:ascii="Arial" w:eastAsia="Times New Roman" w:hAnsi="Arial" w:cs="Arial"/>
          <w:kern w:val="0"/>
          <w:sz w:val="20"/>
          <w:szCs w:val="20"/>
          <w:lang w:eastAsia="en-IN"/>
          <w14:ligatures w14:val="none"/>
        </w:rPr>
        <w:t xml:space="preserve">, insulin resistance, and variable trajectories of complications. In parallel with advances in host genomics and metabolomics, the gut microbiome has emerged as a candidate layer of biological information that may refine risk stratification and prognosis. Among gut taxa repeatedly linked to metabolic health,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i/>
          <w:iCs/>
          <w:kern w:val="0"/>
          <w:sz w:val="20"/>
          <w:szCs w:val="20"/>
          <w:lang w:eastAsia="en-IN"/>
          <w14:ligatures w14:val="none"/>
        </w:rPr>
        <w:t xml:space="preserve">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—a mucin-degrading bacterium residing near the intestinal mucus layer—has attracted exceptional interest because of its mechanistic plausibility, consistent inverse associations with metabolic dysfunction, and early translational evidence from human supplementation studies. This narrative review evaluates whether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can credibly serve as a prognostic indicator for T2DM onset, progression, or therapeutic response. We synthesize evidence from metagenomic case–control studies, cross-cohort meta-analyses, longitudinal datasets, and interventional trials, with special attention to confounding by antidiabetic drugs, strain-level heterogeneity within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and analytic considerations relevant to biomarker development. Across studies, lower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abundance is commonly associated with T2DM and related phenotypes, while baseline abundance may modify responses to microbiome-targeted and metabolic interventions. However, the pathway from association to validated prognostic biomarker is constrained by variability in assays, geography- and diet-linked ecology, medication confounding (notably metformin), and incomplete understanding of the clinically relevant strain/functions. We conclude that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is best viewed as a promising component of multivariable prognostic models rather than a stand-alone marker, with near-term utility most plausible for predicting metabolic response phenotypes and for refining risk scores in prediabetes and early T2DM.</w:t>
      </w:r>
    </w:p>
    <w:p w14:paraId="15E0154C" w14:textId="77777777" w:rsidR="00A37C08" w:rsidRPr="00A37C08" w:rsidRDefault="00A37C08" w:rsidP="00A37C08">
      <w:pPr>
        <w:spacing w:after="0" w:line="360" w:lineRule="auto"/>
        <w:rPr>
          <w:rFonts w:ascii="Arial" w:eastAsia="Times New Roman" w:hAnsi="Arial" w:cs="Arial"/>
          <w:kern w:val="0"/>
          <w:sz w:val="20"/>
          <w:szCs w:val="20"/>
          <w:lang w:eastAsia="en-IN"/>
          <w14:ligatures w14:val="none"/>
        </w:rPr>
      </w:pPr>
    </w:p>
    <w:p w14:paraId="532242A4" w14:textId="68E7AB12" w:rsidR="000E1074"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b/>
          <w:bCs/>
          <w:kern w:val="0"/>
          <w:sz w:val="20"/>
          <w:szCs w:val="20"/>
          <w:lang w:eastAsia="en-IN"/>
          <w14:ligatures w14:val="none"/>
        </w:rPr>
        <w:t>Keywords:</w:t>
      </w:r>
      <w:r w:rsidRPr="00A37C08">
        <w:rPr>
          <w:rFonts w:ascii="Arial" w:eastAsia="Times New Roman" w:hAnsi="Arial" w:cs="Arial"/>
          <w:kern w:val="0"/>
          <w:sz w:val="20"/>
          <w:szCs w:val="20"/>
          <w:lang w:eastAsia="en-IN"/>
          <w14:ligatures w14:val="none"/>
        </w:rPr>
        <w:t xml:space="preserve">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i/>
          <w:iCs/>
          <w:kern w:val="0"/>
          <w:sz w:val="20"/>
          <w:szCs w:val="20"/>
          <w:lang w:eastAsia="en-IN"/>
          <w14:ligatures w14:val="none"/>
        </w:rPr>
        <w:t xml:space="preserve">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type 2 diabetes mellitus; gut microbiome; prognosis; biomarker; metagenomics; metformin; </w:t>
      </w:r>
      <w:proofErr w:type="spellStart"/>
      <w:r w:rsidRPr="00A37C08">
        <w:rPr>
          <w:rFonts w:ascii="Arial" w:eastAsia="Times New Roman" w:hAnsi="Arial" w:cs="Arial"/>
          <w:kern w:val="0"/>
          <w:sz w:val="20"/>
          <w:szCs w:val="20"/>
          <w:lang w:eastAsia="en-IN"/>
          <w14:ligatures w14:val="none"/>
        </w:rPr>
        <w:t>glycemic</w:t>
      </w:r>
      <w:proofErr w:type="spellEnd"/>
      <w:r w:rsidRPr="00A37C08">
        <w:rPr>
          <w:rFonts w:ascii="Arial" w:eastAsia="Times New Roman" w:hAnsi="Arial" w:cs="Arial"/>
          <w:kern w:val="0"/>
          <w:sz w:val="20"/>
          <w:szCs w:val="20"/>
          <w:lang w:eastAsia="en-IN"/>
          <w14:ligatures w14:val="none"/>
        </w:rPr>
        <w:t xml:space="preserve"> progression; precision medicine</w:t>
      </w:r>
    </w:p>
    <w:p w14:paraId="21AFDF30" w14:textId="77777777" w:rsidR="00A37C08" w:rsidRPr="00A37C08" w:rsidRDefault="00A37C08" w:rsidP="00A37C08">
      <w:pPr>
        <w:spacing w:after="0" w:line="360" w:lineRule="auto"/>
        <w:rPr>
          <w:rFonts w:ascii="Arial" w:eastAsia="Times New Roman" w:hAnsi="Arial" w:cs="Arial"/>
          <w:kern w:val="0"/>
          <w:sz w:val="20"/>
          <w:szCs w:val="20"/>
          <w:lang w:eastAsia="en-IN"/>
          <w14:ligatures w14:val="none"/>
        </w:rPr>
      </w:pPr>
    </w:p>
    <w:p w14:paraId="646369E3" w14:textId="77777777" w:rsidR="000E1074" w:rsidRPr="00A37C08" w:rsidRDefault="000E1074" w:rsidP="00A37C08">
      <w:pPr>
        <w:spacing w:after="0" w:line="360" w:lineRule="auto"/>
        <w:outlineLvl w:val="1"/>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1. Introduction</w:t>
      </w:r>
    </w:p>
    <w:p w14:paraId="54E22146" w14:textId="77777777" w:rsidR="000E1074" w:rsidRPr="00A37C08"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Type 2 diabetes mellitus (T2DM) remains among the most prevalent chronic diseases worldwide, with rising incidence driven by aging populations, dietary transitions, sedentary lifestyles, and cardiometabolic multimorbidity. Despite seemingly uniform diagnostic criteria, T2DM is biologically and clinically heterogeneous. Individuals vary in tempo of </w:t>
      </w:r>
      <w:proofErr w:type="spellStart"/>
      <w:r w:rsidRPr="00A37C08">
        <w:rPr>
          <w:rFonts w:ascii="Arial" w:eastAsia="Times New Roman" w:hAnsi="Arial" w:cs="Arial"/>
          <w:kern w:val="0"/>
          <w:sz w:val="20"/>
          <w:szCs w:val="20"/>
          <w:lang w:eastAsia="en-IN"/>
          <w14:ligatures w14:val="none"/>
        </w:rPr>
        <w:t>glycemic</w:t>
      </w:r>
      <w:proofErr w:type="spellEnd"/>
      <w:r w:rsidRPr="00A37C08">
        <w:rPr>
          <w:rFonts w:ascii="Arial" w:eastAsia="Times New Roman" w:hAnsi="Arial" w:cs="Arial"/>
          <w:kern w:val="0"/>
          <w:sz w:val="20"/>
          <w:szCs w:val="20"/>
          <w:lang w:eastAsia="en-IN"/>
          <w14:ligatures w14:val="none"/>
        </w:rPr>
        <w:t xml:space="preserve"> deterioration, degree of insulin resistance versus β-cell dysfunction, patterns of </w:t>
      </w:r>
      <w:proofErr w:type="spellStart"/>
      <w:r w:rsidRPr="00A37C08">
        <w:rPr>
          <w:rFonts w:ascii="Arial" w:eastAsia="Times New Roman" w:hAnsi="Arial" w:cs="Arial"/>
          <w:kern w:val="0"/>
          <w:sz w:val="20"/>
          <w:szCs w:val="20"/>
          <w:lang w:eastAsia="en-IN"/>
          <w14:ligatures w14:val="none"/>
        </w:rPr>
        <w:t>dyslipidemia</w:t>
      </w:r>
      <w:proofErr w:type="spellEnd"/>
      <w:r w:rsidRPr="00A37C08">
        <w:rPr>
          <w:rFonts w:ascii="Arial" w:eastAsia="Times New Roman" w:hAnsi="Arial" w:cs="Arial"/>
          <w:kern w:val="0"/>
          <w:sz w:val="20"/>
          <w:szCs w:val="20"/>
          <w:lang w:eastAsia="en-IN"/>
          <w14:ligatures w14:val="none"/>
        </w:rPr>
        <w:t xml:space="preserve"> and inflammation, and propensity for microvascular and macrovascular complications. This heterogeneity has motivated intensive efforts to identify biomarkers that move beyond diagnosis to prognosis—markers that can anticipate incident T2DM in at-risk individuals, predict worsening glycemia among those with prediabetes or early disease, and forecast response to therapies.</w:t>
      </w:r>
    </w:p>
    <w:p w14:paraId="02236548" w14:textId="77777777" w:rsidR="000E1074" w:rsidRPr="00A37C08"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Over the last decade, the intestinal microbiome has emerged as a candidate source of prognostic information. Large-scale metagenomic studies have demonstrated consistent differences in microbial </w:t>
      </w:r>
      <w:r w:rsidRPr="00A37C08">
        <w:rPr>
          <w:rFonts w:ascii="Arial" w:eastAsia="Times New Roman" w:hAnsi="Arial" w:cs="Arial"/>
          <w:kern w:val="0"/>
          <w:sz w:val="20"/>
          <w:szCs w:val="20"/>
          <w:lang w:eastAsia="en-IN"/>
          <w14:ligatures w14:val="none"/>
        </w:rPr>
        <w:lastRenderedPageBreak/>
        <w:t>composition and functional potential between T2DM and non-diabetic controls, suggesting that microbial shifts may be linked to metabolic phenotypes (Qin et al., 2012; Karlsson et al., 2013). Yet early microbiome–T2DM findings were often difficult to reconcile across cohorts, in part because medications strongly reshape microbial communities and can masquerade as disease signals. In particular, metformin, a first-line antidiabetic agent, has potent microbiome effects and can confound observational associations unless explicitly accounted for (</w:t>
      </w:r>
      <w:proofErr w:type="spellStart"/>
      <w:r w:rsidRPr="00A37C08">
        <w:rPr>
          <w:rFonts w:ascii="Arial" w:eastAsia="Times New Roman" w:hAnsi="Arial" w:cs="Arial"/>
          <w:kern w:val="0"/>
          <w:sz w:val="20"/>
          <w:szCs w:val="20"/>
          <w:lang w:eastAsia="en-IN"/>
          <w14:ligatures w14:val="none"/>
        </w:rPr>
        <w:t>Forslund</w:t>
      </w:r>
      <w:proofErr w:type="spellEnd"/>
      <w:r w:rsidRPr="00A37C08">
        <w:rPr>
          <w:rFonts w:ascii="Arial" w:eastAsia="Times New Roman" w:hAnsi="Arial" w:cs="Arial"/>
          <w:kern w:val="0"/>
          <w:sz w:val="20"/>
          <w:szCs w:val="20"/>
          <w:lang w:eastAsia="en-IN"/>
          <w14:ligatures w14:val="none"/>
        </w:rPr>
        <w:t xml:space="preserve"> et al., 2015; Wu et al., 2017).</w:t>
      </w:r>
    </w:p>
    <w:p w14:paraId="22F12F62" w14:textId="77777777" w:rsidR="000E1074"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Among microbes repeatedly associated with metabolic status,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i/>
          <w:iCs/>
          <w:kern w:val="0"/>
          <w:sz w:val="20"/>
          <w:szCs w:val="20"/>
          <w:lang w:eastAsia="en-IN"/>
          <w14:ligatures w14:val="none"/>
        </w:rPr>
        <w:t xml:space="preserve">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has drawn sustained attention. As a mucin-degrading commensal that lives in close proximity to the epithelium,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is positioned to influence barrier function, immune tone, and metabolite </w:t>
      </w:r>
      <w:proofErr w:type="spellStart"/>
      <w:r w:rsidRPr="00A37C08">
        <w:rPr>
          <w:rFonts w:ascii="Arial" w:eastAsia="Times New Roman" w:hAnsi="Arial" w:cs="Arial"/>
          <w:kern w:val="0"/>
          <w:sz w:val="20"/>
          <w:szCs w:val="20"/>
          <w:lang w:eastAsia="en-IN"/>
          <w14:ligatures w14:val="none"/>
        </w:rPr>
        <w:t>signaling</w:t>
      </w:r>
      <w:proofErr w:type="spellEnd"/>
      <w:r w:rsidRPr="00A37C08">
        <w:rPr>
          <w:rFonts w:ascii="Arial" w:eastAsia="Times New Roman" w:hAnsi="Arial" w:cs="Arial"/>
          <w:kern w:val="0"/>
          <w:sz w:val="20"/>
          <w:szCs w:val="20"/>
          <w:lang w:eastAsia="en-IN"/>
          <w14:ligatures w14:val="none"/>
        </w:rPr>
        <w:t xml:space="preserve">. Mechanistically, preclinical studies have shown that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or its components can improve metabolic outcomes, supporting causal plausibility rather than purely correlative patterns (</w:t>
      </w:r>
      <w:proofErr w:type="spellStart"/>
      <w:r w:rsidRPr="00A37C08">
        <w:rPr>
          <w:rFonts w:ascii="Arial" w:eastAsia="Times New Roman" w:hAnsi="Arial" w:cs="Arial"/>
          <w:kern w:val="0"/>
          <w:sz w:val="20"/>
          <w:szCs w:val="20"/>
          <w:lang w:eastAsia="en-IN"/>
          <w14:ligatures w14:val="none"/>
        </w:rPr>
        <w:t>Plovier</w:t>
      </w:r>
      <w:proofErr w:type="spellEnd"/>
      <w:r w:rsidRPr="00A37C08">
        <w:rPr>
          <w:rFonts w:ascii="Arial" w:eastAsia="Times New Roman" w:hAnsi="Arial" w:cs="Arial"/>
          <w:kern w:val="0"/>
          <w:sz w:val="20"/>
          <w:szCs w:val="20"/>
          <w:lang w:eastAsia="en-IN"/>
          <w14:ligatures w14:val="none"/>
        </w:rPr>
        <w:t xml:space="preserve"> et al., 2017). The field has further advanced into early translational studies in humans, including proof-of-concept supplementation with live or pasteurized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in metabolically impaired adults (</w:t>
      </w:r>
      <w:proofErr w:type="spellStart"/>
      <w:r w:rsidRPr="00A37C08">
        <w:rPr>
          <w:rFonts w:ascii="Arial" w:eastAsia="Times New Roman" w:hAnsi="Arial" w:cs="Arial"/>
          <w:kern w:val="0"/>
          <w:sz w:val="20"/>
          <w:szCs w:val="20"/>
          <w:lang w:eastAsia="en-IN"/>
          <w14:ligatures w14:val="none"/>
        </w:rPr>
        <w:t>Depommier</w:t>
      </w:r>
      <w:proofErr w:type="spellEnd"/>
      <w:r w:rsidRPr="00A37C08">
        <w:rPr>
          <w:rFonts w:ascii="Arial" w:eastAsia="Times New Roman" w:hAnsi="Arial" w:cs="Arial"/>
          <w:kern w:val="0"/>
          <w:sz w:val="20"/>
          <w:szCs w:val="20"/>
          <w:lang w:eastAsia="en-IN"/>
          <w14:ligatures w14:val="none"/>
        </w:rPr>
        <w:t xml:space="preserve"> et al., 2019) and later clinical work examining its impact in </w:t>
      </w:r>
      <w:proofErr w:type="spellStart"/>
      <w:r w:rsidRPr="00A37C08">
        <w:rPr>
          <w:rFonts w:ascii="Arial" w:eastAsia="Times New Roman" w:hAnsi="Arial" w:cs="Arial"/>
          <w:kern w:val="0"/>
          <w:sz w:val="20"/>
          <w:szCs w:val="20"/>
          <w:lang w:eastAsia="en-IN"/>
          <w14:ligatures w14:val="none"/>
        </w:rPr>
        <w:t>dysglycemic</w:t>
      </w:r>
      <w:proofErr w:type="spellEnd"/>
      <w:r w:rsidRPr="00A37C08">
        <w:rPr>
          <w:rFonts w:ascii="Arial" w:eastAsia="Times New Roman" w:hAnsi="Arial" w:cs="Arial"/>
          <w:kern w:val="0"/>
          <w:sz w:val="20"/>
          <w:szCs w:val="20"/>
          <w:lang w:eastAsia="en-IN"/>
          <w14:ligatures w14:val="none"/>
        </w:rPr>
        <w:t xml:space="preserve"> or diabetic populations (Zhang et al., 2025). These developments make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an instructive case for assessing how a microbial taxon might progress from “associated with disease” to “clinically meaningful prognostic indicator.”</w:t>
      </w:r>
    </w:p>
    <w:p w14:paraId="4E91EB51" w14:textId="77777777" w:rsidR="00A37C08" w:rsidRPr="00A37C08" w:rsidRDefault="00A37C08" w:rsidP="00A37C08">
      <w:pPr>
        <w:spacing w:after="0" w:line="360" w:lineRule="auto"/>
        <w:rPr>
          <w:rFonts w:ascii="Arial" w:eastAsia="Times New Roman" w:hAnsi="Arial" w:cs="Arial"/>
          <w:kern w:val="0"/>
          <w:sz w:val="20"/>
          <w:szCs w:val="20"/>
          <w:lang w:eastAsia="en-IN"/>
          <w14:ligatures w14:val="none"/>
        </w:rPr>
      </w:pPr>
    </w:p>
    <w:p w14:paraId="19B38D3C" w14:textId="77777777" w:rsidR="000E1074" w:rsidRPr="00A37C08" w:rsidRDefault="000E1074" w:rsidP="00A37C08">
      <w:pPr>
        <w:spacing w:after="0" w:line="360" w:lineRule="auto"/>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1.1. Conceptualizing prognosis in T2DM and where the microbiome may fit</w:t>
      </w:r>
    </w:p>
    <w:p w14:paraId="183DFDFB" w14:textId="77777777" w:rsidR="000E1074"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A prognostic indicator is traditionally defined as a measurable factor that predicts a future clinical outcome among individuals with a given health state, independent of treatment assignment. In the context of </w:t>
      </w:r>
      <w:proofErr w:type="spellStart"/>
      <w:r w:rsidRPr="00A37C08">
        <w:rPr>
          <w:rFonts w:ascii="Arial" w:eastAsia="Times New Roman" w:hAnsi="Arial" w:cs="Arial"/>
          <w:kern w:val="0"/>
          <w:sz w:val="20"/>
          <w:szCs w:val="20"/>
          <w:lang w:eastAsia="en-IN"/>
          <w14:ligatures w14:val="none"/>
        </w:rPr>
        <w:t>dysglycemia</w:t>
      </w:r>
      <w:proofErr w:type="spellEnd"/>
      <w:r w:rsidRPr="00A37C08">
        <w:rPr>
          <w:rFonts w:ascii="Arial" w:eastAsia="Times New Roman" w:hAnsi="Arial" w:cs="Arial"/>
          <w:kern w:val="0"/>
          <w:sz w:val="20"/>
          <w:szCs w:val="20"/>
          <w:lang w:eastAsia="en-IN"/>
          <w14:ligatures w14:val="none"/>
        </w:rPr>
        <w:t xml:space="preserve">, prognosis can refer to at least three clinically important trajectories: progression from normoglycemia to prediabetes or T2DM; progression within established T2DM (e.g., rising HbA1c, escalation of medications, decline in β-cell function, or onset of complications); and response trajectories to interventions (weight loss, diet, pharmacotherapy, or microbiome-directed therapies). Microbial features might contribute to all three, but their role is likely context-dependent. For example, a </w:t>
      </w:r>
      <w:proofErr w:type="spellStart"/>
      <w:r w:rsidRPr="00A37C08">
        <w:rPr>
          <w:rFonts w:ascii="Arial" w:eastAsia="Times New Roman" w:hAnsi="Arial" w:cs="Arial"/>
          <w:kern w:val="0"/>
          <w:sz w:val="20"/>
          <w:szCs w:val="20"/>
          <w:lang w:eastAsia="en-IN"/>
          <w14:ligatures w14:val="none"/>
        </w:rPr>
        <w:t>taxon</w:t>
      </w:r>
      <w:proofErr w:type="spellEnd"/>
      <w:r w:rsidRPr="00A37C08">
        <w:rPr>
          <w:rFonts w:ascii="Arial" w:eastAsia="Times New Roman" w:hAnsi="Arial" w:cs="Arial"/>
          <w:kern w:val="0"/>
          <w:sz w:val="20"/>
          <w:szCs w:val="20"/>
          <w:lang w:eastAsia="en-IN"/>
          <w14:ligatures w14:val="none"/>
        </w:rPr>
        <w:t xml:space="preserve"> depleted in metformin-naïve T2DM might support disease-state discrimination, yet fail as a prognostic marker if it is unstable over time or dominated by medication effects.</w:t>
      </w:r>
    </w:p>
    <w:p w14:paraId="6B0E1440" w14:textId="77777777" w:rsidR="00A37C08" w:rsidRPr="00A37C08" w:rsidRDefault="00A37C08" w:rsidP="00A37C08">
      <w:pPr>
        <w:spacing w:after="0" w:line="360" w:lineRule="auto"/>
        <w:rPr>
          <w:rFonts w:ascii="Arial" w:eastAsia="Times New Roman" w:hAnsi="Arial" w:cs="Arial"/>
          <w:kern w:val="0"/>
          <w:sz w:val="20"/>
          <w:szCs w:val="20"/>
          <w:lang w:eastAsia="en-IN"/>
          <w14:ligatures w14:val="none"/>
        </w:rPr>
      </w:pPr>
    </w:p>
    <w:p w14:paraId="1D454F17" w14:textId="77777777" w:rsidR="000E1074" w:rsidRPr="00A37C08" w:rsidRDefault="000E1074" w:rsidP="00A37C08">
      <w:pPr>
        <w:spacing w:after="0" w:line="360" w:lineRule="auto"/>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 xml:space="preserve">1.2. Why </w:t>
      </w:r>
      <w:r w:rsidRPr="00A37C08">
        <w:rPr>
          <w:rFonts w:ascii="Arial" w:eastAsia="Times New Roman" w:hAnsi="Arial" w:cs="Arial"/>
          <w:b/>
          <w:bCs/>
          <w:i/>
          <w:iCs/>
          <w:kern w:val="0"/>
          <w:sz w:val="20"/>
          <w:szCs w:val="20"/>
          <w:lang w:eastAsia="en-IN"/>
          <w14:ligatures w14:val="none"/>
        </w:rPr>
        <w:t xml:space="preserve">A. </w:t>
      </w:r>
      <w:proofErr w:type="spellStart"/>
      <w:r w:rsidRPr="00A37C08">
        <w:rPr>
          <w:rFonts w:ascii="Arial" w:eastAsia="Times New Roman" w:hAnsi="Arial" w:cs="Arial"/>
          <w:b/>
          <w:bCs/>
          <w:i/>
          <w:iCs/>
          <w:kern w:val="0"/>
          <w:sz w:val="20"/>
          <w:szCs w:val="20"/>
          <w:lang w:eastAsia="en-IN"/>
          <w14:ligatures w14:val="none"/>
        </w:rPr>
        <w:t>muciniphila</w:t>
      </w:r>
      <w:proofErr w:type="spellEnd"/>
      <w:r w:rsidRPr="00A37C08">
        <w:rPr>
          <w:rFonts w:ascii="Arial" w:eastAsia="Times New Roman" w:hAnsi="Arial" w:cs="Arial"/>
          <w:b/>
          <w:bCs/>
          <w:kern w:val="0"/>
          <w:sz w:val="20"/>
          <w:szCs w:val="20"/>
          <w:lang w:eastAsia="en-IN"/>
          <w14:ligatures w14:val="none"/>
        </w:rPr>
        <w:t xml:space="preserve"> is a compelling candidate biomarker</w:t>
      </w:r>
    </w:p>
    <w:p w14:paraId="06F7F515" w14:textId="72824B0C" w:rsidR="000E1074"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stands out because it is not merely one of many compositional correlates; it has biologically plausible mechanisms linked to epithelial integrity and host–microbe </w:t>
      </w:r>
      <w:proofErr w:type="spellStart"/>
      <w:r w:rsidRPr="00A37C08">
        <w:rPr>
          <w:rFonts w:ascii="Arial" w:eastAsia="Times New Roman" w:hAnsi="Arial" w:cs="Arial"/>
          <w:kern w:val="0"/>
          <w:sz w:val="20"/>
          <w:szCs w:val="20"/>
          <w:lang w:eastAsia="en-IN"/>
          <w14:ligatures w14:val="none"/>
        </w:rPr>
        <w:t>signaling</w:t>
      </w:r>
      <w:proofErr w:type="spellEnd"/>
      <w:r w:rsidRPr="00A37C08">
        <w:rPr>
          <w:rFonts w:ascii="Arial" w:eastAsia="Times New Roman" w:hAnsi="Arial" w:cs="Arial"/>
          <w:kern w:val="0"/>
          <w:sz w:val="20"/>
          <w:szCs w:val="20"/>
          <w:lang w:eastAsia="en-IN"/>
          <w14:ligatures w14:val="none"/>
        </w:rPr>
        <w:t xml:space="preserve">. Furthermore,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abundance can change in response to common metabolic interventions, which is essential for any marker used longitudinally. However, dynamic responsiveness is a double-edged sword: it may enable monitoring of intervention effects, but also reduces specificity for disease biology if changes reflect diet or drug exposure rather than risk. In addition,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is not monolithic—genomic studies reveal substantial strain and species-level diversity within the genus, complicating translation from “abundance of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to standardized clinical interpretation (</w:t>
      </w:r>
      <w:proofErr w:type="spellStart"/>
      <w:r w:rsidR="00B65CFE" w:rsidRPr="00A37C08">
        <w:rPr>
          <w:rFonts w:ascii="Arial" w:eastAsia="Times New Roman" w:hAnsi="Arial" w:cs="Arial"/>
          <w:kern w:val="0"/>
          <w:sz w:val="20"/>
          <w:szCs w:val="20"/>
          <w:lang w:eastAsia="en-IN"/>
          <w14:ligatures w14:val="none"/>
        </w:rPr>
        <w:t>Karcher</w:t>
      </w:r>
      <w:proofErr w:type="spellEnd"/>
      <w:r w:rsidRPr="00A37C08">
        <w:rPr>
          <w:rFonts w:ascii="Arial" w:eastAsia="Times New Roman" w:hAnsi="Arial" w:cs="Arial"/>
          <w:kern w:val="0"/>
          <w:sz w:val="20"/>
          <w:szCs w:val="20"/>
          <w:lang w:eastAsia="en-IN"/>
          <w14:ligatures w14:val="none"/>
        </w:rPr>
        <w:t xml:space="preserve"> et al., 2021; </w:t>
      </w:r>
      <w:proofErr w:type="spellStart"/>
      <w:r w:rsidRPr="00A37C08">
        <w:rPr>
          <w:rFonts w:ascii="Arial" w:eastAsia="Times New Roman" w:hAnsi="Arial" w:cs="Arial"/>
          <w:kern w:val="0"/>
          <w:sz w:val="20"/>
          <w:szCs w:val="20"/>
          <w:lang w:eastAsia="en-IN"/>
          <w14:ligatures w14:val="none"/>
        </w:rPr>
        <w:t>Dubourg</w:t>
      </w:r>
      <w:proofErr w:type="spellEnd"/>
      <w:r w:rsidRPr="00A37C08">
        <w:rPr>
          <w:rFonts w:ascii="Arial" w:eastAsia="Times New Roman" w:hAnsi="Arial" w:cs="Arial"/>
          <w:kern w:val="0"/>
          <w:sz w:val="20"/>
          <w:szCs w:val="20"/>
          <w:lang w:eastAsia="en-IN"/>
          <w14:ligatures w14:val="none"/>
        </w:rPr>
        <w:t xml:space="preserve"> et al., 2021).</w:t>
      </w:r>
    </w:p>
    <w:p w14:paraId="277871F7" w14:textId="77777777" w:rsidR="00A37C08" w:rsidRPr="00A37C08" w:rsidRDefault="00A37C08" w:rsidP="00A37C08">
      <w:pPr>
        <w:spacing w:after="0" w:line="360" w:lineRule="auto"/>
        <w:rPr>
          <w:rFonts w:ascii="Arial" w:eastAsia="Times New Roman" w:hAnsi="Arial" w:cs="Arial"/>
          <w:kern w:val="0"/>
          <w:sz w:val="20"/>
          <w:szCs w:val="20"/>
          <w:lang w:eastAsia="en-IN"/>
          <w14:ligatures w14:val="none"/>
        </w:rPr>
      </w:pPr>
    </w:p>
    <w:p w14:paraId="7181E44B" w14:textId="77777777" w:rsidR="000E1074" w:rsidRPr="00A37C08" w:rsidRDefault="000E1074" w:rsidP="00A37C08">
      <w:pPr>
        <w:spacing w:after="0" w:line="360" w:lineRule="auto"/>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lastRenderedPageBreak/>
        <w:t>1.3. Scope and objective</w:t>
      </w:r>
    </w:p>
    <w:p w14:paraId="295BFC5B" w14:textId="6148ABFF" w:rsidR="000E1074"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This narrative review evaluates whether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can serve as a prognostic indicator of T2DM. The objectives are to (</w:t>
      </w:r>
      <w:proofErr w:type="spellStart"/>
      <w:r w:rsidRPr="00A37C08">
        <w:rPr>
          <w:rFonts w:ascii="Arial" w:eastAsia="Times New Roman" w:hAnsi="Arial" w:cs="Arial"/>
          <w:kern w:val="0"/>
          <w:sz w:val="20"/>
          <w:szCs w:val="20"/>
          <w:lang w:eastAsia="en-IN"/>
          <w14:ligatures w14:val="none"/>
        </w:rPr>
        <w:t>i</w:t>
      </w:r>
      <w:proofErr w:type="spellEnd"/>
      <w:r w:rsidRPr="00A37C08">
        <w:rPr>
          <w:rFonts w:ascii="Arial" w:eastAsia="Times New Roman" w:hAnsi="Arial" w:cs="Arial"/>
          <w:kern w:val="0"/>
          <w:sz w:val="20"/>
          <w:szCs w:val="20"/>
          <w:lang w:eastAsia="en-IN"/>
          <w14:ligatures w14:val="none"/>
        </w:rPr>
        <w:t xml:space="preserve">) summarize human evidence linking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to </w:t>
      </w:r>
      <w:proofErr w:type="spellStart"/>
      <w:r w:rsidRPr="00A37C08">
        <w:rPr>
          <w:rFonts w:ascii="Arial" w:eastAsia="Times New Roman" w:hAnsi="Arial" w:cs="Arial"/>
          <w:kern w:val="0"/>
          <w:sz w:val="20"/>
          <w:szCs w:val="20"/>
          <w:lang w:eastAsia="en-IN"/>
          <w14:ligatures w14:val="none"/>
        </w:rPr>
        <w:t>glycemic</w:t>
      </w:r>
      <w:proofErr w:type="spellEnd"/>
      <w:r w:rsidRPr="00A37C08">
        <w:rPr>
          <w:rFonts w:ascii="Arial" w:eastAsia="Times New Roman" w:hAnsi="Arial" w:cs="Arial"/>
          <w:kern w:val="0"/>
          <w:sz w:val="20"/>
          <w:szCs w:val="20"/>
          <w:lang w:eastAsia="en-IN"/>
          <w14:ligatures w14:val="none"/>
        </w:rPr>
        <w:t xml:space="preserve"> status, progression, and therapy response; (ii) examine mechanistic plausibility relevant to prognosis; (iii) identify confounders and methodological constraints that must be resolved for biomarker validity; and (iv) propose clinically realistic pathways for incorporating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into prognostic frameworks, emphasizing where it is most likely to add actionable value.</w:t>
      </w:r>
    </w:p>
    <w:p w14:paraId="16DB84F4" w14:textId="77777777" w:rsidR="00A37C08" w:rsidRPr="00A37C08" w:rsidRDefault="00A37C08" w:rsidP="00A37C08">
      <w:pPr>
        <w:spacing w:after="0" w:line="360" w:lineRule="auto"/>
        <w:rPr>
          <w:rFonts w:ascii="Arial" w:eastAsia="Times New Roman" w:hAnsi="Arial" w:cs="Arial"/>
          <w:kern w:val="0"/>
          <w:sz w:val="20"/>
          <w:szCs w:val="20"/>
          <w:lang w:eastAsia="en-IN"/>
          <w14:ligatures w14:val="none"/>
        </w:rPr>
      </w:pPr>
    </w:p>
    <w:p w14:paraId="48ECF172" w14:textId="77777777" w:rsidR="000E1074" w:rsidRPr="00A37C08" w:rsidRDefault="000E1074" w:rsidP="00A37C08">
      <w:pPr>
        <w:spacing w:after="0" w:line="360" w:lineRule="auto"/>
        <w:outlineLvl w:val="1"/>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2. Methods for literature selection</w:t>
      </w:r>
    </w:p>
    <w:p w14:paraId="6504DFAE" w14:textId="4D58C349" w:rsidR="000E1074"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A targeted literature search was conducted to identify human and translational studies linking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to T2DM risk, progression, or therapy response. Searches were performed in PubMed/MEDLINE, Scopus, Web of Science, and </w:t>
      </w:r>
      <w:proofErr w:type="spellStart"/>
      <w:r w:rsidRPr="00A37C08">
        <w:rPr>
          <w:rFonts w:ascii="Arial" w:eastAsia="Times New Roman" w:hAnsi="Arial" w:cs="Arial"/>
          <w:kern w:val="0"/>
          <w:sz w:val="20"/>
          <w:szCs w:val="20"/>
          <w:lang w:eastAsia="en-IN"/>
          <w14:ligatures w14:val="none"/>
        </w:rPr>
        <w:t>Embase</w:t>
      </w:r>
      <w:proofErr w:type="spellEnd"/>
      <w:r w:rsidRPr="00A37C08">
        <w:rPr>
          <w:rFonts w:ascii="Arial" w:eastAsia="Times New Roman" w:hAnsi="Arial" w:cs="Arial"/>
          <w:kern w:val="0"/>
          <w:sz w:val="20"/>
          <w:szCs w:val="20"/>
          <w:lang w:eastAsia="en-IN"/>
          <w14:ligatures w14:val="none"/>
        </w:rPr>
        <w:t>, complemented by screening of reference lists from highly cited primary studies and relevant reviews. The core Boolean search string used across databases combined organism and disease terms: (“</w:t>
      </w:r>
      <w:proofErr w:type="spellStart"/>
      <w:r w:rsidRPr="00A37C08">
        <w:rPr>
          <w:rFonts w:ascii="Arial" w:eastAsia="Times New Roman" w:hAnsi="Arial" w:cs="Arial"/>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w:t>
      </w:r>
      <w:proofErr w:type="spellStart"/>
      <w:r w:rsidRPr="00A37C08">
        <w:rPr>
          <w:rFonts w:ascii="Arial" w:eastAsia="Times New Roman" w:hAnsi="Arial" w:cs="Arial"/>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OR </w:t>
      </w:r>
      <w:proofErr w:type="spellStart"/>
      <w:r w:rsidRPr="00A37C08">
        <w:rPr>
          <w:rFonts w:ascii="Arial" w:eastAsia="Times New Roman" w:hAnsi="Arial" w:cs="Arial"/>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AND (“type 2 diabetes” OR T2DM OR insulin resistance OR prediabetes OR HbA1c) AND (biomarker OR prognosis OR prediction OR longitudinal OR trial OR metformin). The primary date range prioritized January 2014 through December 2025 to emphasize contemporary sequencing methods, medication-aware analyses, and translational studies; seminal metagenomic studies earlier than 2014 were retained when foundational to the field. Inclusion criteria emphasized peer-reviewed studies in reputable journals that reported (</w:t>
      </w:r>
      <w:proofErr w:type="spellStart"/>
      <w:r w:rsidRPr="00A37C08">
        <w:rPr>
          <w:rFonts w:ascii="Arial" w:eastAsia="Times New Roman" w:hAnsi="Arial" w:cs="Arial"/>
          <w:kern w:val="0"/>
          <w:sz w:val="20"/>
          <w:szCs w:val="20"/>
          <w:lang w:eastAsia="en-IN"/>
          <w14:ligatures w14:val="none"/>
        </w:rPr>
        <w:t>i</w:t>
      </w:r>
      <w:proofErr w:type="spellEnd"/>
      <w:r w:rsidRPr="00A37C08">
        <w:rPr>
          <w:rFonts w:ascii="Arial" w:eastAsia="Times New Roman" w:hAnsi="Arial" w:cs="Arial"/>
          <w:kern w:val="0"/>
          <w:sz w:val="20"/>
          <w:szCs w:val="20"/>
          <w:lang w:eastAsia="en-IN"/>
          <w14:ligatures w14:val="none"/>
        </w:rPr>
        <w:t xml:space="preserve">)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abundance or strain-level features with metabolic endpoints, (ii) longitudinal outcomes or predictive analyses, or (iii) interventions (dietary, pharmacologic, or direct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supplementation) with relevant metabolic measures. Exclusion criteria included non-peer-reviewed reports, studies without quantitative microbiome assessment, and studies focused solely on non-metabolic primary outcomes without interpretable </w:t>
      </w:r>
      <w:proofErr w:type="spellStart"/>
      <w:r w:rsidRPr="00A37C08">
        <w:rPr>
          <w:rFonts w:ascii="Arial" w:eastAsia="Times New Roman" w:hAnsi="Arial" w:cs="Arial"/>
          <w:kern w:val="0"/>
          <w:sz w:val="20"/>
          <w:szCs w:val="20"/>
          <w:lang w:eastAsia="en-IN"/>
          <w14:ligatures w14:val="none"/>
        </w:rPr>
        <w:t>glycemic</w:t>
      </w:r>
      <w:proofErr w:type="spellEnd"/>
      <w:r w:rsidRPr="00A37C08">
        <w:rPr>
          <w:rFonts w:ascii="Arial" w:eastAsia="Times New Roman" w:hAnsi="Arial" w:cs="Arial"/>
          <w:kern w:val="0"/>
          <w:sz w:val="20"/>
          <w:szCs w:val="20"/>
          <w:lang w:eastAsia="en-IN"/>
          <w14:ligatures w14:val="none"/>
        </w:rPr>
        <w:t xml:space="preserve"> relevance.</w:t>
      </w:r>
    </w:p>
    <w:p w14:paraId="4B3104D2" w14:textId="77777777" w:rsidR="00A37C08" w:rsidRPr="00A37C08" w:rsidRDefault="00A37C08" w:rsidP="00A37C08">
      <w:pPr>
        <w:spacing w:after="0" w:line="360" w:lineRule="auto"/>
        <w:rPr>
          <w:rFonts w:ascii="Arial" w:eastAsia="Times New Roman" w:hAnsi="Arial" w:cs="Arial"/>
          <w:kern w:val="0"/>
          <w:sz w:val="20"/>
          <w:szCs w:val="20"/>
          <w:lang w:eastAsia="en-IN"/>
          <w14:ligatures w14:val="none"/>
        </w:rPr>
      </w:pPr>
    </w:p>
    <w:p w14:paraId="070608A1" w14:textId="77777777" w:rsidR="000E1074" w:rsidRPr="00A37C08" w:rsidRDefault="000E1074" w:rsidP="00A37C08">
      <w:pPr>
        <w:spacing w:after="0" w:line="360" w:lineRule="auto"/>
        <w:outlineLvl w:val="1"/>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 xml:space="preserve">3. Biological features of </w:t>
      </w:r>
      <w:r w:rsidRPr="00A37C08">
        <w:rPr>
          <w:rFonts w:ascii="Arial" w:eastAsia="Times New Roman" w:hAnsi="Arial" w:cs="Arial"/>
          <w:b/>
          <w:bCs/>
          <w:i/>
          <w:iCs/>
          <w:kern w:val="0"/>
          <w:sz w:val="20"/>
          <w:szCs w:val="20"/>
          <w:lang w:eastAsia="en-IN"/>
          <w14:ligatures w14:val="none"/>
        </w:rPr>
        <w:t xml:space="preserve">A. </w:t>
      </w:r>
      <w:proofErr w:type="spellStart"/>
      <w:r w:rsidRPr="00A37C08">
        <w:rPr>
          <w:rFonts w:ascii="Arial" w:eastAsia="Times New Roman" w:hAnsi="Arial" w:cs="Arial"/>
          <w:b/>
          <w:bCs/>
          <w:i/>
          <w:iCs/>
          <w:kern w:val="0"/>
          <w:sz w:val="20"/>
          <w:szCs w:val="20"/>
          <w:lang w:eastAsia="en-IN"/>
          <w14:ligatures w14:val="none"/>
        </w:rPr>
        <w:t>muciniphila</w:t>
      </w:r>
      <w:proofErr w:type="spellEnd"/>
      <w:r w:rsidRPr="00A37C08">
        <w:rPr>
          <w:rFonts w:ascii="Arial" w:eastAsia="Times New Roman" w:hAnsi="Arial" w:cs="Arial"/>
          <w:b/>
          <w:bCs/>
          <w:kern w:val="0"/>
          <w:sz w:val="20"/>
          <w:szCs w:val="20"/>
          <w:lang w:eastAsia="en-IN"/>
          <w14:ligatures w14:val="none"/>
        </w:rPr>
        <w:t xml:space="preserve"> relevant to biomarker use</w:t>
      </w:r>
    </w:p>
    <w:p w14:paraId="0D85C9FB" w14:textId="77777777" w:rsidR="000E1074" w:rsidRPr="00A37C08" w:rsidRDefault="000E1074" w:rsidP="00A37C08">
      <w:pPr>
        <w:spacing w:after="0" w:line="360" w:lineRule="auto"/>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 xml:space="preserve">3.1. Ecological niche and implications for metabolic </w:t>
      </w:r>
      <w:proofErr w:type="spellStart"/>
      <w:r w:rsidRPr="00A37C08">
        <w:rPr>
          <w:rFonts w:ascii="Arial" w:eastAsia="Times New Roman" w:hAnsi="Arial" w:cs="Arial"/>
          <w:b/>
          <w:bCs/>
          <w:kern w:val="0"/>
          <w:sz w:val="20"/>
          <w:szCs w:val="20"/>
          <w:lang w:eastAsia="en-IN"/>
          <w14:ligatures w14:val="none"/>
        </w:rPr>
        <w:t>signaling</w:t>
      </w:r>
      <w:proofErr w:type="spellEnd"/>
    </w:p>
    <w:p w14:paraId="60A24C37" w14:textId="77777777" w:rsidR="000E1074"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is a mucus-associated bacterium capable of using host mucins as a nutrient source, positioning it at the interface between host barrier biology and luminal microbial ecology. This ecological location is relevant for prognosis because barrier disruption and low-grade inflammation are central to insulin resistance and metabolic deterioration. If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contributes to mucosal homeostasis, then its depletion could plausibly precede or accompany worsening metabolic inflammation, making it a candidate early marker. Yet the same niche sensitivity also implies that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abundance can respond quickly to dietary </w:t>
      </w:r>
      <w:proofErr w:type="spellStart"/>
      <w:r w:rsidRPr="00A37C08">
        <w:rPr>
          <w:rFonts w:ascii="Arial" w:eastAsia="Times New Roman" w:hAnsi="Arial" w:cs="Arial"/>
          <w:kern w:val="0"/>
          <w:sz w:val="20"/>
          <w:szCs w:val="20"/>
          <w:lang w:eastAsia="en-IN"/>
          <w14:ligatures w14:val="none"/>
        </w:rPr>
        <w:t>fiber</w:t>
      </w:r>
      <w:proofErr w:type="spellEnd"/>
      <w:r w:rsidRPr="00A37C08">
        <w:rPr>
          <w:rFonts w:ascii="Arial" w:eastAsia="Times New Roman" w:hAnsi="Arial" w:cs="Arial"/>
          <w:kern w:val="0"/>
          <w:sz w:val="20"/>
          <w:szCs w:val="20"/>
          <w:lang w:eastAsia="en-IN"/>
          <w14:ligatures w14:val="none"/>
        </w:rPr>
        <w:t xml:space="preserve"> availability, mucin dynamics, and host immune state, which may introduce variability that weakens prognostic stability across time and populations.</w:t>
      </w:r>
    </w:p>
    <w:p w14:paraId="430FB9F0" w14:textId="77777777" w:rsidR="00A37C08" w:rsidRPr="00A37C08" w:rsidRDefault="00A37C08" w:rsidP="00A37C08">
      <w:pPr>
        <w:spacing w:after="0" w:line="360" w:lineRule="auto"/>
        <w:rPr>
          <w:rFonts w:ascii="Arial" w:eastAsia="Times New Roman" w:hAnsi="Arial" w:cs="Arial"/>
          <w:kern w:val="0"/>
          <w:sz w:val="20"/>
          <w:szCs w:val="20"/>
          <w:lang w:eastAsia="en-IN"/>
          <w14:ligatures w14:val="none"/>
        </w:rPr>
      </w:pPr>
    </w:p>
    <w:p w14:paraId="4D52D65C" w14:textId="77777777" w:rsidR="000E1074" w:rsidRPr="00A37C08" w:rsidRDefault="000E1074" w:rsidP="00A37C08">
      <w:pPr>
        <w:spacing w:after="0" w:line="360" w:lineRule="auto"/>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 xml:space="preserve">3.2. Strain and species diversity within the genus </w:t>
      </w:r>
      <w:proofErr w:type="spellStart"/>
      <w:r w:rsidRPr="00A37C08">
        <w:rPr>
          <w:rFonts w:ascii="Arial" w:eastAsia="Times New Roman" w:hAnsi="Arial" w:cs="Arial"/>
          <w:b/>
          <w:bCs/>
          <w:i/>
          <w:iCs/>
          <w:kern w:val="0"/>
          <w:sz w:val="20"/>
          <w:szCs w:val="20"/>
          <w:lang w:eastAsia="en-IN"/>
          <w14:ligatures w14:val="none"/>
        </w:rPr>
        <w:t>Akkermansia</w:t>
      </w:r>
      <w:proofErr w:type="spellEnd"/>
    </w:p>
    <w:p w14:paraId="7DF67557" w14:textId="30DDE068" w:rsidR="000E1074"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A key challenge to clinical biomarker translation is that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abundance” is often treated as a single feature. Large-scale population genomics shows that human-associated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includes </w:t>
      </w:r>
      <w:r w:rsidRPr="00A37C08">
        <w:rPr>
          <w:rFonts w:ascii="Arial" w:eastAsia="Times New Roman" w:hAnsi="Arial" w:cs="Arial"/>
          <w:kern w:val="0"/>
          <w:sz w:val="20"/>
          <w:szCs w:val="20"/>
          <w:lang w:eastAsia="en-IN"/>
          <w14:ligatures w14:val="none"/>
        </w:rPr>
        <w:lastRenderedPageBreak/>
        <w:t>multiple deeply divergent lineages that can share similar 16S profiles while differing substantially at whole-genome level (</w:t>
      </w:r>
      <w:proofErr w:type="spellStart"/>
      <w:r w:rsidR="00B65CFE" w:rsidRPr="00A37C08">
        <w:rPr>
          <w:rFonts w:ascii="Arial" w:eastAsia="Times New Roman" w:hAnsi="Arial" w:cs="Arial"/>
          <w:kern w:val="0"/>
          <w:sz w:val="20"/>
          <w:szCs w:val="20"/>
          <w:lang w:eastAsia="en-IN"/>
          <w14:ligatures w14:val="none"/>
        </w:rPr>
        <w:t>Karcher</w:t>
      </w:r>
      <w:proofErr w:type="spellEnd"/>
      <w:r w:rsidRPr="00A37C08">
        <w:rPr>
          <w:rFonts w:ascii="Arial" w:eastAsia="Times New Roman" w:hAnsi="Arial" w:cs="Arial"/>
          <w:kern w:val="0"/>
          <w:sz w:val="20"/>
          <w:szCs w:val="20"/>
          <w:lang w:eastAsia="en-IN"/>
          <w14:ligatures w14:val="none"/>
        </w:rPr>
        <w:t xml:space="preserve"> et al., 2021). Related work isolating and characterizing numerous human strains demonstrates phylogroup-associated phenotypes relevant to colonization, oxygen tolerance, and host interaction (</w:t>
      </w:r>
      <w:proofErr w:type="spellStart"/>
      <w:r w:rsidRPr="00A37C08">
        <w:rPr>
          <w:rFonts w:ascii="Arial" w:eastAsia="Times New Roman" w:hAnsi="Arial" w:cs="Arial"/>
          <w:kern w:val="0"/>
          <w:sz w:val="20"/>
          <w:szCs w:val="20"/>
          <w:lang w:eastAsia="en-IN"/>
          <w14:ligatures w14:val="none"/>
        </w:rPr>
        <w:t>Dubourg</w:t>
      </w:r>
      <w:proofErr w:type="spellEnd"/>
      <w:r w:rsidRPr="00A37C08">
        <w:rPr>
          <w:rFonts w:ascii="Arial" w:eastAsia="Times New Roman" w:hAnsi="Arial" w:cs="Arial"/>
          <w:kern w:val="0"/>
          <w:sz w:val="20"/>
          <w:szCs w:val="20"/>
          <w:lang w:eastAsia="en-IN"/>
          <w14:ligatures w14:val="none"/>
        </w:rPr>
        <w:t xml:space="preserve"> et al., 2021). These findings imply that two individuals with similar measured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abundance” may </w:t>
      </w:r>
      <w:proofErr w:type="spellStart"/>
      <w:r w:rsidRPr="00A37C08">
        <w:rPr>
          <w:rFonts w:ascii="Arial" w:eastAsia="Times New Roman" w:hAnsi="Arial" w:cs="Arial"/>
          <w:kern w:val="0"/>
          <w:sz w:val="20"/>
          <w:szCs w:val="20"/>
          <w:lang w:eastAsia="en-IN"/>
          <w14:ligatures w14:val="none"/>
        </w:rPr>
        <w:t>harbor</w:t>
      </w:r>
      <w:proofErr w:type="spellEnd"/>
      <w:r w:rsidRPr="00A37C08">
        <w:rPr>
          <w:rFonts w:ascii="Arial" w:eastAsia="Times New Roman" w:hAnsi="Arial" w:cs="Arial"/>
          <w:kern w:val="0"/>
          <w:sz w:val="20"/>
          <w:szCs w:val="20"/>
          <w:lang w:eastAsia="en-IN"/>
          <w14:ligatures w14:val="none"/>
        </w:rPr>
        <w:t xml:space="preserve"> strains with different functional outputs, and therefore different relationships to metabolic prognosis. From a biomarker standpoint, strain-aware assays may be necessary to achieve reproducible prognostic performance, particularly if a subset of strains is responsible for beneficial metabolic associations.</w:t>
      </w:r>
    </w:p>
    <w:p w14:paraId="03F3D546" w14:textId="77777777" w:rsidR="00A37C08" w:rsidRPr="00A37C08" w:rsidRDefault="00A37C08" w:rsidP="00A37C08">
      <w:pPr>
        <w:spacing w:after="0" w:line="360" w:lineRule="auto"/>
        <w:rPr>
          <w:rFonts w:ascii="Arial" w:eastAsia="Times New Roman" w:hAnsi="Arial" w:cs="Arial"/>
          <w:kern w:val="0"/>
          <w:sz w:val="20"/>
          <w:szCs w:val="20"/>
          <w:lang w:eastAsia="en-IN"/>
          <w14:ligatures w14:val="none"/>
        </w:rPr>
      </w:pPr>
    </w:p>
    <w:p w14:paraId="73007659" w14:textId="77777777" w:rsidR="000E1074" w:rsidRPr="00A37C08" w:rsidRDefault="000E1074" w:rsidP="00A37C08">
      <w:pPr>
        <w:spacing w:after="0" w:line="360" w:lineRule="auto"/>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 xml:space="preserve">3.3. Molecular effectors that connect </w:t>
      </w:r>
      <w:r w:rsidRPr="00A37C08">
        <w:rPr>
          <w:rFonts w:ascii="Arial" w:eastAsia="Times New Roman" w:hAnsi="Arial" w:cs="Arial"/>
          <w:b/>
          <w:bCs/>
          <w:i/>
          <w:iCs/>
          <w:kern w:val="0"/>
          <w:sz w:val="20"/>
          <w:szCs w:val="20"/>
          <w:lang w:eastAsia="en-IN"/>
          <w14:ligatures w14:val="none"/>
        </w:rPr>
        <w:t xml:space="preserve">A. </w:t>
      </w:r>
      <w:proofErr w:type="spellStart"/>
      <w:r w:rsidRPr="00A37C08">
        <w:rPr>
          <w:rFonts w:ascii="Arial" w:eastAsia="Times New Roman" w:hAnsi="Arial" w:cs="Arial"/>
          <w:b/>
          <w:bCs/>
          <w:i/>
          <w:iCs/>
          <w:kern w:val="0"/>
          <w:sz w:val="20"/>
          <w:szCs w:val="20"/>
          <w:lang w:eastAsia="en-IN"/>
          <w14:ligatures w14:val="none"/>
        </w:rPr>
        <w:t>muciniphila</w:t>
      </w:r>
      <w:proofErr w:type="spellEnd"/>
      <w:r w:rsidRPr="00A37C08">
        <w:rPr>
          <w:rFonts w:ascii="Arial" w:eastAsia="Times New Roman" w:hAnsi="Arial" w:cs="Arial"/>
          <w:b/>
          <w:bCs/>
          <w:kern w:val="0"/>
          <w:sz w:val="20"/>
          <w:szCs w:val="20"/>
          <w:lang w:eastAsia="en-IN"/>
          <w14:ligatures w14:val="none"/>
        </w:rPr>
        <w:t xml:space="preserve"> to host metabolism</w:t>
      </w:r>
    </w:p>
    <w:p w14:paraId="0A1C3012" w14:textId="279B06DD" w:rsidR="000E1074"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Mechanistic plausibility strengthens biomarker candidacy by suggesting that a marker is not merely correlating with disease but participating in its biology. Preclinical work indicates that pasteurized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or its membrane proteins can improve metabolic parameters in obese and diabetic mice, supporting a role for specific bacterial components as effectors (</w:t>
      </w:r>
      <w:proofErr w:type="spellStart"/>
      <w:r w:rsidRPr="00A37C08">
        <w:rPr>
          <w:rFonts w:ascii="Arial" w:eastAsia="Times New Roman" w:hAnsi="Arial" w:cs="Arial"/>
          <w:kern w:val="0"/>
          <w:sz w:val="20"/>
          <w:szCs w:val="20"/>
          <w:lang w:eastAsia="en-IN"/>
          <w14:ligatures w14:val="none"/>
        </w:rPr>
        <w:t>Plovier</w:t>
      </w:r>
      <w:proofErr w:type="spellEnd"/>
      <w:r w:rsidRPr="00A37C08">
        <w:rPr>
          <w:rFonts w:ascii="Arial" w:eastAsia="Times New Roman" w:hAnsi="Arial" w:cs="Arial"/>
          <w:kern w:val="0"/>
          <w:sz w:val="20"/>
          <w:szCs w:val="20"/>
          <w:lang w:eastAsia="en-IN"/>
          <w14:ligatures w14:val="none"/>
        </w:rPr>
        <w:t xml:space="preserve"> et al., 2017). Further mechanistic studies identified secreted or surface-associated factors that influence incretin biology and thermogenesis. For example, an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–derived protein (P9) has been reported to induce GLP-1 secretion and improve metabolic phenotypes in mice, linking the bacterium to hormonal pathways relevant to </w:t>
      </w:r>
      <w:proofErr w:type="spellStart"/>
      <w:r w:rsidRPr="00A37C08">
        <w:rPr>
          <w:rFonts w:ascii="Arial" w:eastAsia="Times New Roman" w:hAnsi="Arial" w:cs="Arial"/>
          <w:kern w:val="0"/>
          <w:sz w:val="20"/>
          <w:szCs w:val="20"/>
          <w:lang w:eastAsia="en-IN"/>
          <w14:ligatures w14:val="none"/>
        </w:rPr>
        <w:t>glycemic</w:t>
      </w:r>
      <w:proofErr w:type="spellEnd"/>
      <w:r w:rsidRPr="00A37C08">
        <w:rPr>
          <w:rFonts w:ascii="Arial" w:eastAsia="Times New Roman" w:hAnsi="Arial" w:cs="Arial"/>
          <w:kern w:val="0"/>
          <w:sz w:val="20"/>
          <w:szCs w:val="20"/>
          <w:lang w:eastAsia="en-IN"/>
          <w14:ligatures w14:val="none"/>
        </w:rPr>
        <w:t xml:space="preserve"> control (</w:t>
      </w:r>
      <w:r w:rsidR="004603DC" w:rsidRPr="00A37C08">
        <w:rPr>
          <w:rFonts w:ascii="Arial" w:eastAsia="Times New Roman" w:hAnsi="Arial" w:cs="Arial"/>
          <w:kern w:val="0"/>
          <w:sz w:val="20"/>
          <w:szCs w:val="20"/>
          <w:lang w:eastAsia="en-IN"/>
          <w14:ligatures w14:val="none"/>
        </w:rPr>
        <w:t xml:space="preserve">Yoon et al., 2021; </w:t>
      </w:r>
      <w:proofErr w:type="spellStart"/>
      <w:r w:rsidR="004603DC" w:rsidRPr="00A37C08">
        <w:rPr>
          <w:rFonts w:ascii="Arial" w:eastAsia="Times New Roman" w:hAnsi="Arial" w:cs="Arial"/>
          <w:kern w:val="0"/>
          <w:sz w:val="20"/>
          <w:szCs w:val="20"/>
          <w:lang w:eastAsia="en-IN"/>
          <w14:ligatures w14:val="none"/>
        </w:rPr>
        <w:t>Cani</w:t>
      </w:r>
      <w:proofErr w:type="spellEnd"/>
      <w:r w:rsidR="004603DC" w:rsidRPr="00A37C08">
        <w:rPr>
          <w:rFonts w:ascii="Arial" w:eastAsia="Times New Roman" w:hAnsi="Arial" w:cs="Arial"/>
          <w:kern w:val="0"/>
          <w:sz w:val="20"/>
          <w:szCs w:val="20"/>
          <w:lang w:eastAsia="en-IN"/>
          <w14:ligatures w14:val="none"/>
        </w:rPr>
        <w:t xml:space="preserve"> &amp; Knauf, 2021</w:t>
      </w:r>
      <w:r w:rsidRPr="00A37C08">
        <w:rPr>
          <w:rFonts w:ascii="Arial" w:eastAsia="Times New Roman" w:hAnsi="Arial" w:cs="Arial"/>
          <w:kern w:val="0"/>
          <w:sz w:val="20"/>
          <w:szCs w:val="20"/>
          <w:lang w:eastAsia="en-IN"/>
          <w14:ligatures w14:val="none"/>
        </w:rPr>
        <w:t xml:space="preserve">). While such mechanistic studies do not prove human prognostic utility, they increase the plausibility that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depletion could be upstream of metabolic decline, not only a </w:t>
      </w:r>
      <w:proofErr w:type="spellStart"/>
      <w:r w:rsidRPr="00A37C08">
        <w:rPr>
          <w:rFonts w:ascii="Arial" w:eastAsia="Times New Roman" w:hAnsi="Arial" w:cs="Arial"/>
          <w:kern w:val="0"/>
          <w:sz w:val="20"/>
          <w:szCs w:val="20"/>
          <w:lang w:eastAsia="en-IN"/>
          <w14:ligatures w14:val="none"/>
        </w:rPr>
        <w:t>byproduct</w:t>
      </w:r>
      <w:proofErr w:type="spellEnd"/>
      <w:r w:rsidRPr="00A37C08">
        <w:rPr>
          <w:rFonts w:ascii="Arial" w:eastAsia="Times New Roman" w:hAnsi="Arial" w:cs="Arial"/>
          <w:kern w:val="0"/>
          <w:sz w:val="20"/>
          <w:szCs w:val="20"/>
          <w:lang w:eastAsia="en-IN"/>
          <w14:ligatures w14:val="none"/>
        </w:rPr>
        <w:t xml:space="preserve"> of it.</w:t>
      </w:r>
    </w:p>
    <w:p w14:paraId="6A9AE38A" w14:textId="77777777" w:rsidR="00A37C08" w:rsidRPr="00A37C08" w:rsidRDefault="00A37C08" w:rsidP="00A37C08">
      <w:pPr>
        <w:spacing w:after="0" w:line="360" w:lineRule="auto"/>
        <w:rPr>
          <w:rFonts w:ascii="Arial" w:eastAsia="Times New Roman" w:hAnsi="Arial" w:cs="Arial"/>
          <w:kern w:val="0"/>
          <w:sz w:val="20"/>
          <w:szCs w:val="20"/>
          <w:lang w:eastAsia="en-IN"/>
          <w14:ligatures w14:val="none"/>
        </w:rPr>
      </w:pPr>
    </w:p>
    <w:p w14:paraId="766CD603" w14:textId="77777777" w:rsidR="000E1074" w:rsidRDefault="000E1074" w:rsidP="00A37C08">
      <w:pPr>
        <w:spacing w:after="0" w:line="360" w:lineRule="auto"/>
        <w:outlineLvl w:val="1"/>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 xml:space="preserve">4. Evidence linking </w:t>
      </w:r>
      <w:r w:rsidRPr="00A37C08">
        <w:rPr>
          <w:rFonts w:ascii="Arial" w:eastAsia="Times New Roman" w:hAnsi="Arial" w:cs="Arial"/>
          <w:b/>
          <w:bCs/>
          <w:i/>
          <w:iCs/>
          <w:kern w:val="0"/>
          <w:sz w:val="20"/>
          <w:szCs w:val="20"/>
          <w:lang w:eastAsia="en-IN"/>
          <w14:ligatures w14:val="none"/>
        </w:rPr>
        <w:t xml:space="preserve">A. </w:t>
      </w:r>
      <w:proofErr w:type="spellStart"/>
      <w:r w:rsidRPr="00A37C08">
        <w:rPr>
          <w:rFonts w:ascii="Arial" w:eastAsia="Times New Roman" w:hAnsi="Arial" w:cs="Arial"/>
          <w:b/>
          <w:bCs/>
          <w:i/>
          <w:iCs/>
          <w:kern w:val="0"/>
          <w:sz w:val="20"/>
          <w:szCs w:val="20"/>
          <w:lang w:eastAsia="en-IN"/>
          <w14:ligatures w14:val="none"/>
        </w:rPr>
        <w:t>muciniphila</w:t>
      </w:r>
      <w:proofErr w:type="spellEnd"/>
      <w:r w:rsidRPr="00A37C08">
        <w:rPr>
          <w:rFonts w:ascii="Arial" w:eastAsia="Times New Roman" w:hAnsi="Arial" w:cs="Arial"/>
          <w:b/>
          <w:bCs/>
          <w:kern w:val="0"/>
          <w:sz w:val="20"/>
          <w:szCs w:val="20"/>
          <w:lang w:eastAsia="en-IN"/>
          <w14:ligatures w14:val="none"/>
        </w:rPr>
        <w:t xml:space="preserve"> to T2DM onset, progression, and response</w:t>
      </w:r>
    </w:p>
    <w:p w14:paraId="60B36208" w14:textId="77777777" w:rsidR="00A37C08" w:rsidRPr="00A37C08" w:rsidRDefault="00A37C08" w:rsidP="00A37C08">
      <w:pPr>
        <w:spacing w:after="0" w:line="360" w:lineRule="auto"/>
        <w:outlineLvl w:val="1"/>
        <w:rPr>
          <w:rFonts w:ascii="Arial" w:eastAsia="Times New Roman" w:hAnsi="Arial" w:cs="Arial"/>
          <w:b/>
          <w:bCs/>
          <w:kern w:val="0"/>
          <w:sz w:val="20"/>
          <w:szCs w:val="20"/>
          <w:lang w:eastAsia="en-IN"/>
          <w14:ligatures w14:val="none"/>
        </w:rPr>
      </w:pPr>
    </w:p>
    <w:p w14:paraId="485B2920" w14:textId="77777777" w:rsidR="000E1074" w:rsidRPr="00A37C08" w:rsidRDefault="000E1074" w:rsidP="00A37C08">
      <w:pPr>
        <w:spacing w:after="0" w:line="360" w:lineRule="auto"/>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4.1. Cross-sectional associations: consistency, caveats, and what they do (and do not) prove</w:t>
      </w:r>
    </w:p>
    <w:p w14:paraId="6C458A29" w14:textId="77777777" w:rsidR="000E1074" w:rsidRPr="00A37C08"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Early metagenome-wide association studies established that T2DM is accompanied by broad shifts in microbial community structure and functional capacity, providing the foundation for exploring specific taxa as markers (Qin et al., 2012; Karlsson et al., 2013). Across many subsequent cohorts,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has often appeared as relatively depleted in metabolic disease states and enriched in healthier phenotypes, although the magnitude and consistency vary by cohort characteristics and analytic adjustments.</w:t>
      </w:r>
    </w:p>
    <w:p w14:paraId="42D2496B" w14:textId="77777777" w:rsidR="000E1074" w:rsidRPr="00A37C08"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Cross-sectional association, however, is not prognosis. A taxon can be depleted in T2DM and yet be useless for predicting future deterioration, especially if depletion reflects downstream effects of </w:t>
      </w:r>
      <w:proofErr w:type="spellStart"/>
      <w:r w:rsidRPr="00A37C08">
        <w:rPr>
          <w:rFonts w:ascii="Arial" w:eastAsia="Times New Roman" w:hAnsi="Arial" w:cs="Arial"/>
          <w:kern w:val="0"/>
          <w:sz w:val="20"/>
          <w:szCs w:val="20"/>
          <w:lang w:eastAsia="en-IN"/>
          <w14:ligatures w14:val="none"/>
        </w:rPr>
        <w:t>hyperglycemia</w:t>
      </w:r>
      <w:proofErr w:type="spellEnd"/>
      <w:r w:rsidRPr="00A37C08">
        <w:rPr>
          <w:rFonts w:ascii="Arial" w:eastAsia="Times New Roman" w:hAnsi="Arial" w:cs="Arial"/>
          <w:kern w:val="0"/>
          <w:sz w:val="20"/>
          <w:szCs w:val="20"/>
          <w:lang w:eastAsia="en-IN"/>
          <w14:ligatures w14:val="none"/>
        </w:rPr>
        <w:t>, diet changes after diagnosis, or drug exposures. Moreover, the microbiome is highly sensitive to geography and diet; thus, the same abundance threshold may not translate across populations. These considerations motivate a focus on (</w:t>
      </w:r>
      <w:proofErr w:type="spellStart"/>
      <w:r w:rsidRPr="00A37C08">
        <w:rPr>
          <w:rFonts w:ascii="Arial" w:eastAsia="Times New Roman" w:hAnsi="Arial" w:cs="Arial"/>
          <w:kern w:val="0"/>
          <w:sz w:val="20"/>
          <w:szCs w:val="20"/>
          <w:lang w:eastAsia="en-IN"/>
          <w14:ligatures w14:val="none"/>
        </w:rPr>
        <w:t>i</w:t>
      </w:r>
      <w:proofErr w:type="spellEnd"/>
      <w:r w:rsidRPr="00A37C08">
        <w:rPr>
          <w:rFonts w:ascii="Arial" w:eastAsia="Times New Roman" w:hAnsi="Arial" w:cs="Arial"/>
          <w:kern w:val="0"/>
          <w:sz w:val="20"/>
          <w:szCs w:val="20"/>
          <w:lang w:eastAsia="en-IN"/>
          <w14:ligatures w14:val="none"/>
        </w:rPr>
        <w:t>) medication-naïve cohorts, (ii) longitudinal studies, and (iii) cross-cohort analyses that explicitly model heterogeneity.</w:t>
      </w:r>
    </w:p>
    <w:p w14:paraId="185777E6" w14:textId="77777777" w:rsidR="000E1074"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A major advance in the field has been movement toward large cross-cohort meta-analyses and strain-aware approaches. A large cross-cohort analysis of over 8,000 metagenomes emphasized that strain-level signals can clarify inconsistent species-level associations across cohorts and better connect mechanisms to associations (Mei et al., 2024). Such work is relevant to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because it </w:t>
      </w:r>
      <w:r w:rsidRPr="00A37C08">
        <w:rPr>
          <w:rFonts w:ascii="Arial" w:eastAsia="Times New Roman" w:hAnsi="Arial" w:cs="Arial"/>
          <w:kern w:val="0"/>
          <w:sz w:val="20"/>
          <w:szCs w:val="20"/>
          <w:lang w:eastAsia="en-IN"/>
          <w14:ligatures w14:val="none"/>
        </w:rPr>
        <w:lastRenderedPageBreak/>
        <w:t>highlights a plausible path from “genus-level marker” to “strain-level prognostic feature,” which may be necessary for robust prediction across settings.</w:t>
      </w:r>
    </w:p>
    <w:p w14:paraId="03A48C5E" w14:textId="77777777" w:rsidR="00A37C08" w:rsidRPr="00A37C08" w:rsidRDefault="00A37C08" w:rsidP="00A37C08">
      <w:pPr>
        <w:spacing w:after="0" w:line="360" w:lineRule="auto"/>
        <w:rPr>
          <w:rFonts w:ascii="Arial" w:eastAsia="Times New Roman" w:hAnsi="Arial" w:cs="Arial"/>
          <w:kern w:val="0"/>
          <w:sz w:val="20"/>
          <w:szCs w:val="20"/>
          <w:lang w:eastAsia="en-IN"/>
          <w14:ligatures w14:val="none"/>
        </w:rPr>
      </w:pPr>
    </w:p>
    <w:p w14:paraId="6E9F66DA" w14:textId="77777777" w:rsidR="000E1074" w:rsidRPr="00A37C08" w:rsidRDefault="000E1074" w:rsidP="00A37C08">
      <w:pPr>
        <w:spacing w:after="0" w:line="360" w:lineRule="auto"/>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4.2. Longitudinal and predictive evidence: toward prognostic interpretation</w:t>
      </w:r>
    </w:p>
    <w:p w14:paraId="7439B127" w14:textId="77777777" w:rsidR="000E1074" w:rsidRPr="00A37C08"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Longitudinal evidence is the most direct test of prognostic value. In microbiome research, longitudinal studies are often limited by sample size, follow-up duration, and changing exposures (especially medications). Nonetheless, several lines of evidence support the feasibility of microbiome-based prediction of </w:t>
      </w:r>
      <w:proofErr w:type="spellStart"/>
      <w:r w:rsidRPr="00A37C08">
        <w:rPr>
          <w:rFonts w:ascii="Arial" w:eastAsia="Times New Roman" w:hAnsi="Arial" w:cs="Arial"/>
          <w:kern w:val="0"/>
          <w:sz w:val="20"/>
          <w:szCs w:val="20"/>
          <w:lang w:eastAsia="en-IN"/>
          <w14:ligatures w14:val="none"/>
        </w:rPr>
        <w:t>dysglycemia</w:t>
      </w:r>
      <w:proofErr w:type="spellEnd"/>
      <w:r w:rsidRPr="00A37C08">
        <w:rPr>
          <w:rFonts w:ascii="Arial" w:eastAsia="Times New Roman" w:hAnsi="Arial" w:cs="Arial"/>
          <w:kern w:val="0"/>
          <w:sz w:val="20"/>
          <w:szCs w:val="20"/>
          <w:lang w:eastAsia="en-IN"/>
          <w14:ligatures w14:val="none"/>
        </w:rPr>
        <w:t xml:space="preserve"> and future T2DM risk, which provides a context for evaluating whether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can contribute meaningfully to prediction models.</w:t>
      </w:r>
    </w:p>
    <w:p w14:paraId="644E1E07" w14:textId="77777777" w:rsidR="000E1074" w:rsidRPr="00A37C08"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First, studies aiming to detect subclinical microbial signatures of metabolic disease emphasize that microbiome shifts can precede overt disease and may function as early biomarkers (</w:t>
      </w:r>
      <w:proofErr w:type="spellStart"/>
      <w:r w:rsidRPr="00A37C08">
        <w:rPr>
          <w:rFonts w:ascii="Arial" w:eastAsia="Times New Roman" w:hAnsi="Arial" w:cs="Arial"/>
          <w:kern w:val="0"/>
          <w:sz w:val="20"/>
          <w:szCs w:val="20"/>
          <w:lang w:eastAsia="en-IN"/>
          <w14:ligatures w14:val="none"/>
        </w:rPr>
        <w:t>Yassour</w:t>
      </w:r>
      <w:proofErr w:type="spellEnd"/>
      <w:r w:rsidRPr="00A37C08">
        <w:rPr>
          <w:rFonts w:ascii="Arial" w:eastAsia="Times New Roman" w:hAnsi="Arial" w:cs="Arial"/>
          <w:kern w:val="0"/>
          <w:sz w:val="20"/>
          <w:szCs w:val="20"/>
          <w:lang w:eastAsia="en-IN"/>
          <w14:ligatures w14:val="none"/>
        </w:rPr>
        <w:t xml:space="preserve"> et al., 2016). While such work frequently relies on multi-taxon patterns rather than a single organism, it is conceptually important: prognosis may emerge from composite microbial profiles in which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is one component.</w:t>
      </w:r>
    </w:p>
    <w:p w14:paraId="23E2CBEF" w14:textId="77777777" w:rsidR="000E1074" w:rsidRPr="00A37C08"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Second, cohort studies integrating temporal dynamics show that gut microbial rhythmicity and its disruption can predict later T2DM, supporting the broader claim that microbiome features can capture risk-relevant physiology over time (</w:t>
      </w:r>
      <w:proofErr w:type="spellStart"/>
      <w:r w:rsidRPr="00A37C08">
        <w:rPr>
          <w:rFonts w:ascii="Arial" w:eastAsia="Times New Roman" w:hAnsi="Arial" w:cs="Arial"/>
          <w:kern w:val="0"/>
          <w:sz w:val="20"/>
          <w:szCs w:val="20"/>
          <w:lang w:eastAsia="en-IN"/>
          <w14:ligatures w14:val="none"/>
        </w:rPr>
        <w:t>Reitmeier</w:t>
      </w:r>
      <w:proofErr w:type="spellEnd"/>
      <w:r w:rsidRPr="00A37C08">
        <w:rPr>
          <w:rFonts w:ascii="Arial" w:eastAsia="Times New Roman" w:hAnsi="Arial" w:cs="Arial"/>
          <w:kern w:val="0"/>
          <w:sz w:val="20"/>
          <w:szCs w:val="20"/>
          <w:lang w:eastAsia="en-IN"/>
          <w14:ligatures w14:val="none"/>
        </w:rPr>
        <w:t xml:space="preserve"> et al., 2020). Such studies do not automatically validate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as the key driver, but they reinforce that microbiome-based prediction is plausible and that taxa-level or function-level features may be prognostically informative when properly standardized.</w:t>
      </w:r>
    </w:p>
    <w:p w14:paraId="4EB65E0C" w14:textId="77777777" w:rsidR="000E1074"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Third, large-scale meta-analyses that evaluate prediabetes and T2DM across cohorts help distinguish robust signals from site-specific </w:t>
      </w:r>
      <w:proofErr w:type="spellStart"/>
      <w:r w:rsidRPr="00A37C08">
        <w:rPr>
          <w:rFonts w:ascii="Arial" w:eastAsia="Times New Roman" w:hAnsi="Arial" w:cs="Arial"/>
          <w:kern w:val="0"/>
          <w:sz w:val="20"/>
          <w:szCs w:val="20"/>
          <w:lang w:eastAsia="en-IN"/>
          <w14:ligatures w14:val="none"/>
        </w:rPr>
        <w:t>artifacts</w:t>
      </w:r>
      <w:proofErr w:type="spellEnd"/>
      <w:r w:rsidRPr="00A37C08">
        <w:rPr>
          <w:rFonts w:ascii="Arial" w:eastAsia="Times New Roman" w:hAnsi="Arial" w:cs="Arial"/>
          <w:kern w:val="0"/>
          <w:sz w:val="20"/>
          <w:szCs w:val="20"/>
          <w:lang w:eastAsia="en-IN"/>
          <w14:ligatures w14:val="none"/>
        </w:rPr>
        <w:t xml:space="preserve">. The 2024 cross-cohort metagenomic study explicitly addressed the limited mechanistic interpretability of species-level associations by moving toward strain specificity (Mei et al., 2024). For prognostic translation, </w:t>
      </w:r>
      <w:proofErr w:type="gramStart"/>
      <w:r w:rsidRPr="00A37C08">
        <w:rPr>
          <w:rFonts w:ascii="Arial" w:eastAsia="Times New Roman" w:hAnsi="Arial" w:cs="Arial"/>
          <w:kern w:val="0"/>
          <w:sz w:val="20"/>
          <w:szCs w:val="20"/>
          <w:lang w:eastAsia="en-IN"/>
          <w14:ligatures w14:val="none"/>
        </w:rPr>
        <w:t>this matters</w:t>
      </w:r>
      <w:proofErr w:type="gramEnd"/>
      <w:r w:rsidRPr="00A37C08">
        <w:rPr>
          <w:rFonts w:ascii="Arial" w:eastAsia="Times New Roman" w:hAnsi="Arial" w:cs="Arial"/>
          <w:kern w:val="0"/>
          <w:sz w:val="20"/>
          <w:szCs w:val="20"/>
          <w:lang w:eastAsia="en-IN"/>
          <w14:ligatures w14:val="none"/>
        </w:rPr>
        <w:t xml:space="preserve"> because a stable prognostic indicator must survive heterogeneity in diet, sampling, sequencing, and analysis pipelines. If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is to serve as a prognostic marker, it likely needs similar cross-cohort validation and may require strain- or function-based refinements.</w:t>
      </w:r>
    </w:p>
    <w:p w14:paraId="389184D1" w14:textId="77777777" w:rsidR="00A37C08" w:rsidRPr="00A37C08" w:rsidRDefault="00A37C08" w:rsidP="00A37C08">
      <w:pPr>
        <w:spacing w:after="0" w:line="360" w:lineRule="auto"/>
        <w:rPr>
          <w:rFonts w:ascii="Arial" w:eastAsia="Times New Roman" w:hAnsi="Arial" w:cs="Arial"/>
          <w:kern w:val="0"/>
          <w:sz w:val="20"/>
          <w:szCs w:val="20"/>
          <w:lang w:eastAsia="en-IN"/>
          <w14:ligatures w14:val="none"/>
        </w:rPr>
      </w:pPr>
    </w:p>
    <w:p w14:paraId="4542E47A" w14:textId="77777777" w:rsidR="000E1074" w:rsidRPr="00A37C08" w:rsidRDefault="000E1074" w:rsidP="00A37C08">
      <w:pPr>
        <w:spacing w:after="0" w:line="360" w:lineRule="auto"/>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4.3. Medication and intervention confounding: metformin as both a threat and an opportunity</w:t>
      </w:r>
    </w:p>
    <w:p w14:paraId="3243E84C" w14:textId="6D63CBE4" w:rsidR="000E1074" w:rsidRPr="00A37C08"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No candidate microbial biomarker for T2DM can be evaluated without addressing metformin, because it is both common and microbiome-active. Early cross-study inconsistencies in T2DM microbiome signals were substantially explained by metformin confounding; when metformin-naïve patients were separated from metformin-treated patients, disease signatures became more coherent (</w:t>
      </w:r>
      <w:proofErr w:type="spellStart"/>
      <w:r w:rsidRPr="00A37C08">
        <w:rPr>
          <w:rFonts w:ascii="Arial" w:eastAsia="Times New Roman" w:hAnsi="Arial" w:cs="Arial"/>
          <w:kern w:val="0"/>
          <w:sz w:val="20"/>
          <w:szCs w:val="20"/>
          <w:lang w:eastAsia="en-IN"/>
          <w14:ligatures w14:val="none"/>
        </w:rPr>
        <w:t>Forslund</w:t>
      </w:r>
      <w:proofErr w:type="spellEnd"/>
      <w:r w:rsidRPr="00A37C08">
        <w:rPr>
          <w:rFonts w:ascii="Arial" w:eastAsia="Times New Roman" w:hAnsi="Arial" w:cs="Arial"/>
          <w:kern w:val="0"/>
          <w:sz w:val="20"/>
          <w:szCs w:val="20"/>
          <w:lang w:eastAsia="en-IN"/>
          <w14:ligatures w14:val="none"/>
        </w:rPr>
        <w:t xml:space="preserve"> et al., 2015). Controlled trial evidence shows that metformin causally reshapes the gut microbiome in treatment-naïve T2DM, and that transplantation of metformin-altered microbiota can improve glucose tolerance in recipient mice, supporting a mechanistic contribution of microbiome changes to drug action (Wu et al., 2017).</w:t>
      </w:r>
      <w:r w:rsidR="004603DC" w:rsidRPr="00A37C08">
        <w:rPr>
          <w:rFonts w:ascii="Arial" w:eastAsia="Times New Roman" w:hAnsi="Arial" w:cs="Arial"/>
          <w:kern w:val="0"/>
          <w:sz w:val="20"/>
          <w:szCs w:val="20"/>
          <w:lang w:eastAsia="en-IN"/>
          <w14:ligatures w14:val="none"/>
        </w:rPr>
        <w:t xml:space="preserve"> Metformin’s glucose-lowering effects may be partly mediated through gastrointestinal mechanisms, including enhanced incretin </w:t>
      </w:r>
      <w:proofErr w:type="spellStart"/>
      <w:r w:rsidR="004603DC" w:rsidRPr="00A37C08">
        <w:rPr>
          <w:rFonts w:ascii="Arial" w:eastAsia="Times New Roman" w:hAnsi="Arial" w:cs="Arial"/>
          <w:kern w:val="0"/>
          <w:sz w:val="20"/>
          <w:szCs w:val="20"/>
          <w:lang w:eastAsia="en-IN"/>
          <w14:ligatures w14:val="none"/>
        </w:rPr>
        <w:t>signaling</w:t>
      </w:r>
      <w:proofErr w:type="spellEnd"/>
      <w:r w:rsidR="004603DC" w:rsidRPr="00A37C08">
        <w:rPr>
          <w:rFonts w:ascii="Arial" w:eastAsia="Times New Roman" w:hAnsi="Arial" w:cs="Arial"/>
          <w:kern w:val="0"/>
          <w:sz w:val="20"/>
          <w:szCs w:val="20"/>
          <w:lang w:eastAsia="en-IN"/>
          <w14:ligatures w14:val="none"/>
        </w:rPr>
        <w:t xml:space="preserve"> and modulation of gut microbiota (</w:t>
      </w:r>
      <w:proofErr w:type="spellStart"/>
      <w:r w:rsidR="004603DC" w:rsidRPr="00A37C08">
        <w:rPr>
          <w:rFonts w:ascii="Arial" w:eastAsia="Times New Roman" w:hAnsi="Arial" w:cs="Arial"/>
          <w:kern w:val="0"/>
          <w:sz w:val="20"/>
          <w:szCs w:val="20"/>
          <w:lang w:eastAsia="en-IN"/>
          <w14:ligatures w14:val="none"/>
        </w:rPr>
        <w:t>Gruszka</w:t>
      </w:r>
      <w:proofErr w:type="spellEnd"/>
      <w:r w:rsidR="004603DC" w:rsidRPr="00A37C08">
        <w:rPr>
          <w:rFonts w:ascii="Arial" w:eastAsia="Times New Roman" w:hAnsi="Arial" w:cs="Arial"/>
          <w:kern w:val="0"/>
          <w:sz w:val="20"/>
          <w:szCs w:val="20"/>
          <w:lang w:eastAsia="en-IN"/>
          <w14:ligatures w14:val="none"/>
        </w:rPr>
        <w:t>, 2015).</w:t>
      </w:r>
    </w:p>
    <w:p w14:paraId="72338C7D" w14:textId="77777777" w:rsidR="000E1074" w:rsidRPr="00A37C08"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lastRenderedPageBreak/>
        <w:t xml:space="preserve">For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metformin is particularly relevant because multiple studies suggest metformin can increase mucin-degrading taxa including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potentially inflating apparent “healthy” associations among treated individuals. A human observational study in community-dwelling adults found metformin use was associated with higher relative abundance of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compared with non-users, reinforcing that medication status must be explicitly </w:t>
      </w:r>
      <w:proofErr w:type="spellStart"/>
      <w:r w:rsidRPr="00A37C08">
        <w:rPr>
          <w:rFonts w:ascii="Arial" w:eastAsia="Times New Roman" w:hAnsi="Arial" w:cs="Arial"/>
          <w:kern w:val="0"/>
          <w:sz w:val="20"/>
          <w:szCs w:val="20"/>
          <w:lang w:eastAsia="en-IN"/>
          <w14:ligatures w14:val="none"/>
        </w:rPr>
        <w:t>modeled</w:t>
      </w:r>
      <w:proofErr w:type="spellEnd"/>
      <w:r w:rsidRPr="00A37C08">
        <w:rPr>
          <w:rFonts w:ascii="Arial" w:eastAsia="Times New Roman" w:hAnsi="Arial" w:cs="Arial"/>
          <w:kern w:val="0"/>
          <w:sz w:val="20"/>
          <w:szCs w:val="20"/>
          <w:lang w:eastAsia="en-IN"/>
          <w14:ligatures w14:val="none"/>
        </w:rPr>
        <w:t xml:space="preserve"> (de la Cuesta-</w:t>
      </w:r>
      <w:proofErr w:type="spellStart"/>
      <w:r w:rsidRPr="00A37C08">
        <w:rPr>
          <w:rFonts w:ascii="Arial" w:eastAsia="Times New Roman" w:hAnsi="Arial" w:cs="Arial"/>
          <w:kern w:val="0"/>
          <w:sz w:val="20"/>
          <w:szCs w:val="20"/>
          <w:lang w:eastAsia="en-IN"/>
          <w14:ligatures w14:val="none"/>
        </w:rPr>
        <w:t>Zuluaga</w:t>
      </w:r>
      <w:proofErr w:type="spellEnd"/>
      <w:r w:rsidRPr="00A37C08">
        <w:rPr>
          <w:rFonts w:ascii="Arial" w:eastAsia="Times New Roman" w:hAnsi="Arial" w:cs="Arial"/>
          <w:kern w:val="0"/>
          <w:sz w:val="20"/>
          <w:szCs w:val="20"/>
          <w:lang w:eastAsia="en-IN"/>
          <w14:ligatures w14:val="none"/>
        </w:rPr>
        <w:t xml:space="preserve"> et al., 2017). Experimental work in mice similarly reports metformin-induced increases in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alongside improved glucose homeostasis (Shin et al., 2014). Together, these findings imply that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abundance could reflect treatment exposure rather than baseline disease prognosis, undermining its value as a stand-alone prognostic indicator unless metformin exposure is carefully controlled.</w:t>
      </w:r>
    </w:p>
    <w:p w14:paraId="3EA1924B" w14:textId="77777777" w:rsidR="000E1074"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At the same time, metformin’s link to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may create a distinct prognostic opportunity: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might function as a marker of microbiome-mediated drug responsiveness or tolerance. In other words, instead of asking whether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predicts disease progression in general, a clinically actionable question may be whether baseline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predicts magnitude of response to metformin or to combined metabolic interventions. This reframing aligns with precision-medicine goals and may be more realistic than expecting a single taxon to predict long-term complications in heterogeneous populations.</w:t>
      </w:r>
    </w:p>
    <w:p w14:paraId="5B470B27" w14:textId="77777777" w:rsidR="00A37C08" w:rsidRPr="00A37C08" w:rsidRDefault="00A37C08" w:rsidP="00A37C08">
      <w:pPr>
        <w:spacing w:after="0" w:line="360" w:lineRule="auto"/>
        <w:rPr>
          <w:rFonts w:ascii="Arial" w:eastAsia="Times New Roman" w:hAnsi="Arial" w:cs="Arial"/>
          <w:kern w:val="0"/>
          <w:sz w:val="20"/>
          <w:szCs w:val="20"/>
          <w:lang w:eastAsia="en-IN"/>
          <w14:ligatures w14:val="none"/>
        </w:rPr>
      </w:pPr>
    </w:p>
    <w:p w14:paraId="57761CE3" w14:textId="77777777" w:rsidR="000E1074" w:rsidRPr="00A37C08" w:rsidRDefault="000E1074" w:rsidP="00A37C08">
      <w:pPr>
        <w:spacing w:after="0" w:line="360" w:lineRule="auto"/>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 xml:space="preserve">4.4. Human intervention studies targeting </w:t>
      </w:r>
      <w:r w:rsidRPr="00A37C08">
        <w:rPr>
          <w:rFonts w:ascii="Arial" w:eastAsia="Times New Roman" w:hAnsi="Arial" w:cs="Arial"/>
          <w:b/>
          <w:bCs/>
          <w:i/>
          <w:iCs/>
          <w:kern w:val="0"/>
          <w:sz w:val="20"/>
          <w:szCs w:val="20"/>
          <w:lang w:eastAsia="en-IN"/>
          <w14:ligatures w14:val="none"/>
        </w:rPr>
        <w:t xml:space="preserve">A. </w:t>
      </w:r>
      <w:proofErr w:type="spellStart"/>
      <w:r w:rsidRPr="00A37C08">
        <w:rPr>
          <w:rFonts w:ascii="Arial" w:eastAsia="Times New Roman" w:hAnsi="Arial" w:cs="Arial"/>
          <w:b/>
          <w:bCs/>
          <w:i/>
          <w:iCs/>
          <w:kern w:val="0"/>
          <w:sz w:val="20"/>
          <w:szCs w:val="20"/>
          <w:lang w:eastAsia="en-IN"/>
          <w14:ligatures w14:val="none"/>
        </w:rPr>
        <w:t>muciniphila</w:t>
      </w:r>
      <w:proofErr w:type="spellEnd"/>
      <w:r w:rsidRPr="00A37C08">
        <w:rPr>
          <w:rFonts w:ascii="Arial" w:eastAsia="Times New Roman" w:hAnsi="Arial" w:cs="Arial"/>
          <w:b/>
          <w:bCs/>
          <w:kern w:val="0"/>
          <w:sz w:val="20"/>
          <w:szCs w:val="20"/>
          <w:lang w:eastAsia="en-IN"/>
          <w14:ligatures w14:val="none"/>
        </w:rPr>
        <w:t>: implications for prognosis</w:t>
      </w:r>
    </w:p>
    <w:p w14:paraId="693F21E7" w14:textId="77777777" w:rsidR="000E1074" w:rsidRPr="00A37C08"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Interventional studies provide stronger causal inference than observational associations and can inform biomarker utility by showing whether manipulating the candidate organism changes clinically relevant endpoints. A landmark proof-of-concept randomized study supplemented overweight/obese insulin-resistant individuals with live or pasteurized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and reported improvements in metabolic markers with acceptable safety, suggesting translational potential (</w:t>
      </w:r>
      <w:proofErr w:type="spellStart"/>
      <w:r w:rsidRPr="00A37C08">
        <w:rPr>
          <w:rFonts w:ascii="Arial" w:eastAsia="Times New Roman" w:hAnsi="Arial" w:cs="Arial"/>
          <w:kern w:val="0"/>
          <w:sz w:val="20"/>
          <w:szCs w:val="20"/>
          <w:lang w:eastAsia="en-IN"/>
          <w14:ligatures w14:val="none"/>
        </w:rPr>
        <w:t>Depommier</w:t>
      </w:r>
      <w:proofErr w:type="spellEnd"/>
      <w:r w:rsidRPr="00A37C08">
        <w:rPr>
          <w:rFonts w:ascii="Arial" w:eastAsia="Times New Roman" w:hAnsi="Arial" w:cs="Arial"/>
          <w:kern w:val="0"/>
          <w:sz w:val="20"/>
          <w:szCs w:val="20"/>
          <w:lang w:eastAsia="en-IN"/>
          <w14:ligatures w14:val="none"/>
        </w:rPr>
        <w:t xml:space="preserve"> et al., 2019). Although not designed as a prognostic study, the trial supports three biomarker-relevant points: (</w:t>
      </w:r>
      <w:proofErr w:type="spellStart"/>
      <w:r w:rsidRPr="00A37C08">
        <w:rPr>
          <w:rFonts w:ascii="Arial" w:eastAsia="Times New Roman" w:hAnsi="Arial" w:cs="Arial"/>
          <w:kern w:val="0"/>
          <w:sz w:val="20"/>
          <w:szCs w:val="20"/>
          <w:lang w:eastAsia="en-IN"/>
          <w14:ligatures w14:val="none"/>
        </w:rPr>
        <w:t>i</w:t>
      </w:r>
      <w:proofErr w:type="spellEnd"/>
      <w:r w:rsidRPr="00A37C08">
        <w:rPr>
          <w:rFonts w:ascii="Arial" w:eastAsia="Times New Roman" w:hAnsi="Arial" w:cs="Arial"/>
          <w:kern w:val="0"/>
          <w:sz w:val="20"/>
          <w:szCs w:val="20"/>
          <w:lang w:eastAsia="en-IN"/>
          <w14:ligatures w14:val="none"/>
        </w:rPr>
        <w:t xml:space="preserve">)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can be administered as an intervention, which increases the clinical importance of measuring it; (ii) host metabolic phenotypes can shift in a direction consistent with </w:t>
      </w:r>
      <w:proofErr w:type="spellStart"/>
      <w:r w:rsidRPr="00A37C08">
        <w:rPr>
          <w:rFonts w:ascii="Arial" w:eastAsia="Times New Roman" w:hAnsi="Arial" w:cs="Arial"/>
          <w:i/>
          <w:iCs/>
          <w:kern w:val="0"/>
          <w:sz w:val="20"/>
          <w:szCs w:val="20"/>
          <w:lang w:eastAsia="en-IN"/>
          <w14:ligatures w14:val="none"/>
        </w:rPr>
        <w:t>Akkermansia</w:t>
      </w:r>
      <w:r w:rsidRPr="00A37C08">
        <w:rPr>
          <w:rFonts w:ascii="Arial" w:eastAsia="Times New Roman" w:hAnsi="Arial" w:cs="Arial"/>
          <w:kern w:val="0"/>
          <w:sz w:val="20"/>
          <w:szCs w:val="20"/>
          <w:lang w:eastAsia="en-IN"/>
          <w14:ligatures w14:val="none"/>
        </w:rPr>
        <w:t>’s</w:t>
      </w:r>
      <w:proofErr w:type="spellEnd"/>
      <w:r w:rsidRPr="00A37C08">
        <w:rPr>
          <w:rFonts w:ascii="Arial" w:eastAsia="Times New Roman" w:hAnsi="Arial" w:cs="Arial"/>
          <w:kern w:val="0"/>
          <w:sz w:val="20"/>
          <w:szCs w:val="20"/>
          <w:lang w:eastAsia="en-IN"/>
          <w14:ligatures w14:val="none"/>
        </w:rPr>
        <w:t xml:space="preserve"> presumed benefits; and (iii) pasteurized preparations may preserve or enhance bioactivity, expanding practical therapeutic options.</w:t>
      </w:r>
    </w:p>
    <w:p w14:paraId="36049B45" w14:textId="77777777" w:rsidR="000E1074" w:rsidRPr="00A37C08"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More recent clinical work has extended this line toward </w:t>
      </w:r>
      <w:proofErr w:type="spellStart"/>
      <w:r w:rsidRPr="00A37C08">
        <w:rPr>
          <w:rFonts w:ascii="Arial" w:eastAsia="Times New Roman" w:hAnsi="Arial" w:cs="Arial"/>
          <w:kern w:val="0"/>
          <w:sz w:val="20"/>
          <w:szCs w:val="20"/>
          <w:lang w:eastAsia="en-IN"/>
          <w14:ligatures w14:val="none"/>
        </w:rPr>
        <w:t>dysglycemic</w:t>
      </w:r>
      <w:proofErr w:type="spellEnd"/>
      <w:r w:rsidRPr="00A37C08">
        <w:rPr>
          <w:rFonts w:ascii="Arial" w:eastAsia="Times New Roman" w:hAnsi="Arial" w:cs="Arial"/>
          <w:kern w:val="0"/>
          <w:sz w:val="20"/>
          <w:szCs w:val="20"/>
          <w:lang w:eastAsia="en-IN"/>
          <w14:ligatures w14:val="none"/>
        </w:rPr>
        <w:t xml:space="preserve"> populations and has highlighted effect modification by baseline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levels. A Cell Metabolism clinical study evaluating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supplementation (AKK-WST01) reported metabolic benefits and explicitly noted that outcomes were linked to baseline gut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abundance, implying that baseline measurement could help stratify who benefits most (Zhang et al., 2025). This observation is directly relevant to prognostic utility because it suggests a plausible, near-term clinical use case: baseline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as a predictor of intervention responsiveness. In biomarker terminology, this is closer to a predictive biomarker (predicting treatment response) than a pure prognostic biomarker (predicting natural history), but in clinical practice the distinction can blur because response trajectories are themselves prognostically meaningful.</w:t>
      </w:r>
    </w:p>
    <w:p w14:paraId="69C585AC" w14:textId="77777777" w:rsidR="000E1074"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lastRenderedPageBreak/>
        <w:t xml:space="preserve">Dietary interventions also provide insight. Calorie restriction and weight loss are among the most effective non-pharmacologic strategies for improving insulin sensitivity and glycemia. A human study examining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in the context of calorie restriction found that baseline abundance and its changes related to metabolic profiles and microbiome gene richness, linking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to broader ecological shifts during intervention (Dao et al., 2016). Such findings imply that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may act as a marker of a broader “metabolically </w:t>
      </w:r>
      <w:proofErr w:type="spellStart"/>
      <w:r w:rsidRPr="00A37C08">
        <w:rPr>
          <w:rFonts w:ascii="Arial" w:eastAsia="Times New Roman" w:hAnsi="Arial" w:cs="Arial"/>
          <w:kern w:val="0"/>
          <w:sz w:val="20"/>
          <w:szCs w:val="20"/>
          <w:lang w:eastAsia="en-IN"/>
          <w14:ligatures w14:val="none"/>
        </w:rPr>
        <w:t>favorable</w:t>
      </w:r>
      <w:proofErr w:type="spellEnd"/>
      <w:r w:rsidRPr="00A37C08">
        <w:rPr>
          <w:rFonts w:ascii="Arial" w:eastAsia="Times New Roman" w:hAnsi="Arial" w:cs="Arial"/>
          <w:kern w:val="0"/>
          <w:sz w:val="20"/>
          <w:szCs w:val="20"/>
          <w:lang w:eastAsia="en-IN"/>
          <w14:ligatures w14:val="none"/>
        </w:rPr>
        <w:t xml:space="preserve">” mucosal ecosystem that becomes more prominent with successful dietary change. In this framing,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alone may not be sufficient, but it could serve as a clinically tractable proxy for a protective microbial state when combined with other markers.</w:t>
      </w:r>
    </w:p>
    <w:p w14:paraId="0C0795EF" w14:textId="77777777" w:rsidR="00A37C08" w:rsidRPr="00A37C08" w:rsidRDefault="00A37C08" w:rsidP="00A37C08">
      <w:pPr>
        <w:spacing w:after="0" w:line="360" w:lineRule="auto"/>
        <w:rPr>
          <w:rFonts w:ascii="Arial" w:eastAsia="Times New Roman" w:hAnsi="Arial" w:cs="Arial"/>
          <w:kern w:val="0"/>
          <w:sz w:val="20"/>
          <w:szCs w:val="20"/>
          <w:lang w:eastAsia="en-IN"/>
          <w14:ligatures w14:val="none"/>
        </w:rPr>
      </w:pPr>
    </w:p>
    <w:p w14:paraId="59A60EFE" w14:textId="77777777" w:rsidR="000E1074" w:rsidRPr="00A37C08" w:rsidRDefault="000E1074" w:rsidP="00A37C08">
      <w:pPr>
        <w:spacing w:after="0" w:line="360" w:lineRule="auto"/>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4.5. Mechanistic plausibility and the prognostic argument</w:t>
      </w:r>
    </w:p>
    <w:p w14:paraId="529A1B9C" w14:textId="77777777" w:rsidR="000E1074" w:rsidRPr="00A37C08"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For a microbial taxon to function as a prognostic indicator, there must be a plausible link between its presence (or absence) and the biological processes that drive future outcomes. Several mechanistic themes recur in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research.</w:t>
      </w:r>
    </w:p>
    <w:p w14:paraId="7D221ABE" w14:textId="77777777" w:rsidR="000E1074" w:rsidRPr="00A37C08"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Barrier integrity and endotoxemia are central. Insulin resistance is strongly linked to low-grade inflammation, and increased intestinal permeability can promote systemic inflammatory </w:t>
      </w:r>
      <w:proofErr w:type="spellStart"/>
      <w:r w:rsidRPr="00A37C08">
        <w:rPr>
          <w:rFonts w:ascii="Arial" w:eastAsia="Times New Roman" w:hAnsi="Arial" w:cs="Arial"/>
          <w:kern w:val="0"/>
          <w:sz w:val="20"/>
          <w:szCs w:val="20"/>
          <w:lang w:eastAsia="en-IN"/>
          <w14:ligatures w14:val="none"/>
        </w:rPr>
        <w:t>signaling</w:t>
      </w:r>
      <w:proofErr w:type="spellEnd"/>
      <w:r w:rsidRPr="00A37C08">
        <w:rPr>
          <w:rFonts w:ascii="Arial" w:eastAsia="Times New Roman" w:hAnsi="Arial" w:cs="Arial"/>
          <w:kern w:val="0"/>
          <w:sz w:val="20"/>
          <w:szCs w:val="20"/>
          <w:lang w:eastAsia="en-IN"/>
          <w14:ligatures w14:val="none"/>
        </w:rPr>
        <w:t xml:space="preserve"> via translocation of microbial products. By residing in the mucus layer and interacting with mucin dynamics,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may influence the thickness and turnover of this barrier. In animal models, administration of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or its components improves metabolic phenotypes and is associated with improved barrier features, supporting a plausible upstream role (</w:t>
      </w:r>
      <w:proofErr w:type="spellStart"/>
      <w:r w:rsidRPr="00A37C08">
        <w:rPr>
          <w:rFonts w:ascii="Arial" w:eastAsia="Times New Roman" w:hAnsi="Arial" w:cs="Arial"/>
          <w:kern w:val="0"/>
          <w:sz w:val="20"/>
          <w:szCs w:val="20"/>
          <w:lang w:eastAsia="en-IN"/>
          <w14:ligatures w14:val="none"/>
        </w:rPr>
        <w:t>Plovier</w:t>
      </w:r>
      <w:proofErr w:type="spellEnd"/>
      <w:r w:rsidRPr="00A37C08">
        <w:rPr>
          <w:rFonts w:ascii="Arial" w:eastAsia="Times New Roman" w:hAnsi="Arial" w:cs="Arial"/>
          <w:kern w:val="0"/>
          <w:sz w:val="20"/>
          <w:szCs w:val="20"/>
          <w:lang w:eastAsia="en-IN"/>
          <w14:ligatures w14:val="none"/>
        </w:rPr>
        <w:t xml:space="preserve"> et al., 2017). If depleted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reflects impaired mucus ecology, it could signal a physiologic context conducive to worsening inflammation and </w:t>
      </w:r>
      <w:proofErr w:type="spellStart"/>
      <w:r w:rsidRPr="00A37C08">
        <w:rPr>
          <w:rFonts w:ascii="Arial" w:eastAsia="Times New Roman" w:hAnsi="Arial" w:cs="Arial"/>
          <w:kern w:val="0"/>
          <w:sz w:val="20"/>
          <w:szCs w:val="20"/>
          <w:lang w:eastAsia="en-IN"/>
          <w14:ligatures w14:val="none"/>
        </w:rPr>
        <w:t>glycemic</w:t>
      </w:r>
      <w:proofErr w:type="spellEnd"/>
      <w:r w:rsidRPr="00A37C08">
        <w:rPr>
          <w:rFonts w:ascii="Arial" w:eastAsia="Times New Roman" w:hAnsi="Arial" w:cs="Arial"/>
          <w:kern w:val="0"/>
          <w:sz w:val="20"/>
          <w:szCs w:val="20"/>
          <w:lang w:eastAsia="en-IN"/>
          <w14:ligatures w14:val="none"/>
        </w:rPr>
        <w:t xml:space="preserve"> control.</w:t>
      </w:r>
    </w:p>
    <w:p w14:paraId="2068DA85" w14:textId="77777777" w:rsidR="000E1074" w:rsidRPr="00A37C08"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Incretin and gut–brain </w:t>
      </w:r>
      <w:proofErr w:type="spellStart"/>
      <w:r w:rsidRPr="00A37C08">
        <w:rPr>
          <w:rFonts w:ascii="Arial" w:eastAsia="Times New Roman" w:hAnsi="Arial" w:cs="Arial"/>
          <w:kern w:val="0"/>
          <w:sz w:val="20"/>
          <w:szCs w:val="20"/>
          <w:lang w:eastAsia="en-IN"/>
          <w14:ligatures w14:val="none"/>
        </w:rPr>
        <w:t>signaling</w:t>
      </w:r>
      <w:proofErr w:type="spellEnd"/>
      <w:r w:rsidRPr="00A37C08">
        <w:rPr>
          <w:rFonts w:ascii="Arial" w:eastAsia="Times New Roman" w:hAnsi="Arial" w:cs="Arial"/>
          <w:kern w:val="0"/>
          <w:sz w:val="20"/>
          <w:szCs w:val="20"/>
          <w:lang w:eastAsia="en-IN"/>
          <w14:ligatures w14:val="none"/>
        </w:rPr>
        <w:t xml:space="preserve"> is another theme. GLP-1 has direct relevance to </w:t>
      </w:r>
      <w:proofErr w:type="spellStart"/>
      <w:r w:rsidRPr="00A37C08">
        <w:rPr>
          <w:rFonts w:ascii="Arial" w:eastAsia="Times New Roman" w:hAnsi="Arial" w:cs="Arial"/>
          <w:kern w:val="0"/>
          <w:sz w:val="20"/>
          <w:szCs w:val="20"/>
          <w:lang w:eastAsia="en-IN"/>
          <w14:ligatures w14:val="none"/>
        </w:rPr>
        <w:t>glycemic</w:t>
      </w:r>
      <w:proofErr w:type="spellEnd"/>
      <w:r w:rsidRPr="00A37C08">
        <w:rPr>
          <w:rFonts w:ascii="Arial" w:eastAsia="Times New Roman" w:hAnsi="Arial" w:cs="Arial"/>
          <w:kern w:val="0"/>
          <w:sz w:val="20"/>
          <w:szCs w:val="20"/>
          <w:lang w:eastAsia="en-IN"/>
          <w14:ligatures w14:val="none"/>
        </w:rPr>
        <w:t xml:space="preserve"> control and is a therapeutic target in T2DM. Reports that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–derived proteins can stimulate GLP-1 secretion and thermogenesis in preclinical models suggest a pathway by which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depletion might contribute to reduced incretin </w:t>
      </w:r>
      <w:proofErr w:type="spellStart"/>
      <w:r w:rsidRPr="00A37C08">
        <w:rPr>
          <w:rFonts w:ascii="Arial" w:eastAsia="Times New Roman" w:hAnsi="Arial" w:cs="Arial"/>
          <w:kern w:val="0"/>
          <w:sz w:val="20"/>
          <w:szCs w:val="20"/>
          <w:lang w:eastAsia="en-IN"/>
          <w14:ligatures w14:val="none"/>
        </w:rPr>
        <w:t>signaling</w:t>
      </w:r>
      <w:proofErr w:type="spellEnd"/>
      <w:r w:rsidRPr="00A37C08">
        <w:rPr>
          <w:rFonts w:ascii="Arial" w:eastAsia="Times New Roman" w:hAnsi="Arial" w:cs="Arial"/>
          <w:kern w:val="0"/>
          <w:sz w:val="20"/>
          <w:szCs w:val="20"/>
          <w:lang w:eastAsia="en-IN"/>
          <w14:ligatures w14:val="none"/>
        </w:rPr>
        <w:t xml:space="preserve"> and metabolic decline (Yoon et al., 2021). Even if the exact human relevance of these specific effectors remains under study, the existence of defined molecules provides a stronger bridge between microbiome measurement and host physiology than is available for many taxa.</w:t>
      </w:r>
    </w:p>
    <w:p w14:paraId="50CED1CB" w14:textId="772994DC" w:rsidR="000E1074"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Finally, strain-level heterogeneity implies that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may represent a set of organisms with partially overlapping but not identical metabolic effects. Genomic surveys show multiple candidate species and deep divergence within human-associated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and experimental strain characterization suggests functional differences that could alter host impact (</w:t>
      </w:r>
      <w:proofErr w:type="spellStart"/>
      <w:r w:rsidR="00B65CFE" w:rsidRPr="00A37C08">
        <w:rPr>
          <w:rFonts w:ascii="Arial" w:eastAsia="Times New Roman" w:hAnsi="Arial" w:cs="Arial"/>
          <w:kern w:val="0"/>
          <w:sz w:val="20"/>
          <w:szCs w:val="20"/>
          <w:lang w:eastAsia="en-IN"/>
          <w14:ligatures w14:val="none"/>
        </w:rPr>
        <w:t>Karcher</w:t>
      </w:r>
      <w:proofErr w:type="spellEnd"/>
      <w:r w:rsidRPr="00A37C08">
        <w:rPr>
          <w:rFonts w:ascii="Arial" w:eastAsia="Times New Roman" w:hAnsi="Arial" w:cs="Arial"/>
          <w:kern w:val="0"/>
          <w:sz w:val="20"/>
          <w:szCs w:val="20"/>
          <w:lang w:eastAsia="en-IN"/>
          <w14:ligatures w14:val="none"/>
        </w:rPr>
        <w:t xml:space="preserve"> et al., 2021; </w:t>
      </w:r>
      <w:proofErr w:type="spellStart"/>
      <w:r w:rsidRPr="00A37C08">
        <w:rPr>
          <w:rFonts w:ascii="Arial" w:eastAsia="Times New Roman" w:hAnsi="Arial" w:cs="Arial"/>
          <w:kern w:val="0"/>
          <w:sz w:val="20"/>
          <w:szCs w:val="20"/>
          <w:lang w:eastAsia="en-IN"/>
          <w14:ligatures w14:val="none"/>
        </w:rPr>
        <w:t>Dubourg</w:t>
      </w:r>
      <w:proofErr w:type="spellEnd"/>
      <w:r w:rsidRPr="00A37C08">
        <w:rPr>
          <w:rFonts w:ascii="Arial" w:eastAsia="Times New Roman" w:hAnsi="Arial" w:cs="Arial"/>
          <w:kern w:val="0"/>
          <w:sz w:val="20"/>
          <w:szCs w:val="20"/>
          <w:lang w:eastAsia="en-IN"/>
          <w14:ligatures w14:val="none"/>
        </w:rPr>
        <w:t xml:space="preserve"> et al., 2021). For prognosis, this is crucial: if only certain strains confer metabolic benefit, crude genus-level abundance may dilute predictive signal and reduce reproducibility across cohorts.</w:t>
      </w:r>
    </w:p>
    <w:p w14:paraId="662B424C" w14:textId="77777777" w:rsidR="00A37C08" w:rsidRPr="00A37C08" w:rsidRDefault="00A37C08" w:rsidP="00A37C08">
      <w:pPr>
        <w:spacing w:after="0" w:line="360" w:lineRule="auto"/>
        <w:rPr>
          <w:rFonts w:ascii="Arial" w:eastAsia="Times New Roman" w:hAnsi="Arial" w:cs="Arial"/>
          <w:kern w:val="0"/>
          <w:sz w:val="20"/>
          <w:szCs w:val="20"/>
          <w:lang w:eastAsia="en-IN"/>
          <w14:ligatures w14:val="none"/>
        </w:rPr>
      </w:pPr>
    </w:p>
    <w:p w14:paraId="295346AB" w14:textId="77777777" w:rsidR="000E1074" w:rsidRDefault="000E1074" w:rsidP="00A37C08">
      <w:pPr>
        <w:spacing w:after="0" w:line="360" w:lineRule="auto"/>
        <w:outlineLvl w:val="1"/>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 xml:space="preserve">5. </w:t>
      </w:r>
      <w:r w:rsidRPr="00A37C08">
        <w:rPr>
          <w:rFonts w:ascii="Arial" w:eastAsia="Times New Roman" w:hAnsi="Arial" w:cs="Arial"/>
          <w:b/>
          <w:bCs/>
          <w:i/>
          <w:iCs/>
          <w:kern w:val="0"/>
          <w:sz w:val="20"/>
          <w:szCs w:val="20"/>
          <w:lang w:eastAsia="en-IN"/>
          <w14:ligatures w14:val="none"/>
        </w:rPr>
        <w:t xml:space="preserve">A. </w:t>
      </w:r>
      <w:proofErr w:type="spellStart"/>
      <w:r w:rsidRPr="00A37C08">
        <w:rPr>
          <w:rFonts w:ascii="Arial" w:eastAsia="Times New Roman" w:hAnsi="Arial" w:cs="Arial"/>
          <w:b/>
          <w:bCs/>
          <w:i/>
          <w:iCs/>
          <w:kern w:val="0"/>
          <w:sz w:val="20"/>
          <w:szCs w:val="20"/>
          <w:lang w:eastAsia="en-IN"/>
          <w14:ligatures w14:val="none"/>
        </w:rPr>
        <w:t>muciniphila</w:t>
      </w:r>
      <w:proofErr w:type="spellEnd"/>
      <w:r w:rsidRPr="00A37C08">
        <w:rPr>
          <w:rFonts w:ascii="Arial" w:eastAsia="Times New Roman" w:hAnsi="Arial" w:cs="Arial"/>
          <w:b/>
          <w:bCs/>
          <w:kern w:val="0"/>
          <w:sz w:val="20"/>
          <w:szCs w:val="20"/>
          <w:lang w:eastAsia="en-IN"/>
          <w14:ligatures w14:val="none"/>
        </w:rPr>
        <w:t xml:space="preserve"> as a prognostic indicator: clinical scenarios, assay considerations, and validation needs</w:t>
      </w:r>
    </w:p>
    <w:p w14:paraId="73EFAE53" w14:textId="77777777" w:rsidR="00A37C08" w:rsidRPr="00A37C08" w:rsidRDefault="00A37C08" w:rsidP="00A37C08">
      <w:pPr>
        <w:spacing w:after="0" w:line="360" w:lineRule="auto"/>
        <w:outlineLvl w:val="1"/>
        <w:rPr>
          <w:rFonts w:ascii="Arial" w:eastAsia="Times New Roman" w:hAnsi="Arial" w:cs="Arial"/>
          <w:b/>
          <w:bCs/>
          <w:kern w:val="0"/>
          <w:sz w:val="20"/>
          <w:szCs w:val="20"/>
          <w:lang w:eastAsia="en-IN"/>
          <w14:ligatures w14:val="none"/>
        </w:rPr>
      </w:pPr>
    </w:p>
    <w:p w14:paraId="7ACAD380" w14:textId="77777777" w:rsidR="000E1074" w:rsidRPr="00A37C08" w:rsidRDefault="000E1074" w:rsidP="00A37C08">
      <w:pPr>
        <w:spacing w:after="0" w:line="360" w:lineRule="auto"/>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5.1. Prognostic versus predictive: what should be claimed and what should be tested</w:t>
      </w:r>
    </w:p>
    <w:p w14:paraId="5220DD58" w14:textId="77777777" w:rsidR="000E1074" w:rsidRPr="00A37C08"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lastRenderedPageBreak/>
        <w:t xml:space="preserve">The strongest current evidence suggests that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is unlikely to function as a universal, stand-alone prognostic indicator for all clinically meaningful T2DM outcomes across diverse populations. Medication effects, dietary responsiveness, and strain heterogeneity create too much context dependence. However,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may still have substantial value in narrower, clinically plausible prognostic contexts. A particularly promising scenario is early disease management, where clinicians seek to predict near-term </w:t>
      </w:r>
      <w:proofErr w:type="spellStart"/>
      <w:r w:rsidRPr="00A37C08">
        <w:rPr>
          <w:rFonts w:ascii="Arial" w:eastAsia="Times New Roman" w:hAnsi="Arial" w:cs="Arial"/>
          <w:kern w:val="0"/>
          <w:sz w:val="20"/>
          <w:szCs w:val="20"/>
          <w:lang w:eastAsia="en-IN"/>
          <w14:ligatures w14:val="none"/>
        </w:rPr>
        <w:t>glycemic</w:t>
      </w:r>
      <w:proofErr w:type="spellEnd"/>
      <w:r w:rsidRPr="00A37C08">
        <w:rPr>
          <w:rFonts w:ascii="Arial" w:eastAsia="Times New Roman" w:hAnsi="Arial" w:cs="Arial"/>
          <w:kern w:val="0"/>
          <w:sz w:val="20"/>
          <w:szCs w:val="20"/>
          <w:lang w:eastAsia="en-IN"/>
          <w14:ligatures w14:val="none"/>
        </w:rPr>
        <w:t xml:space="preserve"> trajectories or identify individuals likely to respond to microbiome-linked therapies. Here, baseline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abundance may be most useful as part of a composite risk model that includes clinical features (BMI, HbA1c, triglycerides, liver fat), treatment exposures (metformin status), and other microbial or metabolomic markers.</w:t>
      </w:r>
    </w:p>
    <w:p w14:paraId="51D85EF2" w14:textId="77777777" w:rsidR="000E1074"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In addition, baseline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may serve as a predictive biomarker for response to interventions that plausibly act through the gut mucosa and microbiome, including metformin, dietary </w:t>
      </w:r>
      <w:proofErr w:type="spellStart"/>
      <w:r w:rsidRPr="00A37C08">
        <w:rPr>
          <w:rFonts w:ascii="Arial" w:eastAsia="Times New Roman" w:hAnsi="Arial" w:cs="Arial"/>
          <w:kern w:val="0"/>
          <w:sz w:val="20"/>
          <w:szCs w:val="20"/>
          <w:lang w:eastAsia="en-IN"/>
          <w14:ligatures w14:val="none"/>
        </w:rPr>
        <w:t>fiber</w:t>
      </w:r>
      <w:proofErr w:type="spellEnd"/>
      <w:r w:rsidRPr="00A37C08">
        <w:rPr>
          <w:rFonts w:ascii="Arial" w:eastAsia="Times New Roman" w:hAnsi="Arial" w:cs="Arial"/>
          <w:kern w:val="0"/>
          <w:sz w:val="20"/>
          <w:szCs w:val="20"/>
          <w:lang w:eastAsia="en-IN"/>
          <w14:ligatures w14:val="none"/>
        </w:rPr>
        <w:t xml:space="preserve"> interventions, weight-loss programs, and direct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supplementation. The observation that supplementation benefits can correlate with baseline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abundance suggests a concrete stratification hypothesis that can be prospectively tested (Zhang et al., 2025). In such designs, the biomarker question becomes highly actionable: who should receive a next-generation probiotic, and who may require alternative strategies?</w:t>
      </w:r>
    </w:p>
    <w:p w14:paraId="028771E2" w14:textId="77777777" w:rsidR="00A37C08" w:rsidRPr="00A37C08" w:rsidRDefault="00A37C08" w:rsidP="00A37C08">
      <w:pPr>
        <w:spacing w:after="0" w:line="360" w:lineRule="auto"/>
        <w:rPr>
          <w:rFonts w:ascii="Arial" w:eastAsia="Times New Roman" w:hAnsi="Arial" w:cs="Arial"/>
          <w:kern w:val="0"/>
          <w:sz w:val="20"/>
          <w:szCs w:val="20"/>
          <w:lang w:eastAsia="en-IN"/>
          <w14:ligatures w14:val="none"/>
        </w:rPr>
      </w:pPr>
    </w:p>
    <w:p w14:paraId="74BF4BEB" w14:textId="77777777" w:rsidR="000E1074" w:rsidRPr="00A37C08" w:rsidRDefault="000E1074" w:rsidP="00A37C08">
      <w:pPr>
        <w:spacing w:after="0" w:line="360" w:lineRule="auto"/>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5.2. Measurement and standardization: from sequencing signals to clinical-grade assays</w:t>
      </w:r>
    </w:p>
    <w:p w14:paraId="69D066B0" w14:textId="77777777" w:rsidR="000E1074" w:rsidRPr="00A37C08"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For biomarker deployment, assay variability is a dominant barrier. Microbiome studies differ in sample collection timing, storage conditions, DNA extraction, sequencing platform, and bioinformatic pipelines. A taxon that appears “depleted” in one workflow may not be quantitatively comparable to another. Prognostic application requires robust, reproducible quantification with known analytic sensitivity, specificity, and stability.</w:t>
      </w:r>
    </w:p>
    <w:p w14:paraId="7B005290" w14:textId="77777777" w:rsidR="000E1074"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Several measurement strategies exist. Shotgun metagenomics can provide species- and strain-level resolution and functional context, but it is costlier and more complex. Targeted qPCR assays can quantify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with higher throughput, but may fail to distinguish functionally distinct lineages and may be sensitive to primer design and reference standards. As strain-level heterogeneity becomes more recognized, future assays may require targeted sequencing or molecular barcodes capturing key functional loci rather than relying solely on taxonomic abundance. The trajectory of T2DM microbiome research suggests that strain-aware approaches will increasingly be necessary for robust translation, consistent with the broader shift in cross-cohort work toward strain specificity (Mei et al., 2024).</w:t>
      </w:r>
    </w:p>
    <w:p w14:paraId="2FE7F377" w14:textId="77777777" w:rsidR="00A37C08" w:rsidRPr="00A37C08" w:rsidRDefault="00A37C08" w:rsidP="00A37C08">
      <w:pPr>
        <w:spacing w:after="0" w:line="360" w:lineRule="auto"/>
        <w:rPr>
          <w:rFonts w:ascii="Arial" w:eastAsia="Times New Roman" w:hAnsi="Arial" w:cs="Arial"/>
          <w:kern w:val="0"/>
          <w:sz w:val="20"/>
          <w:szCs w:val="20"/>
          <w:lang w:eastAsia="en-IN"/>
          <w14:ligatures w14:val="none"/>
        </w:rPr>
      </w:pPr>
    </w:p>
    <w:p w14:paraId="566C5C57" w14:textId="77777777" w:rsidR="000E1074" w:rsidRPr="00A37C08" w:rsidRDefault="000E1074" w:rsidP="00A37C08">
      <w:pPr>
        <w:spacing w:after="0" w:line="360" w:lineRule="auto"/>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5.3. Confounder control and clinical metadata requirements</w:t>
      </w:r>
    </w:p>
    <w:p w14:paraId="161F6387" w14:textId="77777777" w:rsidR="000E1074" w:rsidRPr="00A37C08"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A recurring lesson across T2DM microbiome research is that without deep clinical metadata, microbial biomarkers are fragile. Metformin is the clearest example: without stratification by metformin exposure, disease signatures can be misinterpreted (</w:t>
      </w:r>
      <w:proofErr w:type="spellStart"/>
      <w:r w:rsidRPr="00A37C08">
        <w:rPr>
          <w:rFonts w:ascii="Arial" w:eastAsia="Times New Roman" w:hAnsi="Arial" w:cs="Arial"/>
          <w:kern w:val="0"/>
          <w:sz w:val="20"/>
          <w:szCs w:val="20"/>
          <w:lang w:eastAsia="en-IN"/>
          <w14:ligatures w14:val="none"/>
        </w:rPr>
        <w:t>Forslund</w:t>
      </w:r>
      <w:proofErr w:type="spellEnd"/>
      <w:r w:rsidRPr="00A37C08">
        <w:rPr>
          <w:rFonts w:ascii="Arial" w:eastAsia="Times New Roman" w:hAnsi="Arial" w:cs="Arial"/>
          <w:kern w:val="0"/>
          <w:sz w:val="20"/>
          <w:szCs w:val="20"/>
          <w:lang w:eastAsia="en-IN"/>
          <w14:ligatures w14:val="none"/>
        </w:rPr>
        <w:t xml:space="preserve"> et al., 2015; Wu et al., 2017). Similar issues apply to GLP-1 receptor agonists, SGLT2 inhibitors, statins, proton pump inhibitors, antibiotics, bariatric surgery, and major dietary pattern shifts. Prognostic validation studies must therefore treat medication and diet as integral covariates rather than nuisance variables.</w:t>
      </w:r>
    </w:p>
    <w:p w14:paraId="4D39F76D" w14:textId="77777777" w:rsidR="000E1074"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lastRenderedPageBreak/>
        <w:t xml:space="preserve">Moreover, </w:t>
      </w:r>
      <w:proofErr w:type="spellStart"/>
      <w:r w:rsidRPr="00A37C08">
        <w:rPr>
          <w:rFonts w:ascii="Arial" w:eastAsia="Times New Roman" w:hAnsi="Arial" w:cs="Arial"/>
          <w:kern w:val="0"/>
          <w:sz w:val="20"/>
          <w:szCs w:val="20"/>
          <w:lang w:eastAsia="en-IN"/>
          <w14:ligatures w14:val="none"/>
        </w:rPr>
        <w:t>glycemic</w:t>
      </w:r>
      <w:proofErr w:type="spellEnd"/>
      <w:r w:rsidRPr="00A37C08">
        <w:rPr>
          <w:rFonts w:ascii="Arial" w:eastAsia="Times New Roman" w:hAnsi="Arial" w:cs="Arial"/>
          <w:kern w:val="0"/>
          <w:sz w:val="20"/>
          <w:szCs w:val="20"/>
          <w:lang w:eastAsia="en-IN"/>
          <w14:ligatures w14:val="none"/>
        </w:rPr>
        <w:t xml:space="preserve"> outcomes must be harmonized. Prognosis can be defined as incident diabetes, HbA1c change, need for medication escalation, or complications. Each outcome has different timescales and biological drivers, and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may relate to some more than others. For example, the strongest argument for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is through barrier integrity and inflammation, which might relate more directly to insulin resistance and metabolic syndrome phenotypes than to late-stage β-cell failure. Thus, matching outcome definitions to plausible biology will likely improve signal detection and reduce spurious claims.</w:t>
      </w:r>
    </w:p>
    <w:p w14:paraId="29B9F8F9" w14:textId="77777777" w:rsidR="00A37C08" w:rsidRPr="00A37C08" w:rsidRDefault="00A37C08" w:rsidP="00A37C08">
      <w:pPr>
        <w:spacing w:after="0" w:line="360" w:lineRule="auto"/>
        <w:rPr>
          <w:rFonts w:ascii="Arial" w:eastAsia="Times New Roman" w:hAnsi="Arial" w:cs="Arial"/>
          <w:kern w:val="0"/>
          <w:sz w:val="20"/>
          <w:szCs w:val="20"/>
          <w:lang w:eastAsia="en-IN"/>
          <w14:ligatures w14:val="none"/>
        </w:rPr>
      </w:pPr>
    </w:p>
    <w:p w14:paraId="43D5F214" w14:textId="77777777" w:rsidR="000E1074" w:rsidRPr="00A37C08" w:rsidRDefault="000E1074" w:rsidP="00A37C08">
      <w:pPr>
        <w:spacing w:after="0" w:line="360" w:lineRule="auto"/>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 xml:space="preserve">5.4. Integrating </w:t>
      </w:r>
      <w:proofErr w:type="spellStart"/>
      <w:r w:rsidRPr="00A37C08">
        <w:rPr>
          <w:rFonts w:ascii="Arial" w:eastAsia="Times New Roman" w:hAnsi="Arial" w:cs="Arial"/>
          <w:b/>
          <w:bCs/>
          <w:i/>
          <w:iCs/>
          <w:kern w:val="0"/>
          <w:sz w:val="20"/>
          <w:szCs w:val="20"/>
          <w:lang w:eastAsia="en-IN"/>
          <w14:ligatures w14:val="none"/>
        </w:rPr>
        <w:t>Akkermansia</w:t>
      </w:r>
      <w:proofErr w:type="spellEnd"/>
      <w:r w:rsidRPr="00A37C08">
        <w:rPr>
          <w:rFonts w:ascii="Arial" w:eastAsia="Times New Roman" w:hAnsi="Arial" w:cs="Arial"/>
          <w:b/>
          <w:bCs/>
          <w:kern w:val="0"/>
          <w:sz w:val="20"/>
          <w:szCs w:val="20"/>
          <w:lang w:eastAsia="en-IN"/>
          <w14:ligatures w14:val="none"/>
        </w:rPr>
        <w:t xml:space="preserve"> into multivariable prognostic models</w:t>
      </w:r>
    </w:p>
    <w:p w14:paraId="01B4CF2C" w14:textId="77777777" w:rsidR="000E1074" w:rsidRPr="00A37C08"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Given the limitations of single-feature biomarkers, the most realistic path is integration. Prognostic models could incorporate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as one feature among several microbial taxa, microbial functions (e.g., short-chain fatty acid pathways), and metabolomic readouts (bile acids, branched-chain amino acid derivatives). Such composite models are more likely to be portable across cohorts and to retain performance after adjusting for medications and diet. In this framework,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serves as a biologically interpretable component that may capture mucosal ecosystem state.</w:t>
      </w:r>
    </w:p>
    <w:p w14:paraId="107C7FAA" w14:textId="77777777" w:rsidR="000E1074"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Population-level prediction studies demonstrate that microbiome-based signatures can classify and predict metabolic disease risk, sometimes with improved performance when combined with clinical covariates (</w:t>
      </w:r>
      <w:proofErr w:type="spellStart"/>
      <w:r w:rsidRPr="00A37C08">
        <w:rPr>
          <w:rFonts w:ascii="Arial" w:eastAsia="Times New Roman" w:hAnsi="Arial" w:cs="Arial"/>
          <w:kern w:val="0"/>
          <w:sz w:val="20"/>
          <w:szCs w:val="20"/>
          <w:lang w:eastAsia="en-IN"/>
          <w14:ligatures w14:val="none"/>
        </w:rPr>
        <w:t>Reitmeier</w:t>
      </w:r>
      <w:proofErr w:type="spellEnd"/>
      <w:r w:rsidRPr="00A37C08">
        <w:rPr>
          <w:rFonts w:ascii="Arial" w:eastAsia="Times New Roman" w:hAnsi="Arial" w:cs="Arial"/>
          <w:kern w:val="0"/>
          <w:sz w:val="20"/>
          <w:szCs w:val="20"/>
          <w:lang w:eastAsia="en-IN"/>
          <w14:ligatures w14:val="none"/>
        </w:rPr>
        <w:t xml:space="preserve"> et al., 2020; </w:t>
      </w:r>
      <w:proofErr w:type="spellStart"/>
      <w:r w:rsidRPr="00A37C08">
        <w:rPr>
          <w:rFonts w:ascii="Arial" w:eastAsia="Times New Roman" w:hAnsi="Arial" w:cs="Arial"/>
          <w:kern w:val="0"/>
          <w:sz w:val="20"/>
          <w:szCs w:val="20"/>
          <w:lang w:eastAsia="en-IN"/>
          <w14:ligatures w14:val="none"/>
        </w:rPr>
        <w:t>Yassour</w:t>
      </w:r>
      <w:proofErr w:type="spellEnd"/>
      <w:r w:rsidRPr="00A37C08">
        <w:rPr>
          <w:rFonts w:ascii="Arial" w:eastAsia="Times New Roman" w:hAnsi="Arial" w:cs="Arial"/>
          <w:kern w:val="0"/>
          <w:sz w:val="20"/>
          <w:szCs w:val="20"/>
          <w:lang w:eastAsia="en-IN"/>
          <w14:ligatures w14:val="none"/>
        </w:rPr>
        <w:t xml:space="preserve"> et al., 2016). The strain-aware cross-cohort approach further suggests that portable models may need strain-level features to generalize (Mei et al., 2024). Thus, the question is less “Is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the prognostic biomarker?” and more “Does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add incremental value to validated risk models in well-defined clinical contexts?”</w:t>
      </w:r>
    </w:p>
    <w:p w14:paraId="0513B603" w14:textId="77777777" w:rsidR="00A37C08" w:rsidRPr="00A37C08" w:rsidRDefault="00A37C08" w:rsidP="00A37C08">
      <w:pPr>
        <w:spacing w:after="0" w:line="360" w:lineRule="auto"/>
        <w:rPr>
          <w:rFonts w:ascii="Arial" w:eastAsia="Times New Roman" w:hAnsi="Arial" w:cs="Arial"/>
          <w:kern w:val="0"/>
          <w:sz w:val="20"/>
          <w:szCs w:val="20"/>
          <w:lang w:eastAsia="en-IN"/>
          <w14:ligatures w14:val="none"/>
        </w:rPr>
      </w:pPr>
    </w:p>
    <w:p w14:paraId="133A447A" w14:textId="77777777" w:rsidR="000E1074" w:rsidRPr="00A37C08" w:rsidRDefault="000E1074" w:rsidP="00A37C08">
      <w:pPr>
        <w:spacing w:after="0" w:line="360" w:lineRule="auto"/>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5.5. Research priorities to reach clinical-grade evidence</w:t>
      </w:r>
    </w:p>
    <w:p w14:paraId="66E15F72" w14:textId="00E548E1" w:rsidR="000E1074" w:rsidRDefault="000E1074" w:rsidP="00A37C08">
      <w:pPr>
        <w:spacing w:after="0" w:line="360" w:lineRule="auto"/>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To determine whether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can serve as a prognostic indicator in a clinically defensible way, several research priorities emerge from current evidence. First, prospective cohorts of prediabetes and early T2DM should collect serial stool samples alongside rigorous medication and dietary metadata, enabling time-resolved </w:t>
      </w:r>
      <w:proofErr w:type="spellStart"/>
      <w:r w:rsidRPr="00A37C08">
        <w:rPr>
          <w:rFonts w:ascii="Arial" w:eastAsia="Times New Roman" w:hAnsi="Arial" w:cs="Arial"/>
          <w:kern w:val="0"/>
          <w:sz w:val="20"/>
          <w:szCs w:val="20"/>
          <w:lang w:eastAsia="en-IN"/>
          <w14:ligatures w14:val="none"/>
        </w:rPr>
        <w:t>modeling</w:t>
      </w:r>
      <w:proofErr w:type="spellEnd"/>
      <w:r w:rsidRPr="00A37C08">
        <w:rPr>
          <w:rFonts w:ascii="Arial" w:eastAsia="Times New Roman" w:hAnsi="Arial" w:cs="Arial"/>
          <w:kern w:val="0"/>
          <w:sz w:val="20"/>
          <w:szCs w:val="20"/>
          <w:lang w:eastAsia="en-IN"/>
          <w14:ligatures w14:val="none"/>
        </w:rPr>
        <w:t xml:space="preserve"> that can separate cause, consequence, and confounding. Second, interventional trials should routinely test baseline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as a stratification variable, particularly for microbiome-linked therapies (dietary </w:t>
      </w:r>
      <w:proofErr w:type="spellStart"/>
      <w:r w:rsidRPr="00A37C08">
        <w:rPr>
          <w:rFonts w:ascii="Arial" w:eastAsia="Times New Roman" w:hAnsi="Arial" w:cs="Arial"/>
          <w:kern w:val="0"/>
          <w:sz w:val="20"/>
          <w:szCs w:val="20"/>
          <w:lang w:eastAsia="en-IN"/>
          <w14:ligatures w14:val="none"/>
        </w:rPr>
        <w:t>fiber</w:t>
      </w:r>
      <w:proofErr w:type="spellEnd"/>
      <w:r w:rsidRPr="00A37C08">
        <w:rPr>
          <w:rFonts w:ascii="Arial" w:eastAsia="Times New Roman" w:hAnsi="Arial" w:cs="Arial"/>
          <w:kern w:val="0"/>
          <w:sz w:val="20"/>
          <w:szCs w:val="20"/>
          <w:lang w:eastAsia="en-IN"/>
          <w14:ligatures w14:val="none"/>
        </w:rPr>
        <w:t>, metformin initiation, and direct supplementation). Third, strain-aware assays should be developed and validated, reflecting the demonstrated genomic and phenotypic diversity within the genus (</w:t>
      </w:r>
      <w:proofErr w:type="spellStart"/>
      <w:r w:rsidR="00B65CFE" w:rsidRPr="00A37C08">
        <w:rPr>
          <w:rFonts w:ascii="Arial" w:eastAsia="Times New Roman" w:hAnsi="Arial" w:cs="Arial"/>
          <w:kern w:val="0"/>
          <w:sz w:val="20"/>
          <w:szCs w:val="20"/>
          <w:lang w:eastAsia="en-IN"/>
          <w14:ligatures w14:val="none"/>
        </w:rPr>
        <w:t>Karcher</w:t>
      </w:r>
      <w:proofErr w:type="spellEnd"/>
      <w:r w:rsidRPr="00A37C08">
        <w:rPr>
          <w:rFonts w:ascii="Arial" w:eastAsia="Times New Roman" w:hAnsi="Arial" w:cs="Arial"/>
          <w:kern w:val="0"/>
          <w:sz w:val="20"/>
          <w:szCs w:val="20"/>
          <w:lang w:eastAsia="en-IN"/>
          <w14:ligatures w14:val="none"/>
        </w:rPr>
        <w:t xml:space="preserve"> et al., 2021; </w:t>
      </w:r>
      <w:proofErr w:type="spellStart"/>
      <w:r w:rsidRPr="00A37C08">
        <w:rPr>
          <w:rFonts w:ascii="Arial" w:eastAsia="Times New Roman" w:hAnsi="Arial" w:cs="Arial"/>
          <w:kern w:val="0"/>
          <w:sz w:val="20"/>
          <w:szCs w:val="20"/>
          <w:lang w:eastAsia="en-IN"/>
          <w14:ligatures w14:val="none"/>
        </w:rPr>
        <w:t>Dubourg</w:t>
      </w:r>
      <w:proofErr w:type="spellEnd"/>
      <w:r w:rsidRPr="00A37C08">
        <w:rPr>
          <w:rFonts w:ascii="Arial" w:eastAsia="Times New Roman" w:hAnsi="Arial" w:cs="Arial"/>
          <w:kern w:val="0"/>
          <w:sz w:val="20"/>
          <w:szCs w:val="20"/>
          <w:lang w:eastAsia="en-IN"/>
          <w14:ligatures w14:val="none"/>
        </w:rPr>
        <w:t xml:space="preserve"> et al., 2021). Finally, external validation across geographic regions is essential; a prognostic marker that works only in one population will not meet the standards of high-impact clinical translation.</w:t>
      </w:r>
    </w:p>
    <w:p w14:paraId="33F29C8B" w14:textId="77777777" w:rsidR="00A37C08" w:rsidRPr="00A37C08" w:rsidRDefault="00A37C08" w:rsidP="00A37C08">
      <w:pPr>
        <w:spacing w:after="0" w:line="360" w:lineRule="auto"/>
        <w:rPr>
          <w:rFonts w:ascii="Arial" w:eastAsia="Times New Roman" w:hAnsi="Arial" w:cs="Arial"/>
          <w:kern w:val="0"/>
          <w:sz w:val="20"/>
          <w:szCs w:val="20"/>
          <w:lang w:eastAsia="en-IN"/>
          <w14:ligatures w14:val="none"/>
        </w:rPr>
      </w:pPr>
    </w:p>
    <w:p w14:paraId="6F17795E" w14:textId="77777777" w:rsidR="000E1074" w:rsidRPr="00A37C08" w:rsidRDefault="000E1074" w:rsidP="00A37C08">
      <w:pPr>
        <w:spacing w:after="0" w:line="360" w:lineRule="auto"/>
        <w:outlineLvl w:val="1"/>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6. Conclusions</w:t>
      </w:r>
    </w:p>
    <w:p w14:paraId="49D73634" w14:textId="77777777" w:rsidR="004603DC" w:rsidRPr="004603DC" w:rsidRDefault="004603DC" w:rsidP="00A37C08">
      <w:pPr>
        <w:spacing w:after="0" w:line="360" w:lineRule="auto"/>
        <w:rPr>
          <w:rFonts w:ascii="Arial" w:eastAsia="Times New Roman" w:hAnsi="Arial" w:cs="Arial"/>
          <w:kern w:val="0"/>
          <w:sz w:val="20"/>
          <w:szCs w:val="20"/>
          <w:lang w:eastAsia="en-IN"/>
          <w14:ligatures w14:val="none"/>
        </w:rPr>
      </w:pPr>
      <w:proofErr w:type="spellStart"/>
      <w:r w:rsidRPr="004603DC">
        <w:rPr>
          <w:rFonts w:ascii="Arial" w:eastAsia="Times New Roman" w:hAnsi="Arial" w:cs="Arial"/>
          <w:i/>
          <w:iCs/>
          <w:kern w:val="0"/>
          <w:sz w:val="20"/>
          <w:szCs w:val="20"/>
          <w:lang w:eastAsia="en-IN"/>
          <w14:ligatures w14:val="none"/>
        </w:rPr>
        <w:t>Akkermansia</w:t>
      </w:r>
      <w:proofErr w:type="spellEnd"/>
      <w:r w:rsidRPr="004603DC">
        <w:rPr>
          <w:rFonts w:ascii="Arial" w:eastAsia="Times New Roman" w:hAnsi="Arial" w:cs="Arial"/>
          <w:i/>
          <w:iCs/>
          <w:kern w:val="0"/>
          <w:sz w:val="20"/>
          <w:szCs w:val="20"/>
          <w:lang w:eastAsia="en-IN"/>
          <w14:ligatures w14:val="none"/>
        </w:rPr>
        <w:t xml:space="preserve"> </w:t>
      </w:r>
      <w:proofErr w:type="spellStart"/>
      <w:r w:rsidRPr="004603DC">
        <w:rPr>
          <w:rFonts w:ascii="Arial" w:eastAsia="Times New Roman" w:hAnsi="Arial" w:cs="Arial"/>
          <w:i/>
          <w:iCs/>
          <w:kern w:val="0"/>
          <w:sz w:val="20"/>
          <w:szCs w:val="20"/>
          <w:lang w:eastAsia="en-IN"/>
          <w14:ligatures w14:val="none"/>
        </w:rPr>
        <w:t>muciniphila</w:t>
      </w:r>
      <w:proofErr w:type="spellEnd"/>
      <w:r w:rsidRPr="004603DC">
        <w:rPr>
          <w:rFonts w:ascii="Arial" w:eastAsia="Times New Roman" w:hAnsi="Arial" w:cs="Arial"/>
          <w:kern w:val="0"/>
          <w:sz w:val="20"/>
          <w:szCs w:val="20"/>
          <w:lang w:eastAsia="en-IN"/>
          <w14:ligatures w14:val="none"/>
        </w:rPr>
        <w:t xml:space="preserve"> has moved beyond being a repeatedly “associated” gut taxon to becoming a biologically interpretable and translationally testable candidate marker in metabolic disease. Across human cohort studies, lower </w:t>
      </w:r>
      <w:r w:rsidRPr="004603DC">
        <w:rPr>
          <w:rFonts w:ascii="Arial" w:eastAsia="Times New Roman" w:hAnsi="Arial" w:cs="Arial"/>
          <w:i/>
          <w:iCs/>
          <w:kern w:val="0"/>
          <w:sz w:val="20"/>
          <w:szCs w:val="20"/>
          <w:lang w:eastAsia="en-IN"/>
          <w14:ligatures w14:val="none"/>
        </w:rPr>
        <w:t xml:space="preserve">A. </w:t>
      </w:r>
      <w:proofErr w:type="spellStart"/>
      <w:r w:rsidRPr="004603DC">
        <w:rPr>
          <w:rFonts w:ascii="Arial" w:eastAsia="Times New Roman" w:hAnsi="Arial" w:cs="Arial"/>
          <w:i/>
          <w:iCs/>
          <w:kern w:val="0"/>
          <w:sz w:val="20"/>
          <w:szCs w:val="20"/>
          <w:lang w:eastAsia="en-IN"/>
          <w14:ligatures w14:val="none"/>
        </w:rPr>
        <w:t>muciniphila</w:t>
      </w:r>
      <w:proofErr w:type="spellEnd"/>
      <w:r w:rsidRPr="004603DC">
        <w:rPr>
          <w:rFonts w:ascii="Arial" w:eastAsia="Times New Roman" w:hAnsi="Arial" w:cs="Arial"/>
          <w:kern w:val="0"/>
          <w:sz w:val="20"/>
          <w:szCs w:val="20"/>
          <w:lang w:eastAsia="en-IN"/>
          <w14:ligatures w14:val="none"/>
        </w:rPr>
        <w:t xml:space="preserve"> abundance is commonly observed in </w:t>
      </w:r>
      <w:proofErr w:type="spellStart"/>
      <w:r w:rsidRPr="004603DC">
        <w:rPr>
          <w:rFonts w:ascii="Arial" w:eastAsia="Times New Roman" w:hAnsi="Arial" w:cs="Arial"/>
          <w:kern w:val="0"/>
          <w:sz w:val="20"/>
          <w:szCs w:val="20"/>
          <w:lang w:eastAsia="en-IN"/>
          <w14:ligatures w14:val="none"/>
        </w:rPr>
        <w:t>dysglycemia</w:t>
      </w:r>
      <w:proofErr w:type="spellEnd"/>
      <w:r w:rsidRPr="004603DC">
        <w:rPr>
          <w:rFonts w:ascii="Arial" w:eastAsia="Times New Roman" w:hAnsi="Arial" w:cs="Arial"/>
          <w:kern w:val="0"/>
          <w:sz w:val="20"/>
          <w:szCs w:val="20"/>
          <w:lang w:eastAsia="en-IN"/>
          <w14:ligatures w14:val="none"/>
        </w:rPr>
        <w:t xml:space="preserve"> and T2DM, and early supplementation trials provide proof that manipulating this organism (or its bioactive components) can shift metabolic phenotypes in directions consistent with improved insulin sensitivity </w:t>
      </w:r>
      <w:r w:rsidRPr="004603DC">
        <w:rPr>
          <w:rFonts w:ascii="Arial" w:eastAsia="Times New Roman" w:hAnsi="Arial" w:cs="Arial"/>
          <w:kern w:val="0"/>
          <w:sz w:val="20"/>
          <w:szCs w:val="20"/>
          <w:lang w:eastAsia="en-IN"/>
          <w14:ligatures w14:val="none"/>
        </w:rPr>
        <w:lastRenderedPageBreak/>
        <w:t xml:space="preserve">and cardiometabolic risk. Nevertheless, the present evidence base does not justify treating </w:t>
      </w:r>
      <w:r w:rsidRPr="004603DC">
        <w:rPr>
          <w:rFonts w:ascii="Arial" w:eastAsia="Times New Roman" w:hAnsi="Arial" w:cs="Arial"/>
          <w:i/>
          <w:iCs/>
          <w:kern w:val="0"/>
          <w:sz w:val="20"/>
          <w:szCs w:val="20"/>
          <w:lang w:eastAsia="en-IN"/>
          <w14:ligatures w14:val="none"/>
        </w:rPr>
        <w:t xml:space="preserve">A. </w:t>
      </w:r>
      <w:proofErr w:type="spellStart"/>
      <w:r w:rsidRPr="004603DC">
        <w:rPr>
          <w:rFonts w:ascii="Arial" w:eastAsia="Times New Roman" w:hAnsi="Arial" w:cs="Arial"/>
          <w:i/>
          <w:iCs/>
          <w:kern w:val="0"/>
          <w:sz w:val="20"/>
          <w:szCs w:val="20"/>
          <w:lang w:eastAsia="en-IN"/>
          <w14:ligatures w14:val="none"/>
        </w:rPr>
        <w:t>muciniphila</w:t>
      </w:r>
      <w:proofErr w:type="spellEnd"/>
      <w:r w:rsidRPr="004603DC">
        <w:rPr>
          <w:rFonts w:ascii="Arial" w:eastAsia="Times New Roman" w:hAnsi="Arial" w:cs="Arial"/>
          <w:kern w:val="0"/>
          <w:sz w:val="20"/>
          <w:szCs w:val="20"/>
          <w:lang w:eastAsia="en-IN"/>
          <w14:ligatures w14:val="none"/>
        </w:rPr>
        <w:t xml:space="preserve"> as a universal, stand-alone prognostic indicator for the natural history of T2DM across populations. Its abundance is highly responsive to diet and weight change, strongly influenced by common medications—especially metformin—and potentially represents multiple functionally distinct lineages that are not reliably distinguished by routine taxonomic assays. These realities create context dependence that can inflate or obscure associations unless studies are carefully medication-stratified, diet-aware, and strain-informed.</w:t>
      </w:r>
    </w:p>
    <w:p w14:paraId="4E378A99" w14:textId="505C52E7" w:rsidR="000E1074" w:rsidRDefault="004603DC" w:rsidP="00A37C08">
      <w:pPr>
        <w:spacing w:after="0" w:line="360" w:lineRule="auto"/>
        <w:rPr>
          <w:rFonts w:ascii="Arial" w:eastAsia="Times New Roman" w:hAnsi="Arial" w:cs="Arial"/>
          <w:kern w:val="0"/>
          <w:sz w:val="20"/>
          <w:szCs w:val="20"/>
          <w:lang w:eastAsia="en-IN"/>
          <w14:ligatures w14:val="none"/>
        </w:rPr>
      </w:pPr>
      <w:r w:rsidRPr="004603DC">
        <w:rPr>
          <w:rFonts w:ascii="Arial" w:eastAsia="Times New Roman" w:hAnsi="Arial" w:cs="Arial"/>
          <w:kern w:val="0"/>
          <w:sz w:val="20"/>
          <w:szCs w:val="20"/>
          <w:lang w:eastAsia="en-IN"/>
          <w14:ligatures w14:val="none"/>
        </w:rPr>
        <w:t xml:space="preserve">The most defensible near-term clinical value of </w:t>
      </w:r>
      <w:r w:rsidRPr="004603DC">
        <w:rPr>
          <w:rFonts w:ascii="Arial" w:eastAsia="Times New Roman" w:hAnsi="Arial" w:cs="Arial"/>
          <w:i/>
          <w:iCs/>
          <w:kern w:val="0"/>
          <w:sz w:val="20"/>
          <w:szCs w:val="20"/>
          <w:lang w:eastAsia="en-IN"/>
          <w14:ligatures w14:val="none"/>
        </w:rPr>
        <w:t xml:space="preserve">A. </w:t>
      </w:r>
      <w:proofErr w:type="spellStart"/>
      <w:r w:rsidRPr="004603DC">
        <w:rPr>
          <w:rFonts w:ascii="Arial" w:eastAsia="Times New Roman" w:hAnsi="Arial" w:cs="Arial"/>
          <w:i/>
          <w:iCs/>
          <w:kern w:val="0"/>
          <w:sz w:val="20"/>
          <w:szCs w:val="20"/>
          <w:lang w:eastAsia="en-IN"/>
          <w14:ligatures w14:val="none"/>
        </w:rPr>
        <w:t>muciniphila</w:t>
      </w:r>
      <w:proofErr w:type="spellEnd"/>
      <w:r w:rsidRPr="004603DC">
        <w:rPr>
          <w:rFonts w:ascii="Arial" w:eastAsia="Times New Roman" w:hAnsi="Arial" w:cs="Arial"/>
          <w:kern w:val="0"/>
          <w:sz w:val="20"/>
          <w:szCs w:val="20"/>
          <w:lang w:eastAsia="en-IN"/>
          <w14:ligatures w14:val="none"/>
        </w:rPr>
        <w:t xml:space="preserve"> lies in risk refinement and therapeutic stratification rather than solitary prognosis. Specifically, baseline </w:t>
      </w:r>
      <w:r w:rsidRPr="004603DC">
        <w:rPr>
          <w:rFonts w:ascii="Arial" w:eastAsia="Times New Roman" w:hAnsi="Arial" w:cs="Arial"/>
          <w:i/>
          <w:iCs/>
          <w:kern w:val="0"/>
          <w:sz w:val="20"/>
          <w:szCs w:val="20"/>
          <w:lang w:eastAsia="en-IN"/>
          <w14:ligatures w14:val="none"/>
        </w:rPr>
        <w:t xml:space="preserve">A. </w:t>
      </w:r>
      <w:proofErr w:type="spellStart"/>
      <w:r w:rsidRPr="004603DC">
        <w:rPr>
          <w:rFonts w:ascii="Arial" w:eastAsia="Times New Roman" w:hAnsi="Arial" w:cs="Arial"/>
          <w:i/>
          <w:iCs/>
          <w:kern w:val="0"/>
          <w:sz w:val="20"/>
          <w:szCs w:val="20"/>
          <w:lang w:eastAsia="en-IN"/>
          <w14:ligatures w14:val="none"/>
        </w:rPr>
        <w:t>muciniphila</w:t>
      </w:r>
      <w:proofErr w:type="spellEnd"/>
      <w:r w:rsidRPr="004603DC">
        <w:rPr>
          <w:rFonts w:ascii="Arial" w:eastAsia="Times New Roman" w:hAnsi="Arial" w:cs="Arial"/>
          <w:kern w:val="0"/>
          <w:sz w:val="20"/>
          <w:szCs w:val="20"/>
          <w:lang w:eastAsia="en-IN"/>
          <w14:ligatures w14:val="none"/>
        </w:rPr>
        <w:t xml:space="preserve"> measures may add incremental value to multivariable models in prediabetes and early T2DM, and may help predict responsiveness to interventions plausibly mediated by the gut ecosystem, including metformin initiation, structured dietary </w:t>
      </w:r>
      <w:proofErr w:type="spellStart"/>
      <w:r w:rsidRPr="004603DC">
        <w:rPr>
          <w:rFonts w:ascii="Arial" w:eastAsia="Times New Roman" w:hAnsi="Arial" w:cs="Arial"/>
          <w:kern w:val="0"/>
          <w:sz w:val="20"/>
          <w:szCs w:val="20"/>
          <w:lang w:eastAsia="en-IN"/>
          <w14:ligatures w14:val="none"/>
        </w:rPr>
        <w:t>fiber</w:t>
      </w:r>
      <w:proofErr w:type="spellEnd"/>
      <w:r w:rsidRPr="004603DC">
        <w:rPr>
          <w:rFonts w:ascii="Arial" w:eastAsia="Times New Roman" w:hAnsi="Arial" w:cs="Arial"/>
          <w:kern w:val="0"/>
          <w:sz w:val="20"/>
          <w:szCs w:val="20"/>
          <w:lang w:eastAsia="en-IN"/>
          <w14:ligatures w14:val="none"/>
        </w:rPr>
        <w:t xml:space="preserve"> or weight-loss programs, and next-generation probiotic supplementation. Future progress will depend on prospective, multi-ethnic longitudinal cohorts with repeated sampling, standardized quantification methods, and external validation of prediction models that explicitly incorporate medication exposure. Parallel development of strain-level or function-based assays will be critical to convert a promising ecological signal into a clinically reliable prognostic tool.</w:t>
      </w:r>
    </w:p>
    <w:p w14:paraId="3D688E3B" w14:textId="77777777" w:rsidR="00A37C08" w:rsidRPr="00A37C08" w:rsidRDefault="00A37C08" w:rsidP="00A37C08">
      <w:pPr>
        <w:spacing w:after="0" w:line="360" w:lineRule="auto"/>
        <w:rPr>
          <w:rFonts w:ascii="Arial" w:eastAsia="Times New Roman" w:hAnsi="Arial" w:cs="Arial"/>
          <w:kern w:val="0"/>
          <w:sz w:val="20"/>
          <w:szCs w:val="20"/>
          <w:lang w:eastAsia="en-IN"/>
          <w14:ligatures w14:val="none"/>
        </w:rPr>
      </w:pPr>
    </w:p>
    <w:p w14:paraId="43CCE214" w14:textId="77777777" w:rsidR="000E1074" w:rsidRPr="00A37C08" w:rsidRDefault="000E1074" w:rsidP="00A37C08">
      <w:pPr>
        <w:spacing w:after="0" w:line="360" w:lineRule="auto"/>
        <w:outlineLvl w:val="1"/>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7. Limitations</w:t>
      </w:r>
    </w:p>
    <w:p w14:paraId="1FA496A0" w14:textId="77777777" w:rsidR="004603DC" w:rsidRPr="004603DC" w:rsidRDefault="004603DC" w:rsidP="00A37C08">
      <w:pPr>
        <w:spacing w:after="0" w:line="360" w:lineRule="auto"/>
        <w:rPr>
          <w:rFonts w:ascii="Arial" w:eastAsia="Times New Roman" w:hAnsi="Arial" w:cs="Arial"/>
          <w:kern w:val="0"/>
          <w:sz w:val="20"/>
          <w:szCs w:val="20"/>
          <w:lang w:eastAsia="en-IN"/>
          <w14:ligatures w14:val="none"/>
        </w:rPr>
      </w:pPr>
      <w:r w:rsidRPr="004603DC">
        <w:rPr>
          <w:rFonts w:ascii="Arial" w:eastAsia="Times New Roman" w:hAnsi="Arial" w:cs="Arial"/>
          <w:kern w:val="0"/>
          <w:sz w:val="20"/>
          <w:szCs w:val="20"/>
          <w:lang w:eastAsia="en-IN"/>
          <w14:ligatures w14:val="none"/>
        </w:rPr>
        <w:t xml:space="preserve">This narrative review is limited by the heterogeneity of the underlying microbiome literature and by the constraints inherent to a non-systematic synthesis. Studies differ substantially in participant selection (metformin-naïve vs. treated T2DM, duration of diabetes, comorbidity burden), biospecimen handling, sequencing platforms (16S rRNA profiling vs. shotgun metagenomics), and bioinformatic pipelines, each of which can alter detection and quantification of </w:t>
      </w:r>
      <w:r w:rsidRPr="004603DC">
        <w:rPr>
          <w:rFonts w:ascii="Arial" w:eastAsia="Times New Roman" w:hAnsi="Arial" w:cs="Arial"/>
          <w:i/>
          <w:iCs/>
          <w:kern w:val="0"/>
          <w:sz w:val="20"/>
          <w:szCs w:val="20"/>
          <w:lang w:eastAsia="en-IN"/>
          <w14:ligatures w14:val="none"/>
        </w:rPr>
        <w:t xml:space="preserve">A. </w:t>
      </w:r>
      <w:proofErr w:type="spellStart"/>
      <w:r w:rsidRPr="004603DC">
        <w:rPr>
          <w:rFonts w:ascii="Arial" w:eastAsia="Times New Roman" w:hAnsi="Arial" w:cs="Arial"/>
          <w:i/>
          <w:iCs/>
          <w:kern w:val="0"/>
          <w:sz w:val="20"/>
          <w:szCs w:val="20"/>
          <w:lang w:eastAsia="en-IN"/>
          <w14:ligatures w14:val="none"/>
        </w:rPr>
        <w:t>muciniphila</w:t>
      </w:r>
      <w:proofErr w:type="spellEnd"/>
      <w:r w:rsidRPr="004603DC">
        <w:rPr>
          <w:rFonts w:ascii="Arial" w:eastAsia="Times New Roman" w:hAnsi="Arial" w:cs="Arial"/>
          <w:kern w:val="0"/>
          <w:sz w:val="20"/>
          <w:szCs w:val="20"/>
          <w:lang w:eastAsia="en-IN"/>
          <w14:ligatures w14:val="none"/>
        </w:rPr>
        <w:t xml:space="preserve"> and reduce cross-study comparability. Clinical endpoint definitions also vary widely, ranging from cross-sectional </w:t>
      </w:r>
      <w:proofErr w:type="spellStart"/>
      <w:r w:rsidRPr="004603DC">
        <w:rPr>
          <w:rFonts w:ascii="Arial" w:eastAsia="Times New Roman" w:hAnsi="Arial" w:cs="Arial"/>
          <w:kern w:val="0"/>
          <w:sz w:val="20"/>
          <w:szCs w:val="20"/>
          <w:lang w:eastAsia="en-IN"/>
          <w14:ligatures w14:val="none"/>
        </w:rPr>
        <w:t>glycemic</w:t>
      </w:r>
      <w:proofErr w:type="spellEnd"/>
      <w:r w:rsidRPr="004603DC">
        <w:rPr>
          <w:rFonts w:ascii="Arial" w:eastAsia="Times New Roman" w:hAnsi="Arial" w:cs="Arial"/>
          <w:kern w:val="0"/>
          <w:sz w:val="20"/>
          <w:szCs w:val="20"/>
          <w:lang w:eastAsia="en-IN"/>
          <w14:ligatures w14:val="none"/>
        </w:rPr>
        <w:t xml:space="preserve"> status to longitudinal changes in HbA1c, insulin resistance indices, or medication escalation, limiting inference about which prognostic outcomes are most strongly and consistently linked to </w:t>
      </w:r>
      <w:r w:rsidRPr="004603DC">
        <w:rPr>
          <w:rFonts w:ascii="Arial" w:eastAsia="Times New Roman" w:hAnsi="Arial" w:cs="Arial"/>
          <w:i/>
          <w:iCs/>
          <w:kern w:val="0"/>
          <w:sz w:val="20"/>
          <w:szCs w:val="20"/>
          <w:lang w:eastAsia="en-IN"/>
          <w14:ligatures w14:val="none"/>
        </w:rPr>
        <w:t xml:space="preserve">A. </w:t>
      </w:r>
      <w:proofErr w:type="spellStart"/>
      <w:r w:rsidRPr="004603DC">
        <w:rPr>
          <w:rFonts w:ascii="Arial" w:eastAsia="Times New Roman" w:hAnsi="Arial" w:cs="Arial"/>
          <w:i/>
          <w:iCs/>
          <w:kern w:val="0"/>
          <w:sz w:val="20"/>
          <w:szCs w:val="20"/>
          <w:lang w:eastAsia="en-IN"/>
          <w14:ligatures w14:val="none"/>
        </w:rPr>
        <w:t>muciniphila</w:t>
      </w:r>
      <w:proofErr w:type="spellEnd"/>
      <w:r w:rsidRPr="004603DC">
        <w:rPr>
          <w:rFonts w:ascii="Arial" w:eastAsia="Times New Roman" w:hAnsi="Arial" w:cs="Arial"/>
          <w:kern w:val="0"/>
          <w:sz w:val="20"/>
          <w:szCs w:val="20"/>
          <w:lang w:eastAsia="en-IN"/>
          <w14:ligatures w14:val="none"/>
        </w:rPr>
        <w:t>.</w:t>
      </w:r>
    </w:p>
    <w:p w14:paraId="083332B9" w14:textId="77777777" w:rsidR="004603DC" w:rsidRDefault="004603DC" w:rsidP="00A37C08">
      <w:pPr>
        <w:spacing w:after="0" w:line="360" w:lineRule="auto"/>
        <w:rPr>
          <w:rFonts w:ascii="Arial" w:eastAsia="Times New Roman" w:hAnsi="Arial" w:cs="Arial"/>
          <w:kern w:val="0"/>
          <w:sz w:val="20"/>
          <w:szCs w:val="20"/>
          <w:lang w:eastAsia="en-IN"/>
          <w14:ligatures w14:val="none"/>
        </w:rPr>
      </w:pPr>
      <w:r w:rsidRPr="004603DC">
        <w:rPr>
          <w:rFonts w:ascii="Arial" w:eastAsia="Times New Roman" w:hAnsi="Arial" w:cs="Arial"/>
          <w:kern w:val="0"/>
          <w:sz w:val="20"/>
          <w:szCs w:val="20"/>
          <w:lang w:eastAsia="en-IN"/>
          <w14:ligatures w14:val="none"/>
        </w:rPr>
        <w:t xml:space="preserve">Medication confounding remains a major constraint: metformin and other commonly used drugs (e.g., statins, proton pump inhibitors, GLP-1 receptor agonists, antibiotics) can reshape the gut microbiome and may inflate or mask associations if not carefully </w:t>
      </w:r>
      <w:proofErr w:type="spellStart"/>
      <w:r w:rsidRPr="004603DC">
        <w:rPr>
          <w:rFonts w:ascii="Arial" w:eastAsia="Times New Roman" w:hAnsi="Arial" w:cs="Arial"/>
          <w:kern w:val="0"/>
          <w:sz w:val="20"/>
          <w:szCs w:val="20"/>
          <w:lang w:eastAsia="en-IN"/>
          <w14:ligatures w14:val="none"/>
        </w:rPr>
        <w:t>modeled</w:t>
      </w:r>
      <w:proofErr w:type="spellEnd"/>
      <w:r w:rsidRPr="004603DC">
        <w:rPr>
          <w:rFonts w:ascii="Arial" w:eastAsia="Times New Roman" w:hAnsi="Arial" w:cs="Arial"/>
          <w:kern w:val="0"/>
          <w:sz w:val="20"/>
          <w:szCs w:val="20"/>
          <w:lang w:eastAsia="en-IN"/>
          <w14:ligatures w14:val="none"/>
        </w:rPr>
        <w:t xml:space="preserve">. Dietary patterns, </w:t>
      </w:r>
      <w:proofErr w:type="spellStart"/>
      <w:r w:rsidRPr="004603DC">
        <w:rPr>
          <w:rFonts w:ascii="Arial" w:eastAsia="Times New Roman" w:hAnsi="Arial" w:cs="Arial"/>
          <w:kern w:val="0"/>
          <w:sz w:val="20"/>
          <w:szCs w:val="20"/>
          <w:lang w:eastAsia="en-IN"/>
          <w14:ligatures w14:val="none"/>
        </w:rPr>
        <w:t>fiber</w:t>
      </w:r>
      <w:proofErr w:type="spellEnd"/>
      <w:r w:rsidRPr="004603DC">
        <w:rPr>
          <w:rFonts w:ascii="Arial" w:eastAsia="Times New Roman" w:hAnsi="Arial" w:cs="Arial"/>
          <w:kern w:val="0"/>
          <w:sz w:val="20"/>
          <w:szCs w:val="20"/>
          <w:lang w:eastAsia="en-IN"/>
          <w14:ligatures w14:val="none"/>
        </w:rPr>
        <w:t xml:space="preserve"> intake, and weight-loss </w:t>
      </w:r>
      <w:proofErr w:type="spellStart"/>
      <w:r w:rsidRPr="004603DC">
        <w:rPr>
          <w:rFonts w:ascii="Arial" w:eastAsia="Times New Roman" w:hAnsi="Arial" w:cs="Arial"/>
          <w:kern w:val="0"/>
          <w:sz w:val="20"/>
          <w:szCs w:val="20"/>
          <w:lang w:eastAsia="en-IN"/>
          <w14:ligatures w14:val="none"/>
        </w:rPr>
        <w:t>behaviors</w:t>
      </w:r>
      <w:proofErr w:type="spellEnd"/>
      <w:r w:rsidRPr="004603DC">
        <w:rPr>
          <w:rFonts w:ascii="Arial" w:eastAsia="Times New Roman" w:hAnsi="Arial" w:cs="Arial"/>
          <w:kern w:val="0"/>
          <w:sz w:val="20"/>
          <w:szCs w:val="20"/>
          <w:lang w:eastAsia="en-IN"/>
          <w14:ligatures w14:val="none"/>
        </w:rPr>
        <w:t xml:space="preserve"> are often incompletely measured, further complicating attribution. Additionally, the genus </w:t>
      </w:r>
      <w:proofErr w:type="spellStart"/>
      <w:r w:rsidRPr="004603DC">
        <w:rPr>
          <w:rFonts w:ascii="Arial" w:eastAsia="Times New Roman" w:hAnsi="Arial" w:cs="Arial"/>
          <w:i/>
          <w:iCs/>
          <w:kern w:val="0"/>
          <w:sz w:val="20"/>
          <w:szCs w:val="20"/>
          <w:lang w:eastAsia="en-IN"/>
          <w14:ligatures w14:val="none"/>
        </w:rPr>
        <w:t>Akkermansia</w:t>
      </w:r>
      <w:proofErr w:type="spellEnd"/>
      <w:r w:rsidRPr="004603DC">
        <w:rPr>
          <w:rFonts w:ascii="Arial" w:eastAsia="Times New Roman" w:hAnsi="Arial" w:cs="Arial"/>
          <w:kern w:val="0"/>
          <w:sz w:val="20"/>
          <w:szCs w:val="20"/>
          <w:lang w:eastAsia="en-IN"/>
          <w14:ligatures w14:val="none"/>
        </w:rPr>
        <w:t xml:space="preserve"> includes multiple phylogroups and related species, yet many studies report only genus- or species-level abundance, potentially diluting functionally important strain-specific effects. Finally, while early human supplementation trials are encouraging, their sample sizes, follow-up durations, and population diversity are still insufficient to support firm conclusions about long-term prognostic value for complications or durable disease modification.</w:t>
      </w:r>
    </w:p>
    <w:p w14:paraId="0226B162" w14:textId="77777777" w:rsidR="00A37C08" w:rsidRPr="004603DC" w:rsidRDefault="00A37C08" w:rsidP="00A37C08">
      <w:pPr>
        <w:spacing w:after="0" w:line="360" w:lineRule="auto"/>
        <w:rPr>
          <w:rFonts w:ascii="Arial" w:eastAsia="Times New Roman" w:hAnsi="Arial" w:cs="Arial"/>
          <w:kern w:val="0"/>
          <w:sz w:val="20"/>
          <w:szCs w:val="20"/>
          <w:lang w:eastAsia="en-IN"/>
          <w14:ligatures w14:val="none"/>
        </w:rPr>
      </w:pPr>
    </w:p>
    <w:p w14:paraId="1F812F2A" w14:textId="77777777" w:rsidR="00B65CFE" w:rsidRPr="00A37C08" w:rsidRDefault="00B65CFE" w:rsidP="00A37C08">
      <w:pPr>
        <w:spacing w:after="0" w:line="360" w:lineRule="auto"/>
        <w:outlineLvl w:val="1"/>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 xml:space="preserve">References </w:t>
      </w:r>
    </w:p>
    <w:p w14:paraId="39FB328E" w14:textId="77777777" w:rsidR="00B65CFE" w:rsidRPr="00A37C08" w:rsidRDefault="00B65CFE" w:rsidP="00A37C08">
      <w:pPr>
        <w:pStyle w:val="NormalWeb"/>
        <w:spacing w:before="0" w:beforeAutospacing="0" w:after="0" w:afterAutospacing="0" w:line="360" w:lineRule="auto"/>
        <w:rPr>
          <w:rFonts w:ascii="Arial" w:hAnsi="Arial" w:cs="Arial"/>
          <w:sz w:val="20"/>
          <w:szCs w:val="20"/>
        </w:rPr>
      </w:pPr>
      <w:proofErr w:type="spellStart"/>
      <w:r w:rsidRPr="00A37C08">
        <w:rPr>
          <w:rFonts w:ascii="Arial" w:hAnsi="Arial" w:cs="Arial"/>
          <w:sz w:val="20"/>
          <w:szCs w:val="20"/>
        </w:rPr>
        <w:t>Cani</w:t>
      </w:r>
      <w:proofErr w:type="spellEnd"/>
      <w:r w:rsidRPr="00A37C08">
        <w:rPr>
          <w:rFonts w:ascii="Arial" w:hAnsi="Arial" w:cs="Arial"/>
          <w:sz w:val="20"/>
          <w:szCs w:val="20"/>
        </w:rPr>
        <w:t xml:space="preserve">, P. D., &amp; Knauf, C. (2021). A newly identified protein from </w:t>
      </w:r>
      <w:proofErr w:type="spellStart"/>
      <w:r w:rsidRPr="00A37C08">
        <w:rPr>
          <w:rStyle w:val="Emphasis"/>
          <w:rFonts w:ascii="Arial" w:eastAsiaTheme="majorEastAsia" w:hAnsi="Arial" w:cs="Arial"/>
          <w:sz w:val="20"/>
          <w:szCs w:val="20"/>
        </w:rPr>
        <w:t>Akkermansia</w:t>
      </w:r>
      <w:proofErr w:type="spellEnd"/>
      <w:r w:rsidRPr="00A37C08">
        <w:rPr>
          <w:rStyle w:val="Emphasis"/>
          <w:rFonts w:ascii="Arial" w:eastAsiaTheme="majorEastAsia" w:hAnsi="Arial" w:cs="Arial"/>
          <w:sz w:val="20"/>
          <w:szCs w:val="20"/>
        </w:rPr>
        <w:t xml:space="preserve"> </w:t>
      </w:r>
      <w:proofErr w:type="spellStart"/>
      <w:r w:rsidRPr="00A37C08">
        <w:rPr>
          <w:rStyle w:val="Emphasis"/>
          <w:rFonts w:ascii="Arial" w:eastAsiaTheme="majorEastAsia" w:hAnsi="Arial" w:cs="Arial"/>
          <w:sz w:val="20"/>
          <w:szCs w:val="20"/>
        </w:rPr>
        <w:t>muciniphila</w:t>
      </w:r>
      <w:proofErr w:type="spellEnd"/>
      <w:r w:rsidRPr="00A37C08">
        <w:rPr>
          <w:rFonts w:ascii="Arial" w:hAnsi="Arial" w:cs="Arial"/>
          <w:sz w:val="20"/>
          <w:szCs w:val="20"/>
        </w:rPr>
        <w:t xml:space="preserve"> stimulates GLP-1 secretion. </w:t>
      </w:r>
      <w:r w:rsidRPr="00A37C08">
        <w:rPr>
          <w:rStyle w:val="Emphasis"/>
          <w:rFonts w:ascii="Arial" w:eastAsiaTheme="majorEastAsia" w:hAnsi="Arial" w:cs="Arial"/>
          <w:sz w:val="20"/>
          <w:szCs w:val="20"/>
        </w:rPr>
        <w:t>Cell Metabolism, 33</w:t>
      </w:r>
      <w:r w:rsidRPr="00A37C08">
        <w:rPr>
          <w:rFonts w:ascii="Arial" w:hAnsi="Arial" w:cs="Arial"/>
          <w:sz w:val="20"/>
          <w:szCs w:val="20"/>
        </w:rPr>
        <w:t xml:space="preserve">(6), 1073–1075. </w:t>
      </w:r>
      <w:hyperlink r:id="rId6" w:tgtFrame="_new" w:history="1">
        <w:r w:rsidRPr="00A37C08">
          <w:rPr>
            <w:rStyle w:val="Hyperlink"/>
            <w:rFonts w:ascii="Arial" w:eastAsiaTheme="majorEastAsia" w:hAnsi="Arial" w:cs="Arial"/>
            <w:sz w:val="20"/>
            <w:szCs w:val="20"/>
          </w:rPr>
          <w:t>https://doi.org/10.1016/j.cmet.2021.05.004</w:t>
        </w:r>
      </w:hyperlink>
      <w:r w:rsidRPr="00A37C08">
        <w:rPr>
          <w:rFonts w:ascii="Arial" w:hAnsi="Arial" w:cs="Arial"/>
          <w:sz w:val="20"/>
          <w:szCs w:val="20"/>
        </w:rPr>
        <w:t xml:space="preserve"> </w:t>
      </w:r>
    </w:p>
    <w:p w14:paraId="74CF3252" w14:textId="77777777" w:rsidR="00B65CFE" w:rsidRPr="00A37C08" w:rsidRDefault="00B65CFE" w:rsidP="00A37C08">
      <w:pPr>
        <w:pStyle w:val="NormalWeb"/>
        <w:spacing w:before="0" w:beforeAutospacing="0" w:after="0" w:afterAutospacing="0" w:line="360" w:lineRule="auto"/>
        <w:rPr>
          <w:rStyle w:val="relative"/>
          <w:rFonts w:ascii="Arial" w:eastAsiaTheme="majorEastAsia" w:hAnsi="Arial" w:cs="Arial"/>
          <w:sz w:val="20"/>
          <w:szCs w:val="20"/>
        </w:rPr>
      </w:pPr>
      <w:r w:rsidRPr="00A37C08">
        <w:rPr>
          <w:rFonts w:ascii="Arial" w:hAnsi="Arial" w:cs="Arial"/>
          <w:sz w:val="20"/>
          <w:szCs w:val="20"/>
        </w:rPr>
        <w:lastRenderedPageBreak/>
        <w:t>Dao, M. C., Everard, A., Aron-</w:t>
      </w:r>
      <w:proofErr w:type="spellStart"/>
      <w:r w:rsidRPr="00A37C08">
        <w:rPr>
          <w:rFonts w:ascii="Arial" w:hAnsi="Arial" w:cs="Arial"/>
          <w:sz w:val="20"/>
          <w:szCs w:val="20"/>
        </w:rPr>
        <w:t>Wisnewsky</w:t>
      </w:r>
      <w:proofErr w:type="spellEnd"/>
      <w:r w:rsidRPr="00A37C08">
        <w:rPr>
          <w:rFonts w:ascii="Arial" w:hAnsi="Arial" w:cs="Arial"/>
          <w:sz w:val="20"/>
          <w:szCs w:val="20"/>
        </w:rPr>
        <w:t xml:space="preserve">, J., </w:t>
      </w:r>
      <w:proofErr w:type="spellStart"/>
      <w:r w:rsidRPr="00A37C08">
        <w:rPr>
          <w:rFonts w:ascii="Arial" w:hAnsi="Arial" w:cs="Arial"/>
          <w:sz w:val="20"/>
          <w:szCs w:val="20"/>
        </w:rPr>
        <w:t>Sokolovska</w:t>
      </w:r>
      <w:proofErr w:type="spellEnd"/>
      <w:r w:rsidRPr="00A37C08">
        <w:rPr>
          <w:rFonts w:ascii="Arial" w:hAnsi="Arial" w:cs="Arial"/>
          <w:sz w:val="20"/>
          <w:szCs w:val="20"/>
        </w:rPr>
        <w:t xml:space="preserve">, N., </w:t>
      </w:r>
      <w:proofErr w:type="spellStart"/>
      <w:r w:rsidRPr="00A37C08">
        <w:rPr>
          <w:rFonts w:ascii="Arial" w:hAnsi="Arial" w:cs="Arial"/>
          <w:sz w:val="20"/>
          <w:szCs w:val="20"/>
        </w:rPr>
        <w:t>Prifti</w:t>
      </w:r>
      <w:proofErr w:type="spellEnd"/>
      <w:r w:rsidRPr="00A37C08">
        <w:rPr>
          <w:rFonts w:ascii="Arial" w:hAnsi="Arial" w:cs="Arial"/>
          <w:sz w:val="20"/>
          <w:szCs w:val="20"/>
        </w:rPr>
        <w:t xml:space="preserve">, E., Verger, E. O., </w:t>
      </w:r>
      <w:proofErr w:type="spellStart"/>
      <w:r w:rsidRPr="00A37C08">
        <w:rPr>
          <w:rFonts w:ascii="Arial" w:hAnsi="Arial" w:cs="Arial"/>
          <w:sz w:val="20"/>
          <w:szCs w:val="20"/>
        </w:rPr>
        <w:t>Kayser</w:t>
      </w:r>
      <w:proofErr w:type="spellEnd"/>
      <w:r w:rsidRPr="00A37C08">
        <w:rPr>
          <w:rFonts w:ascii="Arial" w:hAnsi="Arial" w:cs="Arial"/>
          <w:sz w:val="20"/>
          <w:szCs w:val="20"/>
        </w:rPr>
        <w:t xml:space="preserve">, B. D., </w:t>
      </w:r>
      <w:proofErr w:type="spellStart"/>
      <w:r w:rsidRPr="00A37C08">
        <w:rPr>
          <w:rFonts w:ascii="Arial" w:hAnsi="Arial" w:cs="Arial"/>
          <w:sz w:val="20"/>
          <w:szCs w:val="20"/>
        </w:rPr>
        <w:t>Levenez</w:t>
      </w:r>
      <w:proofErr w:type="spellEnd"/>
      <w:r w:rsidRPr="00A37C08">
        <w:rPr>
          <w:rFonts w:ascii="Arial" w:hAnsi="Arial" w:cs="Arial"/>
          <w:sz w:val="20"/>
          <w:szCs w:val="20"/>
        </w:rPr>
        <w:t xml:space="preserve">, F., </w:t>
      </w:r>
      <w:proofErr w:type="spellStart"/>
      <w:r w:rsidRPr="00A37C08">
        <w:rPr>
          <w:rFonts w:ascii="Arial" w:hAnsi="Arial" w:cs="Arial"/>
          <w:sz w:val="20"/>
          <w:szCs w:val="20"/>
        </w:rPr>
        <w:t>Chilloux</w:t>
      </w:r>
      <w:proofErr w:type="spellEnd"/>
      <w:r w:rsidRPr="00A37C08">
        <w:rPr>
          <w:rFonts w:ascii="Arial" w:hAnsi="Arial" w:cs="Arial"/>
          <w:sz w:val="20"/>
          <w:szCs w:val="20"/>
        </w:rPr>
        <w:t xml:space="preserve">, J., </w:t>
      </w:r>
      <w:proofErr w:type="spellStart"/>
      <w:r w:rsidRPr="00A37C08">
        <w:rPr>
          <w:rFonts w:ascii="Arial" w:hAnsi="Arial" w:cs="Arial"/>
          <w:sz w:val="20"/>
          <w:szCs w:val="20"/>
        </w:rPr>
        <w:t>Hoyles</w:t>
      </w:r>
      <w:proofErr w:type="spellEnd"/>
      <w:r w:rsidRPr="00A37C08">
        <w:rPr>
          <w:rFonts w:ascii="Arial" w:hAnsi="Arial" w:cs="Arial"/>
          <w:sz w:val="20"/>
          <w:szCs w:val="20"/>
        </w:rPr>
        <w:t>, L., MICRO-</w:t>
      </w:r>
      <w:proofErr w:type="spellStart"/>
      <w:r w:rsidRPr="00A37C08">
        <w:rPr>
          <w:rFonts w:ascii="Arial" w:hAnsi="Arial" w:cs="Arial"/>
          <w:sz w:val="20"/>
          <w:szCs w:val="20"/>
        </w:rPr>
        <w:t>Obes</w:t>
      </w:r>
      <w:proofErr w:type="spellEnd"/>
      <w:r w:rsidRPr="00A37C08">
        <w:rPr>
          <w:rFonts w:ascii="Arial" w:hAnsi="Arial" w:cs="Arial"/>
          <w:sz w:val="20"/>
          <w:szCs w:val="20"/>
        </w:rPr>
        <w:t xml:space="preserve"> Consortium, Dumas, M.-E., </w:t>
      </w:r>
      <w:proofErr w:type="spellStart"/>
      <w:r w:rsidRPr="00A37C08">
        <w:rPr>
          <w:rFonts w:ascii="Arial" w:hAnsi="Arial" w:cs="Arial"/>
          <w:sz w:val="20"/>
          <w:szCs w:val="20"/>
        </w:rPr>
        <w:t>Rizkalla</w:t>
      </w:r>
      <w:proofErr w:type="spellEnd"/>
      <w:r w:rsidRPr="00A37C08">
        <w:rPr>
          <w:rFonts w:ascii="Arial" w:hAnsi="Arial" w:cs="Arial"/>
          <w:sz w:val="20"/>
          <w:szCs w:val="20"/>
        </w:rPr>
        <w:t xml:space="preserve">, S. W., </w:t>
      </w:r>
      <w:proofErr w:type="spellStart"/>
      <w:r w:rsidRPr="00A37C08">
        <w:rPr>
          <w:rFonts w:ascii="Arial" w:hAnsi="Arial" w:cs="Arial"/>
          <w:sz w:val="20"/>
          <w:szCs w:val="20"/>
        </w:rPr>
        <w:t>Doré</w:t>
      </w:r>
      <w:proofErr w:type="spellEnd"/>
      <w:r w:rsidRPr="00A37C08">
        <w:rPr>
          <w:rFonts w:ascii="Arial" w:hAnsi="Arial" w:cs="Arial"/>
          <w:sz w:val="20"/>
          <w:szCs w:val="20"/>
        </w:rPr>
        <w:t xml:space="preserve">, J., </w:t>
      </w:r>
      <w:proofErr w:type="spellStart"/>
      <w:r w:rsidRPr="00A37C08">
        <w:rPr>
          <w:rFonts w:ascii="Arial" w:hAnsi="Arial" w:cs="Arial"/>
          <w:sz w:val="20"/>
          <w:szCs w:val="20"/>
        </w:rPr>
        <w:t>Cani</w:t>
      </w:r>
      <w:proofErr w:type="spellEnd"/>
      <w:r w:rsidRPr="00A37C08">
        <w:rPr>
          <w:rFonts w:ascii="Arial" w:hAnsi="Arial" w:cs="Arial"/>
          <w:sz w:val="20"/>
          <w:szCs w:val="20"/>
        </w:rPr>
        <w:t xml:space="preserve">, P. D., &amp; Clément, K. (2016). </w:t>
      </w:r>
      <w:proofErr w:type="spellStart"/>
      <w:r w:rsidRPr="00A37C08">
        <w:rPr>
          <w:rStyle w:val="Emphasis"/>
          <w:rFonts w:ascii="Arial" w:eastAsiaTheme="majorEastAsia" w:hAnsi="Arial" w:cs="Arial"/>
          <w:sz w:val="20"/>
          <w:szCs w:val="20"/>
        </w:rPr>
        <w:t>Akkermansia</w:t>
      </w:r>
      <w:proofErr w:type="spellEnd"/>
      <w:r w:rsidRPr="00A37C08">
        <w:rPr>
          <w:rStyle w:val="Emphasis"/>
          <w:rFonts w:ascii="Arial" w:eastAsiaTheme="majorEastAsia" w:hAnsi="Arial" w:cs="Arial"/>
          <w:sz w:val="20"/>
          <w:szCs w:val="20"/>
        </w:rPr>
        <w:t xml:space="preserve"> </w:t>
      </w:r>
      <w:proofErr w:type="spellStart"/>
      <w:r w:rsidRPr="00A37C08">
        <w:rPr>
          <w:rStyle w:val="Emphasis"/>
          <w:rFonts w:ascii="Arial" w:eastAsiaTheme="majorEastAsia" w:hAnsi="Arial" w:cs="Arial"/>
          <w:sz w:val="20"/>
          <w:szCs w:val="20"/>
        </w:rPr>
        <w:t>muciniphila</w:t>
      </w:r>
      <w:proofErr w:type="spellEnd"/>
      <w:r w:rsidRPr="00A37C08">
        <w:rPr>
          <w:rFonts w:ascii="Arial" w:hAnsi="Arial" w:cs="Arial"/>
          <w:sz w:val="20"/>
          <w:szCs w:val="20"/>
        </w:rPr>
        <w:t xml:space="preserve"> and improved metabolic health during a dietary intervention in obesity: Relationship with gut microbiome richness and ecology. </w:t>
      </w:r>
      <w:r w:rsidRPr="00A37C08">
        <w:rPr>
          <w:rStyle w:val="Emphasis"/>
          <w:rFonts w:ascii="Arial" w:eastAsiaTheme="majorEastAsia" w:hAnsi="Arial" w:cs="Arial"/>
          <w:sz w:val="20"/>
          <w:szCs w:val="20"/>
        </w:rPr>
        <w:t>Gut, 65</w:t>
      </w:r>
      <w:r w:rsidRPr="00A37C08">
        <w:rPr>
          <w:rFonts w:ascii="Arial" w:hAnsi="Arial" w:cs="Arial"/>
          <w:sz w:val="20"/>
          <w:szCs w:val="20"/>
        </w:rPr>
        <w:t xml:space="preserve">(3), 426–436. </w:t>
      </w:r>
      <w:hyperlink r:id="rId7" w:tgtFrame="_new" w:history="1">
        <w:r w:rsidRPr="00A37C08">
          <w:rPr>
            <w:rStyle w:val="Hyperlink"/>
            <w:rFonts w:ascii="Arial" w:eastAsiaTheme="majorEastAsia" w:hAnsi="Arial" w:cs="Arial"/>
            <w:sz w:val="20"/>
            <w:szCs w:val="20"/>
          </w:rPr>
          <w:t>https://doi.org/10.1136/gutjnl-2014-308778</w:t>
        </w:r>
      </w:hyperlink>
      <w:r w:rsidRPr="00A37C08">
        <w:rPr>
          <w:rFonts w:ascii="Arial" w:hAnsi="Arial" w:cs="Arial"/>
          <w:sz w:val="20"/>
          <w:szCs w:val="20"/>
        </w:rPr>
        <w:t xml:space="preserve"> </w:t>
      </w:r>
    </w:p>
    <w:p w14:paraId="4BCA7198" w14:textId="77777777" w:rsidR="00B65CFE" w:rsidRPr="00A37C08" w:rsidRDefault="00B65CFE" w:rsidP="00A37C08">
      <w:pPr>
        <w:pStyle w:val="NormalWeb"/>
        <w:spacing w:before="0" w:beforeAutospacing="0" w:after="0" w:afterAutospacing="0" w:line="360" w:lineRule="auto"/>
        <w:rPr>
          <w:rStyle w:val="relative"/>
          <w:rFonts w:ascii="Arial" w:eastAsiaTheme="majorEastAsia" w:hAnsi="Arial" w:cs="Arial"/>
          <w:sz w:val="20"/>
          <w:szCs w:val="20"/>
        </w:rPr>
      </w:pPr>
      <w:r w:rsidRPr="00A37C08">
        <w:rPr>
          <w:rFonts w:ascii="Arial" w:hAnsi="Arial" w:cs="Arial"/>
          <w:sz w:val="20"/>
          <w:szCs w:val="20"/>
        </w:rPr>
        <w:t>de la Cuesta-</w:t>
      </w:r>
      <w:proofErr w:type="spellStart"/>
      <w:r w:rsidRPr="00A37C08">
        <w:rPr>
          <w:rFonts w:ascii="Arial" w:hAnsi="Arial" w:cs="Arial"/>
          <w:sz w:val="20"/>
          <w:szCs w:val="20"/>
        </w:rPr>
        <w:t>Zuluaga</w:t>
      </w:r>
      <w:proofErr w:type="spellEnd"/>
      <w:r w:rsidRPr="00A37C08">
        <w:rPr>
          <w:rFonts w:ascii="Arial" w:hAnsi="Arial" w:cs="Arial"/>
          <w:sz w:val="20"/>
          <w:szCs w:val="20"/>
        </w:rPr>
        <w:t>, J., Mueller, N. T., Corrales-</w:t>
      </w:r>
      <w:proofErr w:type="spellStart"/>
      <w:r w:rsidRPr="00A37C08">
        <w:rPr>
          <w:rFonts w:ascii="Arial" w:hAnsi="Arial" w:cs="Arial"/>
          <w:sz w:val="20"/>
          <w:szCs w:val="20"/>
        </w:rPr>
        <w:t>Agudelo</w:t>
      </w:r>
      <w:proofErr w:type="spellEnd"/>
      <w:r w:rsidRPr="00A37C08">
        <w:rPr>
          <w:rFonts w:ascii="Arial" w:hAnsi="Arial" w:cs="Arial"/>
          <w:sz w:val="20"/>
          <w:szCs w:val="20"/>
        </w:rPr>
        <w:t xml:space="preserve">, V., </w:t>
      </w:r>
      <w:proofErr w:type="spellStart"/>
      <w:r w:rsidRPr="00A37C08">
        <w:rPr>
          <w:rFonts w:ascii="Arial" w:hAnsi="Arial" w:cs="Arial"/>
          <w:sz w:val="20"/>
          <w:szCs w:val="20"/>
        </w:rPr>
        <w:t>Velásquez-Mejía</w:t>
      </w:r>
      <w:proofErr w:type="spellEnd"/>
      <w:r w:rsidRPr="00A37C08">
        <w:rPr>
          <w:rFonts w:ascii="Arial" w:hAnsi="Arial" w:cs="Arial"/>
          <w:sz w:val="20"/>
          <w:szCs w:val="20"/>
        </w:rPr>
        <w:t xml:space="preserve">, E. P., Carmona, J. A., Abad, J. M., &amp; Escobar, J. S. (2017). Metformin is associated with higher relative abundance of mucin-degrading </w:t>
      </w:r>
      <w:proofErr w:type="spellStart"/>
      <w:r w:rsidRPr="00A37C08">
        <w:rPr>
          <w:rStyle w:val="Emphasis"/>
          <w:rFonts w:ascii="Arial" w:eastAsiaTheme="majorEastAsia" w:hAnsi="Arial" w:cs="Arial"/>
          <w:sz w:val="20"/>
          <w:szCs w:val="20"/>
        </w:rPr>
        <w:t>Akkermansia</w:t>
      </w:r>
      <w:proofErr w:type="spellEnd"/>
      <w:r w:rsidRPr="00A37C08">
        <w:rPr>
          <w:rStyle w:val="Emphasis"/>
          <w:rFonts w:ascii="Arial" w:eastAsiaTheme="majorEastAsia" w:hAnsi="Arial" w:cs="Arial"/>
          <w:sz w:val="20"/>
          <w:szCs w:val="20"/>
        </w:rPr>
        <w:t xml:space="preserve"> </w:t>
      </w:r>
      <w:proofErr w:type="spellStart"/>
      <w:r w:rsidRPr="00A37C08">
        <w:rPr>
          <w:rStyle w:val="Emphasis"/>
          <w:rFonts w:ascii="Arial" w:eastAsiaTheme="majorEastAsia" w:hAnsi="Arial" w:cs="Arial"/>
          <w:sz w:val="20"/>
          <w:szCs w:val="20"/>
        </w:rPr>
        <w:t>muciniphila</w:t>
      </w:r>
      <w:proofErr w:type="spellEnd"/>
      <w:r w:rsidRPr="00A37C08">
        <w:rPr>
          <w:rFonts w:ascii="Arial" w:hAnsi="Arial" w:cs="Arial"/>
          <w:sz w:val="20"/>
          <w:szCs w:val="20"/>
        </w:rPr>
        <w:t xml:space="preserve"> and several short-chain fatty </w:t>
      </w:r>
      <w:proofErr w:type="gramStart"/>
      <w:r w:rsidRPr="00A37C08">
        <w:rPr>
          <w:rFonts w:ascii="Arial" w:hAnsi="Arial" w:cs="Arial"/>
          <w:sz w:val="20"/>
          <w:szCs w:val="20"/>
        </w:rPr>
        <w:t>acid</w:t>
      </w:r>
      <w:proofErr w:type="gramEnd"/>
      <w:r w:rsidRPr="00A37C08">
        <w:rPr>
          <w:rFonts w:ascii="Arial" w:hAnsi="Arial" w:cs="Arial"/>
          <w:sz w:val="20"/>
          <w:szCs w:val="20"/>
        </w:rPr>
        <w:t xml:space="preserve">–producing microbiota in the gut. </w:t>
      </w:r>
      <w:r w:rsidRPr="00A37C08">
        <w:rPr>
          <w:rStyle w:val="Emphasis"/>
          <w:rFonts w:ascii="Arial" w:eastAsiaTheme="majorEastAsia" w:hAnsi="Arial" w:cs="Arial"/>
          <w:sz w:val="20"/>
          <w:szCs w:val="20"/>
        </w:rPr>
        <w:t>Diabetes Care, 40</w:t>
      </w:r>
      <w:r w:rsidRPr="00A37C08">
        <w:rPr>
          <w:rFonts w:ascii="Arial" w:hAnsi="Arial" w:cs="Arial"/>
          <w:sz w:val="20"/>
          <w:szCs w:val="20"/>
        </w:rPr>
        <w:t xml:space="preserve">(1), 54–62. </w:t>
      </w:r>
      <w:hyperlink r:id="rId8" w:tgtFrame="_new" w:history="1">
        <w:r w:rsidRPr="00A37C08">
          <w:rPr>
            <w:rStyle w:val="Hyperlink"/>
            <w:rFonts w:ascii="Arial" w:eastAsiaTheme="majorEastAsia" w:hAnsi="Arial" w:cs="Arial"/>
            <w:sz w:val="20"/>
            <w:szCs w:val="20"/>
          </w:rPr>
          <w:t>https://doi.org/10.2337/dc16-1324</w:t>
        </w:r>
      </w:hyperlink>
      <w:r w:rsidRPr="00A37C08">
        <w:rPr>
          <w:rFonts w:ascii="Arial" w:hAnsi="Arial" w:cs="Arial"/>
          <w:sz w:val="20"/>
          <w:szCs w:val="20"/>
        </w:rPr>
        <w:t xml:space="preserve"> </w:t>
      </w:r>
    </w:p>
    <w:p w14:paraId="3074AD29" w14:textId="77777777" w:rsidR="00B65CFE" w:rsidRPr="00A37C08" w:rsidRDefault="00B65CFE" w:rsidP="00A37C08">
      <w:pPr>
        <w:pStyle w:val="NormalWeb"/>
        <w:spacing w:before="0" w:beforeAutospacing="0" w:after="0" w:afterAutospacing="0" w:line="360" w:lineRule="auto"/>
        <w:rPr>
          <w:rStyle w:val="relative"/>
          <w:rFonts w:ascii="Arial" w:eastAsiaTheme="majorEastAsia" w:hAnsi="Arial" w:cs="Arial"/>
          <w:sz w:val="20"/>
          <w:szCs w:val="20"/>
        </w:rPr>
      </w:pPr>
      <w:proofErr w:type="spellStart"/>
      <w:r w:rsidRPr="00A37C08">
        <w:rPr>
          <w:rFonts w:ascii="Arial" w:hAnsi="Arial" w:cs="Arial"/>
          <w:sz w:val="20"/>
          <w:szCs w:val="20"/>
        </w:rPr>
        <w:t>Depommier</w:t>
      </w:r>
      <w:proofErr w:type="spellEnd"/>
      <w:r w:rsidRPr="00A37C08">
        <w:rPr>
          <w:rFonts w:ascii="Arial" w:hAnsi="Arial" w:cs="Arial"/>
          <w:sz w:val="20"/>
          <w:szCs w:val="20"/>
        </w:rPr>
        <w:t xml:space="preserve">, C., Everard, A., </w:t>
      </w:r>
      <w:proofErr w:type="spellStart"/>
      <w:r w:rsidRPr="00A37C08">
        <w:rPr>
          <w:rFonts w:ascii="Arial" w:hAnsi="Arial" w:cs="Arial"/>
          <w:sz w:val="20"/>
          <w:szCs w:val="20"/>
        </w:rPr>
        <w:t>Druart</w:t>
      </w:r>
      <w:proofErr w:type="spellEnd"/>
      <w:r w:rsidRPr="00A37C08">
        <w:rPr>
          <w:rFonts w:ascii="Arial" w:hAnsi="Arial" w:cs="Arial"/>
          <w:sz w:val="20"/>
          <w:szCs w:val="20"/>
        </w:rPr>
        <w:t xml:space="preserve">, C., </w:t>
      </w:r>
      <w:proofErr w:type="spellStart"/>
      <w:r w:rsidRPr="00A37C08">
        <w:rPr>
          <w:rFonts w:ascii="Arial" w:hAnsi="Arial" w:cs="Arial"/>
          <w:sz w:val="20"/>
          <w:szCs w:val="20"/>
        </w:rPr>
        <w:t>Plovier</w:t>
      </w:r>
      <w:proofErr w:type="spellEnd"/>
      <w:r w:rsidRPr="00A37C08">
        <w:rPr>
          <w:rFonts w:ascii="Arial" w:hAnsi="Arial" w:cs="Arial"/>
          <w:sz w:val="20"/>
          <w:szCs w:val="20"/>
        </w:rPr>
        <w:t xml:space="preserve">, H., Van </w:t>
      </w:r>
      <w:proofErr w:type="spellStart"/>
      <w:r w:rsidRPr="00A37C08">
        <w:rPr>
          <w:rFonts w:ascii="Arial" w:hAnsi="Arial" w:cs="Arial"/>
          <w:sz w:val="20"/>
          <w:szCs w:val="20"/>
        </w:rPr>
        <w:t>Hul</w:t>
      </w:r>
      <w:proofErr w:type="spellEnd"/>
      <w:r w:rsidRPr="00A37C08">
        <w:rPr>
          <w:rFonts w:ascii="Arial" w:hAnsi="Arial" w:cs="Arial"/>
          <w:sz w:val="20"/>
          <w:szCs w:val="20"/>
        </w:rPr>
        <w:t xml:space="preserve">, M., Vieira-Silva, S., </w:t>
      </w:r>
      <w:proofErr w:type="spellStart"/>
      <w:r w:rsidRPr="00A37C08">
        <w:rPr>
          <w:rFonts w:ascii="Arial" w:hAnsi="Arial" w:cs="Arial"/>
          <w:sz w:val="20"/>
          <w:szCs w:val="20"/>
        </w:rPr>
        <w:t>Falony</w:t>
      </w:r>
      <w:proofErr w:type="spellEnd"/>
      <w:r w:rsidRPr="00A37C08">
        <w:rPr>
          <w:rFonts w:ascii="Arial" w:hAnsi="Arial" w:cs="Arial"/>
          <w:sz w:val="20"/>
          <w:szCs w:val="20"/>
        </w:rPr>
        <w:t xml:space="preserve">, G., </w:t>
      </w:r>
      <w:proofErr w:type="spellStart"/>
      <w:r w:rsidRPr="00A37C08">
        <w:rPr>
          <w:rFonts w:ascii="Arial" w:hAnsi="Arial" w:cs="Arial"/>
          <w:sz w:val="20"/>
          <w:szCs w:val="20"/>
        </w:rPr>
        <w:t>Raes</w:t>
      </w:r>
      <w:proofErr w:type="spellEnd"/>
      <w:r w:rsidRPr="00A37C08">
        <w:rPr>
          <w:rFonts w:ascii="Arial" w:hAnsi="Arial" w:cs="Arial"/>
          <w:sz w:val="20"/>
          <w:szCs w:val="20"/>
        </w:rPr>
        <w:t xml:space="preserve">, J., </w:t>
      </w:r>
      <w:proofErr w:type="spellStart"/>
      <w:r w:rsidRPr="00A37C08">
        <w:rPr>
          <w:rFonts w:ascii="Arial" w:hAnsi="Arial" w:cs="Arial"/>
          <w:sz w:val="20"/>
          <w:szCs w:val="20"/>
        </w:rPr>
        <w:t>Maiter</w:t>
      </w:r>
      <w:proofErr w:type="spellEnd"/>
      <w:r w:rsidRPr="00A37C08">
        <w:rPr>
          <w:rFonts w:ascii="Arial" w:hAnsi="Arial" w:cs="Arial"/>
          <w:sz w:val="20"/>
          <w:szCs w:val="20"/>
        </w:rPr>
        <w:t xml:space="preserve">, D., </w:t>
      </w:r>
      <w:proofErr w:type="spellStart"/>
      <w:r w:rsidRPr="00A37C08">
        <w:rPr>
          <w:rFonts w:ascii="Arial" w:hAnsi="Arial" w:cs="Arial"/>
          <w:sz w:val="20"/>
          <w:szCs w:val="20"/>
        </w:rPr>
        <w:t>Delzenne</w:t>
      </w:r>
      <w:proofErr w:type="spellEnd"/>
      <w:r w:rsidRPr="00A37C08">
        <w:rPr>
          <w:rFonts w:ascii="Arial" w:hAnsi="Arial" w:cs="Arial"/>
          <w:sz w:val="20"/>
          <w:szCs w:val="20"/>
        </w:rPr>
        <w:t xml:space="preserve">, N. M., de </w:t>
      </w:r>
      <w:proofErr w:type="spellStart"/>
      <w:r w:rsidRPr="00A37C08">
        <w:rPr>
          <w:rFonts w:ascii="Arial" w:hAnsi="Arial" w:cs="Arial"/>
          <w:sz w:val="20"/>
          <w:szCs w:val="20"/>
        </w:rPr>
        <w:t>Barsy</w:t>
      </w:r>
      <w:proofErr w:type="spellEnd"/>
      <w:r w:rsidRPr="00A37C08">
        <w:rPr>
          <w:rFonts w:ascii="Arial" w:hAnsi="Arial" w:cs="Arial"/>
          <w:sz w:val="20"/>
          <w:szCs w:val="20"/>
        </w:rPr>
        <w:t xml:space="preserve">, M., </w:t>
      </w:r>
      <w:proofErr w:type="spellStart"/>
      <w:r w:rsidRPr="00A37C08">
        <w:rPr>
          <w:rFonts w:ascii="Arial" w:hAnsi="Arial" w:cs="Arial"/>
          <w:sz w:val="20"/>
          <w:szCs w:val="20"/>
        </w:rPr>
        <w:t>Loumaye</w:t>
      </w:r>
      <w:proofErr w:type="spellEnd"/>
      <w:r w:rsidRPr="00A37C08">
        <w:rPr>
          <w:rFonts w:ascii="Arial" w:hAnsi="Arial" w:cs="Arial"/>
          <w:sz w:val="20"/>
          <w:szCs w:val="20"/>
        </w:rPr>
        <w:t xml:space="preserve">, A., </w:t>
      </w:r>
      <w:proofErr w:type="spellStart"/>
      <w:r w:rsidRPr="00A37C08">
        <w:rPr>
          <w:rFonts w:ascii="Arial" w:hAnsi="Arial" w:cs="Arial"/>
          <w:sz w:val="20"/>
          <w:szCs w:val="20"/>
        </w:rPr>
        <w:t>Hermans</w:t>
      </w:r>
      <w:proofErr w:type="spellEnd"/>
      <w:r w:rsidRPr="00A37C08">
        <w:rPr>
          <w:rFonts w:ascii="Arial" w:hAnsi="Arial" w:cs="Arial"/>
          <w:sz w:val="20"/>
          <w:szCs w:val="20"/>
        </w:rPr>
        <w:t xml:space="preserve">, M. P., </w:t>
      </w:r>
      <w:proofErr w:type="spellStart"/>
      <w:r w:rsidRPr="00A37C08">
        <w:rPr>
          <w:rFonts w:ascii="Arial" w:hAnsi="Arial" w:cs="Arial"/>
          <w:sz w:val="20"/>
          <w:szCs w:val="20"/>
        </w:rPr>
        <w:t>Thissen</w:t>
      </w:r>
      <w:proofErr w:type="spellEnd"/>
      <w:r w:rsidRPr="00A37C08">
        <w:rPr>
          <w:rFonts w:ascii="Arial" w:hAnsi="Arial" w:cs="Arial"/>
          <w:sz w:val="20"/>
          <w:szCs w:val="20"/>
        </w:rPr>
        <w:t xml:space="preserve">, J.-P., de Vos, W. M., &amp; </w:t>
      </w:r>
      <w:proofErr w:type="spellStart"/>
      <w:r w:rsidRPr="00A37C08">
        <w:rPr>
          <w:rFonts w:ascii="Arial" w:hAnsi="Arial" w:cs="Arial"/>
          <w:sz w:val="20"/>
          <w:szCs w:val="20"/>
        </w:rPr>
        <w:t>Cani</w:t>
      </w:r>
      <w:proofErr w:type="spellEnd"/>
      <w:r w:rsidRPr="00A37C08">
        <w:rPr>
          <w:rFonts w:ascii="Arial" w:hAnsi="Arial" w:cs="Arial"/>
          <w:sz w:val="20"/>
          <w:szCs w:val="20"/>
        </w:rPr>
        <w:t xml:space="preserve">, P. D. (2019). Supplementation with </w:t>
      </w:r>
      <w:proofErr w:type="spellStart"/>
      <w:r w:rsidRPr="00A37C08">
        <w:rPr>
          <w:rStyle w:val="Emphasis"/>
          <w:rFonts w:ascii="Arial" w:eastAsiaTheme="majorEastAsia" w:hAnsi="Arial" w:cs="Arial"/>
          <w:sz w:val="20"/>
          <w:szCs w:val="20"/>
        </w:rPr>
        <w:t>Akkermansia</w:t>
      </w:r>
      <w:proofErr w:type="spellEnd"/>
      <w:r w:rsidRPr="00A37C08">
        <w:rPr>
          <w:rStyle w:val="Emphasis"/>
          <w:rFonts w:ascii="Arial" w:eastAsiaTheme="majorEastAsia" w:hAnsi="Arial" w:cs="Arial"/>
          <w:sz w:val="20"/>
          <w:szCs w:val="20"/>
        </w:rPr>
        <w:t xml:space="preserve"> </w:t>
      </w:r>
      <w:proofErr w:type="spellStart"/>
      <w:r w:rsidRPr="00A37C08">
        <w:rPr>
          <w:rStyle w:val="Emphasis"/>
          <w:rFonts w:ascii="Arial" w:eastAsiaTheme="majorEastAsia" w:hAnsi="Arial" w:cs="Arial"/>
          <w:sz w:val="20"/>
          <w:szCs w:val="20"/>
        </w:rPr>
        <w:t>muciniphila</w:t>
      </w:r>
      <w:proofErr w:type="spellEnd"/>
      <w:r w:rsidRPr="00A37C08">
        <w:rPr>
          <w:rFonts w:ascii="Arial" w:hAnsi="Arial" w:cs="Arial"/>
          <w:sz w:val="20"/>
          <w:szCs w:val="20"/>
        </w:rPr>
        <w:t xml:space="preserve"> in overweight and obese human volunteers: A proof-of-concept exploratory study. </w:t>
      </w:r>
      <w:r w:rsidRPr="00A37C08">
        <w:rPr>
          <w:rStyle w:val="Emphasis"/>
          <w:rFonts w:ascii="Arial" w:eastAsiaTheme="majorEastAsia" w:hAnsi="Arial" w:cs="Arial"/>
          <w:sz w:val="20"/>
          <w:szCs w:val="20"/>
        </w:rPr>
        <w:t>Nature Medicine, 25</w:t>
      </w:r>
      <w:r w:rsidRPr="00A37C08">
        <w:rPr>
          <w:rFonts w:ascii="Arial" w:hAnsi="Arial" w:cs="Arial"/>
          <w:sz w:val="20"/>
          <w:szCs w:val="20"/>
        </w:rPr>
        <w:t xml:space="preserve">(7), 1096–1103. </w:t>
      </w:r>
      <w:hyperlink r:id="rId9" w:tgtFrame="_new" w:history="1">
        <w:r w:rsidRPr="00A37C08">
          <w:rPr>
            <w:rStyle w:val="Hyperlink"/>
            <w:rFonts w:ascii="Arial" w:eastAsiaTheme="majorEastAsia" w:hAnsi="Arial" w:cs="Arial"/>
            <w:sz w:val="20"/>
            <w:szCs w:val="20"/>
          </w:rPr>
          <w:t>https://doi.org/10.1038/s41591-019-0495-2</w:t>
        </w:r>
      </w:hyperlink>
      <w:r w:rsidRPr="00A37C08">
        <w:rPr>
          <w:rFonts w:ascii="Arial" w:hAnsi="Arial" w:cs="Arial"/>
          <w:sz w:val="20"/>
          <w:szCs w:val="20"/>
        </w:rPr>
        <w:t xml:space="preserve"> </w:t>
      </w:r>
    </w:p>
    <w:p w14:paraId="0723C8AD" w14:textId="77777777" w:rsidR="00B65CFE" w:rsidRPr="00A37C08" w:rsidRDefault="00B65CFE" w:rsidP="00A37C08">
      <w:pPr>
        <w:pStyle w:val="NormalWeb"/>
        <w:spacing w:before="0" w:beforeAutospacing="0" w:after="0" w:afterAutospacing="0" w:line="360" w:lineRule="auto"/>
        <w:rPr>
          <w:rFonts w:ascii="Arial" w:hAnsi="Arial" w:cs="Arial"/>
          <w:sz w:val="20"/>
          <w:szCs w:val="20"/>
        </w:rPr>
      </w:pPr>
      <w:proofErr w:type="spellStart"/>
      <w:r w:rsidRPr="00A37C08">
        <w:rPr>
          <w:rFonts w:ascii="Arial" w:hAnsi="Arial" w:cs="Arial"/>
          <w:sz w:val="20"/>
          <w:szCs w:val="20"/>
        </w:rPr>
        <w:t>ubourg</w:t>
      </w:r>
      <w:proofErr w:type="spellEnd"/>
      <w:r w:rsidRPr="00A37C08">
        <w:rPr>
          <w:rFonts w:ascii="Arial" w:hAnsi="Arial" w:cs="Arial"/>
          <w:sz w:val="20"/>
          <w:szCs w:val="20"/>
        </w:rPr>
        <w:t xml:space="preserve">, G., </w:t>
      </w:r>
      <w:proofErr w:type="spellStart"/>
      <w:r w:rsidRPr="00A37C08">
        <w:rPr>
          <w:rFonts w:ascii="Arial" w:hAnsi="Arial" w:cs="Arial"/>
          <w:sz w:val="20"/>
          <w:szCs w:val="20"/>
        </w:rPr>
        <w:t>Lagier</w:t>
      </w:r>
      <w:proofErr w:type="spellEnd"/>
      <w:r w:rsidRPr="00A37C08">
        <w:rPr>
          <w:rFonts w:ascii="Arial" w:hAnsi="Arial" w:cs="Arial"/>
          <w:sz w:val="20"/>
          <w:szCs w:val="20"/>
        </w:rPr>
        <w:t xml:space="preserve">, J.-C., </w:t>
      </w:r>
      <w:proofErr w:type="spellStart"/>
      <w:r w:rsidRPr="00A37C08">
        <w:rPr>
          <w:rFonts w:ascii="Arial" w:hAnsi="Arial" w:cs="Arial"/>
          <w:sz w:val="20"/>
          <w:szCs w:val="20"/>
        </w:rPr>
        <w:t>Armougom</w:t>
      </w:r>
      <w:proofErr w:type="spellEnd"/>
      <w:r w:rsidRPr="00A37C08">
        <w:rPr>
          <w:rFonts w:ascii="Arial" w:hAnsi="Arial" w:cs="Arial"/>
          <w:sz w:val="20"/>
          <w:szCs w:val="20"/>
        </w:rPr>
        <w:t xml:space="preserve">, F., Robert, C., Hamad, I., </w:t>
      </w:r>
      <w:proofErr w:type="spellStart"/>
      <w:r w:rsidRPr="00A37C08">
        <w:rPr>
          <w:rFonts w:ascii="Arial" w:hAnsi="Arial" w:cs="Arial"/>
          <w:sz w:val="20"/>
          <w:szCs w:val="20"/>
        </w:rPr>
        <w:t>Brouqui</w:t>
      </w:r>
      <w:proofErr w:type="spellEnd"/>
      <w:r w:rsidRPr="00A37C08">
        <w:rPr>
          <w:rFonts w:ascii="Arial" w:hAnsi="Arial" w:cs="Arial"/>
          <w:sz w:val="20"/>
          <w:szCs w:val="20"/>
        </w:rPr>
        <w:t xml:space="preserve">, P., &amp; </w:t>
      </w:r>
      <w:proofErr w:type="spellStart"/>
      <w:r w:rsidRPr="00A37C08">
        <w:rPr>
          <w:rFonts w:ascii="Arial" w:hAnsi="Arial" w:cs="Arial"/>
          <w:sz w:val="20"/>
          <w:szCs w:val="20"/>
        </w:rPr>
        <w:t>Raoult</w:t>
      </w:r>
      <w:proofErr w:type="spellEnd"/>
      <w:r w:rsidRPr="00A37C08">
        <w:rPr>
          <w:rFonts w:ascii="Arial" w:hAnsi="Arial" w:cs="Arial"/>
          <w:sz w:val="20"/>
          <w:szCs w:val="20"/>
        </w:rPr>
        <w:t xml:space="preserve">, D. (2021). Genotypic and phenotypic diversity among human isolates of </w:t>
      </w:r>
      <w:proofErr w:type="spellStart"/>
      <w:r w:rsidRPr="00A37C08">
        <w:rPr>
          <w:rStyle w:val="Emphasis"/>
          <w:rFonts w:ascii="Arial" w:eastAsiaTheme="majorEastAsia" w:hAnsi="Arial" w:cs="Arial"/>
          <w:sz w:val="20"/>
          <w:szCs w:val="20"/>
        </w:rPr>
        <w:t>Akkermansia</w:t>
      </w:r>
      <w:proofErr w:type="spellEnd"/>
      <w:r w:rsidRPr="00A37C08">
        <w:rPr>
          <w:rStyle w:val="Emphasis"/>
          <w:rFonts w:ascii="Arial" w:eastAsiaTheme="majorEastAsia" w:hAnsi="Arial" w:cs="Arial"/>
          <w:sz w:val="20"/>
          <w:szCs w:val="20"/>
        </w:rPr>
        <w:t xml:space="preserve"> </w:t>
      </w:r>
      <w:proofErr w:type="spellStart"/>
      <w:r w:rsidRPr="00A37C08">
        <w:rPr>
          <w:rStyle w:val="Emphasis"/>
          <w:rFonts w:ascii="Arial" w:eastAsiaTheme="majorEastAsia" w:hAnsi="Arial" w:cs="Arial"/>
          <w:sz w:val="20"/>
          <w:szCs w:val="20"/>
        </w:rPr>
        <w:t>muciniphila</w:t>
      </w:r>
      <w:proofErr w:type="spellEnd"/>
      <w:r w:rsidRPr="00A37C08">
        <w:rPr>
          <w:rFonts w:ascii="Arial" w:hAnsi="Arial" w:cs="Arial"/>
          <w:sz w:val="20"/>
          <w:szCs w:val="20"/>
        </w:rPr>
        <w:t xml:space="preserve">. </w:t>
      </w:r>
      <w:r w:rsidRPr="00A37C08">
        <w:rPr>
          <w:rStyle w:val="Emphasis"/>
          <w:rFonts w:ascii="Arial" w:eastAsiaTheme="majorEastAsia" w:hAnsi="Arial" w:cs="Arial"/>
          <w:sz w:val="20"/>
          <w:szCs w:val="20"/>
        </w:rPr>
        <w:t>mBio, 12</w:t>
      </w:r>
      <w:r w:rsidRPr="00A37C08">
        <w:rPr>
          <w:rFonts w:ascii="Arial" w:hAnsi="Arial" w:cs="Arial"/>
          <w:sz w:val="20"/>
          <w:szCs w:val="20"/>
        </w:rPr>
        <w:t xml:space="preserve">(4), e00478-21. </w:t>
      </w:r>
      <w:hyperlink r:id="rId10" w:tgtFrame="_new" w:history="1">
        <w:r w:rsidRPr="00A37C08">
          <w:rPr>
            <w:rStyle w:val="Hyperlink"/>
            <w:rFonts w:ascii="Arial" w:eastAsiaTheme="majorEastAsia" w:hAnsi="Arial" w:cs="Arial"/>
            <w:sz w:val="20"/>
            <w:szCs w:val="20"/>
          </w:rPr>
          <w:t>https://doi.org/10.1128/mBio.00478-21</w:t>
        </w:r>
      </w:hyperlink>
      <w:r w:rsidRPr="00A37C08">
        <w:rPr>
          <w:rFonts w:ascii="Arial" w:hAnsi="Arial" w:cs="Arial"/>
          <w:sz w:val="20"/>
          <w:szCs w:val="20"/>
        </w:rPr>
        <w:t xml:space="preserve"> </w:t>
      </w:r>
    </w:p>
    <w:p w14:paraId="02D652F8" w14:textId="77777777" w:rsidR="00B65CFE" w:rsidRPr="00A37C08" w:rsidRDefault="00B65CFE" w:rsidP="00A37C08">
      <w:pPr>
        <w:pStyle w:val="NormalWeb"/>
        <w:spacing w:before="0" w:beforeAutospacing="0" w:after="0" w:afterAutospacing="0" w:line="360" w:lineRule="auto"/>
        <w:rPr>
          <w:rFonts w:ascii="Arial" w:hAnsi="Arial" w:cs="Arial"/>
          <w:sz w:val="20"/>
          <w:szCs w:val="20"/>
        </w:rPr>
      </w:pPr>
      <w:proofErr w:type="spellStart"/>
      <w:r w:rsidRPr="00A37C08">
        <w:rPr>
          <w:rFonts w:ascii="Arial" w:hAnsi="Arial" w:cs="Arial"/>
          <w:sz w:val="20"/>
          <w:szCs w:val="20"/>
        </w:rPr>
        <w:t>Forslund</w:t>
      </w:r>
      <w:proofErr w:type="spellEnd"/>
      <w:r w:rsidRPr="00A37C08">
        <w:rPr>
          <w:rFonts w:ascii="Arial" w:hAnsi="Arial" w:cs="Arial"/>
          <w:sz w:val="20"/>
          <w:szCs w:val="20"/>
        </w:rPr>
        <w:t xml:space="preserve">, K., Hildebrand, F., Nielsen, T., </w:t>
      </w:r>
      <w:proofErr w:type="spellStart"/>
      <w:r w:rsidRPr="00A37C08">
        <w:rPr>
          <w:rFonts w:ascii="Arial" w:hAnsi="Arial" w:cs="Arial"/>
          <w:sz w:val="20"/>
          <w:szCs w:val="20"/>
        </w:rPr>
        <w:t>Falony</w:t>
      </w:r>
      <w:proofErr w:type="spellEnd"/>
      <w:r w:rsidRPr="00A37C08">
        <w:rPr>
          <w:rFonts w:ascii="Arial" w:hAnsi="Arial" w:cs="Arial"/>
          <w:sz w:val="20"/>
          <w:szCs w:val="20"/>
        </w:rPr>
        <w:t xml:space="preserve">, G., Le </w:t>
      </w:r>
      <w:proofErr w:type="spellStart"/>
      <w:r w:rsidRPr="00A37C08">
        <w:rPr>
          <w:rFonts w:ascii="Arial" w:hAnsi="Arial" w:cs="Arial"/>
          <w:sz w:val="20"/>
          <w:szCs w:val="20"/>
        </w:rPr>
        <w:t>Chatelier</w:t>
      </w:r>
      <w:proofErr w:type="spellEnd"/>
      <w:r w:rsidRPr="00A37C08">
        <w:rPr>
          <w:rFonts w:ascii="Arial" w:hAnsi="Arial" w:cs="Arial"/>
          <w:sz w:val="20"/>
          <w:szCs w:val="20"/>
        </w:rPr>
        <w:t xml:space="preserve">, E., </w:t>
      </w:r>
      <w:proofErr w:type="spellStart"/>
      <w:r w:rsidRPr="00A37C08">
        <w:rPr>
          <w:rFonts w:ascii="Arial" w:hAnsi="Arial" w:cs="Arial"/>
          <w:sz w:val="20"/>
          <w:szCs w:val="20"/>
        </w:rPr>
        <w:t>Sunagawa</w:t>
      </w:r>
      <w:proofErr w:type="spellEnd"/>
      <w:r w:rsidRPr="00A37C08">
        <w:rPr>
          <w:rFonts w:ascii="Arial" w:hAnsi="Arial" w:cs="Arial"/>
          <w:sz w:val="20"/>
          <w:szCs w:val="20"/>
        </w:rPr>
        <w:t xml:space="preserve">, S., </w:t>
      </w:r>
      <w:proofErr w:type="spellStart"/>
      <w:r w:rsidRPr="00A37C08">
        <w:rPr>
          <w:rFonts w:ascii="Arial" w:hAnsi="Arial" w:cs="Arial"/>
          <w:sz w:val="20"/>
          <w:szCs w:val="20"/>
        </w:rPr>
        <w:t>Prifti</w:t>
      </w:r>
      <w:proofErr w:type="spellEnd"/>
      <w:r w:rsidRPr="00A37C08">
        <w:rPr>
          <w:rFonts w:ascii="Arial" w:hAnsi="Arial" w:cs="Arial"/>
          <w:sz w:val="20"/>
          <w:szCs w:val="20"/>
        </w:rPr>
        <w:t xml:space="preserve">, E., Vieira-Silva, S., </w:t>
      </w:r>
      <w:proofErr w:type="spellStart"/>
      <w:r w:rsidRPr="00A37C08">
        <w:rPr>
          <w:rFonts w:ascii="Arial" w:hAnsi="Arial" w:cs="Arial"/>
          <w:sz w:val="20"/>
          <w:szCs w:val="20"/>
        </w:rPr>
        <w:t>Gudmundsdottir</w:t>
      </w:r>
      <w:proofErr w:type="spellEnd"/>
      <w:r w:rsidRPr="00A37C08">
        <w:rPr>
          <w:rFonts w:ascii="Arial" w:hAnsi="Arial" w:cs="Arial"/>
          <w:sz w:val="20"/>
          <w:szCs w:val="20"/>
        </w:rPr>
        <w:t xml:space="preserve">, V., Krogh Pedersen, H., Arumugam, M., Kristiansen, K., Voigt, A. Y., </w:t>
      </w:r>
      <w:proofErr w:type="spellStart"/>
      <w:r w:rsidRPr="00A37C08">
        <w:rPr>
          <w:rFonts w:ascii="Arial" w:hAnsi="Arial" w:cs="Arial"/>
          <w:sz w:val="20"/>
          <w:szCs w:val="20"/>
        </w:rPr>
        <w:t>Vestergaard</w:t>
      </w:r>
      <w:proofErr w:type="spellEnd"/>
      <w:r w:rsidRPr="00A37C08">
        <w:rPr>
          <w:rFonts w:ascii="Arial" w:hAnsi="Arial" w:cs="Arial"/>
          <w:sz w:val="20"/>
          <w:szCs w:val="20"/>
        </w:rPr>
        <w:t xml:space="preserve">, H., </w:t>
      </w:r>
      <w:proofErr w:type="spellStart"/>
      <w:r w:rsidRPr="00A37C08">
        <w:rPr>
          <w:rFonts w:ascii="Arial" w:hAnsi="Arial" w:cs="Arial"/>
          <w:sz w:val="20"/>
          <w:szCs w:val="20"/>
        </w:rPr>
        <w:t>Hercog</w:t>
      </w:r>
      <w:proofErr w:type="spellEnd"/>
      <w:r w:rsidRPr="00A37C08">
        <w:rPr>
          <w:rFonts w:ascii="Arial" w:hAnsi="Arial" w:cs="Arial"/>
          <w:sz w:val="20"/>
          <w:szCs w:val="20"/>
        </w:rPr>
        <w:t xml:space="preserve">, R., </w:t>
      </w:r>
      <w:proofErr w:type="spellStart"/>
      <w:r w:rsidRPr="00A37C08">
        <w:rPr>
          <w:rFonts w:ascii="Arial" w:hAnsi="Arial" w:cs="Arial"/>
          <w:sz w:val="20"/>
          <w:szCs w:val="20"/>
        </w:rPr>
        <w:t>Costea</w:t>
      </w:r>
      <w:proofErr w:type="spellEnd"/>
      <w:r w:rsidRPr="00A37C08">
        <w:rPr>
          <w:rFonts w:ascii="Arial" w:hAnsi="Arial" w:cs="Arial"/>
          <w:sz w:val="20"/>
          <w:szCs w:val="20"/>
        </w:rPr>
        <w:t xml:space="preserve">, P. I., </w:t>
      </w:r>
      <w:proofErr w:type="spellStart"/>
      <w:r w:rsidRPr="00A37C08">
        <w:rPr>
          <w:rFonts w:ascii="Arial" w:hAnsi="Arial" w:cs="Arial"/>
          <w:sz w:val="20"/>
          <w:szCs w:val="20"/>
        </w:rPr>
        <w:t>Kultima</w:t>
      </w:r>
      <w:proofErr w:type="spellEnd"/>
      <w:r w:rsidRPr="00A37C08">
        <w:rPr>
          <w:rFonts w:ascii="Arial" w:hAnsi="Arial" w:cs="Arial"/>
          <w:sz w:val="20"/>
          <w:szCs w:val="20"/>
        </w:rPr>
        <w:t xml:space="preserve">, J. R., Li, J., </w:t>
      </w:r>
      <w:proofErr w:type="spellStart"/>
      <w:r w:rsidRPr="00A37C08">
        <w:rPr>
          <w:rFonts w:ascii="Arial" w:hAnsi="Arial" w:cs="Arial"/>
          <w:sz w:val="20"/>
          <w:szCs w:val="20"/>
        </w:rPr>
        <w:t>Jørgensen</w:t>
      </w:r>
      <w:proofErr w:type="spellEnd"/>
      <w:r w:rsidRPr="00A37C08">
        <w:rPr>
          <w:rFonts w:ascii="Arial" w:hAnsi="Arial" w:cs="Arial"/>
          <w:sz w:val="20"/>
          <w:szCs w:val="20"/>
        </w:rPr>
        <w:t xml:space="preserve">, T., … Pedersen, O. (2015). Disentangling type 2 diabetes and metformin treatment signatures in the human gut microbiota. </w:t>
      </w:r>
      <w:r w:rsidRPr="00A37C08">
        <w:rPr>
          <w:rStyle w:val="Emphasis"/>
          <w:rFonts w:ascii="Arial" w:eastAsiaTheme="majorEastAsia" w:hAnsi="Arial" w:cs="Arial"/>
          <w:sz w:val="20"/>
          <w:szCs w:val="20"/>
        </w:rPr>
        <w:t>Nature, 528</w:t>
      </w:r>
      <w:r w:rsidRPr="00A37C08">
        <w:rPr>
          <w:rFonts w:ascii="Arial" w:hAnsi="Arial" w:cs="Arial"/>
          <w:sz w:val="20"/>
          <w:szCs w:val="20"/>
        </w:rPr>
        <w:t xml:space="preserve">(7581), 262–266. </w:t>
      </w:r>
      <w:hyperlink r:id="rId11" w:tgtFrame="_new" w:history="1">
        <w:r w:rsidRPr="00A37C08">
          <w:rPr>
            <w:rStyle w:val="Hyperlink"/>
            <w:rFonts w:ascii="Arial" w:eastAsiaTheme="majorEastAsia" w:hAnsi="Arial" w:cs="Arial"/>
            <w:sz w:val="20"/>
            <w:szCs w:val="20"/>
          </w:rPr>
          <w:t>https://doi.org/10.1038/nature15766</w:t>
        </w:r>
      </w:hyperlink>
      <w:r w:rsidRPr="00A37C08">
        <w:rPr>
          <w:rFonts w:ascii="Arial" w:hAnsi="Arial" w:cs="Arial"/>
          <w:sz w:val="20"/>
          <w:szCs w:val="20"/>
        </w:rPr>
        <w:t xml:space="preserve"> </w:t>
      </w:r>
    </w:p>
    <w:p w14:paraId="73399775" w14:textId="77777777" w:rsidR="00B65CFE" w:rsidRPr="00A37C08" w:rsidRDefault="00B65CFE" w:rsidP="00A37C08">
      <w:pPr>
        <w:pStyle w:val="NormalWeb"/>
        <w:spacing w:before="0" w:beforeAutospacing="0" w:after="0" w:afterAutospacing="0" w:line="360" w:lineRule="auto"/>
        <w:rPr>
          <w:rFonts w:ascii="Arial" w:hAnsi="Arial" w:cs="Arial"/>
          <w:sz w:val="20"/>
          <w:szCs w:val="20"/>
        </w:rPr>
      </w:pPr>
      <w:proofErr w:type="spellStart"/>
      <w:r w:rsidRPr="00A37C08">
        <w:rPr>
          <w:rFonts w:ascii="Arial" w:hAnsi="Arial" w:cs="Arial"/>
          <w:sz w:val="20"/>
          <w:szCs w:val="20"/>
        </w:rPr>
        <w:t>Gruszka</w:t>
      </w:r>
      <w:proofErr w:type="spellEnd"/>
      <w:r w:rsidRPr="00A37C08">
        <w:rPr>
          <w:rFonts w:ascii="Arial" w:hAnsi="Arial" w:cs="Arial"/>
          <w:sz w:val="20"/>
          <w:szCs w:val="20"/>
        </w:rPr>
        <w:t>, A. (2015). New insight into the mechanisms of the anti-</w:t>
      </w:r>
      <w:proofErr w:type="spellStart"/>
      <w:r w:rsidRPr="00A37C08">
        <w:rPr>
          <w:rFonts w:ascii="Arial" w:hAnsi="Arial" w:cs="Arial"/>
          <w:sz w:val="20"/>
          <w:szCs w:val="20"/>
        </w:rPr>
        <w:t>hyperglycemic</w:t>
      </w:r>
      <w:proofErr w:type="spellEnd"/>
      <w:r w:rsidRPr="00A37C08">
        <w:rPr>
          <w:rFonts w:ascii="Arial" w:hAnsi="Arial" w:cs="Arial"/>
          <w:sz w:val="20"/>
          <w:szCs w:val="20"/>
        </w:rPr>
        <w:t xml:space="preserve"> action of metformin. </w:t>
      </w:r>
      <w:r w:rsidRPr="00A37C08">
        <w:rPr>
          <w:rStyle w:val="Emphasis"/>
          <w:rFonts w:ascii="Arial" w:eastAsiaTheme="majorEastAsia" w:hAnsi="Arial" w:cs="Arial"/>
          <w:sz w:val="20"/>
          <w:szCs w:val="20"/>
        </w:rPr>
        <w:t>Journal of Advances in Medicine and Medical Research, 13</w:t>
      </w:r>
      <w:r w:rsidRPr="00A37C08">
        <w:rPr>
          <w:rFonts w:ascii="Arial" w:hAnsi="Arial" w:cs="Arial"/>
          <w:sz w:val="20"/>
          <w:szCs w:val="20"/>
        </w:rPr>
        <w:t xml:space="preserve">(1), 1–9. </w:t>
      </w:r>
      <w:hyperlink r:id="rId12" w:tgtFrame="_new" w:history="1">
        <w:r w:rsidRPr="00A37C08">
          <w:rPr>
            <w:rStyle w:val="Hyperlink"/>
            <w:rFonts w:ascii="Arial" w:eastAsiaTheme="majorEastAsia" w:hAnsi="Arial" w:cs="Arial"/>
            <w:sz w:val="20"/>
            <w:szCs w:val="20"/>
          </w:rPr>
          <w:t>https://doi.org/10.9734/BJMMR/2016/23354</w:t>
        </w:r>
      </w:hyperlink>
      <w:r w:rsidRPr="00A37C08">
        <w:rPr>
          <w:rFonts w:ascii="Arial" w:hAnsi="Arial" w:cs="Arial"/>
          <w:sz w:val="20"/>
          <w:szCs w:val="20"/>
        </w:rPr>
        <w:t xml:space="preserve"> </w:t>
      </w:r>
    </w:p>
    <w:p w14:paraId="03745986" w14:textId="77777777" w:rsidR="00B65CFE" w:rsidRPr="00A37C08" w:rsidRDefault="00B65CFE" w:rsidP="00A37C08">
      <w:pPr>
        <w:pStyle w:val="NormalWeb"/>
        <w:spacing w:before="0" w:beforeAutospacing="0" w:after="0" w:afterAutospacing="0" w:line="360" w:lineRule="auto"/>
        <w:rPr>
          <w:rStyle w:val="relative"/>
          <w:rFonts w:ascii="Arial" w:eastAsiaTheme="majorEastAsia" w:hAnsi="Arial" w:cs="Arial"/>
          <w:sz w:val="20"/>
          <w:szCs w:val="20"/>
        </w:rPr>
      </w:pPr>
      <w:r w:rsidRPr="00A37C08">
        <w:rPr>
          <w:rFonts w:ascii="Arial" w:hAnsi="Arial" w:cs="Arial"/>
          <w:sz w:val="20"/>
          <w:szCs w:val="20"/>
        </w:rPr>
        <w:t xml:space="preserve">Karlsson, F. H., </w:t>
      </w:r>
      <w:proofErr w:type="spellStart"/>
      <w:r w:rsidRPr="00A37C08">
        <w:rPr>
          <w:rFonts w:ascii="Arial" w:hAnsi="Arial" w:cs="Arial"/>
          <w:sz w:val="20"/>
          <w:szCs w:val="20"/>
        </w:rPr>
        <w:t>Tremaroli</w:t>
      </w:r>
      <w:proofErr w:type="spellEnd"/>
      <w:r w:rsidRPr="00A37C08">
        <w:rPr>
          <w:rFonts w:ascii="Arial" w:hAnsi="Arial" w:cs="Arial"/>
          <w:sz w:val="20"/>
          <w:szCs w:val="20"/>
        </w:rPr>
        <w:t xml:space="preserve">, V., </w:t>
      </w:r>
      <w:proofErr w:type="spellStart"/>
      <w:r w:rsidRPr="00A37C08">
        <w:rPr>
          <w:rFonts w:ascii="Arial" w:hAnsi="Arial" w:cs="Arial"/>
          <w:sz w:val="20"/>
          <w:szCs w:val="20"/>
        </w:rPr>
        <w:t>Nookaew</w:t>
      </w:r>
      <w:proofErr w:type="spellEnd"/>
      <w:r w:rsidRPr="00A37C08">
        <w:rPr>
          <w:rFonts w:ascii="Arial" w:hAnsi="Arial" w:cs="Arial"/>
          <w:sz w:val="20"/>
          <w:szCs w:val="20"/>
        </w:rPr>
        <w:t xml:space="preserve">, I., </w:t>
      </w:r>
      <w:proofErr w:type="spellStart"/>
      <w:r w:rsidRPr="00A37C08">
        <w:rPr>
          <w:rFonts w:ascii="Arial" w:hAnsi="Arial" w:cs="Arial"/>
          <w:sz w:val="20"/>
          <w:szCs w:val="20"/>
        </w:rPr>
        <w:t>Bergström</w:t>
      </w:r>
      <w:proofErr w:type="spellEnd"/>
      <w:r w:rsidRPr="00A37C08">
        <w:rPr>
          <w:rFonts w:ascii="Arial" w:hAnsi="Arial" w:cs="Arial"/>
          <w:sz w:val="20"/>
          <w:szCs w:val="20"/>
        </w:rPr>
        <w:t xml:space="preserve">, G., </w:t>
      </w:r>
      <w:proofErr w:type="spellStart"/>
      <w:r w:rsidRPr="00A37C08">
        <w:rPr>
          <w:rFonts w:ascii="Arial" w:hAnsi="Arial" w:cs="Arial"/>
          <w:sz w:val="20"/>
          <w:szCs w:val="20"/>
        </w:rPr>
        <w:t>Behre</w:t>
      </w:r>
      <w:proofErr w:type="spellEnd"/>
      <w:r w:rsidRPr="00A37C08">
        <w:rPr>
          <w:rFonts w:ascii="Arial" w:hAnsi="Arial" w:cs="Arial"/>
          <w:sz w:val="20"/>
          <w:szCs w:val="20"/>
        </w:rPr>
        <w:t xml:space="preserve">, C. J., Fagerberg, B., Nielsen, J., &amp; </w:t>
      </w:r>
      <w:proofErr w:type="spellStart"/>
      <w:r w:rsidRPr="00A37C08">
        <w:rPr>
          <w:rFonts w:ascii="Arial" w:hAnsi="Arial" w:cs="Arial"/>
          <w:sz w:val="20"/>
          <w:szCs w:val="20"/>
        </w:rPr>
        <w:t>Bäckhed</w:t>
      </w:r>
      <w:proofErr w:type="spellEnd"/>
      <w:r w:rsidRPr="00A37C08">
        <w:rPr>
          <w:rFonts w:ascii="Arial" w:hAnsi="Arial" w:cs="Arial"/>
          <w:sz w:val="20"/>
          <w:szCs w:val="20"/>
        </w:rPr>
        <w:t xml:space="preserve">, F. (2013). Gut metagenome in European women with normal, impaired and diabetic glucose control. </w:t>
      </w:r>
      <w:r w:rsidRPr="00A37C08">
        <w:rPr>
          <w:rStyle w:val="Emphasis"/>
          <w:rFonts w:ascii="Arial" w:eastAsiaTheme="majorEastAsia" w:hAnsi="Arial" w:cs="Arial"/>
          <w:sz w:val="20"/>
          <w:szCs w:val="20"/>
        </w:rPr>
        <w:t>Nature, 498</w:t>
      </w:r>
      <w:r w:rsidRPr="00A37C08">
        <w:rPr>
          <w:rFonts w:ascii="Arial" w:hAnsi="Arial" w:cs="Arial"/>
          <w:sz w:val="20"/>
          <w:szCs w:val="20"/>
        </w:rPr>
        <w:t xml:space="preserve">(7452), 99–103. </w:t>
      </w:r>
      <w:hyperlink r:id="rId13" w:tgtFrame="_new" w:history="1">
        <w:r w:rsidRPr="00A37C08">
          <w:rPr>
            <w:rStyle w:val="Hyperlink"/>
            <w:rFonts w:ascii="Arial" w:eastAsiaTheme="majorEastAsia" w:hAnsi="Arial" w:cs="Arial"/>
            <w:sz w:val="20"/>
            <w:szCs w:val="20"/>
          </w:rPr>
          <w:t>https://doi.org/10.1038/nature12198</w:t>
        </w:r>
      </w:hyperlink>
      <w:r w:rsidRPr="00A37C08">
        <w:rPr>
          <w:rFonts w:ascii="Arial" w:hAnsi="Arial" w:cs="Arial"/>
          <w:sz w:val="20"/>
          <w:szCs w:val="20"/>
        </w:rPr>
        <w:t xml:space="preserve"> </w:t>
      </w:r>
    </w:p>
    <w:p w14:paraId="219B1105" w14:textId="77777777" w:rsidR="00B65CFE" w:rsidRPr="00A37C08" w:rsidRDefault="00B65CFE" w:rsidP="00A37C08">
      <w:pPr>
        <w:pStyle w:val="NormalWeb"/>
        <w:spacing w:before="0" w:beforeAutospacing="0" w:after="0" w:afterAutospacing="0" w:line="360" w:lineRule="auto"/>
        <w:rPr>
          <w:rFonts w:ascii="Arial" w:hAnsi="Arial" w:cs="Arial"/>
          <w:sz w:val="20"/>
          <w:szCs w:val="20"/>
        </w:rPr>
      </w:pPr>
      <w:proofErr w:type="spellStart"/>
      <w:r w:rsidRPr="00A37C08">
        <w:rPr>
          <w:rFonts w:ascii="Arial" w:hAnsi="Arial" w:cs="Arial"/>
          <w:sz w:val="20"/>
          <w:szCs w:val="20"/>
        </w:rPr>
        <w:t>Karcher</w:t>
      </w:r>
      <w:proofErr w:type="spellEnd"/>
      <w:r w:rsidRPr="00A37C08">
        <w:rPr>
          <w:rFonts w:ascii="Arial" w:hAnsi="Arial" w:cs="Arial"/>
          <w:sz w:val="20"/>
          <w:szCs w:val="20"/>
        </w:rPr>
        <w:t xml:space="preserve">, N., Nigro, E., </w:t>
      </w:r>
      <w:proofErr w:type="spellStart"/>
      <w:r w:rsidRPr="00A37C08">
        <w:rPr>
          <w:rFonts w:ascii="Arial" w:hAnsi="Arial" w:cs="Arial"/>
          <w:sz w:val="20"/>
          <w:szCs w:val="20"/>
        </w:rPr>
        <w:t>Punčochář</w:t>
      </w:r>
      <w:proofErr w:type="spellEnd"/>
      <w:r w:rsidRPr="00A37C08">
        <w:rPr>
          <w:rFonts w:ascii="Arial" w:hAnsi="Arial" w:cs="Arial"/>
          <w:sz w:val="20"/>
          <w:szCs w:val="20"/>
        </w:rPr>
        <w:t>, M., Blanco-</w:t>
      </w:r>
      <w:proofErr w:type="spellStart"/>
      <w:r w:rsidRPr="00A37C08">
        <w:rPr>
          <w:rFonts w:ascii="Arial" w:hAnsi="Arial" w:cs="Arial"/>
          <w:sz w:val="20"/>
          <w:szCs w:val="20"/>
        </w:rPr>
        <w:t>Míguez</w:t>
      </w:r>
      <w:proofErr w:type="spellEnd"/>
      <w:r w:rsidRPr="00A37C08">
        <w:rPr>
          <w:rFonts w:ascii="Arial" w:hAnsi="Arial" w:cs="Arial"/>
          <w:sz w:val="20"/>
          <w:szCs w:val="20"/>
        </w:rPr>
        <w:t xml:space="preserve">, A., </w:t>
      </w:r>
      <w:proofErr w:type="spellStart"/>
      <w:r w:rsidRPr="00A37C08">
        <w:rPr>
          <w:rFonts w:ascii="Arial" w:hAnsi="Arial" w:cs="Arial"/>
          <w:sz w:val="20"/>
          <w:szCs w:val="20"/>
        </w:rPr>
        <w:t>Ciciani</w:t>
      </w:r>
      <w:proofErr w:type="spellEnd"/>
      <w:r w:rsidRPr="00A37C08">
        <w:rPr>
          <w:rFonts w:ascii="Arial" w:hAnsi="Arial" w:cs="Arial"/>
          <w:sz w:val="20"/>
          <w:szCs w:val="20"/>
        </w:rPr>
        <w:t xml:space="preserve">, M., </w:t>
      </w:r>
      <w:proofErr w:type="spellStart"/>
      <w:r w:rsidRPr="00A37C08">
        <w:rPr>
          <w:rFonts w:ascii="Arial" w:hAnsi="Arial" w:cs="Arial"/>
          <w:sz w:val="20"/>
          <w:szCs w:val="20"/>
        </w:rPr>
        <w:t>Manghi</w:t>
      </w:r>
      <w:proofErr w:type="spellEnd"/>
      <w:r w:rsidRPr="00A37C08">
        <w:rPr>
          <w:rFonts w:ascii="Arial" w:hAnsi="Arial" w:cs="Arial"/>
          <w:sz w:val="20"/>
          <w:szCs w:val="20"/>
        </w:rPr>
        <w:t xml:space="preserve">, P., Zolfo, M., </w:t>
      </w:r>
      <w:proofErr w:type="spellStart"/>
      <w:r w:rsidRPr="00A37C08">
        <w:rPr>
          <w:rFonts w:ascii="Arial" w:hAnsi="Arial" w:cs="Arial"/>
          <w:sz w:val="20"/>
          <w:szCs w:val="20"/>
        </w:rPr>
        <w:t>Cumbo</w:t>
      </w:r>
      <w:proofErr w:type="spellEnd"/>
      <w:r w:rsidRPr="00A37C08">
        <w:rPr>
          <w:rFonts w:ascii="Arial" w:hAnsi="Arial" w:cs="Arial"/>
          <w:sz w:val="20"/>
          <w:szCs w:val="20"/>
        </w:rPr>
        <w:t xml:space="preserve">, F., </w:t>
      </w:r>
      <w:proofErr w:type="spellStart"/>
      <w:r w:rsidRPr="00A37C08">
        <w:rPr>
          <w:rFonts w:ascii="Arial" w:hAnsi="Arial" w:cs="Arial"/>
          <w:sz w:val="20"/>
          <w:szCs w:val="20"/>
        </w:rPr>
        <w:t>Manara</w:t>
      </w:r>
      <w:proofErr w:type="spellEnd"/>
      <w:r w:rsidRPr="00A37C08">
        <w:rPr>
          <w:rFonts w:ascii="Arial" w:hAnsi="Arial" w:cs="Arial"/>
          <w:sz w:val="20"/>
          <w:szCs w:val="20"/>
        </w:rPr>
        <w:t xml:space="preserve">, S., </w:t>
      </w:r>
      <w:proofErr w:type="spellStart"/>
      <w:r w:rsidRPr="00A37C08">
        <w:rPr>
          <w:rFonts w:ascii="Arial" w:hAnsi="Arial" w:cs="Arial"/>
          <w:sz w:val="20"/>
          <w:szCs w:val="20"/>
        </w:rPr>
        <w:t>Golzato</w:t>
      </w:r>
      <w:proofErr w:type="spellEnd"/>
      <w:r w:rsidRPr="00A37C08">
        <w:rPr>
          <w:rFonts w:ascii="Arial" w:hAnsi="Arial" w:cs="Arial"/>
          <w:sz w:val="20"/>
          <w:szCs w:val="20"/>
        </w:rPr>
        <w:t xml:space="preserve">, D., </w:t>
      </w:r>
      <w:proofErr w:type="spellStart"/>
      <w:r w:rsidRPr="00A37C08">
        <w:rPr>
          <w:rFonts w:ascii="Arial" w:hAnsi="Arial" w:cs="Arial"/>
          <w:sz w:val="20"/>
          <w:szCs w:val="20"/>
        </w:rPr>
        <w:t>Cereseto</w:t>
      </w:r>
      <w:proofErr w:type="spellEnd"/>
      <w:r w:rsidRPr="00A37C08">
        <w:rPr>
          <w:rFonts w:ascii="Arial" w:hAnsi="Arial" w:cs="Arial"/>
          <w:sz w:val="20"/>
          <w:szCs w:val="20"/>
        </w:rPr>
        <w:t xml:space="preserve">, A., Arumugam, M., Bui, T. P. N., </w:t>
      </w:r>
      <w:proofErr w:type="spellStart"/>
      <w:r w:rsidRPr="00A37C08">
        <w:rPr>
          <w:rFonts w:ascii="Arial" w:hAnsi="Arial" w:cs="Arial"/>
          <w:sz w:val="20"/>
          <w:szCs w:val="20"/>
        </w:rPr>
        <w:t>Tytgat</w:t>
      </w:r>
      <w:proofErr w:type="spellEnd"/>
      <w:r w:rsidRPr="00A37C08">
        <w:rPr>
          <w:rFonts w:ascii="Arial" w:hAnsi="Arial" w:cs="Arial"/>
          <w:sz w:val="20"/>
          <w:szCs w:val="20"/>
        </w:rPr>
        <w:t>, H. L. P., Valles-</w:t>
      </w:r>
      <w:proofErr w:type="spellStart"/>
      <w:r w:rsidRPr="00A37C08">
        <w:rPr>
          <w:rFonts w:ascii="Arial" w:hAnsi="Arial" w:cs="Arial"/>
          <w:sz w:val="20"/>
          <w:szCs w:val="20"/>
        </w:rPr>
        <w:t>Colomer</w:t>
      </w:r>
      <w:proofErr w:type="spellEnd"/>
      <w:r w:rsidRPr="00A37C08">
        <w:rPr>
          <w:rFonts w:ascii="Arial" w:hAnsi="Arial" w:cs="Arial"/>
          <w:sz w:val="20"/>
          <w:szCs w:val="20"/>
        </w:rPr>
        <w:t xml:space="preserve">, M., de Vos, W. M., &amp; </w:t>
      </w:r>
      <w:proofErr w:type="spellStart"/>
      <w:r w:rsidRPr="00A37C08">
        <w:rPr>
          <w:rFonts w:ascii="Arial" w:hAnsi="Arial" w:cs="Arial"/>
          <w:sz w:val="20"/>
          <w:szCs w:val="20"/>
        </w:rPr>
        <w:t>Segata</w:t>
      </w:r>
      <w:proofErr w:type="spellEnd"/>
      <w:r w:rsidRPr="00A37C08">
        <w:rPr>
          <w:rFonts w:ascii="Arial" w:hAnsi="Arial" w:cs="Arial"/>
          <w:sz w:val="20"/>
          <w:szCs w:val="20"/>
        </w:rPr>
        <w:t xml:space="preserve">, N. (2021). Genomic diversity and ecology of human-associated </w:t>
      </w:r>
      <w:proofErr w:type="spellStart"/>
      <w:r w:rsidRPr="00A37C08">
        <w:rPr>
          <w:rStyle w:val="Emphasis"/>
          <w:rFonts w:ascii="Arial" w:eastAsiaTheme="majorEastAsia" w:hAnsi="Arial" w:cs="Arial"/>
          <w:sz w:val="20"/>
          <w:szCs w:val="20"/>
        </w:rPr>
        <w:t>Akkermansia</w:t>
      </w:r>
      <w:proofErr w:type="spellEnd"/>
      <w:r w:rsidRPr="00A37C08">
        <w:rPr>
          <w:rFonts w:ascii="Arial" w:hAnsi="Arial" w:cs="Arial"/>
          <w:sz w:val="20"/>
          <w:szCs w:val="20"/>
        </w:rPr>
        <w:t xml:space="preserve"> species. </w:t>
      </w:r>
      <w:r w:rsidRPr="00A37C08">
        <w:rPr>
          <w:rStyle w:val="Emphasis"/>
          <w:rFonts w:ascii="Arial" w:eastAsiaTheme="majorEastAsia" w:hAnsi="Arial" w:cs="Arial"/>
          <w:sz w:val="20"/>
          <w:szCs w:val="20"/>
        </w:rPr>
        <w:t>Genome Biology, 22</w:t>
      </w:r>
      <w:r w:rsidRPr="00A37C08">
        <w:rPr>
          <w:rFonts w:ascii="Arial" w:hAnsi="Arial" w:cs="Arial"/>
          <w:sz w:val="20"/>
          <w:szCs w:val="20"/>
        </w:rPr>
        <w:t xml:space="preserve">, Article 209. </w:t>
      </w:r>
      <w:hyperlink r:id="rId14" w:tgtFrame="_new" w:history="1">
        <w:r w:rsidRPr="00A37C08">
          <w:rPr>
            <w:rStyle w:val="Hyperlink"/>
            <w:rFonts w:ascii="Arial" w:eastAsiaTheme="majorEastAsia" w:hAnsi="Arial" w:cs="Arial"/>
            <w:sz w:val="20"/>
            <w:szCs w:val="20"/>
          </w:rPr>
          <w:t>https://doi.org/10.1186/s13059-021-02427-7</w:t>
        </w:r>
      </w:hyperlink>
      <w:r w:rsidRPr="00A37C08">
        <w:rPr>
          <w:rFonts w:ascii="Arial" w:hAnsi="Arial" w:cs="Arial"/>
          <w:sz w:val="20"/>
          <w:szCs w:val="20"/>
        </w:rPr>
        <w:t xml:space="preserve"> </w:t>
      </w:r>
    </w:p>
    <w:p w14:paraId="54E8AE27" w14:textId="77777777" w:rsidR="00B65CFE" w:rsidRPr="00A37C08" w:rsidRDefault="00B65CFE" w:rsidP="00A37C08">
      <w:pPr>
        <w:pStyle w:val="NormalWeb"/>
        <w:spacing w:before="0" w:beforeAutospacing="0" w:after="0" w:afterAutospacing="0" w:line="360" w:lineRule="auto"/>
        <w:rPr>
          <w:rFonts w:ascii="Arial" w:hAnsi="Arial" w:cs="Arial"/>
          <w:sz w:val="20"/>
          <w:szCs w:val="20"/>
        </w:rPr>
      </w:pPr>
      <w:r w:rsidRPr="00A37C08">
        <w:rPr>
          <w:rFonts w:ascii="Arial" w:hAnsi="Arial" w:cs="Arial"/>
          <w:sz w:val="20"/>
          <w:szCs w:val="20"/>
        </w:rPr>
        <w:t xml:space="preserve">Mei, Z., Wang, F., Bhosle, A., Dong, D., Mehta, R., Ghazi, A., Zhang, Y., Liu, Y., </w:t>
      </w:r>
      <w:proofErr w:type="spellStart"/>
      <w:r w:rsidRPr="00A37C08">
        <w:rPr>
          <w:rFonts w:ascii="Arial" w:hAnsi="Arial" w:cs="Arial"/>
          <w:sz w:val="20"/>
          <w:szCs w:val="20"/>
        </w:rPr>
        <w:t>Rinott</w:t>
      </w:r>
      <w:proofErr w:type="spellEnd"/>
      <w:r w:rsidRPr="00A37C08">
        <w:rPr>
          <w:rFonts w:ascii="Arial" w:hAnsi="Arial" w:cs="Arial"/>
          <w:sz w:val="20"/>
          <w:szCs w:val="20"/>
        </w:rPr>
        <w:t xml:space="preserve">, E., Ma, S., </w:t>
      </w:r>
      <w:proofErr w:type="spellStart"/>
      <w:r w:rsidRPr="00A37C08">
        <w:rPr>
          <w:rFonts w:ascii="Arial" w:hAnsi="Arial" w:cs="Arial"/>
          <w:sz w:val="20"/>
          <w:szCs w:val="20"/>
        </w:rPr>
        <w:t>Rimm</w:t>
      </w:r>
      <w:proofErr w:type="spellEnd"/>
      <w:r w:rsidRPr="00A37C08">
        <w:rPr>
          <w:rFonts w:ascii="Arial" w:hAnsi="Arial" w:cs="Arial"/>
          <w:sz w:val="20"/>
          <w:szCs w:val="20"/>
        </w:rPr>
        <w:t xml:space="preserve">, E. B., </w:t>
      </w:r>
      <w:proofErr w:type="spellStart"/>
      <w:r w:rsidRPr="00A37C08">
        <w:rPr>
          <w:rFonts w:ascii="Arial" w:hAnsi="Arial" w:cs="Arial"/>
          <w:sz w:val="20"/>
          <w:szCs w:val="20"/>
        </w:rPr>
        <w:t>Daviglus</w:t>
      </w:r>
      <w:proofErr w:type="spellEnd"/>
      <w:r w:rsidRPr="00A37C08">
        <w:rPr>
          <w:rFonts w:ascii="Arial" w:hAnsi="Arial" w:cs="Arial"/>
          <w:sz w:val="20"/>
          <w:szCs w:val="20"/>
        </w:rPr>
        <w:t xml:space="preserve">, M., Willett, W. C., Knight, R., Hu, F. B., Qi, Q., Chan, A. T., Burk, R. D., </w:t>
      </w:r>
      <w:proofErr w:type="spellStart"/>
      <w:r w:rsidRPr="00A37C08">
        <w:rPr>
          <w:rFonts w:ascii="Arial" w:hAnsi="Arial" w:cs="Arial"/>
          <w:sz w:val="20"/>
          <w:szCs w:val="20"/>
        </w:rPr>
        <w:t>Stampfer</w:t>
      </w:r>
      <w:proofErr w:type="spellEnd"/>
      <w:r w:rsidRPr="00A37C08">
        <w:rPr>
          <w:rFonts w:ascii="Arial" w:hAnsi="Arial" w:cs="Arial"/>
          <w:sz w:val="20"/>
          <w:szCs w:val="20"/>
        </w:rPr>
        <w:t xml:space="preserve">, M. J., … Wang, D. D. (2024). Strain-specific gut microbial signatures in type 2 diabetes identified in a cross-cohort analysis of 8,117 metagenomes. </w:t>
      </w:r>
      <w:r w:rsidRPr="00A37C08">
        <w:rPr>
          <w:rStyle w:val="Emphasis"/>
          <w:rFonts w:ascii="Arial" w:eastAsiaTheme="majorEastAsia" w:hAnsi="Arial" w:cs="Arial"/>
          <w:sz w:val="20"/>
          <w:szCs w:val="20"/>
        </w:rPr>
        <w:t>Nature Medicine, 30</w:t>
      </w:r>
      <w:r w:rsidRPr="00A37C08">
        <w:rPr>
          <w:rFonts w:ascii="Arial" w:hAnsi="Arial" w:cs="Arial"/>
          <w:sz w:val="20"/>
          <w:szCs w:val="20"/>
        </w:rPr>
        <w:t xml:space="preserve">(8), 2265–2276. </w:t>
      </w:r>
      <w:hyperlink r:id="rId15" w:tgtFrame="_new" w:history="1">
        <w:r w:rsidRPr="00A37C08">
          <w:rPr>
            <w:rStyle w:val="Hyperlink"/>
            <w:rFonts w:ascii="Arial" w:eastAsiaTheme="majorEastAsia" w:hAnsi="Arial" w:cs="Arial"/>
            <w:sz w:val="20"/>
            <w:szCs w:val="20"/>
          </w:rPr>
          <w:t>https://doi.org/10.1038/s41591-024-03067-7</w:t>
        </w:r>
      </w:hyperlink>
      <w:r w:rsidRPr="00A37C08">
        <w:rPr>
          <w:rFonts w:ascii="Arial" w:hAnsi="Arial" w:cs="Arial"/>
          <w:sz w:val="20"/>
          <w:szCs w:val="20"/>
        </w:rPr>
        <w:t xml:space="preserve"> </w:t>
      </w:r>
    </w:p>
    <w:p w14:paraId="7D6DF6FD" w14:textId="77777777" w:rsidR="00B65CFE" w:rsidRPr="00A37C08" w:rsidRDefault="00B65CFE" w:rsidP="00A37C08">
      <w:pPr>
        <w:pStyle w:val="NormalWeb"/>
        <w:spacing w:before="0" w:beforeAutospacing="0" w:after="0" w:afterAutospacing="0" w:line="360" w:lineRule="auto"/>
        <w:rPr>
          <w:rFonts w:ascii="Arial" w:hAnsi="Arial" w:cs="Arial"/>
          <w:sz w:val="20"/>
          <w:szCs w:val="20"/>
        </w:rPr>
      </w:pPr>
      <w:proofErr w:type="spellStart"/>
      <w:r w:rsidRPr="00A37C08">
        <w:rPr>
          <w:rFonts w:ascii="Arial" w:hAnsi="Arial" w:cs="Arial"/>
          <w:sz w:val="20"/>
          <w:szCs w:val="20"/>
        </w:rPr>
        <w:t>Plovier</w:t>
      </w:r>
      <w:proofErr w:type="spellEnd"/>
      <w:r w:rsidRPr="00A37C08">
        <w:rPr>
          <w:rFonts w:ascii="Arial" w:hAnsi="Arial" w:cs="Arial"/>
          <w:sz w:val="20"/>
          <w:szCs w:val="20"/>
        </w:rPr>
        <w:t xml:space="preserve">, H., Everard, A., </w:t>
      </w:r>
      <w:proofErr w:type="spellStart"/>
      <w:r w:rsidRPr="00A37C08">
        <w:rPr>
          <w:rFonts w:ascii="Arial" w:hAnsi="Arial" w:cs="Arial"/>
          <w:sz w:val="20"/>
          <w:szCs w:val="20"/>
        </w:rPr>
        <w:t>Druart</w:t>
      </w:r>
      <w:proofErr w:type="spellEnd"/>
      <w:r w:rsidRPr="00A37C08">
        <w:rPr>
          <w:rFonts w:ascii="Arial" w:hAnsi="Arial" w:cs="Arial"/>
          <w:sz w:val="20"/>
          <w:szCs w:val="20"/>
        </w:rPr>
        <w:t xml:space="preserve">, C., </w:t>
      </w:r>
      <w:proofErr w:type="spellStart"/>
      <w:r w:rsidRPr="00A37C08">
        <w:rPr>
          <w:rFonts w:ascii="Arial" w:hAnsi="Arial" w:cs="Arial"/>
          <w:sz w:val="20"/>
          <w:szCs w:val="20"/>
        </w:rPr>
        <w:t>Depommier</w:t>
      </w:r>
      <w:proofErr w:type="spellEnd"/>
      <w:r w:rsidRPr="00A37C08">
        <w:rPr>
          <w:rFonts w:ascii="Arial" w:hAnsi="Arial" w:cs="Arial"/>
          <w:sz w:val="20"/>
          <w:szCs w:val="20"/>
        </w:rPr>
        <w:t xml:space="preserve">, C., Van </w:t>
      </w:r>
      <w:proofErr w:type="spellStart"/>
      <w:r w:rsidRPr="00A37C08">
        <w:rPr>
          <w:rFonts w:ascii="Arial" w:hAnsi="Arial" w:cs="Arial"/>
          <w:sz w:val="20"/>
          <w:szCs w:val="20"/>
        </w:rPr>
        <w:t>Hul</w:t>
      </w:r>
      <w:proofErr w:type="spellEnd"/>
      <w:r w:rsidRPr="00A37C08">
        <w:rPr>
          <w:rFonts w:ascii="Arial" w:hAnsi="Arial" w:cs="Arial"/>
          <w:sz w:val="20"/>
          <w:szCs w:val="20"/>
        </w:rPr>
        <w:t xml:space="preserve">, M., </w:t>
      </w:r>
      <w:proofErr w:type="spellStart"/>
      <w:r w:rsidRPr="00A37C08">
        <w:rPr>
          <w:rFonts w:ascii="Arial" w:hAnsi="Arial" w:cs="Arial"/>
          <w:sz w:val="20"/>
          <w:szCs w:val="20"/>
        </w:rPr>
        <w:t>Geurts</w:t>
      </w:r>
      <w:proofErr w:type="spellEnd"/>
      <w:r w:rsidRPr="00A37C08">
        <w:rPr>
          <w:rFonts w:ascii="Arial" w:hAnsi="Arial" w:cs="Arial"/>
          <w:sz w:val="20"/>
          <w:szCs w:val="20"/>
        </w:rPr>
        <w:t xml:space="preserve">, L., </w:t>
      </w:r>
      <w:proofErr w:type="spellStart"/>
      <w:r w:rsidRPr="00A37C08">
        <w:rPr>
          <w:rFonts w:ascii="Arial" w:hAnsi="Arial" w:cs="Arial"/>
          <w:sz w:val="20"/>
          <w:szCs w:val="20"/>
        </w:rPr>
        <w:t>Chilloux</w:t>
      </w:r>
      <w:proofErr w:type="spellEnd"/>
      <w:r w:rsidRPr="00A37C08">
        <w:rPr>
          <w:rFonts w:ascii="Arial" w:hAnsi="Arial" w:cs="Arial"/>
          <w:sz w:val="20"/>
          <w:szCs w:val="20"/>
        </w:rPr>
        <w:t xml:space="preserve">, J., </w:t>
      </w:r>
      <w:proofErr w:type="spellStart"/>
      <w:r w:rsidRPr="00A37C08">
        <w:rPr>
          <w:rFonts w:ascii="Arial" w:hAnsi="Arial" w:cs="Arial"/>
          <w:sz w:val="20"/>
          <w:szCs w:val="20"/>
        </w:rPr>
        <w:t>Ottman</w:t>
      </w:r>
      <w:proofErr w:type="spellEnd"/>
      <w:r w:rsidRPr="00A37C08">
        <w:rPr>
          <w:rFonts w:ascii="Arial" w:hAnsi="Arial" w:cs="Arial"/>
          <w:sz w:val="20"/>
          <w:szCs w:val="20"/>
        </w:rPr>
        <w:t xml:space="preserve">, N., </w:t>
      </w:r>
      <w:proofErr w:type="spellStart"/>
      <w:r w:rsidRPr="00A37C08">
        <w:rPr>
          <w:rFonts w:ascii="Arial" w:hAnsi="Arial" w:cs="Arial"/>
          <w:sz w:val="20"/>
          <w:szCs w:val="20"/>
        </w:rPr>
        <w:t>Duparc</w:t>
      </w:r>
      <w:proofErr w:type="spellEnd"/>
      <w:r w:rsidRPr="00A37C08">
        <w:rPr>
          <w:rFonts w:ascii="Arial" w:hAnsi="Arial" w:cs="Arial"/>
          <w:sz w:val="20"/>
          <w:szCs w:val="20"/>
        </w:rPr>
        <w:t xml:space="preserve">, T., Lichtenstein, L., </w:t>
      </w:r>
      <w:proofErr w:type="spellStart"/>
      <w:r w:rsidRPr="00A37C08">
        <w:rPr>
          <w:rFonts w:ascii="Arial" w:hAnsi="Arial" w:cs="Arial"/>
          <w:sz w:val="20"/>
          <w:szCs w:val="20"/>
        </w:rPr>
        <w:t>Myridakis</w:t>
      </w:r>
      <w:proofErr w:type="spellEnd"/>
      <w:r w:rsidRPr="00A37C08">
        <w:rPr>
          <w:rFonts w:ascii="Arial" w:hAnsi="Arial" w:cs="Arial"/>
          <w:sz w:val="20"/>
          <w:szCs w:val="20"/>
        </w:rPr>
        <w:t xml:space="preserve">, A., </w:t>
      </w:r>
      <w:proofErr w:type="spellStart"/>
      <w:r w:rsidRPr="00A37C08">
        <w:rPr>
          <w:rFonts w:ascii="Arial" w:hAnsi="Arial" w:cs="Arial"/>
          <w:sz w:val="20"/>
          <w:szCs w:val="20"/>
        </w:rPr>
        <w:t>Delzenne</w:t>
      </w:r>
      <w:proofErr w:type="spellEnd"/>
      <w:r w:rsidRPr="00A37C08">
        <w:rPr>
          <w:rFonts w:ascii="Arial" w:hAnsi="Arial" w:cs="Arial"/>
          <w:sz w:val="20"/>
          <w:szCs w:val="20"/>
        </w:rPr>
        <w:t xml:space="preserve">, N. M., </w:t>
      </w:r>
      <w:proofErr w:type="spellStart"/>
      <w:r w:rsidRPr="00A37C08">
        <w:rPr>
          <w:rFonts w:ascii="Arial" w:hAnsi="Arial" w:cs="Arial"/>
          <w:sz w:val="20"/>
          <w:szCs w:val="20"/>
        </w:rPr>
        <w:t>Klievink</w:t>
      </w:r>
      <w:proofErr w:type="spellEnd"/>
      <w:r w:rsidRPr="00A37C08">
        <w:rPr>
          <w:rFonts w:ascii="Arial" w:hAnsi="Arial" w:cs="Arial"/>
          <w:sz w:val="20"/>
          <w:szCs w:val="20"/>
        </w:rPr>
        <w:t xml:space="preserve">, J., Bhattacharjee, A., van der </w:t>
      </w:r>
      <w:r w:rsidRPr="00A37C08">
        <w:rPr>
          <w:rFonts w:ascii="Arial" w:hAnsi="Arial" w:cs="Arial"/>
          <w:sz w:val="20"/>
          <w:szCs w:val="20"/>
        </w:rPr>
        <w:lastRenderedPageBreak/>
        <w:t xml:space="preserve">Ark, K. C. H., </w:t>
      </w:r>
      <w:proofErr w:type="spellStart"/>
      <w:r w:rsidRPr="00A37C08">
        <w:rPr>
          <w:rFonts w:ascii="Arial" w:hAnsi="Arial" w:cs="Arial"/>
          <w:sz w:val="20"/>
          <w:szCs w:val="20"/>
        </w:rPr>
        <w:t>Aalvink</w:t>
      </w:r>
      <w:proofErr w:type="spellEnd"/>
      <w:r w:rsidRPr="00A37C08">
        <w:rPr>
          <w:rFonts w:ascii="Arial" w:hAnsi="Arial" w:cs="Arial"/>
          <w:sz w:val="20"/>
          <w:szCs w:val="20"/>
        </w:rPr>
        <w:t xml:space="preserve">, S., Martinez, L. O., Dumas, M.-E., </w:t>
      </w:r>
      <w:proofErr w:type="spellStart"/>
      <w:r w:rsidRPr="00A37C08">
        <w:rPr>
          <w:rFonts w:ascii="Arial" w:hAnsi="Arial" w:cs="Arial"/>
          <w:sz w:val="20"/>
          <w:szCs w:val="20"/>
        </w:rPr>
        <w:t>Maiter</w:t>
      </w:r>
      <w:proofErr w:type="spellEnd"/>
      <w:r w:rsidRPr="00A37C08">
        <w:rPr>
          <w:rFonts w:ascii="Arial" w:hAnsi="Arial" w:cs="Arial"/>
          <w:sz w:val="20"/>
          <w:szCs w:val="20"/>
        </w:rPr>
        <w:t xml:space="preserve">, D., … </w:t>
      </w:r>
      <w:proofErr w:type="spellStart"/>
      <w:r w:rsidRPr="00A37C08">
        <w:rPr>
          <w:rFonts w:ascii="Arial" w:hAnsi="Arial" w:cs="Arial"/>
          <w:sz w:val="20"/>
          <w:szCs w:val="20"/>
        </w:rPr>
        <w:t>Cani</w:t>
      </w:r>
      <w:proofErr w:type="spellEnd"/>
      <w:r w:rsidRPr="00A37C08">
        <w:rPr>
          <w:rFonts w:ascii="Arial" w:hAnsi="Arial" w:cs="Arial"/>
          <w:sz w:val="20"/>
          <w:szCs w:val="20"/>
        </w:rPr>
        <w:t xml:space="preserve">, P. D. (2017). A purified membrane protein from </w:t>
      </w:r>
      <w:proofErr w:type="spellStart"/>
      <w:r w:rsidRPr="00A37C08">
        <w:rPr>
          <w:rStyle w:val="Emphasis"/>
          <w:rFonts w:ascii="Arial" w:eastAsiaTheme="majorEastAsia" w:hAnsi="Arial" w:cs="Arial"/>
          <w:sz w:val="20"/>
          <w:szCs w:val="20"/>
        </w:rPr>
        <w:t>Akkermansia</w:t>
      </w:r>
      <w:proofErr w:type="spellEnd"/>
      <w:r w:rsidRPr="00A37C08">
        <w:rPr>
          <w:rStyle w:val="Emphasis"/>
          <w:rFonts w:ascii="Arial" w:eastAsiaTheme="majorEastAsia" w:hAnsi="Arial" w:cs="Arial"/>
          <w:sz w:val="20"/>
          <w:szCs w:val="20"/>
        </w:rPr>
        <w:t xml:space="preserve"> </w:t>
      </w:r>
      <w:proofErr w:type="spellStart"/>
      <w:r w:rsidRPr="00A37C08">
        <w:rPr>
          <w:rStyle w:val="Emphasis"/>
          <w:rFonts w:ascii="Arial" w:eastAsiaTheme="majorEastAsia" w:hAnsi="Arial" w:cs="Arial"/>
          <w:sz w:val="20"/>
          <w:szCs w:val="20"/>
        </w:rPr>
        <w:t>muciniphila</w:t>
      </w:r>
      <w:proofErr w:type="spellEnd"/>
      <w:r w:rsidRPr="00A37C08">
        <w:rPr>
          <w:rFonts w:ascii="Arial" w:hAnsi="Arial" w:cs="Arial"/>
          <w:sz w:val="20"/>
          <w:szCs w:val="20"/>
        </w:rPr>
        <w:t xml:space="preserve"> or the pasteurized bacterium improves metabolism in obese and diabetic mice. </w:t>
      </w:r>
      <w:r w:rsidRPr="00A37C08">
        <w:rPr>
          <w:rStyle w:val="Emphasis"/>
          <w:rFonts w:ascii="Arial" w:eastAsiaTheme="majorEastAsia" w:hAnsi="Arial" w:cs="Arial"/>
          <w:sz w:val="20"/>
          <w:szCs w:val="20"/>
        </w:rPr>
        <w:t>Nature Medicine, 23</w:t>
      </w:r>
      <w:r w:rsidRPr="00A37C08">
        <w:rPr>
          <w:rFonts w:ascii="Arial" w:hAnsi="Arial" w:cs="Arial"/>
          <w:sz w:val="20"/>
          <w:szCs w:val="20"/>
        </w:rPr>
        <w:t xml:space="preserve">(1), 107–113. </w:t>
      </w:r>
      <w:hyperlink r:id="rId16" w:tgtFrame="_new" w:history="1">
        <w:r w:rsidRPr="00A37C08">
          <w:rPr>
            <w:rStyle w:val="Hyperlink"/>
            <w:rFonts w:ascii="Arial" w:eastAsiaTheme="majorEastAsia" w:hAnsi="Arial" w:cs="Arial"/>
            <w:sz w:val="20"/>
            <w:szCs w:val="20"/>
          </w:rPr>
          <w:t>https://doi.org/10.1038/nm.4236</w:t>
        </w:r>
      </w:hyperlink>
      <w:r w:rsidRPr="00A37C08">
        <w:rPr>
          <w:rFonts w:ascii="Arial" w:hAnsi="Arial" w:cs="Arial"/>
          <w:sz w:val="20"/>
          <w:szCs w:val="20"/>
        </w:rPr>
        <w:t xml:space="preserve"> </w:t>
      </w:r>
    </w:p>
    <w:p w14:paraId="7EA94C88" w14:textId="77777777" w:rsidR="00B65CFE" w:rsidRPr="00A37C08" w:rsidRDefault="00B65CFE" w:rsidP="00A37C08">
      <w:pPr>
        <w:pStyle w:val="NormalWeb"/>
        <w:spacing w:before="0" w:beforeAutospacing="0" w:after="0" w:afterAutospacing="0" w:line="360" w:lineRule="auto"/>
        <w:rPr>
          <w:rStyle w:val="relative"/>
          <w:rFonts w:ascii="Arial" w:eastAsiaTheme="majorEastAsia" w:hAnsi="Arial" w:cs="Arial"/>
          <w:sz w:val="20"/>
          <w:szCs w:val="20"/>
        </w:rPr>
      </w:pPr>
      <w:r w:rsidRPr="00A37C08">
        <w:rPr>
          <w:rFonts w:ascii="Arial" w:hAnsi="Arial" w:cs="Arial"/>
          <w:sz w:val="20"/>
          <w:szCs w:val="20"/>
        </w:rPr>
        <w:t xml:space="preserve">Qin, J., Li, Y., Cai, Z., Li, S., Zhu, J., Zhang, F., Liang, S., Zhang, W., Guan, Y., Shen, D., Peng, Y., Zhang, D., </w:t>
      </w:r>
      <w:proofErr w:type="spellStart"/>
      <w:r w:rsidRPr="00A37C08">
        <w:rPr>
          <w:rFonts w:ascii="Arial" w:hAnsi="Arial" w:cs="Arial"/>
          <w:sz w:val="20"/>
          <w:szCs w:val="20"/>
        </w:rPr>
        <w:t>Jie</w:t>
      </w:r>
      <w:proofErr w:type="spellEnd"/>
      <w:r w:rsidRPr="00A37C08">
        <w:rPr>
          <w:rFonts w:ascii="Arial" w:hAnsi="Arial" w:cs="Arial"/>
          <w:sz w:val="20"/>
          <w:szCs w:val="20"/>
        </w:rPr>
        <w:t xml:space="preserve">, Z., Wu, W., Qin, Y., </w:t>
      </w:r>
      <w:proofErr w:type="spellStart"/>
      <w:r w:rsidRPr="00A37C08">
        <w:rPr>
          <w:rFonts w:ascii="Arial" w:hAnsi="Arial" w:cs="Arial"/>
          <w:sz w:val="20"/>
          <w:szCs w:val="20"/>
        </w:rPr>
        <w:t>Xue</w:t>
      </w:r>
      <w:proofErr w:type="spellEnd"/>
      <w:r w:rsidRPr="00A37C08">
        <w:rPr>
          <w:rFonts w:ascii="Arial" w:hAnsi="Arial" w:cs="Arial"/>
          <w:sz w:val="20"/>
          <w:szCs w:val="20"/>
        </w:rPr>
        <w:t xml:space="preserve">, W., Li, J., Han, L., Lu, D., … Wang, J. (2012). A metagenome-wide association study of gut microbiota in type 2 diabetes. </w:t>
      </w:r>
      <w:r w:rsidRPr="00A37C08">
        <w:rPr>
          <w:rStyle w:val="Emphasis"/>
          <w:rFonts w:ascii="Arial" w:eastAsiaTheme="majorEastAsia" w:hAnsi="Arial" w:cs="Arial"/>
          <w:sz w:val="20"/>
          <w:szCs w:val="20"/>
        </w:rPr>
        <w:t>Nature, 490</w:t>
      </w:r>
      <w:r w:rsidRPr="00A37C08">
        <w:rPr>
          <w:rFonts w:ascii="Arial" w:hAnsi="Arial" w:cs="Arial"/>
          <w:sz w:val="20"/>
          <w:szCs w:val="20"/>
        </w:rPr>
        <w:t xml:space="preserve">(7418), 55–60. </w:t>
      </w:r>
      <w:hyperlink r:id="rId17" w:tgtFrame="_new" w:history="1">
        <w:r w:rsidRPr="00A37C08">
          <w:rPr>
            <w:rStyle w:val="Hyperlink"/>
            <w:rFonts w:ascii="Arial" w:eastAsiaTheme="majorEastAsia" w:hAnsi="Arial" w:cs="Arial"/>
            <w:sz w:val="20"/>
            <w:szCs w:val="20"/>
          </w:rPr>
          <w:t>https://doi.org/10.1038/nature11450</w:t>
        </w:r>
      </w:hyperlink>
      <w:r w:rsidRPr="00A37C08">
        <w:rPr>
          <w:rFonts w:ascii="Arial" w:hAnsi="Arial" w:cs="Arial"/>
          <w:sz w:val="20"/>
          <w:szCs w:val="20"/>
        </w:rPr>
        <w:t xml:space="preserve"> </w:t>
      </w:r>
    </w:p>
    <w:p w14:paraId="3FE9EABA" w14:textId="77777777" w:rsidR="00B65CFE" w:rsidRPr="00A37C08" w:rsidRDefault="00B65CFE" w:rsidP="00A37C08">
      <w:pPr>
        <w:pStyle w:val="NormalWeb"/>
        <w:spacing w:before="0" w:beforeAutospacing="0" w:after="0" w:afterAutospacing="0" w:line="360" w:lineRule="auto"/>
        <w:rPr>
          <w:rStyle w:val="relative"/>
          <w:rFonts w:ascii="Arial" w:eastAsiaTheme="majorEastAsia" w:hAnsi="Arial" w:cs="Arial"/>
          <w:sz w:val="20"/>
          <w:szCs w:val="20"/>
        </w:rPr>
      </w:pPr>
      <w:proofErr w:type="spellStart"/>
      <w:r w:rsidRPr="00A37C08">
        <w:rPr>
          <w:rFonts w:ascii="Arial" w:hAnsi="Arial" w:cs="Arial"/>
          <w:sz w:val="20"/>
          <w:szCs w:val="20"/>
        </w:rPr>
        <w:t>Reitmeier</w:t>
      </w:r>
      <w:proofErr w:type="spellEnd"/>
      <w:r w:rsidRPr="00A37C08">
        <w:rPr>
          <w:rFonts w:ascii="Arial" w:hAnsi="Arial" w:cs="Arial"/>
          <w:sz w:val="20"/>
          <w:szCs w:val="20"/>
        </w:rPr>
        <w:t xml:space="preserve">, S., </w:t>
      </w:r>
      <w:proofErr w:type="spellStart"/>
      <w:r w:rsidRPr="00A37C08">
        <w:rPr>
          <w:rFonts w:ascii="Arial" w:hAnsi="Arial" w:cs="Arial"/>
          <w:sz w:val="20"/>
          <w:szCs w:val="20"/>
        </w:rPr>
        <w:t>Kiessling</w:t>
      </w:r>
      <w:proofErr w:type="spellEnd"/>
      <w:r w:rsidRPr="00A37C08">
        <w:rPr>
          <w:rFonts w:ascii="Arial" w:hAnsi="Arial" w:cs="Arial"/>
          <w:sz w:val="20"/>
          <w:szCs w:val="20"/>
        </w:rPr>
        <w:t xml:space="preserve">, S., </w:t>
      </w:r>
      <w:proofErr w:type="spellStart"/>
      <w:r w:rsidRPr="00A37C08">
        <w:rPr>
          <w:rFonts w:ascii="Arial" w:hAnsi="Arial" w:cs="Arial"/>
          <w:sz w:val="20"/>
          <w:szCs w:val="20"/>
        </w:rPr>
        <w:t>Clavel</w:t>
      </w:r>
      <w:proofErr w:type="spellEnd"/>
      <w:r w:rsidRPr="00A37C08">
        <w:rPr>
          <w:rFonts w:ascii="Arial" w:hAnsi="Arial" w:cs="Arial"/>
          <w:sz w:val="20"/>
          <w:szCs w:val="20"/>
        </w:rPr>
        <w:t xml:space="preserve">, T., List, M., Almeida, E. L., Ghosh, T. S., Neuhaus, K., </w:t>
      </w:r>
      <w:proofErr w:type="spellStart"/>
      <w:r w:rsidRPr="00A37C08">
        <w:rPr>
          <w:rFonts w:ascii="Arial" w:hAnsi="Arial" w:cs="Arial"/>
          <w:sz w:val="20"/>
          <w:szCs w:val="20"/>
        </w:rPr>
        <w:t>Grallert</w:t>
      </w:r>
      <w:proofErr w:type="spellEnd"/>
      <w:r w:rsidRPr="00A37C08">
        <w:rPr>
          <w:rFonts w:ascii="Arial" w:hAnsi="Arial" w:cs="Arial"/>
          <w:sz w:val="20"/>
          <w:szCs w:val="20"/>
        </w:rPr>
        <w:t xml:space="preserve">, H., </w:t>
      </w:r>
      <w:proofErr w:type="spellStart"/>
      <w:r w:rsidRPr="00A37C08">
        <w:rPr>
          <w:rFonts w:ascii="Arial" w:hAnsi="Arial" w:cs="Arial"/>
          <w:sz w:val="20"/>
          <w:szCs w:val="20"/>
        </w:rPr>
        <w:t>Linseisen</w:t>
      </w:r>
      <w:proofErr w:type="spellEnd"/>
      <w:r w:rsidRPr="00A37C08">
        <w:rPr>
          <w:rFonts w:ascii="Arial" w:hAnsi="Arial" w:cs="Arial"/>
          <w:sz w:val="20"/>
          <w:szCs w:val="20"/>
        </w:rPr>
        <w:t xml:space="preserve">, J., </w:t>
      </w:r>
      <w:proofErr w:type="spellStart"/>
      <w:r w:rsidRPr="00A37C08">
        <w:rPr>
          <w:rFonts w:ascii="Arial" w:hAnsi="Arial" w:cs="Arial"/>
          <w:sz w:val="20"/>
          <w:szCs w:val="20"/>
        </w:rPr>
        <w:t>Skurk</w:t>
      </w:r>
      <w:proofErr w:type="spellEnd"/>
      <w:r w:rsidRPr="00A37C08">
        <w:rPr>
          <w:rFonts w:ascii="Arial" w:hAnsi="Arial" w:cs="Arial"/>
          <w:sz w:val="20"/>
          <w:szCs w:val="20"/>
        </w:rPr>
        <w:t xml:space="preserve">, T., </w:t>
      </w:r>
      <w:proofErr w:type="spellStart"/>
      <w:r w:rsidRPr="00A37C08">
        <w:rPr>
          <w:rFonts w:ascii="Arial" w:hAnsi="Arial" w:cs="Arial"/>
          <w:sz w:val="20"/>
          <w:szCs w:val="20"/>
        </w:rPr>
        <w:t>Brandl</w:t>
      </w:r>
      <w:proofErr w:type="spellEnd"/>
      <w:r w:rsidRPr="00A37C08">
        <w:rPr>
          <w:rFonts w:ascii="Arial" w:hAnsi="Arial" w:cs="Arial"/>
          <w:sz w:val="20"/>
          <w:szCs w:val="20"/>
        </w:rPr>
        <w:t xml:space="preserve">, B., </w:t>
      </w:r>
      <w:proofErr w:type="spellStart"/>
      <w:r w:rsidRPr="00A37C08">
        <w:rPr>
          <w:rFonts w:ascii="Arial" w:hAnsi="Arial" w:cs="Arial"/>
          <w:sz w:val="20"/>
          <w:szCs w:val="20"/>
        </w:rPr>
        <w:t>Breuninger</w:t>
      </w:r>
      <w:proofErr w:type="spellEnd"/>
      <w:r w:rsidRPr="00A37C08">
        <w:rPr>
          <w:rFonts w:ascii="Arial" w:hAnsi="Arial" w:cs="Arial"/>
          <w:sz w:val="20"/>
          <w:szCs w:val="20"/>
        </w:rPr>
        <w:t xml:space="preserve">, T. A., Troll, M., </w:t>
      </w:r>
      <w:proofErr w:type="spellStart"/>
      <w:r w:rsidRPr="00A37C08">
        <w:rPr>
          <w:rFonts w:ascii="Arial" w:hAnsi="Arial" w:cs="Arial"/>
          <w:sz w:val="20"/>
          <w:szCs w:val="20"/>
        </w:rPr>
        <w:t>Rathmann</w:t>
      </w:r>
      <w:proofErr w:type="spellEnd"/>
      <w:r w:rsidRPr="00A37C08">
        <w:rPr>
          <w:rFonts w:ascii="Arial" w:hAnsi="Arial" w:cs="Arial"/>
          <w:sz w:val="20"/>
          <w:szCs w:val="20"/>
        </w:rPr>
        <w:t xml:space="preserve">, W., </w:t>
      </w:r>
      <w:proofErr w:type="spellStart"/>
      <w:r w:rsidRPr="00A37C08">
        <w:rPr>
          <w:rFonts w:ascii="Arial" w:hAnsi="Arial" w:cs="Arial"/>
          <w:sz w:val="20"/>
          <w:szCs w:val="20"/>
        </w:rPr>
        <w:t>Linkohr</w:t>
      </w:r>
      <w:proofErr w:type="spellEnd"/>
      <w:r w:rsidRPr="00A37C08">
        <w:rPr>
          <w:rFonts w:ascii="Arial" w:hAnsi="Arial" w:cs="Arial"/>
          <w:sz w:val="20"/>
          <w:szCs w:val="20"/>
        </w:rPr>
        <w:t xml:space="preserve">, B., </w:t>
      </w:r>
      <w:proofErr w:type="spellStart"/>
      <w:r w:rsidRPr="00A37C08">
        <w:rPr>
          <w:rFonts w:ascii="Arial" w:hAnsi="Arial" w:cs="Arial"/>
          <w:sz w:val="20"/>
          <w:szCs w:val="20"/>
        </w:rPr>
        <w:t>Hauner</w:t>
      </w:r>
      <w:proofErr w:type="spellEnd"/>
      <w:r w:rsidRPr="00A37C08">
        <w:rPr>
          <w:rFonts w:ascii="Arial" w:hAnsi="Arial" w:cs="Arial"/>
          <w:sz w:val="20"/>
          <w:szCs w:val="20"/>
        </w:rPr>
        <w:t xml:space="preserve">, H., </w:t>
      </w:r>
      <w:proofErr w:type="spellStart"/>
      <w:r w:rsidRPr="00A37C08">
        <w:rPr>
          <w:rFonts w:ascii="Arial" w:hAnsi="Arial" w:cs="Arial"/>
          <w:sz w:val="20"/>
          <w:szCs w:val="20"/>
        </w:rPr>
        <w:t>Laudes</w:t>
      </w:r>
      <w:proofErr w:type="spellEnd"/>
      <w:r w:rsidRPr="00A37C08">
        <w:rPr>
          <w:rFonts w:ascii="Arial" w:hAnsi="Arial" w:cs="Arial"/>
          <w:sz w:val="20"/>
          <w:szCs w:val="20"/>
        </w:rPr>
        <w:t xml:space="preserve">, M., Franke, A., Le Roy, C. I., … Haller, D. (2020). Arrhythmic gut microbiome signatures predict risk of type 2 diabetes. </w:t>
      </w:r>
      <w:r w:rsidRPr="00A37C08">
        <w:rPr>
          <w:rStyle w:val="Emphasis"/>
          <w:rFonts w:ascii="Arial" w:eastAsiaTheme="majorEastAsia" w:hAnsi="Arial" w:cs="Arial"/>
          <w:sz w:val="20"/>
          <w:szCs w:val="20"/>
        </w:rPr>
        <w:t>Cell Host &amp; Microbe, 28</w:t>
      </w:r>
      <w:r w:rsidRPr="00A37C08">
        <w:rPr>
          <w:rFonts w:ascii="Arial" w:hAnsi="Arial" w:cs="Arial"/>
          <w:sz w:val="20"/>
          <w:szCs w:val="20"/>
        </w:rPr>
        <w:t xml:space="preserve">(2), 258–272.e6. </w:t>
      </w:r>
      <w:hyperlink r:id="rId18" w:tgtFrame="_new" w:history="1">
        <w:r w:rsidRPr="00A37C08">
          <w:rPr>
            <w:rStyle w:val="Hyperlink"/>
            <w:rFonts w:ascii="Arial" w:eastAsiaTheme="majorEastAsia" w:hAnsi="Arial" w:cs="Arial"/>
            <w:sz w:val="20"/>
            <w:szCs w:val="20"/>
          </w:rPr>
          <w:t>https://doi.org/10.1016/j.chom.2020.06.004</w:t>
        </w:r>
      </w:hyperlink>
      <w:r w:rsidRPr="00A37C08">
        <w:rPr>
          <w:rFonts w:ascii="Arial" w:hAnsi="Arial" w:cs="Arial"/>
          <w:sz w:val="20"/>
          <w:szCs w:val="20"/>
        </w:rPr>
        <w:t xml:space="preserve"> </w:t>
      </w:r>
    </w:p>
    <w:p w14:paraId="0BDEBC03" w14:textId="77777777" w:rsidR="00B65CFE" w:rsidRPr="00A37C08" w:rsidRDefault="00B65CFE" w:rsidP="00A37C08">
      <w:pPr>
        <w:pStyle w:val="NormalWeb"/>
        <w:spacing w:before="0" w:beforeAutospacing="0" w:after="0" w:afterAutospacing="0" w:line="360" w:lineRule="auto"/>
        <w:rPr>
          <w:rStyle w:val="relative"/>
          <w:rFonts w:ascii="Arial" w:eastAsiaTheme="majorEastAsia" w:hAnsi="Arial" w:cs="Arial"/>
          <w:sz w:val="20"/>
          <w:szCs w:val="20"/>
        </w:rPr>
      </w:pPr>
      <w:r w:rsidRPr="00A37C08">
        <w:rPr>
          <w:rFonts w:ascii="Arial" w:hAnsi="Arial" w:cs="Arial"/>
          <w:sz w:val="20"/>
          <w:szCs w:val="20"/>
        </w:rPr>
        <w:t xml:space="preserve">Shin, N.-R., Lee, J.-C., Lee, H.-Y., Kim, M.-S., </w:t>
      </w:r>
      <w:proofErr w:type="spellStart"/>
      <w:r w:rsidRPr="00A37C08">
        <w:rPr>
          <w:rFonts w:ascii="Arial" w:hAnsi="Arial" w:cs="Arial"/>
          <w:sz w:val="20"/>
          <w:szCs w:val="20"/>
        </w:rPr>
        <w:t>Whon</w:t>
      </w:r>
      <w:proofErr w:type="spellEnd"/>
      <w:r w:rsidRPr="00A37C08">
        <w:rPr>
          <w:rFonts w:ascii="Arial" w:hAnsi="Arial" w:cs="Arial"/>
          <w:sz w:val="20"/>
          <w:szCs w:val="20"/>
        </w:rPr>
        <w:t xml:space="preserve">, T. W., Lee, M.-S., &amp; Bae, J.-W. (2014). An increase in the </w:t>
      </w:r>
      <w:proofErr w:type="spellStart"/>
      <w:r w:rsidRPr="00A37C08">
        <w:rPr>
          <w:rStyle w:val="Emphasis"/>
          <w:rFonts w:ascii="Arial" w:eastAsiaTheme="majorEastAsia" w:hAnsi="Arial" w:cs="Arial"/>
          <w:sz w:val="20"/>
          <w:szCs w:val="20"/>
        </w:rPr>
        <w:t>Akkermansia</w:t>
      </w:r>
      <w:proofErr w:type="spellEnd"/>
      <w:r w:rsidRPr="00A37C08">
        <w:rPr>
          <w:rFonts w:ascii="Arial" w:hAnsi="Arial" w:cs="Arial"/>
          <w:sz w:val="20"/>
          <w:szCs w:val="20"/>
        </w:rPr>
        <w:t xml:space="preserve"> spp. population induced by metformin treatment improves glucose homeostasis in diet-induced obese mice. </w:t>
      </w:r>
      <w:r w:rsidRPr="00A37C08">
        <w:rPr>
          <w:rStyle w:val="Emphasis"/>
          <w:rFonts w:ascii="Arial" w:eastAsiaTheme="majorEastAsia" w:hAnsi="Arial" w:cs="Arial"/>
          <w:sz w:val="20"/>
          <w:szCs w:val="20"/>
        </w:rPr>
        <w:t>Gut, 63</w:t>
      </w:r>
      <w:r w:rsidRPr="00A37C08">
        <w:rPr>
          <w:rFonts w:ascii="Arial" w:hAnsi="Arial" w:cs="Arial"/>
          <w:sz w:val="20"/>
          <w:szCs w:val="20"/>
        </w:rPr>
        <w:t xml:space="preserve">(5), 727–735. </w:t>
      </w:r>
      <w:hyperlink r:id="rId19" w:tgtFrame="_new" w:history="1">
        <w:r w:rsidRPr="00A37C08">
          <w:rPr>
            <w:rStyle w:val="Hyperlink"/>
            <w:rFonts w:ascii="Arial" w:eastAsiaTheme="majorEastAsia" w:hAnsi="Arial" w:cs="Arial"/>
            <w:sz w:val="20"/>
            <w:szCs w:val="20"/>
          </w:rPr>
          <w:t>https://doi.org/10.1136/gutjnl-2012-303839</w:t>
        </w:r>
      </w:hyperlink>
      <w:r w:rsidRPr="00A37C08">
        <w:rPr>
          <w:rFonts w:ascii="Arial" w:hAnsi="Arial" w:cs="Arial"/>
          <w:sz w:val="20"/>
          <w:szCs w:val="20"/>
        </w:rPr>
        <w:t xml:space="preserve"> </w:t>
      </w:r>
    </w:p>
    <w:p w14:paraId="7ADF7BC7" w14:textId="77777777" w:rsidR="00B65CFE" w:rsidRPr="00A37C08" w:rsidRDefault="00B65CFE" w:rsidP="00A37C08">
      <w:pPr>
        <w:pStyle w:val="NormalWeb"/>
        <w:spacing w:before="0" w:beforeAutospacing="0" w:after="0" w:afterAutospacing="0" w:line="360" w:lineRule="auto"/>
        <w:rPr>
          <w:rStyle w:val="relative"/>
          <w:rFonts w:ascii="Arial" w:eastAsiaTheme="majorEastAsia" w:hAnsi="Arial" w:cs="Arial"/>
          <w:sz w:val="20"/>
          <w:szCs w:val="20"/>
        </w:rPr>
      </w:pPr>
      <w:r w:rsidRPr="00A37C08">
        <w:rPr>
          <w:rFonts w:ascii="Arial" w:hAnsi="Arial" w:cs="Arial"/>
          <w:sz w:val="20"/>
          <w:szCs w:val="20"/>
        </w:rPr>
        <w:t xml:space="preserve">Wu, H., </w:t>
      </w:r>
      <w:proofErr w:type="spellStart"/>
      <w:r w:rsidRPr="00A37C08">
        <w:rPr>
          <w:rFonts w:ascii="Arial" w:hAnsi="Arial" w:cs="Arial"/>
          <w:sz w:val="20"/>
          <w:szCs w:val="20"/>
        </w:rPr>
        <w:t>Esteve</w:t>
      </w:r>
      <w:proofErr w:type="spellEnd"/>
      <w:r w:rsidRPr="00A37C08">
        <w:rPr>
          <w:rFonts w:ascii="Arial" w:hAnsi="Arial" w:cs="Arial"/>
          <w:sz w:val="20"/>
          <w:szCs w:val="20"/>
        </w:rPr>
        <w:t xml:space="preserve">, E., </w:t>
      </w:r>
      <w:proofErr w:type="spellStart"/>
      <w:r w:rsidRPr="00A37C08">
        <w:rPr>
          <w:rFonts w:ascii="Arial" w:hAnsi="Arial" w:cs="Arial"/>
          <w:sz w:val="20"/>
          <w:szCs w:val="20"/>
        </w:rPr>
        <w:t>Tremaroli</w:t>
      </w:r>
      <w:proofErr w:type="spellEnd"/>
      <w:r w:rsidRPr="00A37C08">
        <w:rPr>
          <w:rFonts w:ascii="Arial" w:hAnsi="Arial" w:cs="Arial"/>
          <w:sz w:val="20"/>
          <w:szCs w:val="20"/>
        </w:rPr>
        <w:t xml:space="preserve">, V., Khan, M. T., Caesar, R., </w:t>
      </w:r>
      <w:proofErr w:type="spellStart"/>
      <w:r w:rsidRPr="00A37C08">
        <w:rPr>
          <w:rFonts w:ascii="Arial" w:hAnsi="Arial" w:cs="Arial"/>
          <w:sz w:val="20"/>
          <w:szCs w:val="20"/>
        </w:rPr>
        <w:t>Mannerås</w:t>
      </w:r>
      <w:proofErr w:type="spellEnd"/>
      <w:r w:rsidRPr="00A37C08">
        <w:rPr>
          <w:rFonts w:ascii="Arial" w:hAnsi="Arial" w:cs="Arial"/>
          <w:sz w:val="20"/>
          <w:szCs w:val="20"/>
        </w:rPr>
        <w:t xml:space="preserve">-Holm, L., </w:t>
      </w:r>
      <w:proofErr w:type="spellStart"/>
      <w:r w:rsidRPr="00A37C08">
        <w:rPr>
          <w:rFonts w:ascii="Arial" w:hAnsi="Arial" w:cs="Arial"/>
          <w:sz w:val="20"/>
          <w:szCs w:val="20"/>
        </w:rPr>
        <w:t>Ståhlman</w:t>
      </w:r>
      <w:proofErr w:type="spellEnd"/>
      <w:r w:rsidRPr="00A37C08">
        <w:rPr>
          <w:rFonts w:ascii="Arial" w:hAnsi="Arial" w:cs="Arial"/>
          <w:sz w:val="20"/>
          <w:szCs w:val="20"/>
        </w:rPr>
        <w:t xml:space="preserve">, M., Olsson, L. M., </w:t>
      </w:r>
      <w:proofErr w:type="spellStart"/>
      <w:r w:rsidRPr="00A37C08">
        <w:rPr>
          <w:rFonts w:ascii="Arial" w:hAnsi="Arial" w:cs="Arial"/>
          <w:sz w:val="20"/>
          <w:szCs w:val="20"/>
        </w:rPr>
        <w:t>Serino</w:t>
      </w:r>
      <w:proofErr w:type="spellEnd"/>
      <w:r w:rsidRPr="00A37C08">
        <w:rPr>
          <w:rFonts w:ascii="Arial" w:hAnsi="Arial" w:cs="Arial"/>
          <w:sz w:val="20"/>
          <w:szCs w:val="20"/>
        </w:rPr>
        <w:t xml:space="preserve">, M., </w:t>
      </w:r>
      <w:proofErr w:type="spellStart"/>
      <w:r w:rsidRPr="00A37C08">
        <w:rPr>
          <w:rFonts w:ascii="Arial" w:hAnsi="Arial" w:cs="Arial"/>
          <w:sz w:val="20"/>
          <w:szCs w:val="20"/>
        </w:rPr>
        <w:t>Planas-Fèlix</w:t>
      </w:r>
      <w:proofErr w:type="spellEnd"/>
      <w:r w:rsidRPr="00A37C08">
        <w:rPr>
          <w:rFonts w:ascii="Arial" w:hAnsi="Arial" w:cs="Arial"/>
          <w:sz w:val="20"/>
          <w:szCs w:val="20"/>
        </w:rPr>
        <w:t xml:space="preserve">, M., </w:t>
      </w:r>
      <w:proofErr w:type="spellStart"/>
      <w:r w:rsidRPr="00A37C08">
        <w:rPr>
          <w:rFonts w:ascii="Arial" w:hAnsi="Arial" w:cs="Arial"/>
          <w:sz w:val="20"/>
          <w:szCs w:val="20"/>
        </w:rPr>
        <w:t>Xifra</w:t>
      </w:r>
      <w:proofErr w:type="spellEnd"/>
      <w:r w:rsidRPr="00A37C08">
        <w:rPr>
          <w:rFonts w:ascii="Arial" w:hAnsi="Arial" w:cs="Arial"/>
          <w:sz w:val="20"/>
          <w:szCs w:val="20"/>
        </w:rPr>
        <w:t xml:space="preserve">, G., Mercader, J. M., Torrents, D., </w:t>
      </w:r>
      <w:proofErr w:type="spellStart"/>
      <w:r w:rsidRPr="00A37C08">
        <w:rPr>
          <w:rFonts w:ascii="Arial" w:hAnsi="Arial" w:cs="Arial"/>
          <w:sz w:val="20"/>
          <w:szCs w:val="20"/>
        </w:rPr>
        <w:t>Burcelin</w:t>
      </w:r>
      <w:proofErr w:type="spellEnd"/>
      <w:r w:rsidRPr="00A37C08">
        <w:rPr>
          <w:rFonts w:ascii="Arial" w:hAnsi="Arial" w:cs="Arial"/>
          <w:sz w:val="20"/>
          <w:szCs w:val="20"/>
        </w:rPr>
        <w:t xml:space="preserve">, R., </w:t>
      </w:r>
      <w:proofErr w:type="spellStart"/>
      <w:r w:rsidRPr="00A37C08">
        <w:rPr>
          <w:rFonts w:ascii="Arial" w:hAnsi="Arial" w:cs="Arial"/>
          <w:sz w:val="20"/>
          <w:szCs w:val="20"/>
        </w:rPr>
        <w:t>Ricart</w:t>
      </w:r>
      <w:proofErr w:type="spellEnd"/>
      <w:r w:rsidRPr="00A37C08">
        <w:rPr>
          <w:rFonts w:ascii="Arial" w:hAnsi="Arial" w:cs="Arial"/>
          <w:sz w:val="20"/>
          <w:szCs w:val="20"/>
        </w:rPr>
        <w:t xml:space="preserve">, W., Perkins, R., </w:t>
      </w:r>
      <w:proofErr w:type="spellStart"/>
      <w:r w:rsidRPr="00A37C08">
        <w:rPr>
          <w:rFonts w:ascii="Arial" w:hAnsi="Arial" w:cs="Arial"/>
          <w:sz w:val="20"/>
          <w:szCs w:val="20"/>
        </w:rPr>
        <w:t>Fernàndez</w:t>
      </w:r>
      <w:proofErr w:type="spellEnd"/>
      <w:r w:rsidRPr="00A37C08">
        <w:rPr>
          <w:rFonts w:ascii="Arial" w:hAnsi="Arial" w:cs="Arial"/>
          <w:sz w:val="20"/>
          <w:szCs w:val="20"/>
        </w:rPr>
        <w:t xml:space="preserve">-Real, J. M., &amp; </w:t>
      </w:r>
      <w:proofErr w:type="spellStart"/>
      <w:r w:rsidRPr="00A37C08">
        <w:rPr>
          <w:rFonts w:ascii="Arial" w:hAnsi="Arial" w:cs="Arial"/>
          <w:sz w:val="20"/>
          <w:szCs w:val="20"/>
        </w:rPr>
        <w:t>Bäckhed</w:t>
      </w:r>
      <w:proofErr w:type="spellEnd"/>
      <w:r w:rsidRPr="00A37C08">
        <w:rPr>
          <w:rFonts w:ascii="Arial" w:hAnsi="Arial" w:cs="Arial"/>
          <w:sz w:val="20"/>
          <w:szCs w:val="20"/>
        </w:rPr>
        <w:t xml:space="preserve">, F. (2017). Metformin alters the gut microbiome of individuals with treatment-naive type 2 diabetes, contributing to the therapeutic effects of the drug. </w:t>
      </w:r>
      <w:r w:rsidRPr="00A37C08">
        <w:rPr>
          <w:rStyle w:val="Emphasis"/>
          <w:rFonts w:ascii="Arial" w:eastAsiaTheme="majorEastAsia" w:hAnsi="Arial" w:cs="Arial"/>
          <w:sz w:val="20"/>
          <w:szCs w:val="20"/>
        </w:rPr>
        <w:t>Nature Medicine, 23</w:t>
      </w:r>
      <w:r w:rsidRPr="00A37C08">
        <w:rPr>
          <w:rFonts w:ascii="Arial" w:hAnsi="Arial" w:cs="Arial"/>
          <w:sz w:val="20"/>
          <w:szCs w:val="20"/>
        </w:rPr>
        <w:t xml:space="preserve">(7), 850–858. </w:t>
      </w:r>
      <w:hyperlink r:id="rId20" w:tgtFrame="_new" w:history="1">
        <w:r w:rsidRPr="00A37C08">
          <w:rPr>
            <w:rStyle w:val="Hyperlink"/>
            <w:rFonts w:ascii="Arial" w:eastAsiaTheme="majorEastAsia" w:hAnsi="Arial" w:cs="Arial"/>
            <w:sz w:val="20"/>
            <w:szCs w:val="20"/>
          </w:rPr>
          <w:t>https://doi.org/10.1038/nm.4345</w:t>
        </w:r>
      </w:hyperlink>
      <w:r w:rsidRPr="00A37C08">
        <w:rPr>
          <w:rFonts w:ascii="Arial" w:hAnsi="Arial" w:cs="Arial"/>
          <w:sz w:val="20"/>
          <w:szCs w:val="20"/>
        </w:rPr>
        <w:t xml:space="preserve"> </w:t>
      </w:r>
    </w:p>
    <w:p w14:paraId="6A9C8670" w14:textId="77777777" w:rsidR="00B65CFE" w:rsidRPr="00A37C08" w:rsidRDefault="00B65CFE" w:rsidP="00A37C08">
      <w:pPr>
        <w:pStyle w:val="NormalWeb"/>
        <w:spacing w:before="0" w:beforeAutospacing="0" w:after="0" w:afterAutospacing="0" w:line="360" w:lineRule="auto"/>
        <w:rPr>
          <w:rFonts w:ascii="Arial" w:hAnsi="Arial" w:cs="Arial"/>
          <w:sz w:val="20"/>
          <w:szCs w:val="20"/>
        </w:rPr>
      </w:pPr>
      <w:proofErr w:type="spellStart"/>
      <w:r w:rsidRPr="00A37C08">
        <w:rPr>
          <w:rFonts w:ascii="Arial" w:hAnsi="Arial" w:cs="Arial"/>
          <w:sz w:val="20"/>
          <w:szCs w:val="20"/>
        </w:rPr>
        <w:t>Yassour</w:t>
      </w:r>
      <w:proofErr w:type="spellEnd"/>
      <w:r w:rsidRPr="00A37C08">
        <w:rPr>
          <w:rFonts w:ascii="Arial" w:hAnsi="Arial" w:cs="Arial"/>
          <w:sz w:val="20"/>
          <w:szCs w:val="20"/>
        </w:rPr>
        <w:t xml:space="preserve">, M., Lim, M. Y., Yun, H. S., Tickle, T. L., Sung, J., Song, Y.-M., Lee, K., </w:t>
      </w:r>
      <w:proofErr w:type="spellStart"/>
      <w:r w:rsidRPr="00A37C08">
        <w:rPr>
          <w:rFonts w:ascii="Arial" w:hAnsi="Arial" w:cs="Arial"/>
          <w:sz w:val="20"/>
          <w:szCs w:val="20"/>
        </w:rPr>
        <w:t>Franzosa</w:t>
      </w:r>
      <w:proofErr w:type="spellEnd"/>
      <w:r w:rsidRPr="00A37C08">
        <w:rPr>
          <w:rFonts w:ascii="Arial" w:hAnsi="Arial" w:cs="Arial"/>
          <w:sz w:val="20"/>
          <w:szCs w:val="20"/>
        </w:rPr>
        <w:t xml:space="preserve">, E. A., Morgan, X. C., </w:t>
      </w:r>
      <w:proofErr w:type="spellStart"/>
      <w:r w:rsidRPr="00A37C08">
        <w:rPr>
          <w:rFonts w:ascii="Arial" w:hAnsi="Arial" w:cs="Arial"/>
          <w:sz w:val="20"/>
          <w:szCs w:val="20"/>
        </w:rPr>
        <w:t>Gevers</w:t>
      </w:r>
      <w:proofErr w:type="spellEnd"/>
      <w:r w:rsidRPr="00A37C08">
        <w:rPr>
          <w:rFonts w:ascii="Arial" w:hAnsi="Arial" w:cs="Arial"/>
          <w:sz w:val="20"/>
          <w:szCs w:val="20"/>
        </w:rPr>
        <w:t xml:space="preserve">, D., Lander, E. S., Xavier, R. J., </w:t>
      </w:r>
      <w:proofErr w:type="spellStart"/>
      <w:r w:rsidRPr="00A37C08">
        <w:rPr>
          <w:rFonts w:ascii="Arial" w:hAnsi="Arial" w:cs="Arial"/>
          <w:sz w:val="20"/>
          <w:szCs w:val="20"/>
        </w:rPr>
        <w:t>Birren</w:t>
      </w:r>
      <w:proofErr w:type="spellEnd"/>
      <w:r w:rsidRPr="00A37C08">
        <w:rPr>
          <w:rFonts w:ascii="Arial" w:hAnsi="Arial" w:cs="Arial"/>
          <w:sz w:val="20"/>
          <w:szCs w:val="20"/>
        </w:rPr>
        <w:t xml:space="preserve">, B. W., Ko, G., &amp; </w:t>
      </w:r>
      <w:proofErr w:type="spellStart"/>
      <w:r w:rsidRPr="00A37C08">
        <w:rPr>
          <w:rFonts w:ascii="Arial" w:hAnsi="Arial" w:cs="Arial"/>
          <w:sz w:val="20"/>
          <w:szCs w:val="20"/>
        </w:rPr>
        <w:t>Huttenhower</w:t>
      </w:r>
      <w:proofErr w:type="spellEnd"/>
      <w:r w:rsidRPr="00A37C08">
        <w:rPr>
          <w:rFonts w:ascii="Arial" w:hAnsi="Arial" w:cs="Arial"/>
          <w:sz w:val="20"/>
          <w:szCs w:val="20"/>
        </w:rPr>
        <w:t xml:space="preserve">, C. (2016). Sub-clinical detection of gut microbial biomarkers of obesity and type 2 diabetes. </w:t>
      </w:r>
      <w:r w:rsidRPr="00A37C08">
        <w:rPr>
          <w:rStyle w:val="Emphasis"/>
          <w:rFonts w:ascii="Arial" w:eastAsiaTheme="majorEastAsia" w:hAnsi="Arial" w:cs="Arial"/>
          <w:sz w:val="20"/>
          <w:szCs w:val="20"/>
        </w:rPr>
        <w:t>Genome Medicine, 8</w:t>
      </w:r>
      <w:r w:rsidRPr="00A37C08">
        <w:rPr>
          <w:rFonts w:ascii="Arial" w:hAnsi="Arial" w:cs="Arial"/>
          <w:sz w:val="20"/>
          <w:szCs w:val="20"/>
        </w:rPr>
        <w:t xml:space="preserve">, Article 17. </w:t>
      </w:r>
      <w:hyperlink r:id="rId21" w:tgtFrame="_new" w:history="1">
        <w:r w:rsidRPr="00A37C08">
          <w:rPr>
            <w:rStyle w:val="Hyperlink"/>
            <w:rFonts w:ascii="Arial" w:eastAsiaTheme="majorEastAsia" w:hAnsi="Arial" w:cs="Arial"/>
            <w:sz w:val="20"/>
            <w:szCs w:val="20"/>
          </w:rPr>
          <w:t>https://doi.org/10.1186/s13073-016-0271-6</w:t>
        </w:r>
      </w:hyperlink>
      <w:r w:rsidRPr="00A37C08">
        <w:rPr>
          <w:rFonts w:ascii="Arial" w:hAnsi="Arial" w:cs="Arial"/>
          <w:sz w:val="20"/>
          <w:szCs w:val="20"/>
        </w:rPr>
        <w:t xml:space="preserve"> </w:t>
      </w:r>
    </w:p>
    <w:p w14:paraId="11DE6E5A" w14:textId="77777777" w:rsidR="00B65CFE" w:rsidRPr="00A37C08" w:rsidRDefault="00B65CFE" w:rsidP="00A37C08">
      <w:pPr>
        <w:pStyle w:val="NormalWeb"/>
        <w:spacing w:before="0" w:beforeAutospacing="0" w:after="0" w:afterAutospacing="0" w:line="360" w:lineRule="auto"/>
        <w:rPr>
          <w:rFonts w:ascii="Arial" w:hAnsi="Arial" w:cs="Arial"/>
          <w:sz w:val="20"/>
          <w:szCs w:val="20"/>
        </w:rPr>
      </w:pPr>
      <w:r w:rsidRPr="00A37C08">
        <w:rPr>
          <w:rFonts w:ascii="Arial" w:hAnsi="Arial" w:cs="Arial"/>
          <w:sz w:val="20"/>
          <w:szCs w:val="20"/>
        </w:rPr>
        <w:t xml:space="preserve">Yoon, H. S., Cho, C. H., Yun, M. S., Jang, S. J., You, H. J., Kim, J.-H., Han, D., Cha, K. H., Moon, S. H., Lee, K., Kim, Y.-J., Lee, S.-J., Nam, T.-W., &amp; Ko, G. (2021). </w:t>
      </w:r>
      <w:proofErr w:type="spellStart"/>
      <w:r w:rsidRPr="00A37C08">
        <w:rPr>
          <w:rStyle w:val="Emphasis"/>
          <w:rFonts w:ascii="Arial" w:eastAsiaTheme="majorEastAsia" w:hAnsi="Arial" w:cs="Arial"/>
          <w:sz w:val="20"/>
          <w:szCs w:val="20"/>
        </w:rPr>
        <w:t>Akkermansia</w:t>
      </w:r>
      <w:proofErr w:type="spellEnd"/>
      <w:r w:rsidRPr="00A37C08">
        <w:rPr>
          <w:rStyle w:val="Emphasis"/>
          <w:rFonts w:ascii="Arial" w:eastAsiaTheme="majorEastAsia" w:hAnsi="Arial" w:cs="Arial"/>
          <w:sz w:val="20"/>
          <w:szCs w:val="20"/>
        </w:rPr>
        <w:t xml:space="preserve"> </w:t>
      </w:r>
      <w:proofErr w:type="spellStart"/>
      <w:r w:rsidRPr="00A37C08">
        <w:rPr>
          <w:rStyle w:val="Emphasis"/>
          <w:rFonts w:ascii="Arial" w:eastAsiaTheme="majorEastAsia" w:hAnsi="Arial" w:cs="Arial"/>
          <w:sz w:val="20"/>
          <w:szCs w:val="20"/>
        </w:rPr>
        <w:t>muciniphila</w:t>
      </w:r>
      <w:proofErr w:type="spellEnd"/>
      <w:r w:rsidRPr="00A37C08">
        <w:rPr>
          <w:rFonts w:ascii="Arial" w:hAnsi="Arial" w:cs="Arial"/>
          <w:sz w:val="20"/>
          <w:szCs w:val="20"/>
        </w:rPr>
        <w:t xml:space="preserve"> secretes a glucagon-like peptide-1–inducing protein that improves glucose homeostasis and ameliorates metabolic disease in mice. </w:t>
      </w:r>
      <w:r w:rsidRPr="00A37C08">
        <w:rPr>
          <w:rStyle w:val="Emphasis"/>
          <w:rFonts w:ascii="Arial" w:eastAsiaTheme="majorEastAsia" w:hAnsi="Arial" w:cs="Arial"/>
          <w:sz w:val="20"/>
          <w:szCs w:val="20"/>
        </w:rPr>
        <w:t>Nature Microbiology, 6</w:t>
      </w:r>
      <w:r w:rsidRPr="00A37C08">
        <w:rPr>
          <w:rFonts w:ascii="Arial" w:hAnsi="Arial" w:cs="Arial"/>
          <w:sz w:val="20"/>
          <w:szCs w:val="20"/>
        </w:rPr>
        <w:t xml:space="preserve">, 563–573. </w:t>
      </w:r>
      <w:hyperlink r:id="rId22" w:tgtFrame="_new" w:history="1">
        <w:r w:rsidRPr="00A37C08">
          <w:rPr>
            <w:rStyle w:val="Hyperlink"/>
            <w:rFonts w:ascii="Arial" w:eastAsiaTheme="majorEastAsia" w:hAnsi="Arial" w:cs="Arial"/>
            <w:sz w:val="20"/>
            <w:szCs w:val="20"/>
          </w:rPr>
          <w:t>https://doi.org/10.1038/s41564-021-00880-5</w:t>
        </w:r>
      </w:hyperlink>
      <w:r w:rsidRPr="00A37C08">
        <w:rPr>
          <w:rFonts w:ascii="Arial" w:hAnsi="Arial" w:cs="Arial"/>
          <w:sz w:val="20"/>
          <w:szCs w:val="20"/>
        </w:rPr>
        <w:t xml:space="preserve"> </w:t>
      </w:r>
    </w:p>
    <w:p w14:paraId="1D3C293F" w14:textId="77777777" w:rsidR="00B65CFE" w:rsidRPr="00A37C08" w:rsidRDefault="00B65CFE" w:rsidP="00A37C08">
      <w:pPr>
        <w:pStyle w:val="NormalWeb"/>
        <w:spacing w:before="0" w:beforeAutospacing="0" w:after="0" w:afterAutospacing="0" w:line="360" w:lineRule="auto"/>
        <w:rPr>
          <w:rFonts w:ascii="Arial" w:hAnsi="Arial" w:cs="Arial"/>
          <w:sz w:val="20"/>
          <w:szCs w:val="20"/>
        </w:rPr>
      </w:pPr>
      <w:r w:rsidRPr="00A37C08">
        <w:rPr>
          <w:rFonts w:ascii="Arial" w:hAnsi="Arial" w:cs="Arial"/>
          <w:sz w:val="20"/>
          <w:szCs w:val="20"/>
        </w:rPr>
        <w:t xml:space="preserve">Zhang, Y., Liu, R., Chen, Y., Cao, Z., Liu, C., Bao, R., Wang, Y., Huang, S., Pan, S., Qin, L., Wang, J., Ning, G., &amp; Wang, W. (2025). </w:t>
      </w:r>
      <w:proofErr w:type="spellStart"/>
      <w:r w:rsidRPr="00A37C08">
        <w:rPr>
          <w:rStyle w:val="Emphasis"/>
          <w:rFonts w:ascii="Arial" w:eastAsiaTheme="majorEastAsia" w:hAnsi="Arial" w:cs="Arial"/>
          <w:sz w:val="20"/>
          <w:szCs w:val="20"/>
        </w:rPr>
        <w:t>Akkermansia</w:t>
      </w:r>
      <w:proofErr w:type="spellEnd"/>
      <w:r w:rsidRPr="00A37C08">
        <w:rPr>
          <w:rStyle w:val="Emphasis"/>
          <w:rFonts w:ascii="Arial" w:eastAsiaTheme="majorEastAsia" w:hAnsi="Arial" w:cs="Arial"/>
          <w:sz w:val="20"/>
          <w:szCs w:val="20"/>
        </w:rPr>
        <w:t xml:space="preserve"> </w:t>
      </w:r>
      <w:proofErr w:type="spellStart"/>
      <w:r w:rsidRPr="00A37C08">
        <w:rPr>
          <w:rStyle w:val="Emphasis"/>
          <w:rFonts w:ascii="Arial" w:eastAsiaTheme="majorEastAsia" w:hAnsi="Arial" w:cs="Arial"/>
          <w:sz w:val="20"/>
          <w:szCs w:val="20"/>
        </w:rPr>
        <w:t>muciniphila</w:t>
      </w:r>
      <w:proofErr w:type="spellEnd"/>
      <w:r w:rsidRPr="00A37C08">
        <w:rPr>
          <w:rFonts w:ascii="Arial" w:hAnsi="Arial" w:cs="Arial"/>
          <w:sz w:val="20"/>
          <w:szCs w:val="20"/>
        </w:rPr>
        <w:t xml:space="preserve"> supplementation in patients with overweight/obese type 2 diabetes: Efficacy depends on its baseline levels in the gut. </w:t>
      </w:r>
      <w:r w:rsidRPr="00A37C08">
        <w:rPr>
          <w:rStyle w:val="Emphasis"/>
          <w:rFonts w:ascii="Arial" w:eastAsiaTheme="majorEastAsia" w:hAnsi="Arial" w:cs="Arial"/>
          <w:sz w:val="20"/>
          <w:szCs w:val="20"/>
        </w:rPr>
        <w:t>Cell Metabolism, 37</w:t>
      </w:r>
      <w:r w:rsidRPr="00A37C08">
        <w:rPr>
          <w:rFonts w:ascii="Arial" w:hAnsi="Arial" w:cs="Arial"/>
          <w:sz w:val="20"/>
          <w:szCs w:val="20"/>
        </w:rPr>
        <w:t xml:space="preserve">(3), 592–605.e6. </w:t>
      </w:r>
      <w:hyperlink r:id="rId23" w:tgtFrame="_new" w:history="1">
        <w:r w:rsidRPr="00A37C08">
          <w:rPr>
            <w:rStyle w:val="Hyperlink"/>
            <w:rFonts w:ascii="Arial" w:eastAsiaTheme="majorEastAsia" w:hAnsi="Arial" w:cs="Arial"/>
            <w:sz w:val="20"/>
            <w:szCs w:val="20"/>
          </w:rPr>
          <w:t>https://doi.org/10.1016/j.cmet.2024.12.010</w:t>
        </w:r>
      </w:hyperlink>
    </w:p>
    <w:p w14:paraId="45D13324" w14:textId="77777777" w:rsidR="001E337C" w:rsidRPr="00A37C08" w:rsidRDefault="001E337C" w:rsidP="00A37C08">
      <w:pPr>
        <w:spacing w:after="0" w:line="360" w:lineRule="auto"/>
        <w:rPr>
          <w:rFonts w:ascii="Arial" w:hAnsi="Arial" w:cs="Arial"/>
          <w:sz w:val="20"/>
          <w:szCs w:val="20"/>
        </w:rPr>
      </w:pPr>
    </w:p>
    <w:sectPr w:rsidR="001E337C" w:rsidRPr="00A37C08" w:rsidSect="001E337C">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44C8A" w14:textId="77777777" w:rsidR="00C66FBC" w:rsidRDefault="00C66FBC" w:rsidP="00AF700F">
      <w:pPr>
        <w:spacing w:after="0" w:line="240" w:lineRule="auto"/>
      </w:pPr>
      <w:r>
        <w:separator/>
      </w:r>
    </w:p>
  </w:endnote>
  <w:endnote w:type="continuationSeparator" w:id="0">
    <w:p w14:paraId="71DDE167" w14:textId="77777777" w:rsidR="00C66FBC" w:rsidRDefault="00C66FBC" w:rsidP="00AF7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C825E" w14:textId="77777777" w:rsidR="00AF700F" w:rsidRDefault="00AF7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99CA3" w14:textId="77777777" w:rsidR="00AF700F" w:rsidRDefault="00AF70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6F063" w14:textId="77777777" w:rsidR="00AF700F" w:rsidRDefault="00AF7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2E5D7" w14:textId="77777777" w:rsidR="00C66FBC" w:rsidRDefault="00C66FBC" w:rsidP="00AF700F">
      <w:pPr>
        <w:spacing w:after="0" w:line="240" w:lineRule="auto"/>
      </w:pPr>
      <w:r>
        <w:separator/>
      </w:r>
    </w:p>
  </w:footnote>
  <w:footnote w:type="continuationSeparator" w:id="0">
    <w:p w14:paraId="4D999861" w14:textId="77777777" w:rsidR="00C66FBC" w:rsidRDefault="00C66FBC" w:rsidP="00AF7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19FA" w14:textId="0F058103" w:rsidR="00AF700F" w:rsidRDefault="00AF700F">
    <w:pPr>
      <w:pStyle w:val="Header"/>
    </w:pPr>
    <w:r>
      <w:rPr>
        <w:noProof/>
      </w:rPr>
      <w:pict w14:anchorId="43578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3798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28014" w14:textId="214B5B42" w:rsidR="00AF700F" w:rsidRDefault="00AF700F">
    <w:pPr>
      <w:pStyle w:val="Header"/>
    </w:pPr>
    <w:r>
      <w:rPr>
        <w:noProof/>
      </w:rPr>
      <w:pict w14:anchorId="278B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3798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FEA16" w14:textId="15216080" w:rsidR="00AF700F" w:rsidRDefault="00AF700F">
    <w:pPr>
      <w:pStyle w:val="Header"/>
    </w:pPr>
    <w:r>
      <w:rPr>
        <w:noProof/>
      </w:rPr>
      <w:pict w14:anchorId="5DBC1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3798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DY0NzM3MTYxMTKysDRW0lEKTi0uzszPAykwrAUAQxeyuCwAAAA="/>
  </w:docVars>
  <w:rsids>
    <w:rsidRoot w:val="00A374C3"/>
    <w:rsid w:val="000E1074"/>
    <w:rsid w:val="001C69F9"/>
    <w:rsid w:val="001E337C"/>
    <w:rsid w:val="004603DC"/>
    <w:rsid w:val="00622563"/>
    <w:rsid w:val="00804FD1"/>
    <w:rsid w:val="008E06B9"/>
    <w:rsid w:val="00A374C3"/>
    <w:rsid w:val="00A37C08"/>
    <w:rsid w:val="00AC093C"/>
    <w:rsid w:val="00AF700F"/>
    <w:rsid w:val="00B04FBC"/>
    <w:rsid w:val="00B43EE7"/>
    <w:rsid w:val="00B65CFE"/>
    <w:rsid w:val="00BC6052"/>
    <w:rsid w:val="00C66FB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33D61B"/>
  <w15:chartTrackingRefBased/>
  <w15:docId w15:val="{036E9A0A-2CAB-411E-8305-46E1E1CA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A374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374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374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74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74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7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4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374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374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74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74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7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4C3"/>
    <w:rPr>
      <w:rFonts w:eastAsiaTheme="majorEastAsia" w:cstheme="majorBidi"/>
      <w:color w:val="272727" w:themeColor="text1" w:themeTint="D8"/>
    </w:rPr>
  </w:style>
  <w:style w:type="paragraph" w:styleId="Title">
    <w:name w:val="Title"/>
    <w:basedOn w:val="Normal"/>
    <w:next w:val="Normal"/>
    <w:link w:val="TitleChar"/>
    <w:uiPriority w:val="10"/>
    <w:qFormat/>
    <w:rsid w:val="00A37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4C3"/>
    <w:pPr>
      <w:spacing w:before="160"/>
      <w:jc w:val="center"/>
    </w:pPr>
    <w:rPr>
      <w:i/>
      <w:iCs/>
      <w:color w:val="404040" w:themeColor="text1" w:themeTint="BF"/>
    </w:rPr>
  </w:style>
  <w:style w:type="character" w:customStyle="1" w:styleId="QuoteChar">
    <w:name w:val="Quote Char"/>
    <w:basedOn w:val="DefaultParagraphFont"/>
    <w:link w:val="Quote"/>
    <w:uiPriority w:val="29"/>
    <w:rsid w:val="00A374C3"/>
    <w:rPr>
      <w:i/>
      <w:iCs/>
      <w:color w:val="404040" w:themeColor="text1" w:themeTint="BF"/>
    </w:rPr>
  </w:style>
  <w:style w:type="paragraph" w:styleId="ListParagraph">
    <w:name w:val="List Paragraph"/>
    <w:basedOn w:val="Normal"/>
    <w:uiPriority w:val="34"/>
    <w:qFormat/>
    <w:rsid w:val="00A374C3"/>
    <w:pPr>
      <w:ind w:left="720"/>
      <w:contextualSpacing/>
    </w:pPr>
  </w:style>
  <w:style w:type="character" w:styleId="IntenseEmphasis">
    <w:name w:val="Intense Emphasis"/>
    <w:basedOn w:val="DefaultParagraphFont"/>
    <w:uiPriority w:val="21"/>
    <w:qFormat/>
    <w:rsid w:val="00A374C3"/>
    <w:rPr>
      <w:i/>
      <w:iCs/>
      <w:color w:val="2F5496" w:themeColor="accent1" w:themeShade="BF"/>
    </w:rPr>
  </w:style>
  <w:style w:type="paragraph" w:styleId="IntenseQuote">
    <w:name w:val="Intense Quote"/>
    <w:basedOn w:val="Normal"/>
    <w:next w:val="Normal"/>
    <w:link w:val="IntenseQuoteChar"/>
    <w:uiPriority w:val="30"/>
    <w:qFormat/>
    <w:rsid w:val="00A374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74C3"/>
    <w:rPr>
      <w:i/>
      <w:iCs/>
      <w:color w:val="2F5496" w:themeColor="accent1" w:themeShade="BF"/>
    </w:rPr>
  </w:style>
  <w:style w:type="character" w:styleId="IntenseReference">
    <w:name w:val="Intense Reference"/>
    <w:basedOn w:val="DefaultParagraphFont"/>
    <w:uiPriority w:val="32"/>
    <w:qFormat/>
    <w:rsid w:val="00A374C3"/>
    <w:rPr>
      <w:b/>
      <w:bCs/>
      <w:smallCaps/>
      <w:color w:val="2F5496" w:themeColor="accent1" w:themeShade="BF"/>
      <w:spacing w:val="5"/>
    </w:rPr>
  </w:style>
  <w:style w:type="paragraph" w:styleId="NormalWeb">
    <w:name w:val="Normal (Web)"/>
    <w:basedOn w:val="Normal"/>
    <w:uiPriority w:val="99"/>
    <w:semiHidden/>
    <w:unhideWhenUsed/>
    <w:rsid w:val="000E1074"/>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0E1074"/>
    <w:rPr>
      <w:b/>
      <w:bCs/>
    </w:rPr>
  </w:style>
  <w:style w:type="character" w:styleId="Emphasis">
    <w:name w:val="Emphasis"/>
    <w:basedOn w:val="DefaultParagraphFont"/>
    <w:uiPriority w:val="20"/>
    <w:qFormat/>
    <w:rsid w:val="000E1074"/>
    <w:rPr>
      <w:i/>
      <w:iCs/>
    </w:rPr>
  </w:style>
  <w:style w:type="character" w:styleId="Hyperlink">
    <w:name w:val="Hyperlink"/>
    <w:basedOn w:val="DefaultParagraphFont"/>
    <w:uiPriority w:val="99"/>
    <w:unhideWhenUsed/>
    <w:rsid w:val="00B65CFE"/>
    <w:rPr>
      <w:color w:val="0563C1" w:themeColor="hyperlink"/>
      <w:u w:val="single"/>
    </w:rPr>
  </w:style>
  <w:style w:type="character" w:customStyle="1" w:styleId="relative">
    <w:name w:val="relative"/>
    <w:basedOn w:val="DefaultParagraphFont"/>
    <w:rsid w:val="00B65CFE"/>
  </w:style>
  <w:style w:type="paragraph" w:styleId="Header">
    <w:name w:val="header"/>
    <w:basedOn w:val="Normal"/>
    <w:link w:val="HeaderChar"/>
    <w:uiPriority w:val="99"/>
    <w:unhideWhenUsed/>
    <w:rsid w:val="00AF7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00F"/>
  </w:style>
  <w:style w:type="paragraph" w:styleId="Footer">
    <w:name w:val="footer"/>
    <w:basedOn w:val="Normal"/>
    <w:link w:val="FooterChar"/>
    <w:uiPriority w:val="99"/>
    <w:unhideWhenUsed/>
    <w:rsid w:val="00AF7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37/dc16-1324" TargetMode="External"/><Relationship Id="rId13" Type="http://schemas.openxmlformats.org/officeDocument/2006/relationships/hyperlink" Target="https://doi.org/10.1038/nature12198" TargetMode="External"/><Relationship Id="rId18" Type="http://schemas.openxmlformats.org/officeDocument/2006/relationships/hyperlink" Target="https://doi.org/10.1016/j.chom.2020.06.004"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doi.org/10.1186/s13073-016-0271-6" TargetMode="External"/><Relationship Id="rId7" Type="http://schemas.openxmlformats.org/officeDocument/2006/relationships/hyperlink" Target="https://doi.org/10.1136/gutjnl-2014-308778" TargetMode="External"/><Relationship Id="rId12" Type="http://schemas.openxmlformats.org/officeDocument/2006/relationships/hyperlink" Target="https://doi.org/10.9734/BJMMR/2016/23354?utm_source=chatgpt.com" TargetMode="External"/><Relationship Id="rId17" Type="http://schemas.openxmlformats.org/officeDocument/2006/relationships/hyperlink" Target="https://doi.org/10.1038/nature11450"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doi.org/10.1038/nm.4236" TargetMode="External"/><Relationship Id="rId20" Type="http://schemas.openxmlformats.org/officeDocument/2006/relationships/hyperlink" Target="https://doi.org/10.1038/nm.4345"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doi.org/10.1016/j.cmet.2021.05.004" TargetMode="External"/><Relationship Id="rId11" Type="http://schemas.openxmlformats.org/officeDocument/2006/relationships/hyperlink" Target="https://doi.org/10.1038/nature15766"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doi.org/10.1038/s41591-024-03067-7" TargetMode="External"/><Relationship Id="rId23" Type="http://schemas.openxmlformats.org/officeDocument/2006/relationships/hyperlink" Target="https://doi.org/10.1016/j.cmet.2024.12.010" TargetMode="External"/><Relationship Id="rId28" Type="http://schemas.openxmlformats.org/officeDocument/2006/relationships/header" Target="header3.xml"/><Relationship Id="rId10" Type="http://schemas.openxmlformats.org/officeDocument/2006/relationships/hyperlink" Target="https://doi.org/10.1128/mBio.00478-21" TargetMode="External"/><Relationship Id="rId19" Type="http://schemas.openxmlformats.org/officeDocument/2006/relationships/hyperlink" Target="https://doi.org/10.1136/gutjnl-2012-303839"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1038/s41591-019-0495-2" TargetMode="External"/><Relationship Id="rId14" Type="http://schemas.openxmlformats.org/officeDocument/2006/relationships/hyperlink" Target="https://doi.org/10.1186/s13059-021-02427-7" TargetMode="External"/><Relationship Id="rId22" Type="http://schemas.openxmlformats.org/officeDocument/2006/relationships/hyperlink" Target="https://doi.org/10.1038/s41564-021-00880-5"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6164</Words>
  <Characters>35137</Characters>
  <Application>Microsoft Office Word</Application>
  <DocSecurity>0</DocSecurity>
  <Lines>292</Lines>
  <Paragraphs>82</Paragraphs>
  <ScaleCrop>false</ScaleCrop>
  <Company>HP</Company>
  <LinksUpToDate>false</LinksUpToDate>
  <CharactersWithSpaces>41219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1084</cp:lastModifiedBy>
  <cp:revision>8</cp:revision>
  <dcterms:created xsi:type="dcterms:W3CDTF">2026-01-16T10:36:00Z</dcterms:created>
  <dcterms:modified xsi:type="dcterms:W3CDTF">2026-01-19T07:48:00Z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6b30cdd5-ac93-450f-a04b-4c6a4b1c7664</vt:lpwstr>
  </property>
</Properties>
</file>