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5DC" w14:textId="77777777" w:rsidR="00F94195" w:rsidRDefault="00F94195" w:rsidP="004B29F1">
      <w:pPr>
        <w:spacing w:line="360" w:lineRule="auto"/>
        <w:jc w:val="center"/>
        <w:rPr>
          <w:b/>
          <w:bCs/>
          <w:color w:val="7030A0"/>
          <w:sz w:val="32"/>
          <w:szCs w:val="32"/>
        </w:rPr>
      </w:pPr>
      <w:r w:rsidRPr="00F94195">
        <w:rPr>
          <w:b/>
          <w:bCs/>
          <w:color w:val="7030A0"/>
          <w:sz w:val="32"/>
          <w:szCs w:val="32"/>
        </w:rPr>
        <w:t>Forensic Identification of a Cow-Associated Blowfly Using Mitochondrial COI Gene Sequencing</w:t>
      </w:r>
    </w:p>
    <w:p w14:paraId="4EF89869" w14:textId="2476354D" w:rsidR="00ED612B" w:rsidRDefault="00ED612B" w:rsidP="004B29F1">
      <w:pPr>
        <w:spacing w:line="360" w:lineRule="auto"/>
        <w:rPr>
          <w:b/>
          <w:bCs/>
          <w:i/>
          <w:iCs/>
        </w:rPr>
      </w:pPr>
    </w:p>
    <w:p w14:paraId="65E78D5B" w14:textId="77777777" w:rsidR="00283B34" w:rsidRDefault="00283B34" w:rsidP="004B29F1">
      <w:pPr>
        <w:spacing w:line="360" w:lineRule="auto"/>
        <w:rPr>
          <w:b/>
          <w:bCs/>
          <w:i/>
          <w:iCs/>
        </w:rPr>
      </w:pPr>
    </w:p>
    <w:p w14:paraId="4E485B1F" w14:textId="77777777" w:rsidR="00F94195" w:rsidRDefault="00F94195" w:rsidP="004B29F1">
      <w:pPr>
        <w:spacing w:line="360" w:lineRule="auto"/>
        <w:rPr>
          <w:b/>
          <w:bCs/>
          <w:i/>
          <w:iCs/>
        </w:rPr>
      </w:pPr>
    </w:p>
    <w:p w14:paraId="546D63E9" w14:textId="54795D2E" w:rsidR="00B806A8" w:rsidRDefault="00B806A8" w:rsidP="004B29F1">
      <w:pPr>
        <w:spacing w:line="360" w:lineRule="auto"/>
        <w:rPr>
          <w:b/>
          <w:bCs/>
          <w:sz w:val="24"/>
        </w:rPr>
      </w:pPr>
      <w:r w:rsidRPr="00ED612B">
        <w:rPr>
          <w:b/>
          <w:bCs/>
          <w:sz w:val="24"/>
        </w:rPr>
        <w:t>ABSTRACT</w:t>
      </w:r>
    </w:p>
    <w:p w14:paraId="44A5D522" w14:textId="1686C1E0" w:rsidR="001D31C8" w:rsidRDefault="001D31C8" w:rsidP="0090406C">
      <w:pPr>
        <w:spacing w:after="240" w:line="360" w:lineRule="auto"/>
        <w:ind w:firstLine="720"/>
        <w:jc w:val="both"/>
        <w:rPr>
          <w:sz w:val="24"/>
          <w:szCs w:val="24"/>
        </w:rPr>
      </w:pPr>
      <w:r w:rsidRPr="001D31C8">
        <w:rPr>
          <w:sz w:val="24"/>
          <w:szCs w:val="24"/>
        </w:rPr>
        <w:t xml:space="preserve">Accurate identification of cadaver-associated insects is fundamental in forensic entomology, particularly for reliable post-mortem interval (PMI) estimation. In the present study, mitochondrial cytochrome oxidase subunit I (COI) gene–based DNA barcoding was employed to molecularly identify a necrophagous insect specimen (F1-Cow) associated with a forensic case from central India. Genomic DNA extraction yielded a high-quality concentration of 124 ng/µl, suitable for downstream molecular analysis. The COI gene was successfully amplified using mitochondrial-specific primers and sequenced using the Sanger method, generating a high-quality 656 bp fragment. Sequence alignment and BLAST analysis revealed 99.09% similarity with reference sequences of </w:t>
      </w:r>
      <w:proofErr w:type="spellStart"/>
      <w:r w:rsidRPr="001D31C8">
        <w:rPr>
          <w:i/>
          <w:iCs/>
          <w:sz w:val="24"/>
          <w:szCs w:val="24"/>
        </w:rPr>
        <w:t>Chrysomya</w:t>
      </w:r>
      <w:proofErr w:type="spellEnd"/>
      <w:r w:rsidRPr="001D31C8">
        <w:rPr>
          <w:i/>
          <w:iCs/>
          <w:sz w:val="24"/>
          <w:szCs w:val="24"/>
        </w:rPr>
        <w:t xml:space="preserve"> </w:t>
      </w:r>
      <w:proofErr w:type="spellStart"/>
      <w:r w:rsidRPr="001D31C8">
        <w:rPr>
          <w:i/>
          <w:iCs/>
          <w:sz w:val="24"/>
          <w:szCs w:val="24"/>
        </w:rPr>
        <w:t>megacephala</w:t>
      </w:r>
      <w:proofErr w:type="spellEnd"/>
      <w:r w:rsidRPr="001D31C8">
        <w:rPr>
          <w:sz w:val="24"/>
          <w:szCs w:val="24"/>
        </w:rPr>
        <w:t xml:space="preserve"> deposited in the NCBI GenBank database. Phylogenetic reconstruction using the Neighbor-Joining method with the Jukes–Cantor distance model placed the F1-Cow sequence within a well-supported </w:t>
      </w:r>
      <w:r w:rsidRPr="001D31C8">
        <w:rPr>
          <w:i/>
          <w:iCs/>
          <w:sz w:val="24"/>
          <w:szCs w:val="24"/>
        </w:rPr>
        <w:t>C. megacephala</w:t>
      </w:r>
      <w:r w:rsidRPr="001D31C8">
        <w:rPr>
          <w:sz w:val="24"/>
          <w:szCs w:val="24"/>
        </w:rPr>
        <w:t xml:space="preserve"> clade, confirming species identity. The concordance of DNA quantification, PCR amplification, sequence similarity, BLAST results, and phylogenetic clustering validates the robustness of the molecular workflow. The study highlights the effectiveness of COI-based DNA barcoding as a reliable and complementary tool to morphological identification, particularly in forensic cases involving damaged, decomposed, or developmentally immature insect specimens.</w:t>
      </w:r>
    </w:p>
    <w:p w14:paraId="0DE15158" w14:textId="71039CDB" w:rsidR="001D31C8" w:rsidRPr="001D31C8" w:rsidRDefault="001D31C8" w:rsidP="001D31C8">
      <w:pPr>
        <w:spacing w:line="360" w:lineRule="auto"/>
        <w:jc w:val="both"/>
        <w:rPr>
          <w:b/>
          <w:bCs/>
          <w:sz w:val="24"/>
          <w:szCs w:val="24"/>
        </w:rPr>
      </w:pPr>
      <w:r w:rsidRPr="001D31C8">
        <w:rPr>
          <w:b/>
          <w:bCs/>
          <w:sz w:val="24"/>
          <w:szCs w:val="24"/>
        </w:rPr>
        <w:t>Keywords</w:t>
      </w:r>
      <w:r>
        <w:rPr>
          <w:b/>
          <w:bCs/>
          <w:sz w:val="24"/>
          <w:szCs w:val="24"/>
        </w:rPr>
        <w:t xml:space="preserve">: </w:t>
      </w:r>
      <w:r w:rsidRPr="001D31C8">
        <w:rPr>
          <w:sz w:val="24"/>
          <w:szCs w:val="24"/>
        </w:rPr>
        <w:t xml:space="preserve">Forensic entomology; DNA barcoding; Cytochrome oxidase I (COI); </w:t>
      </w:r>
      <w:proofErr w:type="spellStart"/>
      <w:r w:rsidRPr="001D31C8">
        <w:rPr>
          <w:i/>
          <w:iCs/>
          <w:sz w:val="24"/>
          <w:szCs w:val="24"/>
        </w:rPr>
        <w:t>Chrysomya</w:t>
      </w:r>
      <w:proofErr w:type="spellEnd"/>
      <w:r w:rsidRPr="001D31C8">
        <w:rPr>
          <w:i/>
          <w:iCs/>
          <w:sz w:val="24"/>
          <w:szCs w:val="24"/>
        </w:rPr>
        <w:t xml:space="preserve"> </w:t>
      </w:r>
      <w:proofErr w:type="spellStart"/>
      <w:r w:rsidRPr="001D31C8">
        <w:rPr>
          <w:i/>
          <w:iCs/>
          <w:sz w:val="24"/>
          <w:szCs w:val="24"/>
        </w:rPr>
        <w:t>megacephala</w:t>
      </w:r>
      <w:proofErr w:type="spellEnd"/>
      <w:r w:rsidRPr="001D31C8">
        <w:rPr>
          <w:sz w:val="24"/>
          <w:szCs w:val="24"/>
        </w:rPr>
        <w:t>; Molecular identification; Calliphoridae; Post-mortem interval</w:t>
      </w:r>
    </w:p>
    <w:p w14:paraId="4FE3BD83" w14:textId="77777777" w:rsidR="001D31C8" w:rsidRDefault="001D31C8" w:rsidP="001D31C8">
      <w:pPr>
        <w:spacing w:line="360" w:lineRule="auto"/>
        <w:jc w:val="both"/>
        <w:rPr>
          <w:sz w:val="24"/>
          <w:szCs w:val="24"/>
        </w:rPr>
      </w:pPr>
    </w:p>
    <w:p w14:paraId="08C64D2B" w14:textId="77777777" w:rsidR="00093074" w:rsidRPr="001D31C8" w:rsidRDefault="00093074" w:rsidP="001D31C8">
      <w:pPr>
        <w:spacing w:line="360" w:lineRule="auto"/>
        <w:jc w:val="both"/>
        <w:rPr>
          <w:sz w:val="24"/>
          <w:szCs w:val="24"/>
        </w:rPr>
      </w:pPr>
    </w:p>
    <w:p w14:paraId="0C3818B2" w14:textId="0CCB9820" w:rsidR="00B806A8" w:rsidRDefault="00ED612B" w:rsidP="00666398">
      <w:pPr>
        <w:tabs>
          <w:tab w:val="left" w:pos="0"/>
        </w:tabs>
        <w:spacing w:line="360" w:lineRule="auto"/>
        <w:jc w:val="both"/>
        <w:rPr>
          <w:sz w:val="24"/>
        </w:rPr>
      </w:pPr>
      <w:r>
        <w:rPr>
          <w:sz w:val="24"/>
        </w:rPr>
        <w:tab/>
      </w:r>
    </w:p>
    <w:p w14:paraId="3CD8726E" w14:textId="77777777" w:rsidR="00B806A8" w:rsidRPr="00FD1420" w:rsidRDefault="00B806A8" w:rsidP="004B29F1">
      <w:pPr>
        <w:tabs>
          <w:tab w:val="left" w:pos="0"/>
        </w:tabs>
        <w:spacing w:line="360" w:lineRule="auto"/>
        <w:jc w:val="both"/>
        <w:rPr>
          <w:b/>
          <w:bCs/>
          <w:sz w:val="24"/>
        </w:rPr>
      </w:pPr>
      <w:r w:rsidRPr="00FD1420">
        <w:rPr>
          <w:b/>
          <w:bCs/>
          <w:sz w:val="24"/>
        </w:rPr>
        <w:t>1. INTRODUCTION</w:t>
      </w:r>
    </w:p>
    <w:p w14:paraId="6C7670B5" w14:textId="27A61B40" w:rsidR="00B806A8" w:rsidRPr="00FD1420" w:rsidRDefault="00FD1420" w:rsidP="004B29F1">
      <w:pPr>
        <w:tabs>
          <w:tab w:val="left" w:pos="0"/>
        </w:tabs>
        <w:spacing w:line="360" w:lineRule="auto"/>
        <w:jc w:val="both"/>
        <w:rPr>
          <w:b/>
          <w:bCs/>
          <w:sz w:val="24"/>
        </w:rPr>
      </w:pPr>
      <w:r>
        <w:rPr>
          <w:sz w:val="24"/>
        </w:rPr>
        <w:tab/>
      </w:r>
      <w:r w:rsidR="00B806A8" w:rsidRPr="00FD1420">
        <w:rPr>
          <w:sz w:val="24"/>
        </w:rPr>
        <w:t xml:space="preserve">Forensic entomology is the application of insect biology to criminal investigations, particularly in estimating the post-mortem interval (PMI) and </w:t>
      </w:r>
      <w:r w:rsidR="00B806A8" w:rsidRPr="00FD1420">
        <w:rPr>
          <w:sz w:val="24"/>
        </w:rPr>
        <w:lastRenderedPageBreak/>
        <w:t xml:space="preserve">reconstructing circumstances surrounding death (Amendt </w:t>
      </w:r>
      <w:r w:rsidR="006662E9" w:rsidRPr="006662E9">
        <w:rPr>
          <w:i/>
          <w:iCs/>
          <w:sz w:val="24"/>
        </w:rPr>
        <w:t>et al.</w:t>
      </w:r>
      <w:r w:rsidR="00B806A8" w:rsidRPr="00FD1420">
        <w:rPr>
          <w:sz w:val="24"/>
        </w:rPr>
        <w:t xml:space="preserve"> 2004). Insects are among the earliest organisms to </w:t>
      </w:r>
      <w:proofErr w:type="spellStart"/>
      <w:r w:rsidR="00B806A8" w:rsidRPr="00FD1420">
        <w:rPr>
          <w:sz w:val="24"/>
        </w:rPr>
        <w:t>colonise</w:t>
      </w:r>
      <w:proofErr w:type="spellEnd"/>
      <w:r w:rsidR="00B806A8" w:rsidRPr="00FD1420">
        <w:rPr>
          <w:sz w:val="24"/>
        </w:rPr>
        <w:t xml:space="preserve"> decomposing remains</w:t>
      </w:r>
      <w:r w:rsidR="004B29F1">
        <w:rPr>
          <w:sz w:val="24"/>
        </w:rPr>
        <w:t xml:space="preserve"> and</w:t>
      </w:r>
      <w:r w:rsidR="00B806A8" w:rsidRPr="00FD1420">
        <w:rPr>
          <w:sz w:val="24"/>
        </w:rPr>
        <w:t xml:space="preserve"> their predictable life cycles make them valuable biological indicators in medico-legal cases. Blowflies (Diptera: Calliphoridae) are especially important due to their rapid arrival and well-studied developmental patterns (Wells &amp; Stevens, 2008).</w:t>
      </w:r>
    </w:p>
    <w:p w14:paraId="1457FAFF" w14:textId="470B97B8" w:rsidR="00B806A8" w:rsidRPr="00FD1420" w:rsidRDefault="00FD1420" w:rsidP="004B29F1">
      <w:pPr>
        <w:tabs>
          <w:tab w:val="left" w:pos="450"/>
        </w:tabs>
        <w:spacing w:line="360" w:lineRule="auto"/>
        <w:jc w:val="both"/>
        <w:rPr>
          <w:sz w:val="24"/>
        </w:rPr>
      </w:pPr>
      <w:r>
        <w:rPr>
          <w:sz w:val="24"/>
        </w:rPr>
        <w:tab/>
      </w:r>
      <w:r>
        <w:rPr>
          <w:sz w:val="24"/>
        </w:rPr>
        <w:tab/>
      </w:r>
      <w:r w:rsidR="00B806A8" w:rsidRPr="00FD1420">
        <w:rPr>
          <w:sz w:val="24"/>
        </w:rPr>
        <w:t xml:space="preserve">The </w:t>
      </w:r>
      <w:proofErr w:type="spellStart"/>
      <w:r w:rsidR="00B806A8" w:rsidRPr="00FD1420">
        <w:rPr>
          <w:sz w:val="24"/>
        </w:rPr>
        <w:t>colonisation</w:t>
      </w:r>
      <w:proofErr w:type="spellEnd"/>
      <w:r w:rsidR="00B806A8" w:rsidRPr="00FD1420">
        <w:rPr>
          <w:sz w:val="24"/>
        </w:rPr>
        <w:t xml:space="preserve"> of a cadaver by insects follows a predictable ecological succession, influenced by environmental factors such as temperature, humidity, accessibility</w:t>
      </w:r>
      <w:r w:rsidR="004B29F1">
        <w:rPr>
          <w:sz w:val="24"/>
        </w:rPr>
        <w:t xml:space="preserve"> and</w:t>
      </w:r>
      <w:r w:rsidR="00B806A8" w:rsidRPr="00FD1420">
        <w:rPr>
          <w:sz w:val="24"/>
        </w:rPr>
        <w:t xml:space="preserve"> body condition. Early </w:t>
      </w:r>
      <w:proofErr w:type="spellStart"/>
      <w:r w:rsidR="00B806A8" w:rsidRPr="00FD1420">
        <w:rPr>
          <w:sz w:val="24"/>
        </w:rPr>
        <w:t>colonisers</w:t>
      </w:r>
      <w:proofErr w:type="spellEnd"/>
      <w:r w:rsidR="00B806A8" w:rsidRPr="00FD1420">
        <w:rPr>
          <w:sz w:val="24"/>
        </w:rPr>
        <w:t xml:space="preserve"> such as </w:t>
      </w:r>
      <w:proofErr w:type="spellStart"/>
      <w:r w:rsidR="00B806A8" w:rsidRPr="00FD1420">
        <w:rPr>
          <w:i/>
          <w:iCs/>
          <w:sz w:val="24"/>
        </w:rPr>
        <w:t>Chrysomya</w:t>
      </w:r>
      <w:proofErr w:type="spellEnd"/>
      <w:r w:rsidR="00B806A8" w:rsidRPr="00FD1420">
        <w:rPr>
          <w:i/>
          <w:iCs/>
          <w:sz w:val="24"/>
        </w:rPr>
        <w:t xml:space="preserve"> </w:t>
      </w:r>
      <w:proofErr w:type="spellStart"/>
      <w:r w:rsidR="00B806A8" w:rsidRPr="00FD1420">
        <w:rPr>
          <w:i/>
          <w:iCs/>
          <w:sz w:val="24"/>
        </w:rPr>
        <w:t>megacephala</w:t>
      </w:r>
      <w:proofErr w:type="spellEnd"/>
      <w:r w:rsidR="00B806A8" w:rsidRPr="00FD1420">
        <w:rPr>
          <w:sz w:val="24"/>
        </w:rPr>
        <w:t xml:space="preserve">, </w:t>
      </w:r>
      <w:proofErr w:type="spellStart"/>
      <w:r w:rsidR="00B806A8" w:rsidRPr="00FD1420">
        <w:rPr>
          <w:i/>
          <w:iCs/>
          <w:sz w:val="24"/>
        </w:rPr>
        <w:t>Lucilia</w:t>
      </w:r>
      <w:proofErr w:type="spellEnd"/>
      <w:r w:rsidR="00B806A8" w:rsidRPr="00FD1420">
        <w:rPr>
          <w:i/>
          <w:iCs/>
          <w:sz w:val="24"/>
        </w:rPr>
        <w:t xml:space="preserve"> </w:t>
      </w:r>
      <w:proofErr w:type="spellStart"/>
      <w:r w:rsidR="00B806A8" w:rsidRPr="00FD1420">
        <w:rPr>
          <w:i/>
          <w:iCs/>
          <w:sz w:val="24"/>
        </w:rPr>
        <w:t>sericata</w:t>
      </w:r>
      <w:proofErr w:type="spellEnd"/>
      <w:r w:rsidR="004B29F1">
        <w:rPr>
          <w:sz w:val="24"/>
        </w:rPr>
        <w:t xml:space="preserve"> and</w:t>
      </w:r>
      <w:r w:rsidR="00B806A8" w:rsidRPr="00FD1420">
        <w:rPr>
          <w:sz w:val="24"/>
        </w:rPr>
        <w:t xml:space="preserve"> </w:t>
      </w:r>
      <w:proofErr w:type="spellStart"/>
      <w:r w:rsidR="00B806A8" w:rsidRPr="00FD1420">
        <w:rPr>
          <w:i/>
          <w:iCs/>
          <w:sz w:val="24"/>
        </w:rPr>
        <w:t>Chrysomya</w:t>
      </w:r>
      <w:proofErr w:type="spellEnd"/>
      <w:r w:rsidR="00B806A8" w:rsidRPr="00FD1420">
        <w:rPr>
          <w:i/>
          <w:iCs/>
          <w:sz w:val="24"/>
        </w:rPr>
        <w:t xml:space="preserve"> </w:t>
      </w:r>
      <w:proofErr w:type="spellStart"/>
      <w:r w:rsidR="00B806A8" w:rsidRPr="00FD1420">
        <w:rPr>
          <w:i/>
          <w:iCs/>
          <w:sz w:val="24"/>
        </w:rPr>
        <w:t>rufifacies</w:t>
      </w:r>
      <w:proofErr w:type="spellEnd"/>
      <w:r w:rsidR="00B806A8" w:rsidRPr="00FD1420">
        <w:rPr>
          <w:sz w:val="24"/>
        </w:rPr>
        <w:t xml:space="preserve"> tend to oviposit within minutes to hours after death (Byrd &amp; Castner, 2010). Their developmental stages can be used to determine the minimum PMI, a crucial parameter in death investigations.</w:t>
      </w:r>
    </w:p>
    <w:p w14:paraId="7F53064C" w14:textId="5CB2BE85" w:rsidR="00B806A8" w:rsidRPr="00FD1420" w:rsidRDefault="00FD1420" w:rsidP="004B29F1">
      <w:pPr>
        <w:tabs>
          <w:tab w:val="left" w:pos="450"/>
        </w:tabs>
        <w:spacing w:line="360" w:lineRule="auto"/>
        <w:jc w:val="both"/>
        <w:rPr>
          <w:sz w:val="24"/>
        </w:rPr>
      </w:pPr>
      <w:r>
        <w:rPr>
          <w:sz w:val="24"/>
        </w:rPr>
        <w:tab/>
      </w:r>
      <w:r>
        <w:rPr>
          <w:sz w:val="24"/>
        </w:rPr>
        <w:tab/>
      </w:r>
      <w:r w:rsidR="00B806A8" w:rsidRPr="00FD1420">
        <w:rPr>
          <w:sz w:val="24"/>
        </w:rPr>
        <w:t xml:space="preserve">Traditional morphological identification of blowflies is sometimes limited due to damaged specimens or immature stages, especially eggs and early instar larvae. DNA barcoding using mitochondrial COI gene has emerged as a reliable tool for accurate species-level identification (Hebert </w:t>
      </w:r>
      <w:r w:rsidR="006662E9" w:rsidRPr="006662E9">
        <w:rPr>
          <w:i/>
          <w:iCs/>
          <w:sz w:val="24"/>
        </w:rPr>
        <w:t>et al.</w:t>
      </w:r>
      <w:r w:rsidR="00B806A8" w:rsidRPr="00FD1420">
        <w:rPr>
          <w:sz w:val="24"/>
        </w:rPr>
        <w:t xml:space="preserve"> 2003). The COI gene is widely used to differentiate closely related species and build phylogenetic relationships (Sperling </w:t>
      </w:r>
      <w:r w:rsidR="006662E9" w:rsidRPr="006662E9">
        <w:rPr>
          <w:i/>
          <w:iCs/>
          <w:sz w:val="24"/>
        </w:rPr>
        <w:t>et al.</w:t>
      </w:r>
      <w:r w:rsidR="00B806A8" w:rsidRPr="00FD1420">
        <w:rPr>
          <w:sz w:val="24"/>
        </w:rPr>
        <w:t xml:space="preserve"> 1994). Molecular methods enhance precision and reduce misidentification in forensic entomology.</w:t>
      </w:r>
    </w:p>
    <w:p w14:paraId="4E0D191B" w14:textId="6F41C8E7" w:rsidR="00B806A8" w:rsidRPr="00FD1420" w:rsidRDefault="00FD1420" w:rsidP="004B29F1">
      <w:pPr>
        <w:tabs>
          <w:tab w:val="left" w:pos="450"/>
        </w:tabs>
        <w:spacing w:line="360" w:lineRule="auto"/>
        <w:jc w:val="both"/>
        <w:rPr>
          <w:sz w:val="24"/>
        </w:rPr>
      </w:pPr>
      <w:r>
        <w:rPr>
          <w:i/>
          <w:iCs/>
          <w:sz w:val="24"/>
        </w:rPr>
        <w:tab/>
      </w:r>
      <w:r>
        <w:rPr>
          <w:i/>
          <w:iCs/>
          <w:sz w:val="24"/>
        </w:rPr>
        <w:tab/>
      </w:r>
      <w:proofErr w:type="spellStart"/>
      <w:r w:rsidR="00B806A8" w:rsidRPr="00FD1420">
        <w:rPr>
          <w:i/>
          <w:iCs/>
          <w:sz w:val="24"/>
        </w:rPr>
        <w:t>Chrysomya</w:t>
      </w:r>
      <w:proofErr w:type="spellEnd"/>
      <w:r w:rsidR="00B806A8" w:rsidRPr="00FD1420">
        <w:rPr>
          <w:i/>
          <w:iCs/>
          <w:sz w:val="24"/>
        </w:rPr>
        <w:t xml:space="preserve"> </w:t>
      </w:r>
      <w:proofErr w:type="spellStart"/>
      <w:r w:rsidR="00B806A8" w:rsidRPr="00FD1420">
        <w:rPr>
          <w:i/>
          <w:iCs/>
          <w:sz w:val="24"/>
        </w:rPr>
        <w:t>megacephala</w:t>
      </w:r>
      <w:proofErr w:type="spellEnd"/>
      <w:r w:rsidR="00B806A8" w:rsidRPr="00FD1420">
        <w:rPr>
          <w:sz w:val="24"/>
        </w:rPr>
        <w:t>, commonly known as the Oriental latrine fly, is one of the most forensically significant species in tropical and subtropical regions (</w:t>
      </w:r>
      <w:proofErr w:type="spellStart"/>
      <w:r w:rsidR="00B806A8" w:rsidRPr="00FD1420">
        <w:rPr>
          <w:sz w:val="24"/>
        </w:rPr>
        <w:t>Badenhorst</w:t>
      </w:r>
      <w:proofErr w:type="spellEnd"/>
      <w:r w:rsidR="00B806A8" w:rsidRPr="00FD1420">
        <w:rPr>
          <w:sz w:val="24"/>
        </w:rPr>
        <w:t xml:space="preserve"> &amp; </w:t>
      </w:r>
      <w:proofErr w:type="spellStart"/>
      <w:r w:rsidR="00B806A8" w:rsidRPr="00FD1420">
        <w:rPr>
          <w:sz w:val="24"/>
        </w:rPr>
        <w:t>Villet</w:t>
      </w:r>
      <w:proofErr w:type="spellEnd"/>
      <w:r w:rsidR="00B806A8" w:rsidRPr="00FD1420">
        <w:rPr>
          <w:sz w:val="24"/>
        </w:rPr>
        <w:t xml:space="preserve">, 2018). It is an early </w:t>
      </w:r>
      <w:proofErr w:type="spellStart"/>
      <w:r w:rsidR="00B806A8" w:rsidRPr="00FD1420">
        <w:rPr>
          <w:sz w:val="24"/>
        </w:rPr>
        <w:t>coloniser</w:t>
      </w:r>
      <w:proofErr w:type="spellEnd"/>
      <w:r w:rsidR="00B806A8" w:rsidRPr="00FD1420">
        <w:rPr>
          <w:sz w:val="24"/>
        </w:rPr>
        <w:t xml:space="preserve"> of decomposing remains and has predictable developmental rates, making it suitable for PMI estimation. Studies worldwide have documented its dominance on both animal and human cadavers, highlighting its ecological adaptability (Sim &amp; Zuha, 2019).</w:t>
      </w:r>
    </w:p>
    <w:p w14:paraId="0EFB8D59" w14:textId="53852EFF" w:rsidR="00B806A8" w:rsidRDefault="00FD1420" w:rsidP="004B29F1">
      <w:pPr>
        <w:tabs>
          <w:tab w:val="left" w:pos="450"/>
        </w:tabs>
        <w:spacing w:line="360" w:lineRule="auto"/>
        <w:jc w:val="both"/>
        <w:rPr>
          <w:sz w:val="24"/>
        </w:rPr>
      </w:pPr>
      <w:r>
        <w:rPr>
          <w:sz w:val="24"/>
        </w:rPr>
        <w:tab/>
      </w:r>
      <w:r>
        <w:rPr>
          <w:sz w:val="24"/>
        </w:rPr>
        <w:tab/>
      </w:r>
      <w:r w:rsidR="00B806A8" w:rsidRPr="00FD1420">
        <w:rPr>
          <w:sz w:val="24"/>
        </w:rPr>
        <w:t>Insect development is strongly influenced by environmental conditions</w:t>
      </w:r>
      <w:r w:rsidR="004B29F1">
        <w:rPr>
          <w:sz w:val="24"/>
        </w:rPr>
        <w:t xml:space="preserve"> and</w:t>
      </w:r>
      <w:r w:rsidR="00B806A8" w:rsidRPr="00FD1420">
        <w:rPr>
          <w:sz w:val="24"/>
        </w:rPr>
        <w:t xml:space="preserve"> therefore region-specific datasets are essential for accurate PMI estimation (Amendt </w:t>
      </w:r>
      <w:r w:rsidR="006662E9" w:rsidRPr="006662E9">
        <w:rPr>
          <w:i/>
          <w:iCs/>
          <w:sz w:val="24"/>
        </w:rPr>
        <w:t>et al.</w:t>
      </w:r>
      <w:r w:rsidR="00B806A8" w:rsidRPr="00FD1420">
        <w:rPr>
          <w:sz w:val="24"/>
        </w:rPr>
        <w:t xml:space="preserve"> 2007). Many regions lack extensive molecular and ecological data on carrion insects, which limits the reliability of forensic interpretations. This study contributes to generating such data by </w:t>
      </w:r>
      <w:proofErr w:type="spellStart"/>
      <w:r w:rsidR="00B806A8" w:rsidRPr="00FD1420">
        <w:rPr>
          <w:sz w:val="24"/>
        </w:rPr>
        <w:t>analysing</w:t>
      </w:r>
      <w:proofErr w:type="spellEnd"/>
      <w:r w:rsidR="00B806A8" w:rsidRPr="00FD1420">
        <w:rPr>
          <w:sz w:val="24"/>
        </w:rPr>
        <w:t xml:space="preserve"> insect species collected from different cadaver environments.</w:t>
      </w:r>
    </w:p>
    <w:p w14:paraId="0736321B" w14:textId="77777777" w:rsidR="004931DB" w:rsidRPr="00FD1420" w:rsidRDefault="004931DB" w:rsidP="004B29F1">
      <w:pPr>
        <w:tabs>
          <w:tab w:val="left" w:pos="450"/>
        </w:tabs>
        <w:spacing w:line="360" w:lineRule="auto"/>
        <w:jc w:val="both"/>
        <w:rPr>
          <w:sz w:val="24"/>
        </w:rPr>
      </w:pPr>
    </w:p>
    <w:p w14:paraId="20ACF746" w14:textId="7997A976" w:rsidR="00B806A8" w:rsidRPr="00B806A8" w:rsidRDefault="000879AF" w:rsidP="004B29F1">
      <w:pPr>
        <w:pStyle w:val="ListParagraph"/>
        <w:tabs>
          <w:tab w:val="left" w:pos="450"/>
        </w:tabs>
        <w:spacing w:line="360" w:lineRule="auto"/>
        <w:ind w:leftChars="40" w:left="88" w:firstLine="0"/>
        <w:jc w:val="both"/>
        <w:rPr>
          <w:b/>
          <w:bCs/>
          <w:sz w:val="24"/>
        </w:rPr>
      </w:pPr>
      <w:r>
        <w:rPr>
          <w:b/>
          <w:bCs/>
          <w:sz w:val="24"/>
        </w:rPr>
        <w:t xml:space="preserve">2. </w:t>
      </w:r>
      <w:r w:rsidR="00B806A8" w:rsidRPr="00B806A8">
        <w:rPr>
          <w:b/>
          <w:bCs/>
          <w:sz w:val="24"/>
        </w:rPr>
        <w:t>MATERIALS AND METHODS</w:t>
      </w:r>
    </w:p>
    <w:p w14:paraId="2696EF47" w14:textId="299981F4" w:rsidR="00B806A8" w:rsidRPr="00B806A8" w:rsidRDefault="00B806A8" w:rsidP="00C36EF9">
      <w:pPr>
        <w:pStyle w:val="ListParagraph"/>
        <w:numPr>
          <w:ilvl w:val="1"/>
          <w:numId w:val="32"/>
        </w:numPr>
        <w:tabs>
          <w:tab w:val="left" w:pos="450"/>
        </w:tabs>
        <w:spacing w:line="360" w:lineRule="auto"/>
        <w:jc w:val="both"/>
        <w:rPr>
          <w:b/>
          <w:bCs/>
          <w:sz w:val="24"/>
        </w:rPr>
      </w:pPr>
      <w:r w:rsidRPr="00B806A8">
        <w:rPr>
          <w:b/>
          <w:bCs/>
          <w:sz w:val="24"/>
        </w:rPr>
        <w:t>Study Area and Sample Collection</w:t>
      </w:r>
    </w:p>
    <w:p w14:paraId="673BA89A" w14:textId="12040863" w:rsidR="00C36EF9" w:rsidRDefault="00C36EF9" w:rsidP="00C36EF9">
      <w:pPr>
        <w:tabs>
          <w:tab w:val="left" w:pos="450"/>
        </w:tabs>
        <w:spacing w:before="240" w:after="240" w:line="360" w:lineRule="auto"/>
        <w:jc w:val="both"/>
        <w:rPr>
          <w:sz w:val="24"/>
        </w:rPr>
      </w:pPr>
      <w:r>
        <w:rPr>
          <w:sz w:val="24"/>
        </w:rPr>
        <w:lastRenderedPageBreak/>
        <w:tab/>
      </w:r>
      <w:r>
        <w:rPr>
          <w:sz w:val="24"/>
        </w:rPr>
        <w:tab/>
      </w:r>
      <w:r w:rsidRPr="00C36EF9">
        <w:rPr>
          <w:sz w:val="24"/>
        </w:rPr>
        <w:t xml:space="preserve">The present study was conducted at </w:t>
      </w:r>
      <w:proofErr w:type="spellStart"/>
      <w:r w:rsidRPr="00C36EF9">
        <w:rPr>
          <w:sz w:val="24"/>
        </w:rPr>
        <w:t>Jagdalpur</w:t>
      </w:r>
      <w:proofErr w:type="spellEnd"/>
      <w:r w:rsidRPr="00C36EF9">
        <w:rPr>
          <w:sz w:val="24"/>
        </w:rPr>
        <w:t xml:space="preserve"> District, under the Department of Biosciences, MATS University. </w:t>
      </w:r>
      <w:r w:rsidR="00CA4C62" w:rsidRPr="00CA4C62">
        <w:rPr>
          <w:sz w:val="24"/>
        </w:rPr>
        <w:t>Cadaver-associated insect samples (designated as F1-Cow) were collected from a cow carcass following standard forensic entomological sampling protocols. Insects were collected at the early stage of decomposition to maximize the recovery of primary colonizers.</w:t>
      </w:r>
    </w:p>
    <w:p w14:paraId="24BA5C63" w14:textId="77777777" w:rsidR="00CA4C62" w:rsidRPr="00CA4C62" w:rsidRDefault="00CA4C62" w:rsidP="00CA4C62">
      <w:pPr>
        <w:tabs>
          <w:tab w:val="left" w:pos="450"/>
        </w:tabs>
        <w:spacing w:before="240" w:after="240" w:line="360" w:lineRule="auto"/>
        <w:jc w:val="both"/>
        <w:rPr>
          <w:b/>
          <w:bCs/>
          <w:sz w:val="24"/>
        </w:rPr>
      </w:pPr>
      <w:r w:rsidRPr="00CA4C62">
        <w:rPr>
          <w:b/>
          <w:bCs/>
          <w:sz w:val="24"/>
        </w:rPr>
        <w:t>2.2 Sample Preparation and DNA Extraction</w:t>
      </w:r>
    </w:p>
    <w:p w14:paraId="1C770B3F" w14:textId="0E847A74"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 xml:space="preserve">Prior to DNA extraction, insect specimens were surface-sterilized by sequential washing in sterile distilled water and 70% ethanol to remove external contaminants. Genomic DNA was extracted from individual specimens using the </w:t>
      </w:r>
      <w:proofErr w:type="spellStart"/>
      <w:proofErr w:type="gramStart"/>
      <w:r w:rsidRPr="00CA4C62">
        <w:rPr>
          <w:sz w:val="24"/>
        </w:rPr>
        <w:t>phenol:chloroform</w:t>
      </w:r>
      <w:proofErr w:type="gramEnd"/>
      <w:r w:rsidRPr="00CA4C62">
        <w:rPr>
          <w:sz w:val="24"/>
        </w:rPr>
        <w:t>:isoamyl</w:t>
      </w:r>
      <w:proofErr w:type="spellEnd"/>
      <w:r w:rsidRPr="00CA4C62">
        <w:rPr>
          <w:sz w:val="24"/>
        </w:rPr>
        <w:t xml:space="preserve"> alcohol (25:24:1) method. Extracted DNA pellets were washed with ethanol, air-dried, and re-suspended in TE buffer. RNase treatment was applied to remove RNA contamination, and DNA samples were stored at −20 °C until further use.</w:t>
      </w:r>
    </w:p>
    <w:p w14:paraId="30C90DC8" w14:textId="77777777" w:rsidR="00CA4C62" w:rsidRPr="00CA4C62" w:rsidRDefault="00CA4C62" w:rsidP="00CA4C62">
      <w:pPr>
        <w:tabs>
          <w:tab w:val="left" w:pos="450"/>
        </w:tabs>
        <w:spacing w:before="240" w:after="240" w:line="360" w:lineRule="auto"/>
        <w:jc w:val="both"/>
        <w:rPr>
          <w:b/>
          <w:bCs/>
          <w:sz w:val="24"/>
        </w:rPr>
      </w:pPr>
      <w:r w:rsidRPr="00CA4C62">
        <w:rPr>
          <w:b/>
          <w:bCs/>
          <w:sz w:val="24"/>
        </w:rPr>
        <w:t>2.3 DNA Quantification</w:t>
      </w:r>
    </w:p>
    <w:p w14:paraId="2C2279D0" w14:textId="59D9AB10"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The concentration and purity of extracted DNA were assessed using spectrophotometric analysis. DNA concentration was recorded in ng/µl, and samples showing adequate yield and purity were selected for downstream molecular applications, including PCR amplification and sequencing.</w:t>
      </w:r>
    </w:p>
    <w:p w14:paraId="63C83864" w14:textId="77777777" w:rsidR="00CA4C62" w:rsidRPr="00CA4C62" w:rsidRDefault="00CA4C62" w:rsidP="00CA4C62">
      <w:pPr>
        <w:tabs>
          <w:tab w:val="left" w:pos="450"/>
        </w:tabs>
        <w:spacing w:before="240" w:after="240" w:line="360" w:lineRule="auto"/>
        <w:jc w:val="both"/>
        <w:rPr>
          <w:b/>
          <w:bCs/>
          <w:sz w:val="24"/>
        </w:rPr>
      </w:pPr>
      <w:r w:rsidRPr="00CA4C62">
        <w:rPr>
          <w:b/>
          <w:bCs/>
          <w:sz w:val="24"/>
        </w:rPr>
        <w:t>2.4 PCR Amplification of the COI Gene</w:t>
      </w:r>
    </w:p>
    <w:p w14:paraId="13283D3B" w14:textId="0DF7DA66"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Amplification of the mitochondrial cytochrome oxidase I (COI) gene was performed using mitochondrial-specific primers (mtCOI-3′ and mtCOI-5′). PCR reactions were carried out in a total volume of 50 µl containing genomic DNA template, primers, dNTPs, 10× Taq polymerase buffer, Taq DNA polymerase, and nuclease-free water.</w:t>
      </w:r>
    </w:p>
    <w:p w14:paraId="09C1BF4D" w14:textId="78823CB0"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PCR cycling conditions included an initial denaturation at 94 °C for 5 min, followed by 35 cycles of denaturation at 94 °C for 1 min, annealing at 40 °C for 1 min, and extension at 72 °C for 1 min, with a final extension at 72 °C for 7 min. Amplification success was verified by agarose gel electrophoresis.</w:t>
      </w:r>
    </w:p>
    <w:p w14:paraId="4263B332" w14:textId="77777777" w:rsidR="00CA4C62" w:rsidRPr="00CA4C62" w:rsidRDefault="00CA4C62" w:rsidP="00CA4C62">
      <w:pPr>
        <w:tabs>
          <w:tab w:val="left" w:pos="450"/>
        </w:tabs>
        <w:spacing w:before="240" w:after="240" w:line="360" w:lineRule="auto"/>
        <w:jc w:val="both"/>
        <w:rPr>
          <w:b/>
          <w:bCs/>
          <w:sz w:val="24"/>
        </w:rPr>
      </w:pPr>
      <w:r w:rsidRPr="00CA4C62">
        <w:rPr>
          <w:b/>
          <w:bCs/>
          <w:sz w:val="24"/>
        </w:rPr>
        <w:t>2.5 DNA Sequencing</w:t>
      </w:r>
    </w:p>
    <w:p w14:paraId="05DE65FA" w14:textId="375F30A3" w:rsidR="00CA4C62" w:rsidRPr="00CA4C62" w:rsidRDefault="00CA4C62" w:rsidP="00CA4C62">
      <w:pPr>
        <w:tabs>
          <w:tab w:val="left" w:pos="450"/>
        </w:tabs>
        <w:spacing w:before="240" w:after="240" w:line="360" w:lineRule="auto"/>
        <w:jc w:val="both"/>
        <w:rPr>
          <w:sz w:val="24"/>
        </w:rPr>
      </w:pPr>
      <w:r>
        <w:rPr>
          <w:sz w:val="24"/>
        </w:rPr>
        <w:lastRenderedPageBreak/>
        <w:tab/>
      </w:r>
      <w:r>
        <w:rPr>
          <w:sz w:val="24"/>
        </w:rPr>
        <w:tab/>
      </w:r>
      <w:r w:rsidRPr="00CA4C62">
        <w:rPr>
          <w:sz w:val="24"/>
        </w:rPr>
        <w:t>Successfully amplified PCR products were purified and subjected to bidirectional Sanger sequencing using an automated genetic analyzer. Raw sequence chromatograms were manually inspected to ensure sequence accuracy.</w:t>
      </w:r>
    </w:p>
    <w:p w14:paraId="13E4597E" w14:textId="77777777" w:rsidR="00CA4C62" w:rsidRPr="00CA4C62" w:rsidRDefault="00CA4C62" w:rsidP="00CA4C62">
      <w:pPr>
        <w:tabs>
          <w:tab w:val="left" w:pos="450"/>
        </w:tabs>
        <w:spacing w:before="240" w:after="240" w:line="360" w:lineRule="auto"/>
        <w:jc w:val="both"/>
        <w:rPr>
          <w:b/>
          <w:bCs/>
          <w:sz w:val="24"/>
        </w:rPr>
      </w:pPr>
      <w:r w:rsidRPr="00CA4C62">
        <w:rPr>
          <w:b/>
          <w:bCs/>
          <w:sz w:val="24"/>
        </w:rPr>
        <w:t>2.6 Sequence Alignment and BLAST Analysis</w:t>
      </w:r>
    </w:p>
    <w:p w14:paraId="3A4A017A" w14:textId="7334D62F"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Obtained COI sequences were trimmed to remove low-quality ends and aligned using standard sequence alignment software. Species identification was performed using the BLASTN tool against the NCBI GenBank database. Sequence similarity, query coverage, alignment score, and E-value were considered for reliable species-level identification.</w:t>
      </w:r>
    </w:p>
    <w:p w14:paraId="3AD2F33B" w14:textId="77777777" w:rsidR="00CA4C62" w:rsidRPr="00CA4C62" w:rsidRDefault="00CA4C62" w:rsidP="00CA4C62">
      <w:pPr>
        <w:tabs>
          <w:tab w:val="left" w:pos="450"/>
        </w:tabs>
        <w:spacing w:before="240" w:after="240" w:line="360" w:lineRule="auto"/>
        <w:jc w:val="both"/>
        <w:rPr>
          <w:b/>
          <w:bCs/>
          <w:sz w:val="24"/>
        </w:rPr>
      </w:pPr>
      <w:r w:rsidRPr="00CA4C62">
        <w:rPr>
          <w:b/>
          <w:bCs/>
          <w:sz w:val="24"/>
        </w:rPr>
        <w:t>2.7 Phylogenetic Analysis</w:t>
      </w:r>
    </w:p>
    <w:p w14:paraId="49C9EDB5" w14:textId="2B6AE6D6"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Phylogenetic analysis was conducted by retrieving closely related COI reference sequences from GenBank. Evolutionary distances were calculated using the Jukes–Cantor model, and phylogenetic trees were constructed using the Neighbor-Joining method. Bootstrap analysis was performed to assess the robustness of clade formation.</w:t>
      </w:r>
    </w:p>
    <w:p w14:paraId="3F25D740" w14:textId="77777777" w:rsidR="00CA4C62" w:rsidRPr="00CA4C62" w:rsidRDefault="00CA4C62" w:rsidP="00CA4C62">
      <w:pPr>
        <w:tabs>
          <w:tab w:val="left" w:pos="450"/>
        </w:tabs>
        <w:spacing w:before="240" w:after="240" w:line="360" w:lineRule="auto"/>
        <w:jc w:val="both"/>
        <w:rPr>
          <w:b/>
          <w:bCs/>
          <w:sz w:val="24"/>
        </w:rPr>
      </w:pPr>
      <w:r w:rsidRPr="00CA4C62">
        <w:rPr>
          <w:b/>
          <w:bCs/>
          <w:sz w:val="24"/>
        </w:rPr>
        <w:t>2.8 Species Confirmation</w:t>
      </w:r>
    </w:p>
    <w:p w14:paraId="29BF9861" w14:textId="431B7F43" w:rsidR="00CA4C62" w:rsidRPr="00CA4C62" w:rsidRDefault="00CA4C62" w:rsidP="00CA4C62">
      <w:pPr>
        <w:tabs>
          <w:tab w:val="left" w:pos="450"/>
        </w:tabs>
        <w:spacing w:before="240" w:after="240" w:line="360" w:lineRule="auto"/>
        <w:jc w:val="both"/>
        <w:rPr>
          <w:sz w:val="24"/>
        </w:rPr>
      </w:pPr>
      <w:r>
        <w:rPr>
          <w:sz w:val="24"/>
        </w:rPr>
        <w:tab/>
      </w:r>
      <w:r>
        <w:rPr>
          <w:sz w:val="24"/>
        </w:rPr>
        <w:tab/>
      </w:r>
      <w:r w:rsidRPr="00CA4C62">
        <w:rPr>
          <w:sz w:val="24"/>
        </w:rPr>
        <w:t>Final species identification was confirmed based on concordance among COI sequence length and quality, BLAST similarity results, and phylogenetic clustering with authenticated reference sequences. This integrative molecular approach ensured accurate identification of the F1-Cow specimen for forensic interpretation.</w:t>
      </w:r>
    </w:p>
    <w:p w14:paraId="32B2364A" w14:textId="77777777" w:rsidR="00CA4C62" w:rsidRDefault="00CA4C62" w:rsidP="00C36EF9">
      <w:pPr>
        <w:tabs>
          <w:tab w:val="left" w:pos="450"/>
        </w:tabs>
        <w:spacing w:before="240" w:after="240" w:line="360" w:lineRule="auto"/>
        <w:jc w:val="both"/>
        <w:rPr>
          <w:sz w:val="24"/>
        </w:rPr>
      </w:pPr>
    </w:p>
    <w:p w14:paraId="14547B61" w14:textId="77777777" w:rsidR="00CA4C62" w:rsidRDefault="00CA4C62" w:rsidP="00C36EF9">
      <w:pPr>
        <w:tabs>
          <w:tab w:val="left" w:pos="450"/>
        </w:tabs>
        <w:spacing w:before="240" w:after="240" w:line="360" w:lineRule="auto"/>
        <w:jc w:val="both"/>
        <w:rPr>
          <w:sz w:val="24"/>
        </w:rPr>
      </w:pPr>
    </w:p>
    <w:p w14:paraId="1C6E56BF" w14:textId="77777777" w:rsidR="00CA4C62" w:rsidRDefault="00CA4C62" w:rsidP="00C36EF9">
      <w:pPr>
        <w:tabs>
          <w:tab w:val="left" w:pos="450"/>
        </w:tabs>
        <w:spacing w:before="240" w:after="240" w:line="360" w:lineRule="auto"/>
        <w:jc w:val="both"/>
        <w:rPr>
          <w:sz w:val="24"/>
        </w:rPr>
      </w:pPr>
    </w:p>
    <w:p w14:paraId="2A731ED0" w14:textId="77777777" w:rsidR="00CA4C62" w:rsidRPr="00C36EF9" w:rsidRDefault="00CA4C62" w:rsidP="00C36EF9">
      <w:pPr>
        <w:tabs>
          <w:tab w:val="left" w:pos="450"/>
        </w:tabs>
        <w:spacing w:before="240" w:after="240" w:line="360" w:lineRule="auto"/>
        <w:jc w:val="both"/>
        <w:rPr>
          <w:sz w:val="24"/>
        </w:rPr>
      </w:pPr>
    </w:p>
    <w:p w14:paraId="5A3D1292" w14:textId="4DA0FE97" w:rsidR="003D3CBA" w:rsidRPr="003D3CBA" w:rsidRDefault="00E35C9E" w:rsidP="00CA4C62">
      <w:pPr>
        <w:pStyle w:val="ListParagraph"/>
        <w:tabs>
          <w:tab w:val="left" w:pos="450"/>
        </w:tabs>
        <w:spacing w:before="240" w:after="240" w:line="360" w:lineRule="auto"/>
        <w:ind w:leftChars="40" w:left="88" w:firstLine="0"/>
        <w:jc w:val="both"/>
        <w:rPr>
          <w:b/>
          <w:bCs/>
          <w:sz w:val="24"/>
        </w:rPr>
      </w:pPr>
      <w:r>
        <w:rPr>
          <w:b/>
          <w:bCs/>
          <w:sz w:val="24"/>
        </w:rPr>
        <w:t xml:space="preserve">3. </w:t>
      </w:r>
      <w:r w:rsidR="003D3CBA" w:rsidRPr="003D3CBA">
        <w:rPr>
          <w:b/>
          <w:bCs/>
          <w:sz w:val="24"/>
        </w:rPr>
        <w:t>RESULTS AND DISCUSSION</w:t>
      </w:r>
    </w:p>
    <w:p w14:paraId="73FE512A" w14:textId="3DCABBDF" w:rsidR="003D3CBA" w:rsidRPr="003D3CBA" w:rsidRDefault="00E35C9E" w:rsidP="00CA4C62">
      <w:pPr>
        <w:pStyle w:val="ListParagraph"/>
        <w:tabs>
          <w:tab w:val="left" w:pos="450"/>
        </w:tabs>
        <w:spacing w:after="240" w:line="360" w:lineRule="auto"/>
        <w:ind w:leftChars="40" w:left="88" w:firstLine="0"/>
        <w:jc w:val="both"/>
        <w:rPr>
          <w:b/>
          <w:bCs/>
          <w:sz w:val="24"/>
        </w:rPr>
      </w:pPr>
      <w:r>
        <w:rPr>
          <w:b/>
          <w:bCs/>
          <w:sz w:val="24"/>
        </w:rPr>
        <w:t xml:space="preserve">3.1 </w:t>
      </w:r>
      <w:r w:rsidR="003D3CBA" w:rsidRPr="003D3CBA">
        <w:rPr>
          <w:b/>
          <w:bCs/>
          <w:sz w:val="24"/>
        </w:rPr>
        <w:t>DNA Quantification</w:t>
      </w:r>
    </w:p>
    <w:p w14:paraId="3314E089" w14:textId="3D18E06E" w:rsidR="00E476FC" w:rsidRPr="00935C97" w:rsidRDefault="00E476FC" w:rsidP="00CA4C62">
      <w:pPr>
        <w:pStyle w:val="ListParagraph"/>
        <w:tabs>
          <w:tab w:val="left" w:pos="450"/>
        </w:tabs>
        <w:spacing w:after="240" w:line="360" w:lineRule="auto"/>
        <w:ind w:leftChars="7" w:left="15" w:firstLine="0"/>
        <w:jc w:val="both"/>
        <w:rPr>
          <w:sz w:val="24"/>
          <w:szCs w:val="24"/>
        </w:rPr>
      </w:pPr>
      <w:r>
        <w:lastRenderedPageBreak/>
        <w:tab/>
      </w:r>
      <w:r>
        <w:tab/>
      </w:r>
      <w:r w:rsidRPr="00935C97">
        <w:rPr>
          <w:sz w:val="24"/>
          <w:szCs w:val="24"/>
        </w:rPr>
        <w:t>The genomic DNA extracted from the F1-Cow sample yielded a concentration of 124 ng/µl (Table 1). This DNA yield is well within the optimal range required for downstream molecular applications, including high-fidelity PCR amplification and Sanger sequencing. The concentration obtained indicates that the DNA extraction protocol was efficient and successfully minimized degradation as well as the presence of inhibitory contaminants.</w:t>
      </w:r>
    </w:p>
    <w:p w14:paraId="42F6BEF3" w14:textId="41E1131B" w:rsidR="00E476FC" w:rsidRPr="00E476FC" w:rsidRDefault="00E476FC" w:rsidP="00CA4C62">
      <w:pPr>
        <w:pStyle w:val="ListParagraph"/>
        <w:tabs>
          <w:tab w:val="left" w:pos="450"/>
        </w:tabs>
        <w:spacing w:after="240" w:line="360" w:lineRule="auto"/>
        <w:ind w:leftChars="7" w:left="15" w:firstLine="0"/>
        <w:jc w:val="both"/>
        <w:rPr>
          <w:sz w:val="24"/>
        </w:rPr>
      </w:pPr>
      <w:r w:rsidRPr="006E5A49">
        <w:rPr>
          <w:sz w:val="24"/>
        </w:rPr>
        <w:tab/>
      </w:r>
      <w:r w:rsidRPr="006E5A49">
        <w:rPr>
          <w:sz w:val="24"/>
        </w:rPr>
        <w:tab/>
      </w:r>
      <w:r w:rsidRPr="00E476FC">
        <w:rPr>
          <w:sz w:val="24"/>
        </w:rPr>
        <w:t>High-quality DNA is a prerequisite for accurate molecular identification in forensic entomology, particularly for amplification of the mitochondrial cytochrome oxidase I (COI) gene (Sperling, Anderson, &amp; Hickey, 1994). The DNA concentration obtained for the F1-Cow sample confirms its suitability for reliable COI amplification and subsequent sequencing. Overall, the quantification results demonstrate that the extracted DNA was of sufficient quality and quantity to support standard forensic molecular identification workflows.</w:t>
      </w:r>
    </w:p>
    <w:p w14:paraId="60DABD8E" w14:textId="3A8B10FC" w:rsidR="003D3CBA" w:rsidRPr="003D3CBA" w:rsidRDefault="00E35C9E" w:rsidP="00CA4C62">
      <w:pPr>
        <w:pStyle w:val="ListParagraph"/>
        <w:tabs>
          <w:tab w:val="left" w:pos="450"/>
        </w:tabs>
        <w:spacing w:after="240" w:line="360" w:lineRule="auto"/>
        <w:ind w:leftChars="40" w:left="88" w:firstLine="0"/>
        <w:jc w:val="both"/>
        <w:rPr>
          <w:b/>
          <w:bCs/>
          <w:sz w:val="24"/>
        </w:rPr>
      </w:pPr>
      <w:r>
        <w:rPr>
          <w:b/>
          <w:bCs/>
          <w:sz w:val="24"/>
        </w:rPr>
        <w:t xml:space="preserve">3.2 </w:t>
      </w:r>
      <w:r w:rsidR="00E476FC" w:rsidRPr="00E476FC">
        <w:rPr>
          <w:b/>
          <w:bCs/>
          <w:sz w:val="24"/>
        </w:rPr>
        <w:t>PCR Reaction Components and Primer Details (F1-Cow)</w:t>
      </w:r>
    </w:p>
    <w:p w14:paraId="5FBDEB17" w14:textId="77777777" w:rsidR="00E476FC" w:rsidRPr="00910D06" w:rsidRDefault="00E476FC" w:rsidP="00CA4C62">
      <w:pPr>
        <w:tabs>
          <w:tab w:val="left" w:pos="450"/>
        </w:tabs>
        <w:spacing w:after="240" w:line="360" w:lineRule="auto"/>
        <w:jc w:val="both"/>
      </w:pPr>
      <w:r>
        <w:tab/>
      </w:r>
      <w:r>
        <w:tab/>
      </w:r>
      <w:r w:rsidRPr="006662E9">
        <w:rPr>
          <w:sz w:val="24"/>
          <w:szCs w:val="24"/>
        </w:rPr>
        <w:t>PCR amplification of the mitochondrial cytochrome oxidase I (COI) gene for the F1-Cow sample was carried out using a standardized reaction mixture with a total volume of 50 µL (Table 2). The reaction contained 1 µL of genomic DNA as the template, along with appropriate concentrations of forward and reverse primers, dNTPs, Taq DNA polymerase, assay buffer, and nuclease-free water. The balanced composition of the PCR mix ensured optimal enzyme activity and efficient amplification of the target COI region without nonspecific products.</w:t>
      </w:r>
    </w:p>
    <w:p w14:paraId="17BB38C0" w14:textId="16AD2342" w:rsidR="00E476FC" w:rsidRPr="00910D06" w:rsidRDefault="00E476FC" w:rsidP="00CA4C62">
      <w:pPr>
        <w:tabs>
          <w:tab w:val="left" w:pos="450"/>
        </w:tabs>
        <w:spacing w:after="240" w:line="360" w:lineRule="auto"/>
        <w:jc w:val="both"/>
      </w:pPr>
      <w:r w:rsidRPr="00910D06">
        <w:tab/>
      </w:r>
      <w:r w:rsidRPr="00910D06">
        <w:tab/>
      </w:r>
      <w:r w:rsidRPr="00910D06">
        <w:rPr>
          <w:sz w:val="24"/>
        </w:rPr>
        <w:t>The primer used for COI amplification (mtCOI-3′) exhibited suitable melting temperature (Tm = 59 °C) and GC content (32%) (Table 3), which are within the optimal range for stable primer binding and specific amplification. These primer characteristics contributed to the successful and reproducible amplification of the COI gene in the F1-Cow sample. Overall, the PCR reaction setup and primer properties supported efficient amplification, facilitating reliable downstream sequencing and molecular identification.</w:t>
      </w:r>
    </w:p>
    <w:p w14:paraId="33083958" w14:textId="7FB7A9B5" w:rsidR="003D3CBA" w:rsidRPr="003D3CBA" w:rsidRDefault="00E35C9E" w:rsidP="00CA4C62">
      <w:pPr>
        <w:pStyle w:val="ListParagraph"/>
        <w:tabs>
          <w:tab w:val="left" w:pos="450"/>
        </w:tabs>
        <w:spacing w:after="240" w:line="360" w:lineRule="auto"/>
        <w:ind w:leftChars="40" w:left="88" w:firstLine="0"/>
        <w:jc w:val="both"/>
        <w:rPr>
          <w:b/>
          <w:bCs/>
          <w:sz w:val="24"/>
        </w:rPr>
      </w:pPr>
      <w:r>
        <w:rPr>
          <w:b/>
          <w:bCs/>
          <w:sz w:val="24"/>
        </w:rPr>
        <w:t xml:space="preserve">3.3 </w:t>
      </w:r>
      <w:r w:rsidR="003D3CBA" w:rsidRPr="003D3CBA">
        <w:rPr>
          <w:b/>
          <w:bCs/>
          <w:sz w:val="24"/>
        </w:rPr>
        <w:t>Sequence Alignment and Species Identification</w:t>
      </w:r>
    </w:p>
    <w:p w14:paraId="2678786C" w14:textId="77777777" w:rsidR="006972B2" w:rsidRDefault="003D3CBA" w:rsidP="00CA4C62">
      <w:pPr>
        <w:pStyle w:val="ListParagraph"/>
        <w:tabs>
          <w:tab w:val="left" w:pos="450"/>
        </w:tabs>
        <w:spacing w:after="240" w:line="360" w:lineRule="auto"/>
        <w:ind w:leftChars="40" w:left="88" w:firstLine="0"/>
        <w:jc w:val="both"/>
        <w:rPr>
          <w:b/>
          <w:bCs/>
          <w:sz w:val="24"/>
        </w:rPr>
      </w:pPr>
      <w:r w:rsidRPr="003D3CBA">
        <w:rPr>
          <w:b/>
          <w:bCs/>
          <w:sz w:val="24"/>
        </w:rPr>
        <w:t>Sample F1-Cow</w:t>
      </w:r>
    </w:p>
    <w:p w14:paraId="1A993824" w14:textId="2D1E6FD4" w:rsidR="00A21000" w:rsidRPr="00655131" w:rsidRDefault="00A21000" w:rsidP="00CA4C62">
      <w:pPr>
        <w:pStyle w:val="ListParagraph"/>
        <w:tabs>
          <w:tab w:val="left" w:pos="450"/>
        </w:tabs>
        <w:spacing w:after="240" w:line="360" w:lineRule="auto"/>
        <w:ind w:leftChars="7" w:left="15" w:firstLine="0"/>
        <w:jc w:val="both"/>
      </w:pPr>
      <w:r>
        <w:rPr>
          <w:sz w:val="24"/>
        </w:rPr>
        <w:lastRenderedPageBreak/>
        <w:tab/>
      </w:r>
      <w:r>
        <w:rPr>
          <w:sz w:val="24"/>
        </w:rPr>
        <w:tab/>
      </w:r>
      <w:r w:rsidRPr="00655131">
        <w:t>The mitochondrial cytochrome oxidase I (COI) gene sequence obtained from Sample F1-Cow was successfully aligned and analyzed for species identification. The high-quality aligned sequence, consisting of 656 bp, showed clear and unambiguous nucleotide positions, indicating effective amplification and sequencing of the target mitochondrial region.</w:t>
      </w:r>
    </w:p>
    <w:p w14:paraId="030B8D1B" w14:textId="1A6C824B" w:rsidR="00A21000" w:rsidRPr="00655131" w:rsidRDefault="00A21000" w:rsidP="00CA4C62">
      <w:pPr>
        <w:tabs>
          <w:tab w:val="left" w:pos="450"/>
        </w:tabs>
        <w:spacing w:after="240" w:line="360" w:lineRule="auto"/>
        <w:jc w:val="both"/>
        <w:rPr>
          <w:sz w:val="24"/>
        </w:rPr>
      </w:pPr>
      <w:r w:rsidRPr="00655131">
        <w:rPr>
          <w:sz w:val="24"/>
        </w:rPr>
        <w:tab/>
      </w:r>
      <w:r w:rsidRPr="00655131">
        <w:rPr>
          <w:sz w:val="24"/>
        </w:rPr>
        <w:tab/>
        <w:t xml:space="preserve">BLAST analysis of the aligned COI sequence revealed a 99.09% sequence similarity with reference sequences of </w:t>
      </w:r>
      <w:proofErr w:type="spellStart"/>
      <w:r w:rsidRPr="00655131">
        <w:rPr>
          <w:i/>
          <w:iCs/>
          <w:sz w:val="24"/>
        </w:rPr>
        <w:t>Chrysomya</w:t>
      </w:r>
      <w:proofErr w:type="spellEnd"/>
      <w:r w:rsidRPr="00655131">
        <w:rPr>
          <w:i/>
          <w:iCs/>
          <w:sz w:val="24"/>
        </w:rPr>
        <w:t xml:space="preserve"> </w:t>
      </w:r>
      <w:proofErr w:type="spellStart"/>
      <w:r w:rsidRPr="00655131">
        <w:rPr>
          <w:i/>
          <w:iCs/>
          <w:sz w:val="24"/>
        </w:rPr>
        <w:t>megacephala</w:t>
      </w:r>
      <w:proofErr w:type="spellEnd"/>
      <w:r w:rsidRPr="00655131">
        <w:rPr>
          <w:sz w:val="24"/>
        </w:rPr>
        <w:t xml:space="preserve"> available in the GenBank database (Accession No. LC684826.1), confirming the species identity of the F1-Cow sample. The high percentage similarity reflects minimal nucleotide divergence from the reference sequence and supports accurate species-level identification.</w:t>
      </w:r>
    </w:p>
    <w:p w14:paraId="6D30F7FB" w14:textId="5E5576F3" w:rsidR="00A21000" w:rsidRPr="00655131" w:rsidRDefault="00A21000" w:rsidP="00CA4C62">
      <w:pPr>
        <w:pStyle w:val="ListParagraph"/>
        <w:tabs>
          <w:tab w:val="left" w:pos="450"/>
        </w:tabs>
        <w:spacing w:after="240" w:line="360" w:lineRule="auto"/>
        <w:ind w:leftChars="7" w:left="15" w:firstLine="0"/>
        <w:jc w:val="both"/>
        <w:rPr>
          <w:sz w:val="24"/>
        </w:rPr>
      </w:pPr>
      <w:r w:rsidRPr="00655131">
        <w:rPr>
          <w:sz w:val="24"/>
        </w:rPr>
        <w:tab/>
      </w:r>
      <w:r w:rsidRPr="00655131">
        <w:rPr>
          <w:sz w:val="24"/>
        </w:rPr>
        <w:tab/>
      </w:r>
      <w:r w:rsidRPr="00A21000">
        <w:rPr>
          <w:sz w:val="24"/>
        </w:rPr>
        <w:t>The aligned COI nucleotide sequence of Sample F1-Cow is presented below, representing a high-quality barcode suitable for comparative molecular analysis and forensic identification:</w:t>
      </w:r>
    </w:p>
    <w:p w14:paraId="43858FCE" w14:textId="77777777" w:rsidR="00E50E5D" w:rsidRPr="000D4E5D" w:rsidRDefault="00E50E5D" w:rsidP="00CA4C62">
      <w:pPr>
        <w:tabs>
          <w:tab w:val="left" w:pos="0"/>
        </w:tabs>
        <w:spacing w:after="240" w:line="360" w:lineRule="auto"/>
        <w:ind w:right="60"/>
        <w:jc w:val="both"/>
        <w:rPr>
          <w:sz w:val="24"/>
          <w:szCs w:val="40"/>
        </w:rPr>
      </w:pPr>
      <w:r w:rsidRPr="000D4E5D">
        <w:rPr>
          <w:sz w:val="24"/>
          <w:szCs w:val="40"/>
        </w:rPr>
        <w:t>TACTTTATATTTCATTTTCGGAGCTTGATCCGGAATAGTAGGAACTTCATTAAGTATTTTAATTCGAGCTGAATTAGGACACCCTGGAGCATTAATTGGAGACGACCAAATTTATAATGTAATTGTAACAGCTCACGCTTTTATTATAATTTTCTTTATAGTAATGCCAATTATAATTGGAGGATTTGGAAATTGACTAGTTCCTTTAATGTTAAGCTCCAGATATAGCTTTCCCACGAATAAATAATATAAGTTTCTGACTTTTACCTCCTGCATTAACTTTATTATTAGTAAGTAGTATAGTAGAAAATGGGGCTGGAACAGGATGAACTGTTTACCCACCTTTATCTTCTAATATTGCTCATGGAGGAGCATCAGTTGATTTAGCTATACTCTTTACACTTAGCAGGAATTTCTTCAATTTTAGGAGCTGTAAATTTTATTACAACTGTAATTAATATACGATCTACAGGAATTACATTTGATCGAATACCTTTATTTGTATGATCTGTAGTTATTACTGCTCTATTATTATTATTATCTTTACCAGTATTAGCTGGAGCTATTACTATAATTATTAACTGACCGAAATCTAAATACTTCATTCTTTGATCCAGCACGAGGAGGAGATCCTATTTTATACCAACATTTATTT</w:t>
      </w:r>
    </w:p>
    <w:p w14:paraId="55194A19" w14:textId="138B5E12" w:rsidR="006B59FA" w:rsidRDefault="00334145" w:rsidP="00CA4C62">
      <w:pPr>
        <w:pStyle w:val="ListParagraph"/>
        <w:tabs>
          <w:tab w:val="left" w:pos="450"/>
        </w:tabs>
        <w:spacing w:after="240" w:line="360" w:lineRule="auto"/>
        <w:ind w:leftChars="40" w:left="88" w:firstLine="0"/>
        <w:jc w:val="center"/>
        <w:rPr>
          <w:b/>
          <w:bCs/>
          <w:sz w:val="24"/>
        </w:rPr>
      </w:pPr>
      <w:r>
        <w:rPr>
          <w:b/>
          <w:bCs/>
          <w:sz w:val="24"/>
        </w:rPr>
        <w:t xml:space="preserve">Fig 1. </w:t>
      </w:r>
      <w:r w:rsidRPr="003D3CBA">
        <w:rPr>
          <w:b/>
          <w:bCs/>
          <w:sz w:val="24"/>
        </w:rPr>
        <w:t xml:space="preserve">Sequence Alignment </w:t>
      </w:r>
      <w:r w:rsidR="006B59FA" w:rsidRPr="003D3CBA">
        <w:rPr>
          <w:b/>
          <w:bCs/>
          <w:sz w:val="24"/>
        </w:rPr>
        <w:t>Sample F1-</w:t>
      </w:r>
      <w:r w:rsidR="005F1B4F">
        <w:rPr>
          <w:b/>
          <w:bCs/>
          <w:sz w:val="24"/>
        </w:rPr>
        <w:t>Cow</w:t>
      </w:r>
    </w:p>
    <w:p w14:paraId="552CF3BD" w14:textId="77777777" w:rsidR="00354139" w:rsidRPr="003D3CBA" w:rsidRDefault="00354139" w:rsidP="00CA4C62">
      <w:pPr>
        <w:pStyle w:val="ListParagraph"/>
        <w:tabs>
          <w:tab w:val="left" w:pos="450"/>
        </w:tabs>
        <w:spacing w:after="240" w:line="360" w:lineRule="auto"/>
        <w:ind w:leftChars="40" w:left="88" w:firstLine="0"/>
        <w:jc w:val="center"/>
        <w:rPr>
          <w:b/>
          <w:bCs/>
          <w:sz w:val="24"/>
        </w:rPr>
      </w:pPr>
    </w:p>
    <w:p w14:paraId="157AA6A2" w14:textId="060BE2E3" w:rsidR="003D3CBA" w:rsidRPr="003D3CBA" w:rsidRDefault="00AD5084" w:rsidP="00CA4C62">
      <w:pPr>
        <w:pStyle w:val="ListParagraph"/>
        <w:tabs>
          <w:tab w:val="left" w:pos="450"/>
        </w:tabs>
        <w:spacing w:after="240" w:line="360" w:lineRule="auto"/>
        <w:ind w:leftChars="40" w:left="88" w:firstLine="0"/>
        <w:jc w:val="both"/>
        <w:rPr>
          <w:b/>
          <w:bCs/>
          <w:sz w:val="24"/>
        </w:rPr>
      </w:pPr>
      <w:r>
        <w:rPr>
          <w:b/>
          <w:bCs/>
          <w:sz w:val="24"/>
        </w:rPr>
        <w:t xml:space="preserve">3.4 </w:t>
      </w:r>
      <w:r w:rsidR="003D3CBA" w:rsidRPr="003D3CBA">
        <w:rPr>
          <w:b/>
          <w:bCs/>
          <w:sz w:val="24"/>
        </w:rPr>
        <w:t>Phylogenetic Analysis</w:t>
      </w:r>
    </w:p>
    <w:p w14:paraId="6A58F5B5" w14:textId="4E272F1F" w:rsidR="008324C6" w:rsidRPr="008324C6" w:rsidRDefault="008324C6" w:rsidP="00CA4C62">
      <w:pPr>
        <w:tabs>
          <w:tab w:val="left" w:pos="450"/>
        </w:tabs>
        <w:spacing w:after="240" w:line="360" w:lineRule="auto"/>
        <w:jc w:val="both"/>
      </w:pPr>
      <w:r>
        <w:tab/>
      </w:r>
      <w:r w:rsidRPr="006662E9">
        <w:rPr>
          <w:sz w:val="24"/>
          <w:szCs w:val="24"/>
        </w:rPr>
        <w:tab/>
        <w:t xml:space="preserve">Phylogenetic analysis of the mitochondrial COI sequences was performed </w:t>
      </w:r>
      <w:r w:rsidRPr="006662E9">
        <w:rPr>
          <w:sz w:val="24"/>
          <w:szCs w:val="24"/>
        </w:rPr>
        <w:lastRenderedPageBreak/>
        <w:t xml:space="preserve">using the Neighbor-Joining method based on the Jukes–Cantor corrected distance model. The resulting phylogenetic tree clearly grouped the F1-Cow sequence within a well-supported clade of authenticated </w:t>
      </w:r>
      <w:proofErr w:type="spellStart"/>
      <w:r w:rsidRPr="006662E9">
        <w:rPr>
          <w:i/>
          <w:iCs/>
          <w:sz w:val="24"/>
          <w:szCs w:val="24"/>
        </w:rPr>
        <w:t>Chrysomya</w:t>
      </w:r>
      <w:proofErr w:type="spellEnd"/>
      <w:r w:rsidRPr="006662E9">
        <w:rPr>
          <w:i/>
          <w:iCs/>
          <w:sz w:val="24"/>
          <w:szCs w:val="24"/>
        </w:rPr>
        <w:t xml:space="preserve"> </w:t>
      </w:r>
      <w:proofErr w:type="spellStart"/>
      <w:r w:rsidRPr="006662E9">
        <w:rPr>
          <w:i/>
          <w:iCs/>
          <w:sz w:val="24"/>
          <w:szCs w:val="24"/>
        </w:rPr>
        <w:t>megacephala</w:t>
      </w:r>
      <w:proofErr w:type="spellEnd"/>
      <w:r w:rsidRPr="006662E9">
        <w:rPr>
          <w:sz w:val="24"/>
          <w:szCs w:val="24"/>
        </w:rPr>
        <w:t xml:space="preserve"> reference sequences retrieved from the NCBI GenBank database (Fig. </w:t>
      </w:r>
      <w:r w:rsidR="00655131" w:rsidRPr="006662E9">
        <w:rPr>
          <w:sz w:val="24"/>
          <w:szCs w:val="24"/>
        </w:rPr>
        <w:t>2</w:t>
      </w:r>
      <w:r w:rsidRPr="006662E9">
        <w:rPr>
          <w:sz w:val="24"/>
          <w:szCs w:val="24"/>
        </w:rPr>
        <w:t>).</w:t>
      </w:r>
    </w:p>
    <w:p w14:paraId="71D6FF50" w14:textId="2BA2719F" w:rsidR="008324C6" w:rsidRPr="008324C6" w:rsidRDefault="008324C6" w:rsidP="00CA4C62">
      <w:pPr>
        <w:pStyle w:val="ListParagraph"/>
        <w:tabs>
          <w:tab w:val="left" w:pos="450"/>
        </w:tabs>
        <w:spacing w:after="240" w:line="360" w:lineRule="auto"/>
        <w:ind w:leftChars="7" w:left="15" w:firstLine="0"/>
        <w:jc w:val="both"/>
        <w:rPr>
          <w:sz w:val="24"/>
        </w:rPr>
      </w:pPr>
      <w:r>
        <w:rPr>
          <w:sz w:val="24"/>
        </w:rPr>
        <w:tab/>
      </w:r>
      <w:r>
        <w:rPr>
          <w:sz w:val="24"/>
        </w:rPr>
        <w:tab/>
      </w:r>
      <w:r w:rsidRPr="008324C6">
        <w:rPr>
          <w:sz w:val="24"/>
        </w:rPr>
        <w:t xml:space="preserve">The F1-Cow sequence clustered closely with multiple </w:t>
      </w:r>
      <w:r w:rsidRPr="008324C6">
        <w:rPr>
          <w:i/>
          <w:iCs/>
          <w:sz w:val="24"/>
        </w:rPr>
        <w:t>C. megacephala</w:t>
      </w:r>
      <w:r w:rsidRPr="008324C6">
        <w:rPr>
          <w:sz w:val="24"/>
        </w:rPr>
        <w:t xml:space="preserve"> isolates and voucher sequences, including LC684826.1 and other globally reported accessions, indicating </w:t>
      </w:r>
      <w:r w:rsidRPr="008324C6">
        <w:rPr>
          <w:b/>
          <w:bCs/>
          <w:sz w:val="24"/>
        </w:rPr>
        <w:t>low evolutionary divergence</w:t>
      </w:r>
      <w:r w:rsidRPr="008324C6">
        <w:rPr>
          <w:sz w:val="24"/>
        </w:rPr>
        <w:t xml:space="preserve"> characteristic of conspecific COI barcoding data. The corresponding nodes showed </w:t>
      </w:r>
      <w:r w:rsidRPr="008324C6">
        <w:rPr>
          <w:b/>
          <w:bCs/>
          <w:sz w:val="24"/>
        </w:rPr>
        <w:t>strong bootstrap support</w:t>
      </w:r>
      <w:r w:rsidRPr="008324C6">
        <w:rPr>
          <w:sz w:val="24"/>
        </w:rPr>
        <w:t>, confirming the robustness and reliability of the phylogenetic placement.</w:t>
      </w:r>
    </w:p>
    <w:p w14:paraId="600D82BE" w14:textId="67AF5388" w:rsidR="008324C6" w:rsidRPr="008324C6" w:rsidRDefault="008324C6" w:rsidP="00CA4C62">
      <w:pPr>
        <w:pStyle w:val="ListParagraph"/>
        <w:tabs>
          <w:tab w:val="left" w:pos="450"/>
        </w:tabs>
        <w:spacing w:after="240" w:line="360" w:lineRule="auto"/>
        <w:ind w:leftChars="7" w:left="15" w:firstLine="0"/>
        <w:jc w:val="both"/>
        <w:rPr>
          <w:sz w:val="24"/>
        </w:rPr>
      </w:pPr>
      <w:r>
        <w:rPr>
          <w:sz w:val="24"/>
        </w:rPr>
        <w:tab/>
      </w:r>
      <w:r>
        <w:rPr>
          <w:sz w:val="24"/>
        </w:rPr>
        <w:tab/>
      </w:r>
      <w:r w:rsidRPr="008324C6">
        <w:rPr>
          <w:sz w:val="24"/>
        </w:rPr>
        <w:t xml:space="preserve">No anomalous branching or distant clustering was observed, suggesting that the amplified COI sequence was free from contamination and accurately represented the target species. The phylogenetic consistency between the F1-Cow sample and reference sequences further validates the BLAST-based identification and confirms the specimen as </w:t>
      </w:r>
      <w:proofErr w:type="spellStart"/>
      <w:r w:rsidRPr="008324C6">
        <w:rPr>
          <w:i/>
          <w:iCs/>
          <w:sz w:val="24"/>
        </w:rPr>
        <w:t>Chrysomya</w:t>
      </w:r>
      <w:proofErr w:type="spellEnd"/>
      <w:r w:rsidRPr="008324C6">
        <w:rPr>
          <w:i/>
          <w:iCs/>
          <w:sz w:val="24"/>
        </w:rPr>
        <w:t xml:space="preserve"> </w:t>
      </w:r>
      <w:proofErr w:type="spellStart"/>
      <w:r w:rsidRPr="008324C6">
        <w:rPr>
          <w:i/>
          <w:iCs/>
          <w:sz w:val="24"/>
        </w:rPr>
        <w:t>megacephala</w:t>
      </w:r>
      <w:proofErr w:type="spellEnd"/>
      <w:r w:rsidRPr="008324C6">
        <w:rPr>
          <w:sz w:val="24"/>
        </w:rPr>
        <w:t>. These results demonstrate the effectiveness of COI-based phylogenetic analysis for accurate molecular identification of cadaver-associated insects in forensic investigations.</w:t>
      </w:r>
    </w:p>
    <w:p w14:paraId="744ED1EA" w14:textId="6574B8D7" w:rsidR="005F1B4F" w:rsidRDefault="00334145" w:rsidP="00CA4C62">
      <w:pPr>
        <w:pStyle w:val="ListParagraph"/>
        <w:tabs>
          <w:tab w:val="left" w:pos="450"/>
        </w:tabs>
        <w:spacing w:after="240" w:line="360" w:lineRule="auto"/>
        <w:ind w:leftChars="40" w:left="88" w:firstLine="0"/>
        <w:jc w:val="center"/>
        <w:rPr>
          <w:b/>
          <w:bCs/>
          <w:sz w:val="24"/>
        </w:rPr>
      </w:pPr>
      <w:r>
        <w:rPr>
          <w:b/>
          <w:bCs/>
          <w:sz w:val="24"/>
        </w:rPr>
        <w:lastRenderedPageBreak/>
        <w:t xml:space="preserve">Fig </w:t>
      </w:r>
      <w:r w:rsidR="00655131">
        <w:rPr>
          <w:b/>
          <w:bCs/>
          <w:sz w:val="24"/>
        </w:rPr>
        <w:t>2</w:t>
      </w:r>
      <w:r>
        <w:rPr>
          <w:b/>
          <w:bCs/>
          <w:sz w:val="24"/>
        </w:rPr>
        <w:t xml:space="preserve">. </w:t>
      </w:r>
      <w:r w:rsidR="005F1B4F" w:rsidRPr="0037451A">
        <w:rPr>
          <w:b/>
          <w:noProof/>
          <w:sz w:val="20"/>
          <w:lang w:bidi="hi-IN"/>
        </w:rPr>
        <w:drawing>
          <wp:anchor distT="0" distB="0" distL="0" distR="0" simplePos="0" relativeHeight="251657728" behindDoc="1" locked="0" layoutInCell="1" allowOverlap="1" wp14:anchorId="0ED7E21E" wp14:editId="1748FF0D">
            <wp:simplePos x="0" y="0"/>
            <wp:positionH relativeFrom="page">
              <wp:posOffset>1703070</wp:posOffset>
            </wp:positionH>
            <wp:positionV relativeFrom="paragraph">
              <wp:posOffset>241935</wp:posOffset>
            </wp:positionV>
            <wp:extent cx="4316730" cy="3640455"/>
            <wp:effectExtent l="76200" t="76200" r="121920" b="112395"/>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316730" cy="3640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F1B4F" w:rsidRPr="0037451A">
        <w:rPr>
          <w:b/>
          <w:spacing w:val="-7"/>
        </w:rPr>
        <w:t>Phylogenetic</w:t>
      </w:r>
      <w:r w:rsidR="005F1B4F">
        <w:rPr>
          <w:b/>
          <w:spacing w:val="-7"/>
        </w:rPr>
        <w:t xml:space="preserve"> </w:t>
      </w:r>
      <w:r w:rsidR="005F1B4F" w:rsidRPr="0037451A">
        <w:rPr>
          <w:b/>
          <w:spacing w:val="-4"/>
        </w:rPr>
        <w:t>Tree</w:t>
      </w:r>
      <w:r w:rsidR="005F1B4F">
        <w:rPr>
          <w:b/>
          <w:spacing w:val="-4"/>
        </w:rPr>
        <w:t xml:space="preserve">- </w:t>
      </w:r>
      <w:r w:rsidR="005F1B4F" w:rsidRPr="003D3CBA">
        <w:rPr>
          <w:b/>
          <w:bCs/>
          <w:sz w:val="24"/>
        </w:rPr>
        <w:t>Sample F1-</w:t>
      </w:r>
      <w:r w:rsidR="005F1B4F">
        <w:rPr>
          <w:b/>
          <w:bCs/>
          <w:sz w:val="24"/>
        </w:rPr>
        <w:t>Cow</w:t>
      </w:r>
    </w:p>
    <w:p w14:paraId="5082DDB3" w14:textId="08C7345F" w:rsidR="003D3CBA" w:rsidRDefault="00534036" w:rsidP="00CA4C62">
      <w:pPr>
        <w:pStyle w:val="ListParagraph"/>
        <w:tabs>
          <w:tab w:val="left" w:pos="450"/>
        </w:tabs>
        <w:spacing w:after="240" w:line="360" w:lineRule="auto"/>
        <w:ind w:leftChars="40" w:left="88" w:firstLine="0"/>
        <w:jc w:val="both"/>
        <w:rPr>
          <w:b/>
          <w:bCs/>
          <w:sz w:val="24"/>
        </w:rPr>
      </w:pPr>
      <w:r>
        <w:rPr>
          <w:b/>
          <w:bCs/>
          <w:sz w:val="24"/>
        </w:rPr>
        <w:t xml:space="preserve">3.5 </w:t>
      </w:r>
      <w:r w:rsidR="003D3CBA" w:rsidRPr="003D3CBA">
        <w:rPr>
          <w:b/>
          <w:bCs/>
          <w:sz w:val="24"/>
        </w:rPr>
        <w:t>BLAST Analysis</w:t>
      </w:r>
    </w:p>
    <w:p w14:paraId="11271EC8" w14:textId="558CCB1F" w:rsidR="002064B2" w:rsidRPr="002064B2" w:rsidRDefault="002064B2" w:rsidP="00CA4C62">
      <w:pPr>
        <w:pStyle w:val="ListParagraph"/>
        <w:tabs>
          <w:tab w:val="left" w:pos="450"/>
        </w:tabs>
        <w:spacing w:after="240" w:line="360" w:lineRule="auto"/>
        <w:ind w:leftChars="7" w:left="15" w:firstLine="0"/>
        <w:jc w:val="both"/>
        <w:rPr>
          <w:sz w:val="24"/>
        </w:rPr>
      </w:pPr>
      <w:r>
        <w:rPr>
          <w:sz w:val="24"/>
        </w:rPr>
        <w:tab/>
      </w:r>
      <w:r>
        <w:rPr>
          <w:sz w:val="24"/>
        </w:rPr>
        <w:tab/>
      </w:r>
      <w:r w:rsidRPr="002064B2">
        <w:rPr>
          <w:sz w:val="24"/>
        </w:rPr>
        <w:t xml:space="preserve">BLASTN analysis of the mitochondrial COI sequence obtained from the F1-Cow sample produced highly significant alignments with reference sequences of </w:t>
      </w:r>
      <w:proofErr w:type="spellStart"/>
      <w:r w:rsidRPr="002064B2">
        <w:rPr>
          <w:i/>
          <w:iCs/>
          <w:sz w:val="24"/>
        </w:rPr>
        <w:t>Chrysomya</w:t>
      </w:r>
      <w:proofErr w:type="spellEnd"/>
      <w:r w:rsidRPr="002064B2">
        <w:rPr>
          <w:i/>
          <w:iCs/>
          <w:sz w:val="24"/>
        </w:rPr>
        <w:t xml:space="preserve"> </w:t>
      </w:r>
      <w:proofErr w:type="spellStart"/>
      <w:r w:rsidRPr="002064B2">
        <w:rPr>
          <w:i/>
          <w:iCs/>
          <w:sz w:val="24"/>
        </w:rPr>
        <w:t>megacephala</w:t>
      </w:r>
      <w:proofErr w:type="spellEnd"/>
      <w:r w:rsidRPr="002064B2">
        <w:rPr>
          <w:sz w:val="24"/>
        </w:rPr>
        <w:t xml:space="preserve"> available in the NCBI nucleotide database. The F1-Cow query sequence (~656 bp) showed 99.09% sequence identity, 100% query coverage, high alignment scores, and an E-value of 0.0, indicating an extremely reliable and statistically significant match.</w:t>
      </w:r>
    </w:p>
    <w:p w14:paraId="24D48FD0" w14:textId="1AA7C905" w:rsidR="002064B2" w:rsidRPr="002064B2" w:rsidRDefault="002064B2" w:rsidP="00CA4C62">
      <w:pPr>
        <w:pStyle w:val="ListParagraph"/>
        <w:tabs>
          <w:tab w:val="left" w:pos="450"/>
        </w:tabs>
        <w:spacing w:after="240" w:line="360" w:lineRule="auto"/>
        <w:ind w:leftChars="7" w:left="15" w:firstLine="0"/>
        <w:jc w:val="both"/>
        <w:rPr>
          <w:sz w:val="24"/>
        </w:rPr>
      </w:pPr>
      <w:r>
        <w:rPr>
          <w:sz w:val="24"/>
        </w:rPr>
        <w:tab/>
      </w:r>
      <w:r>
        <w:rPr>
          <w:sz w:val="24"/>
        </w:rPr>
        <w:tab/>
      </w:r>
      <w:r w:rsidRPr="002064B2">
        <w:rPr>
          <w:sz w:val="24"/>
        </w:rPr>
        <w:t xml:space="preserve">All top-ranking BLAST hits corresponded exclusively to </w:t>
      </w:r>
      <w:r w:rsidRPr="002064B2">
        <w:rPr>
          <w:i/>
          <w:iCs/>
          <w:sz w:val="24"/>
        </w:rPr>
        <w:t>C. megacephala</w:t>
      </w:r>
      <w:r w:rsidRPr="002064B2">
        <w:rPr>
          <w:sz w:val="24"/>
        </w:rPr>
        <w:t>, including multiple isolates and voucher specimens from diverse geographic regions. No alternative species appeared among the highest similarity results, and only minimal nucleotide mismatches were observed across the aligned region. These findings confirm the accuracy of the amplified COI sequence and exclude the possibility of contamination or misidentification.</w:t>
      </w:r>
    </w:p>
    <w:p w14:paraId="099DD809" w14:textId="3170EF74" w:rsidR="002064B2" w:rsidRPr="002064B2" w:rsidRDefault="002064B2" w:rsidP="00CA4C62">
      <w:pPr>
        <w:pStyle w:val="ListParagraph"/>
        <w:tabs>
          <w:tab w:val="left" w:pos="450"/>
        </w:tabs>
        <w:spacing w:after="240" w:line="360" w:lineRule="auto"/>
        <w:ind w:leftChars="7" w:left="15" w:firstLine="0"/>
        <w:jc w:val="both"/>
        <w:rPr>
          <w:b/>
          <w:bCs/>
          <w:sz w:val="24"/>
        </w:rPr>
      </w:pPr>
      <w:r>
        <w:rPr>
          <w:sz w:val="24"/>
        </w:rPr>
        <w:tab/>
      </w:r>
      <w:r>
        <w:rPr>
          <w:sz w:val="24"/>
        </w:rPr>
        <w:tab/>
      </w:r>
      <w:r w:rsidRPr="002064B2">
        <w:rPr>
          <w:sz w:val="24"/>
        </w:rPr>
        <w:t xml:space="preserve">The high level of sequence similarity observed for the F1-Cow sample meets and exceeds the accepted thresholds for species-level identification of forensic insects </w:t>
      </w:r>
      <w:r w:rsidRPr="002064B2">
        <w:rPr>
          <w:sz w:val="24"/>
        </w:rPr>
        <w:lastRenderedPageBreak/>
        <w:t xml:space="preserve">using COI DNA barcoding (Sperling, Anderson, &amp; Hickey, 1994). Collectively, the BLAST results provide strong molecular evidence that the F1-Cow specimen belongs to </w:t>
      </w:r>
      <w:proofErr w:type="spellStart"/>
      <w:r w:rsidRPr="002064B2">
        <w:rPr>
          <w:i/>
          <w:iCs/>
          <w:sz w:val="24"/>
        </w:rPr>
        <w:t>Chrysomya</w:t>
      </w:r>
      <w:proofErr w:type="spellEnd"/>
      <w:r w:rsidRPr="002064B2">
        <w:rPr>
          <w:i/>
          <w:iCs/>
          <w:sz w:val="24"/>
        </w:rPr>
        <w:t xml:space="preserve"> </w:t>
      </w:r>
      <w:proofErr w:type="spellStart"/>
      <w:r w:rsidRPr="002064B2">
        <w:rPr>
          <w:i/>
          <w:iCs/>
          <w:sz w:val="24"/>
        </w:rPr>
        <w:t>megacephala</w:t>
      </w:r>
      <w:proofErr w:type="spellEnd"/>
      <w:r w:rsidRPr="002064B2">
        <w:rPr>
          <w:sz w:val="24"/>
        </w:rPr>
        <w:t>, supporting the sequence alignment and phylogenetic analyses and validating the effectiveness of COI-based molecular identification in forensic entomology</w:t>
      </w:r>
      <w:r w:rsidRPr="002064B2">
        <w:rPr>
          <w:b/>
          <w:bCs/>
          <w:sz w:val="24"/>
        </w:rPr>
        <w:t>.</w:t>
      </w:r>
    </w:p>
    <w:p w14:paraId="1C98327F" w14:textId="30B9F7DB" w:rsidR="00EC0C77" w:rsidRDefault="00D34C1E" w:rsidP="00CA4C62">
      <w:pPr>
        <w:pStyle w:val="ListParagraph"/>
        <w:tabs>
          <w:tab w:val="left" w:pos="450"/>
        </w:tabs>
        <w:spacing w:after="240" w:line="360" w:lineRule="auto"/>
        <w:ind w:leftChars="40" w:left="88" w:firstLine="0"/>
        <w:jc w:val="center"/>
        <w:rPr>
          <w:sz w:val="24"/>
        </w:rPr>
      </w:pPr>
      <w:r>
        <w:rPr>
          <w:b/>
          <w:bCs/>
          <w:noProof/>
          <w:sz w:val="24"/>
        </w:rPr>
        <w:drawing>
          <wp:inline distT="0" distB="0" distL="0" distR="0" wp14:anchorId="4BE688DD" wp14:editId="1C1AE0A7">
            <wp:extent cx="5285105" cy="4044950"/>
            <wp:effectExtent l="0" t="0" r="0" b="0"/>
            <wp:docPr id="84562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5105" cy="4044950"/>
                    </a:xfrm>
                    <a:prstGeom prst="rect">
                      <a:avLst/>
                    </a:prstGeom>
                    <a:noFill/>
                    <a:ln>
                      <a:noFill/>
                    </a:ln>
                  </pic:spPr>
                </pic:pic>
              </a:graphicData>
            </a:graphic>
          </wp:inline>
        </w:drawing>
      </w:r>
      <w:r w:rsidR="00334145">
        <w:rPr>
          <w:b/>
          <w:bCs/>
          <w:sz w:val="24"/>
        </w:rPr>
        <w:t xml:space="preserve">Fig </w:t>
      </w:r>
      <w:r w:rsidR="00DA595B">
        <w:rPr>
          <w:b/>
          <w:bCs/>
          <w:sz w:val="24"/>
        </w:rPr>
        <w:t>3</w:t>
      </w:r>
      <w:r w:rsidR="00334145">
        <w:rPr>
          <w:b/>
          <w:bCs/>
          <w:sz w:val="24"/>
        </w:rPr>
        <w:t xml:space="preserve">. </w:t>
      </w:r>
      <w:r w:rsidR="00EC0C77" w:rsidRPr="003D79DA">
        <w:rPr>
          <w:b/>
          <w:bCs/>
          <w:sz w:val="24"/>
        </w:rPr>
        <w:t>Blast Data -</w:t>
      </w:r>
      <w:r w:rsidR="00EC0C77">
        <w:rPr>
          <w:sz w:val="24"/>
        </w:rPr>
        <w:t xml:space="preserve"> </w:t>
      </w:r>
      <w:r w:rsidR="00EC0C77" w:rsidRPr="003D3CBA">
        <w:rPr>
          <w:b/>
          <w:bCs/>
          <w:sz w:val="24"/>
        </w:rPr>
        <w:t>Sample F1-</w:t>
      </w:r>
      <w:r w:rsidR="00EC0C77">
        <w:rPr>
          <w:b/>
          <w:bCs/>
          <w:sz w:val="24"/>
        </w:rPr>
        <w:t>Cow</w:t>
      </w:r>
    </w:p>
    <w:p w14:paraId="0110EBD3" w14:textId="724D7988" w:rsidR="006C50BF" w:rsidRPr="006C50BF" w:rsidRDefault="000752DF" w:rsidP="00CA4C62">
      <w:pPr>
        <w:pStyle w:val="ListParagraph"/>
        <w:tabs>
          <w:tab w:val="left" w:pos="450"/>
        </w:tabs>
        <w:spacing w:after="240" w:line="360" w:lineRule="auto"/>
        <w:ind w:leftChars="40" w:left="88" w:firstLine="0"/>
        <w:jc w:val="both"/>
        <w:rPr>
          <w:sz w:val="24"/>
        </w:rPr>
      </w:pPr>
      <w:r>
        <w:rPr>
          <w:b/>
          <w:bCs/>
          <w:sz w:val="24"/>
        </w:rPr>
        <w:t xml:space="preserve">3.6 </w:t>
      </w:r>
      <w:r w:rsidR="006C50BF" w:rsidRPr="006C50BF">
        <w:rPr>
          <w:b/>
          <w:bCs/>
          <w:sz w:val="24"/>
        </w:rPr>
        <w:t>Sequence Similarity and Molecular Identification (F1-Cow)</w:t>
      </w:r>
    </w:p>
    <w:p w14:paraId="0133AA2A" w14:textId="0A47C65C" w:rsidR="006C50BF" w:rsidRPr="006C50BF" w:rsidRDefault="006C50BF" w:rsidP="00CA4C62">
      <w:pPr>
        <w:pStyle w:val="ListParagraph"/>
        <w:tabs>
          <w:tab w:val="left" w:pos="450"/>
        </w:tabs>
        <w:spacing w:after="240" w:line="360" w:lineRule="auto"/>
        <w:ind w:leftChars="7" w:left="15" w:firstLine="0"/>
        <w:jc w:val="both"/>
        <w:rPr>
          <w:sz w:val="24"/>
        </w:rPr>
      </w:pPr>
      <w:r>
        <w:rPr>
          <w:sz w:val="24"/>
        </w:rPr>
        <w:tab/>
      </w:r>
      <w:r>
        <w:rPr>
          <w:sz w:val="24"/>
        </w:rPr>
        <w:tab/>
      </w:r>
      <w:r w:rsidRPr="006C50BF">
        <w:rPr>
          <w:sz w:val="24"/>
        </w:rPr>
        <w:t xml:space="preserve">BLAST-based comparison of the mitochondrial COI sequence from the F1-Cow sample yielded a 656 bp high-quality sequence showing 99.09% similarity with reference sequences of </w:t>
      </w:r>
      <w:proofErr w:type="spellStart"/>
      <w:r w:rsidRPr="006C50BF">
        <w:rPr>
          <w:sz w:val="24"/>
        </w:rPr>
        <w:t>Chrysomya</w:t>
      </w:r>
      <w:proofErr w:type="spellEnd"/>
      <w:r w:rsidRPr="006C50BF">
        <w:rPr>
          <w:sz w:val="24"/>
        </w:rPr>
        <w:t xml:space="preserve"> </w:t>
      </w:r>
      <w:proofErr w:type="spellStart"/>
      <w:r w:rsidRPr="006C50BF">
        <w:rPr>
          <w:sz w:val="24"/>
        </w:rPr>
        <w:t>megacephala</w:t>
      </w:r>
      <w:proofErr w:type="spellEnd"/>
      <w:r w:rsidRPr="006C50BF">
        <w:rPr>
          <w:sz w:val="24"/>
        </w:rPr>
        <w:t xml:space="preserve"> in the NCBI GenBank database (Accession No. LC684826.1) (Table 5). The high percentage identity confirms a strong genetic match with minimal nucleotide divergence, supporting accurate species-level identification.</w:t>
      </w:r>
    </w:p>
    <w:p w14:paraId="60520BEB" w14:textId="47DC1A7D" w:rsidR="00910D06" w:rsidRPr="00910D06" w:rsidRDefault="006C50BF" w:rsidP="00CA4C62">
      <w:pPr>
        <w:pStyle w:val="ListParagraph"/>
        <w:tabs>
          <w:tab w:val="left" w:pos="450"/>
        </w:tabs>
        <w:spacing w:after="240" w:line="360" w:lineRule="auto"/>
        <w:ind w:leftChars="7" w:left="15" w:firstLine="0"/>
        <w:jc w:val="both"/>
        <w:rPr>
          <w:sz w:val="24"/>
        </w:rPr>
      </w:pPr>
      <w:r w:rsidRPr="00910D06">
        <w:rPr>
          <w:sz w:val="24"/>
        </w:rPr>
        <w:tab/>
      </w:r>
      <w:r w:rsidRPr="00910D06">
        <w:rPr>
          <w:sz w:val="24"/>
        </w:rPr>
        <w:tab/>
      </w:r>
      <w:r w:rsidRPr="006C50BF">
        <w:rPr>
          <w:sz w:val="24"/>
        </w:rPr>
        <w:t xml:space="preserve">A consolidated summary of the molecular findings for the F1-Cow sample is presented in Table 6. The specimen exhibited a high DNA yield (124 ng/µl), successful COI amplification with adequate sequence length (656 bp), and robust </w:t>
      </w:r>
      <w:r w:rsidRPr="006C50BF">
        <w:rPr>
          <w:sz w:val="24"/>
        </w:rPr>
        <w:lastRenderedPageBreak/>
        <w:t xml:space="preserve">BLAST similarity (99.09%). Consistent clustering within the same phylogenetic clade as authenticated </w:t>
      </w:r>
      <w:r w:rsidRPr="006C50BF">
        <w:rPr>
          <w:i/>
          <w:iCs/>
          <w:sz w:val="24"/>
        </w:rPr>
        <w:t>C. megacephala</w:t>
      </w:r>
      <w:r w:rsidRPr="006C50BF">
        <w:rPr>
          <w:sz w:val="24"/>
        </w:rPr>
        <w:t xml:space="preserve"> reference sequences further corroborated the BLAST results. Together, these parameters confirm the reliable molecular identification of the F1-Cow specimen as </w:t>
      </w:r>
      <w:r w:rsidRPr="006C50BF">
        <w:rPr>
          <w:i/>
          <w:iCs/>
          <w:sz w:val="24"/>
        </w:rPr>
        <w:t>C. megacephala</w:t>
      </w:r>
      <w:r w:rsidRPr="006C50BF">
        <w:rPr>
          <w:sz w:val="24"/>
        </w:rPr>
        <w:t xml:space="preserve"> using COI DNA barcoding.</w:t>
      </w:r>
    </w:p>
    <w:p w14:paraId="487CD3D9" w14:textId="5D5E9E80" w:rsidR="000752DF" w:rsidRPr="00093074" w:rsidRDefault="006972B2" w:rsidP="00CA4C62">
      <w:pPr>
        <w:tabs>
          <w:tab w:val="left" w:pos="450"/>
        </w:tabs>
        <w:spacing w:after="240" w:line="360" w:lineRule="auto"/>
        <w:jc w:val="both"/>
        <w:rPr>
          <w:b/>
          <w:bCs/>
          <w:sz w:val="24"/>
        </w:rPr>
      </w:pPr>
      <w:r w:rsidRPr="00093074">
        <w:rPr>
          <w:b/>
          <w:bCs/>
          <w:sz w:val="24"/>
        </w:rPr>
        <w:t xml:space="preserve">3.7 </w:t>
      </w:r>
      <w:r w:rsidR="000752DF" w:rsidRPr="00093074">
        <w:rPr>
          <w:b/>
          <w:bCs/>
          <w:sz w:val="24"/>
        </w:rPr>
        <w:t>Discussion of Findings</w:t>
      </w:r>
      <w:r w:rsidR="00593C5C" w:rsidRPr="00093074">
        <w:rPr>
          <w:b/>
          <w:bCs/>
          <w:sz w:val="24"/>
        </w:rPr>
        <w:t>:</w:t>
      </w:r>
    </w:p>
    <w:p w14:paraId="20934F74" w14:textId="67F47FEA"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The F1-Cow specimen produced high-quality genomic DNA (124 ng/µl), robust PCR amplification, and a 656-bp COI barcode that matched </w:t>
      </w:r>
      <w:proofErr w:type="spellStart"/>
      <w:r w:rsidR="000A5A42" w:rsidRPr="000A5A42">
        <w:rPr>
          <w:i/>
          <w:iCs/>
          <w:sz w:val="24"/>
        </w:rPr>
        <w:t>Chrysomya</w:t>
      </w:r>
      <w:proofErr w:type="spellEnd"/>
      <w:r w:rsidR="000A5A42" w:rsidRPr="000A5A42">
        <w:rPr>
          <w:i/>
          <w:iCs/>
          <w:sz w:val="24"/>
        </w:rPr>
        <w:t xml:space="preserve"> </w:t>
      </w:r>
      <w:proofErr w:type="spellStart"/>
      <w:r w:rsidR="000A5A42" w:rsidRPr="000A5A42">
        <w:rPr>
          <w:i/>
          <w:iCs/>
          <w:sz w:val="24"/>
        </w:rPr>
        <w:t>megacephala</w:t>
      </w:r>
      <w:proofErr w:type="spellEnd"/>
      <w:r w:rsidR="000A5A42" w:rsidRPr="000A5A42">
        <w:rPr>
          <w:sz w:val="24"/>
        </w:rPr>
        <w:t xml:space="preserve"> with 99.09% identity. These findings align with the foundational work of Hebert </w:t>
      </w:r>
      <w:r w:rsidR="006662E9" w:rsidRPr="006662E9">
        <w:rPr>
          <w:i/>
          <w:iCs/>
          <w:sz w:val="24"/>
        </w:rPr>
        <w:t>et al.</w:t>
      </w:r>
      <w:r w:rsidR="000A5A42" w:rsidRPr="000A5A42">
        <w:rPr>
          <w:sz w:val="24"/>
        </w:rPr>
        <w:t xml:space="preserve"> (2003), who established the mitochondrial COI region as a reliable universal barcode </w:t>
      </w:r>
      <w:r w:rsidR="000A5A42" w:rsidRPr="000A5A42">
        <w:rPr>
          <w:color w:val="000000" w:themeColor="text1"/>
          <w:sz w:val="24"/>
        </w:rPr>
        <w:t>for animal species identification, and with Sperling, Anderson, and Hickey (1994), who demonstrated</w:t>
      </w:r>
      <w:r w:rsidR="000A5A42" w:rsidRPr="000A5A42">
        <w:rPr>
          <w:sz w:val="24"/>
        </w:rPr>
        <w:t xml:space="preserve"> early on the value of DNA-based methods for forensic insect identification. The concordance of DNA yield, amplification success, sequence quality, BLAST similarity, and phylogenetic placement in this study confirms that the standard COI workflow remains highly effective for blowfly identification in forensic contexts (Hebert </w:t>
      </w:r>
      <w:r w:rsidR="006662E9" w:rsidRPr="006662E9">
        <w:rPr>
          <w:i/>
          <w:iCs/>
          <w:sz w:val="24"/>
        </w:rPr>
        <w:t>et al.</w:t>
      </w:r>
      <w:r w:rsidR="000A5A42" w:rsidRPr="000A5A42">
        <w:rPr>
          <w:sz w:val="24"/>
        </w:rPr>
        <w:t xml:space="preserve"> 2003; Sperling </w:t>
      </w:r>
      <w:r w:rsidR="006662E9" w:rsidRPr="006662E9">
        <w:rPr>
          <w:i/>
          <w:iCs/>
          <w:sz w:val="24"/>
        </w:rPr>
        <w:t>et al.</w:t>
      </w:r>
      <w:r w:rsidR="000A5A42" w:rsidRPr="000A5A42">
        <w:rPr>
          <w:sz w:val="24"/>
        </w:rPr>
        <w:t xml:space="preserve"> 1994).</w:t>
      </w:r>
    </w:p>
    <w:p w14:paraId="4E5BE311" w14:textId="7CF76DE0"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Wells and Stevens (2008) emphasized that mitochondrial markers such as COI are particularly useful in forensic entomology because they tolerate partial degradation and provide high discriminatory power among Calliphoridae. Our F1-Cow COI result </w:t>
      </w:r>
      <w:r w:rsidR="00CA4C62" w:rsidRPr="00CA4C62">
        <w:rPr>
          <w:i/>
          <w:iCs/>
          <w:sz w:val="24"/>
        </w:rPr>
        <w:t>-</w:t>
      </w:r>
      <w:r w:rsidR="000A5A42" w:rsidRPr="000A5A42">
        <w:rPr>
          <w:sz w:val="24"/>
        </w:rPr>
        <w:t xml:space="preserve"> clear sequence, high coverage, and a top BLAST match to LC684826.1 </w:t>
      </w:r>
      <w:r w:rsidR="00CA4C62" w:rsidRPr="00CA4C62">
        <w:rPr>
          <w:i/>
          <w:iCs/>
          <w:sz w:val="24"/>
        </w:rPr>
        <w:t>-</w:t>
      </w:r>
      <w:r w:rsidR="000A5A42" w:rsidRPr="000A5A42">
        <w:rPr>
          <w:sz w:val="24"/>
        </w:rPr>
        <w:t xml:space="preserve"> follows this pattern and supports the use of COI barcoding for medico-legal casework (Wells &amp; Stevens, 2008). Moreover, recent methodological improvements and expanded reference libraries have strengthened the reliability and geographic applicability of COI identifications (Jordaens </w:t>
      </w:r>
      <w:r w:rsidR="006662E9" w:rsidRPr="006662E9">
        <w:rPr>
          <w:i/>
          <w:iCs/>
          <w:sz w:val="24"/>
        </w:rPr>
        <w:t>et al.</w:t>
      </w:r>
      <w:r w:rsidR="000A5A42" w:rsidRPr="000A5A42">
        <w:rPr>
          <w:sz w:val="24"/>
        </w:rPr>
        <w:t xml:space="preserve"> 2013).</w:t>
      </w:r>
    </w:p>
    <w:p w14:paraId="3622D96B" w14:textId="581A1567"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Recent applied studies specifically addressing </w:t>
      </w:r>
      <w:proofErr w:type="spellStart"/>
      <w:r w:rsidR="000A5A42" w:rsidRPr="000A5A42">
        <w:rPr>
          <w:i/>
          <w:iCs/>
          <w:sz w:val="24"/>
        </w:rPr>
        <w:t>Chrysomya</w:t>
      </w:r>
      <w:proofErr w:type="spellEnd"/>
      <w:r w:rsidR="000A5A42" w:rsidRPr="000A5A42">
        <w:rPr>
          <w:i/>
          <w:iCs/>
          <w:sz w:val="24"/>
        </w:rPr>
        <w:t xml:space="preserve"> </w:t>
      </w:r>
      <w:proofErr w:type="spellStart"/>
      <w:r w:rsidR="000A5A42" w:rsidRPr="000A5A42">
        <w:rPr>
          <w:i/>
          <w:iCs/>
          <w:sz w:val="24"/>
        </w:rPr>
        <w:t>megacephala</w:t>
      </w:r>
      <w:proofErr w:type="spellEnd"/>
      <w:r w:rsidR="000A5A42" w:rsidRPr="000A5A42">
        <w:rPr>
          <w:sz w:val="24"/>
        </w:rPr>
        <w:t xml:space="preserve"> reinforce our identification. Ye </w:t>
      </w:r>
      <w:r w:rsidR="006662E9" w:rsidRPr="006662E9">
        <w:rPr>
          <w:i/>
          <w:iCs/>
          <w:sz w:val="24"/>
        </w:rPr>
        <w:t>et al.</w:t>
      </w:r>
      <w:r w:rsidR="000A5A42" w:rsidRPr="000A5A42">
        <w:rPr>
          <w:sz w:val="24"/>
        </w:rPr>
        <w:t xml:space="preserve"> (2024) developed rapid molecular detection assays and reported consistent COI-based identifications of </w:t>
      </w:r>
      <w:r w:rsidR="000A5A42" w:rsidRPr="000A5A42">
        <w:rPr>
          <w:i/>
          <w:iCs/>
          <w:sz w:val="24"/>
        </w:rPr>
        <w:t>C. megacephala</w:t>
      </w:r>
      <w:r w:rsidR="000A5A42" w:rsidRPr="000A5A42">
        <w:rPr>
          <w:sz w:val="24"/>
        </w:rPr>
        <w:t xml:space="preserve"> from crime-scene samples across multiple years, demonstrating COI’s practical utility in real forensic casework. Likewise, Zhang </w:t>
      </w:r>
      <w:r w:rsidR="006662E9" w:rsidRPr="006662E9">
        <w:rPr>
          <w:i/>
          <w:iCs/>
          <w:sz w:val="24"/>
        </w:rPr>
        <w:t>et al.</w:t>
      </w:r>
      <w:r w:rsidR="000A5A42" w:rsidRPr="000A5A42">
        <w:rPr>
          <w:sz w:val="24"/>
        </w:rPr>
        <w:t xml:space="preserve"> (2024) used molecular approaches to investigate developmental markers in </w:t>
      </w:r>
      <w:r w:rsidR="000A5A42" w:rsidRPr="000A5A42">
        <w:rPr>
          <w:i/>
          <w:iCs/>
          <w:sz w:val="24"/>
        </w:rPr>
        <w:t>C. megacephala</w:t>
      </w:r>
      <w:r w:rsidR="000A5A42" w:rsidRPr="000A5A42">
        <w:rPr>
          <w:sz w:val="24"/>
        </w:rPr>
        <w:t xml:space="preserve"> pupae, highlighting how molecular data can complement entomological age-estimation </w:t>
      </w:r>
      <w:r w:rsidR="00CA4C62" w:rsidRPr="00CA4C62">
        <w:rPr>
          <w:i/>
          <w:iCs/>
          <w:sz w:val="24"/>
        </w:rPr>
        <w:t>-</w:t>
      </w:r>
      <w:r w:rsidR="000A5A42" w:rsidRPr="000A5A42">
        <w:rPr>
          <w:sz w:val="24"/>
        </w:rPr>
        <w:t xml:space="preserve"> an important downstream application after species identification. These studies show that once </w:t>
      </w:r>
      <w:r w:rsidR="000A5A42" w:rsidRPr="000A5A42">
        <w:rPr>
          <w:sz w:val="24"/>
        </w:rPr>
        <w:lastRenderedPageBreak/>
        <w:t xml:space="preserve">species identity is robustly established (as here for F1-Cow), molecular data can directly inform post-mortem interval (PMI) and developmental timing analyses (Ye </w:t>
      </w:r>
      <w:r w:rsidR="006662E9" w:rsidRPr="006662E9">
        <w:rPr>
          <w:i/>
          <w:iCs/>
          <w:sz w:val="24"/>
        </w:rPr>
        <w:t>et al.</w:t>
      </w:r>
      <w:r w:rsidR="000A5A42" w:rsidRPr="000A5A42">
        <w:rPr>
          <w:sz w:val="24"/>
        </w:rPr>
        <w:t xml:space="preserve"> 2024; Zhang </w:t>
      </w:r>
      <w:r w:rsidR="006662E9" w:rsidRPr="006662E9">
        <w:rPr>
          <w:i/>
          <w:iCs/>
          <w:sz w:val="24"/>
        </w:rPr>
        <w:t>et al.</w:t>
      </w:r>
      <w:r w:rsidR="000A5A42" w:rsidRPr="000A5A42">
        <w:rPr>
          <w:sz w:val="24"/>
        </w:rPr>
        <w:t xml:space="preserve"> 2024).</w:t>
      </w:r>
    </w:p>
    <w:p w14:paraId="71FBBA54" w14:textId="0EA99009"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Comprehensive reviews and regional surveys further illustrate both the strengths and limits of COI barcoding. </w:t>
      </w:r>
      <w:proofErr w:type="spellStart"/>
      <w:r w:rsidR="000A5A42" w:rsidRPr="000A5A42">
        <w:rPr>
          <w:sz w:val="24"/>
        </w:rPr>
        <w:t>Bambaradeniya</w:t>
      </w:r>
      <w:proofErr w:type="spellEnd"/>
      <w:r w:rsidR="000A5A42" w:rsidRPr="000A5A42">
        <w:rPr>
          <w:sz w:val="24"/>
        </w:rPr>
        <w:t xml:space="preserve"> (2023) and </w:t>
      </w:r>
      <w:proofErr w:type="spellStart"/>
      <w:r w:rsidR="000A5A42" w:rsidRPr="000A5A42">
        <w:rPr>
          <w:sz w:val="24"/>
        </w:rPr>
        <w:t>Jordaens</w:t>
      </w:r>
      <w:proofErr w:type="spellEnd"/>
      <w:r w:rsidR="000A5A42" w:rsidRPr="000A5A42">
        <w:rPr>
          <w:sz w:val="24"/>
        </w:rPr>
        <w:t xml:space="preserve"> </w:t>
      </w:r>
      <w:r w:rsidR="006662E9" w:rsidRPr="006662E9">
        <w:rPr>
          <w:i/>
          <w:iCs/>
          <w:sz w:val="24"/>
        </w:rPr>
        <w:t>et al.</w:t>
      </w:r>
      <w:r w:rsidR="000A5A42" w:rsidRPr="000A5A42">
        <w:rPr>
          <w:sz w:val="24"/>
        </w:rPr>
        <w:t xml:space="preserve"> (2013) note that COI is excellent for species discrimination in many Diptera, but emphasize the ongoing need to expand and curate reference libraries and to combine barcodes with phylogenetic analyses and morphological cross-checks to avoid misassignment in poorly represented taxa or cryptic complexes. In line with these recommendations, the present study combined BLAST, alignment quality checks, and Neighbor-Joining phylogenetics with bootstrapping </w:t>
      </w:r>
      <w:r w:rsidR="00CA4C62" w:rsidRPr="00CA4C62">
        <w:rPr>
          <w:i/>
          <w:iCs/>
          <w:sz w:val="24"/>
        </w:rPr>
        <w:t>-</w:t>
      </w:r>
      <w:r w:rsidR="000A5A42" w:rsidRPr="000A5A42">
        <w:rPr>
          <w:sz w:val="24"/>
        </w:rPr>
        <w:t xml:space="preserve"> a multi-tiered approach that reduces false positives and increases confidence in the F1-Cow identification (</w:t>
      </w:r>
      <w:proofErr w:type="spellStart"/>
      <w:r w:rsidR="000A5A42" w:rsidRPr="000A5A42">
        <w:rPr>
          <w:sz w:val="24"/>
        </w:rPr>
        <w:t>Bambaradeniya</w:t>
      </w:r>
      <w:proofErr w:type="spellEnd"/>
      <w:r w:rsidR="000A5A42" w:rsidRPr="000A5A42">
        <w:rPr>
          <w:sz w:val="24"/>
        </w:rPr>
        <w:t xml:space="preserve">, 2023; </w:t>
      </w:r>
      <w:proofErr w:type="spellStart"/>
      <w:r w:rsidR="000A5A42" w:rsidRPr="000A5A42">
        <w:rPr>
          <w:sz w:val="24"/>
        </w:rPr>
        <w:t>Jordaens</w:t>
      </w:r>
      <w:proofErr w:type="spellEnd"/>
      <w:r w:rsidR="000A5A42" w:rsidRPr="000A5A42">
        <w:rPr>
          <w:sz w:val="24"/>
        </w:rPr>
        <w:t xml:space="preserve"> </w:t>
      </w:r>
      <w:r w:rsidR="006662E9" w:rsidRPr="006662E9">
        <w:rPr>
          <w:i/>
          <w:iCs/>
          <w:sz w:val="24"/>
        </w:rPr>
        <w:t>et al.</w:t>
      </w:r>
      <w:r w:rsidR="000A5A42" w:rsidRPr="000A5A42">
        <w:rPr>
          <w:sz w:val="24"/>
        </w:rPr>
        <w:t xml:space="preserve"> 2013).</w:t>
      </w:r>
    </w:p>
    <w:p w14:paraId="61282E43" w14:textId="2F36F702" w:rsidR="000A5A42" w:rsidRPr="000A5A42" w:rsidRDefault="00093074" w:rsidP="00CA4C62">
      <w:pPr>
        <w:pStyle w:val="ListParagraph"/>
        <w:tabs>
          <w:tab w:val="left" w:pos="450"/>
        </w:tabs>
        <w:spacing w:after="240" w:line="360" w:lineRule="auto"/>
        <w:ind w:leftChars="7" w:left="15" w:firstLine="0"/>
        <w:jc w:val="both"/>
        <w:rPr>
          <w:sz w:val="24"/>
        </w:rPr>
      </w:pPr>
      <w:r>
        <w:rPr>
          <w:sz w:val="24"/>
        </w:rPr>
        <w:tab/>
      </w:r>
      <w:r>
        <w:rPr>
          <w:sz w:val="24"/>
        </w:rPr>
        <w:tab/>
      </w:r>
      <w:r w:rsidR="000A5A42" w:rsidRPr="000A5A42">
        <w:rPr>
          <w:sz w:val="24"/>
        </w:rPr>
        <w:t xml:space="preserve">Finally, while COI-based identification is powerful, practitioners should remain aware of practical caveats (database gaps, potential nuclear mitochondrial pseudogenes, and geographic variation). Continued enrichment of regional barcode libraries (especially for India and adjacent regions) and periodic validation against voucher specimens will improve forensic accuracy. The present results </w:t>
      </w:r>
      <w:r w:rsidR="00CA4C62" w:rsidRPr="00CA4C62">
        <w:rPr>
          <w:i/>
          <w:iCs/>
          <w:sz w:val="24"/>
        </w:rPr>
        <w:t>-</w:t>
      </w:r>
      <w:r w:rsidR="000A5A42" w:rsidRPr="000A5A42">
        <w:rPr>
          <w:sz w:val="24"/>
        </w:rPr>
        <w:t xml:space="preserve"> a high DNA yield, clear COI barcode, a 99.09% BLAST hit to </w:t>
      </w:r>
      <w:r w:rsidR="000A5A42" w:rsidRPr="000A5A42">
        <w:rPr>
          <w:i/>
          <w:iCs/>
          <w:sz w:val="24"/>
        </w:rPr>
        <w:t>C. megacephala</w:t>
      </w:r>
      <w:r w:rsidR="000A5A42" w:rsidRPr="000A5A42">
        <w:rPr>
          <w:sz w:val="24"/>
        </w:rPr>
        <w:t xml:space="preserve">, and consistent phylogenetic clustering </w:t>
      </w:r>
      <w:r w:rsidR="00CA4C62" w:rsidRPr="00CA4C62">
        <w:rPr>
          <w:i/>
          <w:iCs/>
          <w:sz w:val="24"/>
        </w:rPr>
        <w:t>-</w:t>
      </w:r>
      <w:r w:rsidR="000A5A42" w:rsidRPr="000A5A42">
        <w:rPr>
          <w:sz w:val="24"/>
        </w:rPr>
        <w:t xml:space="preserve"> provide strong, defensible molecular evidence identifying the F1-Cow specimen as </w:t>
      </w:r>
      <w:proofErr w:type="spellStart"/>
      <w:r w:rsidR="000A5A42" w:rsidRPr="000A5A42">
        <w:rPr>
          <w:i/>
          <w:iCs/>
          <w:sz w:val="24"/>
        </w:rPr>
        <w:t>Chrysomya</w:t>
      </w:r>
      <w:proofErr w:type="spellEnd"/>
      <w:r w:rsidR="000A5A42" w:rsidRPr="000A5A42">
        <w:rPr>
          <w:i/>
          <w:iCs/>
          <w:sz w:val="24"/>
        </w:rPr>
        <w:t xml:space="preserve"> </w:t>
      </w:r>
      <w:proofErr w:type="spellStart"/>
      <w:r w:rsidR="000A5A42" w:rsidRPr="000A5A42">
        <w:rPr>
          <w:i/>
          <w:iCs/>
          <w:sz w:val="24"/>
        </w:rPr>
        <w:t>megacephala</w:t>
      </w:r>
      <w:proofErr w:type="spellEnd"/>
      <w:r w:rsidR="000A5A42" w:rsidRPr="000A5A42">
        <w:rPr>
          <w:sz w:val="24"/>
        </w:rPr>
        <w:t>, thereby supporting subsequent forensic interpretations (e.g., PMI estimation) that depend on accurate species identity.</w:t>
      </w:r>
    </w:p>
    <w:p w14:paraId="3DD82410" w14:textId="738EDF79"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1. DNA Quantification of Extracted Samples</w:t>
      </w:r>
    </w:p>
    <w:tbl>
      <w:tblPr>
        <w:tblStyle w:val="TableGrid"/>
        <w:tblW w:w="5000" w:type="pct"/>
        <w:tblLook w:val="04A0" w:firstRow="1" w:lastRow="0" w:firstColumn="1" w:lastColumn="0" w:noHBand="0" w:noVBand="1"/>
      </w:tblPr>
      <w:tblGrid>
        <w:gridCol w:w="1422"/>
        <w:gridCol w:w="2284"/>
        <w:gridCol w:w="4850"/>
      </w:tblGrid>
      <w:tr w:rsidR="003D3CBA" w:rsidRPr="003D3CBA" w14:paraId="597E9ABF" w14:textId="77777777" w:rsidTr="00354139">
        <w:tc>
          <w:tcPr>
            <w:tcW w:w="831" w:type="pct"/>
            <w:hideMark/>
          </w:tcPr>
          <w:p w14:paraId="27EC5B5F"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 No.</w:t>
            </w:r>
          </w:p>
        </w:tc>
        <w:tc>
          <w:tcPr>
            <w:tcW w:w="1335" w:type="pct"/>
            <w:hideMark/>
          </w:tcPr>
          <w:p w14:paraId="317A1205"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Sample ID</w:t>
            </w:r>
          </w:p>
        </w:tc>
        <w:tc>
          <w:tcPr>
            <w:tcW w:w="2834" w:type="pct"/>
            <w:hideMark/>
          </w:tcPr>
          <w:p w14:paraId="331220BC"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DNA Concentration (ng/µl)</w:t>
            </w:r>
          </w:p>
        </w:tc>
      </w:tr>
      <w:tr w:rsidR="003D3CBA" w:rsidRPr="003D3CBA" w14:paraId="53F2262F" w14:textId="77777777" w:rsidTr="00354139">
        <w:tc>
          <w:tcPr>
            <w:tcW w:w="831" w:type="pct"/>
            <w:hideMark/>
          </w:tcPr>
          <w:p w14:paraId="6903720B"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w:t>
            </w:r>
          </w:p>
        </w:tc>
        <w:tc>
          <w:tcPr>
            <w:tcW w:w="1335" w:type="pct"/>
            <w:hideMark/>
          </w:tcPr>
          <w:p w14:paraId="443AF5F9"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F1-Cow</w:t>
            </w:r>
          </w:p>
        </w:tc>
        <w:tc>
          <w:tcPr>
            <w:tcW w:w="2834" w:type="pct"/>
            <w:hideMark/>
          </w:tcPr>
          <w:p w14:paraId="24FB3377"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124</w:t>
            </w:r>
          </w:p>
        </w:tc>
      </w:tr>
    </w:tbl>
    <w:p w14:paraId="12BD9F22" w14:textId="77777777" w:rsidR="007273C0" w:rsidRDefault="007273C0" w:rsidP="004B29F1">
      <w:pPr>
        <w:tabs>
          <w:tab w:val="left" w:pos="450"/>
        </w:tabs>
        <w:spacing w:line="360" w:lineRule="auto"/>
        <w:jc w:val="both"/>
        <w:rPr>
          <w:b/>
          <w:bCs/>
          <w:sz w:val="24"/>
        </w:rPr>
      </w:pPr>
    </w:p>
    <w:p w14:paraId="3EDAEA9A" w14:textId="77777777" w:rsidR="00CA4C62" w:rsidRDefault="00CA4C62" w:rsidP="004B29F1">
      <w:pPr>
        <w:tabs>
          <w:tab w:val="left" w:pos="450"/>
        </w:tabs>
        <w:spacing w:line="360" w:lineRule="auto"/>
        <w:jc w:val="both"/>
        <w:rPr>
          <w:b/>
          <w:bCs/>
          <w:sz w:val="24"/>
        </w:rPr>
      </w:pPr>
    </w:p>
    <w:p w14:paraId="590CFA95" w14:textId="77777777" w:rsidR="00CA4C62" w:rsidRDefault="00CA4C62" w:rsidP="004B29F1">
      <w:pPr>
        <w:tabs>
          <w:tab w:val="left" w:pos="450"/>
        </w:tabs>
        <w:spacing w:line="360" w:lineRule="auto"/>
        <w:jc w:val="both"/>
        <w:rPr>
          <w:b/>
          <w:bCs/>
          <w:sz w:val="24"/>
        </w:rPr>
      </w:pPr>
    </w:p>
    <w:p w14:paraId="356F5E82" w14:textId="77777777" w:rsidR="00CA4C62" w:rsidRDefault="00CA4C62" w:rsidP="004B29F1">
      <w:pPr>
        <w:tabs>
          <w:tab w:val="left" w:pos="450"/>
        </w:tabs>
        <w:spacing w:line="360" w:lineRule="auto"/>
        <w:jc w:val="both"/>
        <w:rPr>
          <w:b/>
          <w:bCs/>
          <w:sz w:val="24"/>
        </w:rPr>
      </w:pPr>
    </w:p>
    <w:p w14:paraId="0FF59BDA" w14:textId="77777777" w:rsidR="00CA4C62" w:rsidRDefault="00CA4C62" w:rsidP="004B29F1">
      <w:pPr>
        <w:tabs>
          <w:tab w:val="left" w:pos="450"/>
        </w:tabs>
        <w:spacing w:line="360" w:lineRule="auto"/>
        <w:jc w:val="both"/>
        <w:rPr>
          <w:b/>
          <w:bCs/>
          <w:sz w:val="24"/>
        </w:rPr>
      </w:pPr>
    </w:p>
    <w:p w14:paraId="39709369" w14:textId="77777777" w:rsidR="00CA4C62" w:rsidRDefault="00CA4C62" w:rsidP="004B29F1">
      <w:pPr>
        <w:tabs>
          <w:tab w:val="left" w:pos="450"/>
        </w:tabs>
        <w:spacing w:line="360" w:lineRule="auto"/>
        <w:jc w:val="both"/>
        <w:rPr>
          <w:b/>
          <w:bCs/>
          <w:sz w:val="24"/>
        </w:rPr>
      </w:pPr>
    </w:p>
    <w:p w14:paraId="2C93CF43" w14:textId="5C68BEE7" w:rsidR="003D3CBA" w:rsidRPr="00D32F72" w:rsidRDefault="003D3CBA" w:rsidP="004B29F1">
      <w:pPr>
        <w:tabs>
          <w:tab w:val="left" w:pos="450"/>
        </w:tabs>
        <w:spacing w:line="360" w:lineRule="auto"/>
        <w:jc w:val="both"/>
        <w:rPr>
          <w:b/>
          <w:bCs/>
          <w:sz w:val="24"/>
        </w:rPr>
      </w:pPr>
      <w:r w:rsidRPr="00D32F72">
        <w:rPr>
          <w:b/>
          <w:bCs/>
          <w:sz w:val="24"/>
        </w:rPr>
        <w:lastRenderedPageBreak/>
        <w:t>TABLE 2. PCR Reaction Mix for COI Gene Amplification (Total Volume: 50 µL)</w:t>
      </w:r>
    </w:p>
    <w:tbl>
      <w:tblPr>
        <w:tblStyle w:val="TableGrid"/>
        <w:tblW w:w="5000" w:type="pct"/>
        <w:tblLook w:val="04A0" w:firstRow="1" w:lastRow="0" w:firstColumn="1" w:lastColumn="0" w:noHBand="0" w:noVBand="1"/>
      </w:tblPr>
      <w:tblGrid>
        <w:gridCol w:w="6189"/>
        <w:gridCol w:w="2367"/>
      </w:tblGrid>
      <w:tr w:rsidR="003D3CBA" w:rsidRPr="003D3CBA" w14:paraId="2BBE16AE" w14:textId="77777777" w:rsidTr="008E6655">
        <w:tc>
          <w:tcPr>
            <w:tcW w:w="3617" w:type="pct"/>
            <w:hideMark/>
          </w:tcPr>
          <w:p w14:paraId="3D82F72F"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Component</w:t>
            </w:r>
          </w:p>
        </w:tc>
        <w:tc>
          <w:tcPr>
            <w:tcW w:w="1383" w:type="pct"/>
            <w:hideMark/>
          </w:tcPr>
          <w:p w14:paraId="6451A89A" w14:textId="77777777" w:rsidR="003D3CBA" w:rsidRPr="003D3CBA" w:rsidRDefault="003D3CBA" w:rsidP="00354139">
            <w:pPr>
              <w:pStyle w:val="ListParagraph"/>
              <w:tabs>
                <w:tab w:val="left" w:pos="450"/>
              </w:tabs>
              <w:spacing w:line="360" w:lineRule="auto"/>
              <w:ind w:leftChars="40" w:left="88" w:firstLine="0"/>
              <w:jc w:val="center"/>
              <w:rPr>
                <w:b/>
                <w:bCs/>
                <w:sz w:val="24"/>
              </w:rPr>
            </w:pPr>
            <w:r w:rsidRPr="003D3CBA">
              <w:rPr>
                <w:b/>
                <w:bCs/>
                <w:sz w:val="24"/>
              </w:rPr>
              <w:t>Volume (µL)</w:t>
            </w:r>
          </w:p>
        </w:tc>
      </w:tr>
      <w:tr w:rsidR="003D3CBA" w:rsidRPr="003D3CBA" w14:paraId="4170998A" w14:textId="77777777" w:rsidTr="008E6655">
        <w:tc>
          <w:tcPr>
            <w:tcW w:w="3617" w:type="pct"/>
            <w:hideMark/>
          </w:tcPr>
          <w:p w14:paraId="3678D8EB"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DNA Template</w:t>
            </w:r>
          </w:p>
        </w:tc>
        <w:tc>
          <w:tcPr>
            <w:tcW w:w="1383" w:type="pct"/>
            <w:hideMark/>
          </w:tcPr>
          <w:p w14:paraId="552682B1"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1</w:t>
            </w:r>
          </w:p>
        </w:tc>
      </w:tr>
      <w:tr w:rsidR="003D3CBA" w:rsidRPr="003D3CBA" w14:paraId="3715DCAF" w14:textId="77777777" w:rsidTr="008E6655">
        <w:tc>
          <w:tcPr>
            <w:tcW w:w="3617" w:type="pct"/>
            <w:hideMark/>
          </w:tcPr>
          <w:p w14:paraId="17BF29CA"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16s Forward Primer</w:t>
            </w:r>
          </w:p>
        </w:tc>
        <w:tc>
          <w:tcPr>
            <w:tcW w:w="1383" w:type="pct"/>
            <w:hideMark/>
          </w:tcPr>
          <w:p w14:paraId="1BB2D804"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2</w:t>
            </w:r>
          </w:p>
        </w:tc>
      </w:tr>
      <w:tr w:rsidR="003D3CBA" w:rsidRPr="003D3CBA" w14:paraId="791D5486" w14:textId="77777777" w:rsidTr="008E6655">
        <w:tc>
          <w:tcPr>
            <w:tcW w:w="3617" w:type="pct"/>
            <w:hideMark/>
          </w:tcPr>
          <w:p w14:paraId="5CBFE723"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16s Reverse Primer</w:t>
            </w:r>
          </w:p>
        </w:tc>
        <w:tc>
          <w:tcPr>
            <w:tcW w:w="1383" w:type="pct"/>
            <w:hideMark/>
          </w:tcPr>
          <w:p w14:paraId="49130115"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2</w:t>
            </w:r>
          </w:p>
        </w:tc>
      </w:tr>
      <w:tr w:rsidR="003D3CBA" w:rsidRPr="003D3CBA" w14:paraId="1D4C9487" w14:textId="77777777" w:rsidTr="008E6655">
        <w:tc>
          <w:tcPr>
            <w:tcW w:w="3617" w:type="pct"/>
            <w:hideMark/>
          </w:tcPr>
          <w:p w14:paraId="754086F9"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dNTPs (2.5 mM each)</w:t>
            </w:r>
          </w:p>
        </w:tc>
        <w:tc>
          <w:tcPr>
            <w:tcW w:w="1383" w:type="pct"/>
            <w:hideMark/>
          </w:tcPr>
          <w:p w14:paraId="4786E6AF"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4</w:t>
            </w:r>
          </w:p>
        </w:tc>
      </w:tr>
      <w:tr w:rsidR="003D3CBA" w:rsidRPr="003D3CBA" w14:paraId="11DF4FCC" w14:textId="77777777" w:rsidTr="008E6655">
        <w:tc>
          <w:tcPr>
            <w:tcW w:w="3617" w:type="pct"/>
            <w:hideMark/>
          </w:tcPr>
          <w:p w14:paraId="1DEAC76D"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10X Taq DNA Polymerase Assay Buffer</w:t>
            </w:r>
          </w:p>
        </w:tc>
        <w:tc>
          <w:tcPr>
            <w:tcW w:w="1383" w:type="pct"/>
            <w:hideMark/>
          </w:tcPr>
          <w:p w14:paraId="52F165E8"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10</w:t>
            </w:r>
          </w:p>
        </w:tc>
      </w:tr>
      <w:tr w:rsidR="003D3CBA" w:rsidRPr="003D3CBA" w14:paraId="6D95D107" w14:textId="77777777" w:rsidTr="008E6655">
        <w:tc>
          <w:tcPr>
            <w:tcW w:w="3617" w:type="pct"/>
            <w:hideMark/>
          </w:tcPr>
          <w:p w14:paraId="3F0508C5"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Taq DNA Polymerase Enzyme (3 U/ml)</w:t>
            </w:r>
          </w:p>
        </w:tc>
        <w:tc>
          <w:tcPr>
            <w:tcW w:w="1383" w:type="pct"/>
            <w:hideMark/>
          </w:tcPr>
          <w:p w14:paraId="3F2E483B"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1</w:t>
            </w:r>
          </w:p>
        </w:tc>
      </w:tr>
      <w:tr w:rsidR="003D3CBA" w:rsidRPr="003D3CBA" w14:paraId="7DC0B3A9" w14:textId="77777777" w:rsidTr="008E6655">
        <w:tc>
          <w:tcPr>
            <w:tcW w:w="3617" w:type="pct"/>
            <w:hideMark/>
          </w:tcPr>
          <w:p w14:paraId="2780F254"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Nuclease-free Water</w:t>
            </w:r>
          </w:p>
        </w:tc>
        <w:tc>
          <w:tcPr>
            <w:tcW w:w="1383" w:type="pct"/>
            <w:hideMark/>
          </w:tcPr>
          <w:p w14:paraId="18DD52DD"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sz w:val="24"/>
              </w:rPr>
              <w:t>30</w:t>
            </w:r>
          </w:p>
        </w:tc>
      </w:tr>
      <w:tr w:rsidR="003D3CBA" w:rsidRPr="003D3CBA" w14:paraId="66746EF6" w14:textId="77777777" w:rsidTr="008E6655">
        <w:tc>
          <w:tcPr>
            <w:tcW w:w="3617" w:type="pct"/>
            <w:hideMark/>
          </w:tcPr>
          <w:p w14:paraId="64B95041"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b/>
                <w:bCs/>
                <w:sz w:val="24"/>
              </w:rPr>
              <w:t>Total Volume</w:t>
            </w:r>
          </w:p>
        </w:tc>
        <w:tc>
          <w:tcPr>
            <w:tcW w:w="1383" w:type="pct"/>
            <w:hideMark/>
          </w:tcPr>
          <w:p w14:paraId="3448C32D" w14:textId="77777777" w:rsidR="003D3CBA" w:rsidRPr="003D3CBA" w:rsidRDefault="003D3CBA" w:rsidP="00354139">
            <w:pPr>
              <w:pStyle w:val="ListParagraph"/>
              <w:tabs>
                <w:tab w:val="left" w:pos="450"/>
              </w:tabs>
              <w:spacing w:line="360" w:lineRule="auto"/>
              <w:ind w:leftChars="40" w:left="88" w:firstLine="0"/>
              <w:jc w:val="center"/>
              <w:rPr>
                <w:sz w:val="24"/>
              </w:rPr>
            </w:pPr>
            <w:r w:rsidRPr="003D3CBA">
              <w:rPr>
                <w:b/>
                <w:bCs/>
                <w:sz w:val="24"/>
              </w:rPr>
              <w:t>50 µL</w:t>
            </w:r>
          </w:p>
        </w:tc>
      </w:tr>
    </w:tbl>
    <w:p w14:paraId="1BD1B680" w14:textId="3BF34416" w:rsidR="003D3CBA" w:rsidRPr="003D3CBA" w:rsidRDefault="003D3CBA" w:rsidP="004B29F1">
      <w:pPr>
        <w:pStyle w:val="ListParagraph"/>
        <w:tabs>
          <w:tab w:val="left" w:pos="450"/>
        </w:tabs>
        <w:spacing w:line="360" w:lineRule="auto"/>
        <w:ind w:leftChars="40" w:left="88" w:firstLine="0"/>
        <w:jc w:val="both"/>
        <w:rPr>
          <w:sz w:val="24"/>
        </w:rPr>
      </w:pPr>
    </w:p>
    <w:p w14:paraId="57530BE3"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3. Primer Details for COI Amplification</w:t>
      </w:r>
    </w:p>
    <w:tbl>
      <w:tblPr>
        <w:tblStyle w:val="TableGrid"/>
        <w:tblW w:w="5000" w:type="pct"/>
        <w:tblLook w:val="04A0" w:firstRow="1" w:lastRow="0" w:firstColumn="1" w:lastColumn="0" w:noHBand="0" w:noVBand="1"/>
      </w:tblPr>
      <w:tblGrid>
        <w:gridCol w:w="768"/>
        <w:gridCol w:w="1338"/>
        <w:gridCol w:w="4625"/>
        <w:gridCol w:w="921"/>
        <w:gridCol w:w="904"/>
      </w:tblGrid>
      <w:tr w:rsidR="008E6655" w:rsidRPr="003D3CBA" w14:paraId="49AE8038" w14:textId="77777777" w:rsidTr="00354139">
        <w:tc>
          <w:tcPr>
            <w:tcW w:w="449" w:type="pct"/>
            <w:hideMark/>
          </w:tcPr>
          <w:p w14:paraId="27FBF6EE"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 No.</w:t>
            </w:r>
          </w:p>
        </w:tc>
        <w:tc>
          <w:tcPr>
            <w:tcW w:w="782" w:type="pct"/>
            <w:hideMark/>
          </w:tcPr>
          <w:p w14:paraId="083CDEC8"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Primer Name</w:t>
            </w:r>
          </w:p>
        </w:tc>
        <w:tc>
          <w:tcPr>
            <w:tcW w:w="2702" w:type="pct"/>
            <w:hideMark/>
          </w:tcPr>
          <w:p w14:paraId="223B5BBA"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Sequence (5′ → 3′)</w:t>
            </w:r>
          </w:p>
        </w:tc>
        <w:tc>
          <w:tcPr>
            <w:tcW w:w="538" w:type="pct"/>
            <w:hideMark/>
          </w:tcPr>
          <w:p w14:paraId="5A3AA378"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Tm (°C)</w:t>
            </w:r>
          </w:p>
        </w:tc>
        <w:tc>
          <w:tcPr>
            <w:tcW w:w="528" w:type="pct"/>
            <w:hideMark/>
          </w:tcPr>
          <w:p w14:paraId="169E1594"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GC%</w:t>
            </w:r>
          </w:p>
        </w:tc>
      </w:tr>
      <w:tr w:rsidR="008E6655" w:rsidRPr="003D3CBA" w14:paraId="3EB5DC22" w14:textId="77777777" w:rsidTr="00354139">
        <w:tc>
          <w:tcPr>
            <w:tcW w:w="449" w:type="pct"/>
            <w:hideMark/>
          </w:tcPr>
          <w:p w14:paraId="4679B9B0"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w:t>
            </w:r>
          </w:p>
        </w:tc>
        <w:tc>
          <w:tcPr>
            <w:tcW w:w="782" w:type="pct"/>
            <w:hideMark/>
          </w:tcPr>
          <w:p w14:paraId="46D56A81"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mtCOI-3′</w:t>
            </w:r>
          </w:p>
        </w:tc>
        <w:tc>
          <w:tcPr>
            <w:tcW w:w="2702" w:type="pct"/>
            <w:hideMark/>
          </w:tcPr>
          <w:p w14:paraId="0463C157"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GGTCAACAAATCATAAAGATATTGG</w:t>
            </w:r>
          </w:p>
        </w:tc>
        <w:tc>
          <w:tcPr>
            <w:tcW w:w="538" w:type="pct"/>
            <w:hideMark/>
          </w:tcPr>
          <w:p w14:paraId="01FCDE5B"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59</w:t>
            </w:r>
          </w:p>
        </w:tc>
        <w:tc>
          <w:tcPr>
            <w:tcW w:w="528" w:type="pct"/>
            <w:hideMark/>
          </w:tcPr>
          <w:p w14:paraId="5CEB01ED"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32</w:t>
            </w:r>
          </w:p>
        </w:tc>
      </w:tr>
    </w:tbl>
    <w:p w14:paraId="798B3F71" w14:textId="7E87DDF3" w:rsidR="003D3CBA" w:rsidRPr="003D3CBA" w:rsidRDefault="003D3CBA" w:rsidP="004B29F1">
      <w:pPr>
        <w:pStyle w:val="ListParagraph"/>
        <w:tabs>
          <w:tab w:val="left" w:pos="450"/>
        </w:tabs>
        <w:spacing w:line="360" w:lineRule="auto"/>
        <w:ind w:leftChars="40" w:left="88" w:firstLine="0"/>
        <w:jc w:val="both"/>
        <w:rPr>
          <w:sz w:val="24"/>
        </w:rPr>
      </w:pPr>
    </w:p>
    <w:p w14:paraId="6E0DDD31"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4. PCR Cycling Conditions for COI Gene</w:t>
      </w:r>
    </w:p>
    <w:tbl>
      <w:tblPr>
        <w:tblStyle w:val="TableGrid"/>
        <w:tblW w:w="5000" w:type="pct"/>
        <w:tblLook w:val="04A0" w:firstRow="1" w:lastRow="0" w:firstColumn="1" w:lastColumn="0" w:noHBand="0" w:noVBand="1"/>
      </w:tblPr>
      <w:tblGrid>
        <w:gridCol w:w="2925"/>
        <w:gridCol w:w="2875"/>
        <w:gridCol w:w="1147"/>
        <w:gridCol w:w="1609"/>
      </w:tblGrid>
      <w:tr w:rsidR="003D3CBA" w:rsidRPr="003D3CBA" w14:paraId="23FCA72B" w14:textId="77777777" w:rsidTr="008E6655">
        <w:tc>
          <w:tcPr>
            <w:tcW w:w="1710" w:type="pct"/>
            <w:hideMark/>
          </w:tcPr>
          <w:p w14:paraId="24EB867B"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Step</w:t>
            </w:r>
          </w:p>
        </w:tc>
        <w:tc>
          <w:tcPr>
            <w:tcW w:w="1680" w:type="pct"/>
            <w:hideMark/>
          </w:tcPr>
          <w:p w14:paraId="7A92E2E3"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Temperature (°C)</w:t>
            </w:r>
          </w:p>
        </w:tc>
        <w:tc>
          <w:tcPr>
            <w:tcW w:w="670" w:type="pct"/>
            <w:hideMark/>
          </w:tcPr>
          <w:p w14:paraId="7017263B"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Time</w:t>
            </w:r>
          </w:p>
        </w:tc>
        <w:tc>
          <w:tcPr>
            <w:tcW w:w="940" w:type="pct"/>
            <w:hideMark/>
          </w:tcPr>
          <w:p w14:paraId="4322AABB"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Cycles</w:t>
            </w:r>
          </w:p>
        </w:tc>
      </w:tr>
      <w:tr w:rsidR="003D3CBA" w:rsidRPr="003D3CBA" w14:paraId="4C61F2A6" w14:textId="77777777" w:rsidTr="008E6655">
        <w:tc>
          <w:tcPr>
            <w:tcW w:w="1710" w:type="pct"/>
            <w:hideMark/>
          </w:tcPr>
          <w:p w14:paraId="2EA5F14B"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Initial Denaturation</w:t>
            </w:r>
          </w:p>
        </w:tc>
        <w:tc>
          <w:tcPr>
            <w:tcW w:w="1680" w:type="pct"/>
            <w:hideMark/>
          </w:tcPr>
          <w:p w14:paraId="2F268777"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94°C</w:t>
            </w:r>
          </w:p>
        </w:tc>
        <w:tc>
          <w:tcPr>
            <w:tcW w:w="670" w:type="pct"/>
            <w:hideMark/>
          </w:tcPr>
          <w:p w14:paraId="7427A310"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5 min</w:t>
            </w:r>
          </w:p>
        </w:tc>
        <w:tc>
          <w:tcPr>
            <w:tcW w:w="940" w:type="pct"/>
            <w:hideMark/>
          </w:tcPr>
          <w:p w14:paraId="2FA79DEA"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w:t>
            </w:r>
          </w:p>
        </w:tc>
      </w:tr>
      <w:tr w:rsidR="003D3CBA" w:rsidRPr="003D3CBA" w14:paraId="5337E265" w14:textId="77777777" w:rsidTr="008E6655">
        <w:tc>
          <w:tcPr>
            <w:tcW w:w="1710" w:type="pct"/>
            <w:hideMark/>
          </w:tcPr>
          <w:p w14:paraId="64A69F92"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Denaturation</w:t>
            </w:r>
          </w:p>
        </w:tc>
        <w:tc>
          <w:tcPr>
            <w:tcW w:w="1680" w:type="pct"/>
            <w:hideMark/>
          </w:tcPr>
          <w:p w14:paraId="67449900"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94°C</w:t>
            </w:r>
          </w:p>
        </w:tc>
        <w:tc>
          <w:tcPr>
            <w:tcW w:w="670" w:type="pct"/>
            <w:hideMark/>
          </w:tcPr>
          <w:p w14:paraId="4DAE8398"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 min</w:t>
            </w:r>
          </w:p>
        </w:tc>
        <w:tc>
          <w:tcPr>
            <w:tcW w:w="940" w:type="pct"/>
            <w:hideMark/>
          </w:tcPr>
          <w:p w14:paraId="3AFB3BF4"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35 cycles</w:t>
            </w:r>
          </w:p>
        </w:tc>
      </w:tr>
      <w:tr w:rsidR="003D3CBA" w:rsidRPr="003D3CBA" w14:paraId="1FE9B9BF" w14:textId="77777777" w:rsidTr="008E6655">
        <w:tc>
          <w:tcPr>
            <w:tcW w:w="1710" w:type="pct"/>
            <w:hideMark/>
          </w:tcPr>
          <w:p w14:paraId="21F525F8"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Annealing</w:t>
            </w:r>
          </w:p>
        </w:tc>
        <w:tc>
          <w:tcPr>
            <w:tcW w:w="1680" w:type="pct"/>
            <w:hideMark/>
          </w:tcPr>
          <w:p w14:paraId="54BE5670"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40°C</w:t>
            </w:r>
          </w:p>
        </w:tc>
        <w:tc>
          <w:tcPr>
            <w:tcW w:w="670" w:type="pct"/>
            <w:hideMark/>
          </w:tcPr>
          <w:p w14:paraId="2506DB22"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 min</w:t>
            </w:r>
          </w:p>
        </w:tc>
        <w:tc>
          <w:tcPr>
            <w:tcW w:w="940" w:type="pct"/>
            <w:hideMark/>
          </w:tcPr>
          <w:p w14:paraId="13117608"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35 cycles</w:t>
            </w:r>
          </w:p>
        </w:tc>
      </w:tr>
      <w:tr w:rsidR="003D3CBA" w:rsidRPr="003D3CBA" w14:paraId="48E19F04" w14:textId="77777777" w:rsidTr="008E6655">
        <w:tc>
          <w:tcPr>
            <w:tcW w:w="1710" w:type="pct"/>
            <w:hideMark/>
          </w:tcPr>
          <w:p w14:paraId="648787A3"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Extension</w:t>
            </w:r>
          </w:p>
        </w:tc>
        <w:tc>
          <w:tcPr>
            <w:tcW w:w="1680" w:type="pct"/>
            <w:hideMark/>
          </w:tcPr>
          <w:p w14:paraId="3E6B5B58"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72°C</w:t>
            </w:r>
          </w:p>
        </w:tc>
        <w:tc>
          <w:tcPr>
            <w:tcW w:w="670" w:type="pct"/>
            <w:hideMark/>
          </w:tcPr>
          <w:p w14:paraId="379C24B9"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 min</w:t>
            </w:r>
          </w:p>
        </w:tc>
        <w:tc>
          <w:tcPr>
            <w:tcW w:w="940" w:type="pct"/>
            <w:hideMark/>
          </w:tcPr>
          <w:p w14:paraId="7C399A4E"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35 cycles</w:t>
            </w:r>
          </w:p>
        </w:tc>
      </w:tr>
      <w:tr w:rsidR="003D3CBA" w:rsidRPr="003D3CBA" w14:paraId="42A27E29" w14:textId="77777777" w:rsidTr="008E6655">
        <w:tc>
          <w:tcPr>
            <w:tcW w:w="1710" w:type="pct"/>
            <w:hideMark/>
          </w:tcPr>
          <w:p w14:paraId="129E3FE3"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Final Extension</w:t>
            </w:r>
          </w:p>
        </w:tc>
        <w:tc>
          <w:tcPr>
            <w:tcW w:w="1680" w:type="pct"/>
            <w:hideMark/>
          </w:tcPr>
          <w:p w14:paraId="5C059C5D"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72°C</w:t>
            </w:r>
          </w:p>
        </w:tc>
        <w:tc>
          <w:tcPr>
            <w:tcW w:w="670" w:type="pct"/>
            <w:hideMark/>
          </w:tcPr>
          <w:p w14:paraId="5E4C7EC4"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7 min</w:t>
            </w:r>
          </w:p>
        </w:tc>
        <w:tc>
          <w:tcPr>
            <w:tcW w:w="940" w:type="pct"/>
            <w:hideMark/>
          </w:tcPr>
          <w:p w14:paraId="37A7FD05"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1</w:t>
            </w:r>
          </w:p>
        </w:tc>
      </w:tr>
    </w:tbl>
    <w:p w14:paraId="6ECEC076" w14:textId="3D5AAAF0" w:rsidR="003D3CBA" w:rsidRPr="003D3CBA" w:rsidRDefault="003D3CBA" w:rsidP="004B29F1">
      <w:pPr>
        <w:pStyle w:val="ListParagraph"/>
        <w:tabs>
          <w:tab w:val="left" w:pos="450"/>
        </w:tabs>
        <w:spacing w:line="360" w:lineRule="auto"/>
        <w:ind w:leftChars="40" w:left="88" w:firstLine="0"/>
        <w:jc w:val="both"/>
        <w:rPr>
          <w:sz w:val="24"/>
        </w:rPr>
      </w:pPr>
    </w:p>
    <w:p w14:paraId="0CBA5958"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TABLE 5. Sequence Similarity (BLAST Results) for Species Identification</w:t>
      </w:r>
    </w:p>
    <w:tbl>
      <w:tblPr>
        <w:tblStyle w:val="TableGrid"/>
        <w:tblW w:w="5000" w:type="pct"/>
        <w:tblLook w:val="04A0" w:firstRow="1" w:lastRow="0" w:firstColumn="1" w:lastColumn="0" w:noHBand="0" w:noVBand="1"/>
      </w:tblPr>
      <w:tblGrid>
        <w:gridCol w:w="1263"/>
        <w:gridCol w:w="1775"/>
        <w:gridCol w:w="1449"/>
        <w:gridCol w:w="2043"/>
        <w:gridCol w:w="2026"/>
      </w:tblGrid>
      <w:tr w:rsidR="003D3CBA" w:rsidRPr="003D3CBA" w14:paraId="4B85171E" w14:textId="77777777" w:rsidTr="008E6655">
        <w:tc>
          <w:tcPr>
            <w:tcW w:w="738" w:type="pct"/>
            <w:hideMark/>
          </w:tcPr>
          <w:p w14:paraId="64023CCA"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Sample ID</w:t>
            </w:r>
          </w:p>
        </w:tc>
        <w:tc>
          <w:tcPr>
            <w:tcW w:w="1037" w:type="pct"/>
            <w:hideMark/>
          </w:tcPr>
          <w:p w14:paraId="44E2F796"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Sequence Length (bp)</w:t>
            </w:r>
          </w:p>
        </w:tc>
        <w:tc>
          <w:tcPr>
            <w:tcW w:w="847" w:type="pct"/>
            <w:hideMark/>
          </w:tcPr>
          <w:p w14:paraId="5241060A"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 Similarity</w:t>
            </w:r>
          </w:p>
        </w:tc>
        <w:tc>
          <w:tcPr>
            <w:tcW w:w="1194" w:type="pct"/>
            <w:hideMark/>
          </w:tcPr>
          <w:p w14:paraId="23919197"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Identified Species</w:t>
            </w:r>
          </w:p>
        </w:tc>
        <w:tc>
          <w:tcPr>
            <w:tcW w:w="1184" w:type="pct"/>
            <w:hideMark/>
          </w:tcPr>
          <w:p w14:paraId="228B0D2C" w14:textId="77777777" w:rsidR="003D3CBA" w:rsidRPr="003D3CBA" w:rsidRDefault="003D3CBA" w:rsidP="004B29F1">
            <w:pPr>
              <w:pStyle w:val="ListParagraph"/>
              <w:tabs>
                <w:tab w:val="left" w:pos="450"/>
              </w:tabs>
              <w:spacing w:line="360" w:lineRule="auto"/>
              <w:ind w:leftChars="40" w:left="88" w:firstLine="0"/>
              <w:jc w:val="both"/>
              <w:rPr>
                <w:b/>
                <w:bCs/>
                <w:sz w:val="24"/>
              </w:rPr>
            </w:pPr>
            <w:r w:rsidRPr="003D3CBA">
              <w:rPr>
                <w:b/>
                <w:bCs/>
                <w:sz w:val="24"/>
              </w:rPr>
              <w:t>Reference Accession No.</w:t>
            </w:r>
          </w:p>
        </w:tc>
      </w:tr>
      <w:tr w:rsidR="003D3CBA" w:rsidRPr="003D3CBA" w14:paraId="2FED3E3B" w14:textId="77777777" w:rsidTr="008E6655">
        <w:tc>
          <w:tcPr>
            <w:tcW w:w="738" w:type="pct"/>
            <w:hideMark/>
          </w:tcPr>
          <w:p w14:paraId="4BD4B456"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F1-Cow</w:t>
            </w:r>
          </w:p>
        </w:tc>
        <w:tc>
          <w:tcPr>
            <w:tcW w:w="1037" w:type="pct"/>
            <w:hideMark/>
          </w:tcPr>
          <w:p w14:paraId="3A172A4C"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656</w:t>
            </w:r>
          </w:p>
        </w:tc>
        <w:tc>
          <w:tcPr>
            <w:tcW w:w="847" w:type="pct"/>
            <w:hideMark/>
          </w:tcPr>
          <w:p w14:paraId="25BE8465"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99.09%</w:t>
            </w:r>
          </w:p>
        </w:tc>
        <w:tc>
          <w:tcPr>
            <w:tcW w:w="1194" w:type="pct"/>
            <w:hideMark/>
          </w:tcPr>
          <w:p w14:paraId="18E9E7EB" w14:textId="77777777" w:rsidR="003D3CBA" w:rsidRPr="003D3CBA" w:rsidRDefault="003D3CBA" w:rsidP="004B29F1">
            <w:pPr>
              <w:pStyle w:val="ListParagraph"/>
              <w:tabs>
                <w:tab w:val="left" w:pos="450"/>
              </w:tabs>
              <w:spacing w:line="360" w:lineRule="auto"/>
              <w:ind w:leftChars="40" w:left="88" w:firstLine="0"/>
              <w:jc w:val="both"/>
              <w:rPr>
                <w:sz w:val="24"/>
              </w:rPr>
            </w:pPr>
            <w:proofErr w:type="spellStart"/>
            <w:r w:rsidRPr="003D3CBA">
              <w:rPr>
                <w:i/>
                <w:iCs/>
                <w:sz w:val="24"/>
              </w:rPr>
              <w:t>Chrysomya</w:t>
            </w:r>
            <w:proofErr w:type="spellEnd"/>
            <w:r w:rsidRPr="003D3CBA">
              <w:rPr>
                <w:i/>
                <w:iCs/>
                <w:sz w:val="24"/>
              </w:rPr>
              <w:t xml:space="preserve"> </w:t>
            </w:r>
            <w:proofErr w:type="spellStart"/>
            <w:r w:rsidRPr="003D3CBA">
              <w:rPr>
                <w:i/>
                <w:iCs/>
                <w:sz w:val="24"/>
              </w:rPr>
              <w:t>megacephala</w:t>
            </w:r>
            <w:proofErr w:type="spellEnd"/>
          </w:p>
        </w:tc>
        <w:tc>
          <w:tcPr>
            <w:tcW w:w="1184" w:type="pct"/>
            <w:hideMark/>
          </w:tcPr>
          <w:p w14:paraId="6072D1F3" w14:textId="77777777" w:rsidR="003D3CBA" w:rsidRPr="003D3CBA" w:rsidRDefault="003D3CBA" w:rsidP="004B29F1">
            <w:pPr>
              <w:pStyle w:val="ListParagraph"/>
              <w:tabs>
                <w:tab w:val="left" w:pos="450"/>
              </w:tabs>
              <w:spacing w:line="360" w:lineRule="auto"/>
              <w:ind w:leftChars="40" w:left="88" w:firstLine="0"/>
              <w:jc w:val="both"/>
              <w:rPr>
                <w:sz w:val="24"/>
              </w:rPr>
            </w:pPr>
            <w:r w:rsidRPr="003D3CBA">
              <w:rPr>
                <w:sz w:val="24"/>
              </w:rPr>
              <w:t>LC684826.1</w:t>
            </w:r>
          </w:p>
        </w:tc>
      </w:tr>
    </w:tbl>
    <w:p w14:paraId="215AEC11" w14:textId="77777777" w:rsidR="00354139" w:rsidRDefault="00354139" w:rsidP="004B29F1">
      <w:pPr>
        <w:pStyle w:val="ListParagraph"/>
        <w:tabs>
          <w:tab w:val="left" w:pos="450"/>
        </w:tabs>
        <w:spacing w:line="360" w:lineRule="auto"/>
        <w:ind w:leftChars="40" w:left="88" w:firstLine="0"/>
        <w:jc w:val="both"/>
        <w:rPr>
          <w:b/>
          <w:bCs/>
          <w:sz w:val="24"/>
        </w:rPr>
      </w:pPr>
    </w:p>
    <w:p w14:paraId="416E05E8" w14:textId="77777777" w:rsidR="00CA4C62" w:rsidRDefault="00CA4C62" w:rsidP="004B29F1">
      <w:pPr>
        <w:pStyle w:val="ListParagraph"/>
        <w:tabs>
          <w:tab w:val="left" w:pos="450"/>
        </w:tabs>
        <w:spacing w:line="360" w:lineRule="auto"/>
        <w:ind w:leftChars="40" w:left="88" w:firstLine="0"/>
        <w:jc w:val="both"/>
        <w:rPr>
          <w:b/>
          <w:bCs/>
          <w:sz w:val="24"/>
        </w:rPr>
      </w:pPr>
    </w:p>
    <w:p w14:paraId="5E60E6E7" w14:textId="77777777" w:rsidR="00CA4C62" w:rsidRDefault="00CA4C62" w:rsidP="004B29F1">
      <w:pPr>
        <w:pStyle w:val="ListParagraph"/>
        <w:tabs>
          <w:tab w:val="left" w:pos="450"/>
        </w:tabs>
        <w:spacing w:line="360" w:lineRule="auto"/>
        <w:ind w:leftChars="40" w:left="88" w:firstLine="0"/>
        <w:jc w:val="both"/>
        <w:rPr>
          <w:b/>
          <w:bCs/>
          <w:sz w:val="24"/>
        </w:rPr>
      </w:pPr>
    </w:p>
    <w:p w14:paraId="10970EEA" w14:textId="34E55E56" w:rsidR="003D3CBA" w:rsidRDefault="003D3CBA" w:rsidP="004B29F1">
      <w:pPr>
        <w:pStyle w:val="ListParagraph"/>
        <w:tabs>
          <w:tab w:val="left" w:pos="450"/>
        </w:tabs>
        <w:spacing w:line="360" w:lineRule="auto"/>
        <w:ind w:leftChars="40" w:left="88" w:firstLine="0"/>
        <w:jc w:val="both"/>
        <w:rPr>
          <w:b/>
          <w:bCs/>
          <w:sz w:val="24"/>
        </w:rPr>
      </w:pPr>
      <w:r w:rsidRPr="003D3CBA">
        <w:rPr>
          <w:b/>
          <w:bCs/>
          <w:sz w:val="24"/>
        </w:rPr>
        <w:lastRenderedPageBreak/>
        <w:t>TABLE 6. Summary of Molecular Identification</w:t>
      </w:r>
    </w:p>
    <w:tbl>
      <w:tblPr>
        <w:tblStyle w:val="TableGrid"/>
        <w:tblW w:w="5000" w:type="pct"/>
        <w:tblLook w:val="04A0" w:firstRow="1" w:lastRow="0" w:firstColumn="1" w:lastColumn="0" w:noHBand="0" w:noVBand="1"/>
      </w:tblPr>
      <w:tblGrid>
        <w:gridCol w:w="5353"/>
        <w:gridCol w:w="3203"/>
      </w:tblGrid>
      <w:tr w:rsidR="00354139" w:rsidRPr="003D3CBA" w14:paraId="4400DCA6" w14:textId="77777777" w:rsidTr="00CA4C62">
        <w:tc>
          <w:tcPr>
            <w:tcW w:w="3128" w:type="pct"/>
            <w:hideMark/>
          </w:tcPr>
          <w:p w14:paraId="1EABFA77" w14:textId="77777777" w:rsidR="00354139" w:rsidRPr="003D3CBA" w:rsidRDefault="00354139" w:rsidP="004B29F1">
            <w:pPr>
              <w:pStyle w:val="ListParagraph"/>
              <w:tabs>
                <w:tab w:val="left" w:pos="450"/>
              </w:tabs>
              <w:spacing w:line="360" w:lineRule="auto"/>
              <w:ind w:leftChars="40" w:left="88" w:firstLine="0"/>
              <w:jc w:val="both"/>
              <w:rPr>
                <w:b/>
                <w:bCs/>
                <w:sz w:val="24"/>
              </w:rPr>
            </w:pPr>
            <w:r w:rsidRPr="003D3CBA">
              <w:rPr>
                <w:b/>
                <w:bCs/>
                <w:sz w:val="24"/>
              </w:rPr>
              <w:t>Parameter</w:t>
            </w:r>
          </w:p>
        </w:tc>
        <w:tc>
          <w:tcPr>
            <w:tcW w:w="1872" w:type="pct"/>
            <w:hideMark/>
          </w:tcPr>
          <w:p w14:paraId="46B463D9" w14:textId="77777777" w:rsidR="00354139" w:rsidRPr="003D3CBA" w:rsidRDefault="00354139" w:rsidP="004B29F1">
            <w:pPr>
              <w:pStyle w:val="ListParagraph"/>
              <w:tabs>
                <w:tab w:val="left" w:pos="450"/>
              </w:tabs>
              <w:spacing w:line="360" w:lineRule="auto"/>
              <w:ind w:leftChars="40" w:left="88" w:firstLine="0"/>
              <w:jc w:val="both"/>
              <w:rPr>
                <w:b/>
                <w:bCs/>
                <w:sz w:val="24"/>
              </w:rPr>
            </w:pPr>
            <w:r w:rsidRPr="003D3CBA">
              <w:rPr>
                <w:b/>
                <w:bCs/>
                <w:sz w:val="24"/>
              </w:rPr>
              <w:t>F1-Cow</w:t>
            </w:r>
          </w:p>
        </w:tc>
      </w:tr>
      <w:tr w:rsidR="00354139" w:rsidRPr="003D3CBA" w14:paraId="211266A3" w14:textId="77777777" w:rsidTr="00CA4C62">
        <w:tc>
          <w:tcPr>
            <w:tcW w:w="3128" w:type="pct"/>
            <w:hideMark/>
          </w:tcPr>
          <w:p w14:paraId="701DA1DF"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DNA Yield</w:t>
            </w:r>
          </w:p>
        </w:tc>
        <w:tc>
          <w:tcPr>
            <w:tcW w:w="1872" w:type="pct"/>
            <w:hideMark/>
          </w:tcPr>
          <w:p w14:paraId="3BD7D27C"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124 ng/µl</w:t>
            </w:r>
          </w:p>
        </w:tc>
      </w:tr>
      <w:tr w:rsidR="00354139" w:rsidRPr="003D3CBA" w14:paraId="440CFBBB" w14:textId="77777777" w:rsidTr="00CA4C62">
        <w:tc>
          <w:tcPr>
            <w:tcW w:w="3128" w:type="pct"/>
            <w:hideMark/>
          </w:tcPr>
          <w:p w14:paraId="59F84BC3"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COI Sequence Length</w:t>
            </w:r>
          </w:p>
        </w:tc>
        <w:tc>
          <w:tcPr>
            <w:tcW w:w="1872" w:type="pct"/>
            <w:hideMark/>
          </w:tcPr>
          <w:p w14:paraId="257F5BCC"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656 bp</w:t>
            </w:r>
          </w:p>
        </w:tc>
      </w:tr>
      <w:tr w:rsidR="00354139" w:rsidRPr="003D3CBA" w14:paraId="46F6B717" w14:textId="77777777" w:rsidTr="00CA4C62">
        <w:tc>
          <w:tcPr>
            <w:tcW w:w="3128" w:type="pct"/>
            <w:hideMark/>
          </w:tcPr>
          <w:p w14:paraId="41220F5F"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BLAST % Similarity</w:t>
            </w:r>
          </w:p>
        </w:tc>
        <w:tc>
          <w:tcPr>
            <w:tcW w:w="1872" w:type="pct"/>
            <w:hideMark/>
          </w:tcPr>
          <w:p w14:paraId="52B49291"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99.09%</w:t>
            </w:r>
          </w:p>
        </w:tc>
      </w:tr>
      <w:tr w:rsidR="00354139" w:rsidRPr="003D3CBA" w14:paraId="25C7FC0A" w14:textId="77777777" w:rsidTr="00CA4C62">
        <w:tc>
          <w:tcPr>
            <w:tcW w:w="3128" w:type="pct"/>
            <w:hideMark/>
          </w:tcPr>
          <w:p w14:paraId="01DAC34D"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Identified Species</w:t>
            </w:r>
          </w:p>
        </w:tc>
        <w:tc>
          <w:tcPr>
            <w:tcW w:w="1872" w:type="pct"/>
            <w:hideMark/>
          </w:tcPr>
          <w:p w14:paraId="40832190"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i/>
                <w:iCs/>
                <w:sz w:val="24"/>
              </w:rPr>
              <w:t>C. megacephala</w:t>
            </w:r>
          </w:p>
        </w:tc>
      </w:tr>
      <w:tr w:rsidR="00354139" w:rsidRPr="003D3CBA" w14:paraId="117F1539" w14:textId="77777777" w:rsidTr="00CA4C62">
        <w:tc>
          <w:tcPr>
            <w:tcW w:w="3128" w:type="pct"/>
            <w:hideMark/>
          </w:tcPr>
          <w:p w14:paraId="041CC5A2"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Phylogenetic Tree Clustering</w:t>
            </w:r>
          </w:p>
        </w:tc>
        <w:tc>
          <w:tcPr>
            <w:tcW w:w="1872" w:type="pct"/>
            <w:hideMark/>
          </w:tcPr>
          <w:p w14:paraId="5ED69298" w14:textId="77777777" w:rsidR="00354139" w:rsidRPr="003D3CBA" w:rsidRDefault="00354139" w:rsidP="004B29F1">
            <w:pPr>
              <w:pStyle w:val="ListParagraph"/>
              <w:tabs>
                <w:tab w:val="left" w:pos="450"/>
              </w:tabs>
              <w:spacing w:line="360" w:lineRule="auto"/>
              <w:ind w:leftChars="40" w:left="88" w:firstLine="0"/>
              <w:jc w:val="both"/>
              <w:rPr>
                <w:sz w:val="24"/>
              </w:rPr>
            </w:pPr>
            <w:r w:rsidRPr="003D3CBA">
              <w:rPr>
                <w:sz w:val="24"/>
              </w:rPr>
              <w:t>Same clade</w:t>
            </w:r>
          </w:p>
        </w:tc>
      </w:tr>
    </w:tbl>
    <w:p w14:paraId="0EE17BD9" w14:textId="77777777" w:rsidR="007273C0" w:rsidRDefault="007273C0" w:rsidP="004B29F1">
      <w:pPr>
        <w:pStyle w:val="ListParagraph"/>
        <w:tabs>
          <w:tab w:val="left" w:pos="450"/>
        </w:tabs>
        <w:spacing w:line="360" w:lineRule="auto"/>
        <w:ind w:leftChars="40" w:left="88" w:firstLine="0"/>
        <w:jc w:val="both"/>
        <w:rPr>
          <w:b/>
          <w:bCs/>
          <w:sz w:val="24"/>
        </w:rPr>
      </w:pPr>
    </w:p>
    <w:p w14:paraId="2A65CAA0" w14:textId="544AC0F7" w:rsidR="007273C0" w:rsidRPr="002C0F60" w:rsidRDefault="00184D5D" w:rsidP="004B29F1">
      <w:pPr>
        <w:pStyle w:val="ListParagraph"/>
        <w:tabs>
          <w:tab w:val="left" w:pos="450"/>
        </w:tabs>
        <w:spacing w:line="360" w:lineRule="auto"/>
        <w:ind w:leftChars="40" w:left="451"/>
        <w:jc w:val="both"/>
        <w:rPr>
          <w:b/>
          <w:bCs/>
          <w:sz w:val="24"/>
        </w:rPr>
      </w:pPr>
      <w:r>
        <w:rPr>
          <w:b/>
          <w:bCs/>
          <w:sz w:val="24"/>
        </w:rPr>
        <w:t xml:space="preserve">4. </w:t>
      </w:r>
      <w:r w:rsidR="007273C0" w:rsidRPr="002C0F60">
        <w:rPr>
          <w:b/>
          <w:bCs/>
          <w:sz w:val="24"/>
        </w:rPr>
        <w:t>CONCLUSION</w:t>
      </w:r>
      <w:r w:rsidR="00593C5C">
        <w:rPr>
          <w:b/>
          <w:bCs/>
          <w:sz w:val="24"/>
        </w:rPr>
        <w:t>:</w:t>
      </w:r>
    </w:p>
    <w:p w14:paraId="44E8E8F3" w14:textId="31F632B6" w:rsidR="007273C0" w:rsidRDefault="007273C0" w:rsidP="00184D5D">
      <w:pPr>
        <w:pStyle w:val="ListParagraph"/>
        <w:tabs>
          <w:tab w:val="left" w:pos="450"/>
        </w:tabs>
        <w:spacing w:line="360" w:lineRule="auto"/>
        <w:ind w:leftChars="7" w:left="15" w:firstLine="0"/>
        <w:jc w:val="both"/>
        <w:rPr>
          <w:sz w:val="24"/>
        </w:rPr>
      </w:pPr>
      <w:r>
        <w:rPr>
          <w:sz w:val="24"/>
        </w:rPr>
        <w:tab/>
      </w:r>
      <w:r>
        <w:rPr>
          <w:sz w:val="24"/>
        </w:rPr>
        <w:tab/>
      </w:r>
      <w:r w:rsidR="00CA4C62" w:rsidRPr="00CA4C62">
        <w:rPr>
          <w:sz w:val="24"/>
        </w:rPr>
        <w:t xml:space="preserve">The present study successfully demonstrates the applicability of mitochondrial cytochrome oxidase I (COI) gene–based DNA barcoding for accurate species-level identification of cadaver-associated insects in forensic investigations. The F1-Cow sample yielded high-quality genomic DNA in sufficient quantity, enabling efficient PCR amplification and generation of a reliable COI sequence. Sequence alignment, BLAST analysis, and phylogenetic reconstruction consistently identified the specimen as </w:t>
      </w:r>
      <w:proofErr w:type="spellStart"/>
      <w:r w:rsidR="00CA4C62" w:rsidRPr="00CA4C62">
        <w:rPr>
          <w:i/>
          <w:iCs/>
          <w:sz w:val="24"/>
        </w:rPr>
        <w:t>Chrysomya</w:t>
      </w:r>
      <w:proofErr w:type="spellEnd"/>
      <w:r w:rsidR="00CA4C62" w:rsidRPr="00CA4C62">
        <w:rPr>
          <w:i/>
          <w:iCs/>
          <w:sz w:val="24"/>
        </w:rPr>
        <w:t xml:space="preserve"> </w:t>
      </w:r>
      <w:proofErr w:type="spellStart"/>
      <w:r w:rsidR="00CA4C62" w:rsidRPr="00CA4C62">
        <w:rPr>
          <w:i/>
          <w:iCs/>
          <w:sz w:val="24"/>
        </w:rPr>
        <w:t>megacephala</w:t>
      </w:r>
      <w:proofErr w:type="spellEnd"/>
      <w:r w:rsidR="00CA4C62" w:rsidRPr="00CA4C62">
        <w:rPr>
          <w:sz w:val="24"/>
        </w:rPr>
        <w:t>, with high sequence similarity and strong phylogenetic support. The concordance among DNA quantification, amplification success, sequence quality, BLAST similarity, and phylogenetic clustering confirms the robustness of the molecular workflow employed. These findings highlight the value of COI-based molecular identification as a reliable complement to traditional morphological methods, particularly in forensic cases involving decomposed or damaged specimens, and reinforce its significance in strengthening forensic entomological evidence and subsequent post-mortem interval estimations.</w:t>
      </w:r>
    </w:p>
    <w:p w14:paraId="79870FB3" w14:textId="77777777" w:rsidR="00354139" w:rsidRPr="00184D5D" w:rsidRDefault="00354139" w:rsidP="00184D5D">
      <w:pPr>
        <w:pStyle w:val="ListParagraph"/>
        <w:tabs>
          <w:tab w:val="left" w:pos="450"/>
        </w:tabs>
        <w:spacing w:line="360" w:lineRule="auto"/>
        <w:ind w:leftChars="7" w:left="15" w:firstLine="0"/>
        <w:jc w:val="both"/>
        <w:rPr>
          <w:sz w:val="24"/>
        </w:rPr>
      </w:pPr>
    </w:p>
    <w:p w14:paraId="53342C03" w14:textId="617EB09F" w:rsidR="005058A8" w:rsidRPr="00B7605B" w:rsidRDefault="00184D5D" w:rsidP="004B29F1">
      <w:pPr>
        <w:spacing w:line="360" w:lineRule="auto"/>
        <w:jc w:val="both"/>
        <w:rPr>
          <w:b/>
          <w:bCs/>
          <w:sz w:val="24"/>
          <w:szCs w:val="28"/>
        </w:rPr>
      </w:pPr>
      <w:bookmarkStart w:id="0" w:name="_GoBack"/>
      <w:bookmarkEnd w:id="0"/>
      <w:r w:rsidRPr="00B7605B">
        <w:rPr>
          <w:b/>
          <w:bCs/>
          <w:sz w:val="24"/>
          <w:szCs w:val="28"/>
        </w:rPr>
        <w:t>6. CONFLICT OF STUDY</w:t>
      </w:r>
      <w:r w:rsidR="00593C5C" w:rsidRPr="00B7605B">
        <w:rPr>
          <w:b/>
          <w:bCs/>
          <w:sz w:val="24"/>
          <w:szCs w:val="28"/>
        </w:rPr>
        <w:t>:</w:t>
      </w:r>
    </w:p>
    <w:p w14:paraId="138940B1" w14:textId="77777777" w:rsidR="005058A8" w:rsidRPr="00B7605B" w:rsidRDefault="005058A8" w:rsidP="004B29F1">
      <w:pPr>
        <w:spacing w:line="360" w:lineRule="auto"/>
        <w:ind w:firstLine="720"/>
        <w:jc w:val="both"/>
        <w:rPr>
          <w:sz w:val="24"/>
          <w:szCs w:val="28"/>
        </w:rPr>
      </w:pPr>
      <w:r w:rsidRPr="00B7605B">
        <w:rPr>
          <w:sz w:val="24"/>
          <w:szCs w:val="28"/>
        </w:rPr>
        <w:t xml:space="preserve">The author hereby declares that there is no conflict of interest or financial relationship that could have influenced the outcomes of this research work. </w:t>
      </w:r>
    </w:p>
    <w:p w14:paraId="25BD5F0B" w14:textId="77777777" w:rsidR="005058A8" w:rsidRDefault="005058A8" w:rsidP="004B29F1">
      <w:pPr>
        <w:pStyle w:val="ListParagraph"/>
        <w:tabs>
          <w:tab w:val="left" w:pos="450"/>
        </w:tabs>
        <w:spacing w:line="360" w:lineRule="auto"/>
        <w:ind w:leftChars="7" w:left="378"/>
        <w:jc w:val="both"/>
        <w:rPr>
          <w:b/>
          <w:bCs/>
          <w:sz w:val="24"/>
        </w:rPr>
      </w:pPr>
    </w:p>
    <w:p w14:paraId="1DD82270" w14:textId="514BA0A4" w:rsidR="000D3365" w:rsidRPr="000D3365" w:rsidRDefault="00184D5D" w:rsidP="004B29F1">
      <w:pPr>
        <w:pStyle w:val="ListParagraph"/>
        <w:tabs>
          <w:tab w:val="left" w:pos="450"/>
        </w:tabs>
        <w:spacing w:line="360" w:lineRule="auto"/>
        <w:ind w:leftChars="7" w:left="378"/>
        <w:jc w:val="both"/>
        <w:rPr>
          <w:b/>
          <w:bCs/>
          <w:sz w:val="24"/>
        </w:rPr>
      </w:pPr>
      <w:r>
        <w:rPr>
          <w:b/>
          <w:bCs/>
          <w:sz w:val="24"/>
        </w:rPr>
        <w:t xml:space="preserve">7. </w:t>
      </w:r>
      <w:r w:rsidR="000D3365" w:rsidRPr="000D3365">
        <w:rPr>
          <w:b/>
          <w:bCs/>
          <w:sz w:val="24"/>
        </w:rPr>
        <w:t>FUTURE SCOPE</w:t>
      </w:r>
      <w:r w:rsidR="00593C5C">
        <w:rPr>
          <w:b/>
          <w:bCs/>
          <w:sz w:val="24"/>
        </w:rPr>
        <w:t>:</w:t>
      </w:r>
    </w:p>
    <w:p w14:paraId="07ADEF6C" w14:textId="6D154EB6" w:rsidR="000D3365" w:rsidRPr="000D3365" w:rsidRDefault="00D03AA6" w:rsidP="00593C5C">
      <w:pPr>
        <w:pStyle w:val="ListParagraph"/>
        <w:tabs>
          <w:tab w:val="left" w:pos="450"/>
        </w:tabs>
        <w:spacing w:after="240" w:line="360" w:lineRule="auto"/>
        <w:ind w:left="15" w:firstLine="0"/>
        <w:jc w:val="both"/>
        <w:rPr>
          <w:sz w:val="24"/>
        </w:rPr>
      </w:pPr>
      <w:r>
        <w:rPr>
          <w:sz w:val="24"/>
        </w:rPr>
        <w:tab/>
      </w:r>
      <w:r>
        <w:rPr>
          <w:sz w:val="24"/>
        </w:rPr>
        <w:tab/>
      </w:r>
      <w:r w:rsidR="000D3365" w:rsidRPr="000D3365">
        <w:rPr>
          <w:sz w:val="24"/>
        </w:rPr>
        <w:t>This study highlights the potential of COI gene sequencing for accurate identification of cadaveric insects. Future research should focus on developing region-specific DNA barcode libraries, generating local developmental datasets for PMI estimation</w:t>
      </w:r>
      <w:r w:rsidR="004B29F1">
        <w:rPr>
          <w:sz w:val="24"/>
        </w:rPr>
        <w:t xml:space="preserve"> and</w:t>
      </w:r>
      <w:r w:rsidR="000D3365" w:rsidRPr="000D3365">
        <w:rPr>
          <w:sz w:val="24"/>
        </w:rPr>
        <w:t xml:space="preserve"> examining insect </w:t>
      </w:r>
      <w:proofErr w:type="spellStart"/>
      <w:r w:rsidR="000D3365" w:rsidRPr="000D3365">
        <w:rPr>
          <w:sz w:val="24"/>
        </w:rPr>
        <w:t>behaviour</w:t>
      </w:r>
      <w:proofErr w:type="spellEnd"/>
      <w:r w:rsidR="000D3365" w:rsidRPr="000D3365">
        <w:rPr>
          <w:sz w:val="24"/>
        </w:rPr>
        <w:t xml:space="preserve"> under diverse environmental conditions.</w:t>
      </w:r>
      <w:r w:rsidR="000D3365" w:rsidRPr="000D3365">
        <w:rPr>
          <w:sz w:val="24"/>
        </w:rPr>
        <w:br/>
      </w:r>
      <w:r w:rsidR="000D3365" w:rsidRPr="000D3365">
        <w:rPr>
          <w:sz w:val="24"/>
        </w:rPr>
        <w:lastRenderedPageBreak/>
        <w:t>Expanding molecular markers, integrating next-generation sequencing</w:t>
      </w:r>
      <w:r w:rsidR="004B29F1">
        <w:rPr>
          <w:sz w:val="24"/>
        </w:rPr>
        <w:t xml:space="preserve"> and</w:t>
      </w:r>
      <w:r w:rsidR="000D3365" w:rsidRPr="000D3365">
        <w:rPr>
          <w:sz w:val="24"/>
        </w:rPr>
        <w:t xml:space="preserve"> enhancing collaboration with forensic agencies will further strengthen the application of forensic entomology in medico-legal investigations.</w:t>
      </w:r>
    </w:p>
    <w:p w14:paraId="404D1DEF" w14:textId="6926C600" w:rsidR="002C0F60" w:rsidRPr="00C70E4E" w:rsidRDefault="00184D5D" w:rsidP="004B29F1">
      <w:pPr>
        <w:pStyle w:val="ListParagraph"/>
        <w:tabs>
          <w:tab w:val="left" w:pos="450"/>
        </w:tabs>
        <w:spacing w:line="360" w:lineRule="auto"/>
        <w:ind w:leftChars="7" w:left="15" w:firstLine="0"/>
        <w:jc w:val="both"/>
        <w:rPr>
          <w:b/>
          <w:bCs/>
          <w:sz w:val="24"/>
        </w:rPr>
      </w:pPr>
      <w:r>
        <w:rPr>
          <w:b/>
          <w:bCs/>
          <w:sz w:val="24"/>
        </w:rPr>
        <w:t xml:space="preserve">8. </w:t>
      </w:r>
      <w:r w:rsidRPr="00C70E4E">
        <w:rPr>
          <w:b/>
          <w:bCs/>
          <w:sz w:val="24"/>
        </w:rPr>
        <w:t>REFERENCES:</w:t>
      </w:r>
    </w:p>
    <w:p w14:paraId="01F13171" w14:textId="77777777" w:rsidR="000E46D0" w:rsidRPr="000D5BD5" w:rsidRDefault="000E46D0" w:rsidP="000E46D0">
      <w:pPr>
        <w:pStyle w:val="ListParagraph"/>
        <w:tabs>
          <w:tab w:val="left" w:pos="450"/>
        </w:tabs>
        <w:spacing w:line="360" w:lineRule="auto"/>
        <w:ind w:leftChars="40" w:left="720" w:hanging="632"/>
        <w:jc w:val="both"/>
        <w:rPr>
          <w:color w:val="000000" w:themeColor="text1"/>
          <w:sz w:val="24"/>
        </w:rPr>
      </w:pPr>
      <w:r w:rsidRPr="000D5BD5">
        <w:rPr>
          <w:color w:val="000000" w:themeColor="text1"/>
          <w:sz w:val="24"/>
        </w:rPr>
        <w:t>Amendt, J., Campobasso, C. P., Gaudry, E., Reiter, C., LeBlanc, H. N., &amp; Hall, M. J. R. (2007). Best practice in forensic entomology</w:t>
      </w:r>
      <w:r w:rsidRPr="000D5BD5">
        <w:rPr>
          <w:i/>
          <w:iCs/>
          <w:color w:val="000000" w:themeColor="text1"/>
          <w:sz w:val="24"/>
        </w:rPr>
        <w:t>-</w:t>
      </w:r>
      <w:r w:rsidRPr="000D5BD5">
        <w:rPr>
          <w:color w:val="000000" w:themeColor="text1"/>
          <w:sz w:val="24"/>
        </w:rPr>
        <w:t xml:space="preserve">standards and guidelines. </w:t>
      </w:r>
      <w:r w:rsidRPr="000D5BD5">
        <w:rPr>
          <w:i/>
          <w:iCs/>
          <w:color w:val="000000" w:themeColor="text1"/>
          <w:sz w:val="24"/>
        </w:rPr>
        <w:t>International Journal of Legal Medicine, 121</w:t>
      </w:r>
      <w:r w:rsidRPr="000D5BD5">
        <w:rPr>
          <w:color w:val="000000" w:themeColor="text1"/>
          <w:sz w:val="24"/>
        </w:rPr>
        <w:t xml:space="preserve">(2), 90–104. </w:t>
      </w:r>
    </w:p>
    <w:p w14:paraId="1D025F45" w14:textId="77777777" w:rsidR="000E46D0" w:rsidRPr="000D5BD5" w:rsidRDefault="000E46D0" w:rsidP="000E46D0">
      <w:pPr>
        <w:pStyle w:val="ListParagraph"/>
        <w:tabs>
          <w:tab w:val="left" w:pos="450"/>
        </w:tabs>
        <w:spacing w:line="360" w:lineRule="auto"/>
        <w:ind w:leftChars="40" w:left="720" w:hanging="632"/>
        <w:jc w:val="both"/>
        <w:rPr>
          <w:color w:val="000000" w:themeColor="text1"/>
          <w:sz w:val="24"/>
        </w:rPr>
      </w:pPr>
      <w:r w:rsidRPr="000D5BD5">
        <w:rPr>
          <w:color w:val="000000" w:themeColor="text1"/>
          <w:sz w:val="24"/>
        </w:rPr>
        <w:t xml:space="preserve">Amendt, J., </w:t>
      </w:r>
      <w:proofErr w:type="spellStart"/>
      <w:r w:rsidRPr="000D5BD5">
        <w:rPr>
          <w:color w:val="000000" w:themeColor="text1"/>
          <w:sz w:val="24"/>
        </w:rPr>
        <w:t>Krettek</w:t>
      </w:r>
      <w:proofErr w:type="spellEnd"/>
      <w:r w:rsidRPr="000D5BD5">
        <w:rPr>
          <w:color w:val="000000" w:themeColor="text1"/>
          <w:sz w:val="24"/>
        </w:rPr>
        <w:t xml:space="preserve">, R., &amp; Zehner, R. (2004). Forensic entomology. </w:t>
      </w:r>
      <w:proofErr w:type="spellStart"/>
      <w:r w:rsidRPr="000D5BD5">
        <w:rPr>
          <w:i/>
          <w:iCs/>
          <w:color w:val="000000" w:themeColor="text1"/>
          <w:sz w:val="24"/>
        </w:rPr>
        <w:t>Naturwissenschaften</w:t>
      </w:r>
      <w:proofErr w:type="spellEnd"/>
      <w:r w:rsidRPr="000D5BD5">
        <w:rPr>
          <w:i/>
          <w:iCs/>
          <w:color w:val="000000" w:themeColor="text1"/>
          <w:sz w:val="24"/>
        </w:rPr>
        <w:t>, 91</w:t>
      </w:r>
      <w:r w:rsidRPr="000D5BD5">
        <w:rPr>
          <w:color w:val="000000" w:themeColor="text1"/>
          <w:sz w:val="24"/>
        </w:rPr>
        <w:t xml:space="preserve">(2), 51–65. </w:t>
      </w:r>
    </w:p>
    <w:p w14:paraId="7F0D9BC7" w14:textId="77777777" w:rsidR="000E46D0" w:rsidRPr="000D5BD5" w:rsidRDefault="000E46D0" w:rsidP="000E46D0">
      <w:pPr>
        <w:pStyle w:val="ListParagraph"/>
        <w:tabs>
          <w:tab w:val="left" w:pos="450"/>
        </w:tabs>
        <w:spacing w:line="360" w:lineRule="auto"/>
        <w:ind w:leftChars="40" w:left="720" w:hanging="632"/>
        <w:jc w:val="both"/>
        <w:rPr>
          <w:color w:val="000000" w:themeColor="text1"/>
          <w:sz w:val="24"/>
        </w:rPr>
      </w:pPr>
      <w:r w:rsidRPr="000D5BD5">
        <w:rPr>
          <w:color w:val="000000" w:themeColor="text1"/>
          <w:sz w:val="24"/>
        </w:rPr>
        <w:t xml:space="preserve">Badenhorst, R., &amp; </w:t>
      </w:r>
      <w:proofErr w:type="spellStart"/>
      <w:r w:rsidRPr="000D5BD5">
        <w:rPr>
          <w:color w:val="000000" w:themeColor="text1"/>
          <w:sz w:val="24"/>
        </w:rPr>
        <w:t>Villet</w:t>
      </w:r>
      <w:proofErr w:type="spellEnd"/>
      <w:r w:rsidRPr="000D5BD5">
        <w:rPr>
          <w:color w:val="000000" w:themeColor="text1"/>
          <w:sz w:val="24"/>
        </w:rPr>
        <w:t xml:space="preserve">, M. H. (2018). The uses of </w:t>
      </w:r>
      <w:proofErr w:type="spellStart"/>
      <w:r w:rsidRPr="000D5BD5">
        <w:rPr>
          <w:i/>
          <w:iCs/>
          <w:color w:val="000000" w:themeColor="text1"/>
          <w:sz w:val="24"/>
        </w:rPr>
        <w:t>Chrysomya</w:t>
      </w:r>
      <w:proofErr w:type="spellEnd"/>
      <w:r w:rsidRPr="000D5BD5">
        <w:rPr>
          <w:i/>
          <w:iCs/>
          <w:color w:val="000000" w:themeColor="text1"/>
          <w:sz w:val="24"/>
        </w:rPr>
        <w:t xml:space="preserve"> </w:t>
      </w:r>
      <w:proofErr w:type="spellStart"/>
      <w:r w:rsidRPr="000D5BD5">
        <w:rPr>
          <w:i/>
          <w:iCs/>
          <w:color w:val="000000" w:themeColor="text1"/>
          <w:sz w:val="24"/>
        </w:rPr>
        <w:t>megacephala</w:t>
      </w:r>
      <w:proofErr w:type="spellEnd"/>
      <w:r w:rsidRPr="000D5BD5">
        <w:rPr>
          <w:color w:val="000000" w:themeColor="text1"/>
          <w:sz w:val="24"/>
        </w:rPr>
        <w:t xml:space="preserve"> (</w:t>
      </w:r>
      <w:proofErr w:type="spellStart"/>
      <w:r w:rsidRPr="000D5BD5">
        <w:rPr>
          <w:color w:val="000000" w:themeColor="text1"/>
          <w:sz w:val="24"/>
        </w:rPr>
        <w:t>Fabricius</w:t>
      </w:r>
      <w:proofErr w:type="spellEnd"/>
      <w:r w:rsidRPr="000D5BD5">
        <w:rPr>
          <w:color w:val="000000" w:themeColor="text1"/>
          <w:sz w:val="24"/>
        </w:rPr>
        <w:t xml:space="preserve">, 1794) (Diptera: Calliphoridae) in forensic entomology. </w:t>
      </w:r>
      <w:r w:rsidRPr="000D5BD5">
        <w:rPr>
          <w:i/>
          <w:iCs/>
          <w:color w:val="000000" w:themeColor="text1"/>
          <w:sz w:val="24"/>
        </w:rPr>
        <w:t>Forensic Science Research, 3</w:t>
      </w:r>
      <w:r w:rsidRPr="000D5BD5">
        <w:rPr>
          <w:color w:val="000000" w:themeColor="text1"/>
          <w:sz w:val="24"/>
        </w:rPr>
        <w:t xml:space="preserve">(2), 2–15. </w:t>
      </w:r>
    </w:p>
    <w:p w14:paraId="481E1D99" w14:textId="77777777" w:rsidR="000E46D0" w:rsidRPr="000A5A42" w:rsidRDefault="000E46D0" w:rsidP="000E46D0">
      <w:pPr>
        <w:pStyle w:val="ListParagraph"/>
        <w:spacing w:line="360" w:lineRule="auto"/>
        <w:ind w:left="720" w:hanging="720"/>
        <w:jc w:val="both"/>
        <w:rPr>
          <w:color w:val="000000" w:themeColor="text1"/>
          <w:sz w:val="24"/>
        </w:rPr>
      </w:pPr>
      <w:proofErr w:type="spellStart"/>
      <w:r w:rsidRPr="000A5A42">
        <w:rPr>
          <w:color w:val="000000" w:themeColor="text1"/>
          <w:sz w:val="24"/>
        </w:rPr>
        <w:t>Bambaradeniya</w:t>
      </w:r>
      <w:proofErr w:type="spellEnd"/>
      <w:r w:rsidRPr="000A5A42">
        <w:rPr>
          <w:color w:val="000000" w:themeColor="text1"/>
          <w:sz w:val="24"/>
        </w:rPr>
        <w:t xml:space="preserve">, T. B. (2023). A summary of concepts, procedures and techniques in forensic entomology. </w:t>
      </w:r>
      <w:r w:rsidRPr="000A5A42">
        <w:rPr>
          <w:i/>
          <w:iCs/>
          <w:color w:val="000000" w:themeColor="text1"/>
          <w:sz w:val="24"/>
        </w:rPr>
        <w:t>Insects, 14</w:t>
      </w:r>
      <w:r w:rsidRPr="000A5A42">
        <w:rPr>
          <w:color w:val="000000" w:themeColor="text1"/>
          <w:sz w:val="24"/>
        </w:rPr>
        <w:t>(6), 536.</w:t>
      </w:r>
    </w:p>
    <w:p w14:paraId="46625D9C" w14:textId="77777777" w:rsidR="000E46D0" w:rsidRPr="000D5BD5" w:rsidRDefault="000E46D0" w:rsidP="000E46D0">
      <w:pPr>
        <w:pStyle w:val="ListParagraph"/>
        <w:tabs>
          <w:tab w:val="left" w:pos="450"/>
        </w:tabs>
        <w:spacing w:line="360" w:lineRule="auto"/>
        <w:ind w:leftChars="40" w:left="720" w:hanging="632"/>
        <w:jc w:val="both"/>
        <w:rPr>
          <w:color w:val="000000" w:themeColor="text1"/>
          <w:sz w:val="24"/>
        </w:rPr>
      </w:pPr>
      <w:r w:rsidRPr="000D5BD5">
        <w:rPr>
          <w:color w:val="000000" w:themeColor="text1"/>
          <w:sz w:val="24"/>
        </w:rPr>
        <w:t xml:space="preserve">Byrd, J. H., &amp; Castner, J. L. (2010). </w:t>
      </w:r>
      <w:r w:rsidRPr="000D5BD5">
        <w:rPr>
          <w:i/>
          <w:iCs/>
          <w:color w:val="000000" w:themeColor="text1"/>
          <w:sz w:val="24"/>
        </w:rPr>
        <w:t>Forensic Entomology: The Utility of Arthropods in Legal Investigations</w:t>
      </w:r>
      <w:r w:rsidRPr="000D5BD5">
        <w:rPr>
          <w:color w:val="000000" w:themeColor="text1"/>
          <w:sz w:val="24"/>
        </w:rPr>
        <w:t xml:space="preserve"> (2</w:t>
      </w:r>
      <w:r w:rsidRPr="000D5BD5">
        <w:rPr>
          <w:color w:val="000000" w:themeColor="text1"/>
          <w:sz w:val="24"/>
          <w:vertAlign w:val="superscript"/>
        </w:rPr>
        <w:t>nd</w:t>
      </w:r>
      <w:r w:rsidRPr="000D5BD5">
        <w:rPr>
          <w:color w:val="000000" w:themeColor="text1"/>
          <w:sz w:val="24"/>
        </w:rPr>
        <w:t xml:space="preserve"> ed.). CRC Press.</w:t>
      </w:r>
    </w:p>
    <w:p w14:paraId="46ADFA25" w14:textId="77777777" w:rsidR="000E46D0" w:rsidRPr="000A5A42" w:rsidRDefault="000E46D0" w:rsidP="000E46D0">
      <w:pPr>
        <w:pStyle w:val="ListParagraph"/>
        <w:spacing w:line="360" w:lineRule="auto"/>
        <w:ind w:left="720" w:hanging="720"/>
        <w:jc w:val="both"/>
        <w:rPr>
          <w:color w:val="000000" w:themeColor="text1"/>
          <w:sz w:val="24"/>
        </w:rPr>
      </w:pPr>
      <w:r w:rsidRPr="000A5A42">
        <w:rPr>
          <w:color w:val="000000" w:themeColor="text1"/>
          <w:sz w:val="24"/>
        </w:rPr>
        <w:t xml:space="preserve">Hebert, P. D. N., </w:t>
      </w:r>
      <w:proofErr w:type="spellStart"/>
      <w:r w:rsidRPr="000A5A42">
        <w:rPr>
          <w:color w:val="000000" w:themeColor="text1"/>
          <w:sz w:val="24"/>
        </w:rPr>
        <w:t>Cywinska</w:t>
      </w:r>
      <w:proofErr w:type="spellEnd"/>
      <w:r w:rsidRPr="000A5A42">
        <w:rPr>
          <w:color w:val="000000" w:themeColor="text1"/>
          <w:sz w:val="24"/>
        </w:rPr>
        <w:t xml:space="preserve">, A., Ball, S. L., &amp; </w:t>
      </w:r>
      <w:proofErr w:type="spellStart"/>
      <w:r w:rsidRPr="000A5A42">
        <w:rPr>
          <w:color w:val="000000" w:themeColor="text1"/>
          <w:sz w:val="24"/>
        </w:rPr>
        <w:t>deWaard</w:t>
      </w:r>
      <w:proofErr w:type="spellEnd"/>
      <w:r w:rsidRPr="000A5A42">
        <w:rPr>
          <w:color w:val="000000" w:themeColor="text1"/>
          <w:sz w:val="24"/>
        </w:rPr>
        <w:t xml:space="preserve">, J. R. (2003). Biological identifications through DNA barcodes. </w:t>
      </w:r>
      <w:r w:rsidRPr="000A5A42">
        <w:rPr>
          <w:i/>
          <w:iCs/>
          <w:color w:val="000000" w:themeColor="text1"/>
          <w:sz w:val="24"/>
        </w:rPr>
        <w:t>Proceedings of the Royal Society B: Biological Sciences, 270</w:t>
      </w:r>
      <w:r w:rsidRPr="000A5A42">
        <w:rPr>
          <w:color w:val="000000" w:themeColor="text1"/>
          <w:sz w:val="24"/>
        </w:rPr>
        <w:t xml:space="preserve">(1512), 313–321. </w:t>
      </w:r>
    </w:p>
    <w:p w14:paraId="1B623A6E" w14:textId="77777777" w:rsidR="000E46D0" w:rsidRDefault="000E46D0" w:rsidP="000E46D0">
      <w:pPr>
        <w:pStyle w:val="ListParagraph"/>
        <w:tabs>
          <w:tab w:val="left" w:pos="450"/>
        </w:tabs>
        <w:spacing w:line="360" w:lineRule="auto"/>
        <w:ind w:leftChars="40" w:left="720" w:hanging="632"/>
        <w:jc w:val="both"/>
        <w:rPr>
          <w:color w:val="000000" w:themeColor="text1"/>
        </w:rPr>
      </w:pPr>
      <w:r w:rsidRPr="000D5BD5">
        <w:rPr>
          <w:color w:val="000000" w:themeColor="text1"/>
        </w:rPr>
        <w:t xml:space="preserve">Jordaens, K., </w:t>
      </w:r>
      <w:proofErr w:type="spellStart"/>
      <w:r w:rsidRPr="000D5BD5">
        <w:rPr>
          <w:color w:val="000000" w:themeColor="text1"/>
        </w:rPr>
        <w:t>Sonet</w:t>
      </w:r>
      <w:proofErr w:type="spellEnd"/>
      <w:r w:rsidRPr="000D5BD5">
        <w:rPr>
          <w:color w:val="000000" w:themeColor="text1"/>
        </w:rPr>
        <w:t xml:space="preserve">, G., Braet, Y., De Meyer, M., </w:t>
      </w:r>
      <w:proofErr w:type="spellStart"/>
      <w:r w:rsidRPr="000D5BD5">
        <w:rPr>
          <w:color w:val="000000" w:themeColor="text1"/>
        </w:rPr>
        <w:t>Backeljau</w:t>
      </w:r>
      <w:proofErr w:type="spellEnd"/>
      <w:r w:rsidRPr="000D5BD5">
        <w:rPr>
          <w:color w:val="000000" w:themeColor="text1"/>
        </w:rPr>
        <w:t xml:space="preserve">, T., </w:t>
      </w:r>
      <w:proofErr w:type="spellStart"/>
      <w:r w:rsidRPr="000D5BD5">
        <w:rPr>
          <w:color w:val="000000" w:themeColor="text1"/>
        </w:rPr>
        <w:t>Goovaerts</w:t>
      </w:r>
      <w:proofErr w:type="spellEnd"/>
      <w:r w:rsidRPr="000D5BD5">
        <w:rPr>
          <w:color w:val="000000" w:themeColor="text1"/>
        </w:rPr>
        <w:t xml:space="preserve">, F., Bourguignon, L., &amp; </w:t>
      </w:r>
      <w:proofErr w:type="spellStart"/>
      <w:r w:rsidRPr="000D5BD5">
        <w:rPr>
          <w:color w:val="000000" w:themeColor="text1"/>
        </w:rPr>
        <w:t>Desmyter</w:t>
      </w:r>
      <w:proofErr w:type="spellEnd"/>
      <w:r w:rsidRPr="000D5BD5">
        <w:rPr>
          <w:color w:val="000000" w:themeColor="text1"/>
        </w:rPr>
        <w:t xml:space="preserve">, S. (2013). DNA barcoding and the differentiation between North American and West European </w:t>
      </w:r>
      <w:proofErr w:type="spellStart"/>
      <w:r w:rsidRPr="000D5BD5">
        <w:rPr>
          <w:color w:val="000000" w:themeColor="text1"/>
        </w:rPr>
        <w:t>Phormia</w:t>
      </w:r>
      <w:proofErr w:type="spellEnd"/>
      <w:r w:rsidRPr="000D5BD5">
        <w:rPr>
          <w:color w:val="000000" w:themeColor="text1"/>
        </w:rPr>
        <w:t xml:space="preserve"> </w:t>
      </w:r>
      <w:proofErr w:type="spellStart"/>
      <w:r w:rsidRPr="000D5BD5">
        <w:rPr>
          <w:color w:val="000000" w:themeColor="text1"/>
        </w:rPr>
        <w:t>regina</w:t>
      </w:r>
      <w:proofErr w:type="spellEnd"/>
      <w:r w:rsidRPr="000D5BD5">
        <w:rPr>
          <w:color w:val="000000" w:themeColor="text1"/>
        </w:rPr>
        <w:t xml:space="preserve"> (</w:t>
      </w:r>
      <w:proofErr w:type="spellStart"/>
      <w:r w:rsidRPr="000D5BD5">
        <w:rPr>
          <w:color w:val="000000" w:themeColor="text1"/>
        </w:rPr>
        <w:t>Diptera</w:t>
      </w:r>
      <w:proofErr w:type="spellEnd"/>
      <w:r w:rsidRPr="000D5BD5">
        <w:rPr>
          <w:color w:val="000000" w:themeColor="text1"/>
        </w:rPr>
        <w:t xml:space="preserve">, </w:t>
      </w:r>
      <w:proofErr w:type="spellStart"/>
      <w:r w:rsidRPr="000D5BD5">
        <w:rPr>
          <w:color w:val="000000" w:themeColor="text1"/>
        </w:rPr>
        <w:t>Calliphoridae</w:t>
      </w:r>
      <w:proofErr w:type="spellEnd"/>
      <w:r w:rsidRPr="000D5BD5">
        <w:rPr>
          <w:color w:val="000000" w:themeColor="text1"/>
        </w:rPr>
        <w:t xml:space="preserve">, </w:t>
      </w:r>
      <w:proofErr w:type="spellStart"/>
      <w:r w:rsidRPr="000D5BD5">
        <w:rPr>
          <w:color w:val="000000" w:themeColor="text1"/>
        </w:rPr>
        <w:t>Chrysomyinae</w:t>
      </w:r>
      <w:proofErr w:type="spellEnd"/>
      <w:r w:rsidRPr="000D5BD5">
        <w:rPr>
          <w:color w:val="000000" w:themeColor="text1"/>
        </w:rPr>
        <w:t xml:space="preserve">). </w:t>
      </w:r>
      <w:proofErr w:type="spellStart"/>
      <w:r w:rsidRPr="000D5BD5">
        <w:rPr>
          <w:color w:val="000000" w:themeColor="text1"/>
        </w:rPr>
        <w:t>ZooKeys</w:t>
      </w:r>
      <w:proofErr w:type="spellEnd"/>
      <w:r w:rsidRPr="000D5BD5">
        <w:rPr>
          <w:color w:val="000000" w:themeColor="text1"/>
        </w:rPr>
        <w:t>, 365, 149–174.</w:t>
      </w:r>
    </w:p>
    <w:p w14:paraId="22685166" w14:textId="77777777" w:rsidR="000E46D0" w:rsidRPr="000D5BD5" w:rsidRDefault="000E46D0" w:rsidP="000E46D0">
      <w:pPr>
        <w:pStyle w:val="ListParagraph"/>
        <w:tabs>
          <w:tab w:val="left" w:pos="450"/>
        </w:tabs>
        <w:spacing w:line="360" w:lineRule="auto"/>
        <w:ind w:leftChars="40" w:left="720" w:hanging="632"/>
        <w:jc w:val="both"/>
        <w:rPr>
          <w:color w:val="000000" w:themeColor="text1"/>
          <w:sz w:val="24"/>
        </w:rPr>
      </w:pPr>
      <w:r w:rsidRPr="000D5BD5">
        <w:rPr>
          <w:color w:val="000000" w:themeColor="text1"/>
          <w:sz w:val="24"/>
        </w:rPr>
        <w:t xml:space="preserve">Sim, L.-X., &amp; Zuha, R. M. (2019). Development of </w:t>
      </w:r>
      <w:proofErr w:type="spellStart"/>
      <w:r w:rsidRPr="000D5BD5">
        <w:rPr>
          <w:i/>
          <w:iCs/>
          <w:color w:val="000000" w:themeColor="text1"/>
          <w:sz w:val="24"/>
        </w:rPr>
        <w:t>Chrysomya</w:t>
      </w:r>
      <w:proofErr w:type="spellEnd"/>
      <w:r w:rsidRPr="000D5BD5">
        <w:rPr>
          <w:i/>
          <w:iCs/>
          <w:color w:val="000000" w:themeColor="text1"/>
          <w:sz w:val="24"/>
        </w:rPr>
        <w:t xml:space="preserve"> </w:t>
      </w:r>
      <w:proofErr w:type="spellStart"/>
      <w:r w:rsidRPr="000D5BD5">
        <w:rPr>
          <w:i/>
          <w:iCs/>
          <w:color w:val="000000" w:themeColor="text1"/>
          <w:sz w:val="24"/>
        </w:rPr>
        <w:t>megacephala</w:t>
      </w:r>
      <w:proofErr w:type="spellEnd"/>
      <w:r w:rsidRPr="000D5BD5">
        <w:rPr>
          <w:color w:val="000000" w:themeColor="text1"/>
          <w:sz w:val="24"/>
        </w:rPr>
        <w:t xml:space="preserve"> using geometric morphometrics for forensic applications. </w:t>
      </w:r>
      <w:r w:rsidRPr="000D5BD5">
        <w:rPr>
          <w:i/>
          <w:iCs/>
          <w:color w:val="000000" w:themeColor="text1"/>
          <w:sz w:val="24"/>
        </w:rPr>
        <w:t>Egyptian Journal of Forensic Sciences, 9</w:t>
      </w:r>
      <w:r w:rsidRPr="000D5BD5">
        <w:rPr>
          <w:color w:val="000000" w:themeColor="text1"/>
          <w:sz w:val="24"/>
        </w:rPr>
        <w:t>, 55.</w:t>
      </w:r>
    </w:p>
    <w:p w14:paraId="17077BD1" w14:textId="77777777" w:rsidR="000E46D0" w:rsidRPr="000D5BD5" w:rsidRDefault="000E46D0" w:rsidP="000E46D0">
      <w:pPr>
        <w:pStyle w:val="ListParagraph"/>
        <w:spacing w:line="360" w:lineRule="auto"/>
        <w:ind w:leftChars="40" w:left="720" w:hanging="632"/>
        <w:jc w:val="both"/>
        <w:rPr>
          <w:color w:val="000000" w:themeColor="text1"/>
          <w:sz w:val="24"/>
        </w:rPr>
      </w:pPr>
      <w:r w:rsidRPr="000D5BD5">
        <w:rPr>
          <w:color w:val="000000" w:themeColor="text1"/>
          <w:sz w:val="24"/>
        </w:rPr>
        <w:t xml:space="preserve">Sperling, F. A. H. </w:t>
      </w:r>
      <w:proofErr w:type="spellStart"/>
      <w:r w:rsidRPr="000D5BD5">
        <w:rPr>
          <w:color w:val="000000" w:themeColor="text1"/>
          <w:sz w:val="24"/>
        </w:rPr>
        <w:t>anderson</w:t>
      </w:r>
      <w:proofErr w:type="spellEnd"/>
      <w:r w:rsidRPr="000D5BD5">
        <w:rPr>
          <w:color w:val="000000" w:themeColor="text1"/>
          <w:sz w:val="24"/>
        </w:rPr>
        <w:t xml:space="preserve">, G. S., &amp; Hickey, D. A. (1994). A DNA-based approach to the identification of insect species used for PMI estimation. </w:t>
      </w:r>
      <w:r w:rsidRPr="000D5BD5">
        <w:rPr>
          <w:i/>
          <w:iCs/>
          <w:color w:val="000000" w:themeColor="text1"/>
          <w:sz w:val="24"/>
        </w:rPr>
        <w:t>Journal of Forensic Sciences, 39</w:t>
      </w:r>
      <w:r w:rsidRPr="000D5BD5">
        <w:rPr>
          <w:color w:val="000000" w:themeColor="text1"/>
          <w:sz w:val="24"/>
        </w:rPr>
        <w:t>(2), 418–427.</w:t>
      </w:r>
    </w:p>
    <w:p w14:paraId="1525B887" w14:textId="77777777" w:rsidR="000E46D0" w:rsidRPr="000D5BD5" w:rsidRDefault="000E46D0" w:rsidP="000E46D0">
      <w:pPr>
        <w:pStyle w:val="ListParagraph"/>
        <w:spacing w:line="360" w:lineRule="auto"/>
        <w:ind w:leftChars="40" w:left="720" w:hanging="632"/>
        <w:jc w:val="both"/>
        <w:rPr>
          <w:color w:val="000000" w:themeColor="text1"/>
          <w:sz w:val="24"/>
        </w:rPr>
      </w:pPr>
      <w:r w:rsidRPr="000D5BD5">
        <w:rPr>
          <w:color w:val="000000" w:themeColor="text1"/>
          <w:sz w:val="24"/>
        </w:rPr>
        <w:t xml:space="preserve">Wells, J. D., &amp; Stevens, J. R. (2008). Application of DNA-based methods in forensic entomology. </w:t>
      </w:r>
      <w:r w:rsidRPr="000D5BD5">
        <w:rPr>
          <w:i/>
          <w:iCs/>
          <w:color w:val="000000" w:themeColor="text1"/>
          <w:sz w:val="24"/>
        </w:rPr>
        <w:t>Annual Review of Entomology, 53</w:t>
      </w:r>
      <w:r w:rsidRPr="000D5BD5">
        <w:rPr>
          <w:color w:val="000000" w:themeColor="text1"/>
          <w:sz w:val="24"/>
        </w:rPr>
        <w:t>, 103–120.</w:t>
      </w:r>
    </w:p>
    <w:p w14:paraId="6324BDFA" w14:textId="77777777" w:rsidR="000E46D0" w:rsidRPr="000A5A42" w:rsidRDefault="000E46D0" w:rsidP="000E46D0">
      <w:pPr>
        <w:pStyle w:val="ListParagraph"/>
        <w:spacing w:line="360" w:lineRule="auto"/>
        <w:ind w:left="720" w:hanging="720"/>
        <w:jc w:val="both"/>
        <w:rPr>
          <w:color w:val="000000" w:themeColor="text1"/>
          <w:sz w:val="24"/>
        </w:rPr>
      </w:pPr>
      <w:r w:rsidRPr="000A5A42">
        <w:rPr>
          <w:color w:val="000000" w:themeColor="text1"/>
          <w:sz w:val="24"/>
        </w:rPr>
        <w:t xml:space="preserve">Ye, C., Zhao, X., Liu, Y., Wang, L., &amp; Zhang, J. (2024). Rapid and accurate detection of </w:t>
      </w:r>
      <w:proofErr w:type="spellStart"/>
      <w:r w:rsidRPr="000A5A42">
        <w:rPr>
          <w:i/>
          <w:iCs/>
          <w:color w:val="000000" w:themeColor="text1"/>
          <w:sz w:val="24"/>
        </w:rPr>
        <w:t>Chrysomya</w:t>
      </w:r>
      <w:proofErr w:type="spellEnd"/>
      <w:r w:rsidRPr="000A5A42">
        <w:rPr>
          <w:i/>
          <w:iCs/>
          <w:color w:val="000000" w:themeColor="text1"/>
          <w:sz w:val="24"/>
        </w:rPr>
        <w:t xml:space="preserve"> </w:t>
      </w:r>
      <w:proofErr w:type="spellStart"/>
      <w:r w:rsidRPr="000A5A42">
        <w:rPr>
          <w:i/>
          <w:iCs/>
          <w:color w:val="000000" w:themeColor="text1"/>
          <w:sz w:val="24"/>
        </w:rPr>
        <w:t>megacephala</w:t>
      </w:r>
      <w:proofErr w:type="spellEnd"/>
      <w:r w:rsidRPr="000A5A42">
        <w:rPr>
          <w:color w:val="000000" w:themeColor="text1"/>
          <w:sz w:val="24"/>
        </w:rPr>
        <w:t xml:space="preserve"> using recombinase polymerase amplification and </w:t>
      </w:r>
      <w:r w:rsidRPr="000A5A42">
        <w:rPr>
          <w:color w:val="000000" w:themeColor="text1"/>
          <w:sz w:val="24"/>
        </w:rPr>
        <w:lastRenderedPageBreak/>
        <w:t xml:space="preserve">lateral flow dipstick. </w:t>
      </w:r>
      <w:r w:rsidRPr="000A5A42">
        <w:rPr>
          <w:i/>
          <w:iCs/>
          <w:color w:val="000000" w:themeColor="text1"/>
          <w:sz w:val="24"/>
        </w:rPr>
        <w:t>Insects, 15</w:t>
      </w:r>
      <w:r w:rsidRPr="000A5A42">
        <w:rPr>
          <w:color w:val="000000" w:themeColor="text1"/>
          <w:sz w:val="24"/>
        </w:rPr>
        <w:t xml:space="preserve">(12), 1008. </w:t>
      </w:r>
    </w:p>
    <w:p w14:paraId="1398FCBC" w14:textId="77777777" w:rsidR="000E46D0" w:rsidRPr="000A5A42" w:rsidRDefault="000E46D0" w:rsidP="000E46D0">
      <w:pPr>
        <w:pStyle w:val="ListParagraph"/>
        <w:spacing w:line="360" w:lineRule="auto"/>
        <w:ind w:left="720" w:hanging="720"/>
        <w:jc w:val="both"/>
        <w:rPr>
          <w:color w:val="000000" w:themeColor="text1"/>
          <w:sz w:val="24"/>
        </w:rPr>
      </w:pPr>
      <w:r w:rsidRPr="000A5A42">
        <w:rPr>
          <w:color w:val="000000" w:themeColor="text1"/>
          <w:sz w:val="24"/>
        </w:rPr>
        <w:t xml:space="preserve">Zhang, X., Li, Y., &amp; Chen, Z. (2024). Age determination of </w:t>
      </w:r>
      <w:proofErr w:type="spellStart"/>
      <w:r w:rsidRPr="000A5A42">
        <w:rPr>
          <w:i/>
          <w:iCs/>
          <w:color w:val="000000" w:themeColor="text1"/>
          <w:sz w:val="24"/>
        </w:rPr>
        <w:t>Chrysomya</w:t>
      </w:r>
      <w:proofErr w:type="spellEnd"/>
      <w:r w:rsidRPr="000A5A42">
        <w:rPr>
          <w:i/>
          <w:iCs/>
          <w:color w:val="000000" w:themeColor="text1"/>
          <w:sz w:val="24"/>
        </w:rPr>
        <w:t xml:space="preserve"> </w:t>
      </w:r>
      <w:proofErr w:type="spellStart"/>
      <w:r w:rsidRPr="000A5A42">
        <w:rPr>
          <w:i/>
          <w:iCs/>
          <w:color w:val="000000" w:themeColor="text1"/>
          <w:sz w:val="24"/>
        </w:rPr>
        <w:t>megacephala</w:t>
      </w:r>
      <w:proofErr w:type="spellEnd"/>
      <w:r w:rsidRPr="000A5A42">
        <w:rPr>
          <w:color w:val="000000" w:themeColor="text1"/>
          <w:sz w:val="24"/>
        </w:rPr>
        <w:t xml:space="preserve"> pupae by temporal changes in reflectance spectra: implications for PMI estimation. </w:t>
      </w:r>
      <w:r w:rsidRPr="000A5A42">
        <w:rPr>
          <w:i/>
          <w:iCs/>
          <w:color w:val="000000" w:themeColor="text1"/>
          <w:sz w:val="24"/>
        </w:rPr>
        <w:t>Insects, 15</w:t>
      </w:r>
      <w:r w:rsidRPr="000A5A42">
        <w:rPr>
          <w:color w:val="000000" w:themeColor="text1"/>
          <w:sz w:val="24"/>
        </w:rPr>
        <w:t xml:space="preserve">(3), 184. </w:t>
      </w:r>
    </w:p>
    <w:p w14:paraId="4E88865E" w14:textId="77777777" w:rsidR="00FD1420" w:rsidRPr="0037451A" w:rsidRDefault="00FD1420" w:rsidP="004B29F1">
      <w:pPr>
        <w:pStyle w:val="BodyText"/>
        <w:tabs>
          <w:tab w:val="left" w:pos="0"/>
        </w:tabs>
        <w:spacing w:before="3" w:line="360" w:lineRule="auto"/>
        <w:ind w:leftChars="40" w:left="88" w:right="719"/>
        <w:jc w:val="both"/>
      </w:pPr>
    </w:p>
    <w:sectPr w:rsidR="00FD1420" w:rsidRPr="0037451A" w:rsidSect="00ED612B">
      <w:headerReference w:type="even" r:id="rId9"/>
      <w:headerReference w:type="default" r:id="rId10"/>
      <w:footerReference w:type="even" r:id="rId11"/>
      <w:footerReference w:type="default" r:id="rId12"/>
      <w:headerReference w:type="first" r:id="rId13"/>
      <w:footerReference w:type="first" r:id="rId14"/>
      <w:pgSz w:w="11940" w:h="16860"/>
      <w:pgMar w:top="1440" w:right="144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86357" w14:textId="77777777" w:rsidR="00CA6B0F" w:rsidRDefault="00CA6B0F">
      <w:r>
        <w:separator/>
      </w:r>
    </w:p>
  </w:endnote>
  <w:endnote w:type="continuationSeparator" w:id="0">
    <w:p w14:paraId="26C351FE" w14:textId="77777777" w:rsidR="00CA6B0F" w:rsidRDefault="00C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C304A" w14:textId="77777777" w:rsidR="00283B34" w:rsidRDefault="00283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9426719"/>
      <w:docPartObj>
        <w:docPartGallery w:val="Page Numbers (Bottom of Page)"/>
        <w:docPartUnique/>
      </w:docPartObj>
    </w:sdtPr>
    <w:sdtEndPr>
      <w:rPr>
        <w:noProof/>
      </w:rPr>
    </w:sdtEndPr>
    <w:sdtContent>
      <w:p w14:paraId="168ADA35" w14:textId="507E17B2" w:rsidR="00091A05" w:rsidRDefault="00091A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ED1F5B" w14:textId="77777777" w:rsidR="00091A05" w:rsidRDefault="00091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05899" w14:textId="77777777" w:rsidR="00283B34" w:rsidRDefault="00283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03DDC" w14:textId="77777777" w:rsidR="00CA6B0F" w:rsidRDefault="00CA6B0F">
      <w:r>
        <w:separator/>
      </w:r>
    </w:p>
  </w:footnote>
  <w:footnote w:type="continuationSeparator" w:id="0">
    <w:p w14:paraId="18E40828" w14:textId="77777777" w:rsidR="00CA6B0F" w:rsidRDefault="00CA6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0C69" w14:textId="17D21C8C" w:rsidR="00283B34" w:rsidRDefault="00283B34">
    <w:pPr>
      <w:pStyle w:val="Header"/>
    </w:pPr>
    <w:r>
      <w:rPr>
        <w:noProof/>
      </w:rPr>
      <w:pict w14:anchorId="5C508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1" o:spid="_x0000_s2050" type="#_x0000_t136" style="position:absolute;margin-left:0;margin-top:0;width:528.25pt;height:59.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A3A03" w14:textId="0092775E" w:rsidR="00283B34" w:rsidRDefault="00283B34">
    <w:pPr>
      <w:pStyle w:val="Header"/>
    </w:pPr>
    <w:r>
      <w:rPr>
        <w:noProof/>
      </w:rPr>
      <w:pict w14:anchorId="0DDD5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2" o:spid="_x0000_s2051" type="#_x0000_t136" style="position:absolute;margin-left:0;margin-top:0;width:528.25pt;height:59.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A5E69" w14:textId="4675422E" w:rsidR="00283B34" w:rsidRDefault="00283B34">
    <w:pPr>
      <w:pStyle w:val="Header"/>
    </w:pPr>
    <w:r>
      <w:rPr>
        <w:noProof/>
      </w:rPr>
      <w:pict w14:anchorId="03D61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33140" o:spid="_x0000_s2049" type="#_x0000_t136" style="position:absolute;margin-left:0;margin-top:0;width:528.25pt;height:59.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205925"/>
    <w:multiLevelType w:val="multilevel"/>
    <w:tmpl w:val="BF205925"/>
    <w:lvl w:ilvl="0">
      <w:numFmt w:val="bullet"/>
      <w:lvlText w:val=""/>
      <w:lvlJc w:val="left"/>
      <w:pPr>
        <w:ind w:left="1015" w:hanging="366"/>
      </w:pPr>
      <w:rPr>
        <w:rFonts w:ascii="Symbol" w:eastAsia="Symbol" w:hAnsi="Symbol" w:cs="Symbol" w:hint="default"/>
        <w:b w:val="0"/>
        <w:bCs w:val="0"/>
        <w:i w:val="0"/>
        <w:iCs w:val="0"/>
        <w:spacing w:val="0"/>
        <w:w w:val="95"/>
        <w:sz w:val="24"/>
        <w:szCs w:val="24"/>
        <w:lang w:val="en-US" w:eastAsia="en-US" w:bidi="ar-SA"/>
      </w:rPr>
    </w:lvl>
    <w:lvl w:ilvl="1">
      <w:numFmt w:val="bullet"/>
      <w:lvlText w:val="•"/>
      <w:lvlJc w:val="left"/>
      <w:pPr>
        <w:ind w:left="2011" w:hanging="366"/>
      </w:pPr>
      <w:rPr>
        <w:rFonts w:hint="default"/>
        <w:lang w:val="en-US" w:eastAsia="en-US" w:bidi="ar-SA"/>
      </w:rPr>
    </w:lvl>
    <w:lvl w:ilvl="2">
      <w:numFmt w:val="bullet"/>
      <w:lvlText w:val="•"/>
      <w:lvlJc w:val="left"/>
      <w:pPr>
        <w:ind w:left="3003" w:hanging="366"/>
      </w:pPr>
      <w:rPr>
        <w:rFonts w:hint="default"/>
        <w:lang w:val="en-US" w:eastAsia="en-US" w:bidi="ar-SA"/>
      </w:rPr>
    </w:lvl>
    <w:lvl w:ilvl="3">
      <w:numFmt w:val="bullet"/>
      <w:lvlText w:val="•"/>
      <w:lvlJc w:val="left"/>
      <w:pPr>
        <w:ind w:left="3995" w:hanging="366"/>
      </w:pPr>
      <w:rPr>
        <w:rFonts w:hint="default"/>
        <w:lang w:val="en-US" w:eastAsia="en-US" w:bidi="ar-SA"/>
      </w:rPr>
    </w:lvl>
    <w:lvl w:ilvl="4">
      <w:numFmt w:val="bullet"/>
      <w:lvlText w:val="•"/>
      <w:lvlJc w:val="left"/>
      <w:pPr>
        <w:ind w:left="4987" w:hanging="366"/>
      </w:pPr>
      <w:rPr>
        <w:rFonts w:hint="default"/>
        <w:lang w:val="en-US" w:eastAsia="en-US" w:bidi="ar-SA"/>
      </w:rPr>
    </w:lvl>
    <w:lvl w:ilvl="5">
      <w:numFmt w:val="bullet"/>
      <w:lvlText w:val="•"/>
      <w:lvlJc w:val="left"/>
      <w:pPr>
        <w:ind w:left="5979" w:hanging="366"/>
      </w:pPr>
      <w:rPr>
        <w:rFonts w:hint="default"/>
        <w:lang w:val="en-US" w:eastAsia="en-US" w:bidi="ar-SA"/>
      </w:rPr>
    </w:lvl>
    <w:lvl w:ilvl="6">
      <w:numFmt w:val="bullet"/>
      <w:lvlText w:val="•"/>
      <w:lvlJc w:val="left"/>
      <w:pPr>
        <w:ind w:left="6971" w:hanging="366"/>
      </w:pPr>
      <w:rPr>
        <w:rFonts w:hint="default"/>
        <w:lang w:val="en-US" w:eastAsia="en-US" w:bidi="ar-SA"/>
      </w:rPr>
    </w:lvl>
    <w:lvl w:ilvl="7">
      <w:numFmt w:val="bullet"/>
      <w:lvlText w:val="•"/>
      <w:lvlJc w:val="left"/>
      <w:pPr>
        <w:ind w:left="7963" w:hanging="366"/>
      </w:pPr>
      <w:rPr>
        <w:rFonts w:hint="default"/>
        <w:lang w:val="en-US" w:eastAsia="en-US" w:bidi="ar-SA"/>
      </w:rPr>
    </w:lvl>
    <w:lvl w:ilvl="8">
      <w:numFmt w:val="bullet"/>
      <w:lvlText w:val="•"/>
      <w:lvlJc w:val="left"/>
      <w:pPr>
        <w:ind w:left="8955" w:hanging="366"/>
      </w:pPr>
      <w:rPr>
        <w:rFonts w:hint="default"/>
        <w:lang w:val="en-US" w:eastAsia="en-US" w:bidi="ar-SA"/>
      </w:rPr>
    </w:lvl>
  </w:abstractNum>
  <w:abstractNum w:abstractNumId="1" w15:restartNumberingAfterBreak="0">
    <w:nsid w:val="CF092B84"/>
    <w:multiLevelType w:val="multilevel"/>
    <w:tmpl w:val="CF092B84"/>
    <w:lvl w:ilvl="0">
      <w:numFmt w:val="bullet"/>
      <w:lvlText w:val=""/>
      <w:lvlJc w:val="left"/>
      <w:pPr>
        <w:ind w:left="761" w:hanging="363"/>
      </w:pPr>
      <w:rPr>
        <w:rFonts w:ascii="Wingdings" w:eastAsia="Wingdings" w:hAnsi="Wingdings" w:cs="Wingdings" w:hint="default"/>
        <w:b w:val="0"/>
        <w:bCs w:val="0"/>
        <w:i w:val="0"/>
        <w:iCs w:val="0"/>
        <w:spacing w:val="0"/>
        <w:w w:val="100"/>
        <w:sz w:val="24"/>
        <w:szCs w:val="24"/>
        <w:lang w:val="en-US" w:eastAsia="en-US" w:bidi="ar-SA"/>
      </w:rPr>
    </w:lvl>
    <w:lvl w:ilvl="1">
      <w:numFmt w:val="bullet"/>
      <w:lvlText w:val="•"/>
      <w:lvlJc w:val="left"/>
      <w:pPr>
        <w:ind w:left="1777" w:hanging="363"/>
      </w:pPr>
      <w:rPr>
        <w:rFonts w:hint="default"/>
        <w:lang w:val="en-US" w:eastAsia="en-US" w:bidi="ar-SA"/>
      </w:rPr>
    </w:lvl>
    <w:lvl w:ilvl="2">
      <w:numFmt w:val="bullet"/>
      <w:lvlText w:val="•"/>
      <w:lvlJc w:val="left"/>
      <w:pPr>
        <w:ind w:left="2795" w:hanging="363"/>
      </w:pPr>
      <w:rPr>
        <w:rFonts w:hint="default"/>
        <w:lang w:val="en-US" w:eastAsia="en-US" w:bidi="ar-SA"/>
      </w:rPr>
    </w:lvl>
    <w:lvl w:ilvl="3">
      <w:numFmt w:val="bullet"/>
      <w:lvlText w:val="•"/>
      <w:lvlJc w:val="left"/>
      <w:pPr>
        <w:ind w:left="3813" w:hanging="363"/>
      </w:pPr>
      <w:rPr>
        <w:rFonts w:hint="default"/>
        <w:lang w:val="en-US" w:eastAsia="en-US" w:bidi="ar-SA"/>
      </w:rPr>
    </w:lvl>
    <w:lvl w:ilvl="4">
      <w:numFmt w:val="bullet"/>
      <w:lvlText w:val="•"/>
      <w:lvlJc w:val="left"/>
      <w:pPr>
        <w:ind w:left="4831" w:hanging="363"/>
      </w:pPr>
      <w:rPr>
        <w:rFonts w:hint="default"/>
        <w:lang w:val="en-US" w:eastAsia="en-US" w:bidi="ar-SA"/>
      </w:rPr>
    </w:lvl>
    <w:lvl w:ilvl="5">
      <w:numFmt w:val="bullet"/>
      <w:lvlText w:val="•"/>
      <w:lvlJc w:val="left"/>
      <w:pPr>
        <w:ind w:left="5849" w:hanging="363"/>
      </w:pPr>
      <w:rPr>
        <w:rFonts w:hint="default"/>
        <w:lang w:val="en-US" w:eastAsia="en-US" w:bidi="ar-SA"/>
      </w:rPr>
    </w:lvl>
    <w:lvl w:ilvl="6">
      <w:numFmt w:val="bullet"/>
      <w:lvlText w:val="•"/>
      <w:lvlJc w:val="left"/>
      <w:pPr>
        <w:ind w:left="6867" w:hanging="363"/>
      </w:pPr>
      <w:rPr>
        <w:rFonts w:hint="default"/>
        <w:lang w:val="en-US" w:eastAsia="en-US" w:bidi="ar-SA"/>
      </w:rPr>
    </w:lvl>
    <w:lvl w:ilvl="7">
      <w:numFmt w:val="bullet"/>
      <w:lvlText w:val="•"/>
      <w:lvlJc w:val="left"/>
      <w:pPr>
        <w:ind w:left="7885" w:hanging="363"/>
      </w:pPr>
      <w:rPr>
        <w:rFonts w:hint="default"/>
        <w:lang w:val="en-US" w:eastAsia="en-US" w:bidi="ar-SA"/>
      </w:rPr>
    </w:lvl>
    <w:lvl w:ilvl="8">
      <w:numFmt w:val="bullet"/>
      <w:lvlText w:val="•"/>
      <w:lvlJc w:val="left"/>
      <w:pPr>
        <w:ind w:left="8903" w:hanging="363"/>
      </w:pPr>
      <w:rPr>
        <w:rFonts w:hint="default"/>
        <w:lang w:val="en-US" w:eastAsia="en-US" w:bidi="ar-SA"/>
      </w:rPr>
    </w:lvl>
  </w:abstractNum>
  <w:abstractNum w:abstractNumId="2" w15:restartNumberingAfterBreak="0">
    <w:nsid w:val="0053208E"/>
    <w:multiLevelType w:val="multilevel"/>
    <w:tmpl w:val="0053208E"/>
    <w:lvl w:ilvl="0">
      <w:numFmt w:val="bullet"/>
      <w:lvlText w:val=""/>
      <w:lvlJc w:val="left"/>
      <w:pPr>
        <w:ind w:left="1481" w:hanging="363"/>
      </w:pPr>
      <w:rPr>
        <w:rFonts w:ascii="Symbol" w:eastAsia="Symbol" w:hAnsi="Symbol" w:cs="Symbol" w:hint="default"/>
        <w:b w:val="0"/>
        <w:bCs w:val="0"/>
        <w:i w:val="0"/>
        <w:iCs w:val="0"/>
        <w:spacing w:val="0"/>
        <w:w w:val="100"/>
        <w:sz w:val="24"/>
        <w:szCs w:val="24"/>
        <w:lang w:val="en-US" w:eastAsia="en-US" w:bidi="ar-SA"/>
      </w:rPr>
    </w:lvl>
    <w:lvl w:ilvl="1">
      <w:numFmt w:val="bullet"/>
      <w:lvlText w:val="•"/>
      <w:lvlJc w:val="left"/>
      <w:pPr>
        <w:ind w:left="2425" w:hanging="363"/>
      </w:pPr>
      <w:rPr>
        <w:rFonts w:hint="default"/>
        <w:lang w:val="en-US" w:eastAsia="en-US" w:bidi="ar-SA"/>
      </w:rPr>
    </w:lvl>
    <w:lvl w:ilvl="2">
      <w:numFmt w:val="bullet"/>
      <w:lvlText w:val="•"/>
      <w:lvlJc w:val="left"/>
      <w:pPr>
        <w:ind w:left="3371" w:hanging="363"/>
      </w:pPr>
      <w:rPr>
        <w:rFonts w:hint="default"/>
        <w:lang w:val="en-US" w:eastAsia="en-US" w:bidi="ar-SA"/>
      </w:rPr>
    </w:lvl>
    <w:lvl w:ilvl="3">
      <w:numFmt w:val="bullet"/>
      <w:lvlText w:val="•"/>
      <w:lvlJc w:val="left"/>
      <w:pPr>
        <w:ind w:left="4317" w:hanging="363"/>
      </w:pPr>
      <w:rPr>
        <w:rFonts w:hint="default"/>
        <w:lang w:val="en-US" w:eastAsia="en-US" w:bidi="ar-SA"/>
      </w:rPr>
    </w:lvl>
    <w:lvl w:ilvl="4">
      <w:numFmt w:val="bullet"/>
      <w:lvlText w:val="•"/>
      <w:lvlJc w:val="left"/>
      <w:pPr>
        <w:ind w:left="5263" w:hanging="363"/>
      </w:pPr>
      <w:rPr>
        <w:rFonts w:hint="default"/>
        <w:lang w:val="en-US" w:eastAsia="en-US" w:bidi="ar-SA"/>
      </w:rPr>
    </w:lvl>
    <w:lvl w:ilvl="5">
      <w:numFmt w:val="bullet"/>
      <w:lvlText w:val="•"/>
      <w:lvlJc w:val="left"/>
      <w:pPr>
        <w:ind w:left="6209" w:hanging="363"/>
      </w:pPr>
      <w:rPr>
        <w:rFonts w:hint="default"/>
        <w:lang w:val="en-US" w:eastAsia="en-US" w:bidi="ar-SA"/>
      </w:rPr>
    </w:lvl>
    <w:lvl w:ilvl="6">
      <w:numFmt w:val="bullet"/>
      <w:lvlText w:val="•"/>
      <w:lvlJc w:val="left"/>
      <w:pPr>
        <w:ind w:left="7155" w:hanging="363"/>
      </w:pPr>
      <w:rPr>
        <w:rFonts w:hint="default"/>
        <w:lang w:val="en-US" w:eastAsia="en-US" w:bidi="ar-SA"/>
      </w:rPr>
    </w:lvl>
    <w:lvl w:ilvl="7">
      <w:numFmt w:val="bullet"/>
      <w:lvlText w:val="•"/>
      <w:lvlJc w:val="left"/>
      <w:pPr>
        <w:ind w:left="8101" w:hanging="363"/>
      </w:pPr>
      <w:rPr>
        <w:rFonts w:hint="default"/>
        <w:lang w:val="en-US" w:eastAsia="en-US" w:bidi="ar-SA"/>
      </w:rPr>
    </w:lvl>
    <w:lvl w:ilvl="8">
      <w:numFmt w:val="bullet"/>
      <w:lvlText w:val="•"/>
      <w:lvlJc w:val="left"/>
      <w:pPr>
        <w:ind w:left="9047" w:hanging="363"/>
      </w:pPr>
      <w:rPr>
        <w:rFonts w:hint="default"/>
        <w:lang w:val="en-US" w:eastAsia="en-US" w:bidi="ar-SA"/>
      </w:rPr>
    </w:lvl>
  </w:abstractNum>
  <w:abstractNum w:abstractNumId="3" w15:restartNumberingAfterBreak="0">
    <w:nsid w:val="00F978AF"/>
    <w:multiLevelType w:val="multilevel"/>
    <w:tmpl w:val="6CA46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575B8"/>
    <w:multiLevelType w:val="multilevel"/>
    <w:tmpl w:val="B6D8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B3524E"/>
    <w:multiLevelType w:val="multilevel"/>
    <w:tmpl w:val="A898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115E75"/>
    <w:multiLevelType w:val="multilevel"/>
    <w:tmpl w:val="E6EA2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B2824"/>
    <w:multiLevelType w:val="multilevel"/>
    <w:tmpl w:val="32AE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9318F9"/>
    <w:multiLevelType w:val="multilevel"/>
    <w:tmpl w:val="5AD2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897BAD"/>
    <w:multiLevelType w:val="multilevel"/>
    <w:tmpl w:val="DD0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5120AF"/>
    <w:multiLevelType w:val="multilevel"/>
    <w:tmpl w:val="44D27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7B16E3"/>
    <w:multiLevelType w:val="multilevel"/>
    <w:tmpl w:val="6586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6A0273"/>
    <w:multiLevelType w:val="multilevel"/>
    <w:tmpl w:val="32C8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845F22"/>
    <w:multiLevelType w:val="multilevel"/>
    <w:tmpl w:val="BF2E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4150BA"/>
    <w:multiLevelType w:val="multilevel"/>
    <w:tmpl w:val="829A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C8424A"/>
    <w:multiLevelType w:val="multilevel"/>
    <w:tmpl w:val="C49E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25432C"/>
    <w:multiLevelType w:val="multilevel"/>
    <w:tmpl w:val="7E86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62651D"/>
    <w:multiLevelType w:val="multilevel"/>
    <w:tmpl w:val="A3BCE148"/>
    <w:lvl w:ilvl="0">
      <w:start w:val="2"/>
      <w:numFmt w:val="decimal"/>
      <w:lvlText w:val="%1"/>
      <w:lvlJc w:val="left"/>
      <w:pPr>
        <w:ind w:left="360" w:hanging="360"/>
      </w:pPr>
      <w:rPr>
        <w:rFonts w:hint="default"/>
      </w:rPr>
    </w:lvl>
    <w:lvl w:ilvl="1">
      <w:start w:val="1"/>
      <w:numFmt w:val="decimal"/>
      <w:lvlText w:val="%1.%2"/>
      <w:lvlJc w:val="left"/>
      <w:pPr>
        <w:ind w:left="448" w:hanging="360"/>
      </w:pPr>
      <w:rPr>
        <w:rFonts w:hint="default"/>
      </w:rPr>
    </w:lvl>
    <w:lvl w:ilvl="2">
      <w:start w:val="1"/>
      <w:numFmt w:val="decimal"/>
      <w:lvlText w:val="%1.%2.%3"/>
      <w:lvlJc w:val="left"/>
      <w:pPr>
        <w:ind w:left="896" w:hanging="720"/>
      </w:pPr>
      <w:rPr>
        <w:rFonts w:hint="default"/>
      </w:rPr>
    </w:lvl>
    <w:lvl w:ilvl="3">
      <w:start w:val="1"/>
      <w:numFmt w:val="decimal"/>
      <w:lvlText w:val="%1.%2.%3.%4"/>
      <w:lvlJc w:val="left"/>
      <w:pPr>
        <w:ind w:left="984" w:hanging="720"/>
      </w:pPr>
      <w:rPr>
        <w:rFonts w:hint="default"/>
      </w:rPr>
    </w:lvl>
    <w:lvl w:ilvl="4">
      <w:start w:val="1"/>
      <w:numFmt w:val="decimal"/>
      <w:lvlText w:val="%1.%2.%3.%4.%5"/>
      <w:lvlJc w:val="left"/>
      <w:pPr>
        <w:ind w:left="1432" w:hanging="1080"/>
      </w:pPr>
      <w:rPr>
        <w:rFonts w:hint="default"/>
      </w:rPr>
    </w:lvl>
    <w:lvl w:ilvl="5">
      <w:start w:val="1"/>
      <w:numFmt w:val="decimal"/>
      <w:lvlText w:val="%1.%2.%3.%4.%5.%6"/>
      <w:lvlJc w:val="left"/>
      <w:pPr>
        <w:ind w:left="1520" w:hanging="1080"/>
      </w:pPr>
      <w:rPr>
        <w:rFonts w:hint="default"/>
      </w:rPr>
    </w:lvl>
    <w:lvl w:ilvl="6">
      <w:start w:val="1"/>
      <w:numFmt w:val="decimal"/>
      <w:lvlText w:val="%1.%2.%3.%4.%5.%6.%7"/>
      <w:lvlJc w:val="left"/>
      <w:pPr>
        <w:ind w:left="1968" w:hanging="1440"/>
      </w:pPr>
      <w:rPr>
        <w:rFonts w:hint="default"/>
      </w:rPr>
    </w:lvl>
    <w:lvl w:ilvl="7">
      <w:start w:val="1"/>
      <w:numFmt w:val="decimal"/>
      <w:lvlText w:val="%1.%2.%3.%4.%5.%6.%7.%8"/>
      <w:lvlJc w:val="left"/>
      <w:pPr>
        <w:ind w:left="2056" w:hanging="1440"/>
      </w:pPr>
      <w:rPr>
        <w:rFonts w:hint="default"/>
      </w:rPr>
    </w:lvl>
    <w:lvl w:ilvl="8">
      <w:start w:val="1"/>
      <w:numFmt w:val="decimal"/>
      <w:lvlText w:val="%1.%2.%3.%4.%5.%6.%7.%8.%9"/>
      <w:lvlJc w:val="left"/>
      <w:pPr>
        <w:ind w:left="2504" w:hanging="1800"/>
      </w:pPr>
      <w:rPr>
        <w:rFonts w:hint="default"/>
      </w:rPr>
    </w:lvl>
  </w:abstractNum>
  <w:abstractNum w:abstractNumId="18" w15:restartNumberingAfterBreak="0">
    <w:nsid w:val="450E70D6"/>
    <w:multiLevelType w:val="multilevel"/>
    <w:tmpl w:val="1D8C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4742E"/>
    <w:multiLevelType w:val="multilevel"/>
    <w:tmpl w:val="93C0A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196BA8"/>
    <w:multiLevelType w:val="multilevel"/>
    <w:tmpl w:val="AEBC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DCABA"/>
    <w:multiLevelType w:val="multilevel"/>
    <w:tmpl w:val="59ADCABA"/>
    <w:lvl w:ilvl="0">
      <w:start w:val="1"/>
      <w:numFmt w:val="decimal"/>
      <w:lvlText w:val="%1)"/>
      <w:lvlJc w:val="left"/>
      <w:pPr>
        <w:ind w:left="638" w:hanging="250"/>
      </w:pPr>
      <w:rPr>
        <w:rFonts w:ascii="Calibri" w:eastAsia="Calibri" w:hAnsi="Calibri" w:cs="Calibri" w:hint="default"/>
        <w:b w:val="0"/>
        <w:bCs w:val="0"/>
        <w:i w:val="0"/>
        <w:iCs w:val="0"/>
        <w:spacing w:val="0"/>
        <w:w w:val="94"/>
        <w:sz w:val="24"/>
        <w:szCs w:val="24"/>
        <w:lang w:val="en-US" w:eastAsia="en-US" w:bidi="ar-SA"/>
      </w:rPr>
    </w:lvl>
    <w:lvl w:ilvl="1">
      <w:numFmt w:val="bullet"/>
      <w:lvlText w:val=""/>
      <w:lvlJc w:val="left"/>
      <w:pPr>
        <w:ind w:left="1015" w:hanging="366"/>
      </w:pPr>
      <w:rPr>
        <w:rFonts w:ascii="Symbol" w:eastAsia="Symbol" w:hAnsi="Symbol" w:cs="Symbol" w:hint="default"/>
        <w:b w:val="0"/>
        <w:bCs w:val="0"/>
        <w:i w:val="0"/>
        <w:iCs w:val="0"/>
        <w:spacing w:val="0"/>
        <w:w w:val="95"/>
        <w:sz w:val="24"/>
        <w:szCs w:val="24"/>
        <w:lang w:val="en-US" w:eastAsia="en-US" w:bidi="ar-SA"/>
      </w:rPr>
    </w:lvl>
    <w:lvl w:ilvl="2">
      <w:numFmt w:val="bullet"/>
      <w:lvlText w:val="•"/>
      <w:lvlJc w:val="left"/>
      <w:pPr>
        <w:ind w:left="2122" w:hanging="366"/>
      </w:pPr>
      <w:rPr>
        <w:rFonts w:hint="default"/>
        <w:lang w:val="en-US" w:eastAsia="en-US" w:bidi="ar-SA"/>
      </w:rPr>
    </w:lvl>
    <w:lvl w:ilvl="3">
      <w:numFmt w:val="bullet"/>
      <w:lvlText w:val="•"/>
      <w:lvlJc w:val="left"/>
      <w:pPr>
        <w:ind w:left="3224" w:hanging="366"/>
      </w:pPr>
      <w:rPr>
        <w:rFonts w:hint="default"/>
        <w:lang w:val="en-US" w:eastAsia="en-US" w:bidi="ar-SA"/>
      </w:rPr>
    </w:lvl>
    <w:lvl w:ilvl="4">
      <w:numFmt w:val="bullet"/>
      <w:lvlText w:val="•"/>
      <w:lvlJc w:val="left"/>
      <w:pPr>
        <w:ind w:left="4326" w:hanging="366"/>
      </w:pPr>
      <w:rPr>
        <w:rFonts w:hint="default"/>
        <w:lang w:val="en-US" w:eastAsia="en-US" w:bidi="ar-SA"/>
      </w:rPr>
    </w:lvl>
    <w:lvl w:ilvl="5">
      <w:numFmt w:val="bullet"/>
      <w:lvlText w:val="•"/>
      <w:lvlJc w:val="left"/>
      <w:pPr>
        <w:ind w:left="5428" w:hanging="366"/>
      </w:pPr>
      <w:rPr>
        <w:rFonts w:hint="default"/>
        <w:lang w:val="en-US" w:eastAsia="en-US" w:bidi="ar-SA"/>
      </w:rPr>
    </w:lvl>
    <w:lvl w:ilvl="6">
      <w:numFmt w:val="bullet"/>
      <w:lvlText w:val="•"/>
      <w:lvlJc w:val="left"/>
      <w:pPr>
        <w:ind w:left="6530" w:hanging="366"/>
      </w:pPr>
      <w:rPr>
        <w:rFonts w:hint="default"/>
        <w:lang w:val="en-US" w:eastAsia="en-US" w:bidi="ar-SA"/>
      </w:rPr>
    </w:lvl>
    <w:lvl w:ilvl="7">
      <w:numFmt w:val="bullet"/>
      <w:lvlText w:val="•"/>
      <w:lvlJc w:val="left"/>
      <w:pPr>
        <w:ind w:left="7632" w:hanging="366"/>
      </w:pPr>
      <w:rPr>
        <w:rFonts w:hint="default"/>
        <w:lang w:val="en-US" w:eastAsia="en-US" w:bidi="ar-SA"/>
      </w:rPr>
    </w:lvl>
    <w:lvl w:ilvl="8">
      <w:numFmt w:val="bullet"/>
      <w:lvlText w:val="•"/>
      <w:lvlJc w:val="left"/>
      <w:pPr>
        <w:ind w:left="8735" w:hanging="366"/>
      </w:pPr>
      <w:rPr>
        <w:rFonts w:hint="default"/>
        <w:lang w:val="en-US" w:eastAsia="en-US" w:bidi="ar-SA"/>
      </w:rPr>
    </w:lvl>
  </w:abstractNum>
  <w:abstractNum w:abstractNumId="22" w15:restartNumberingAfterBreak="0">
    <w:nsid w:val="5EAB1FB8"/>
    <w:multiLevelType w:val="multilevel"/>
    <w:tmpl w:val="12F6E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215EF2"/>
    <w:multiLevelType w:val="multilevel"/>
    <w:tmpl w:val="56E4D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5F78AD"/>
    <w:multiLevelType w:val="multilevel"/>
    <w:tmpl w:val="95F0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BE66B5"/>
    <w:multiLevelType w:val="multilevel"/>
    <w:tmpl w:val="E29C2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214806"/>
    <w:multiLevelType w:val="multilevel"/>
    <w:tmpl w:val="B838E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01635A"/>
    <w:multiLevelType w:val="multilevel"/>
    <w:tmpl w:val="6052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132702"/>
    <w:multiLevelType w:val="multilevel"/>
    <w:tmpl w:val="6D9C6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D91516"/>
    <w:multiLevelType w:val="multilevel"/>
    <w:tmpl w:val="5B46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B7414A"/>
    <w:multiLevelType w:val="multilevel"/>
    <w:tmpl w:val="CD40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765E59"/>
    <w:multiLevelType w:val="multilevel"/>
    <w:tmpl w:val="8FF41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21"/>
  </w:num>
  <w:num w:numId="4">
    <w:abstractNumId w:val="0"/>
  </w:num>
  <w:num w:numId="5">
    <w:abstractNumId w:val="22"/>
  </w:num>
  <w:num w:numId="6">
    <w:abstractNumId w:val="30"/>
  </w:num>
  <w:num w:numId="7">
    <w:abstractNumId w:val="6"/>
  </w:num>
  <w:num w:numId="8">
    <w:abstractNumId w:val="19"/>
  </w:num>
  <w:num w:numId="9">
    <w:abstractNumId w:val="26"/>
  </w:num>
  <w:num w:numId="10">
    <w:abstractNumId w:val="16"/>
  </w:num>
  <w:num w:numId="11">
    <w:abstractNumId w:val="14"/>
  </w:num>
  <w:num w:numId="12">
    <w:abstractNumId w:val="8"/>
  </w:num>
  <w:num w:numId="13">
    <w:abstractNumId w:val="18"/>
  </w:num>
  <w:num w:numId="14">
    <w:abstractNumId w:val="7"/>
  </w:num>
  <w:num w:numId="15">
    <w:abstractNumId w:val="12"/>
  </w:num>
  <w:num w:numId="16">
    <w:abstractNumId w:val="31"/>
  </w:num>
  <w:num w:numId="17">
    <w:abstractNumId w:val="5"/>
  </w:num>
  <w:num w:numId="18">
    <w:abstractNumId w:val="24"/>
  </w:num>
  <w:num w:numId="19">
    <w:abstractNumId w:val="25"/>
  </w:num>
  <w:num w:numId="20">
    <w:abstractNumId w:val="11"/>
  </w:num>
  <w:num w:numId="21">
    <w:abstractNumId w:val="20"/>
  </w:num>
  <w:num w:numId="22">
    <w:abstractNumId w:val="9"/>
  </w:num>
  <w:num w:numId="23">
    <w:abstractNumId w:val="10"/>
  </w:num>
  <w:num w:numId="24">
    <w:abstractNumId w:val="13"/>
  </w:num>
  <w:num w:numId="25">
    <w:abstractNumId w:val="23"/>
  </w:num>
  <w:num w:numId="26">
    <w:abstractNumId w:val="3"/>
  </w:num>
  <w:num w:numId="27">
    <w:abstractNumId w:val="15"/>
  </w:num>
  <w:num w:numId="28">
    <w:abstractNumId w:val="4"/>
  </w:num>
  <w:num w:numId="29">
    <w:abstractNumId w:val="27"/>
  </w:num>
  <w:num w:numId="30">
    <w:abstractNumId w:val="29"/>
  </w:num>
  <w:num w:numId="31">
    <w:abstractNumId w:val="2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48244A"/>
    <w:rsid w:val="00017F3A"/>
    <w:rsid w:val="000752DF"/>
    <w:rsid w:val="000879AF"/>
    <w:rsid w:val="00091A05"/>
    <w:rsid w:val="00093074"/>
    <w:rsid w:val="000A5A42"/>
    <w:rsid w:val="000D3365"/>
    <w:rsid w:val="000D4E5D"/>
    <w:rsid w:val="000E46D0"/>
    <w:rsid w:val="000F2E11"/>
    <w:rsid w:val="0017750A"/>
    <w:rsid w:val="00184D5D"/>
    <w:rsid w:val="001C249B"/>
    <w:rsid w:val="001D31C8"/>
    <w:rsid w:val="002064B2"/>
    <w:rsid w:val="00283B34"/>
    <w:rsid w:val="002846CC"/>
    <w:rsid w:val="002A64B1"/>
    <w:rsid w:val="002C0F60"/>
    <w:rsid w:val="00334145"/>
    <w:rsid w:val="0035048A"/>
    <w:rsid w:val="00354139"/>
    <w:rsid w:val="003541C1"/>
    <w:rsid w:val="0036558E"/>
    <w:rsid w:val="00373AE8"/>
    <w:rsid w:val="0037451A"/>
    <w:rsid w:val="003B0DA5"/>
    <w:rsid w:val="003C41FC"/>
    <w:rsid w:val="003D3CBA"/>
    <w:rsid w:val="003D79DA"/>
    <w:rsid w:val="0048244A"/>
    <w:rsid w:val="004931DB"/>
    <w:rsid w:val="004B29F1"/>
    <w:rsid w:val="004D7560"/>
    <w:rsid w:val="004F135C"/>
    <w:rsid w:val="005058A8"/>
    <w:rsid w:val="00531357"/>
    <w:rsid w:val="00532649"/>
    <w:rsid w:val="00534036"/>
    <w:rsid w:val="00593C5C"/>
    <w:rsid w:val="00597C19"/>
    <w:rsid w:val="005B71B6"/>
    <w:rsid w:val="005F1B4F"/>
    <w:rsid w:val="006157E1"/>
    <w:rsid w:val="00655131"/>
    <w:rsid w:val="00665B2D"/>
    <w:rsid w:val="006662E9"/>
    <w:rsid w:val="00666398"/>
    <w:rsid w:val="00691CEF"/>
    <w:rsid w:val="00693C82"/>
    <w:rsid w:val="006972B2"/>
    <w:rsid w:val="006A3CF4"/>
    <w:rsid w:val="006A69B8"/>
    <w:rsid w:val="006B59FA"/>
    <w:rsid w:val="006C50BF"/>
    <w:rsid w:val="006D6386"/>
    <w:rsid w:val="006E5A49"/>
    <w:rsid w:val="006F5FCA"/>
    <w:rsid w:val="007273C0"/>
    <w:rsid w:val="00751245"/>
    <w:rsid w:val="00757138"/>
    <w:rsid w:val="00791CE6"/>
    <w:rsid w:val="007A3FCA"/>
    <w:rsid w:val="007B138A"/>
    <w:rsid w:val="007F349C"/>
    <w:rsid w:val="00804504"/>
    <w:rsid w:val="00806D3C"/>
    <w:rsid w:val="008142EB"/>
    <w:rsid w:val="008324C6"/>
    <w:rsid w:val="00835058"/>
    <w:rsid w:val="008700C6"/>
    <w:rsid w:val="00892054"/>
    <w:rsid w:val="008B5923"/>
    <w:rsid w:val="008D2C29"/>
    <w:rsid w:val="008E6655"/>
    <w:rsid w:val="008F1CE5"/>
    <w:rsid w:val="0090406C"/>
    <w:rsid w:val="00910D06"/>
    <w:rsid w:val="009154F7"/>
    <w:rsid w:val="00935C97"/>
    <w:rsid w:val="00954EE0"/>
    <w:rsid w:val="00A0747A"/>
    <w:rsid w:val="00A21000"/>
    <w:rsid w:val="00A86489"/>
    <w:rsid w:val="00A943B7"/>
    <w:rsid w:val="00AC41E4"/>
    <w:rsid w:val="00AD5084"/>
    <w:rsid w:val="00AE1E39"/>
    <w:rsid w:val="00B55FB8"/>
    <w:rsid w:val="00B7605B"/>
    <w:rsid w:val="00B806A8"/>
    <w:rsid w:val="00B84D80"/>
    <w:rsid w:val="00BB4CF2"/>
    <w:rsid w:val="00BC6655"/>
    <w:rsid w:val="00BE7797"/>
    <w:rsid w:val="00C36EF9"/>
    <w:rsid w:val="00C65C63"/>
    <w:rsid w:val="00C7018C"/>
    <w:rsid w:val="00C70E4E"/>
    <w:rsid w:val="00C87BA0"/>
    <w:rsid w:val="00CA4C62"/>
    <w:rsid w:val="00CA6B0F"/>
    <w:rsid w:val="00CC2A74"/>
    <w:rsid w:val="00CC341B"/>
    <w:rsid w:val="00CC7DF2"/>
    <w:rsid w:val="00CD1904"/>
    <w:rsid w:val="00CD2EAF"/>
    <w:rsid w:val="00D0265B"/>
    <w:rsid w:val="00D03AA6"/>
    <w:rsid w:val="00D154B8"/>
    <w:rsid w:val="00D32F72"/>
    <w:rsid w:val="00D34C1E"/>
    <w:rsid w:val="00D42528"/>
    <w:rsid w:val="00D83813"/>
    <w:rsid w:val="00DA0E19"/>
    <w:rsid w:val="00DA595B"/>
    <w:rsid w:val="00DD312F"/>
    <w:rsid w:val="00E35C9E"/>
    <w:rsid w:val="00E476FC"/>
    <w:rsid w:val="00E50E5D"/>
    <w:rsid w:val="00E6624F"/>
    <w:rsid w:val="00E91851"/>
    <w:rsid w:val="00E93CE4"/>
    <w:rsid w:val="00EB5FBC"/>
    <w:rsid w:val="00EC0C77"/>
    <w:rsid w:val="00EC51EB"/>
    <w:rsid w:val="00ED194C"/>
    <w:rsid w:val="00ED6090"/>
    <w:rsid w:val="00ED612B"/>
    <w:rsid w:val="00EF79BF"/>
    <w:rsid w:val="00F34165"/>
    <w:rsid w:val="00F47235"/>
    <w:rsid w:val="00F545B0"/>
    <w:rsid w:val="00F94195"/>
    <w:rsid w:val="00FD1420"/>
    <w:rsid w:val="00FD780B"/>
    <w:rsid w:val="00FE4798"/>
    <w:rsid w:val="00FF65FA"/>
    <w:rsid w:val="0F6D657B"/>
    <w:rsid w:val="1BAC221C"/>
    <w:rsid w:val="1E780224"/>
    <w:rsid w:val="27A33318"/>
    <w:rsid w:val="2ADB055C"/>
    <w:rsid w:val="3E352081"/>
    <w:rsid w:val="3E8F0525"/>
    <w:rsid w:val="4346604E"/>
    <w:rsid w:val="4DAD116D"/>
    <w:rsid w:val="629F3ED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E7633B"/>
  <w15:docId w15:val="{8B4B76F9-846B-48AC-A184-D0D7F52D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hi-IN"/>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48244A"/>
    <w:pPr>
      <w:widowControl w:val="0"/>
      <w:autoSpaceDE w:val="0"/>
      <w:autoSpaceDN w:val="0"/>
    </w:pPr>
    <w:rPr>
      <w:rFonts w:eastAsia="Times New Roman"/>
      <w:sz w:val="22"/>
      <w:szCs w:val="22"/>
      <w:lang w:bidi="ar-SA"/>
    </w:rPr>
  </w:style>
  <w:style w:type="paragraph" w:styleId="Heading1">
    <w:name w:val="heading 1"/>
    <w:basedOn w:val="Normal"/>
    <w:uiPriority w:val="1"/>
    <w:qFormat/>
    <w:rsid w:val="0048244A"/>
    <w:pPr>
      <w:ind w:left="638"/>
      <w:outlineLvl w:val="0"/>
    </w:pPr>
    <w:rPr>
      <w:b/>
      <w:bCs/>
      <w:sz w:val="24"/>
      <w:szCs w:val="24"/>
    </w:rPr>
  </w:style>
  <w:style w:type="paragraph" w:styleId="Heading2">
    <w:name w:val="heading 2"/>
    <w:basedOn w:val="Normal"/>
    <w:next w:val="Normal"/>
    <w:link w:val="Heading2Char"/>
    <w:semiHidden/>
    <w:unhideWhenUsed/>
    <w:qFormat/>
    <w:rsid w:val="003D3CB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D3C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8244A"/>
    <w:rPr>
      <w:sz w:val="24"/>
      <w:szCs w:val="24"/>
    </w:rPr>
  </w:style>
  <w:style w:type="table" w:customStyle="1" w:styleId="TableNormal1">
    <w:name w:val="Table Normal1"/>
    <w:uiPriority w:val="2"/>
    <w:semiHidden/>
    <w:unhideWhenUsed/>
    <w:qFormat/>
    <w:rsid w:val="0048244A"/>
    <w:tblPr>
      <w:tblCellMar>
        <w:top w:w="0" w:type="dxa"/>
        <w:left w:w="0" w:type="dxa"/>
        <w:bottom w:w="0" w:type="dxa"/>
        <w:right w:w="0" w:type="dxa"/>
      </w:tblCellMar>
    </w:tblPr>
  </w:style>
  <w:style w:type="paragraph" w:styleId="ListParagraph">
    <w:name w:val="List Paragraph"/>
    <w:basedOn w:val="Normal"/>
    <w:uiPriority w:val="1"/>
    <w:qFormat/>
    <w:rsid w:val="0048244A"/>
    <w:pPr>
      <w:ind w:left="761" w:hanging="363"/>
    </w:pPr>
  </w:style>
  <w:style w:type="paragraph" w:customStyle="1" w:styleId="TableParagraph">
    <w:name w:val="Table Paragraph"/>
    <w:basedOn w:val="Normal"/>
    <w:uiPriority w:val="1"/>
    <w:qFormat/>
    <w:rsid w:val="0048244A"/>
    <w:pPr>
      <w:spacing w:line="263" w:lineRule="exact"/>
      <w:ind w:left="117"/>
    </w:pPr>
  </w:style>
  <w:style w:type="character" w:customStyle="1" w:styleId="Heading2Char">
    <w:name w:val="Heading 2 Char"/>
    <w:basedOn w:val="DefaultParagraphFont"/>
    <w:link w:val="Heading2"/>
    <w:semiHidden/>
    <w:rsid w:val="003D3CBA"/>
    <w:rPr>
      <w:rFonts w:asciiTheme="majorHAnsi" w:eastAsiaTheme="majorEastAsia" w:hAnsiTheme="majorHAnsi" w:cstheme="majorBidi"/>
      <w:color w:val="365F91" w:themeColor="accent1" w:themeShade="BF"/>
      <w:sz w:val="26"/>
      <w:szCs w:val="26"/>
      <w:lang w:bidi="ar-SA"/>
    </w:rPr>
  </w:style>
  <w:style w:type="character" w:customStyle="1" w:styleId="Heading3Char">
    <w:name w:val="Heading 3 Char"/>
    <w:basedOn w:val="DefaultParagraphFont"/>
    <w:link w:val="Heading3"/>
    <w:uiPriority w:val="9"/>
    <w:semiHidden/>
    <w:rsid w:val="003D3CBA"/>
    <w:rPr>
      <w:rFonts w:asciiTheme="majorHAnsi" w:eastAsiaTheme="majorEastAsia" w:hAnsiTheme="majorHAnsi" w:cstheme="majorBidi"/>
      <w:color w:val="243F60" w:themeColor="accent1" w:themeShade="7F"/>
      <w:sz w:val="24"/>
      <w:szCs w:val="24"/>
      <w:lang w:bidi="ar-SA"/>
    </w:rPr>
  </w:style>
  <w:style w:type="character" w:styleId="Hyperlink">
    <w:name w:val="Hyperlink"/>
    <w:basedOn w:val="DefaultParagraphFont"/>
    <w:rsid w:val="003D3CBA"/>
    <w:rPr>
      <w:color w:val="0000FF" w:themeColor="hyperlink"/>
      <w:u w:val="single"/>
    </w:rPr>
  </w:style>
  <w:style w:type="character" w:styleId="UnresolvedMention">
    <w:name w:val="Unresolved Mention"/>
    <w:basedOn w:val="DefaultParagraphFont"/>
    <w:uiPriority w:val="99"/>
    <w:semiHidden/>
    <w:unhideWhenUsed/>
    <w:rsid w:val="003D3CBA"/>
    <w:rPr>
      <w:color w:val="605E5C"/>
      <w:shd w:val="clear" w:color="auto" w:fill="E1DFDD"/>
    </w:rPr>
  </w:style>
  <w:style w:type="table" w:styleId="TableGrid">
    <w:name w:val="Table Grid"/>
    <w:basedOn w:val="TableNormal"/>
    <w:rsid w:val="00ED1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91A05"/>
    <w:pPr>
      <w:tabs>
        <w:tab w:val="center" w:pos="4680"/>
        <w:tab w:val="right" w:pos="9360"/>
      </w:tabs>
    </w:pPr>
  </w:style>
  <w:style w:type="character" w:customStyle="1" w:styleId="HeaderChar">
    <w:name w:val="Header Char"/>
    <w:basedOn w:val="DefaultParagraphFont"/>
    <w:link w:val="Header"/>
    <w:rsid w:val="00091A05"/>
    <w:rPr>
      <w:rFonts w:eastAsia="Times New Roman"/>
      <w:sz w:val="22"/>
      <w:szCs w:val="22"/>
      <w:lang w:bidi="ar-SA"/>
    </w:rPr>
  </w:style>
  <w:style w:type="paragraph" w:styleId="Footer">
    <w:name w:val="footer"/>
    <w:basedOn w:val="Normal"/>
    <w:link w:val="FooterChar"/>
    <w:uiPriority w:val="99"/>
    <w:rsid w:val="00091A05"/>
    <w:pPr>
      <w:tabs>
        <w:tab w:val="center" w:pos="4680"/>
        <w:tab w:val="right" w:pos="9360"/>
      </w:tabs>
    </w:pPr>
  </w:style>
  <w:style w:type="character" w:customStyle="1" w:styleId="FooterChar">
    <w:name w:val="Footer Char"/>
    <w:basedOn w:val="DefaultParagraphFont"/>
    <w:link w:val="Footer"/>
    <w:uiPriority w:val="99"/>
    <w:rsid w:val="00091A05"/>
    <w:rPr>
      <w:rFonts w:eastAsia="Times New Roman"/>
      <w:sz w:val="22"/>
      <w:szCs w:val="22"/>
      <w:lang w:bidi="ar-SA"/>
    </w:rPr>
  </w:style>
  <w:style w:type="paragraph" w:styleId="NormalWeb">
    <w:name w:val="Normal (Web)"/>
    <w:basedOn w:val="Normal"/>
    <w:rsid w:val="00E476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2255</TotalTime>
  <Pages>15</Pages>
  <Words>3581</Words>
  <Characters>20415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41</cp:revision>
  <cp:lastPrinted>2025-11-18T14:23:00Z</cp:lastPrinted>
  <dcterms:created xsi:type="dcterms:W3CDTF">2025-07-24T07:42:00Z</dcterms:created>
  <dcterms:modified xsi:type="dcterms:W3CDTF">2026-01-09T12:41:00Z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2024-11-30T00:00:00Z</vt:filetime>
  </property>
  <property fmtid="{D5CDD505-2E9C-101B-9397-08002B2CF9AE}" pid="3" name="Creator">
    <vt:lpwstr>Microsoft® Word 2021</vt:lpwstr>
  </property>
  <property fmtid="{D5CDD505-2E9C-101B-9397-08002B2CF9AE}" pid="4" name="LastSaved">
    <vt:filetime>2025-07-24T00:00:00Z</vt:filetime>
  </property>
  <property fmtid="{D5CDD505-2E9C-101B-9397-08002B2CF9AE}" pid="5" name="Producer">
    <vt:lpwstr>Microsoft® Word 2021</vt:lpwstr>
  </property>
  <property fmtid="{D5CDD505-2E9C-101B-9397-08002B2CF9AE}" pid="6" name="KSOProductBuildVer">
    <vt:lpwstr>1033-12.2.0.21931</vt:lpwstr>
  </property>
  <property fmtid="{D5CDD505-2E9C-101B-9397-08002B2CF9AE}" pid="7" name="ICV">
    <vt:lpwstr>22FBBF8D67AD49DAA4C39D739AB18051_12</vt:lpwstr>
  </property>
</Properties>
</file>