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2C069" w14:textId="77777777" w:rsidR="00310FDA" w:rsidRPr="00310FDA" w:rsidRDefault="00310FDA" w:rsidP="00310FDA">
      <w:pPr>
        <w:pStyle w:val="Author"/>
        <w:rPr>
          <w:rFonts w:ascii="Arial" w:hAnsi="Arial" w:cs="Arial"/>
          <w:bCs/>
          <w:i/>
          <w:iCs/>
          <w:kern w:val="28"/>
          <w:sz w:val="18"/>
          <w:szCs w:val="18"/>
          <w:u w:val="single"/>
        </w:rPr>
      </w:pPr>
      <w:bookmarkStart w:id="0" w:name="_Hlk219696848"/>
      <w:r w:rsidRPr="00310FDA">
        <w:rPr>
          <w:rFonts w:ascii="Arial" w:hAnsi="Arial" w:cs="Arial"/>
          <w:bCs/>
          <w:i/>
          <w:iCs/>
          <w:kern w:val="28"/>
          <w:sz w:val="18"/>
          <w:szCs w:val="18"/>
          <w:u w:val="single"/>
        </w:rPr>
        <w:t>Original Research Article</w:t>
      </w:r>
    </w:p>
    <w:p w14:paraId="6AF250B2" w14:textId="77777777" w:rsidR="004F4873" w:rsidRDefault="002C4901">
      <w:pPr>
        <w:pStyle w:val="Author"/>
        <w:spacing w:line="240" w:lineRule="auto"/>
        <w:rPr>
          <w:rFonts w:ascii="Arial" w:hAnsi="Arial" w:cs="Arial"/>
          <w:bCs/>
          <w:iCs/>
          <w:kern w:val="28"/>
          <w:sz w:val="36"/>
          <w:szCs w:val="36"/>
        </w:rPr>
      </w:pPr>
      <w:r>
        <w:rPr>
          <w:rFonts w:ascii="Arial" w:hAnsi="Arial" w:cs="Arial"/>
          <w:bCs/>
          <w:iCs/>
          <w:kern w:val="28"/>
          <w:sz w:val="36"/>
          <w:szCs w:val="36"/>
        </w:rPr>
        <w:t xml:space="preserve">Optimization of </w:t>
      </w:r>
      <w:proofErr w:type="gramStart"/>
      <w:r>
        <w:rPr>
          <w:rFonts w:ascii="Arial" w:hAnsi="Arial" w:cs="Arial"/>
          <w:bCs/>
          <w:iCs/>
          <w:kern w:val="28"/>
          <w:sz w:val="36"/>
          <w:szCs w:val="36"/>
        </w:rPr>
        <w:t>C:N</w:t>
      </w:r>
      <w:proofErr w:type="gramEnd"/>
      <w:r>
        <w:rPr>
          <w:rFonts w:ascii="Arial" w:hAnsi="Arial" w:cs="Arial"/>
          <w:bCs/>
          <w:iCs/>
          <w:kern w:val="28"/>
          <w:sz w:val="36"/>
          <w:szCs w:val="36"/>
        </w:rPr>
        <w:t xml:space="preserve"> Ratio Using Millet as Carbon Source to Understand the Growth Performance, Water Quality Parameters and Microbial Load In Biofloc System </w:t>
      </w:r>
    </w:p>
    <w:p w14:paraId="6D0EB106" w14:textId="77777777" w:rsidR="004F4873" w:rsidRDefault="002C4901">
      <w:pPr>
        <w:pStyle w:val="Author"/>
        <w:spacing w:line="240" w:lineRule="auto"/>
        <w:rPr>
          <w:rFonts w:ascii="Arial" w:hAnsi="Arial" w:cs="Arial"/>
          <w:bCs/>
          <w:iCs/>
          <w:kern w:val="28"/>
          <w:sz w:val="36"/>
          <w:szCs w:val="36"/>
        </w:rPr>
      </w:pPr>
      <w:r>
        <w:rPr>
          <w:rFonts w:ascii="Arial" w:hAnsi="Arial" w:cs="Arial"/>
          <w:bCs/>
          <w:iCs/>
          <w:kern w:val="28"/>
          <w:sz w:val="36"/>
          <w:szCs w:val="36"/>
        </w:rPr>
        <w:t xml:space="preserve"> </w:t>
      </w:r>
    </w:p>
    <w:bookmarkEnd w:id="0"/>
    <w:p w14:paraId="389455C8" w14:textId="77777777" w:rsidR="003B1B24" w:rsidRDefault="003B1B24">
      <w:pPr>
        <w:pStyle w:val="Affiliation"/>
        <w:spacing w:after="0"/>
        <w:rPr>
          <w:rFonts w:ascii="Arial" w:hAnsi="Arial" w:cs="Arial"/>
          <w:i/>
        </w:rPr>
      </w:pPr>
    </w:p>
    <w:p w14:paraId="3E67B2F5" w14:textId="77777777" w:rsidR="004F4873" w:rsidRDefault="002C4901">
      <w:pPr>
        <w:pStyle w:val="Copyright"/>
        <w:spacing w:after="0" w:line="240" w:lineRule="auto"/>
        <w:jc w:val="both"/>
        <w:rPr>
          <w:rFonts w:ascii="Arial" w:hAnsi="Arial" w:cs="Arial"/>
        </w:rPr>
        <w:sectPr w:rsidR="004F4873" w:rsidSect="00BB09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noProof/>
        </w:rPr>
        <mc:AlternateContent>
          <mc:Choice Requires="wps">
            <w:drawing>
              <wp:inline distT="0" distB="0" distL="0" distR="0" wp14:anchorId="1A291F86" wp14:editId="36AB1532">
                <wp:extent cx="5303520" cy="635"/>
                <wp:effectExtent l="15240" t="17145" r="15240" b="11430"/>
                <wp:docPr id="10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635"/>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hAnsi="Arial" w:cs="Arial"/>
        </w:rPr>
        <w:t>.</w:t>
      </w:r>
    </w:p>
    <w:p w14:paraId="2B493BAB" w14:textId="77777777" w:rsidR="004F4873" w:rsidRDefault="002C4901">
      <w:pPr>
        <w:pStyle w:val="AbstHead"/>
        <w:spacing w:after="0"/>
        <w:jc w:val="both"/>
        <w:rPr>
          <w:rFonts w:ascii="Arial" w:hAnsi="Arial" w:cs="Arial"/>
        </w:rPr>
      </w:pPr>
      <w:r>
        <w:rPr>
          <w:rFonts w:ascii="Arial" w:hAnsi="Arial" w:cs="Arial"/>
        </w:rPr>
        <w:t xml:space="preserve">ABSTRACT </w:t>
      </w:r>
    </w:p>
    <w:p w14:paraId="3382E0B8" w14:textId="77777777" w:rsidR="004F4873" w:rsidRDefault="004F487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F4873" w14:paraId="3DC71747" w14:textId="77777777">
        <w:tc>
          <w:tcPr>
            <w:tcW w:w="9576" w:type="dxa"/>
            <w:shd w:val="clear" w:color="auto" w:fill="F2F2F2"/>
          </w:tcPr>
          <w:p w14:paraId="3EF3C544" w14:textId="77777777" w:rsidR="004F4873" w:rsidRDefault="004F4873">
            <w:pPr>
              <w:pStyle w:val="Body"/>
              <w:spacing w:after="0"/>
              <w:rPr>
                <w:rFonts w:ascii="Arial" w:eastAsia="Calibri" w:hAnsi="Arial" w:cs="Arial"/>
                <w:b/>
                <w:bCs/>
                <w:szCs w:val="22"/>
                <w:lang w:val="en-IN"/>
              </w:rPr>
            </w:pPr>
          </w:p>
          <w:p w14:paraId="28E3940D" w14:textId="77777777" w:rsidR="004F4873" w:rsidRDefault="002C4901">
            <w:pPr>
              <w:pStyle w:val="Body"/>
              <w:spacing w:after="0"/>
              <w:rPr>
                <w:rFonts w:ascii="Arial" w:eastAsia="Calibri" w:hAnsi="Arial" w:cs="Arial"/>
                <w:szCs w:val="22"/>
              </w:rPr>
            </w:pPr>
            <w:r>
              <w:rPr>
                <w:rFonts w:ascii="Arial" w:eastAsia="Calibri" w:hAnsi="Arial" w:cs="Arial"/>
                <w:szCs w:val="22"/>
              </w:rPr>
              <w:t xml:space="preserve">A 30-days experiment was conducted to optimization of C:N ratio using millet as carbon source to understand the growth performance, water quality parameters and microbial load in biofloc system. </w:t>
            </w:r>
          </w:p>
          <w:p w14:paraId="3DB3821A" w14:textId="77777777" w:rsidR="004F4873" w:rsidRDefault="002C4901">
            <w:pPr>
              <w:pStyle w:val="Body"/>
              <w:spacing w:after="0"/>
              <w:rPr>
                <w:rFonts w:ascii="Arial" w:eastAsia="Calibri" w:hAnsi="Arial" w:cs="Arial"/>
                <w:szCs w:val="22"/>
              </w:rPr>
            </w:pPr>
            <w:r>
              <w:rPr>
                <w:rFonts w:ascii="Arial" w:eastAsia="Calibri" w:hAnsi="Arial" w:cs="Arial"/>
                <w:i/>
                <w:iCs/>
                <w:szCs w:val="22"/>
              </w:rPr>
              <w:t>Catla catla</w:t>
            </w:r>
            <w:r>
              <w:rPr>
                <w:rFonts w:ascii="Arial" w:eastAsia="Calibri" w:hAnsi="Arial" w:cs="Arial"/>
                <w:szCs w:val="22"/>
              </w:rPr>
              <w:t xml:space="preserve"> were stocked at a rate of 1.5 g/L of water. After 7 days of acclimatization period, fish fry with an average initial body weight of Catla (0.88±0.03) gm were distributed in three different treatments (C:N ratio 10:1(T</w:t>
            </w:r>
            <w:r>
              <w:rPr>
                <w:rFonts w:ascii="Arial" w:eastAsia="Calibri" w:hAnsi="Arial" w:cs="Arial"/>
                <w:szCs w:val="22"/>
                <w:vertAlign w:val="subscript"/>
              </w:rPr>
              <w:t>1</w:t>
            </w:r>
            <w:r>
              <w:rPr>
                <w:rFonts w:ascii="Arial" w:eastAsia="Calibri" w:hAnsi="Arial" w:cs="Arial"/>
                <w:szCs w:val="22"/>
              </w:rPr>
              <w:t>), 15:1 (T</w:t>
            </w:r>
            <w:r>
              <w:rPr>
                <w:rFonts w:ascii="Arial" w:eastAsia="Calibri" w:hAnsi="Arial" w:cs="Arial"/>
                <w:szCs w:val="22"/>
                <w:vertAlign w:val="subscript"/>
              </w:rPr>
              <w:t>2</w:t>
            </w:r>
            <w:r>
              <w:rPr>
                <w:rFonts w:ascii="Arial" w:eastAsia="Calibri" w:hAnsi="Arial" w:cs="Arial"/>
                <w:szCs w:val="22"/>
              </w:rPr>
              <w:t>) and 20:1 (T</w:t>
            </w:r>
            <w:r>
              <w:rPr>
                <w:rFonts w:ascii="Arial" w:eastAsia="Calibri" w:hAnsi="Arial" w:cs="Arial"/>
                <w:szCs w:val="22"/>
                <w:vertAlign w:val="subscript"/>
              </w:rPr>
              <w:t>3</w:t>
            </w:r>
            <w:r>
              <w:rPr>
                <w:rFonts w:ascii="Arial" w:eastAsia="Calibri" w:hAnsi="Arial" w:cs="Arial"/>
                <w:szCs w:val="22"/>
              </w:rPr>
              <w:t xml:space="preserve">)). Understand the impact of different C:N ratios, specifically emphasizing Treatment 3 with a C:N ratio of 20:1. Millet, chosen as the carbon source, played a pivotal role in shaping the microbial dynamics within the biofloc system. </w:t>
            </w:r>
          </w:p>
          <w:p w14:paraId="2A92EEF2" w14:textId="77777777" w:rsidR="004F4873" w:rsidRDefault="002C4901">
            <w:pPr>
              <w:pStyle w:val="Body"/>
              <w:spacing w:after="0"/>
              <w:rPr>
                <w:rFonts w:ascii="Arial" w:eastAsia="Calibri" w:hAnsi="Arial" w:cs="Arial"/>
                <w:szCs w:val="22"/>
              </w:rPr>
            </w:pPr>
            <w:r>
              <w:rPr>
                <w:rFonts w:ascii="Arial" w:eastAsia="Calibri" w:hAnsi="Arial" w:cs="Arial"/>
                <w:szCs w:val="22"/>
              </w:rPr>
              <w:t>The results revealed that Treatment 3 demonstrated superior outcomes in terms of growth performance metrics, water quality parameters, floc volume, overall health of the fish, and the microbial composition, T</w:t>
            </w:r>
            <w:r>
              <w:rPr>
                <w:rFonts w:ascii="Arial" w:eastAsia="Calibri" w:hAnsi="Arial" w:cs="Arial"/>
                <w:szCs w:val="22"/>
                <w:vertAlign w:val="subscript"/>
              </w:rPr>
              <w:t xml:space="preserve">3 </w:t>
            </w:r>
            <w:r>
              <w:rPr>
                <w:rFonts w:ascii="Arial" w:eastAsia="Calibri" w:hAnsi="Arial" w:cs="Arial"/>
                <w:szCs w:val="22"/>
              </w:rPr>
              <w:t>(C:N ratio 20:1) emerged as the leader in growth performance metrics, showcasing noteworthy improvements in average weight gain, body weight gain percentage, and survival rates. The optimized C:N ratio, particularly with a higher carbon input from millet, seemed to create an environment conducive to enhanced fish growth. Similarly, displayed optimal water quality parameters, including dissolved oxygen (DO), total dissolved solids (TDS), ammonia levels, pH, and temperature. The effective nutrient cycling facilitated by the balanced C:N ratio contributed to maintaining a stable and healthy aquatic environment. The floc volume was notably controlled and balanced, indicating a well-managed microbial community. The size and stability of flocs are crucial indicators of the efficiency of biofloc systems.</w:t>
            </w:r>
          </w:p>
          <w:p w14:paraId="61E58909" w14:textId="77777777" w:rsidR="004F4873" w:rsidRDefault="004F4873">
            <w:pPr>
              <w:pStyle w:val="Body"/>
              <w:spacing w:after="0"/>
              <w:rPr>
                <w:rFonts w:ascii="Arial" w:eastAsia="Calibri" w:hAnsi="Arial" w:cs="Arial"/>
                <w:szCs w:val="22"/>
              </w:rPr>
            </w:pPr>
          </w:p>
        </w:tc>
      </w:tr>
    </w:tbl>
    <w:p w14:paraId="19D4E60C" w14:textId="77777777" w:rsidR="004F4873" w:rsidRDefault="004F4873">
      <w:pPr>
        <w:pStyle w:val="Body"/>
        <w:spacing w:after="0"/>
        <w:rPr>
          <w:rFonts w:ascii="Arial" w:hAnsi="Arial" w:cs="Arial"/>
          <w:i/>
        </w:rPr>
      </w:pPr>
    </w:p>
    <w:p w14:paraId="178A1960" w14:textId="77777777" w:rsidR="004F4873" w:rsidRDefault="002C4901">
      <w:pPr>
        <w:rPr>
          <w:rFonts w:ascii="Arial" w:hAnsi="Arial" w:cs="Arial"/>
          <w:szCs w:val="16"/>
        </w:rPr>
      </w:pPr>
      <w:r>
        <w:rPr>
          <w:rFonts w:ascii="Arial" w:hAnsi="Arial" w:cs="Arial"/>
          <w:i/>
        </w:rPr>
        <w:t xml:space="preserve">Keywords: </w:t>
      </w:r>
      <w:bookmarkStart w:id="1" w:name="_Hlk219696886"/>
      <w:r>
        <w:rPr>
          <w:rFonts w:ascii="Arial" w:hAnsi="Arial" w:cs="Arial"/>
          <w:i/>
        </w:rPr>
        <w:t>Catla, Biofloc Technology, Millet, Optimization</w:t>
      </w:r>
      <w:bookmarkEnd w:id="1"/>
      <w:r>
        <w:rPr>
          <w:rFonts w:ascii="Arial" w:hAnsi="Arial" w:cs="Arial"/>
          <w:i/>
        </w:rPr>
        <w:t xml:space="preserve">, </w:t>
      </w:r>
      <w:r>
        <w:rPr>
          <w:rFonts w:ascii="Arial" w:hAnsi="Arial" w:cs="Arial"/>
          <w:szCs w:val="16"/>
        </w:rPr>
        <w:t>growth performance, water quality</w:t>
      </w:r>
    </w:p>
    <w:p w14:paraId="27FC4880" w14:textId="77777777" w:rsidR="004F4873" w:rsidRDefault="002C4901">
      <w:pPr>
        <w:rPr>
          <w:rFonts w:ascii="Arial" w:hAnsi="Arial" w:cs="Arial"/>
          <w:b/>
          <w:bCs/>
          <w:i/>
          <w:iCs/>
        </w:rPr>
      </w:pPr>
      <w:r>
        <w:rPr>
          <w:rFonts w:ascii="Arial" w:hAnsi="Arial" w:cs="Arial"/>
          <w:szCs w:val="16"/>
        </w:rPr>
        <w:t xml:space="preserve"> </w:t>
      </w:r>
    </w:p>
    <w:p w14:paraId="14761B10" w14:textId="77777777" w:rsidR="004F4873" w:rsidRDefault="002C4901">
      <w:pPr>
        <w:pStyle w:val="AbstHead"/>
        <w:spacing w:after="0"/>
        <w:jc w:val="both"/>
        <w:rPr>
          <w:rFonts w:ascii="Arial" w:hAnsi="Arial" w:cs="Arial"/>
        </w:rPr>
      </w:pPr>
      <w:r>
        <w:rPr>
          <w:rFonts w:ascii="Arial" w:hAnsi="Arial" w:cs="Arial"/>
        </w:rPr>
        <w:t xml:space="preserve">1. INTRODUCTION </w:t>
      </w:r>
    </w:p>
    <w:p w14:paraId="11F8F002" w14:textId="77777777" w:rsidR="004F4873" w:rsidRDefault="002C4901">
      <w:pPr>
        <w:pStyle w:val="Body"/>
        <w:spacing w:after="0"/>
        <w:rPr>
          <w:rFonts w:ascii="Arial" w:hAnsi="Arial" w:cs="Arial"/>
        </w:rPr>
      </w:pPr>
      <w:bookmarkStart w:id="2" w:name="_Hlk219696922"/>
      <w:r>
        <w:rPr>
          <w:rFonts w:ascii="Arial" w:hAnsi="Arial" w:cs="Arial"/>
        </w:rPr>
        <w:t xml:space="preserve">Aquaculture stands out as the most rapidly expanding food production sector, playing a pivotal role in ensuring both nutritional sustenance and livelihood stability worldwide.The past three decades have witnessed a notable surge in fisheries and aquaculture production, marked by profound transformations, particularly in the dominance of aquaculture as a primary source. Over this period, aquaculture has emerged as the principal catalyst for the escalation in fisheries and aquaculture output. Between 2000 and 2021, it exhibited a remarkable average </w:t>
      </w:r>
      <w:r>
        <w:rPr>
          <w:rFonts w:ascii="Arial" w:hAnsi="Arial" w:cs="Arial"/>
        </w:rPr>
        <w:lastRenderedPageBreak/>
        <w:t xml:space="preserve">annual growth rate of 5.0 percent, culminating in a historic milestone of 90.9 million tonnes in 2021. This trajectory underscores the profound shift towards aquaculture as the cornerstone of global fishery and aquaculture expansion (FAO,2023). India's aquaculture sector, in particular, demonstrates exceptional growth and is anticipated to surge rapidly in the forthcoming years. This growth is primarily attributed to horizontal expansion, buoyed by the widespread adoption of advanced aquaculture techniques. Furthermore, as the global human population continues to expand at a rapid pace, surpassing 9 billion by 2030, the aquaculture industry stands poised to play a crucial role in ensuring food and nutritional security. By producing high-quality animal protein in both inland and coastal regions, it can address the increasing demand for sustenance while also serving as a significant source of livelihood and income generation for millions of people (Roy </w:t>
      </w:r>
      <w:r>
        <w:rPr>
          <w:rFonts w:ascii="Arial" w:hAnsi="Arial" w:cs="Arial"/>
          <w:i/>
          <w:iCs/>
        </w:rPr>
        <w:t>et al</w:t>
      </w:r>
      <w:r>
        <w:rPr>
          <w:rFonts w:ascii="Arial" w:hAnsi="Arial" w:cs="Arial"/>
        </w:rPr>
        <w:t xml:space="preserve">., 2019, 2020; Ngasotter </w:t>
      </w:r>
      <w:r>
        <w:rPr>
          <w:rFonts w:ascii="Arial" w:hAnsi="Arial" w:cs="Arial"/>
          <w:i/>
          <w:iCs/>
        </w:rPr>
        <w:t>et al</w:t>
      </w:r>
      <w:r>
        <w:rPr>
          <w:rFonts w:ascii="Arial" w:hAnsi="Arial" w:cs="Arial"/>
        </w:rPr>
        <w:t>., 2020). Nevertheless, the rising global demand has led to intensified pressure for the expansion and intensification of aquaculture systems. This trend has brought about a plethora of challenges, including the depletion of natural resources, heightened environmental pollution, and substantial losses attributed to disease outbreaks (Kumar</w:t>
      </w:r>
      <w:r>
        <w:rPr>
          <w:rFonts w:ascii="Arial" w:hAnsi="Arial" w:cs="Arial"/>
          <w:i/>
          <w:iCs/>
        </w:rPr>
        <w:t xml:space="preserve"> et al.</w:t>
      </w:r>
      <w:r>
        <w:rPr>
          <w:rFonts w:ascii="Arial" w:hAnsi="Arial" w:cs="Arial"/>
        </w:rPr>
        <w:t xml:space="preserve">, 2021). </w:t>
      </w:r>
    </w:p>
    <w:p w14:paraId="161C433D" w14:textId="77777777" w:rsidR="004F4873" w:rsidRDefault="002C4901">
      <w:pPr>
        <w:pStyle w:val="Body"/>
        <w:spacing w:after="0"/>
        <w:rPr>
          <w:rFonts w:ascii="Arial" w:hAnsi="Arial" w:cs="Arial"/>
        </w:rPr>
      </w:pPr>
      <w:r>
        <w:rPr>
          <w:rFonts w:ascii="Arial" w:hAnsi="Arial" w:cs="Arial"/>
        </w:rPr>
        <w:t xml:space="preserve">In recent years, the practice of cultivating aquaculture species within biofloc systems has gained popularity and demonstrated promising results in enhancing water quality, fish health, and overall production efficiency. This technology holds the potential to address not only the increasing demand for dietary animal proteins but also pressing concerns such as water scarcity, environmental issues, and animal health and disease management (Kumar </w:t>
      </w:r>
      <w:r>
        <w:rPr>
          <w:rFonts w:ascii="Arial" w:hAnsi="Arial" w:cs="Arial"/>
          <w:i/>
          <w:iCs/>
        </w:rPr>
        <w:t>et al</w:t>
      </w:r>
      <w:r>
        <w:rPr>
          <w:rFonts w:ascii="Arial" w:hAnsi="Arial" w:cs="Arial"/>
        </w:rPr>
        <w:t xml:space="preserve">., 2021).The fundamental principle of the biofloc system revolves around recycling and transforming waste and excess nutrients, particularly inorganic nitrogen compounds like NH3-N and NO2-N, which are generated from feces and uneaten feed, into microbial biomass. These biomasses are typically rich in protein content and can be utilized by cultured animals directly in situ, or if harvested, they could be processed and utilized as a nutrient source for feed production. Achieving this involves managing the carbon and nitrogen ratio (C/N ratio) through adjustments to feed carbohydrate content or the addition of carbon sources to the water, thereby facilitating the optimal conditions for microbial growth and nutrient utilization within the system (Avnimelech, 1999; Crab </w:t>
      </w:r>
      <w:r>
        <w:rPr>
          <w:rFonts w:ascii="Arial" w:hAnsi="Arial" w:cs="Arial"/>
          <w:i/>
          <w:iCs/>
        </w:rPr>
        <w:t>et al</w:t>
      </w:r>
      <w:r>
        <w:rPr>
          <w:rFonts w:ascii="Arial" w:hAnsi="Arial" w:cs="Arial"/>
        </w:rPr>
        <w:t xml:space="preserve">., 2012; Ekasari </w:t>
      </w:r>
      <w:r>
        <w:rPr>
          <w:rFonts w:ascii="Arial" w:hAnsi="Arial" w:cs="Arial"/>
          <w:i/>
          <w:iCs/>
        </w:rPr>
        <w:t>et al</w:t>
      </w:r>
      <w:r>
        <w:rPr>
          <w:rFonts w:ascii="Arial" w:hAnsi="Arial" w:cs="Arial"/>
        </w:rPr>
        <w:t xml:space="preserve">., 2014). Schneider </w:t>
      </w:r>
      <w:r>
        <w:rPr>
          <w:rFonts w:ascii="Arial" w:hAnsi="Arial" w:cs="Arial"/>
          <w:i/>
          <w:iCs/>
        </w:rPr>
        <w:t>et al</w:t>
      </w:r>
      <w:r>
        <w:rPr>
          <w:rFonts w:ascii="Arial" w:hAnsi="Arial" w:cs="Arial"/>
        </w:rPr>
        <w:t xml:space="preserve">. (2005) Studies have reported that maintaining a C:N ratio between 10 and 15:1 facilitates the conversion of organic nitrogenous ammonium waste into bacterial biomass. Silva </w:t>
      </w:r>
      <w:r>
        <w:rPr>
          <w:rFonts w:ascii="Arial" w:hAnsi="Arial" w:cs="Arial"/>
          <w:i/>
          <w:iCs/>
        </w:rPr>
        <w:t>et al</w:t>
      </w:r>
      <w:r>
        <w:rPr>
          <w:rFonts w:ascii="Arial" w:hAnsi="Arial" w:cs="Arial"/>
        </w:rPr>
        <w:t>. (2017) investigated two carbon (C) to nitrogen (N) ratios (10:1 and 20:1) and three carbon sources (sugar, molasses, and cassava starch). The findings revealed that molasses and sugar, particularly at C:N ratios of 10:1 and 20:1, proved to be the most effective carbon sources for microbial floc production. Minabi</w:t>
      </w:r>
      <w:r>
        <w:rPr>
          <w:rFonts w:ascii="Arial" w:hAnsi="Arial" w:cs="Arial"/>
          <w:i/>
          <w:iCs/>
        </w:rPr>
        <w:t xml:space="preserve"> et al.</w:t>
      </w:r>
      <w:r>
        <w:rPr>
          <w:rFonts w:ascii="Arial" w:hAnsi="Arial" w:cs="Arial"/>
        </w:rPr>
        <w:t xml:space="preserve"> (2020) reported that Nitrite, nitrate, and total ammonia nitrogen exhibited a consistent decline as the C/N ratio increased, with the highest positive impact observed at a ratio of 23:1 on total heterotrophic bacteria. Solanki </w:t>
      </w:r>
      <w:r>
        <w:rPr>
          <w:rFonts w:ascii="Arial" w:hAnsi="Arial" w:cs="Arial"/>
          <w:i/>
          <w:iCs/>
        </w:rPr>
        <w:t>et al</w:t>
      </w:r>
      <w:r>
        <w:rPr>
          <w:rFonts w:ascii="Arial" w:hAnsi="Arial" w:cs="Arial"/>
        </w:rPr>
        <w:t>. (2023) investigated the carbon source for adjusting the C/N ratio was rice bran. According to water characteristics, there was a significant decrease in total ammonia nitrogen (TAN), nitrite nitrogen (NO2-N), and nitrate nitrogen (NO3-N) in the water when the C/N ratio was raised from 10 to 20.</w:t>
      </w:r>
    </w:p>
    <w:p w14:paraId="554C2BB6" w14:textId="77777777" w:rsidR="004F4873" w:rsidRDefault="002C4901">
      <w:pPr>
        <w:pStyle w:val="Body"/>
        <w:spacing w:after="0"/>
        <w:rPr>
          <w:rFonts w:ascii="Arial" w:hAnsi="Arial" w:cs="Arial"/>
        </w:rPr>
      </w:pPr>
      <w:r>
        <w:rPr>
          <w:rFonts w:ascii="Arial" w:hAnsi="Arial" w:cs="Arial"/>
        </w:rPr>
        <w:t>Notably, millet emerges as a valuable carbon source and explores comparative less in these aquaculture practices. Millet, a cereal grain, serves as an effective alternative carbon substrate due to its carbohydrate content. The utilization of millet as a carbon source not only supports microbial growth but also offers additional nutritional benefits to the aquatic organisms. This dual role emphasizes the importance of selecting sustainable and nutritionally rich carbon sources, contributing to the overall success and environmental soundness of modern aquaculture techniques.</w:t>
      </w:r>
    </w:p>
    <w:p w14:paraId="6635D9EE" w14:textId="77777777" w:rsidR="004F4873" w:rsidRDefault="002C4901">
      <w:pPr>
        <w:pStyle w:val="Body"/>
        <w:spacing w:after="0"/>
        <w:rPr>
          <w:rFonts w:ascii="Arial" w:hAnsi="Arial" w:cs="Arial"/>
        </w:rPr>
      </w:pPr>
      <w:r>
        <w:rPr>
          <w:rFonts w:ascii="Arial" w:hAnsi="Arial" w:cs="Arial"/>
        </w:rPr>
        <w:t xml:space="preserve">In semi-intensive aquaculture ponds, the majority of feeds exhibit a C:N ratio of less than 10:1, despite the fact bacteria require approximately 20 units of carbon for every unit of nitrogen. This discrepancy in ratios results in carbon being the limiting nutrient for the growth of heterotrophic bacteria within aquaculture ponds. The constrained carbon supply prevents the bacterial population from surpassing a certain threshold. To address this limitation, </w:t>
      </w:r>
      <w:r>
        <w:rPr>
          <w:rFonts w:ascii="Arial" w:hAnsi="Arial" w:cs="Arial"/>
        </w:rPr>
        <w:lastRenderedPageBreak/>
        <w:t>incorporating locally available, cost-effective carbon sources into the feed can elevate the pond's C:N ratio. This increased carbon availability fosters the development of a dense mass of heterotrophic bacterial communities. Consequently, altering the C:N ratio has the potential to shift an autotrophic system towards a heterotrophic state. Carps, tilapias, and prawns can then utilize these microbial masses as a source of nutrition.</w:t>
      </w:r>
    </w:p>
    <w:p w14:paraId="3AF6601E" w14:textId="77777777" w:rsidR="004F4873" w:rsidRDefault="004F4873">
      <w:pPr>
        <w:pStyle w:val="Body"/>
        <w:spacing w:after="0"/>
        <w:rPr>
          <w:rFonts w:ascii="Arial" w:hAnsi="Arial" w:cs="Arial"/>
        </w:rPr>
      </w:pPr>
    </w:p>
    <w:bookmarkEnd w:id="2"/>
    <w:p w14:paraId="18D244E1" w14:textId="77777777" w:rsidR="004F4873" w:rsidRDefault="002C4901">
      <w:pPr>
        <w:pStyle w:val="AbstHead"/>
        <w:spacing w:after="0"/>
        <w:jc w:val="both"/>
        <w:rPr>
          <w:rFonts w:ascii="Arial" w:hAnsi="Arial" w:cs="Arial"/>
        </w:rPr>
      </w:pPr>
      <w:r>
        <w:rPr>
          <w:rFonts w:ascii="Arial" w:hAnsi="Arial" w:cs="Arial"/>
        </w:rPr>
        <w:t xml:space="preserve">2. Materials and methods </w:t>
      </w:r>
    </w:p>
    <w:p w14:paraId="55A92761" w14:textId="77777777" w:rsidR="004F4873" w:rsidRDefault="002C4901">
      <w:pPr>
        <w:pStyle w:val="Body"/>
        <w:spacing w:after="0"/>
        <w:jc w:val="left"/>
        <w:rPr>
          <w:rFonts w:ascii="Arial" w:hAnsi="Arial" w:cs="Arial"/>
          <w:b/>
          <w:bCs/>
          <w:sz w:val="22"/>
          <w:szCs w:val="22"/>
        </w:rPr>
      </w:pPr>
      <w:r>
        <w:rPr>
          <w:rFonts w:ascii="Arial" w:hAnsi="Arial" w:cs="Arial"/>
          <w:b/>
          <w:bCs/>
          <w:sz w:val="22"/>
          <w:szCs w:val="22"/>
        </w:rPr>
        <w:t xml:space="preserve">2.1 Experimental design and set-up </w:t>
      </w:r>
    </w:p>
    <w:p w14:paraId="5558A48E" w14:textId="77777777" w:rsidR="004F4873" w:rsidRDefault="002C4901">
      <w:pPr>
        <w:pStyle w:val="Body"/>
        <w:spacing w:after="0"/>
        <w:rPr>
          <w:rFonts w:ascii="Arial" w:hAnsi="Arial" w:cs="Arial"/>
        </w:rPr>
      </w:pPr>
      <w:r>
        <w:rPr>
          <w:rFonts w:ascii="Arial" w:hAnsi="Arial" w:cs="Arial"/>
        </w:rPr>
        <w:t>The research experiment was conducted in the wet lab at the College of Fisheries Science (C.F.Sc), Kamdhenu University, Rajpur (Nava), Himmatnagar. Water quality was tested in the biochemistry lab, Microbiology was done at central biotechnology lab at KU,Himmatnagar.</w:t>
      </w:r>
    </w:p>
    <w:p w14:paraId="44ADC024" w14:textId="77777777" w:rsidR="004F4873" w:rsidRDefault="002C4901">
      <w:pPr>
        <w:pStyle w:val="Body"/>
        <w:spacing w:after="0"/>
        <w:rPr>
          <w:rFonts w:ascii="Arial" w:hAnsi="Arial" w:cs="Arial"/>
        </w:rPr>
      </w:pPr>
      <w:r>
        <w:rPr>
          <w:rFonts w:ascii="Arial" w:hAnsi="Arial" w:cs="Arial"/>
        </w:rPr>
        <w:t>In 3 tank biofloc was developed using millet as a carbon source. The experiment included three treatment groups in triplicates following Completely Randomized Design (CRD) such T1- C:N ratio was 10:1,in T</w:t>
      </w:r>
      <w:r>
        <w:rPr>
          <w:rFonts w:ascii="Arial" w:hAnsi="Arial" w:cs="Arial"/>
          <w:vertAlign w:val="subscript"/>
        </w:rPr>
        <w:t>2</w:t>
      </w:r>
      <w:r>
        <w:rPr>
          <w:rFonts w:ascii="Arial" w:hAnsi="Arial" w:cs="Arial"/>
        </w:rPr>
        <w:t xml:space="preserve">- C:N ratio was 15:1 and in T3- C:N ratio was 20:1.this experiment was carried out for 30 days. C: N was calculated by method described by Avnimelech, 1999. </w:t>
      </w:r>
      <w:r>
        <w:rPr>
          <w:rFonts w:ascii="Arial" w:hAnsi="Arial" w:cs="Arial"/>
          <w:i/>
          <w:iCs/>
        </w:rPr>
        <w:t>Catla catla</w:t>
      </w:r>
      <w:r>
        <w:rPr>
          <w:rFonts w:ascii="Arial" w:hAnsi="Arial" w:cs="Arial"/>
        </w:rPr>
        <w:t xml:space="preserve"> were stocked at a rate of 1.5 g/L of water. After 7 days of acclimatization period, fish fry with an average initial body weight of Catla (0.88±0.03) gm were distributed in treatment. The bore well water was filled in each circular tank. Water refilled when the evaporation loss to compensate the water level, and in control daily 10% water was changed. The fry were fed at the rate of 10% body weight to satiety, twice a day with a commercial pellet of 0.6mm for 30 days (40% protein, 6% fat, 3% crude fiber, 11% moisture ). </w:t>
      </w:r>
    </w:p>
    <w:p w14:paraId="58B0F5C6" w14:textId="77777777" w:rsidR="004F4873" w:rsidRDefault="002C4901">
      <w:pPr>
        <w:pStyle w:val="Body"/>
        <w:spacing w:after="0"/>
        <w:rPr>
          <w:rFonts w:ascii="Arial" w:hAnsi="Arial" w:cs="Arial"/>
        </w:rPr>
      </w:pPr>
      <w:r>
        <w:rPr>
          <w:rFonts w:ascii="Arial" w:hAnsi="Arial" w:cs="Arial"/>
        </w:rPr>
        <w:t>To set up a biofloc system, begin with a 1000-liter water tank, filling it with 300 liters of water and ensuring aeration. Add 30 grams of ammonium sulfate as a nitrogen source. Next, transfer a portion of water into a bucket and mix in millet as the carbon source. Introduce probiotics into the millet-water mixture, ensuring thorough mixing. Add this mixture back into the main tank and continue aerating. After 5 days, observe a drop in ammonia levels. Once the floc volume reaches 10-15 ml per liter of water, the tank is ready for fish stocking. (Avnimelech, 2014)</w:t>
      </w:r>
    </w:p>
    <w:p w14:paraId="17D19ED3" w14:textId="77777777" w:rsidR="004F4873" w:rsidRDefault="002C4901">
      <w:pPr>
        <w:pStyle w:val="Body"/>
        <w:spacing w:after="0"/>
        <w:rPr>
          <w:rFonts w:ascii="Arial" w:hAnsi="Arial" w:cs="Arial"/>
        </w:rPr>
      </w:pPr>
      <w:r>
        <w:rPr>
          <w:rFonts w:ascii="Arial" w:hAnsi="Arial" w:cs="Arial"/>
        </w:rPr>
        <w:t xml:space="preserve">The C:N ratio of 10:1, 15:1, and 20:1 was maintained as described by Crab et al., 2012, using millet flour as a carbon source throughout the experiment. The amount of millet flour added was determined every fortnight based on fish biomass and the quantity of feed to be provided at a 10% feeding rate. Assuming 40% protein in the feed, with 16% nitrogen in protein, and considering that 70% of the feed transforms into dissolved ammonia in water, and 64% of organic carbon in millet flour, the required amount of millet flour was added daily to all treatments to maintain the C:N ratios of 10:1, 15:1, and 20:1.Whenever total ammonia nitrogen (TAN) levels exceeded 1 mg/l during the experiment, additional millet flour was added to the system at a carbohydrate:TAN ratio of 10:1, 15:1, and 20:1. </w:t>
      </w:r>
    </w:p>
    <w:p w14:paraId="5FC6BBB9" w14:textId="77777777" w:rsidR="004F4873" w:rsidRDefault="004F4873">
      <w:pPr>
        <w:pStyle w:val="Body"/>
        <w:spacing w:after="0"/>
        <w:rPr>
          <w:rFonts w:ascii="Arial" w:hAnsi="Arial" w:cs="Arial"/>
        </w:rPr>
      </w:pPr>
    </w:p>
    <w:p w14:paraId="661C9573" w14:textId="77777777" w:rsidR="004F4873" w:rsidRDefault="002C4901">
      <w:pPr>
        <w:pStyle w:val="Body"/>
        <w:spacing w:after="0"/>
        <w:jc w:val="left"/>
        <w:rPr>
          <w:rFonts w:ascii="Arial" w:hAnsi="Arial" w:cs="Arial"/>
          <w:b/>
          <w:bCs/>
          <w:sz w:val="22"/>
          <w:szCs w:val="22"/>
        </w:rPr>
      </w:pPr>
      <w:r>
        <w:rPr>
          <w:rFonts w:ascii="Arial" w:hAnsi="Arial" w:cs="Arial"/>
          <w:b/>
          <w:bCs/>
          <w:sz w:val="22"/>
          <w:szCs w:val="22"/>
        </w:rPr>
        <w:t xml:space="preserve">2.2 Assessment of physico-chemical parameters </w:t>
      </w:r>
    </w:p>
    <w:p w14:paraId="719E5688" w14:textId="77777777" w:rsidR="004F4873" w:rsidRDefault="002C4901">
      <w:pPr>
        <w:pStyle w:val="Body"/>
        <w:spacing w:after="0"/>
        <w:rPr>
          <w:rFonts w:ascii="Arial" w:hAnsi="Arial" w:cs="Arial"/>
        </w:rPr>
      </w:pPr>
      <w:r>
        <w:rPr>
          <w:rFonts w:ascii="Arial" w:hAnsi="Arial" w:cs="Arial"/>
        </w:rPr>
        <w:t>A standardized Cole Parmer (PC100) pH/Conductivity meter was used to test the pH of experimental tank water at weekly. Total dissolved solids (TDS), electric conductivity (EC) and temperature were determined weekly using a HANNA instruments EC/TDS/ Temperature portable meter. Whereas, dissolve oxygen (DO) and total ammonium nitrogen (TAN) were analyzed weekly using standard method (APHA, 1998). Floc volume was measured weekly by using Imhoff cone.</w:t>
      </w:r>
    </w:p>
    <w:p w14:paraId="626AA5FA" w14:textId="77777777" w:rsidR="004F4873" w:rsidRDefault="004F4873">
      <w:pPr>
        <w:pStyle w:val="Body"/>
        <w:spacing w:after="0"/>
        <w:rPr>
          <w:rFonts w:ascii="Arial" w:hAnsi="Arial" w:cs="Arial"/>
        </w:rPr>
      </w:pPr>
    </w:p>
    <w:p w14:paraId="306E4A5A" w14:textId="77777777" w:rsidR="004F4873" w:rsidRDefault="002C4901">
      <w:pPr>
        <w:pStyle w:val="Body"/>
        <w:spacing w:after="0"/>
        <w:jc w:val="left"/>
        <w:rPr>
          <w:rFonts w:ascii="Arial" w:hAnsi="Arial" w:cs="Arial"/>
          <w:b/>
          <w:bCs/>
          <w:sz w:val="22"/>
          <w:szCs w:val="22"/>
        </w:rPr>
      </w:pPr>
      <w:r>
        <w:rPr>
          <w:rFonts w:ascii="Arial" w:hAnsi="Arial" w:cs="Arial"/>
          <w:b/>
          <w:bCs/>
          <w:sz w:val="22"/>
          <w:szCs w:val="22"/>
        </w:rPr>
        <w:t>2.3 Determination of fish growth parameters and survival</w:t>
      </w:r>
    </w:p>
    <w:p w14:paraId="12273311" w14:textId="77777777" w:rsidR="004F4873" w:rsidRDefault="002C4901">
      <w:pPr>
        <w:pStyle w:val="Body"/>
        <w:spacing w:after="0"/>
        <w:rPr>
          <w:rFonts w:ascii="Arial" w:hAnsi="Arial" w:cs="Arial"/>
        </w:rPr>
      </w:pPr>
      <w:r>
        <w:rPr>
          <w:rFonts w:ascii="Arial" w:hAnsi="Arial" w:cs="Arial"/>
        </w:rPr>
        <w:t>Fishes (n=15) of different treatment groups were weighed at every 10 days interval and assessed for the growth parameters like body weight gain (%) (BWG), Feed conversion ratio (FCR), feed conversion efficiency (FCE), specific growth rate (%) (SGR), Protein efficiency ratio (PER), Hepatosomatic Index (HIS), Lipid Efficiency ratio (LER), Intestinal Somatic Index (ISI) and Survival rate (%). Fish growth characteristics were measured using the following formulas:</w:t>
      </w:r>
    </w:p>
    <w:p w14:paraId="04DEDAE3" w14:textId="77777777" w:rsidR="004F4873" w:rsidRDefault="002C4901">
      <w:pPr>
        <w:pStyle w:val="Body"/>
        <w:spacing w:after="0"/>
        <w:rPr>
          <w:rFonts w:ascii="Arial" w:hAnsi="Arial" w:cs="Arial"/>
        </w:rPr>
      </w:pPr>
      <w:r>
        <w:rPr>
          <w:rFonts w:ascii="Arial" w:hAnsi="Arial" w:cs="Arial"/>
        </w:rPr>
        <w:lastRenderedPageBreak/>
        <w:t>Survival rate (%) = (Number of fish at the end of the experiment / Number of fish at the                  beginning of experiment.) * 100</w:t>
      </w:r>
    </w:p>
    <w:p w14:paraId="747FE36B" w14:textId="77777777" w:rsidR="004F4873" w:rsidRDefault="002C4901">
      <w:pPr>
        <w:pStyle w:val="Body"/>
        <w:spacing w:after="0"/>
        <w:rPr>
          <w:rFonts w:ascii="Arial" w:hAnsi="Arial" w:cs="Arial"/>
        </w:rPr>
      </w:pPr>
      <w:r>
        <w:rPr>
          <w:rFonts w:ascii="Arial" w:hAnsi="Arial" w:cs="Arial"/>
        </w:rPr>
        <w:t>SGR (%) = [ ln (FW)-ln (IW)/N] *100</w:t>
      </w:r>
    </w:p>
    <w:p w14:paraId="69447F79" w14:textId="77777777" w:rsidR="004F4873" w:rsidRDefault="002C4901">
      <w:pPr>
        <w:pStyle w:val="Body"/>
        <w:spacing w:after="0"/>
        <w:rPr>
          <w:rFonts w:ascii="Arial" w:hAnsi="Arial" w:cs="Arial"/>
        </w:rPr>
      </w:pPr>
      <w:r>
        <w:rPr>
          <w:rFonts w:ascii="Arial" w:hAnsi="Arial" w:cs="Arial"/>
        </w:rPr>
        <w:t>BWG (%) = (FW- IW) *100/IW</w:t>
      </w:r>
    </w:p>
    <w:p w14:paraId="03DB2BB0" w14:textId="77777777" w:rsidR="004F4873" w:rsidRDefault="002C4901">
      <w:pPr>
        <w:pStyle w:val="Body"/>
        <w:spacing w:after="0"/>
        <w:rPr>
          <w:rFonts w:ascii="Arial" w:hAnsi="Arial" w:cs="Arial"/>
        </w:rPr>
      </w:pPr>
      <w:r>
        <w:rPr>
          <w:rFonts w:ascii="Arial" w:hAnsi="Arial" w:cs="Arial"/>
        </w:rPr>
        <w:t>FCR = Feed intake/ weight gain</w:t>
      </w:r>
    </w:p>
    <w:p w14:paraId="0A27B38A" w14:textId="77777777" w:rsidR="004F4873" w:rsidRDefault="002C4901">
      <w:pPr>
        <w:pStyle w:val="Body"/>
        <w:spacing w:after="0"/>
        <w:rPr>
          <w:rFonts w:ascii="Arial" w:hAnsi="Arial" w:cs="Arial"/>
        </w:rPr>
      </w:pPr>
      <w:r>
        <w:rPr>
          <w:rFonts w:ascii="Arial" w:hAnsi="Arial" w:cs="Arial"/>
        </w:rPr>
        <w:t>FCE = 1/FCR</w:t>
      </w:r>
    </w:p>
    <w:p w14:paraId="301F7C3E" w14:textId="77777777" w:rsidR="004F4873" w:rsidRDefault="002C4901">
      <w:pPr>
        <w:pStyle w:val="Body"/>
        <w:spacing w:after="0"/>
        <w:rPr>
          <w:rFonts w:ascii="Arial" w:hAnsi="Arial" w:cs="Arial"/>
        </w:rPr>
      </w:pPr>
      <w:r>
        <w:rPr>
          <w:rFonts w:ascii="Arial" w:hAnsi="Arial" w:cs="Arial"/>
        </w:rPr>
        <w:t xml:space="preserve">LER = Wet weight gain / lipid intake on dry matter basis </w:t>
      </w:r>
    </w:p>
    <w:p w14:paraId="42EE1876" w14:textId="77777777" w:rsidR="004F4873" w:rsidRDefault="002C4901">
      <w:pPr>
        <w:pStyle w:val="Body"/>
        <w:spacing w:after="0"/>
        <w:rPr>
          <w:rFonts w:ascii="Arial" w:hAnsi="Arial" w:cs="Arial"/>
        </w:rPr>
      </w:pPr>
      <w:r>
        <w:rPr>
          <w:rFonts w:ascii="Arial" w:hAnsi="Arial" w:cs="Arial"/>
        </w:rPr>
        <w:t>PER = Wet weight gain / protein intake on dry matter basis</w:t>
      </w:r>
    </w:p>
    <w:p w14:paraId="432D3AB6" w14:textId="77777777" w:rsidR="004F4873" w:rsidRDefault="002C4901">
      <w:pPr>
        <w:pStyle w:val="Body"/>
        <w:spacing w:after="0"/>
        <w:rPr>
          <w:rFonts w:ascii="Arial" w:hAnsi="Arial" w:cs="Arial"/>
        </w:rPr>
      </w:pPr>
      <w:r>
        <w:rPr>
          <w:rFonts w:ascii="Arial" w:hAnsi="Arial" w:cs="Arial"/>
        </w:rPr>
        <w:t>HIS (%) = (Wet weight of liver/wet weight of whole fish) *100</w:t>
      </w:r>
    </w:p>
    <w:p w14:paraId="39323BC6" w14:textId="77777777" w:rsidR="004F4873" w:rsidRDefault="002C4901">
      <w:pPr>
        <w:pStyle w:val="Body"/>
        <w:spacing w:after="0"/>
        <w:rPr>
          <w:rFonts w:ascii="Arial" w:hAnsi="Arial" w:cs="Arial"/>
        </w:rPr>
      </w:pPr>
      <w:r>
        <w:rPr>
          <w:rFonts w:ascii="Arial" w:hAnsi="Arial" w:cs="Arial"/>
        </w:rPr>
        <w:t>ISI (%) = (Wet weight of intestine/ wet weight of whole fish) *100</w:t>
      </w:r>
    </w:p>
    <w:p w14:paraId="572BE4BC" w14:textId="77777777" w:rsidR="004F4873" w:rsidRDefault="002C4901">
      <w:pPr>
        <w:pStyle w:val="Body"/>
        <w:spacing w:after="0"/>
        <w:rPr>
          <w:rFonts w:ascii="Arial" w:hAnsi="Arial" w:cs="Arial"/>
        </w:rPr>
      </w:pPr>
      <w:r>
        <w:rPr>
          <w:rFonts w:ascii="Arial" w:hAnsi="Arial" w:cs="Arial"/>
        </w:rPr>
        <w:t xml:space="preserve">Where, FW= Final weight, IW= Initial weight, N = Number of days of the experiment, ln= Natural log. </w:t>
      </w:r>
    </w:p>
    <w:p w14:paraId="49F2D6EA" w14:textId="77777777" w:rsidR="004F4873" w:rsidRDefault="004F4873">
      <w:pPr>
        <w:pStyle w:val="Body"/>
        <w:spacing w:after="0"/>
        <w:rPr>
          <w:rFonts w:ascii="Arial" w:hAnsi="Arial" w:cs="Arial"/>
        </w:rPr>
      </w:pPr>
    </w:p>
    <w:p w14:paraId="042BA7F4" w14:textId="77777777" w:rsidR="004F4873" w:rsidRDefault="002C4901">
      <w:pPr>
        <w:pStyle w:val="Body"/>
        <w:spacing w:after="0"/>
        <w:jc w:val="left"/>
        <w:rPr>
          <w:rFonts w:ascii="Arial" w:hAnsi="Arial" w:cs="Arial"/>
          <w:b/>
          <w:bCs/>
          <w:sz w:val="22"/>
          <w:szCs w:val="22"/>
        </w:rPr>
      </w:pPr>
      <w:r>
        <w:rPr>
          <w:rFonts w:ascii="Arial" w:hAnsi="Arial" w:cs="Arial"/>
          <w:b/>
          <w:bCs/>
          <w:sz w:val="22"/>
          <w:szCs w:val="22"/>
        </w:rPr>
        <w:t xml:space="preserve">2.4 Proximate analysis </w:t>
      </w:r>
    </w:p>
    <w:p w14:paraId="19D6E00F" w14:textId="77777777" w:rsidR="004F4873" w:rsidRDefault="002C4901">
      <w:pPr>
        <w:pStyle w:val="Body"/>
        <w:spacing w:after="0"/>
        <w:rPr>
          <w:rFonts w:ascii="Arial" w:hAnsi="Arial" w:cs="Arial"/>
        </w:rPr>
      </w:pPr>
      <w:r>
        <w:rPr>
          <w:rFonts w:ascii="Arial" w:hAnsi="Arial" w:cs="Arial"/>
        </w:rPr>
        <w:t xml:space="preserve">At the end of experiment proximate composition of floc was measured according to standard protocol of AOAC, (1995). Crude protein and lipid was evaluated by Kjeldahl method and Soxhlet apparatus, respectively. Moisture was analyzed by Automatic moisture analyzer. </w:t>
      </w:r>
    </w:p>
    <w:p w14:paraId="635E5D90" w14:textId="77777777" w:rsidR="004F4873" w:rsidRDefault="004F4873">
      <w:pPr>
        <w:pStyle w:val="Body"/>
        <w:spacing w:after="0"/>
        <w:rPr>
          <w:rFonts w:ascii="Arial" w:hAnsi="Arial" w:cs="Arial"/>
        </w:rPr>
      </w:pPr>
    </w:p>
    <w:p w14:paraId="36384D68" w14:textId="77777777" w:rsidR="004F4873" w:rsidRDefault="002C4901">
      <w:pPr>
        <w:pStyle w:val="Body"/>
        <w:spacing w:after="0"/>
        <w:jc w:val="left"/>
        <w:rPr>
          <w:rFonts w:ascii="Arial" w:hAnsi="Arial" w:cs="Arial"/>
        </w:rPr>
      </w:pPr>
      <w:r>
        <w:rPr>
          <w:rFonts w:ascii="Arial" w:hAnsi="Arial" w:cs="Arial"/>
          <w:b/>
          <w:bCs/>
          <w:sz w:val="22"/>
          <w:szCs w:val="22"/>
        </w:rPr>
        <w:t>2.5 Total plate count</w:t>
      </w:r>
      <w:r>
        <w:rPr>
          <w:rFonts w:ascii="Arial" w:hAnsi="Arial" w:cs="Arial"/>
        </w:rPr>
        <w:t xml:space="preserve"> </w:t>
      </w:r>
    </w:p>
    <w:p w14:paraId="28FE5E6F" w14:textId="77777777" w:rsidR="004F4873" w:rsidRDefault="002C4901">
      <w:pPr>
        <w:pStyle w:val="Body"/>
        <w:spacing w:after="0"/>
        <w:rPr>
          <w:rFonts w:ascii="Arial" w:hAnsi="Arial" w:cs="Arial"/>
        </w:rPr>
      </w:pPr>
      <w:r>
        <w:rPr>
          <w:rFonts w:ascii="Arial" w:hAnsi="Arial" w:cs="Arial"/>
        </w:rPr>
        <w:t>Sample (water, floc, gut) were collected in sterile tube and performing the serial dilution using 0.85% saline. 100µl sample were taken for the spreading on nutrient agar by using the sterile spreader. Total number of colonies were counted by LABWAN microprocessor colony counter and calculated as per following formula.</w:t>
      </w:r>
    </w:p>
    <w:p w14:paraId="41797F06" w14:textId="77777777" w:rsidR="004F4873" w:rsidRDefault="002C4901">
      <w:pPr>
        <w:pStyle w:val="Body"/>
        <w:spacing w:after="0"/>
        <w:rPr>
          <w:rFonts w:ascii="Arial" w:hAnsi="Arial" w:cs="Arial"/>
        </w:rPr>
      </w:pPr>
      <w:r>
        <w:rPr>
          <w:rFonts w:ascii="Arial" w:hAnsi="Arial" w:cs="Arial"/>
        </w:rPr>
        <w:t>CFU/ml=total no. of colonies x dilution factor/volume of sample</w:t>
      </w:r>
    </w:p>
    <w:p w14:paraId="6D0AD395" w14:textId="77777777" w:rsidR="004F4873" w:rsidRDefault="004F4873">
      <w:pPr>
        <w:pStyle w:val="Body"/>
        <w:spacing w:after="0"/>
        <w:rPr>
          <w:rFonts w:ascii="Arial" w:hAnsi="Arial" w:cs="Arial"/>
        </w:rPr>
      </w:pPr>
    </w:p>
    <w:p w14:paraId="5363E321" w14:textId="77777777" w:rsidR="004F4873" w:rsidRDefault="002C4901">
      <w:pPr>
        <w:pStyle w:val="Body"/>
        <w:spacing w:after="0"/>
        <w:jc w:val="left"/>
        <w:rPr>
          <w:rFonts w:ascii="Arial" w:hAnsi="Arial" w:cs="Arial"/>
          <w:b/>
          <w:bCs/>
          <w:sz w:val="22"/>
          <w:szCs w:val="22"/>
        </w:rPr>
      </w:pPr>
      <w:r>
        <w:rPr>
          <w:rFonts w:ascii="Arial" w:hAnsi="Arial" w:cs="Arial"/>
          <w:b/>
          <w:bCs/>
          <w:sz w:val="22"/>
          <w:szCs w:val="22"/>
        </w:rPr>
        <w:t xml:space="preserve">2.6 Microscopic Observation </w:t>
      </w:r>
    </w:p>
    <w:p w14:paraId="3A0D4753" w14:textId="77777777" w:rsidR="004F4873" w:rsidRDefault="002C4901">
      <w:pPr>
        <w:pStyle w:val="Body"/>
        <w:spacing w:after="0"/>
        <w:rPr>
          <w:rFonts w:ascii="Arial" w:hAnsi="Arial" w:cs="Arial"/>
        </w:rPr>
      </w:pPr>
      <w:r>
        <w:rPr>
          <w:rFonts w:ascii="Arial" w:hAnsi="Arial" w:cs="Arial"/>
        </w:rPr>
        <w:t>Collect the developed floc and examine the live feed / floc development under the compound microscope with magnification of 10X and 40X.</w:t>
      </w:r>
    </w:p>
    <w:p w14:paraId="2A7608EE" w14:textId="77777777" w:rsidR="004F4873" w:rsidRDefault="004F4873">
      <w:pPr>
        <w:pStyle w:val="Body"/>
        <w:spacing w:after="0"/>
        <w:rPr>
          <w:rFonts w:ascii="Arial" w:hAnsi="Arial" w:cs="Arial"/>
        </w:rPr>
      </w:pPr>
    </w:p>
    <w:p w14:paraId="0D415AC5" w14:textId="77777777" w:rsidR="004F4873" w:rsidRDefault="002C4901">
      <w:pPr>
        <w:pStyle w:val="Body"/>
        <w:spacing w:after="0"/>
        <w:jc w:val="left"/>
        <w:rPr>
          <w:rFonts w:ascii="Arial" w:hAnsi="Arial" w:cs="Arial"/>
          <w:b/>
          <w:bCs/>
          <w:sz w:val="22"/>
          <w:szCs w:val="22"/>
        </w:rPr>
      </w:pPr>
      <w:r>
        <w:rPr>
          <w:rFonts w:ascii="Arial" w:hAnsi="Arial" w:cs="Arial"/>
          <w:b/>
          <w:bCs/>
          <w:sz w:val="22"/>
          <w:szCs w:val="22"/>
        </w:rPr>
        <w:t xml:space="preserve">2.7 Statistical analysis </w:t>
      </w:r>
    </w:p>
    <w:p w14:paraId="1F43F5E9" w14:textId="77777777" w:rsidR="004F4873" w:rsidRDefault="002C4901">
      <w:pPr>
        <w:pStyle w:val="Body"/>
        <w:spacing w:after="0"/>
        <w:rPr>
          <w:rFonts w:ascii="Arial" w:hAnsi="Arial" w:cs="Arial"/>
        </w:rPr>
      </w:pPr>
      <w:r>
        <w:rPr>
          <w:rFonts w:ascii="Arial" w:hAnsi="Arial" w:cs="Arial"/>
        </w:rPr>
        <w:t xml:space="preserve">The experiment was conducted using completely randomized design and the analysis of data was analysis using one-way ANOVA (analysis of variance), with descriptive values mean ± standard error, and homogeneity of subsets by using Tukey’s method for different superscript. </w:t>
      </w:r>
    </w:p>
    <w:p w14:paraId="0D3DA3EB" w14:textId="77777777" w:rsidR="004F4873" w:rsidRDefault="004F4873">
      <w:pPr>
        <w:pStyle w:val="Body"/>
        <w:spacing w:after="0"/>
        <w:rPr>
          <w:rFonts w:ascii="Arial" w:hAnsi="Arial" w:cs="Arial"/>
        </w:rPr>
      </w:pPr>
    </w:p>
    <w:p w14:paraId="10C631A9" w14:textId="77777777" w:rsidR="004F4873" w:rsidRDefault="002C4901">
      <w:pPr>
        <w:pStyle w:val="Head1"/>
        <w:spacing w:after="0"/>
        <w:jc w:val="both"/>
        <w:rPr>
          <w:rFonts w:ascii="Arial" w:hAnsi="Arial" w:cs="Arial"/>
        </w:rPr>
      </w:pPr>
      <w:r>
        <w:rPr>
          <w:rFonts w:ascii="Arial" w:hAnsi="Arial" w:cs="Arial"/>
        </w:rPr>
        <w:t>3. results and discussion</w:t>
      </w:r>
    </w:p>
    <w:p w14:paraId="1E6BD838" w14:textId="77777777" w:rsidR="004F4873" w:rsidRDefault="002C4901">
      <w:pPr>
        <w:pStyle w:val="Body"/>
        <w:spacing w:after="0"/>
        <w:jc w:val="left"/>
        <w:rPr>
          <w:rFonts w:ascii="Arial" w:hAnsi="Arial" w:cs="Arial"/>
          <w:b/>
          <w:bCs/>
          <w:sz w:val="22"/>
          <w:szCs w:val="22"/>
        </w:rPr>
      </w:pPr>
      <w:r>
        <w:rPr>
          <w:rFonts w:ascii="Arial" w:hAnsi="Arial" w:cs="Arial"/>
          <w:b/>
          <w:bCs/>
          <w:sz w:val="22"/>
          <w:szCs w:val="22"/>
        </w:rPr>
        <w:t>3.1 Physico-Chemical Water Quality Parameters Recorded During Experimental Period</w:t>
      </w:r>
    </w:p>
    <w:p w14:paraId="2A529C2F" w14:textId="77777777" w:rsidR="004F4873" w:rsidRDefault="002C4901">
      <w:pPr>
        <w:pStyle w:val="Body"/>
        <w:spacing w:after="0"/>
        <w:rPr>
          <w:rFonts w:ascii="Arial" w:hAnsi="Arial" w:cs="Arial"/>
        </w:rPr>
      </w:pPr>
      <w:r>
        <w:rPr>
          <w:rFonts w:ascii="Arial" w:hAnsi="Arial" w:cs="Arial"/>
        </w:rPr>
        <w:t>The mean value of Physico-chemical water quality parameters and outcomes of one way ANOVA are presented in table 1. There was a significant (p&lt;0.05) effect of the C:N ratio on water quality parameters in biofloc. Although DO level was within the range of carp culture (Table 1). Increasing C:N ratio significantly(p&lt;0.05) reduced the dissolve oxygen in water. Dissolved Oxygen (DO) concentrations were highest in T</w:t>
      </w:r>
      <w:r>
        <w:rPr>
          <w:rFonts w:ascii="Arial" w:hAnsi="Arial" w:cs="Arial"/>
          <w:vertAlign w:val="subscript"/>
        </w:rPr>
        <w:t>1</w:t>
      </w:r>
      <w:r>
        <w:rPr>
          <w:rFonts w:ascii="Arial" w:hAnsi="Arial" w:cs="Arial"/>
        </w:rPr>
        <w:t xml:space="preserve"> (5.28±0.04 ppm), followed by T</w:t>
      </w:r>
      <w:r>
        <w:rPr>
          <w:rFonts w:ascii="Arial" w:hAnsi="Arial" w:cs="Arial"/>
          <w:vertAlign w:val="subscript"/>
        </w:rPr>
        <w:t xml:space="preserve">2 </w:t>
      </w:r>
      <w:r>
        <w:rPr>
          <w:rFonts w:ascii="Arial" w:hAnsi="Arial" w:cs="Arial"/>
        </w:rPr>
        <w:t>(5.18±0.05 ppm), and lowest in T</w:t>
      </w:r>
      <w:r>
        <w:rPr>
          <w:rFonts w:ascii="Arial" w:hAnsi="Arial" w:cs="Arial"/>
          <w:vertAlign w:val="subscript"/>
        </w:rPr>
        <w:t>3</w:t>
      </w:r>
      <w:r>
        <w:rPr>
          <w:rFonts w:ascii="Arial" w:hAnsi="Arial" w:cs="Arial"/>
        </w:rPr>
        <w:t xml:space="preserve"> (5.01±0.06 ppm), suggesting that lower C:N ratios may positively influence DO levels. The observed DO level in this study aligns well with the findings of Mahanand et al. (2013), who conducted experiments with Labeo rohita using wheat flour as a carbon source in a biofloc system. Additionally, Wang et al. (2015) studied different C:N ratios (15:1, 20:1, and 25:1) with glucose as the carbon source to assess the growth performance of Crassius auratus under a biofloc system. However, our results indicate decreasing trends compared to the findings of Pérez-Fuentes et al. (2016), who tested different C:N ratios (10:1, 12.5:1, 15:1, 17.5:1, 20:1) to evaluate the growth performance of O. niloticus using molasses as a carbon source. The decreasing trends among the treatments with increasing C:N ratio may be attributed to the water's characteristics, with predominant heterotrophic food production, accounting for the bulk of oxygen consumption (Moriarty, 1997).</w:t>
      </w:r>
    </w:p>
    <w:p w14:paraId="3E3E879F" w14:textId="77777777" w:rsidR="004F4873" w:rsidRDefault="002C4901">
      <w:pPr>
        <w:pStyle w:val="Body"/>
        <w:spacing w:after="0"/>
        <w:rPr>
          <w:rFonts w:ascii="Arial" w:hAnsi="Arial" w:cs="Arial"/>
        </w:rPr>
      </w:pPr>
      <w:r>
        <w:rPr>
          <w:rFonts w:ascii="Arial" w:hAnsi="Arial" w:cs="Arial"/>
        </w:rPr>
        <w:lastRenderedPageBreak/>
        <w:t>In biofloc systems, nitrogenous waste is reduced through microbial assimilation, facilitated by additional carbonaceous materials (Avnimelech, 1999). During the experiment, TAN concentrations were highest in T</w:t>
      </w:r>
      <w:r>
        <w:rPr>
          <w:rFonts w:ascii="Arial" w:hAnsi="Arial" w:cs="Arial"/>
          <w:vertAlign w:val="subscript"/>
        </w:rPr>
        <w:t>1</w:t>
      </w:r>
      <w:r>
        <w:rPr>
          <w:rFonts w:ascii="Arial" w:hAnsi="Arial" w:cs="Arial"/>
        </w:rPr>
        <w:t xml:space="preserve"> (0.62±0.14 ppm), followed by T</w:t>
      </w:r>
      <w:r>
        <w:rPr>
          <w:rFonts w:ascii="Arial" w:hAnsi="Arial" w:cs="Arial"/>
          <w:vertAlign w:val="subscript"/>
        </w:rPr>
        <w:t>2</w:t>
      </w:r>
      <w:r>
        <w:rPr>
          <w:rFonts w:ascii="Arial" w:hAnsi="Arial" w:cs="Arial"/>
        </w:rPr>
        <w:t xml:space="preserve"> (0.51±0.10 ppm), and T</w:t>
      </w:r>
      <w:r>
        <w:rPr>
          <w:rFonts w:ascii="Arial" w:hAnsi="Arial" w:cs="Arial"/>
          <w:vertAlign w:val="subscript"/>
        </w:rPr>
        <w:t xml:space="preserve">3 </w:t>
      </w:r>
      <w:r>
        <w:rPr>
          <w:rFonts w:ascii="Arial" w:hAnsi="Arial" w:cs="Arial"/>
        </w:rPr>
        <w:t>(0.52±0.09 ppm), suggesting that higher C:N ratios might contribute to reduced TAN levels (Azim and Little, 2008).This decreasing trend from lower to higher C:N ratios was observed in the present study. However, Treatment T2 and T3 showed significant differences (p&lt;0.05) compared to T</w:t>
      </w:r>
      <w:r>
        <w:rPr>
          <w:rFonts w:ascii="Arial" w:hAnsi="Arial" w:cs="Arial"/>
          <w:vertAlign w:val="subscript"/>
        </w:rPr>
        <w:t>1</w:t>
      </w:r>
      <w:r>
        <w:rPr>
          <w:rFonts w:ascii="Arial" w:hAnsi="Arial" w:cs="Arial"/>
        </w:rPr>
        <w:t>. The promotion of heterotrophic bacterial growth at high C:N ratios may explain this, as it helps control generated nitrogenous compounds (Wang et al., 2015). This aligns with findings that a large amount of heterotrophic bacteria formed due to an increase in C/N ratio can absorb the majority of ammonia nitrogen in aquaculture water, consequently increasing biofloc quantity. Similar observations were made in an experiment with Crassius auratus, using glucose as a carbon source under a biofloc system. Efficient ammonia removal occurred when C:N was above 15:1 (Wang</w:t>
      </w:r>
      <w:r>
        <w:rPr>
          <w:rFonts w:ascii="Arial" w:hAnsi="Arial" w:cs="Arial"/>
          <w:i/>
          <w:iCs/>
        </w:rPr>
        <w:t xml:space="preserve"> et al</w:t>
      </w:r>
      <w:r>
        <w:rPr>
          <w:rFonts w:ascii="Arial" w:hAnsi="Arial" w:cs="Arial"/>
        </w:rPr>
        <w:t xml:space="preserve">., 2015). Carbohydrate supplementation in aquaculture water, as found by Hari et al. (2006), reduced ammonia nitrogen, nitrite nitrogen, and nitrogen emissions. However, Ebeling </w:t>
      </w:r>
      <w:r>
        <w:rPr>
          <w:rFonts w:ascii="Arial" w:hAnsi="Arial" w:cs="Arial"/>
          <w:i/>
          <w:iCs/>
        </w:rPr>
        <w:t>et al.</w:t>
      </w:r>
      <w:r>
        <w:rPr>
          <w:rFonts w:ascii="Arial" w:hAnsi="Arial" w:cs="Arial"/>
        </w:rPr>
        <w:t xml:space="preserve"> (2006) proposed three principal pathways for removing hazardous nitrogen species: photoautotrophic removal by algae, immobilization by heterotrophic bacteria as proteinaceous microbial biomass, and chemo-autotrophic oxidation to nitrate by nitrifying bacteria.</w:t>
      </w:r>
    </w:p>
    <w:p w14:paraId="7FE5C2B6" w14:textId="77777777" w:rsidR="004F4873" w:rsidRDefault="002C4901">
      <w:pPr>
        <w:pStyle w:val="Body"/>
        <w:spacing w:after="0"/>
        <w:rPr>
          <w:rFonts w:ascii="Arial" w:hAnsi="Arial" w:cs="Arial"/>
        </w:rPr>
      </w:pPr>
      <w:r>
        <w:rPr>
          <w:rFonts w:ascii="Arial" w:hAnsi="Arial" w:cs="Arial"/>
        </w:rPr>
        <w:t>The decreasing trend of TAN with increasing C:N ratio might be attributed to the immobilization of generated nitrogen by heterotrophic bacteria, supported by Hargreaves (1998). As most of the ammonia in the system is taken up by heterotrophic bacteria, NO3-N availability in the biofloc system allows phytoplankton growth. Nitrifying bacteria convert TAN into other nitrogenous metabolites or assimilate it to develop microbial biomass (Middelburg and Nieuwenhuize, 2000). Under a zero water exchange system, the decreasing trends of TAN are associated with the microbial community (Ebeling et al., 2006) and ammonia oxidation to nitrate .Therefore, an increased C/N ratio can lead to a higher absorption of ammonia nitrogen by heterotrophic bacteria, further enhancing biofloc quantity. The rate of reduction of nitrogenous products under biofloc may be higher in an aged culture, as supported by Azim and Little (2008) and Asaduzzaman</w:t>
      </w:r>
      <w:r>
        <w:rPr>
          <w:rFonts w:ascii="Arial" w:hAnsi="Arial" w:cs="Arial"/>
          <w:i/>
          <w:iCs/>
        </w:rPr>
        <w:t xml:space="preserve"> et al</w:t>
      </w:r>
      <w:r>
        <w:rPr>
          <w:rFonts w:ascii="Arial" w:hAnsi="Arial" w:cs="Arial"/>
        </w:rPr>
        <w:t>. (2008).</w:t>
      </w:r>
    </w:p>
    <w:p w14:paraId="2C6BCC29" w14:textId="77777777" w:rsidR="004F4873" w:rsidRDefault="002C4901">
      <w:pPr>
        <w:pStyle w:val="Body"/>
        <w:spacing w:after="0"/>
        <w:rPr>
          <w:rFonts w:ascii="Arial" w:hAnsi="Arial" w:cs="Arial"/>
        </w:rPr>
      </w:pPr>
      <w:r>
        <w:rPr>
          <w:rFonts w:ascii="Arial" w:hAnsi="Arial" w:cs="Arial"/>
        </w:rPr>
        <w:t>In the study, Total Dissolved Solids (TDS) and Electrical Conductivity (EC) values reached their highest levels in T</w:t>
      </w:r>
      <w:r>
        <w:rPr>
          <w:rFonts w:ascii="Arial" w:hAnsi="Arial" w:cs="Arial"/>
          <w:vertAlign w:val="subscript"/>
        </w:rPr>
        <w:t>3</w:t>
      </w:r>
      <w:r>
        <w:rPr>
          <w:rFonts w:ascii="Arial" w:hAnsi="Arial" w:cs="Arial"/>
        </w:rPr>
        <w:t xml:space="preserve"> (657.83±4.12 ppm and 1315.433±8.9 µS/cm, respectively), suggesting potential influences of C:N ratios on water turbidity and conductivity. Significant differences (p&lt;0.05) in TDS and EC values were observed in T</w:t>
      </w:r>
      <w:r>
        <w:rPr>
          <w:rFonts w:ascii="Arial" w:hAnsi="Arial" w:cs="Arial"/>
          <w:vertAlign w:val="subscript"/>
        </w:rPr>
        <w:t>3</w:t>
      </w:r>
      <w:r>
        <w:rPr>
          <w:rFonts w:ascii="Arial" w:hAnsi="Arial" w:cs="Arial"/>
        </w:rPr>
        <w:t xml:space="preserve"> compared to T</w:t>
      </w:r>
      <w:r>
        <w:rPr>
          <w:rFonts w:ascii="Arial" w:hAnsi="Arial" w:cs="Arial"/>
          <w:vertAlign w:val="subscript"/>
        </w:rPr>
        <w:t>2</w:t>
      </w:r>
      <w:r>
        <w:rPr>
          <w:rFonts w:ascii="Arial" w:hAnsi="Arial" w:cs="Arial"/>
        </w:rPr>
        <w:t xml:space="preserve"> and T</w:t>
      </w:r>
      <w:r>
        <w:rPr>
          <w:rFonts w:ascii="Arial" w:hAnsi="Arial" w:cs="Arial"/>
          <w:vertAlign w:val="subscript"/>
        </w:rPr>
        <w:t>1</w:t>
      </w:r>
      <w:r>
        <w:rPr>
          <w:rFonts w:ascii="Arial" w:hAnsi="Arial" w:cs="Arial"/>
        </w:rPr>
        <w:t>. The slight increase in TDS, coupled with a high C:N ratio, indicates the presence of a substantial microbial floc in the system. These divergent findings highlight the complexity of the relationships between C:N ratios and water quality parameters, emphasizing the need for tailored C:N ratios to enhance the performance of aquaculture systems. The observed decreasing trends in Dissolved Oxygen (DO) and Total Ammonium Nitrogen (TAN) concentrations may be justified by microbial activity influenced by the availability of carbon sources. Higher C:N ratios with millet as the carbon source may promote microbial activity, leading to increased oxygen demand. The lower values of TAN indicate efficient utilization of generated ammonia within the system by microbial communities from unused feed and faeces. The higher C:N ratio may enhance bacterial populations, ultimately expediting the breakdown process of complex food particles and the immobilization of generated ammonia by heterotrophic bacterial communities</w:t>
      </w:r>
    </w:p>
    <w:p w14:paraId="3E84071A" w14:textId="77777777" w:rsidR="004F4873" w:rsidRDefault="002C4901">
      <w:pPr>
        <w:pStyle w:val="Body"/>
        <w:spacing w:after="0"/>
        <w:rPr>
          <w:rFonts w:ascii="Arial" w:hAnsi="Arial" w:cs="Arial"/>
        </w:rPr>
      </w:pPr>
      <w:r>
        <w:rPr>
          <w:rFonts w:ascii="Arial" w:hAnsi="Arial" w:cs="Arial"/>
        </w:rPr>
        <w:t xml:space="preserve">The pH and temperature values exhibited no significant differences (p&gt;0.05) among treatments, indicating a limited influence of C:N ratios on these parameters. The observed pH value in the present study aligns with the findings of Wang et al. (2015). However, our pH values were significantly higher compared to those observed by Rajkumar et al. (2015), who conducted experiments with various carbon sources under a biofloc system on Litopenaeus vannamei. The values in our study are consistent with the suggestions of Azim and Little (2008), who proposed that average water temperature (26–30 °C), DO (range 3.0–7.5 ppm), </w:t>
      </w:r>
      <w:r>
        <w:rPr>
          <w:rFonts w:ascii="Arial" w:hAnsi="Arial" w:cs="Arial"/>
        </w:rPr>
        <w:lastRenderedPageBreak/>
        <w:t xml:space="preserve">and pH (6.7, range 5.0–8.5) are optimal for tropical fish culture. In contrast, Dewan </w:t>
      </w:r>
      <w:r>
        <w:rPr>
          <w:rFonts w:ascii="Arial" w:hAnsi="Arial" w:cs="Arial"/>
          <w:i/>
          <w:iCs/>
        </w:rPr>
        <w:t>et al.</w:t>
      </w:r>
      <w:r>
        <w:rPr>
          <w:rFonts w:ascii="Arial" w:hAnsi="Arial" w:cs="Arial"/>
        </w:rPr>
        <w:t xml:space="preserve"> (1991) observed that the optimum temperatures for Indian major carps are around 30–34°C.</w:t>
      </w:r>
    </w:p>
    <w:p w14:paraId="6A1151DA" w14:textId="77777777" w:rsidR="004F4873" w:rsidRDefault="002C4901">
      <w:pPr>
        <w:pStyle w:val="Body"/>
        <w:spacing w:after="0"/>
        <w:rPr>
          <w:rFonts w:ascii="Arial" w:hAnsi="Arial" w:cs="Arial"/>
        </w:rPr>
      </w:pPr>
      <w:r>
        <w:rPr>
          <w:rFonts w:ascii="Arial" w:hAnsi="Arial" w:cs="Arial"/>
        </w:rPr>
        <w:t>This study investigates the influence of carbon ratios (10:1, 15:1, and 20:1) on floc volume within a controlled experimental setting. Mean floc volumes were measured and analyzed for statistical significance. The results reveal a significant increasing trend in floc volume with higher carbon ratios. Specifically, at a T1, the mean floc volume was 17.3 ± 1.10a ml/l. Subsequently, at a T2, the mean floc volume increased to 18.1 ± 0.91b ml/l. The highest  T3, exhibited the largest mean floc volume of 20.9 ± 1.23c ml/l. Notably, Treatment T3 demonstrates a significantly higher difference (p &lt; 0.05) compared to T2 and T1.The observed TDS level in this experiment was significantly higher compared to the findings of Mahanand</w:t>
      </w:r>
      <w:r>
        <w:rPr>
          <w:rFonts w:ascii="Arial" w:hAnsi="Arial" w:cs="Arial"/>
          <w:i/>
          <w:iCs/>
        </w:rPr>
        <w:t xml:space="preserve"> et al.</w:t>
      </w:r>
      <w:r>
        <w:rPr>
          <w:rFonts w:ascii="Arial" w:hAnsi="Arial" w:cs="Arial"/>
        </w:rPr>
        <w:t xml:space="preserve"> (2013), who conducted experiments with </w:t>
      </w:r>
      <w:r>
        <w:rPr>
          <w:rFonts w:ascii="Arial" w:hAnsi="Arial" w:cs="Arial"/>
          <w:i/>
          <w:iCs/>
        </w:rPr>
        <w:t>Labeo rohita</w:t>
      </w:r>
      <w:r>
        <w:rPr>
          <w:rFonts w:ascii="Arial" w:hAnsi="Arial" w:cs="Arial"/>
        </w:rPr>
        <w:t xml:space="preserve"> using wheat flour as a carbon source in a biofloc system, and Rajkumar</w:t>
      </w:r>
      <w:r>
        <w:rPr>
          <w:rFonts w:ascii="Arial" w:hAnsi="Arial" w:cs="Arial"/>
          <w:i/>
          <w:iCs/>
        </w:rPr>
        <w:t xml:space="preserve"> et a</w:t>
      </w:r>
      <w:r>
        <w:rPr>
          <w:rFonts w:ascii="Arial" w:hAnsi="Arial" w:cs="Arial"/>
        </w:rPr>
        <w:t>l. (2015), who used various carbon sources such as molasses, tapioca flour, and wheat flour under a biofloc system on Litopenaeus vannamei. However, the EC values were lower compared to Rajkumar</w:t>
      </w:r>
      <w:r>
        <w:rPr>
          <w:rFonts w:ascii="Arial" w:hAnsi="Arial" w:cs="Arial"/>
          <w:i/>
          <w:iCs/>
        </w:rPr>
        <w:t xml:space="preserve"> et al. </w:t>
      </w:r>
      <w:r>
        <w:rPr>
          <w:rFonts w:ascii="Arial" w:hAnsi="Arial" w:cs="Arial"/>
        </w:rPr>
        <w:t xml:space="preserve">(2015).Our result was in agreement with the findings of Azim and Little's (2008).They revealed that, the increase in total dissolved solids (TDS) with higher carbon-to-nitrogen (C:N) ratios is consistent. </w:t>
      </w:r>
    </w:p>
    <w:p w14:paraId="357DF721" w14:textId="77777777" w:rsidR="004F4873" w:rsidRDefault="002C4901">
      <w:pPr>
        <w:pStyle w:val="Body"/>
        <w:spacing w:after="0"/>
        <w:rPr>
          <w:rFonts w:ascii="Arial" w:hAnsi="Arial" w:cs="Arial"/>
        </w:rPr>
      </w:pPr>
      <w:r>
        <w:rPr>
          <w:rFonts w:ascii="Arial" w:hAnsi="Arial" w:cs="Arial"/>
        </w:rPr>
        <w:t xml:space="preserve">After analysing the water quality parameters, it is evident that the best results were obtained at a C:N ratio of 20:1 with millet as the carbon source under a biofloc system. Our findings align with those reported by Rakocy et al. (2004) and Avnimelech (2007), who suggested that a C:N ratio of 20:1 is optimal for growing tilapia, promoting water quality without adversely affecting survival and growth. In contrast, our results differ from the conclusions of Pérez-Fuentes (2016), who suggested that a C:N ratio of 10:1 kept nitrogenous compounds at a non-toxic level, while ratios exceeding 15:1 promoted the production of dissolved salts and settled biomass. Solanki </w:t>
      </w:r>
      <w:r>
        <w:rPr>
          <w:rFonts w:ascii="Arial" w:hAnsi="Arial" w:cs="Arial"/>
          <w:i/>
          <w:iCs/>
        </w:rPr>
        <w:t>et al.</w:t>
      </w:r>
      <w:r>
        <w:rPr>
          <w:rFonts w:ascii="Arial" w:hAnsi="Arial" w:cs="Arial"/>
        </w:rPr>
        <w:t xml:space="preserve"> (2023) found that floc volume increased notably (significantly P&lt;0.05) when both the carbon-to-nitrogen (C/N) ratio and stocking density increased.</w:t>
      </w:r>
    </w:p>
    <w:p w14:paraId="3C7E8C26" w14:textId="77777777" w:rsidR="004F4873" w:rsidRDefault="004F4873">
      <w:pPr>
        <w:pStyle w:val="Body"/>
        <w:spacing w:after="0"/>
        <w:rPr>
          <w:rFonts w:ascii="Arial" w:hAnsi="Arial" w:cs="Arial"/>
        </w:rPr>
      </w:pPr>
    </w:p>
    <w:p w14:paraId="5DD35B81" w14:textId="77777777" w:rsidR="004F4873" w:rsidRDefault="002C4901">
      <w:pPr>
        <w:pStyle w:val="Body"/>
        <w:spacing w:after="0"/>
        <w:rPr>
          <w:rFonts w:ascii="Arial" w:hAnsi="Arial" w:cs="Arial"/>
          <w:b/>
          <w:bCs/>
        </w:rPr>
      </w:pPr>
      <w:r>
        <w:rPr>
          <w:rFonts w:ascii="Arial" w:hAnsi="Arial" w:cs="Arial"/>
          <w:b/>
          <w:bCs/>
        </w:rPr>
        <w:t xml:space="preserve">3.2 Growth Performance  Of </w:t>
      </w:r>
      <w:r>
        <w:rPr>
          <w:rFonts w:ascii="Arial" w:hAnsi="Arial" w:cs="Arial"/>
          <w:b/>
          <w:bCs/>
          <w:i/>
          <w:iCs/>
        </w:rPr>
        <w:t>Catla catla</w:t>
      </w:r>
      <w:r>
        <w:rPr>
          <w:rFonts w:ascii="Arial" w:hAnsi="Arial" w:cs="Arial"/>
          <w:b/>
          <w:bCs/>
        </w:rPr>
        <w:t xml:space="preserve">  During  Experimental Period </w:t>
      </w:r>
    </w:p>
    <w:p w14:paraId="106A4B91" w14:textId="77777777" w:rsidR="004F4873" w:rsidRDefault="002C4901">
      <w:pPr>
        <w:pStyle w:val="Body"/>
        <w:spacing w:after="0"/>
        <w:rPr>
          <w:rFonts w:ascii="Arial" w:hAnsi="Arial" w:cs="Arial"/>
        </w:rPr>
      </w:pPr>
      <w:r>
        <w:rPr>
          <w:rFonts w:ascii="Arial" w:hAnsi="Arial" w:cs="Arial"/>
        </w:rPr>
        <w:t>Catla fry reared in biofloc with C:N ratio of 20:1 showed better growth performance and survival compared to 15:1 and 10:1 (Table 2). The average initial and final weights recorded during the experimental period across different treatments T1, T2 and T3, shows no significant difference (P&gt;0.05) in the beginning of the experiment(Table 2). Treatment T1 displayed an average initial weight of 0.80± 0.03a, which increased to 1.69 ± 0.04A as the final weight. In parallel, Treatment T2 commenced with an average initial weight of 0.91 ± 0.07a, culminating in a final weight of 2.24 ± 0.03B. Treatment T3 exhibited an initial weight of 0.87 ± 0.03a, escalating to a final weight of 2.68 ± 0.10C. The final weight shows significant difference (p&lt;0.05) in the final weights among treatments. The average weight gains (AVG-WG) was calculated every 10thdays’of the experiment among three different carbon ratios. The average mean values of WG shows increasing trend but found non-significant (p&gt;0.05) among treatments. However on 20th and 30th days of sampling increasing trend of WG was observed with the C:N ratio where,  treatment T3 shows significant (p&lt;0.05) higher weight gain  compare to T1 respectively (Table 2).  Similar, trends were observed in Body Weight Gain (BWG %) on the 10th day (non-significance p&gt;0.05).Whereas, on 20th day result shows significant higher (p&lt;0.05) SGR9%) values among all the treatments however, on 30th days T3 and T2 shows significant difference with T1 respectively.  Notably, on the   average values of SGR(%) on the first 10th day of experiment there was higher compare to 20th and 30th days of experiment.</w:t>
      </w:r>
    </w:p>
    <w:p w14:paraId="58E1BC23" w14:textId="77777777" w:rsidR="004F4873" w:rsidRDefault="002C4901">
      <w:pPr>
        <w:pStyle w:val="Body"/>
        <w:spacing w:after="0"/>
        <w:rPr>
          <w:rFonts w:ascii="Arial" w:hAnsi="Arial" w:cs="Arial"/>
        </w:rPr>
      </w:pPr>
      <w:r>
        <w:rPr>
          <w:rFonts w:ascii="Arial" w:hAnsi="Arial" w:cs="Arial"/>
        </w:rPr>
        <w:t>The Feed Conversion Ratios (FCR) was calculated at every 10-day interval among treatments. The result shows a decreasing tend in FCR with the increasing C:N ratio throughout the experimental period. On the 10th day FCR shows no significant difference (P&gt;0.05) among treatments whereas on the 20th day of experiment FCR shows significant (p&lt;0.05) difference in T3 compare to T2 and T1 respectively further on the 30th day the FCR values found non-significant (p&gt;0.05) among treatments. The values of FCE shows an inverse relation with FCR and showed upward trend with the increasing C:N ratio.</w:t>
      </w:r>
    </w:p>
    <w:p w14:paraId="66FB68F9" w14:textId="77777777" w:rsidR="004F4873" w:rsidRDefault="002C4901">
      <w:pPr>
        <w:pStyle w:val="Body"/>
        <w:spacing w:after="0"/>
        <w:rPr>
          <w:rFonts w:ascii="Arial" w:hAnsi="Arial" w:cs="Arial"/>
        </w:rPr>
      </w:pPr>
      <w:r>
        <w:rPr>
          <w:rFonts w:ascii="Arial" w:hAnsi="Arial" w:cs="Arial"/>
        </w:rPr>
        <w:lastRenderedPageBreak/>
        <w:t xml:space="preserve">This analysis explores Protein Efficiency Ratios (PER) and Lipid Efficiency Ratios (LER) across different C:N ratio (10:1, 15:1, and 20:1) every 10th day interval. The Values of PER and LER shows similar increasing trend with increasing C:N ratio  throughout the experimental period. In PER and LER on the 10th days T3 shows significant higher values compare to T1 and T2 respectively, Whereas, on the 20th day of experiment the values of PER showed increasing trends but found non-significant (p&gt;0.05) among treatments but the values of LER found significant (p&lt;0.05) in T3 compare to t1 and T2 respectively. During the 30th day of experiment both PER and LER shows significant higher (p&lt;0.05) values in T3 compare to T1 and T2 respectively. The increasing trend of PER and LER along with increasing the C:N ratio may be attributed due to the survival % during the experiment was found highest in the T3 followed by T2 and lowest values was observed in T1. </w:t>
      </w:r>
    </w:p>
    <w:p w14:paraId="55F705A0" w14:textId="77777777" w:rsidR="004F4873" w:rsidRDefault="002C4901">
      <w:pPr>
        <w:pStyle w:val="Body"/>
        <w:spacing w:after="0"/>
        <w:rPr>
          <w:rFonts w:ascii="Arial" w:hAnsi="Arial" w:cs="Arial"/>
          <w:i/>
          <w:iCs/>
        </w:rPr>
      </w:pPr>
      <w:r>
        <w:rPr>
          <w:rFonts w:ascii="Arial" w:hAnsi="Arial" w:cs="Arial"/>
        </w:rPr>
        <w:t xml:space="preserve">The increase in final weight gains is attributed to available microbial protein, better digestibility, and improved water quality parameters, particularly in higher carbon-to-nitrogen (C:N) ratios with millet as carbon sources. Studies by Ahmad </w:t>
      </w:r>
      <w:r>
        <w:rPr>
          <w:rFonts w:ascii="Arial" w:hAnsi="Arial" w:cs="Arial"/>
          <w:i/>
          <w:iCs/>
        </w:rPr>
        <w:t>et al</w:t>
      </w:r>
      <w:r>
        <w:rPr>
          <w:rFonts w:ascii="Arial" w:hAnsi="Arial" w:cs="Arial"/>
        </w:rPr>
        <w:t xml:space="preserve">. (2016) on </w:t>
      </w:r>
      <w:r>
        <w:rPr>
          <w:rFonts w:ascii="Arial" w:hAnsi="Arial" w:cs="Arial"/>
          <w:i/>
          <w:iCs/>
        </w:rPr>
        <w:t>Labeo rohita</w:t>
      </w:r>
      <w:r>
        <w:rPr>
          <w:rFonts w:ascii="Arial" w:hAnsi="Arial" w:cs="Arial"/>
        </w:rPr>
        <w:t xml:space="preserve">, Mahanand </w:t>
      </w:r>
      <w:r>
        <w:rPr>
          <w:rFonts w:ascii="Arial" w:hAnsi="Arial" w:cs="Arial"/>
          <w:i/>
          <w:iCs/>
        </w:rPr>
        <w:t>et al</w:t>
      </w:r>
      <w:r>
        <w:rPr>
          <w:rFonts w:ascii="Arial" w:hAnsi="Arial" w:cs="Arial"/>
        </w:rPr>
        <w:t xml:space="preserve">. (2013) using wheat, and Wang </w:t>
      </w:r>
      <w:r>
        <w:rPr>
          <w:rFonts w:ascii="Arial" w:hAnsi="Arial" w:cs="Arial"/>
          <w:i/>
          <w:iCs/>
        </w:rPr>
        <w:t>et al.</w:t>
      </w:r>
      <w:r>
        <w:rPr>
          <w:rFonts w:ascii="Arial" w:hAnsi="Arial" w:cs="Arial"/>
        </w:rPr>
        <w:t xml:space="preserve"> (2015) with glucose support these findings. Bioflocs can meet the protein and nutrient needs for growth, as noted by Avnimelech (1999). Ahmad </w:t>
      </w:r>
      <w:r>
        <w:rPr>
          <w:rFonts w:ascii="Arial" w:hAnsi="Arial" w:cs="Arial"/>
          <w:i/>
          <w:iCs/>
        </w:rPr>
        <w:t>et al.</w:t>
      </w:r>
      <w:r>
        <w:rPr>
          <w:rFonts w:ascii="Arial" w:hAnsi="Arial" w:cs="Arial"/>
        </w:rPr>
        <w:t xml:space="preserve"> (2016) found higher weight gains with tapioca, wheat, corn, and sugar bagasse under biofloc, supported by Crab </w:t>
      </w:r>
      <w:r>
        <w:rPr>
          <w:rFonts w:ascii="Arial" w:hAnsi="Arial" w:cs="Arial"/>
          <w:i/>
          <w:iCs/>
        </w:rPr>
        <w:t>et al</w:t>
      </w:r>
      <w:r>
        <w:rPr>
          <w:rFonts w:ascii="Arial" w:hAnsi="Arial" w:cs="Arial"/>
        </w:rPr>
        <w:t>. (2009) and Mahanand</w:t>
      </w:r>
      <w:r>
        <w:rPr>
          <w:rFonts w:ascii="Arial" w:hAnsi="Arial" w:cs="Arial"/>
          <w:i/>
          <w:iCs/>
        </w:rPr>
        <w:t xml:space="preserve"> et al</w:t>
      </w:r>
      <w:r>
        <w:rPr>
          <w:rFonts w:ascii="Arial" w:hAnsi="Arial" w:cs="Arial"/>
        </w:rPr>
        <w:t>. (2013). Additionally, bioflocs supply essential amino acids, PUFA, HUFA, and other nutrients (Tacon</w:t>
      </w:r>
      <w:r>
        <w:rPr>
          <w:rFonts w:ascii="Arial" w:hAnsi="Arial" w:cs="Arial"/>
          <w:i/>
          <w:iCs/>
        </w:rPr>
        <w:t xml:space="preserve"> et a</w:t>
      </w:r>
      <w:r>
        <w:rPr>
          <w:rFonts w:ascii="Arial" w:hAnsi="Arial" w:cs="Arial"/>
        </w:rPr>
        <w:t xml:space="preserve">l., 2002; Ju </w:t>
      </w:r>
      <w:r>
        <w:rPr>
          <w:rFonts w:ascii="Arial" w:hAnsi="Arial" w:cs="Arial"/>
          <w:i/>
          <w:iCs/>
        </w:rPr>
        <w:t>et al</w:t>
      </w:r>
      <w:r>
        <w:rPr>
          <w:rFonts w:ascii="Arial" w:hAnsi="Arial" w:cs="Arial"/>
        </w:rPr>
        <w:t xml:space="preserve">., 2008). Immunostimulants in effect associated with the microbial communities may enhance the immunity against pathogens, supported by studies of Ju </w:t>
      </w:r>
      <w:r>
        <w:rPr>
          <w:rFonts w:ascii="Arial" w:hAnsi="Arial" w:cs="Arial"/>
          <w:i/>
          <w:iCs/>
        </w:rPr>
        <w:t>et al.</w:t>
      </w:r>
      <w:r>
        <w:rPr>
          <w:rFonts w:ascii="Arial" w:hAnsi="Arial" w:cs="Arial"/>
        </w:rPr>
        <w:t xml:space="preserve"> (2008) and Crab </w:t>
      </w:r>
      <w:r>
        <w:rPr>
          <w:rFonts w:ascii="Arial" w:hAnsi="Arial" w:cs="Arial"/>
          <w:i/>
          <w:iCs/>
        </w:rPr>
        <w:t>et al.</w:t>
      </w:r>
      <w:r>
        <w:rPr>
          <w:rFonts w:ascii="Arial" w:hAnsi="Arial" w:cs="Arial"/>
        </w:rPr>
        <w:t xml:space="preserve"> (2010) they suggested that the conglomerate of microbial communities, algae and associates structure of bio-films contains bioactive compounds chlorophylls, carotenoids, phytosterols, bromophenols, amino sugars and antibacterial compounds. Additionally, during microbial assimilation, certain microbes have the ability to absorb TAN into their biomass. Moreover, higher levels of carbon input promote the faster growth of heterotrophic bacteria, which in turn transforms dissolved nitrogen into bioflocs. This understanding is supported by studies conducted by Ebeling </w:t>
      </w:r>
      <w:r>
        <w:rPr>
          <w:rFonts w:ascii="Arial" w:hAnsi="Arial" w:cs="Arial"/>
          <w:i/>
          <w:iCs/>
        </w:rPr>
        <w:t>et al.</w:t>
      </w:r>
      <w:r>
        <w:rPr>
          <w:rFonts w:ascii="Arial" w:hAnsi="Arial" w:cs="Arial"/>
        </w:rPr>
        <w:t xml:space="preserve"> (2006), Hargreaves </w:t>
      </w:r>
      <w:r>
        <w:rPr>
          <w:rFonts w:ascii="Arial" w:hAnsi="Arial" w:cs="Arial"/>
          <w:i/>
          <w:iCs/>
        </w:rPr>
        <w:t>et al.</w:t>
      </w:r>
      <w:r>
        <w:rPr>
          <w:rFonts w:ascii="Arial" w:hAnsi="Arial" w:cs="Arial"/>
        </w:rPr>
        <w:t xml:space="preserve"> (2006), and Dauda </w:t>
      </w:r>
      <w:r>
        <w:rPr>
          <w:rFonts w:ascii="Arial" w:hAnsi="Arial" w:cs="Arial"/>
          <w:i/>
          <w:iCs/>
        </w:rPr>
        <w:t>et al</w:t>
      </w:r>
      <w:r>
        <w:rPr>
          <w:rFonts w:ascii="Arial" w:hAnsi="Arial" w:cs="Arial"/>
        </w:rPr>
        <w:t>. (2018). Further, it has been reported that certain bioactive compounds contribute to the improved physiological health of cultured organisms, potentially acting as immunostimulants. Justified by the challenge studies with</w:t>
      </w:r>
      <w:r>
        <w:rPr>
          <w:rFonts w:ascii="Arial" w:hAnsi="Arial" w:cs="Arial"/>
          <w:i/>
          <w:iCs/>
        </w:rPr>
        <w:t xml:space="preserve"> A. hydrophila </w:t>
      </w:r>
      <w:r>
        <w:rPr>
          <w:rFonts w:ascii="Arial" w:hAnsi="Arial" w:cs="Arial"/>
        </w:rPr>
        <w:t>by Xu and Pan (2013), Kim</w:t>
      </w:r>
      <w:r>
        <w:rPr>
          <w:rFonts w:ascii="Arial" w:hAnsi="Arial" w:cs="Arial"/>
          <w:i/>
          <w:iCs/>
        </w:rPr>
        <w:t xml:space="preserve"> et al.</w:t>
      </w:r>
      <w:r>
        <w:rPr>
          <w:rFonts w:ascii="Arial" w:hAnsi="Arial" w:cs="Arial"/>
        </w:rPr>
        <w:t xml:space="preserve"> (2013), on</w:t>
      </w:r>
      <w:r>
        <w:rPr>
          <w:rFonts w:ascii="Arial" w:hAnsi="Arial" w:cs="Arial"/>
          <w:i/>
          <w:iCs/>
        </w:rPr>
        <w:t xml:space="preserve"> Litopenaeus vannamei .</w:t>
      </w:r>
    </w:p>
    <w:p w14:paraId="009FBDEB" w14:textId="77777777" w:rsidR="004F4873" w:rsidRDefault="002C4901">
      <w:pPr>
        <w:pStyle w:val="Body"/>
        <w:spacing w:after="0"/>
        <w:rPr>
          <w:rFonts w:ascii="Arial" w:hAnsi="Arial" w:cs="Arial"/>
        </w:rPr>
      </w:pPr>
      <w:r>
        <w:rPr>
          <w:rFonts w:ascii="Arial" w:hAnsi="Arial" w:cs="Arial"/>
        </w:rPr>
        <w:t xml:space="preserve"> Improved growth parameters are also linked to higher levels of protein, carbohydrates, and lipids in biofloc-based systems. Our observations of higher specific growth rate (SGR) and body weight gain (BWG) percentage are consistent with findings by Wasielesky </w:t>
      </w:r>
      <w:r>
        <w:rPr>
          <w:rFonts w:ascii="Arial" w:hAnsi="Arial" w:cs="Arial"/>
          <w:i/>
          <w:iCs/>
        </w:rPr>
        <w:t xml:space="preserve">et al. </w:t>
      </w:r>
      <w:r>
        <w:rPr>
          <w:rFonts w:ascii="Arial" w:hAnsi="Arial" w:cs="Arial"/>
        </w:rPr>
        <w:t>(2006), Crab</w:t>
      </w:r>
      <w:r>
        <w:rPr>
          <w:rFonts w:ascii="Arial" w:hAnsi="Arial" w:cs="Arial"/>
          <w:i/>
          <w:iCs/>
        </w:rPr>
        <w:t xml:space="preserve"> et al. </w:t>
      </w:r>
      <w:r>
        <w:rPr>
          <w:rFonts w:ascii="Arial" w:hAnsi="Arial" w:cs="Arial"/>
        </w:rPr>
        <w:t xml:space="preserve">(2010), and Emerenciano </w:t>
      </w:r>
      <w:r>
        <w:rPr>
          <w:rFonts w:ascii="Arial" w:hAnsi="Arial" w:cs="Arial"/>
          <w:i/>
          <w:iCs/>
        </w:rPr>
        <w:t>et al.</w:t>
      </w:r>
      <w:r>
        <w:rPr>
          <w:rFonts w:ascii="Arial" w:hAnsi="Arial" w:cs="Arial"/>
        </w:rPr>
        <w:t xml:space="preserve"> (2011), in various aquatic organisms under biofloc systems. Ballester</w:t>
      </w:r>
      <w:r>
        <w:rPr>
          <w:rFonts w:ascii="Arial" w:hAnsi="Arial" w:cs="Arial"/>
          <w:i/>
          <w:iCs/>
        </w:rPr>
        <w:t xml:space="preserve"> et al. </w:t>
      </w:r>
      <w:r>
        <w:rPr>
          <w:rFonts w:ascii="Arial" w:hAnsi="Arial" w:cs="Arial"/>
        </w:rPr>
        <w:t xml:space="preserve">(2010) confirmed that bioflocs have approximately 30.4% crude protein when wheat flour and molasses are used as carbohydrate sources. Increased protein efficiency ratio (PER) in our study is supported by research on </w:t>
      </w:r>
      <w:r>
        <w:rPr>
          <w:rFonts w:ascii="Arial" w:hAnsi="Arial" w:cs="Arial"/>
          <w:i/>
          <w:iCs/>
        </w:rPr>
        <w:t xml:space="preserve">Carassius auratus </w:t>
      </w:r>
      <w:r>
        <w:rPr>
          <w:rFonts w:ascii="Arial" w:hAnsi="Arial" w:cs="Arial"/>
        </w:rPr>
        <w:t xml:space="preserve">by </w:t>
      </w:r>
      <w:r>
        <w:rPr>
          <w:rFonts w:ascii="Arial" w:hAnsi="Arial" w:cs="Arial"/>
          <w:i/>
          <w:iCs/>
        </w:rPr>
        <w:t>Wang et al</w:t>
      </w:r>
      <w:r>
        <w:rPr>
          <w:rFonts w:ascii="Arial" w:hAnsi="Arial" w:cs="Arial"/>
        </w:rPr>
        <w:t xml:space="preserve">. (2015) and on shrimp growth by Avnimelech </w:t>
      </w:r>
      <w:r>
        <w:rPr>
          <w:rFonts w:ascii="Arial" w:hAnsi="Arial" w:cs="Arial"/>
          <w:i/>
          <w:iCs/>
        </w:rPr>
        <w:t>et al</w:t>
      </w:r>
      <w:r>
        <w:rPr>
          <w:rFonts w:ascii="Arial" w:hAnsi="Arial" w:cs="Arial"/>
        </w:rPr>
        <w:t xml:space="preserve">. (2008),demonstrating that carbohydrate addition can enhance protein utilization and provide essential lipids and vitamins. Further, Solanki </w:t>
      </w:r>
      <w:r>
        <w:rPr>
          <w:rFonts w:ascii="Arial" w:hAnsi="Arial" w:cs="Arial"/>
          <w:i/>
          <w:iCs/>
        </w:rPr>
        <w:t>et al</w:t>
      </w:r>
      <w:r>
        <w:rPr>
          <w:rFonts w:ascii="Arial" w:hAnsi="Arial" w:cs="Arial"/>
        </w:rPr>
        <w:t xml:space="preserve">. (2023) found that different carbon-to-nitrogen (C:N) ratios significantly affect the growth of catla spawn, with better performance observed in the C:N 20 treatment. This is supported by Dey et al. (2022), who conducted experiments on </w:t>
      </w:r>
      <w:r>
        <w:rPr>
          <w:rFonts w:ascii="Arial" w:hAnsi="Arial" w:cs="Arial"/>
          <w:i/>
          <w:iCs/>
        </w:rPr>
        <w:t xml:space="preserve">Labeo rohita </w:t>
      </w:r>
      <w:r>
        <w:rPr>
          <w:rFonts w:ascii="Arial" w:hAnsi="Arial" w:cs="Arial"/>
        </w:rPr>
        <w:t>under a biofloc system, showing that higher C:N ratios favourthe growth of heterotrophic bacteria, as revealed by Avnimelech (1999). Avnimelech found that approximately 20 units of carbon per unit of nitrogen assimilated are needed. Additionally, Asaduzzaman</w:t>
      </w:r>
      <w:r>
        <w:rPr>
          <w:rFonts w:ascii="Arial" w:hAnsi="Arial" w:cs="Arial"/>
          <w:i/>
          <w:iCs/>
        </w:rPr>
        <w:t xml:space="preserve"> et al.</w:t>
      </w:r>
      <w:r>
        <w:rPr>
          <w:rFonts w:ascii="Arial" w:hAnsi="Arial" w:cs="Arial"/>
        </w:rPr>
        <w:t xml:space="preserve"> (2008) and Minabi </w:t>
      </w:r>
      <w:r>
        <w:rPr>
          <w:rFonts w:ascii="Arial" w:hAnsi="Arial" w:cs="Arial"/>
          <w:i/>
          <w:iCs/>
        </w:rPr>
        <w:t>et al.</w:t>
      </w:r>
      <w:r>
        <w:rPr>
          <w:rFonts w:ascii="Arial" w:hAnsi="Arial" w:cs="Arial"/>
        </w:rPr>
        <w:t xml:space="preserve"> (2020) confirmed that a C:N ratio of 20:1 promotes biofloc formation, acting as a supplemental food source. Improved digestibility of feed is another important aspect contributing to significant growth improvement, as shown by Xu </w:t>
      </w:r>
      <w:r>
        <w:rPr>
          <w:rFonts w:ascii="Arial" w:hAnsi="Arial" w:cs="Arial"/>
          <w:i/>
          <w:iCs/>
        </w:rPr>
        <w:t>et al.</w:t>
      </w:r>
      <w:r>
        <w:rPr>
          <w:rFonts w:ascii="Arial" w:hAnsi="Arial" w:cs="Arial"/>
        </w:rPr>
        <w:t xml:space="preserve"> (2018) under a biofloc system, which provides essential amino acids, vitamins, lipids, and minerals and stimulates digestive enzyme activity, resulting in better nutrient digestion in fish gut. Lower feed conversion ratio (FCR) values in T1 during our studies, supported by Panigrahi </w:t>
      </w:r>
      <w:r>
        <w:rPr>
          <w:rFonts w:ascii="Arial" w:hAnsi="Arial" w:cs="Arial"/>
          <w:i/>
          <w:iCs/>
        </w:rPr>
        <w:t>et al</w:t>
      </w:r>
      <w:r>
        <w:rPr>
          <w:rFonts w:ascii="Arial" w:hAnsi="Arial" w:cs="Arial"/>
        </w:rPr>
        <w:t xml:space="preserve">. (2019), confirm biofloc </w:t>
      </w:r>
      <w:r>
        <w:rPr>
          <w:rFonts w:ascii="Arial" w:hAnsi="Arial" w:cs="Arial"/>
        </w:rPr>
        <w:lastRenderedPageBreak/>
        <w:t xml:space="preserve">contribution as complementary natural feed, suggesting improved feed utilization in fish reared in the biofloc system. Higher survival percentage is crucial during culture, indicating better husbandry practices in terms of water quality, nutrition, and overall ecosystem under biofloc technology (BFT) systems. This is supported by Saha </w:t>
      </w:r>
      <w:r>
        <w:rPr>
          <w:rFonts w:ascii="Arial" w:hAnsi="Arial" w:cs="Arial"/>
          <w:i/>
          <w:iCs/>
        </w:rPr>
        <w:t>et al.</w:t>
      </w:r>
      <w:r>
        <w:rPr>
          <w:rFonts w:ascii="Arial" w:hAnsi="Arial" w:cs="Arial"/>
        </w:rPr>
        <w:t xml:space="preserve"> (2022) and Minaz and Kubilay (2021) who revealed that higher survival at a C:N ratio of 20 compared to lower ratios could be due to better water quality and greater availability of prey in the BFT system. Furthermore, Long et al. (2015) and Ekasari </w:t>
      </w:r>
      <w:r>
        <w:rPr>
          <w:rFonts w:ascii="Arial" w:hAnsi="Arial" w:cs="Arial"/>
          <w:i/>
          <w:iCs/>
        </w:rPr>
        <w:t>et al.</w:t>
      </w:r>
      <w:r>
        <w:rPr>
          <w:rFonts w:ascii="Arial" w:hAnsi="Arial" w:cs="Arial"/>
        </w:rPr>
        <w:t xml:space="preserve"> (2016) concluded that consumption of microbial floc enhances larvae tolerance to environmental stress, thus improving survival.</w:t>
      </w:r>
    </w:p>
    <w:p w14:paraId="0B459E57" w14:textId="77777777" w:rsidR="004F4873" w:rsidRDefault="002C4901">
      <w:pPr>
        <w:pStyle w:val="Body"/>
        <w:spacing w:after="0"/>
        <w:rPr>
          <w:rFonts w:ascii="Arial" w:hAnsi="Arial" w:cs="Arial"/>
        </w:rPr>
      </w:pPr>
      <w:r>
        <w:rPr>
          <w:rFonts w:ascii="Arial" w:hAnsi="Arial" w:cs="Arial"/>
        </w:rPr>
        <w:t>This comprehensive investigation examines the temporal dynamics of various parameters across different C:N ratios (10:1, 15:1, and 20:1) during a 30-day experimental period. The study encompasses Average Weight Gain (AVG-WG), Body Weight Gain (BWG)%, Specific Growth Rate (SGR)% , Feed Conversion Ratios (FCR), Feed Conversion Efficiencies (FCE), Protein Efficiency Ratios (PER), Lipid Efficiency Ratios (LER), and Survival Rates %. These findings collectively contribute to a holistic understanding of the temporal dynamics of various parameters under different C:N ratios, offering valuable insights for further exploration in relevant fields. In a 30-day experimental period, Treatment T3, with a C:N ratio of 20:1, consistently outperformed T2 and T1 across various parameters, including weight gain, growth rates, feed conversion, protein and lipid efficiencies, and survival rates. These findings suggest that a C:N ratio of 20:1 is optimal for overall performance in the studied parameters.</w:t>
      </w:r>
    </w:p>
    <w:p w14:paraId="08D82B67" w14:textId="77777777" w:rsidR="004F4873" w:rsidRDefault="004F4873">
      <w:pPr>
        <w:pStyle w:val="Body"/>
        <w:spacing w:after="0"/>
        <w:rPr>
          <w:rFonts w:ascii="Arial" w:hAnsi="Arial" w:cs="Arial"/>
        </w:rPr>
      </w:pPr>
    </w:p>
    <w:p w14:paraId="6805CB72" w14:textId="77777777" w:rsidR="004F4873" w:rsidRDefault="004F4873">
      <w:pPr>
        <w:pStyle w:val="Body"/>
        <w:spacing w:after="0"/>
        <w:rPr>
          <w:rFonts w:ascii="Arial" w:hAnsi="Arial" w:cs="Arial"/>
        </w:rPr>
      </w:pPr>
    </w:p>
    <w:p w14:paraId="415ABF60" w14:textId="77777777" w:rsidR="004F4873" w:rsidRDefault="002C4901">
      <w:pPr>
        <w:pStyle w:val="BodyText3"/>
        <w:tabs>
          <w:tab w:val="left" w:pos="1080"/>
        </w:tabs>
        <w:spacing w:after="0"/>
        <w:jc w:val="both"/>
        <w:rPr>
          <w:rFonts w:ascii="Arial" w:hAnsi="Arial"/>
          <w:b/>
          <w:sz w:val="18"/>
          <w:szCs w:val="18"/>
        </w:rPr>
      </w:pPr>
      <w:r>
        <w:rPr>
          <w:rFonts w:ascii="Arial" w:hAnsi="Arial"/>
          <w:b/>
          <w:sz w:val="18"/>
          <w:szCs w:val="18"/>
        </w:rPr>
        <w:t>Table 1. Water quality parameters recorded during experimental period at different C:N ratio</w:t>
      </w:r>
    </w:p>
    <w:p w14:paraId="516C97B2" w14:textId="77777777" w:rsidR="004F4873" w:rsidRDefault="004F4873">
      <w:pPr>
        <w:pStyle w:val="Body"/>
        <w:spacing w:after="0"/>
        <w:rPr>
          <w:rFonts w:ascii="Arial" w:hAnsi="Arial" w:cs="Arial"/>
        </w:rPr>
      </w:pPr>
    </w:p>
    <w:tbl>
      <w:tblPr>
        <w:tblW w:w="8306" w:type="dxa"/>
        <w:tblLook w:val="04A0" w:firstRow="1" w:lastRow="0" w:firstColumn="1" w:lastColumn="0" w:noHBand="0" w:noVBand="1"/>
      </w:tblPr>
      <w:tblGrid>
        <w:gridCol w:w="3035"/>
        <w:gridCol w:w="2486"/>
        <w:gridCol w:w="2785"/>
      </w:tblGrid>
      <w:tr w:rsidR="004F4873" w14:paraId="036B4F9F" w14:textId="77777777">
        <w:trPr>
          <w:trHeight w:val="389"/>
        </w:trPr>
        <w:tc>
          <w:tcPr>
            <w:tcW w:w="303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4E046EFD" w14:textId="77777777" w:rsidR="004F4873" w:rsidRDefault="002C4901">
            <w:pPr>
              <w:jc w:val="center"/>
              <w:rPr>
                <w:rFonts w:ascii="Arial" w:hAnsi="Arial"/>
                <w:b/>
                <w:sz w:val="18"/>
                <w:szCs w:val="18"/>
              </w:rPr>
            </w:pPr>
            <w:r>
              <w:rPr>
                <w:rFonts w:ascii="Times New Roman" w:eastAsia="Calibri" w:hAnsi="Times New Roman"/>
                <w:b/>
                <w:bCs/>
                <w:sz w:val="18"/>
                <w:szCs w:val="18"/>
                <w:lang w:val="en-IN"/>
              </w:rPr>
              <w:t>Parameters</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1B22CC42" w14:textId="77777777" w:rsidR="004F4873" w:rsidRDefault="002C4901">
            <w:pPr>
              <w:jc w:val="center"/>
              <w:rPr>
                <w:rFonts w:ascii="Arial" w:hAnsi="Arial"/>
                <w:b/>
                <w:sz w:val="18"/>
                <w:szCs w:val="18"/>
              </w:rPr>
            </w:pPr>
            <w:r>
              <w:rPr>
                <w:rFonts w:ascii="Times New Roman" w:eastAsia="Calibri" w:hAnsi="Times New Roman"/>
                <w:b/>
                <w:bCs/>
                <w:sz w:val="18"/>
                <w:szCs w:val="18"/>
                <w:lang w:val="en-IN"/>
              </w:rPr>
              <w:t>Treatments</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2102CC7B" w14:textId="77777777" w:rsidR="004F4873" w:rsidRDefault="002C4901">
            <w:pPr>
              <w:jc w:val="center"/>
              <w:rPr>
                <w:rFonts w:ascii="Arial" w:hAnsi="Arial"/>
                <w:b/>
                <w:sz w:val="18"/>
                <w:szCs w:val="18"/>
              </w:rPr>
            </w:pPr>
            <w:r>
              <w:rPr>
                <w:rFonts w:ascii="Times New Roman" w:eastAsia="Calibri" w:hAnsi="Times New Roman"/>
                <w:b/>
                <w:bCs/>
                <w:sz w:val="18"/>
                <w:szCs w:val="18"/>
                <w:lang w:val="en-IN"/>
              </w:rPr>
              <w:t>Mean ± SE</w:t>
            </w:r>
          </w:p>
        </w:tc>
      </w:tr>
      <w:tr w:rsidR="004F4873" w14:paraId="573B8229" w14:textId="77777777">
        <w:trPr>
          <w:trHeight w:val="258"/>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46DA3E6F" w14:textId="77777777" w:rsidR="004F4873" w:rsidRDefault="004F4873">
            <w:pPr>
              <w:jc w:val="center"/>
              <w:rPr>
                <w:rFonts w:ascii="Arial" w:hAnsi="Arial"/>
                <w:b/>
                <w:sz w:val="18"/>
                <w:szCs w:val="18"/>
              </w:rPr>
            </w:pPr>
          </w:p>
          <w:p w14:paraId="3D9A0097" w14:textId="77777777" w:rsidR="004F4873" w:rsidRDefault="002C4901">
            <w:pPr>
              <w:jc w:val="center"/>
              <w:rPr>
                <w:rFonts w:ascii="Arial" w:hAnsi="Arial"/>
                <w:b/>
                <w:sz w:val="18"/>
                <w:szCs w:val="18"/>
              </w:rPr>
            </w:pPr>
            <w:r>
              <w:rPr>
                <w:rFonts w:ascii="Times New Roman" w:eastAsia="Calibri" w:hAnsi="Times New Roman"/>
                <w:sz w:val="18"/>
                <w:szCs w:val="18"/>
                <w:lang w:val="en-IN"/>
              </w:rPr>
              <w:t>DO (ppm)</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81579A5"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4AE89225" w14:textId="77777777" w:rsidR="004F4873" w:rsidRDefault="002C4901">
            <w:pPr>
              <w:jc w:val="center"/>
              <w:rPr>
                <w:rFonts w:ascii="Arial" w:hAnsi="Arial"/>
                <w:b/>
                <w:sz w:val="18"/>
                <w:szCs w:val="18"/>
              </w:rPr>
            </w:pPr>
            <w:r>
              <w:rPr>
                <w:rFonts w:ascii="Times New Roman" w:eastAsia="Calibri" w:hAnsi="Times New Roman"/>
                <w:sz w:val="18"/>
                <w:szCs w:val="18"/>
                <w:lang w:val="en-IN"/>
              </w:rPr>
              <w:t>5.28±0.04</w:t>
            </w:r>
            <w:r>
              <w:rPr>
                <w:rFonts w:ascii="Times New Roman" w:eastAsia="Calibri" w:hAnsi="Times New Roman"/>
                <w:sz w:val="18"/>
                <w:szCs w:val="18"/>
                <w:vertAlign w:val="superscript"/>
                <w:lang w:val="en-IN"/>
              </w:rPr>
              <w:t>a</w:t>
            </w:r>
          </w:p>
        </w:tc>
      </w:tr>
      <w:tr w:rsidR="004F4873" w14:paraId="14F42178" w14:textId="77777777">
        <w:trPr>
          <w:trHeight w:val="120"/>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20FD4E3D"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30AF50DA"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0BD9B1A" w14:textId="77777777" w:rsidR="004F4873" w:rsidRDefault="002C4901">
            <w:pPr>
              <w:jc w:val="center"/>
              <w:rPr>
                <w:rFonts w:ascii="Arial" w:hAnsi="Arial"/>
                <w:b/>
                <w:sz w:val="18"/>
                <w:szCs w:val="18"/>
              </w:rPr>
            </w:pPr>
            <w:r>
              <w:rPr>
                <w:rFonts w:ascii="Times New Roman" w:eastAsia="Calibri" w:hAnsi="Times New Roman"/>
                <w:sz w:val="18"/>
                <w:szCs w:val="18"/>
                <w:lang w:val="en-IN"/>
              </w:rPr>
              <w:t>5.18±0.05</w:t>
            </w:r>
            <w:r>
              <w:rPr>
                <w:rFonts w:ascii="Times New Roman" w:eastAsia="Calibri" w:hAnsi="Times New Roman"/>
                <w:sz w:val="18"/>
                <w:szCs w:val="18"/>
                <w:vertAlign w:val="superscript"/>
                <w:lang w:val="en-IN"/>
              </w:rPr>
              <w:t>ab</w:t>
            </w:r>
          </w:p>
        </w:tc>
      </w:tr>
      <w:tr w:rsidR="004F4873" w14:paraId="53CD95A1" w14:textId="77777777">
        <w:trPr>
          <w:trHeight w:val="124"/>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74B4B715"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3E08D33"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895BF02" w14:textId="77777777" w:rsidR="004F4873" w:rsidRDefault="002C4901">
            <w:pPr>
              <w:jc w:val="center"/>
              <w:rPr>
                <w:rFonts w:ascii="Arial" w:hAnsi="Arial"/>
                <w:b/>
                <w:sz w:val="18"/>
                <w:szCs w:val="18"/>
              </w:rPr>
            </w:pPr>
            <w:r>
              <w:rPr>
                <w:rFonts w:ascii="Times New Roman" w:eastAsia="Calibri" w:hAnsi="Times New Roman"/>
                <w:sz w:val="18"/>
                <w:szCs w:val="18"/>
                <w:lang w:val="en-IN"/>
              </w:rPr>
              <w:t>5.01±0.06</w:t>
            </w:r>
            <w:r>
              <w:rPr>
                <w:rFonts w:ascii="Times New Roman" w:eastAsia="Calibri" w:hAnsi="Times New Roman"/>
                <w:sz w:val="18"/>
                <w:szCs w:val="18"/>
                <w:vertAlign w:val="superscript"/>
                <w:lang w:val="en-IN"/>
              </w:rPr>
              <w:t>b</w:t>
            </w:r>
          </w:p>
        </w:tc>
      </w:tr>
      <w:tr w:rsidR="004F4873" w14:paraId="3D88E02E" w14:textId="77777777">
        <w:trPr>
          <w:trHeight w:val="70"/>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10F21C88" w14:textId="77777777" w:rsidR="004F4873" w:rsidRDefault="004F4873">
            <w:pPr>
              <w:jc w:val="center"/>
              <w:rPr>
                <w:rFonts w:ascii="Arial" w:hAnsi="Arial"/>
                <w:b/>
                <w:sz w:val="18"/>
                <w:szCs w:val="18"/>
              </w:rPr>
            </w:pPr>
          </w:p>
          <w:p w14:paraId="333D351F" w14:textId="77777777" w:rsidR="004F4873" w:rsidRDefault="002C4901">
            <w:pPr>
              <w:jc w:val="center"/>
              <w:rPr>
                <w:rFonts w:ascii="Arial" w:hAnsi="Arial"/>
                <w:b/>
                <w:sz w:val="18"/>
                <w:szCs w:val="18"/>
              </w:rPr>
            </w:pPr>
            <w:r>
              <w:rPr>
                <w:rFonts w:ascii="Times New Roman" w:eastAsia="Calibri" w:hAnsi="Times New Roman"/>
                <w:sz w:val="18"/>
                <w:szCs w:val="18"/>
                <w:lang w:val="en-IN"/>
              </w:rPr>
              <w:t>TAN (ppm)</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4E2BA414" w14:textId="77777777" w:rsidR="004F4873" w:rsidRDefault="002C4901">
            <w:pPr>
              <w:ind w:left="720" w:hanging="720"/>
              <w:jc w:val="center"/>
              <w:rPr>
                <w:rFonts w:ascii="Arial" w:hAnsi="Arial"/>
                <w:b/>
                <w:sz w:val="18"/>
                <w:szCs w:val="18"/>
              </w:rPr>
            </w:pPr>
            <w:r>
              <w:rPr>
                <w:rFonts w:ascii="Times New Roman" w:eastAsia="Calibri" w:hAnsi="Times New Roman"/>
                <w:sz w:val="18"/>
                <w:szCs w:val="18"/>
                <w:lang w:val="en-IN"/>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7B42677B" w14:textId="77777777" w:rsidR="004F4873" w:rsidRDefault="002C4901">
            <w:pPr>
              <w:jc w:val="center"/>
              <w:rPr>
                <w:rFonts w:ascii="Arial" w:hAnsi="Arial"/>
                <w:b/>
                <w:sz w:val="18"/>
                <w:szCs w:val="18"/>
              </w:rPr>
            </w:pPr>
            <w:r>
              <w:rPr>
                <w:rFonts w:ascii="Times New Roman" w:eastAsia="Calibri" w:hAnsi="Times New Roman"/>
                <w:sz w:val="18"/>
                <w:szCs w:val="18"/>
                <w:lang w:val="en-IN"/>
              </w:rPr>
              <w:t>0.62±0.14</w:t>
            </w:r>
            <w:r>
              <w:rPr>
                <w:rFonts w:ascii="Times New Roman" w:eastAsia="Calibri" w:hAnsi="Times New Roman"/>
                <w:sz w:val="18"/>
                <w:szCs w:val="18"/>
                <w:vertAlign w:val="superscript"/>
                <w:lang w:val="en-IN"/>
              </w:rPr>
              <w:t>a</w:t>
            </w:r>
          </w:p>
        </w:tc>
      </w:tr>
      <w:tr w:rsidR="004F4873" w14:paraId="12AB8139" w14:textId="77777777">
        <w:trPr>
          <w:trHeight w:val="131"/>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470D2059"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D9ED5CA"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317C8FF5" w14:textId="77777777" w:rsidR="004F4873" w:rsidRDefault="002C4901">
            <w:pPr>
              <w:jc w:val="center"/>
              <w:rPr>
                <w:rFonts w:ascii="Arial" w:hAnsi="Arial"/>
                <w:b/>
                <w:sz w:val="18"/>
                <w:szCs w:val="18"/>
              </w:rPr>
            </w:pPr>
            <w:r>
              <w:rPr>
                <w:rFonts w:ascii="Times New Roman" w:eastAsia="Calibri" w:hAnsi="Times New Roman"/>
                <w:sz w:val="18"/>
                <w:szCs w:val="18"/>
                <w:lang w:val="en-IN"/>
              </w:rPr>
              <w:t>0.51±0.10</w:t>
            </w:r>
            <w:r>
              <w:rPr>
                <w:rFonts w:ascii="Times New Roman" w:eastAsia="Calibri" w:hAnsi="Times New Roman"/>
                <w:sz w:val="18"/>
                <w:szCs w:val="18"/>
                <w:vertAlign w:val="superscript"/>
                <w:lang w:val="en-IN"/>
              </w:rPr>
              <w:t>b</w:t>
            </w:r>
          </w:p>
        </w:tc>
      </w:tr>
      <w:tr w:rsidR="004F4873" w14:paraId="1F696821" w14:textId="77777777">
        <w:trPr>
          <w:trHeight w:val="149"/>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58892BAA"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215D0F4C"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A2097BA" w14:textId="77777777" w:rsidR="004F4873" w:rsidRDefault="002C4901">
            <w:pPr>
              <w:jc w:val="center"/>
              <w:rPr>
                <w:rFonts w:ascii="Arial" w:hAnsi="Arial"/>
                <w:b/>
                <w:sz w:val="18"/>
                <w:szCs w:val="18"/>
              </w:rPr>
            </w:pPr>
            <w:r>
              <w:rPr>
                <w:rFonts w:ascii="Times New Roman" w:eastAsia="Calibri" w:hAnsi="Times New Roman"/>
                <w:sz w:val="18"/>
                <w:szCs w:val="18"/>
                <w:lang w:val="en-IN"/>
              </w:rPr>
              <w:t>0.52±0.09</w:t>
            </w:r>
            <w:r>
              <w:rPr>
                <w:rFonts w:ascii="Times New Roman" w:eastAsia="Calibri" w:hAnsi="Times New Roman"/>
                <w:sz w:val="18"/>
                <w:szCs w:val="18"/>
                <w:vertAlign w:val="superscript"/>
                <w:lang w:val="en-IN"/>
              </w:rPr>
              <w:t xml:space="preserve"> b</w:t>
            </w:r>
          </w:p>
        </w:tc>
      </w:tr>
      <w:tr w:rsidR="004F4873" w14:paraId="5F610081" w14:textId="77777777">
        <w:trPr>
          <w:trHeight w:val="153"/>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29CC7E40" w14:textId="77777777" w:rsidR="004F4873" w:rsidRDefault="004F4873">
            <w:pPr>
              <w:jc w:val="center"/>
              <w:rPr>
                <w:rFonts w:ascii="Arial" w:hAnsi="Arial"/>
                <w:b/>
                <w:sz w:val="18"/>
                <w:szCs w:val="18"/>
              </w:rPr>
            </w:pPr>
          </w:p>
          <w:p w14:paraId="251422EF" w14:textId="77777777" w:rsidR="004F4873" w:rsidRDefault="002C4901">
            <w:pPr>
              <w:jc w:val="center"/>
              <w:rPr>
                <w:rFonts w:ascii="Arial" w:hAnsi="Arial"/>
                <w:b/>
                <w:sz w:val="18"/>
                <w:szCs w:val="18"/>
              </w:rPr>
            </w:pPr>
            <w:r>
              <w:rPr>
                <w:rFonts w:ascii="Times New Roman" w:eastAsia="Calibri" w:hAnsi="Times New Roman"/>
                <w:sz w:val="18"/>
                <w:szCs w:val="18"/>
                <w:lang w:val="en-IN"/>
              </w:rPr>
              <w:t>TDS (ppm)</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108D01D2"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C8B8459" w14:textId="77777777" w:rsidR="004F4873" w:rsidRDefault="002C4901">
            <w:pPr>
              <w:jc w:val="center"/>
              <w:rPr>
                <w:rFonts w:ascii="Arial" w:hAnsi="Arial"/>
                <w:b/>
                <w:sz w:val="18"/>
                <w:szCs w:val="18"/>
              </w:rPr>
            </w:pPr>
            <w:r>
              <w:rPr>
                <w:rFonts w:ascii="Times New Roman" w:eastAsia="Calibri" w:hAnsi="Times New Roman"/>
                <w:sz w:val="18"/>
                <w:szCs w:val="18"/>
                <w:lang w:val="en-IN"/>
              </w:rPr>
              <w:t>635.50±5.61</w:t>
            </w:r>
            <w:r>
              <w:rPr>
                <w:rFonts w:ascii="Times New Roman" w:eastAsia="Calibri" w:hAnsi="Times New Roman"/>
                <w:sz w:val="18"/>
                <w:szCs w:val="18"/>
                <w:vertAlign w:val="superscript"/>
                <w:lang w:val="en-IN"/>
              </w:rPr>
              <w:t xml:space="preserve"> a</w:t>
            </w:r>
          </w:p>
        </w:tc>
      </w:tr>
      <w:tr w:rsidR="004F4873" w14:paraId="7CA016F9" w14:textId="77777777">
        <w:trPr>
          <w:trHeight w:val="143"/>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275D3B38"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3EB58B77"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5B42FF1" w14:textId="77777777" w:rsidR="004F4873" w:rsidRDefault="002C4901">
            <w:pPr>
              <w:jc w:val="center"/>
              <w:rPr>
                <w:rFonts w:ascii="Arial" w:hAnsi="Arial"/>
                <w:b/>
                <w:sz w:val="18"/>
                <w:szCs w:val="18"/>
              </w:rPr>
            </w:pPr>
            <w:r>
              <w:rPr>
                <w:rFonts w:ascii="Times New Roman" w:eastAsia="Calibri" w:hAnsi="Times New Roman"/>
                <w:sz w:val="18"/>
                <w:szCs w:val="18"/>
                <w:lang w:val="en-IN"/>
              </w:rPr>
              <w:t>632.30±4.13</w:t>
            </w:r>
            <w:r>
              <w:rPr>
                <w:rFonts w:ascii="Times New Roman" w:eastAsia="Calibri" w:hAnsi="Times New Roman"/>
                <w:sz w:val="18"/>
                <w:szCs w:val="18"/>
                <w:vertAlign w:val="superscript"/>
                <w:lang w:val="en-IN"/>
              </w:rPr>
              <w:t>a</w:t>
            </w:r>
          </w:p>
        </w:tc>
      </w:tr>
      <w:tr w:rsidR="004F4873" w14:paraId="57C5301C" w14:textId="77777777">
        <w:trPr>
          <w:trHeight w:val="161"/>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249E5A46"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9FA072B"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37F1F15C" w14:textId="77777777" w:rsidR="004F4873" w:rsidRDefault="002C4901">
            <w:pPr>
              <w:jc w:val="center"/>
              <w:rPr>
                <w:rFonts w:ascii="Arial" w:hAnsi="Arial"/>
                <w:b/>
                <w:sz w:val="18"/>
                <w:szCs w:val="18"/>
              </w:rPr>
            </w:pPr>
            <w:r>
              <w:rPr>
                <w:rFonts w:ascii="Times New Roman" w:eastAsia="Calibri" w:hAnsi="Times New Roman"/>
                <w:sz w:val="18"/>
                <w:szCs w:val="18"/>
                <w:lang w:val="en-IN"/>
              </w:rPr>
              <w:t>657.83±4.12</w:t>
            </w:r>
            <w:r>
              <w:rPr>
                <w:rFonts w:ascii="Times New Roman" w:eastAsia="Calibri" w:hAnsi="Times New Roman"/>
                <w:sz w:val="18"/>
                <w:szCs w:val="18"/>
                <w:vertAlign w:val="superscript"/>
                <w:lang w:val="en-IN"/>
              </w:rPr>
              <w:t xml:space="preserve"> b</w:t>
            </w:r>
          </w:p>
        </w:tc>
      </w:tr>
      <w:tr w:rsidR="004F4873" w14:paraId="2E18514C" w14:textId="77777777">
        <w:trPr>
          <w:trHeight w:val="70"/>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42D38C45" w14:textId="77777777" w:rsidR="004F4873" w:rsidRDefault="004F4873">
            <w:pPr>
              <w:jc w:val="center"/>
              <w:rPr>
                <w:rFonts w:ascii="Arial" w:hAnsi="Arial"/>
                <w:b/>
                <w:sz w:val="18"/>
                <w:szCs w:val="18"/>
              </w:rPr>
            </w:pPr>
          </w:p>
          <w:p w14:paraId="48B914B3" w14:textId="77777777" w:rsidR="004F4873" w:rsidRDefault="002C4901">
            <w:pPr>
              <w:jc w:val="center"/>
              <w:rPr>
                <w:rFonts w:ascii="Arial" w:hAnsi="Arial"/>
                <w:b/>
                <w:sz w:val="18"/>
                <w:szCs w:val="18"/>
              </w:rPr>
            </w:pPr>
            <w:r>
              <w:rPr>
                <w:rFonts w:ascii="Times New Roman" w:eastAsia="Calibri" w:hAnsi="Times New Roman"/>
                <w:sz w:val="18"/>
                <w:szCs w:val="18"/>
                <w:lang w:val="en-IN"/>
              </w:rPr>
              <w:t>EC (µS/cm)</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7F5BE480"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359FBAA" w14:textId="77777777" w:rsidR="004F4873" w:rsidRDefault="002C4901">
            <w:pPr>
              <w:jc w:val="center"/>
              <w:rPr>
                <w:rFonts w:ascii="Arial" w:hAnsi="Arial"/>
                <w:b/>
                <w:sz w:val="18"/>
                <w:szCs w:val="18"/>
              </w:rPr>
            </w:pPr>
            <w:r>
              <w:rPr>
                <w:rFonts w:ascii="Times New Roman" w:eastAsia="Calibri" w:hAnsi="Times New Roman"/>
                <w:sz w:val="18"/>
                <w:szCs w:val="18"/>
                <w:lang w:val="en-IN"/>
              </w:rPr>
              <w:t>1274.9±12.7</w:t>
            </w:r>
            <w:r>
              <w:rPr>
                <w:rFonts w:ascii="Times New Roman" w:eastAsia="Calibri" w:hAnsi="Times New Roman"/>
                <w:sz w:val="18"/>
                <w:szCs w:val="18"/>
                <w:vertAlign w:val="superscript"/>
                <w:lang w:val="en-IN"/>
              </w:rPr>
              <w:t xml:space="preserve"> a</w:t>
            </w:r>
          </w:p>
        </w:tc>
      </w:tr>
      <w:tr w:rsidR="004F4873" w14:paraId="0D1BCBAF" w14:textId="77777777">
        <w:trPr>
          <w:trHeight w:val="169"/>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75F38E59"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1BA8DFF3"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38A42B3E" w14:textId="77777777" w:rsidR="004F4873" w:rsidRDefault="002C4901">
            <w:pPr>
              <w:jc w:val="center"/>
              <w:rPr>
                <w:rFonts w:ascii="Arial" w:hAnsi="Arial"/>
                <w:b/>
                <w:sz w:val="18"/>
                <w:szCs w:val="18"/>
              </w:rPr>
            </w:pPr>
            <w:r>
              <w:rPr>
                <w:rFonts w:ascii="Times New Roman" w:eastAsia="Calibri" w:hAnsi="Times New Roman"/>
                <w:sz w:val="18"/>
                <w:szCs w:val="18"/>
                <w:lang w:val="en-IN"/>
              </w:rPr>
              <w:t>1258.4±7.8</w:t>
            </w:r>
            <w:r>
              <w:rPr>
                <w:rFonts w:ascii="Times New Roman" w:eastAsia="Calibri" w:hAnsi="Times New Roman"/>
                <w:sz w:val="18"/>
                <w:szCs w:val="18"/>
                <w:vertAlign w:val="superscript"/>
                <w:lang w:val="en-IN"/>
              </w:rPr>
              <w:t xml:space="preserve"> a</w:t>
            </w:r>
          </w:p>
        </w:tc>
      </w:tr>
      <w:tr w:rsidR="004F4873" w14:paraId="31769A95" w14:textId="77777777">
        <w:trPr>
          <w:trHeight w:val="173"/>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7E61AA19"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3C783C3"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18167AED" w14:textId="77777777" w:rsidR="004F4873" w:rsidRDefault="002C4901">
            <w:pPr>
              <w:jc w:val="center"/>
              <w:rPr>
                <w:rFonts w:ascii="Arial" w:hAnsi="Arial"/>
                <w:b/>
                <w:sz w:val="18"/>
                <w:szCs w:val="18"/>
              </w:rPr>
            </w:pPr>
            <w:r>
              <w:rPr>
                <w:rFonts w:ascii="Times New Roman" w:eastAsia="Calibri" w:hAnsi="Times New Roman"/>
                <w:sz w:val="18"/>
                <w:szCs w:val="18"/>
                <w:lang w:val="en-IN"/>
              </w:rPr>
              <w:t>1315.433±8.9</w:t>
            </w:r>
            <w:r>
              <w:rPr>
                <w:rFonts w:ascii="Times New Roman" w:eastAsia="Calibri" w:hAnsi="Times New Roman"/>
                <w:sz w:val="18"/>
                <w:szCs w:val="18"/>
                <w:vertAlign w:val="superscript"/>
                <w:lang w:val="en-IN"/>
              </w:rPr>
              <w:t>b</w:t>
            </w:r>
          </w:p>
        </w:tc>
      </w:tr>
      <w:tr w:rsidR="004F4873" w14:paraId="3CBB79BA" w14:textId="77777777">
        <w:trPr>
          <w:trHeight w:val="191"/>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2E1520B8" w14:textId="77777777" w:rsidR="004F4873" w:rsidRDefault="004F4873">
            <w:pPr>
              <w:jc w:val="center"/>
              <w:rPr>
                <w:rFonts w:ascii="Arial" w:hAnsi="Arial"/>
                <w:b/>
                <w:sz w:val="18"/>
                <w:szCs w:val="18"/>
              </w:rPr>
            </w:pPr>
          </w:p>
          <w:p w14:paraId="7B94FD78" w14:textId="77777777" w:rsidR="004F4873" w:rsidRDefault="002C4901">
            <w:pPr>
              <w:jc w:val="center"/>
              <w:rPr>
                <w:rFonts w:ascii="Arial" w:hAnsi="Arial"/>
                <w:b/>
                <w:sz w:val="18"/>
                <w:szCs w:val="18"/>
              </w:rPr>
            </w:pPr>
            <w:r>
              <w:rPr>
                <w:rFonts w:ascii="Times New Roman" w:eastAsia="Calibri" w:hAnsi="Times New Roman"/>
                <w:sz w:val="18"/>
                <w:szCs w:val="18"/>
                <w:lang w:val="en-IN"/>
              </w:rPr>
              <w:t>pH</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1DCCE180"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7F3BD8C" w14:textId="77777777" w:rsidR="004F4873" w:rsidRDefault="002C4901">
            <w:pPr>
              <w:jc w:val="center"/>
              <w:rPr>
                <w:rFonts w:ascii="Arial" w:hAnsi="Arial"/>
                <w:b/>
                <w:sz w:val="18"/>
                <w:szCs w:val="18"/>
              </w:rPr>
            </w:pPr>
            <w:r>
              <w:rPr>
                <w:rFonts w:ascii="Times New Roman" w:eastAsia="Calibri" w:hAnsi="Times New Roman"/>
                <w:sz w:val="18"/>
                <w:szCs w:val="18"/>
                <w:lang w:val="en-IN"/>
              </w:rPr>
              <w:t>8.4±0.03</w:t>
            </w:r>
            <w:r>
              <w:rPr>
                <w:rFonts w:ascii="Times New Roman" w:eastAsia="Calibri" w:hAnsi="Times New Roman"/>
                <w:sz w:val="18"/>
                <w:szCs w:val="18"/>
                <w:vertAlign w:val="superscript"/>
                <w:lang w:val="en-IN"/>
              </w:rPr>
              <w:t xml:space="preserve"> a</w:t>
            </w:r>
          </w:p>
        </w:tc>
      </w:tr>
      <w:tr w:rsidR="004F4873" w14:paraId="1D8C5C48" w14:textId="77777777">
        <w:trPr>
          <w:trHeight w:val="181"/>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7F39B48D"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3D07936"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4FC6ED59" w14:textId="77777777" w:rsidR="004F4873" w:rsidRDefault="002C4901">
            <w:pPr>
              <w:jc w:val="center"/>
              <w:rPr>
                <w:rFonts w:ascii="Arial" w:hAnsi="Arial"/>
                <w:b/>
                <w:sz w:val="18"/>
                <w:szCs w:val="18"/>
              </w:rPr>
            </w:pPr>
            <w:r>
              <w:rPr>
                <w:rFonts w:ascii="Times New Roman" w:eastAsia="Calibri" w:hAnsi="Times New Roman"/>
                <w:sz w:val="18"/>
                <w:szCs w:val="18"/>
                <w:lang w:val="en-IN"/>
              </w:rPr>
              <w:t>8.5±0.03</w:t>
            </w:r>
            <w:r>
              <w:rPr>
                <w:rFonts w:ascii="Times New Roman" w:eastAsia="Calibri" w:hAnsi="Times New Roman"/>
                <w:sz w:val="18"/>
                <w:szCs w:val="18"/>
                <w:vertAlign w:val="superscript"/>
                <w:lang w:val="en-IN"/>
              </w:rPr>
              <w:t xml:space="preserve"> a</w:t>
            </w:r>
          </w:p>
        </w:tc>
      </w:tr>
      <w:tr w:rsidR="004F4873" w14:paraId="270346B7" w14:textId="77777777">
        <w:trPr>
          <w:trHeight w:val="185"/>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2CBCEDAE"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6F6F68A"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2B5CED2B" w14:textId="77777777" w:rsidR="004F4873" w:rsidRDefault="002C4901">
            <w:pPr>
              <w:jc w:val="center"/>
              <w:rPr>
                <w:rFonts w:ascii="Arial" w:hAnsi="Arial"/>
                <w:b/>
                <w:sz w:val="18"/>
                <w:szCs w:val="18"/>
              </w:rPr>
            </w:pPr>
            <w:r>
              <w:rPr>
                <w:rFonts w:ascii="Times New Roman" w:eastAsia="Calibri" w:hAnsi="Times New Roman"/>
                <w:sz w:val="18"/>
                <w:szCs w:val="18"/>
                <w:lang w:val="en-IN"/>
              </w:rPr>
              <w:t>8.4±0.05</w:t>
            </w:r>
            <w:r>
              <w:rPr>
                <w:rFonts w:ascii="Times New Roman" w:eastAsia="Calibri" w:hAnsi="Times New Roman"/>
                <w:sz w:val="18"/>
                <w:szCs w:val="18"/>
                <w:vertAlign w:val="superscript"/>
                <w:lang w:val="en-IN"/>
              </w:rPr>
              <w:t xml:space="preserve"> a</w:t>
            </w:r>
          </w:p>
        </w:tc>
      </w:tr>
      <w:tr w:rsidR="004F4873" w14:paraId="69D6CF8A" w14:textId="77777777">
        <w:trPr>
          <w:trHeight w:val="189"/>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43BCA7E2" w14:textId="77777777" w:rsidR="004F4873" w:rsidRDefault="002C4901">
            <w:pPr>
              <w:jc w:val="center"/>
              <w:rPr>
                <w:rFonts w:ascii="Arial" w:hAnsi="Arial"/>
                <w:b/>
                <w:sz w:val="18"/>
                <w:szCs w:val="18"/>
              </w:rPr>
            </w:pPr>
            <w:r>
              <w:rPr>
                <w:rFonts w:ascii="Times New Roman" w:eastAsia="Calibri" w:hAnsi="Times New Roman"/>
                <w:sz w:val="18"/>
                <w:szCs w:val="18"/>
                <w:lang w:val="en-IN"/>
              </w:rPr>
              <w:t>Temperature (</w:t>
            </w:r>
            <w:r>
              <w:rPr>
                <w:rFonts w:ascii="Times New Roman" w:eastAsia="Calibri" w:hAnsi="Times New Roman"/>
                <w:sz w:val="18"/>
                <w:szCs w:val="18"/>
                <w:vertAlign w:val="superscript"/>
                <w:lang w:val="en-IN"/>
              </w:rPr>
              <w:t>o</w:t>
            </w:r>
            <w:r>
              <w:rPr>
                <w:rFonts w:ascii="Times New Roman" w:eastAsia="Calibri" w:hAnsi="Times New Roman"/>
                <w:sz w:val="18"/>
                <w:szCs w:val="18"/>
                <w:lang w:val="en-IN"/>
              </w:rPr>
              <w:t>C)</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378154EE"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77A40167" w14:textId="77777777" w:rsidR="004F4873" w:rsidRDefault="002C4901">
            <w:pPr>
              <w:jc w:val="center"/>
              <w:rPr>
                <w:rFonts w:ascii="Arial" w:hAnsi="Arial"/>
                <w:b/>
                <w:sz w:val="18"/>
                <w:szCs w:val="18"/>
              </w:rPr>
            </w:pPr>
            <w:r>
              <w:rPr>
                <w:rFonts w:ascii="Times New Roman" w:eastAsia="Calibri" w:hAnsi="Times New Roman"/>
                <w:sz w:val="18"/>
                <w:szCs w:val="18"/>
                <w:lang w:val="en-IN"/>
              </w:rPr>
              <w:t>26.9±0.045</w:t>
            </w:r>
            <w:r>
              <w:rPr>
                <w:rFonts w:ascii="Times New Roman" w:eastAsia="Calibri" w:hAnsi="Times New Roman"/>
                <w:sz w:val="18"/>
                <w:szCs w:val="18"/>
                <w:vertAlign w:val="superscript"/>
                <w:lang w:val="en-IN"/>
              </w:rPr>
              <w:t xml:space="preserve"> a</w:t>
            </w:r>
          </w:p>
        </w:tc>
      </w:tr>
      <w:tr w:rsidR="004F4873" w14:paraId="4984850B" w14:textId="77777777">
        <w:trPr>
          <w:trHeight w:val="70"/>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70E4DC89"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16ED7A32"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2F757E8C" w14:textId="77777777" w:rsidR="004F4873" w:rsidRDefault="002C4901">
            <w:pPr>
              <w:jc w:val="center"/>
              <w:rPr>
                <w:rFonts w:ascii="Arial" w:hAnsi="Arial"/>
                <w:b/>
                <w:sz w:val="18"/>
                <w:szCs w:val="18"/>
              </w:rPr>
            </w:pPr>
            <w:r>
              <w:rPr>
                <w:rFonts w:ascii="Times New Roman" w:eastAsia="Calibri" w:hAnsi="Times New Roman"/>
                <w:sz w:val="18"/>
                <w:szCs w:val="18"/>
                <w:lang w:val="en-IN"/>
              </w:rPr>
              <w:t>26.9±0.05</w:t>
            </w:r>
            <w:r>
              <w:rPr>
                <w:rFonts w:ascii="Times New Roman" w:eastAsia="Calibri" w:hAnsi="Times New Roman"/>
                <w:sz w:val="18"/>
                <w:szCs w:val="18"/>
                <w:vertAlign w:val="superscript"/>
                <w:lang w:val="en-IN"/>
              </w:rPr>
              <w:t xml:space="preserve"> a</w:t>
            </w:r>
          </w:p>
        </w:tc>
      </w:tr>
      <w:tr w:rsidR="004F4873" w14:paraId="7C217E31" w14:textId="77777777">
        <w:trPr>
          <w:trHeight w:val="211"/>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7BF0DC12"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237A003"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B028E80" w14:textId="77777777" w:rsidR="004F4873" w:rsidRDefault="002C4901">
            <w:pPr>
              <w:jc w:val="center"/>
              <w:rPr>
                <w:rFonts w:ascii="Arial" w:hAnsi="Arial"/>
                <w:b/>
                <w:sz w:val="18"/>
                <w:szCs w:val="18"/>
              </w:rPr>
            </w:pPr>
            <w:r>
              <w:rPr>
                <w:rFonts w:ascii="Times New Roman" w:eastAsia="Calibri" w:hAnsi="Times New Roman"/>
                <w:sz w:val="18"/>
                <w:szCs w:val="18"/>
                <w:lang w:val="en-IN"/>
              </w:rPr>
              <w:t>26.9±0.05</w:t>
            </w:r>
            <w:r>
              <w:rPr>
                <w:rFonts w:ascii="Times New Roman" w:eastAsia="Calibri" w:hAnsi="Times New Roman"/>
                <w:sz w:val="18"/>
                <w:szCs w:val="18"/>
                <w:vertAlign w:val="superscript"/>
                <w:lang w:val="en-IN"/>
              </w:rPr>
              <w:t xml:space="preserve"> a</w:t>
            </w:r>
          </w:p>
        </w:tc>
      </w:tr>
      <w:tr w:rsidR="004F4873" w14:paraId="6F991550" w14:textId="77777777">
        <w:trPr>
          <w:trHeight w:val="70"/>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2BF318C2" w14:textId="77777777" w:rsidR="004F4873" w:rsidRDefault="002C4901">
            <w:pPr>
              <w:jc w:val="center"/>
              <w:rPr>
                <w:rFonts w:ascii="Arial" w:hAnsi="Arial"/>
                <w:b/>
                <w:sz w:val="18"/>
                <w:szCs w:val="18"/>
              </w:rPr>
            </w:pPr>
            <w:r>
              <w:rPr>
                <w:rFonts w:ascii="Times New Roman" w:eastAsia="Calibri" w:hAnsi="Times New Roman"/>
                <w:sz w:val="18"/>
                <w:szCs w:val="18"/>
                <w:lang w:val="en-IN"/>
              </w:rPr>
              <w:t>Floc Volume(ml/l)</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2809A72A"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155EC430" w14:textId="77777777" w:rsidR="004F4873" w:rsidRDefault="002C4901">
            <w:pPr>
              <w:jc w:val="center"/>
              <w:rPr>
                <w:rFonts w:ascii="Arial" w:hAnsi="Arial"/>
                <w:b/>
                <w:sz w:val="18"/>
                <w:szCs w:val="18"/>
              </w:rPr>
            </w:pPr>
            <w:r>
              <w:rPr>
                <w:rFonts w:ascii="Times New Roman" w:eastAsia="Calibri" w:hAnsi="Times New Roman"/>
                <w:sz w:val="18"/>
                <w:szCs w:val="18"/>
                <w:lang w:val="en-IN"/>
              </w:rPr>
              <w:t>17.3±1.10</w:t>
            </w:r>
            <w:r>
              <w:rPr>
                <w:rFonts w:ascii="Times New Roman" w:eastAsia="Calibri" w:hAnsi="Times New Roman"/>
                <w:sz w:val="18"/>
                <w:szCs w:val="18"/>
                <w:vertAlign w:val="superscript"/>
                <w:lang w:val="en-IN"/>
              </w:rPr>
              <w:t xml:space="preserve"> a</w:t>
            </w:r>
          </w:p>
        </w:tc>
      </w:tr>
      <w:tr w:rsidR="004F4873" w14:paraId="75FC3DF4" w14:textId="77777777">
        <w:trPr>
          <w:trHeight w:val="219"/>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5ED3A0E3"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77D003FF"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2363E2F" w14:textId="77777777" w:rsidR="004F4873" w:rsidRDefault="002C4901">
            <w:pPr>
              <w:jc w:val="center"/>
              <w:rPr>
                <w:rFonts w:ascii="Arial" w:hAnsi="Arial"/>
                <w:b/>
                <w:sz w:val="18"/>
                <w:szCs w:val="18"/>
              </w:rPr>
            </w:pPr>
            <w:r>
              <w:rPr>
                <w:rFonts w:ascii="Times New Roman" w:eastAsia="Calibri" w:hAnsi="Times New Roman"/>
                <w:sz w:val="18"/>
                <w:szCs w:val="18"/>
                <w:lang w:val="en-IN"/>
              </w:rPr>
              <w:t>18.1±0.91</w:t>
            </w:r>
            <w:r>
              <w:rPr>
                <w:rFonts w:ascii="Times New Roman" w:eastAsia="Calibri" w:hAnsi="Times New Roman"/>
                <w:sz w:val="18"/>
                <w:szCs w:val="18"/>
                <w:vertAlign w:val="superscript"/>
                <w:lang w:val="en-IN"/>
              </w:rPr>
              <w:t>b</w:t>
            </w:r>
          </w:p>
        </w:tc>
      </w:tr>
      <w:tr w:rsidR="004F4873" w14:paraId="686A5EA9" w14:textId="77777777">
        <w:trPr>
          <w:trHeight w:val="223"/>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68E1B246" w14:textId="77777777" w:rsidR="004F4873" w:rsidRDefault="004F4873">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35812948"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371980AE" w14:textId="77777777" w:rsidR="004F4873" w:rsidRDefault="002C4901">
            <w:pPr>
              <w:jc w:val="center"/>
              <w:rPr>
                <w:rFonts w:ascii="Arial" w:hAnsi="Arial"/>
                <w:b/>
                <w:sz w:val="18"/>
                <w:szCs w:val="18"/>
              </w:rPr>
            </w:pPr>
            <w:r>
              <w:rPr>
                <w:rFonts w:ascii="Times New Roman" w:eastAsia="Calibri" w:hAnsi="Times New Roman"/>
                <w:sz w:val="18"/>
                <w:szCs w:val="18"/>
                <w:lang w:val="en-IN"/>
              </w:rPr>
              <w:t>20.9±1.23</w:t>
            </w:r>
            <w:r>
              <w:rPr>
                <w:rFonts w:ascii="Times New Roman" w:eastAsia="Calibri" w:hAnsi="Times New Roman"/>
                <w:sz w:val="18"/>
                <w:szCs w:val="18"/>
                <w:vertAlign w:val="superscript"/>
                <w:lang w:val="en-IN"/>
              </w:rPr>
              <w:t>c</w:t>
            </w:r>
          </w:p>
        </w:tc>
      </w:tr>
    </w:tbl>
    <w:p w14:paraId="53BE7639" w14:textId="77777777" w:rsidR="004F4873" w:rsidRDefault="002C4901">
      <w:pPr>
        <w:spacing w:after="200"/>
        <w:rPr>
          <w:rFonts w:ascii="Arial" w:hAnsi="Arial"/>
          <w:b/>
          <w:sz w:val="18"/>
          <w:szCs w:val="18"/>
        </w:rPr>
      </w:pPr>
      <w:r>
        <w:rPr>
          <w:rFonts w:ascii="Arial" w:hAnsi="Arial"/>
          <w:b/>
        </w:rPr>
        <w:t>*</w:t>
      </w:r>
      <w:r>
        <w:rPr>
          <w:rFonts w:ascii="Arial" w:hAnsi="Arial"/>
          <w:b/>
          <w:sz w:val="18"/>
          <w:szCs w:val="18"/>
        </w:rPr>
        <w:t xml:space="preserve">Note (C:N ratio= Carbon: Nitrogen </w:t>
      </w:r>
      <w:proofErr w:type="gramStart"/>
      <w:r>
        <w:rPr>
          <w:rFonts w:ascii="Arial" w:hAnsi="Arial"/>
          <w:b/>
          <w:sz w:val="18"/>
          <w:szCs w:val="18"/>
        </w:rPr>
        <w:t>ratio;T</w:t>
      </w:r>
      <w:proofErr w:type="gramEnd"/>
      <w:r>
        <w:rPr>
          <w:rFonts w:ascii="Arial" w:hAnsi="Arial"/>
          <w:b/>
          <w:sz w:val="18"/>
          <w:szCs w:val="18"/>
        </w:rPr>
        <w:t xml:space="preserve">1=10:1(Bio-floc); T2=15:1(Bio-floc);T3=20:1(Bio-floc);The mean values followed by the different superscript letters in each factor indicate significant difference at 0.05. ;DO= dissolve oxygen; TAN=total ammonium nitrogen; TDS=total dissolve solid; EC= electric conductivity)  </w:t>
      </w:r>
    </w:p>
    <w:p w14:paraId="3D525FA8" w14:textId="0CF71C33" w:rsidR="002E3AE4" w:rsidRDefault="002E3AE4">
      <w:pPr>
        <w:spacing w:after="200"/>
        <w:rPr>
          <w:rFonts w:ascii="Arial" w:hAnsi="Arial"/>
          <w:b/>
          <w:sz w:val="18"/>
          <w:szCs w:val="18"/>
        </w:rPr>
      </w:pPr>
      <w:r>
        <w:rPr>
          <w:rFonts w:ascii="Arial" w:hAnsi="Arial"/>
          <w:b/>
          <w:sz w:val="18"/>
          <w:szCs w:val="18"/>
        </w:rPr>
        <w:t xml:space="preserve">Table </w:t>
      </w:r>
      <w:proofErr w:type="gramStart"/>
      <w:r w:rsidRPr="00D96F9E">
        <w:rPr>
          <w:rFonts w:ascii="Arial" w:hAnsi="Arial"/>
          <w:b/>
          <w:sz w:val="18"/>
          <w:szCs w:val="18"/>
        </w:rPr>
        <w:t>2 :</w:t>
      </w:r>
      <w:proofErr w:type="gramEnd"/>
      <w:r w:rsidRPr="00D96F9E">
        <w:rPr>
          <w:rFonts w:ascii="Arial" w:hAnsi="Arial"/>
          <w:b/>
          <w:sz w:val="18"/>
          <w:szCs w:val="18"/>
        </w:rPr>
        <w:t xml:space="preserve"> </w:t>
      </w:r>
      <w:r w:rsidR="00977B8E" w:rsidRPr="00D96F9E">
        <w:rPr>
          <w:rFonts w:ascii="Arial" w:hAnsi="Arial"/>
          <w:b/>
          <w:sz w:val="18"/>
          <w:szCs w:val="18"/>
        </w:rPr>
        <w:t>Growth performance, feed utilization, and survival of experimental groups (T1, T2, T3) measured on the 10th, 20th, and 30th day</w:t>
      </w:r>
    </w:p>
    <w:tbl>
      <w:tblPr>
        <w:tblW w:w="8088" w:type="dxa"/>
        <w:jc w:val="center"/>
        <w:tblLook w:val="04A0" w:firstRow="1" w:lastRow="0" w:firstColumn="1" w:lastColumn="0" w:noHBand="0" w:noVBand="1"/>
      </w:tblPr>
      <w:tblGrid>
        <w:gridCol w:w="1573"/>
        <w:gridCol w:w="1620"/>
        <w:gridCol w:w="1712"/>
        <w:gridCol w:w="1671"/>
        <w:gridCol w:w="1512"/>
      </w:tblGrid>
      <w:tr w:rsidR="004F4873" w14:paraId="1210713D" w14:textId="77777777">
        <w:trPr>
          <w:trHeight w:val="347"/>
          <w:jc w:val="center"/>
        </w:trPr>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A5A13" w14:textId="77777777" w:rsidR="004F4873" w:rsidRDefault="002C4901">
            <w:pPr>
              <w:jc w:val="center"/>
              <w:rPr>
                <w:rFonts w:ascii="Arial" w:hAnsi="Arial"/>
                <w:b/>
                <w:sz w:val="18"/>
                <w:szCs w:val="18"/>
              </w:rPr>
            </w:pPr>
            <w:r>
              <w:rPr>
                <w:rFonts w:ascii="Times New Roman" w:eastAsia="Calibri" w:hAnsi="Times New Roman"/>
                <w:b/>
                <w:bCs/>
                <w:sz w:val="18"/>
                <w:szCs w:val="18"/>
                <w:lang w:val="en-IN"/>
              </w:rPr>
              <w:t>Parameter</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E5DED" w14:textId="77777777" w:rsidR="004F4873" w:rsidRDefault="002C4901">
            <w:pPr>
              <w:jc w:val="center"/>
              <w:rPr>
                <w:rFonts w:ascii="Arial" w:hAnsi="Arial"/>
                <w:b/>
                <w:sz w:val="18"/>
                <w:szCs w:val="18"/>
              </w:rPr>
            </w:pPr>
            <w:r>
              <w:rPr>
                <w:rFonts w:ascii="Times New Roman" w:eastAsia="Calibri" w:hAnsi="Times New Roman"/>
                <w:b/>
                <w:bCs/>
                <w:sz w:val="18"/>
                <w:szCs w:val="18"/>
                <w:lang w:val="en-IN"/>
              </w:rPr>
              <w:t>Treatment</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60A77" w14:textId="77777777" w:rsidR="004F4873" w:rsidRDefault="002C4901">
            <w:pPr>
              <w:jc w:val="center"/>
              <w:rPr>
                <w:rFonts w:ascii="Arial" w:hAnsi="Arial"/>
                <w:b/>
                <w:sz w:val="18"/>
                <w:szCs w:val="18"/>
              </w:rPr>
            </w:pPr>
            <w:r>
              <w:rPr>
                <w:rFonts w:ascii="Times New Roman" w:eastAsia="Calibri" w:hAnsi="Times New Roman"/>
                <w:b/>
                <w:bCs/>
                <w:sz w:val="18"/>
                <w:szCs w:val="18"/>
                <w:lang w:val="en-IN"/>
              </w:rPr>
              <w:t>10</w:t>
            </w:r>
            <w:r>
              <w:rPr>
                <w:rFonts w:ascii="Times New Roman" w:eastAsia="Calibri" w:hAnsi="Times New Roman"/>
                <w:b/>
                <w:bCs/>
                <w:sz w:val="18"/>
                <w:szCs w:val="18"/>
                <w:vertAlign w:val="superscript"/>
                <w:lang w:val="en-IN"/>
              </w:rPr>
              <w:t>th</w:t>
            </w:r>
            <w:r>
              <w:rPr>
                <w:rFonts w:ascii="Times New Roman" w:eastAsia="Calibri" w:hAnsi="Times New Roman"/>
                <w:b/>
                <w:bCs/>
                <w:sz w:val="18"/>
                <w:szCs w:val="18"/>
                <w:lang w:val="en-IN"/>
              </w:rPr>
              <w:t xml:space="preserve"> DAY</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C4801" w14:textId="77777777" w:rsidR="004F4873" w:rsidRDefault="002C4901">
            <w:pPr>
              <w:jc w:val="center"/>
              <w:rPr>
                <w:rFonts w:ascii="Arial" w:hAnsi="Arial"/>
                <w:b/>
                <w:sz w:val="18"/>
                <w:szCs w:val="18"/>
              </w:rPr>
            </w:pPr>
            <w:r>
              <w:rPr>
                <w:rFonts w:ascii="Times New Roman" w:eastAsia="Calibri" w:hAnsi="Times New Roman"/>
                <w:b/>
                <w:bCs/>
                <w:sz w:val="18"/>
                <w:szCs w:val="18"/>
                <w:lang w:val="en-IN"/>
              </w:rPr>
              <w:t>20</w:t>
            </w:r>
            <w:r>
              <w:rPr>
                <w:rFonts w:ascii="Times New Roman" w:eastAsia="Calibri" w:hAnsi="Times New Roman"/>
                <w:b/>
                <w:bCs/>
                <w:sz w:val="18"/>
                <w:szCs w:val="18"/>
                <w:vertAlign w:val="superscript"/>
                <w:lang w:val="en-IN"/>
              </w:rPr>
              <w:t>th</w:t>
            </w:r>
            <w:r>
              <w:rPr>
                <w:rFonts w:ascii="Times New Roman" w:eastAsia="Calibri" w:hAnsi="Times New Roman"/>
                <w:b/>
                <w:bCs/>
                <w:sz w:val="18"/>
                <w:szCs w:val="18"/>
                <w:lang w:val="en-IN"/>
              </w:rPr>
              <w:t>DAY</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320DD" w14:textId="77777777" w:rsidR="004F4873" w:rsidRDefault="002C4901">
            <w:pPr>
              <w:jc w:val="center"/>
              <w:rPr>
                <w:rFonts w:ascii="Arial" w:hAnsi="Arial"/>
                <w:b/>
                <w:sz w:val="18"/>
                <w:szCs w:val="18"/>
              </w:rPr>
            </w:pPr>
            <w:r>
              <w:rPr>
                <w:rFonts w:ascii="Times New Roman" w:eastAsia="Calibri" w:hAnsi="Times New Roman"/>
                <w:b/>
                <w:bCs/>
                <w:sz w:val="18"/>
                <w:szCs w:val="18"/>
                <w:lang w:val="en-IN"/>
              </w:rPr>
              <w:t>30</w:t>
            </w:r>
            <w:r>
              <w:rPr>
                <w:rFonts w:ascii="Times New Roman" w:eastAsia="Calibri" w:hAnsi="Times New Roman"/>
                <w:b/>
                <w:bCs/>
                <w:sz w:val="18"/>
                <w:szCs w:val="18"/>
                <w:vertAlign w:val="superscript"/>
                <w:lang w:val="en-IN"/>
              </w:rPr>
              <w:t>th</w:t>
            </w:r>
            <w:r>
              <w:rPr>
                <w:rFonts w:ascii="Times New Roman" w:eastAsia="Calibri" w:hAnsi="Times New Roman"/>
                <w:b/>
                <w:bCs/>
                <w:sz w:val="18"/>
                <w:szCs w:val="18"/>
                <w:lang w:val="en-IN"/>
              </w:rPr>
              <w:t xml:space="preserve"> DAY</w:t>
            </w:r>
          </w:p>
        </w:tc>
      </w:tr>
      <w:tr w:rsidR="004F4873" w14:paraId="6C9A5334" w14:textId="77777777">
        <w:trPr>
          <w:trHeight w:val="208"/>
          <w:jc w:val="center"/>
        </w:trPr>
        <w:tc>
          <w:tcPr>
            <w:tcW w:w="18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4F86B" w14:textId="77777777" w:rsidR="004F4873" w:rsidRDefault="002C4901">
            <w:pPr>
              <w:jc w:val="center"/>
              <w:rPr>
                <w:rFonts w:ascii="Arial" w:hAnsi="Arial"/>
                <w:b/>
                <w:sz w:val="18"/>
                <w:szCs w:val="18"/>
              </w:rPr>
            </w:pPr>
            <w:r>
              <w:rPr>
                <w:rFonts w:ascii="Times New Roman" w:eastAsia="Calibri" w:hAnsi="Times New Roman"/>
                <w:sz w:val="18"/>
                <w:szCs w:val="18"/>
                <w:lang w:val="en-IN"/>
              </w:rPr>
              <w:lastRenderedPageBreak/>
              <w:t>AVG-WG</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AF0BE"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29AFD" w14:textId="77777777" w:rsidR="004F4873" w:rsidRDefault="002C4901">
            <w:pPr>
              <w:jc w:val="center"/>
              <w:rPr>
                <w:rFonts w:ascii="Arial" w:hAnsi="Arial"/>
                <w:b/>
                <w:sz w:val="18"/>
                <w:szCs w:val="18"/>
              </w:rPr>
            </w:pPr>
            <w:r>
              <w:rPr>
                <w:rFonts w:ascii="Times New Roman" w:eastAsia="Calibri" w:hAnsi="Times New Roman"/>
                <w:sz w:val="18"/>
                <w:szCs w:val="18"/>
                <w:lang w:val="en-IN"/>
              </w:rPr>
              <w:t>0.26±0.10</w:t>
            </w:r>
            <w:r>
              <w:rPr>
                <w:rFonts w:ascii="Times New Roman" w:eastAsia="Calibri" w:hAnsi="Times New Roman"/>
                <w:sz w:val="18"/>
                <w:szCs w:val="18"/>
                <w:vertAlign w:val="superscript"/>
                <w:lang w:val="en-IN"/>
              </w:rPr>
              <w:t>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0C051" w14:textId="77777777" w:rsidR="004F4873" w:rsidRDefault="002C4901">
            <w:pPr>
              <w:jc w:val="center"/>
              <w:rPr>
                <w:rFonts w:ascii="Arial" w:hAnsi="Arial"/>
                <w:b/>
                <w:sz w:val="18"/>
                <w:szCs w:val="18"/>
              </w:rPr>
            </w:pPr>
            <w:r>
              <w:rPr>
                <w:rFonts w:ascii="Times New Roman" w:eastAsia="Calibri" w:hAnsi="Times New Roman"/>
                <w:sz w:val="18"/>
                <w:szCs w:val="18"/>
                <w:lang w:val="en-IN"/>
              </w:rPr>
              <w:t>0.22±0.03</w:t>
            </w:r>
            <w:r>
              <w:rPr>
                <w:rFonts w:ascii="Times New Roman" w:eastAsia="Calibri" w:hAnsi="Times New Roman"/>
                <w:sz w:val="18"/>
                <w:szCs w:val="18"/>
                <w:vertAlign w:val="superscript"/>
                <w:lang w:val="en-IN"/>
              </w:rPr>
              <w:t>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EA631" w14:textId="77777777" w:rsidR="004F4873" w:rsidRDefault="002C4901">
            <w:pPr>
              <w:jc w:val="center"/>
              <w:rPr>
                <w:rFonts w:ascii="Arial" w:hAnsi="Arial"/>
                <w:b/>
                <w:sz w:val="18"/>
                <w:szCs w:val="18"/>
              </w:rPr>
            </w:pPr>
            <w:r>
              <w:rPr>
                <w:rFonts w:ascii="Times New Roman" w:eastAsia="Calibri" w:hAnsi="Times New Roman"/>
                <w:sz w:val="18"/>
                <w:szCs w:val="18"/>
                <w:lang w:val="en-IN"/>
              </w:rPr>
              <w:t>0.34±0.08</w:t>
            </w:r>
            <w:r>
              <w:rPr>
                <w:rFonts w:ascii="Times New Roman" w:eastAsia="Calibri" w:hAnsi="Times New Roman"/>
                <w:sz w:val="18"/>
                <w:szCs w:val="18"/>
                <w:vertAlign w:val="superscript"/>
                <w:lang w:val="en-IN"/>
              </w:rPr>
              <w:t>P</w:t>
            </w:r>
          </w:p>
        </w:tc>
      </w:tr>
      <w:tr w:rsidR="004F4873" w14:paraId="3DAECB3E" w14:textId="77777777">
        <w:trPr>
          <w:trHeight w:val="128"/>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7776F4F0"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F8F8E"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2F182" w14:textId="77777777" w:rsidR="004F4873" w:rsidRDefault="002C4901">
            <w:pPr>
              <w:jc w:val="center"/>
              <w:rPr>
                <w:rFonts w:ascii="Arial" w:hAnsi="Arial"/>
                <w:b/>
                <w:sz w:val="18"/>
                <w:szCs w:val="18"/>
              </w:rPr>
            </w:pPr>
            <w:r>
              <w:rPr>
                <w:rFonts w:ascii="Times New Roman" w:eastAsia="Calibri" w:hAnsi="Times New Roman"/>
                <w:sz w:val="18"/>
                <w:szCs w:val="18"/>
                <w:lang w:val="en-IN"/>
              </w:rPr>
              <w:t>0.43±0.05</w:t>
            </w:r>
            <w:r>
              <w:rPr>
                <w:rFonts w:ascii="Times New Roman" w:eastAsia="Calibri" w:hAnsi="Times New Roman"/>
                <w:sz w:val="18"/>
                <w:szCs w:val="18"/>
                <w:vertAlign w:val="superscript"/>
                <w:lang w:val="en-IN"/>
              </w:rPr>
              <w:t xml:space="preserve"> 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7E789" w14:textId="77777777" w:rsidR="004F4873" w:rsidRDefault="002C4901">
            <w:pPr>
              <w:jc w:val="center"/>
              <w:rPr>
                <w:rFonts w:ascii="Arial" w:hAnsi="Arial"/>
                <w:b/>
                <w:sz w:val="18"/>
                <w:szCs w:val="18"/>
              </w:rPr>
            </w:pPr>
            <w:r>
              <w:rPr>
                <w:rFonts w:ascii="Times New Roman" w:eastAsia="Calibri" w:hAnsi="Times New Roman"/>
                <w:sz w:val="18"/>
                <w:szCs w:val="18"/>
                <w:lang w:val="en-IN"/>
              </w:rPr>
              <w:t>0.45±0.04</w:t>
            </w:r>
            <w:r>
              <w:rPr>
                <w:rFonts w:ascii="Times New Roman" w:eastAsia="Calibri" w:hAnsi="Times New Roman"/>
                <w:sz w:val="18"/>
                <w:szCs w:val="18"/>
                <w:vertAlign w:val="superscript"/>
                <w:lang w:val="en-IN"/>
              </w:rPr>
              <w:t>AB</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A4E69" w14:textId="77777777" w:rsidR="004F4873" w:rsidRDefault="002C4901">
            <w:pPr>
              <w:jc w:val="center"/>
              <w:rPr>
                <w:rFonts w:ascii="Arial" w:hAnsi="Arial"/>
                <w:b/>
                <w:sz w:val="18"/>
                <w:szCs w:val="18"/>
              </w:rPr>
            </w:pPr>
            <w:r>
              <w:rPr>
                <w:rFonts w:ascii="Times New Roman" w:eastAsia="Calibri" w:hAnsi="Times New Roman"/>
                <w:sz w:val="18"/>
                <w:szCs w:val="18"/>
                <w:lang w:val="en-IN"/>
              </w:rPr>
              <w:t>0.46±0.04</w:t>
            </w:r>
            <w:r>
              <w:rPr>
                <w:rFonts w:ascii="Times New Roman" w:eastAsia="Calibri" w:hAnsi="Times New Roman"/>
                <w:sz w:val="18"/>
                <w:szCs w:val="18"/>
                <w:vertAlign w:val="superscript"/>
                <w:lang w:val="en-IN"/>
              </w:rPr>
              <w:t>PQ</w:t>
            </w:r>
          </w:p>
        </w:tc>
      </w:tr>
      <w:tr w:rsidR="004F4873" w14:paraId="19C65735" w14:textId="77777777">
        <w:trPr>
          <w:trHeight w:val="204"/>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75B7CCBC"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62DE7"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BB615" w14:textId="77777777" w:rsidR="004F4873" w:rsidRDefault="002C4901">
            <w:pPr>
              <w:jc w:val="center"/>
              <w:rPr>
                <w:rFonts w:ascii="Arial" w:hAnsi="Arial"/>
                <w:b/>
                <w:sz w:val="18"/>
                <w:szCs w:val="18"/>
              </w:rPr>
            </w:pPr>
            <w:r>
              <w:rPr>
                <w:rFonts w:ascii="Times New Roman" w:eastAsia="Calibri" w:hAnsi="Times New Roman"/>
                <w:sz w:val="18"/>
                <w:szCs w:val="18"/>
                <w:lang w:val="en-IN"/>
              </w:rPr>
              <w:t>0.48±0.09</w:t>
            </w:r>
            <w:r>
              <w:rPr>
                <w:rFonts w:ascii="Times New Roman" w:eastAsia="Calibri" w:hAnsi="Times New Roman"/>
                <w:sz w:val="18"/>
                <w:szCs w:val="18"/>
                <w:vertAlign w:val="superscript"/>
                <w:lang w:val="en-IN"/>
              </w:rPr>
              <w:t xml:space="preserve"> 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52230" w14:textId="77777777" w:rsidR="004F4873" w:rsidRDefault="002C4901">
            <w:pPr>
              <w:jc w:val="center"/>
              <w:rPr>
                <w:rFonts w:ascii="Arial" w:hAnsi="Arial"/>
                <w:b/>
                <w:sz w:val="18"/>
                <w:szCs w:val="18"/>
              </w:rPr>
            </w:pPr>
            <w:r>
              <w:rPr>
                <w:rFonts w:ascii="Times New Roman" w:eastAsia="Calibri" w:hAnsi="Times New Roman"/>
                <w:sz w:val="18"/>
                <w:szCs w:val="18"/>
                <w:lang w:val="en-IN"/>
              </w:rPr>
              <w:t>0.58±0.10</w:t>
            </w:r>
            <w:r>
              <w:rPr>
                <w:rFonts w:ascii="Times New Roman" w:eastAsia="Calibri" w:hAnsi="Times New Roman"/>
                <w:sz w:val="18"/>
                <w:szCs w:val="18"/>
                <w:vertAlign w:val="superscript"/>
                <w:lang w:val="en-IN"/>
              </w:rPr>
              <w:t>B</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D6E1F" w14:textId="77777777" w:rsidR="004F4873" w:rsidRDefault="002C4901">
            <w:pPr>
              <w:jc w:val="center"/>
              <w:rPr>
                <w:rFonts w:ascii="Arial" w:hAnsi="Arial"/>
                <w:b/>
                <w:sz w:val="18"/>
                <w:szCs w:val="18"/>
              </w:rPr>
            </w:pPr>
            <w:r>
              <w:rPr>
                <w:rFonts w:ascii="Times New Roman" w:eastAsia="Calibri" w:hAnsi="Times New Roman"/>
                <w:sz w:val="18"/>
                <w:szCs w:val="18"/>
                <w:lang w:val="en-IN"/>
              </w:rPr>
              <w:t>0.75±0.11</w:t>
            </w:r>
            <w:r>
              <w:rPr>
                <w:rFonts w:ascii="Times New Roman" w:eastAsia="Calibri" w:hAnsi="Times New Roman"/>
                <w:sz w:val="18"/>
                <w:szCs w:val="18"/>
                <w:vertAlign w:val="superscript"/>
                <w:lang w:val="en-IN"/>
              </w:rPr>
              <w:t>Q</w:t>
            </w:r>
          </w:p>
        </w:tc>
      </w:tr>
      <w:tr w:rsidR="004F4873" w14:paraId="28841A28" w14:textId="77777777">
        <w:trPr>
          <w:trHeight w:val="206"/>
          <w:jc w:val="center"/>
        </w:trPr>
        <w:tc>
          <w:tcPr>
            <w:tcW w:w="18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C4BB7" w14:textId="77777777" w:rsidR="004F4873" w:rsidRDefault="002C4901">
            <w:pPr>
              <w:jc w:val="center"/>
              <w:rPr>
                <w:rFonts w:ascii="Arial" w:hAnsi="Arial"/>
                <w:b/>
                <w:sz w:val="18"/>
                <w:szCs w:val="18"/>
              </w:rPr>
            </w:pPr>
            <w:r>
              <w:rPr>
                <w:rFonts w:ascii="Times New Roman" w:eastAsia="Calibri" w:hAnsi="Times New Roman"/>
                <w:sz w:val="18"/>
                <w:szCs w:val="18"/>
                <w:lang w:val="en-IN"/>
              </w:rPr>
              <w:t>BWG (%)</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1A5EB"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6D433" w14:textId="77777777" w:rsidR="004F4873" w:rsidRDefault="002C4901">
            <w:pPr>
              <w:jc w:val="center"/>
              <w:rPr>
                <w:rFonts w:ascii="Arial" w:hAnsi="Arial"/>
                <w:b/>
                <w:sz w:val="18"/>
                <w:szCs w:val="18"/>
              </w:rPr>
            </w:pPr>
            <w:r>
              <w:rPr>
                <w:rFonts w:ascii="Times New Roman" w:eastAsia="Calibri" w:hAnsi="Times New Roman"/>
                <w:sz w:val="18"/>
                <w:szCs w:val="18"/>
                <w:lang w:val="en-IN"/>
              </w:rPr>
              <w:t>27.48±0.57</w:t>
            </w:r>
            <w:r>
              <w:rPr>
                <w:rFonts w:ascii="Times New Roman" w:eastAsia="Calibri" w:hAnsi="Times New Roman"/>
                <w:sz w:val="18"/>
                <w:szCs w:val="18"/>
                <w:vertAlign w:val="superscript"/>
                <w:lang w:val="en-IN"/>
              </w:rPr>
              <w:t>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7B2B2" w14:textId="77777777" w:rsidR="004F4873" w:rsidRDefault="002C4901">
            <w:pPr>
              <w:jc w:val="center"/>
              <w:rPr>
                <w:rFonts w:ascii="Arial" w:hAnsi="Arial"/>
                <w:b/>
                <w:sz w:val="18"/>
                <w:szCs w:val="18"/>
              </w:rPr>
            </w:pPr>
            <w:r>
              <w:rPr>
                <w:rFonts w:ascii="Times New Roman" w:eastAsia="Calibri" w:hAnsi="Times New Roman"/>
                <w:sz w:val="18"/>
                <w:szCs w:val="18"/>
                <w:lang w:val="en-IN"/>
              </w:rPr>
              <w:t>28.74±6.98</w:t>
            </w:r>
            <w:r>
              <w:rPr>
                <w:rFonts w:ascii="Times New Roman" w:eastAsia="Calibri" w:hAnsi="Times New Roman"/>
                <w:sz w:val="18"/>
                <w:szCs w:val="18"/>
                <w:vertAlign w:val="superscript"/>
                <w:lang w:val="en-IN"/>
              </w:rPr>
              <w:t xml:space="preserve"> 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F2E68" w14:textId="77777777" w:rsidR="004F4873" w:rsidRDefault="002C4901">
            <w:pPr>
              <w:jc w:val="center"/>
              <w:rPr>
                <w:rFonts w:ascii="Arial" w:hAnsi="Arial"/>
                <w:b/>
                <w:sz w:val="18"/>
                <w:szCs w:val="18"/>
              </w:rPr>
            </w:pPr>
            <w:r>
              <w:rPr>
                <w:rFonts w:ascii="Times New Roman" w:eastAsia="Calibri" w:hAnsi="Times New Roman"/>
                <w:sz w:val="18"/>
                <w:szCs w:val="18"/>
                <w:lang w:val="en-IN"/>
              </w:rPr>
              <w:t>27.75±5.63</w:t>
            </w:r>
            <w:r>
              <w:rPr>
                <w:rFonts w:ascii="Times New Roman" w:eastAsia="Calibri" w:hAnsi="Times New Roman"/>
                <w:sz w:val="18"/>
                <w:szCs w:val="18"/>
                <w:vertAlign w:val="superscript"/>
                <w:lang w:val="en-IN"/>
              </w:rPr>
              <w:t>P</w:t>
            </w:r>
          </w:p>
        </w:tc>
      </w:tr>
      <w:tr w:rsidR="004F4873" w14:paraId="1DC67709" w14:textId="77777777">
        <w:trPr>
          <w:trHeight w:val="313"/>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6EEC4A38"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83070"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740AE" w14:textId="77777777" w:rsidR="004F4873" w:rsidRDefault="002C4901">
            <w:pPr>
              <w:jc w:val="center"/>
              <w:rPr>
                <w:rFonts w:ascii="Arial" w:hAnsi="Arial"/>
                <w:b/>
                <w:sz w:val="18"/>
                <w:szCs w:val="18"/>
              </w:rPr>
            </w:pPr>
            <w:r>
              <w:rPr>
                <w:rFonts w:ascii="Times New Roman" w:eastAsia="Calibri" w:hAnsi="Times New Roman"/>
                <w:sz w:val="18"/>
                <w:szCs w:val="18"/>
                <w:lang w:val="en-IN"/>
              </w:rPr>
              <w:t>50.93±2.46</w:t>
            </w:r>
            <w:r>
              <w:rPr>
                <w:rFonts w:ascii="Times New Roman" w:eastAsia="Calibri" w:hAnsi="Times New Roman"/>
                <w:sz w:val="18"/>
                <w:szCs w:val="18"/>
                <w:vertAlign w:val="superscript"/>
                <w:lang w:val="en-IN"/>
              </w:rPr>
              <w:t xml:space="preserve"> 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94720" w14:textId="77777777" w:rsidR="004F4873" w:rsidRDefault="002C4901">
            <w:pPr>
              <w:jc w:val="center"/>
              <w:rPr>
                <w:rFonts w:ascii="Arial" w:hAnsi="Arial"/>
                <w:b/>
                <w:sz w:val="18"/>
                <w:szCs w:val="18"/>
              </w:rPr>
            </w:pPr>
            <w:r>
              <w:rPr>
                <w:rFonts w:ascii="Times New Roman" w:eastAsia="Calibri" w:hAnsi="Times New Roman"/>
                <w:sz w:val="18"/>
                <w:szCs w:val="18"/>
                <w:lang w:val="en-IN"/>
              </w:rPr>
              <w:t>37.17±3.66</w:t>
            </w:r>
            <w:r>
              <w:rPr>
                <w:rFonts w:ascii="Times New Roman" w:eastAsia="Calibri" w:hAnsi="Times New Roman"/>
                <w:sz w:val="18"/>
                <w:szCs w:val="18"/>
                <w:vertAlign w:val="superscript"/>
                <w:lang w:val="en-IN"/>
              </w:rPr>
              <w:t>B</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A7064" w14:textId="77777777" w:rsidR="004F4873" w:rsidRDefault="002C4901">
            <w:pPr>
              <w:jc w:val="center"/>
              <w:rPr>
                <w:rFonts w:ascii="Arial" w:hAnsi="Arial"/>
                <w:b/>
                <w:sz w:val="18"/>
                <w:szCs w:val="18"/>
              </w:rPr>
            </w:pPr>
            <w:r>
              <w:rPr>
                <w:rFonts w:ascii="Times New Roman" w:eastAsia="Calibri" w:hAnsi="Times New Roman"/>
                <w:sz w:val="18"/>
                <w:szCs w:val="18"/>
                <w:lang w:val="en-IN"/>
              </w:rPr>
              <w:t>26.51±2.68</w:t>
            </w:r>
            <w:r>
              <w:rPr>
                <w:rFonts w:ascii="Times New Roman" w:eastAsia="Calibri" w:hAnsi="Times New Roman"/>
                <w:sz w:val="18"/>
                <w:szCs w:val="18"/>
                <w:vertAlign w:val="superscript"/>
                <w:lang w:val="en-IN"/>
              </w:rPr>
              <w:t>Q</w:t>
            </w:r>
          </w:p>
        </w:tc>
      </w:tr>
      <w:tr w:rsidR="004F4873" w14:paraId="3B308A53" w14:textId="77777777">
        <w:trPr>
          <w:trHeight w:val="313"/>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61D14B6A"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715B9"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9297C" w14:textId="77777777" w:rsidR="004F4873" w:rsidRDefault="002C4901">
            <w:pPr>
              <w:jc w:val="center"/>
              <w:rPr>
                <w:rFonts w:ascii="Arial" w:hAnsi="Arial"/>
                <w:b/>
                <w:sz w:val="18"/>
                <w:szCs w:val="18"/>
              </w:rPr>
            </w:pPr>
            <w:r>
              <w:rPr>
                <w:rFonts w:ascii="Times New Roman" w:eastAsia="Calibri" w:hAnsi="Times New Roman"/>
                <w:sz w:val="18"/>
                <w:szCs w:val="18"/>
                <w:lang w:val="en-IN"/>
              </w:rPr>
              <w:t>58.12±3.21</w:t>
            </w:r>
            <w:r>
              <w:rPr>
                <w:rFonts w:ascii="Times New Roman" w:eastAsia="Calibri" w:hAnsi="Times New Roman"/>
                <w:sz w:val="18"/>
                <w:szCs w:val="18"/>
                <w:vertAlign w:val="superscript"/>
                <w:lang w:val="en-IN"/>
              </w:rPr>
              <w:t xml:space="preserve"> 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93443" w14:textId="77777777" w:rsidR="004F4873" w:rsidRDefault="002C4901">
            <w:pPr>
              <w:jc w:val="center"/>
              <w:rPr>
                <w:rFonts w:ascii="Arial" w:hAnsi="Arial"/>
                <w:b/>
                <w:sz w:val="18"/>
                <w:szCs w:val="18"/>
              </w:rPr>
            </w:pPr>
            <w:r>
              <w:rPr>
                <w:rFonts w:ascii="Times New Roman" w:eastAsia="Calibri" w:hAnsi="Times New Roman"/>
                <w:sz w:val="18"/>
                <w:szCs w:val="18"/>
                <w:lang w:val="en-IN"/>
              </w:rPr>
              <w:t>45.13±4.53</w:t>
            </w:r>
            <w:r>
              <w:rPr>
                <w:rFonts w:ascii="Times New Roman" w:eastAsia="Calibri" w:hAnsi="Times New Roman"/>
                <w:sz w:val="18"/>
                <w:szCs w:val="18"/>
                <w:vertAlign w:val="superscript"/>
                <w:lang w:val="en-IN"/>
              </w:rPr>
              <w:t>C</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6F3B7" w14:textId="77777777" w:rsidR="004F4873" w:rsidRDefault="002C4901">
            <w:pPr>
              <w:jc w:val="center"/>
              <w:rPr>
                <w:rFonts w:ascii="Arial" w:hAnsi="Arial"/>
                <w:b/>
                <w:sz w:val="18"/>
                <w:szCs w:val="18"/>
              </w:rPr>
            </w:pPr>
            <w:r>
              <w:rPr>
                <w:rFonts w:ascii="Times New Roman" w:eastAsia="Calibri" w:hAnsi="Times New Roman"/>
                <w:sz w:val="18"/>
                <w:szCs w:val="18"/>
                <w:lang w:val="en-IN"/>
              </w:rPr>
              <w:t>39.67±6.04</w:t>
            </w:r>
            <w:r>
              <w:rPr>
                <w:rFonts w:ascii="Times New Roman" w:eastAsia="Calibri" w:hAnsi="Times New Roman"/>
                <w:sz w:val="18"/>
                <w:szCs w:val="18"/>
                <w:vertAlign w:val="superscript"/>
                <w:lang w:val="en-IN"/>
              </w:rPr>
              <w:t xml:space="preserve"> Q</w:t>
            </w:r>
          </w:p>
        </w:tc>
      </w:tr>
      <w:tr w:rsidR="004F4873" w14:paraId="6EBF6F39" w14:textId="77777777">
        <w:trPr>
          <w:trHeight w:val="275"/>
          <w:jc w:val="center"/>
        </w:trPr>
        <w:tc>
          <w:tcPr>
            <w:tcW w:w="18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759A2" w14:textId="77777777" w:rsidR="004F4873" w:rsidRDefault="002C4901">
            <w:pPr>
              <w:jc w:val="center"/>
              <w:rPr>
                <w:rFonts w:ascii="Arial" w:hAnsi="Arial"/>
                <w:b/>
                <w:sz w:val="18"/>
                <w:szCs w:val="18"/>
              </w:rPr>
            </w:pPr>
            <w:r>
              <w:rPr>
                <w:rFonts w:ascii="Times New Roman" w:eastAsia="Calibri" w:hAnsi="Times New Roman"/>
                <w:sz w:val="18"/>
                <w:szCs w:val="18"/>
                <w:lang w:val="en-IN"/>
              </w:rPr>
              <w:t>SGR (%)</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680A1"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18617" w14:textId="77777777" w:rsidR="004F4873" w:rsidRDefault="002C4901">
            <w:pPr>
              <w:jc w:val="center"/>
              <w:rPr>
                <w:rFonts w:ascii="Arial" w:hAnsi="Arial"/>
                <w:b/>
                <w:sz w:val="18"/>
                <w:szCs w:val="18"/>
              </w:rPr>
            </w:pPr>
            <w:r>
              <w:rPr>
                <w:rFonts w:ascii="Times New Roman" w:eastAsia="Calibri" w:hAnsi="Times New Roman"/>
                <w:sz w:val="18"/>
                <w:szCs w:val="18"/>
                <w:lang w:val="en-IN"/>
              </w:rPr>
              <w:t>2.44±0.27</w:t>
            </w:r>
            <w:r>
              <w:rPr>
                <w:rFonts w:ascii="Times New Roman" w:eastAsia="Calibri" w:hAnsi="Times New Roman"/>
                <w:sz w:val="18"/>
                <w:szCs w:val="18"/>
                <w:vertAlign w:val="superscript"/>
                <w:lang w:val="en-IN"/>
              </w:rPr>
              <w:t>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05E1" w14:textId="77777777" w:rsidR="004F4873" w:rsidRDefault="002C4901">
            <w:pPr>
              <w:jc w:val="center"/>
              <w:rPr>
                <w:rFonts w:ascii="Arial" w:hAnsi="Arial"/>
                <w:b/>
                <w:sz w:val="18"/>
                <w:szCs w:val="18"/>
              </w:rPr>
            </w:pPr>
            <w:r>
              <w:rPr>
                <w:rFonts w:ascii="Times New Roman" w:eastAsia="Calibri" w:hAnsi="Times New Roman"/>
                <w:sz w:val="18"/>
                <w:szCs w:val="18"/>
                <w:lang w:val="en-IN"/>
              </w:rPr>
              <w:t>1.69±6.98</w:t>
            </w:r>
            <w:r>
              <w:rPr>
                <w:rFonts w:ascii="Times New Roman" w:eastAsia="Calibri" w:hAnsi="Times New Roman"/>
                <w:sz w:val="18"/>
                <w:szCs w:val="18"/>
                <w:vertAlign w:val="superscript"/>
                <w:lang w:val="en-IN"/>
              </w:rPr>
              <w:t>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88DA9" w14:textId="77777777" w:rsidR="004F4873" w:rsidRDefault="002C4901">
            <w:pPr>
              <w:jc w:val="center"/>
              <w:rPr>
                <w:rFonts w:ascii="Arial" w:hAnsi="Arial"/>
                <w:b/>
                <w:sz w:val="18"/>
                <w:szCs w:val="18"/>
              </w:rPr>
            </w:pPr>
            <w:r>
              <w:rPr>
                <w:rFonts w:ascii="Times New Roman" w:eastAsia="Calibri" w:hAnsi="Times New Roman"/>
                <w:sz w:val="18"/>
                <w:szCs w:val="18"/>
                <w:lang w:val="en-IN"/>
              </w:rPr>
              <w:t>1.33±5.63</w:t>
            </w:r>
            <w:r>
              <w:rPr>
                <w:rFonts w:ascii="Times New Roman" w:eastAsia="Calibri" w:hAnsi="Times New Roman"/>
                <w:sz w:val="18"/>
                <w:szCs w:val="18"/>
                <w:vertAlign w:val="superscript"/>
                <w:lang w:val="en-IN"/>
              </w:rPr>
              <w:t>P</w:t>
            </w:r>
          </w:p>
        </w:tc>
      </w:tr>
      <w:tr w:rsidR="004F4873" w14:paraId="2BBC8561" w14:textId="77777777">
        <w:trPr>
          <w:trHeight w:val="319"/>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411ACDF3"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BC103"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872D9" w14:textId="77777777" w:rsidR="004F4873" w:rsidRDefault="002C4901">
            <w:pPr>
              <w:jc w:val="center"/>
              <w:rPr>
                <w:rFonts w:ascii="Arial" w:hAnsi="Arial"/>
                <w:b/>
                <w:sz w:val="18"/>
                <w:szCs w:val="18"/>
              </w:rPr>
            </w:pPr>
            <w:r>
              <w:rPr>
                <w:rFonts w:ascii="Times New Roman" w:eastAsia="Calibri" w:hAnsi="Times New Roman"/>
                <w:sz w:val="18"/>
                <w:szCs w:val="18"/>
                <w:lang w:val="en-IN"/>
              </w:rPr>
              <w:t>3.93±0.30</w:t>
            </w:r>
            <w:r>
              <w:rPr>
                <w:rFonts w:ascii="Times New Roman" w:eastAsia="Calibri" w:hAnsi="Times New Roman"/>
                <w:sz w:val="18"/>
                <w:szCs w:val="18"/>
                <w:vertAlign w:val="superscript"/>
                <w:lang w:val="en-IN"/>
              </w:rPr>
              <w:t>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AB1BF" w14:textId="77777777" w:rsidR="004F4873" w:rsidRDefault="002C4901">
            <w:pPr>
              <w:jc w:val="center"/>
              <w:rPr>
                <w:rFonts w:ascii="Arial" w:hAnsi="Arial"/>
                <w:b/>
                <w:sz w:val="18"/>
                <w:szCs w:val="18"/>
              </w:rPr>
            </w:pPr>
            <w:r>
              <w:rPr>
                <w:rFonts w:ascii="Times New Roman" w:eastAsia="Calibri" w:hAnsi="Times New Roman"/>
                <w:sz w:val="18"/>
                <w:szCs w:val="18"/>
                <w:lang w:val="en-IN"/>
              </w:rPr>
              <w:t>3.22±3.66</w:t>
            </w:r>
            <w:r>
              <w:rPr>
                <w:rFonts w:ascii="Times New Roman" w:eastAsia="Calibri" w:hAnsi="Times New Roman"/>
                <w:sz w:val="18"/>
                <w:szCs w:val="18"/>
                <w:vertAlign w:val="superscript"/>
                <w:lang w:val="en-IN"/>
              </w:rPr>
              <w:t>AB</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1A7BB" w14:textId="77777777" w:rsidR="004F4873" w:rsidRDefault="002C4901">
            <w:pPr>
              <w:jc w:val="center"/>
              <w:rPr>
                <w:rFonts w:ascii="Arial" w:hAnsi="Arial"/>
                <w:b/>
                <w:sz w:val="18"/>
                <w:szCs w:val="18"/>
              </w:rPr>
            </w:pPr>
            <w:r>
              <w:rPr>
                <w:rFonts w:ascii="Times New Roman" w:eastAsia="Calibri" w:hAnsi="Times New Roman"/>
                <w:sz w:val="18"/>
                <w:szCs w:val="18"/>
                <w:lang w:val="en-IN"/>
              </w:rPr>
              <w:t>2.25±2.68</w:t>
            </w:r>
            <w:r>
              <w:rPr>
                <w:rFonts w:ascii="Times New Roman" w:eastAsia="Calibri" w:hAnsi="Times New Roman"/>
                <w:sz w:val="18"/>
                <w:szCs w:val="18"/>
                <w:vertAlign w:val="superscript"/>
                <w:lang w:val="en-IN"/>
              </w:rPr>
              <w:t>PQ</w:t>
            </w:r>
          </w:p>
        </w:tc>
      </w:tr>
      <w:tr w:rsidR="004F4873" w14:paraId="6851BAA9" w14:textId="77777777">
        <w:trPr>
          <w:trHeight w:val="319"/>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7A55A8E9"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DE835"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212F2" w14:textId="77777777" w:rsidR="004F4873" w:rsidRDefault="002C4901">
            <w:pPr>
              <w:jc w:val="center"/>
              <w:rPr>
                <w:rFonts w:ascii="Arial" w:hAnsi="Arial"/>
                <w:b/>
                <w:sz w:val="18"/>
                <w:szCs w:val="18"/>
              </w:rPr>
            </w:pPr>
            <w:r>
              <w:rPr>
                <w:rFonts w:ascii="Times New Roman" w:eastAsia="Calibri" w:hAnsi="Times New Roman"/>
                <w:sz w:val="18"/>
                <w:szCs w:val="18"/>
                <w:lang w:val="en-IN"/>
              </w:rPr>
              <w:t>4.40±3.21</w:t>
            </w:r>
            <w:r>
              <w:rPr>
                <w:rFonts w:ascii="Times New Roman" w:eastAsia="Calibri" w:hAnsi="Times New Roman"/>
                <w:sz w:val="18"/>
                <w:szCs w:val="18"/>
                <w:vertAlign w:val="superscript"/>
                <w:lang w:val="en-IN"/>
              </w:rPr>
              <w:t>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D91A7" w14:textId="77777777" w:rsidR="004F4873" w:rsidRDefault="002C4901">
            <w:pPr>
              <w:jc w:val="center"/>
              <w:rPr>
                <w:rFonts w:ascii="Arial" w:hAnsi="Arial"/>
                <w:b/>
                <w:sz w:val="18"/>
                <w:szCs w:val="18"/>
              </w:rPr>
            </w:pPr>
            <w:r>
              <w:rPr>
                <w:rFonts w:ascii="Times New Roman" w:eastAsia="Calibri" w:hAnsi="Times New Roman"/>
                <w:sz w:val="18"/>
                <w:szCs w:val="18"/>
                <w:lang w:val="en-IN"/>
              </w:rPr>
              <w:t>4.21±4.53</w:t>
            </w:r>
            <w:r>
              <w:rPr>
                <w:rFonts w:ascii="Times New Roman" w:eastAsia="Calibri" w:hAnsi="Times New Roman"/>
                <w:sz w:val="18"/>
                <w:szCs w:val="18"/>
                <w:vertAlign w:val="superscript"/>
                <w:lang w:val="en-IN"/>
              </w:rPr>
              <w:t>B</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96EEF" w14:textId="77777777" w:rsidR="004F4873" w:rsidRDefault="002C4901">
            <w:pPr>
              <w:jc w:val="center"/>
              <w:rPr>
                <w:rFonts w:ascii="Arial" w:hAnsi="Arial"/>
                <w:b/>
                <w:sz w:val="18"/>
                <w:szCs w:val="18"/>
              </w:rPr>
            </w:pPr>
            <w:r>
              <w:rPr>
                <w:rFonts w:ascii="Times New Roman" w:eastAsia="Calibri" w:hAnsi="Times New Roman"/>
                <w:sz w:val="18"/>
                <w:szCs w:val="18"/>
                <w:lang w:val="en-IN"/>
              </w:rPr>
              <w:t>3.25±6.04</w:t>
            </w:r>
            <w:r>
              <w:rPr>
                <w:rFonts w:ascii="Times New Roman" w:eastAsia="Calibri" w:hAnsi="Times New Roman"/>
                <w:sz w:val="18"/>
                <w:szCs w:val="18"/>
                <w:vertAlign w:val="superscript"/>
                <w:lang w:val="en-IN"/>
              </w:rPr>
              <w:t>Q</w:t>
            </w:r>
          </w:p>
        </w:tc>
      </w:tr>
      <w:tr w:rsidR="004F4873" w14:paraId="0494D456" w14:textId="77777777">
        <w:trPr>
          <w:trHeight w:val="189"/>
          <w:jc w:val="center"/>
        </w:trPr>
        <w:tc>
          <w:tcPr>
            <w:tcW w:w="18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2DEB5" w14:textId="77777777" w:rsidR="004F4873" w:rsidRDefault="002C4901">
            <w:pPr>
              <w:jc w:val="center"/>
              <w:rPr>
                <w:rFonts w:ascii="Arial" w:hAnsi="Arial"/>
                <w:b/>
                <w:sz w:val="18"/>
                <w:szCs w:val="18"/>
              </w:rPr>
            </w:pPr>
            <w:r>
              <w:rPr>
                <w:rFonts w:ascii="Times New Roman" w:eastAsia="Calibri" w:hAnsi="Times New Roman"/>
                <w:sz w:val="18"/>
                <w:szCs w:val="18"/>
                <w:lang w:val="en-IN"/>
              </w:rPr>
              <w:t>FCR</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67C27"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5B90F" w14:textId="77777777" w:rsidR="004F4873" w:rsidRDefault="002C4901">
            <w:pPr>
              <w:jc w:val="center"/>
              <w:rPr>
                <w:rFonts w:ascii="Arial" w:hAnsi="Arial"/>
                <w:b/>
                <w:sz w:val="18"/>
                <w:szCs w:val="18"/>
              </w:rPr>
            </w:pPr>
            <w:r>
              <w:rPr>
                <w:rFonts w:ascii="Times New Roman" w:eastAsia="Calibri" w:hAnsi="Times New Roman"/>
                <w:sz w:val="18"/>
                <w:szCs w:val="18"/>
                <w:lang w:val="en-IN"/>
              </w:rPr>
              <w:t>2.18±0.0.5</w:t>
            </w:r>
            <w:r>
              <w:rPr>
                <w:rFonts w:ascii="Times New Roman" w:eastAsia="Calibri" w:hAnsi="Times New Roman"/>
                <w:sz w:val="18"/>
                <w:szCs w:val="18"/>
                <w:vertAlign w:val="superscript"/>
                <w:lang w:val="en-IN"/>
              </w:rPr>
              <w:t>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6CEE" w14:textId="77777777" w:rsidR="004F4873" w:rsidRDefault="002C4901">
            <w:pPr>
              <w:jc w:val="center"/>
              <w:rPr>
                <w:rFonts w:ascii="Arial" w:hAnsi="Arial"/>
                <w:b/>
                <w:sz w:val="18"/>
                <w:szCs w:val="18"/>
              </w:rPr>
            </w:pPr>
            <w:r>
              <w:rPr>
                <w:rFonts w:ascii="Times New Roman" w:eastAsia="Calibri" w:hAnsi="Times New Roman"/>
                <w:sz w:val="18"/>
                <w:szCs w:val="18"/>
                <w:lang w:val="en-IN"/>
              </w:rPr>
              <w:t>3.19±0.3</w:t>
            </w:r>
            <w:r>
              <w:rPr>
                <w:rFonts w:ascii="Times New Roman" w:eastAsia="Calibri" w:hAnsi="Times New Roman"/>
                <w:sz w:val="18"/>
                <w:szCs w:val="18"/>
                <w:vertAlign w:val="superscript"/>
                <w:lang w:val="en-IN"/>
              </w:rPr>
              <w:t>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4E9A8" w14:textId="77777777" w:rsidR="004F4873" w:rsidRDefault="002C4901">
            <w:pPr>
              <w:jc w:val="center"/>
              <w:rPr>
                <w:rFonts w:ascii="Arial" w:hAnsi="Arial"/>
                <w:b/>
                <w:sz w:val="18"/>
                <w:szCs w:val="18"/>
              </w:rPr>
            </w:pPr>
            <w:r>
              <w:rPr>
                <w:rFonts w:ascii="Times New Roman" w:eastAsia="Calibri" w:hAnsi="Times New Roman"/>
                <w:sz w:val="18"/>
                <w:szCs w:val="18"/>
                <w:lang w:val="en-IN"/>
              </w:rPr>
              <w:t>3.93±0.1</w:t>
            </w:r>
            <w:r>
              <w:rPr>
                <w:rFonts w:ascii="Times New Roman" w:eastAsia="Calibri" w:hAnsi="Times New Roman"/>
                <w:sz w:val="18"/>
                <w:szCs w:val="18"/>
                <w:vertAlign w:val="superscript"/>
                <w:lang w:val="en-IN"/>
              </w:rPr>
              <w:t>P</w:t>
            </w:r>
          </w:p>
        </w:tc>
      </w:tr>
      <w:tr w:rsidR="004F4873" w14:paraId="51039756" w14:textId="77777777">
        <w:trPr>
          <w:trHeight w:val="272"/>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5CA295EC"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E5ECA"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76658" w14:textId="77777777" w:rsidR="004F4873" w:rsidRDefault="002C4901">
            <w:pPr>
              <w:jc w:val="center"/>
              <w:rPr>
                <w:rFonts w:ascii="Arial" w:hAnsi="Arial"/>
                <w:b/>
                <w:sz w:val="18"/>
                <w:szCs w:val="18"/>
              </w:rPr>
            </w:pPr>
            <w:r>
              <w:rPr>
                <w:rFonts w:ascii="Times New Roman" w:eastAsia="Calibri" w:hAnsi="Times New Roman"/>
                <w:sz w:val="18"/>
                <w:szCs w:val="18"/>
                <w:lang w:val="en-IN"/>
              </w:rPr>
              <w:t>1.72±0.6</w:t>
            </w:r>
            <w:r>
              <w:rPr>
                <w:rFonts w:ascii="Times New Roman" w:eastAsia="Calibri" w:hAnsi="Times New Roman"/>
                <w:sz w:val="18"/>
                <w:szCs w:val="18"/>
                <w:vertAlign w:val="superscript"/>
                <w:lang w:val="en-IN"/>
              </w:rPr>
              <w:t>b</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DF439" w14:textId="77777777" w:rsidR="004F4873" w:rsidRDefault="002C4901">
            <w:pPr>
              <w:jc w:val="center"/>
              <w:rPr>
                <w:rFonts w:ascii="Arial" w:hAnsi="Arial"/>
                <w:b/>
                <w:sz w:val="18"/>
                <w:szCs w:val="18"/>
              </w:rPr>
            </w:pPr>
            <w:r>
              <w:rPr>
                <w:rFonts w:ascii="Times New Roman" w:eastAsia="Calibri" w:hAnsi="Times New Roman"/>
                <w:sz w:val="18"/>
                <w:szCs w:val="18"/>
                <w:lang w:val="en-IN"/>
              </w:rPr>
              <w:t>1.96±0.2</w:t>
            </w:r>
            <w:r>
              <w:rPr>
                <w:rFonts w:ascii="Times New Roman" w:eastAsia="Calibri" w:hAnsi="Times New Roman"/>
                <w:sz w:val="18"/>
                <w:szCs w:val="18"/>
                <w:vertAlign w:val="superscript"/>
                <w:lang w:val="en-IN"/>
              </w:rPr>
              <w:t>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ECF4C" w14:textId="77777777" w:rsidR="004F4873" w:rsidRDefault="002C4901">
            <w:pPr>
              <w:jc w:val="center"/>
              <w:rPr>
                <w:rFonts w:ascii="Arial" w:hAnsi="Arial"/>
                <w:b/>
                <w:sz w:val="18"/>
                <w:szCs w:val="18"/>
              </w:rPr>
            </w:pPr>
            <w:r>
              <w:rPr>
                <w:rFonts w:ascii="Times New Roman" w:eastAsia="Calibri" w:hAnsi="Times New Roman"/>
                <w:sz w:val="18"/>
                <w:szCs w:val="18"/>
                <w:lang w:val="en-IN"/>
              </w:rPr>
              <w:t>3.07±0.3</w:t>
            </w:r>
            <w:r>
              <w:rPr>
                <w:rFonts w:ascii="Times New Roman" w:eastAsia="Calibri" w:hAnsi="Times New Roman"/>
                <w:sz w:val="18"/>
                <w:szCs w:val="18"/>
                <w:vertAlign w:val="superscript"/>
                <w:lang w:val="en-IN"/>
              </w:rPr>
              <w:t xml:space="preserve"> P</w:t>
            </w:r>
          </w:p>
        </w:tc>
      </w:tr>
      <w:tr w:rsidR="004F4873" w14:paraId="04DB433C" w14:textId="77777777">
        <w:trPr>
          <w:trHeight w:val="272"/>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11D1A5DF"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51782"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3923F" w14:textId="77777777" w:rsidR="004F4873" w:rsidRDefault="002C4901">
            <w:pPr>
              <w:jc w:val="center"/>
              <w:rPr>
                <w:rFonts w:ascii="Arial" w:hAnsi="Arial"/>
                <w:b/>
                <w:sz w:val="18"/>
                <w:szCs w:val="18"/>
              </w:rPr>
            </w:pPr>
            <w:r>
              <w:rPr>
                <w:rFonts w:ascii="Times New Roman" w:eastAsia="Calibri" w:hAnsi="Times New Roman"/>
                <w:sz w:val="18"/>
                <w:szCs w:val="18"/>
                <w:lang w:val="en-IN"/>
              </w:rPr>
              <w:t>1.27±0.2</w:t>
            </w:r>
            <w:r>
              <w:rPr>
                <w:rFonts w:ascii="Times New Roman" w:eastAsia="Calibri" w:hAnsi="Times New Roman"/>
                <w:sz w:val="18"/>
                <w:szCs w:val="18"/>
                <w:vertAlign w:val="superscript"/>
                <w:lang w:val="en-IN"/>
              </w:rPr>
              <w:t>c</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E4152" w14:textId="77777777" w:rsidR="004F4873" w:rsidRDefault="002C4901">
            <w:pPr>
              <w:jc w:val="center"/>
              <w:rPr>
                <w:rFonts w:ascii="Arial" w:hAnsi="Arial"/>
                <w:b/>
                <w:sz w:val="18"/>
                <w:szCs w:val="18"/>
              </w:rPr>
            </w:pPr>
            <w:r>
              <w:rPr>
                <w:rFonts w:ascii="Times New Roman" w:eastAsia="Calibri" w:hAnsi="Times New Roman"/>
                <w:sz w:val="18"/>
                <w:szCs w:val="18"/>
                <w:lang w:val="en-IN"/>
              </w:rPr>
              <w:t>1.54±0.2</w:t>
            </w:r>
            <w:r>
              <w:rPr>
                <w:rFonts w:ascii="Times New Roman" w:eastAsia="Calibri" w:hAnsi="Times New Roman"/>
                <w:sz w:val="18"/>
                <w:szCs w:val="18"/>
                <w:vertAlign w:val="superscript"/>
                <w:lang w:val="en-IN"/>
              </w:rPr>
              <w:t>B</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CB6BD" w14:textId="77777777" w:rsidR="004F4873" w:rsidRDefault="002C4901">
            <w:pPr>
              <w:jc w:val="center"/>
              <w:rPr>
                <w:rFonts w:ascii="Arial" w:hAnsi="Arial"/>
                <w:b/>
                <w:sz w:val="18"/>
                <w:szCs w:val="18"/>
              </w:rPr>
            </w:pPr>
            <w:r>
              <w:rPr>
                <w:rFonts w:ascii="Times New Roman" w:eastAsia="Calibri" w:hAnsi="Times New Roman"/>
                <w:sz w:val="18"/>
                <w:szCs w:val="18"/>
                <w:lang w:val="en-IN"/>
              </w:rPr>
              <w:t>1.70±0.3</w:t>
            </w:r>
            <w:r>
              <w:rPr>
                <w:rFonts w:ascii="Times New Roman" w:eastAsia="Calibri" w:hAnsi="Times New Roman"/>
                <w:sz w:val="18"/>
                <w:szCs w:val="18"/>
                <w:vertAlign w:val="superscript"/>
                <w:lang w:val="en-IN"/>
              </w:rPr>
              <w:t xml:space="preserve"> P</w:t>
            </w:r>
          </w:p>
        </w:tc>
      </w:tr>
      <w:tr w:rsidR="004F4873" w14:paraId="63687FC3" w14:textId="77777777">
        <w:trPr>
          <w:trHeight w:val="201"/>
          <w:jc w:val="center"/>
        </w:trPr>
        <w:tc>
          <w:tcPr>
            <w:tcW w:w="18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F0EB7" w14:textId="77777777" w:rsidR="004F4873" w:rsidRDefault="002C4901">
            <w:pPr>
              <w:jc w:val="center"/>
              <w:rPr>
                <w:rFonts w:ascii="Arial" w:hAnsi="Arial"/>
                <w:b/>
                <w:sz w:val="18"/>
                <w:szCs w:val="18"/>
              </w:rPr>
            </w:pPr>
            <w:r>
              <w:rPr>
                <w:rFonts w:ascii="Times New Roman" w:eastAsia="Calibri" w:hAnsi="Times New Roman"/>
                <w:sz w:val="18"/>
                <w:szCs w:val="18"/>
                <w:lang w:val="en-IN"/>
              </w:rPr>
              <w:t>FCE</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46BFA"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F4C6E" w14:textId="77777777" w:rsidR="004F4873" w:rsidRDefault="002C4901">
            <w:pPr>
              <w:jc w:val="center"/>
              <w:rPr>
                <w:rFonts w:ascii="Arial" w:hAnsi="Arial"/>
                <w:b/>
                <w:sz w:val="18"/>
                <w:szCs w:val="18"/>
              </w:rPr>
            </w:pPr>
            <w:r>
              <w:rPr>
                <w:rFonts w:ascii="Times New Roman" w:eastAsia="Calibri" w:hAnsi="Times New Roman"/>
                <w:sz w:val="18"/>
                <w:szCs w:val="18"/>
                <w:lang w:val="en-IN"/>
              </w:rPr>
              <w:t>0.45±0.06</w:t>
            </w:r>
            <w:r>
              <w:rPr>
                <w:rFonts w:ascii="Times New Roman" w:eastAsia="Calibri" w:hAnsi="Times New Roman"/>
                <w:sz w:val="18"/>
                <w:szCs w:val="18"/>
                <w:vertAlign w:val="superscript"/>
                <w:lang w:val="en-IN"/>
              </w:rPr>
              <w:t>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40667" w14:textId="77777777" w:rsidR="004F4873" w:rsidRDefault="002C4901">
            <w:pPr>
              <w:jc w:val="center"/>
              <w:rPr>
                <w:rFonts w:ascii="Arial" w:hAnsi="Arial"/>
                <w:b/>
                <w:sz w:val="18"/>
                <w:szCs w:val="18"/>
              </w:rPr>
            </w:pPr>
            <w:r>
              <w:rPr>
                <w:rFonts w:ascii="Times New Roman" w:eastAsia="Calibri" w:hAnsi="Times New Roman"/>
                <w:sz w:val="18"/>
                <w:szCs w:val="18"/>
                <w:lang w:val="en-IN"/>
              </w:rPr>
              <w:t>0.31±0.4</w:t>
            </w:r>
            <w:r>
              <w:rPr>
                <w:rFonts w:ascii="Times New Roman" w:eastAsia="Calibri" w:hAnsi="Times New Roman"/>
                <w:sz w:val="18"/>
                <w:szCs w:val="18"/>
                <w:vertAlign w:val="superscript"/>
                <w:lang w:val="en-IN"/>
              </w:rPr>
              <w:t>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69395" w14:textId="77777777" w:rsidR="004F4873" w:rsidRDefault="002C4901">
            <w:pPr>
              <w:jc w:val="center"/>
              <w:rPr>
                <w:rFonts w:ascii="Arial" w:hAnsi="Arial"/>
                <w:b/>
                <w:sz w:val="18"/>
                <w:szCs w:val="18"/>
              </w:rPr>
            </w:pPr>
            <w:r>
              <w:rPr>
                <w:rFonts w:ascii="Times New Roman" w:eastAsia="Calibri" w:hAnsi="Times New Roman"/>
                <w:sz w:val="18"/>
                <w:szCs w:val="18"/>
                <w:lang w:val="en-IN"/>
              </w:rPr>
              <w:t>0.25±0.1</w:t>
            </w:r>
            <w:r>
              <w:rPr>
                <w:rFonts w:ascii="Times New Roman" w:eastAsia="Calibri" w:hAnsi="Times New Roman"/>
                <w:sz w:val="18"/>
                <w:szCs w:val="18"/>
                <w:vertAlign w:val="superscript"/>
                <w:lang w:val="en-IN"/>
              </w:rPr>
              <w:t xml:space="preserve"> P</w:t>
            </w:r>
          </w:p>
        </w:tc>
      </w:tr>
      <w:tr w:rsidR="004F4873" w14:paraId="4EFAA8C1" w14:textId="77777777">
        <w:trPr>
          <w:trHeight w:val="240"/>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3AFA445E"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D8C89"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53B10" w14:textId="77777777" w:rsidR="004F4873" w:rsidRDefault="002C4901">
            <w:pPr>
              <w:jc w:val="center"/>
              <w:rPr>
                <w:rFonts w:ascii="Arial" w:hAnsi="Arial"/>
                <w:b/>
                <w:sz w:val="18"/>
                <w:szCs w:val="18"/>
              </w:rPr>
            </w:pPr>
            <w:r>
              <w:rPr>
                <w:rFonts w:ascii="Times New Roman" w:eastAsia="Calibri" w:hAnsi="Times New Roman"/>
                <w:sz w:val="18"/>
                <w:szCs w:val="18"/>
                <w:lang w:val="en-IN"/>
              </w:rPr>
              <w:t>0.57±0.02</w:t>
            </w:r>
            <w:r>
              <w:rPr>
                <w:rFonts w:ascii="Times New Roman" w:eastAsia="Calibri" w:hAnsi="Times New Roman"/>
                <w:sz w:val="18"/>
                <w:szCs w:val="18"/>
                <w:vertAlign w:val="superscript"/>
                <w:lang w:val="en-IN"/>
              </w:rPr>
              <w:t xml:space="preserve"> b</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79FBD" w14:textId="77777777" w:rsidR="004F4873" w:rsidRDefault="002C4901">
            <w:pPr>
              <w:jc w:val="center"/>
              <w:rPr>
                <w:rFonts w:ascii="Arial" w:hAnsi="Arial"/>
                <w:b/>
                <w:sz w:val="18"/>
                <w:szCs w:val="18"/>
              </w:rPr>
            </w:pPr>
            <w:r>
              <w:rPr>
                <w:rFonts w:ascii="Times New Roman" w:eastAsia="Calibri" w:hAnsi="Times New Roman"/>
                <w:sz w:val="18"/>
                <w:szCs w:val="18"/>
                <w:lang w:val="en-IN"/>
              </w:rPr>
              <w:t>0.51±0.1</w:t>
            </w:r>
            <w:r>
              <w:rPr>
                <w:rFonts w:ascii="Times New Roman" w:eastAsia="Calibri" w:hAnsi="Times New Roman"/>
                <w:sz w:val="18"/>
                <w:szCs w:val="18"/>
                <w:vertAlign w:val="superscript"/>
                <w:lang w:val="en-IN"/>
              </w:rPr>
              <w:t xml:space="preserve"> 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80813" w14:textId="77777777" w:rsidR="004F4873" w:rsidRDefault="002C4901">
            <w:pPr>
              <w:jc w:val="center"/>
              <w:rPr>
                <w:rFonts w:ascii="Arial" w:hAnsi="Arial"/>
                <w:b/>
                <w:sz w:val="18"/>
                <w:szCs w:val="18"/>
              </w:rPr>
            </w:pPr>
            <w:r>
              <w:rPr>
                <w:rFonts w:ascii="Times New Roman" w:eastAsia="Calibri" w:hAnsi="Times New Roman"/>
                <w:sz w:val="18"/>
                <w:szCs w:val="18"/>
                <w:lang w:val="en-IN"/>
              </w:rPr>
              <w:t>0.32±0.1</w:t>
            </w:r>
            <w:r>
              <w:rPr>
                <w:rFonts w:ascii="Times New Roman" w:eastAsia="Calibri" w:hAnsi="Times New Roman"/>
                <w:sz w:val="18"/>
                <w:szCs w:val="18"/>
                <w:vertAlign w:val="superscript"/>
                <w:lang w:val="en-IN"/>
              </w:rPr>
              <w:t xml:space="preserve"> Q</w:t>
            </w:r>
          </w:p>
        </w:tc>
      </w:tr>
      <w:tr w:rsidR="004F4873" w14:paraId="541D5FF0" w14:textId="77777777">
        <w:trPr>
          <w:trHeight w:val="240"/>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0128C484"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7AB9C"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F473C" w14:textId="77777777" w:rsidR="004F4873" w:rsidRDefault="002C4901">
            <w:pPr>
              <w:jc w:val="center"/>
              <w:rPr>
                <w:rFonts w:ascii="Arial" w:hAnsi="Arial"/>
                <w:b/>
                <w:sz w:val="18"/>
                <w:szCs w:val="18"/>
              </w:rPr>
            </w:pPr>
            <w:r>
              <w:rPr>
                <w:rFonts w:ascii="Times New Roman" w:eastAsia="Calibri" w:hAnsi="Times New Roman"/>
                <w:sz w:val="18"/>
                <w:szCs w:val="18"/>
                <w:lang w:val="en-IN"/>
              </w:rPr>
              <w:t>0.78±0.02</w:t>
            </w:r>
            <w:r>
              <w:rPr>
                <w:rFonts w:ascii="Times New Roman" w:eastAsia="Calibri" w:hAnsi="Times New Roman"/>
                <w:sz w:val="18"/>
                <w:szCs w:val="18"/>
                <w:vertAlign w:val="superscript"/>
                <w:lang w:val="en-IN"/>
              </w:rPr>
              <w:t xml:space="preserve"> b</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C7351" w14:textId="77777777" w:rsidR="004F4873" w:rsidRDefault="002C4901">
            <w:pPr>
              <w:jc w:val="center"/>
              <w:rPr>
                <w:rFonts w:ascii="Arial" w:hAnsi="Arial"/>
                <w:b/>
                <w:sz w:val="18"/>
                <w:szCs w:val="18"/>
              </w:rPr>
            </w:pPr>
            <w:r>
              <w:rPr>
                <w:rFonts w:ascii="Times New Roman" w:eastAsia="Calibri" w:hAnsi="Times New Roman"/>
                <w:sz w:val="18"/>
                <w:szCs w:val="18"/>
                <w:lang w:val="en-IN"/>
              </w:rPr>
              <w:t>0.64±0.4</w:t>
            </w:r>
            <w:r>
              <w:rPr>
                <w:rFonts w:ascii="Times New Roman" w:eastAsia="Calibri" w:hAnsi="Times New Roman"/>
                <w:sz w:val="18"/>
                <w:szCs w:val="18"/>
                <w:vertAlign w:val="superscript"/>
                <w:lang w:val="en-IN"/>
              </w:rPr>
              <w:t xml:space="preserve"> B</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0DA8E" w14:textId="77777777" w:rsidR="004F4873" w:rsidRDefault="002C4901">
            <w:pPr>
              <w:jc w:val="center"/>
              <w:rPr>
                <w:rFonts w:ascii="Arial" w:hAnsi="Arial"/>
                <w:b/>
                <w:sz w:val="18"/>
                <w:szCs w:val="18"/>
              </w:rPr>
            </w:pPr>
            <w:r>
              <w:rPr>
                <w:rFonts w:ascii="Times New Roman" w:eastAsia="Calibri" w:hAnsi="Times New Roman"/>
                <w:sz w:val="18"/>
                <w:szCs w:val="18"/>
                <w:lang w:val="en-IN"/>
              </w:rPr>
              <w:t>0.58±0.2</w:t>
            </w:r>
            <w:r>
              <w:rPr>
                <w:rFonts w:ascii="Times New Roman" w:eastAsia="Calibri" w:hAnsi="Times New Roman"/>
                <w:sz w:val="18"/>
                <w:szCs w:val="18"/>
                <w:vertAlign w:val="superscript"/>
                <w:lang w:val="en-IN"/>
              </w:rPr>
              <w:t xml:space="preserve"> P</w:t>
            </w:r>
          </w:p>
        </w:tc>
      </w:tr>
      <w:tr w:rsidR="004F4873" w14:paraId="34A317AF" w14:textId="77777777">
        <w:trPr>
          <w:trHeight w:val="213"/>
          <w:jc w:val="center"/>
        </w:trPr>
        <w:tc>
          <w:tcPr>
            <w:tcW w:w="18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658AD" w14:textId="77777777" w:rsidR="004F4873" w:rsidRDefault="002C4901">
            <w:pPr>
              <w:jc w:val="center"/>
              <w:rPr>
                <w:rFonts w:ascii="Arial" w:hAnsi="Arial"/>
                <w:b/>
                <w:sz w:val="18"/>
                <w:szCs w:val="18"/>
              </w:rPr>
            </w:pPr>
            <w:r>
              <w:rPr>
                <w:rFonts w:ascii="Times New Roman" w:eastAsia="Calibri" w:hAnsi="Times New Roman"/>
                <w:sz w:val="18"/>
                <w:szCs w:val="18"/>
                <w:lang w:val="en-IN"/>
              </w:rPr>
              <w:t>PER</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49A32"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C5697" w14:textId="77777777" w:rsidR="004F4873" w:rsidRDefault="002C4901">
            <w:pPr>
              <w:jc w:val="center"/>
              <w:rPr>
                <w:rFonts w:ascii="Arial" w:hAnsi="Arial"/>
                <w:b/>
                <w:sz w:val="18"/>
                <w:szCs w:val="18"/>
              </w:rPr>
            </w:pPr>
            <w:r>
              <w:rPr>
                <w:rFonts w:ascii="Times New Roman" w:eastAsia="Calibri" w:hAnsi="Times New Roman"/>
                <w:sz w:val="18"/>
                <w:szCs w:val="18"/>
                <w:lang w:val="en-IN"/>
              </w:rPr>
              <w:t>2.23±0.2</w:t>
            </w:r>
            <w:r>
              <w:rPr>
                <w:rFonts w:ascii="Times New Roman" w:eastAsia="Calibri" w:hAnsi="Times New Roman"/>
                <w:sz w:val="18"/>
                <w:szCs w:val="18"/>
                <w:vertAlign w:val="superscript"/>
                <w:lang w:val="en-IN"/>
              </w:rPr>
              <w:t xml:space="preserve"> 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C44F" w14:textId="77777777" w:rsidR="004F4873" w:rsidRDefault="002C4901">
            <w:pPr>
              <w:jc w:val="center"/>
              <w:rPr>
                <w:rFonts w:ascii="Arial" w:hAnsi="Arial"/>
                <w:b/>
                <w:sz w:val="18"/>
                <w:szCs w:val="18"/>
              </w:rPr>
            </w:pPr>
            <w:r>
              <w:rPr>
                <w:rFonts w:ascii="Times New Roman" w:eastAsia="Calibri" w:hAnsi="Times New Roman"/>
                <w:sz w:val="18"/>
                <w:szCs w:val="18"/>
                <w:lang w:val="en-IN"/>
              </w:rPr>
              <w:t>1.83±0.4</w:t>
            </w:r>
            <w:r>
              <w:rPr>
                <w:rFonts w:ascii="Times New Roman" w:eastAsia="Calibri" w:hAnsi="Times New Roman"/>
                <w:sz w:val="18"/>
                <w:szCs w:val="18"/>
                <w:vertAlign w:val="superscript"/>
                <w:lang w:val="en-IN"/>
              </w:rPr>
              <w:t xml:space="preserve"> 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E24A" w14:textId="77777777" w:rsidR="004F4873" w:rsidRDefault="002C4901">
            <w:pPr>
              <w:jc w:val="center"/>
              <w:rPr>
                <w:rFonts w:ascii="Arial" w:hAnsi="Arial"/>
                <w:b/>
                <w:sz w:val="18"/>
                <w:szCs w:val="18"/>
              </w:rPr>
            </w:pPr>
            <w:r>
              <w:rPr>
                <w:rFonts w:ascii="Times New Roman" w:eastAsia="Calibri" w:hAnsi="Times New Roman"/>
                <w:sz w:val="18"/>
                <w:szCs w:val="18"/>
                <w:lang w:val="en-IN"/>
              </w:rPr>
              <w:t>1.05±0.1</w:t>
            </w:r>
            <w:r>
              <w:rPr>
                <w:rFonts w:ascii="Times New Roman" w:eastAsia="Calibri" w:hAnsi="Times New Roman"/>
                <w:sz w:val="18"/>
                <w:szCs w:val="18"/>
                <w:vertAlign w:val="superscript"/>
                <w:lang w:val="en-IN"/>
              </w:rPr>
              <w:t xml:space="preserve"> P</w:t>
            </w:r>
          </w:p>
        </w:tc>
      </w:tr>
      <w:tr w:rsidR="004F4873" w14:paraId="7A369F2D" w14:textId="77777777">
        <w:trPr>
          <w:trHeight w:val="234"/>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6FD07681"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F1C37"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A2C70" w14:textId="77777777" w:rsidR="004F4873" w:rsidRDefault="002C4901">
            <w:pPr>
              <w:jc w:val="center"/>
              <w:rPr>
                <w:rFonts w:ascii="Arial" w:hAnsi="Arial"/>
                <w:b/>
                <w:sz w:val="18"/>
                <w:szCs w:val="18"/>
              </w:rPr>
            </w:pPr>
            <w:r>
              <w:rPr>
                <w:rFonts w:ascii="Times New Roman" w:eastAsia="Calibri" w:hAnsi="Times New Roman"/>
                <w:sz w:val="18"/>
                <w:szCs w:val="18"/>
                <w:lang w:val="en-IN"/>
              </w:rPr>
              <w:t>2.44±0.3</w:t>
            </w:r>
            <w:r>
              <w:rPr>
                <w:rFonts w:ascii="Times New Roman" w:eastAsia="Calibri" w:hAnsi="Times New Roman"/>
                <w:sz w:val="18"/>
                <w:szCs w:val="18"/>
                <w:vertAlign w:val="superscript"/>
                <w:lang w:val="en-IN"/>
              </w:rPr>
              <w:t xml:space="preserve"> 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7C950" w14:textId="77777777" w:rsidR="004F4873" w:rsidRDefault="002C4901">
            <w:pPr>
              <w:jc w:val="center"/>
              <w:rPr>
                <w:rFonts w:ascii="Arial" w:hAnsi="Arial"/>
                <w:b/>
                <w:sz w:val="18"/>
                <w:szCs w:val="18"/>
              </w:rPr>
            </w:pPr>
            <w:r>
              <w:rPr>
                <w:rFonts w:ascii="Times New Roman" w:eastAsia="Calibri" w:hAnsi="Times New Roman"/>
                <w:sz w:val="18"/>
                <w:szCs w:val="18"/>
                <w:lang w:val="en-IN"/>
              </w:rPr>
              <w:t>1.96±0.1</w:t>
            </w:r>
            <w:r>
              <w:rPr>
                <w:rFonts w:ascii="Times New Roman" w:eastAsia="Calibri" w:hAnsi="Times New Roman"/>
                <w:sz w:val="18"/>
                <w:szCs w:val="18"/>
                <w:vertAlign w:val="superscript"/>
                <w:lang w:val="en-IN"/>
              </w:rPr>
              <w:t xml:space="preserve"> 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2C905" w14:textId="77777777" w:rsidR="004F4873" w:rsidRDefault="002C4901">
            <w:pPr>
              <w:jc w:val="center"/>
              <w:rPr>
                <w:rFonts w:ascii="Arial" w:hAnsi="Arial"/>
                <w:b/>
                <w:sz w:val="18"/>
                <w:szCs w:val="18"/>
              </w:rPr>
            </w:pPr>
            <w:r>
              <w:rPr>
                <w:rFonts w:ascii="Times New Roman" w:eastAsia="Calibri" w:hAnsi="Times New Roman"/>
                <w:sz w:val="18"/>
                <w:szCs w:val="18"/>
                <w:lang w:val="en-IN"/>
              </w:rPr>
              <w:t>1.51±0.1</w:t>
            </w:r>
            <w:r>
              <w:rPr>
                <w:rFonts w:ascii="Times New Roman" w:eastAsia="Calibri" w:hAnsi="Times New Roman"/>
                <w:sz w:val="18"/>
                <w:szCs w:val="18"/>
                <w:vertAlign w:val="superscript"/>
                <w:lang w:val="en-IN"/>
              </w:rPr>
              <w:t xml:space="preserve"> Q</w:t>
            </w:r>
          </w:p>
        </w:tc>
      </w:tr>
      <w:tr w:rsidR="004F4873" w14:paraId="2D8B1F1A" w14:textId="77777777">
        <w:trPr>
          <w:trHeight w:val="234"/>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1C8583CD"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E0C17"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2A62C" w14:textId="77777777" w:rsidR="004F4873" w:rsidRDefault="002C4901">
            <w:pPr>
              <w:jc w:val="center"/>
              <w:rPr>
                <w:rFonts w:ascii="Arial" w:hAnsi="Arial"/>
                <w:b/>
                <w:sz w:val="18"/>
                <w:szCs w:val="18"/>
              </w:rPr>
            </w:pPr>
            <w:r>
              <w:rPr>
                <w:rFonts w:ascii="Times New Roman" w:eastAsia="Calibri" w:hAnsi="Times New Roman"/>
                <w:sz w:val="18"/>
                <w:szCs w:val="18"/>
                <w:lang w:val="en-IN"/>
              </w:rPr>
              <w:t>2.70±0.3</w:t>
            </w:r>
            <w:r>
              <w:rPr>
                <w:rFonts w:ascii="Times New Roman" w:eastAsia="Calibri" w:hAnsi="Times New Roman"/>
                <w:sz w:val="18"/>
                <w:szCs w:val="18"/>
                <w:vertAlign w:val="superscript"/>
                <w:lang w:val="en-IN"/>
              </w:rPr>
              <w:t xml:space="preserve"> b</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DBB53" w14:textId="77777777" w:rsidR="004F4873" w:rsidRDefault="002C4901">
            <w:pPr>
              <w:jc w:val="center"/>
              <w:rPr>
                <w:rFonts w:ascii="Arial" w:hAnsi="Arial"/>
                <w:b/>
                <w:sz w:val="18"/>
                <w:szCs w:val="18"/>
              </w:rPr>
            </w:pPr>
            <w:r>
              <w:rPr>
                <w:rFonts w:ascii="Times New Roman" w:eastAsia="Calibri" w:hAnsi="Times New Roman"/>
                <w:sz w:val="18"/>
                <w:szCs w:val="18"/>
                <w:lang w:val="en-IN"/>
              </w:rPr>
              <w:t>2.32±0.4</w:t>
            </w:r>
            <w:r>
              <w:rPr>
                <w:rFonts w:ascii="Times New Roman" w:eastAsia="Calibri" w:hAnsi="Times New Roman"/>
                <w:sz w:val="18"/>
                <w:szCs w:val="18"/>
                <w:vertAlign w:val="superscript"/>
                <w:lang w:val="en-IN"/>
              </w:rPr>
              <w:t xml:space="preserve"> 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85B16" w14:textId="77777777" w:rsidR="004F4873" w:rsidRDefault="002C4901">
            <w:pPr>
              <w:jc w:val="center"/>
              <w:rPr>
                <w:rFonts w:ascii="Arial" w:hAnsi="Arial"/>
                <w:b/>
                <w:sz w:val="18"/>
                <w:szCs w:val="18"/>
              </w:rPr>
            </w:pPr>
            <w:r>
              <w:rPr>
                <w:rFonts w:ascii="Times New Roman" w:eastAsia="Calibri" w:hAnsi="Times New Roman"/>
                <w:sz w:val="18"/>
                <w:szCs w:val="18"/>
                <w:lang w:val="en-IN"/>
              </w:rPr>
              <w:t>2.12±0.2</w:t>
            </w:r>
            <w:r>
              <w:rPr>
                <w:rFonts w:ascii="Times New Roman" w:eastAsia="Calibri" w:hAnsi="Times New Roman"/>
                <w:sz w:val="18"/>
                <w:szCs w:val="18"/>
                <w:vertAlign w:val="superscript"/>
                <w:lang w:val="en-IN"/>
              </w:rPr>
              <w:t xml:space="preserve"> P</w:t>
            </w:r>
          </w:p>
        </w:tc>
      </w:tr>
      <w:tr w:rsidR="004F4873" w14:paraId="7A7F9440" w14:textId="77777777">
        <w:trPr>
          <w:trHeight w:val="83"/>
          <w:jc w:val="center"/>
        </w:trPr>
        <w:tc>
          <w:tcPr>
            <w:tcW w:w="18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5068E" w14:textId="77777777" w:rsidR="004F4873" w:rsidRDefault="002C4901">
            <w:pPr>
              <w:jc w:val="center"/>
              <w:rPr>
                <w:rFonts w:ascii="Arial" w:hAnsi="Arial"/>
                <w:b/>
                <w:sz w:val="18"/>
                <w:szCs w:val="18"/>
              </w:rPr>
            </w:pPr>
            <w:r>
              <w:rPr>
                <w:rFonts w:ascii="Times New Roman" w:eastAsia="Calibri" w:hAnsi="Times New Roman"/>
                <w:sz w:val="18"/>
                <w:szCs w:val="18"/>
                <w:lang w:val="en-IN"/>
              </w:rPr>
              <w:t>LER</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954D3"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D0F5" w14:textId="77777777" w:rsidR="004F4873" w:rsidRDefault="002C4901">
            <w:pPr>
              <w:jc w:val="center"/>
              <w:rPr>
                <w:rFonts w:ascii="Arial" w:hAnsi="Arial"/>
                <w:b/>
                <w:sz w:val="18"/>
                <w:szCs w:val="18"/>
              </w:rPr>
            </w:pPr>
            <w:r>
              <w:rPr>
                <w:rFonts w:ascii="Times New Roman" w:eastAsia="Calibri" w:hAnsi="Times New Roman"/>
                <w:sz w:val="18"/>
                <w:szCs w:val="18"/>
                <w:lang w:val="en-IN"/>
              </w:rPr>
              <w:t>7.14±0.6</w:t>
            </w:r>
            <w:r>
              <w:rPr>
                <w:rFonts w:ascii="Times New Roman" w:eastAsia="Calibri" w:hAnsi="Times New Roman"/>
                <w:sz w:val="18"/>
                <w:szCs w:val="18"/>
                <w:vertAlign w:val="superscript"/>
                <w:lang w:val="en-IN"/>
              </w:rPr>
              <w:t xml:space="preserve"> 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82A95" w14:textId="77777777" w:rsidR="004F4873" w:rsidRDefault="002C4901">
            <w:pPr>
              <w:jc w:val="center"/>
              <w:rPr>
                <w:rFonts w:ascii="Arial" w:hAnsi="Arial"/>
                <w:b/>
                <w:sz w:val="18"/>
                <w:szCs w:val="18"/>
              </w:rPr>
            </w:pPr>
            <w:r>
              <w:rPr>
                <w:rFonts w:ascii="Times New Roman" w:eastAsia="Calibri" w:hAnsi="Times New Roman"/>
                <w:sz w:val="18"/>
                <w:szCs w:val="18"/>
                <w:lang w:val="en-IN"/>
              </w:rPr>
              <w:t>5.87±1.3</w:t>
            </w:r>
            <w:r>
              <w:rPr>
                <w:rFonts w:ascii="Times New Roman" w:eastAsia="Calibri" w:hAnsi="Times New Roman"/>
                <w:sz w:val="18"/>
                <w:szCs w:val="18"/>
                <w:vertAlign w:val="superscript"/>
                <w:lang w:val="en-IN"/>
              </w:rPr>
              <w:t xml:space="preserve"> 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67F54" w14:textId="77777777" w:rsidR="004F4873" w:rsidRDefault="002C4901">
            <w:pPr>
              <w:jc w:val="center"/>
              <w:rPr>
                <w:rFonts w:ascii="Arial" w:hAnsi="Arial"/>
                <w:b/>
                <w:sz w:val="18"/>
                <w:szCs w:val="18"/>
              </w:rPr>
            </w:pPr>
            <w:r>
              <w:rPr>
                <w:rFonts w:ascii="Times New Roman" w:eastAsia="Calibri" w:hAnsi="Times New Roman"/>
                <w:sz w:val="18"/>
                <w:szCs w:val="18"/>
                <w:lang w:val="en-IN"/>
              </w:rPr>
              <w:t>3.36±0.4</w:t>
            </w:r>
            <w:r>
              <w:rPr>
                <w:rFonts w:ascii="Times New Roman" w:eastAsia="Calibri" w:hAnsi="Times New Roman"/>
                <w:sz w:val="18"/>
                <w:szCs w:val="18"/>
                <w:vertAlign w:val="superscript"/>
                <w:lang w:val="en-IN"/>
              </w:rPr>
              <w:t xml:space="preserve"> P</w:t>
            </w:r>
          </w:p>
        </w:tc>
      </w:tr>
      <w:tr w:rsidR="004F4873" w14:paraId="2E840CBA" w14:textId="77777777">
        <w:trPr>
          <w:trHeight w:val="306"/>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0B675A2F"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B652A"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4B68D" w14:textId="77777777" w:rsidR="004F4873" w:rsidRDefault="002C4901">
            <w:pPr>
              <w:jc w:val="center"/>
              <w:rPr>
                <w:rFonts w:ascii="Arial" w:hAnsi="Arial"/>
                <w:b/>
                <w:sz w:val="18"/>
                <w:szCs w:val="18"/>
              </w:rPr>
            </w:pPr>
            <w:r>
              <w:rPr>
                <w:rFonts w:ascii="Times New Roman" w:eastAsia="Calibri" w:hAnsi="Times New Roman"/>
                <w:sz w:val="18"/>
                <w:szCs w:val="18"/>
                <w:lang w:val="en-IN"/>
              </w:rPr>
              <w:t>7.82±1.2</w:t>
            </w:r>
            <w:r>
              <w:rPr>
                <w:rFonts w:ascii="Times New Roman" w:eastAsia="Calibri" w:hAnsi="Times New Roman"/>
                <w:sz w:val="18"/>
                <w:szCs w:val="18"/>
                <w:vertAlign w:val="superscript"/>
                <w:lang w:val="en-IN"/>
              </w:rPr>
              <w:t xml:space="preserve"> a</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C2533" w14:textId="77777777" w:rsidR="004F4873" w:rsidRDefault="002C4901">
            <w:pPr>
              <w:jc w:val="center"/>
              <w:rPr>
                <w:rFonts w:ascii="Arial" w:hAnsi="Arial"/>
                <w:b/>
                <w:sz w:val="18"/>
                <w:szCs w:val="18"/>
              </w:rPr>
            </w:pPr>
            <w:r>
              <w:rPr>
                <w:rFonts w:ascii="Times New Roman" w:eastAsia="Calibri" w:hAnsi="Times New Roman"/>
                <w:sz w:val="18"/>
                <w:szCs w:val="18"/>
                <w:lang w:val="en-IN"/>
              </w:rPr>
              <w:t>6.28±0.5</w:t>
            </w:r>
            <w:r>
              <w:rPr>
                <w:rFonts w:ascii="Times New Roman" w:eastAsia="Calibri" w:hAnsi="Times New Roman"/>
                <w:sz w:val="18"/>
                <w:szCs w:val="18"/>
                <w:vertAlign w:val="superscript"/>
                <w:lang w:val="en-IN"/>
              </w:rPr>
              <w:t xml:space="preserve"> A</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BF789" w14:textId="77777777" w:rsidR="004F4873" w:rsidRDefault="002C4901">
            <w:pPr>
              <w:jc w:val="center"/>
              <w:rPr>
                <w:rFonts w:ascii="Arial" w:hAnsi="Arial"/>
                <w:b/>
                <w:sz w:val="18"/>
                <w:szCs w:val="18"/>
              </w:rPr>
            </w:pPr>
            <w:r>
              <w:rPr>
                <w:rFonts w:ascii="Times New Roman" w:eastAsia="Calibri" w:hAnsi="Times New Roman"/>
                <w:sz w:val="18"/>
                <w:szCs w:val="18"/>
                <w:lang w:val="en-IN"/>
              </w:rPr>
              <w:t>4.83±0.4</w:t>
            </w:r>
            <w:r>
              <w:rPr>
                <w:rFonts w:ascii="Times New Roman" w:eastAsia="Calibri" w:hAnsi="Times New Roman"/>
                <w:sz w:val="18"/>
                <w:szCs w:val="18"/>
                <w:vertAlign w:val="superscript"/>
                <w:lang w:val="en-IN"/>
              </w:rPr>
              <w:t>Q</w:t>
            </w:r>
          </w:p>
        </w:tc>
      </w:tr>
      <w:tr w:rsidR="004F4873" w14:paraId="4DD572BC" w14:textId="77777777">
        <w:trPr>
          <w:trHeight w:val="205"/>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1AE8F9C3"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27E89"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D3FAA" w14:textId="77777777" w:rsidR="004F4873" w:rsidRDefault="002C4901">
            <w:pPr>
              <w:jc w:val="center"/>
              <w:rPr>
                <w:rFonts w:ascii="Arial" w:hAnsi="Arial"/>
                <w:b/>
                <w:sz w:val="18"/>
                <w:szCs w:val="18"/>
              </w:rPr>
            </w:pPr>
            <w:r>
              <w:rPr>
                <w:rFonts w:ascii="Times New Roman" w:eastAsia="Calibri" w:hAnsi="Times New Roman"/>
                <w:sz w:val="18"/>
                <w:szCs w:val="18"/>
                <w:lang w:val="en-IN"/>
              </w:rPr>
              <w:t>8.64±1.2</w:t>
            </w:r>
            <w:r>
              <w:rPr>
                <w:rFonts w:ascii="Times New Roman" w:eastAsia="Calibri" w:hAnsi="Times New Roman"/>
                <w:sz w:val="18"/>
                <w:szCs w:val="18"/>
                <w:vertAlign w:val="superscript"/>
                <w:lang w:val="en-IN"/>
              </w:rPr>
              <w:t>b</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3D4" w14:textId="77777777" w:rsidR="004F4873" w:rsidRDefault="002C4901">
            <w:pPr>
              <w:jc w:val="center"/>
              <w:rPr>
                <w:rFonts w:ascii="Arial" w:hAnsi="Arial"/>
                <w:b/>
                <w:sz w:val="18"/>
                <w:szCs w:val="18"/>
              </w:rPr>
            </w:pPr>
            <w:r>
              <w:rPr>
                <w:rFonts w:ascii="Times New Roman" w:eastAsia="Calibri" w:hAnsi="Times New Roman"/>
                <w:sz w:val="18"/>
                <w:szCs w:val="18"/>
                <w:lang w:val="en-IN"/>
              </w:rPr>
              <w:t>6.48±0.4</w:t>
            </w:r>
            <w:r>
              <w:rPr>
                <w:rFonts w:ascii="Times New Roman" w:eastAsia="Calibri" w:hAnsi="Times New Roman"/>
                <w:sz w:val="18"/>
                <w:szCs w:val="18"/>
                <w:vertAlign w:val="superscript"/>
                <w:lang w:val="en-IN"/>
              </w:rPr>
              <w:t>B</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59944" w14:textId="77777777" w:rsidR="004F4873" w:rsidRDefault="002C4901">
            <w:pPr>
              <w:jc w:val="center"/>
              <w:rPr>
                <w:rFonts w:ascii="Arial" w:hAnsi="Arial"/>
                <w:b/>
                <w:sz w:val="18"/>
                <w:szCs w:val="18"/>
              </w:rPr>
            </w:pPr>
            <w:r>
              <w:rPr>
                <w:rFonts w:ascii="Times New Roman" w:eastAsia="Calibri" w:hAnsi="Times New Roman"/>
                <w:sz w:val="18"/>
                <w:szCs w:val="18"/>
                <w:lang w:val="en-IN"/>
              </w:rPr>
              <w:t>6.80±0.8</w:t>
            </w:r>
            <w:r>
              <w:rPr>
                <w:rFonts w:ascii="Times New Roman" w:eastAsia="Calibri" w:hAnsi="Times New Roman"/>
                <w:sz w:val="18"/>
                <w:szCs w:val="18"/>
                <w:vertAlign w:val="superscript"/>
                <w:lang w:val="en-IN"/>
              </w:rPr>
              <w:t xml:space="preserve"> P</w:t>
            </w:r>
          </w:p>
        </w:tc>
      </w:tr>
      <w:tr w:rsidR="004F4873" w14:paraId="7C0EB073" w14:textId="77777777">
        <w:trPr>
          <w:trHeight w:val="209"/>
          <w:jc w:val="center"/>
        </w:trPr>
        <w:tc>
          <w:tcPr>
            <w:tcW w:w="18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F7682" w14:textId="77777777" w:rsidR="004F4873" w:rsidRDefault="002C4901">
            <w:pPr>
              <w:jc w:val="center"/>
              <w:rPr>
                <w:rFonts w:ascii="Arial" w:hAnsi="Arial"/>
                <w:b/>
                <w:sz w:val="18"/>
                <w:szCs w:val="18"/>
              </w:rPr>
            </w:pPr>
            <w:r>
              <w:rPr>
                <w:rFonts w:ascii="Times New Roman" w:eastAsia="Calibri" w:hAnsi="Times New Roman"/>
                <w:sz w:val="18"/>
                <w:szCs w:val="18"/>
                <w:lang w:val="en-IN"/>
              </w:rPr>
              <w:t>Survival (%)</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21565" w14:textId="77777777" w:rsidR="004F4873" w:rsidRDefault="002C4901">
            <w:pPr>
              <w:jc w:val="center"/>
              <w:rPr>
                <w:rFonts w:ascii="Arial" w:hAnsi="Arial"/>
                <w:b/>
                <w:sz w:val="18"/>
                <w:szCs w:val="18"/>
              </w:rPr>
            </w:pPr>
            <w:r>
              <w:rPr>
                <w:rFonts w:ascii="Times New Roman" w:eastAsia="Calibri" w:hAnsi="Times New Roman"/>
                <w:sz w:val="18"/>
                <w:szCs w:val="18"/>
                <w:lang w:val="en-IN"/>
              </w:rPr>
              <w:t>T1</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B9810" w14:textId="77777777" w:rsidR="004F4873" w:rsidRDefault="002C4901">
            <w:pPr>
              <w:jc w:val="center"/>
              <w:rPr>
                <w:rFonts w:ascii="Arial" w:hAnsi="Arial"/>
                <w:b/>
                <w:sz w:val="18"/>
                <w:szCs w:val="18"/>
              </w:rPr>
            </w:pPr>
            <w:r>
              <w:rPr>
                <w:rFonts w:ascii="Times New Roman" w:eastAsia="Calibri" w:hAnsi="Times New Roman"/>
                <w:sz w:val="18"/>
                <w:szCs w:val="18"/>
                <w:lang w:val="en-IN"/>
              </w:rPr>
              <w:t>72.5</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6584" w14:textId="77777777" w:rsidR="004F4873" w:rsidRDefault="002C4901">
            <w:pPr>
              <w:jc w:val="center"/>
              <w:rPr>
                <w:rFonts w:ascii="Arial" w:hAnsi="Arial"/>
                <w:b/>
                <w:sz w:val="18"/>
                <w:szCs w:val="18"/>
              </w:rPr>
            </w:pPr>
            <w:r>
              <w:rPr>
                <w:rFonts w:ascii="Times New Roman" w:eastAsia="Calibri" w:hAnsi="Times New Roman"/>
                <w:sz w:val="18"/>
                <w:szCs w:val="18"/>
                <w:lang w:val="en-IN"/>
              </w:rPr>
              <w:t>67</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472A2" w14:textId="77777777" w:rsidR="004F4873" w:rsidRDefault="002C4901">
            <w:pPr>
              <w:jc w:val="center"/>
              <w:rPr>
                <w:rFonts w:ascii="Arial" w:hAnsi="Arial"/>
                <w:b/>
                <w:sz w:val="18"/>
                <w:szCs w:val="18"/>
              </w:rPr>
            </w:pPr>
            <w:r>
              <w:rPr>
                <w:rFonts w:ascii="Times New Roman" w:eastAsia="Calibri" w:hAnsi="Times New Roman"/>
                <w:sz w:val="18"/>
                <w:szCs w:val="18"/>
                <w:lang w:val="en-IN"/>
              </w:rPr>
              <w:t>66</w:t>
            </w:r>
          </w:p>
        </w:tc>
      </w:tr>
      <w:tr w:rsidR="004F4873" w14:paraId="1571D87D" w14:textId="77777777">
        <w:trPr>
          <w:trHeight w:val="253"/>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5A9438CB"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397E5" w14:textId="77777777" w:rsidR="004F4873" w:rsidRDefault="002C4901">
            <w:pPr>
              <w:jc w:val="center"/>
              <w:rPr>
                <w:rFonts w:ascii="Arial" w:hAnsi="Arial"/>
                <w:b/>
                <w:sz w:val="18"/>
                <w:szCs w:val="18"/>
              </w:rPr>
            </w:pPr>
            <w:r>
              <w:rPr>
                <w:rFonts w:ascii="Times New Roman" w:eastAsia="Calibri" w:hAnsi="Times New Roman"/>
                <w:sz w:val="18"/>
                <w:szCs w:val="18"/>
                <w:lang w:val="en-IN"/>
              </w:rPr>
              <w:t>T2</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6DEFE" w14:textId="77777777" w:rsidR="004F4873" w:rsidRDefault="002C4901">
            <w:pPr>
              <w:jc w:val="center"/>
              <w:rPr>
                <w:rFonts w:ascii="Arial" w:hAnsi="Arial"/>
                <w:b/>
                <w:sz w:val="18"/>
                <w:szCs w:val="18"/>
              </w:rPr>
            </w:pPr>
            <w:r>
              <w:rPr>
                <w:rFonts w:ascii="Times New Roman" w:eastAsia="Calibri" w:hAnsi="Times New Roman"/>
                <w:sz w:val="18"/>
                <w:szCs w:val="18"/>
                <w:lang w:val="en-IN"/>
              </w:rPr>
              <w:t>79.5</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595F5" w14:textId="77777777" w:rsidR="004F4873" w:rsidRDefault="002C4901">
            <w:pPr>
              <w:jc w:val="center"/>
              <w:rPr>
                <w:rFonts w:ascii="Arial" w:hAnsi="Arial"/>
                <w:b/>
                <w:sz w:val="18"/>
                <w:szCs w:val="18"/>
              </w:rPr>
            </w:pPr>
            <w:r>
              <w:rPr>
                <w:rFonts w:ascii="Times New Roman" w:eastAsia="Calibri" w:hAnsi="Times New Roman"/>
                <w:sz w:val="18"/>
                <w:szCs w:val="18"/>
                <w:lang w:val="en-IN"/>
              </w:rPr>
              <w:t>75</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6C720" w14:textId="77777777" w:rsidR="004F4873" w:rsidRDefault="002C4901">
            <w:pPr>
              <w:jc w:val="center"/>
              <w:rPr>
                <w:rFonts w:ascii="Arial" w:hAnsi="Arial"/>
                <w:b/>
                <w:sz w:val="18"/>
                <w:szCs w:val="18"/>
              </w:rPr>
            </w:pPr>
            <w:r>
              <w:rPr>
                <w:rFonts w:ascii="Times New Roman" w:eastAsia="Calibri" w:hAnsi="Times New Roman"/>
                <w:sz w:val="18"/>
                <w:szCs w:val="18"/>
                <w:lang w:val="en-IN"/>
              </w:rPr>
              <w:t>74.5</w:t>
            </w:r>
          </w:p>
        </w:tc>
      </w:tr>
      <w:tr w:rsidR="004F4873" w14:paraId="3F39E250" w14:textId="77777777">
        <w:trPr>
          <w:trHeight w:val="253"/>
          <w:jc w:val="center"/>
        </w:trPr>
        <w:tc>
          <w:tcPr>
            <w:tcW w:w="1818" w:type="dxa"/>
            <w:vMerge/>
            <w:tcBorders>
              <w:top w:val="single" w:sz="4" w:space="0" w:color="000000"/>
              <w:left w:val="single" w:sz="4" w:space="0" w:color="000000"/>
              <w:bottom w:val="single" w:sz="4" w:space="0" w:color="000000"/>
              <w:right w:val="single" w:sz="4" w:space="0" w:color="000000"/>
            </w:tcBorders>
            <w:vAlign w:val="center"/>
          </w:tcPr>
          <w:p w14:paraId="4B8B0049" w14:textId="77777777" w:rsidR="004F4873" w:rsidRDefault="004F4873">
            <w:pPr>
              <w:jc w:val="center"/>
              <w:rPr>
                <w:rFonts w:ascii="Arial" w:hAnsi="Arial"/>
                <w:b/>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6D84C" w14:textId="77777777" w:rsidR="004F4873" w:rsidRDefault="002C4901">
            <w:pPr>
              <w:jc w:val="center"/>
              <w:rPr>
                <w:rFonts w:ascii="Arial" w:hAnsi="Arial"/>
                <w:b/>
                <w:sz w:val="18"/>
                <w:szCs w:val="18"/>
              </w:rPr>
            </w:pPr>
            <w:r>
              <w:rPr>
                <w:rFonts w:ascii="Times New Roman" w:eastAsia="Calibri" w:hAnsi="Times New Roman"/>
                <w:sz w:val="18"/>
                <w:szCs w:val="18"/>
                <w:lang w:val="en-IN"/>
              </w:rPr>
              <w:t>T3</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4A509" w14:textId="77777777" w:rsidR="004F4873" w:rsidRDefault="002C4901">
            <w:pPr>
              <w:jc w:val="center"/>
              <w:rPr>
                <w:rFonts w:ascii="Arial" w:hAnsi="Arial"/>
                <w:b/>
                <w:sz w:val="18"/>
                <w:szCs w:val="18"/>
              </w:rPr>
            </w:pPr>
            <w:r>
              <w:rPr>
                <w:rFonts w:ascii="Times New Roman" w:eastAsia="Calibri" w:hAnsi="Times New Roman"/>
                <w:sz w:val="18"/>
                <w:szCs w:val="18"/>
                <w:lang w:val="en-IN"/>
              </w:rPr>
              <w:t>90</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C4AC6" w14:textId="77777777" w:rsidR="004F4873" w:rsidRDefault="002C4901">
            <w:pPr>
              <w:jc w:val="center"/>
              <w:rPr>
                <w:rFonts w:ascii="Arial" w:hAnsi="Arial"/>
                <w:b/>
                <w:sz w:val="18"/>
                <w:szCs w:val="18"/>
              </w:rPr>
            </w:pPr>
            <w:r>
              <w:rPr>
                <w:rFonts w:ascii="Times New Roman" w:eastAsia="Calibri" w:hAnsi="Times New Roman"/>
                <w:sz w:val="18"/>
                <w:szCs w:val="18"/>
                <w:lang w:val="en-IN"/>
              </w:rPr>
              <w:t>87.5</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D5531" w14:textId="77777777" w:rsidR="004F4873" w:rsidRDefault="002C4901">
            <w:pPr>
              <w:jc w:val="center"/>
              <w:rPr>
                <w:rFonts w:ascii="Arial" w:hAnsi="Arial"/>
                <w:b/>
                <w:sz w:val="18"/>
                <w:szCs w:val="18"/>
              </w:rPr>
            </w:pPr>
            <w:r>
              <w:rPr>
                <w:rFonts w:ascii="Times New Roman" w:eastAsia="Calibri" w:hAnsi="Times New Roman"/>
                <w:sz w:val="18"/>
                <w:szCs w:val="18"/>
                <w:lang w:val="en-IN"/>
              </w:rPr>
              <w:t>85</w:t>
            </w:r>
          </w:p>
        </w:tc>
      </w:tr>
    </w:tbl>
    <w:p w14:paraId="2AABE2AB" w14:textId="77777777" w:rsidR="004F4873" w:rsidRDefault="004F4873">
      <w:pPr>
        <w:pStyle w:val="BodyText3"/>
        <w:tabs>
          <w:tab w:val="left" w:pos="0"/>
        </w:tabs>
        <w:spacing w:after="0"/>
        <w:jc w:val="both"/>
        <w:rPr>
          <w:rFonts w:ascii="Arial" w:hAnsi="Arial"/>
          <w:b/>
          <w:sz w:val="18"/>
          <w:szCs w:val="18"/>
        </w:rPr>
      </w:pPr>
    </w:p>
    <w:p w14:paraId="1F23782A" w14:textId="77777777" w:rsidR="004F4873" w:rsidRDefault="002C4901">
      <w:pPr>
        <w:pStyle w:val="BodyText3"/>
        <w:tabs>
          <w:tab w:val="left" w:pos="0"/>
        </w:tabs>
        <w:spacing w:after="0"/>
        <w:jc w:val="both"/>
        <w:rPr>
          <w:rFonts w:ascii="Arial" w:hAnsi="Arial"/>
          <w:b/>
          <w:sz w:val="18"/>
          <w:szCs w:val="18"/>
        </w:rPr>
      </w:pPr>
      <w:r>
        <w:rPr>
          <w:rFonts w:ascii="Arial" w:hAnsi="Arial"/>
          <w:b/>
          <w:sz w:val="18"/>
          <w:szCs w:val="18"/>
        </w:rPr>
        <w:t>Note(C:Nratio=Carbon:Nitrogenratio;T1=10:1(Bio-floc);T2=15:1(Bio-floc);T3=20:1(bio-floc);Themean values followed by the different superscript letters in each factor indicate significant difference at 0.05, AVG-WG= average weight gain; BWG= body weight gain; SGR= specific growth rate; FCR= feed conversion ratio; FCE= feed efficiency ratio; PER= protein efficiency ratio; LER= lipid efficiency ratio).</w:t>
      </w:r>
    </w:p>
    <w:p w14:paraId="2EC5A605" w14:textId="77777777" w:rsidR="004F4873" w:rsidRDefault="004F4873">
      <w:pPr>
        <w:spacing w:after="200"/>
        <w:rPr>
          <w:rFonts w:ascii="Arial" w:hAnsi="Arial"/>
          <w:b/>
          <w:sz w:val="18"/>
          <w:szCs w:val="18"/>
        </w:rPr>
      </w:pPr>
    </w:p>
    <w:p w14:paraId="6F7EE195" w14:textId="77777777" w:rsidR="004F4873" w:rsidRDefault="002C4901">
      <w:pPr>
        <w:pStyle w:val="Body"/>
        <w:spacing w:after="0"/>
        <w:rPr>
          <w:rFonts w:ascii="Arial" w:hAnsi="Arial" w:cs="Arial"/>
          <w:b/>
          <w:bCs/>
        </w:rPr>
      </w:pPr>
      <w:r>
        <w:rPr>
          <w:rFonts w:ascii="Arial" w:hAnsi="Arial" w:cs="Arial"/>
          <w:b/>
          <w:bCs/>
        </w:rPr>
        <w:t>3.3Average Total plate count (CFU/ml) of Biofloc recorded in Different Treatment at the End of Experimental Period</w:t>
      </w:r>
    </w:p>
    <w:p w14:paraId="71A1142D" w14:textId="77777777" w:rsidR="004F4873" w:rsidRDefault="002C4901">
      <w:pPr>
        <w:pStyle w:val="Body"/>
        <w:spacing w:after="0"/>
        <w:rPr>
          <w:rFonts w:ascii="Arial" w:hAnsi="Arial" w:cs="Arial"/>
        </w:rPr>
      </w:pPr>
      <w:r>
        <w:rPr>
          <w:rFonts w:ascii="Arial" w:hAnsi="Arial" w:cs="Arial"/>
        </w:rPr>
        <w:t>At the end of experiment, the average Total Plate Count was recorded. The average TPC of different treatment T</w:t>
      </w:r>
      <w:r>
        <w:rPr>
          <w:rFonts w:ascii="Arial" w:hAnsi="Arial" w:cs="Arial"/>
          <w:vertAlign w:val="subscript"/>
        </w:rPr>
        <w:t>1</w:t>
      </w:r>
      <w:r>
        <w:rPr>
          <w:rFonts w:ascii="Arial" w:hAnsi="Arial" w:cs="Arial"/>
        </w:rPr>
        <w:t>, T</w:t>
      </w:r>
      <w:r>
        <w:rPr>
          <w:rFonts w:ascii="Arial" w:hAnsi="Arial" w:cs="Arial"/>
          <w:vertAlign w:val="subscript"/>
        </w:rPr>
        <w:t>2</w:t>
      </w:r>
      <w:r>
        <w:rPr>
          <w:rFonts w:ascii="Arial" w:hAnsi="Arial" w:cs="Arial"/>
        </w:rPr>
        <w:t>, T</w:t>
      </w:r>
      <w:r>
        <w:rPr>
          <w:rFonts w:ascii="Arial" w:hAnsi="Arial" w:cs="Arial"/>
          <w:vertAlign w:val="subscript"/>
        </w:rPr>
        <w:t>3</w:t>
      </w:r>
      <w:r>
        <w:rPr>
          <w:rFonts w:ascii="Arial" w:hAnsi="Arial" w:cs="Arial"/>
        </w:rPr>
        <w:t>, and C are given in table 3. The maximum TPC was recorded in T3( 4.3*107) at C:N ratio of 20:1, while minimum TPC was recorded in T1 (9.5*105) at the C:N ratio of 10:1.</w:t>
      </w:r>
    </w:p>
    <w:p w14:paraId="4B8FF6B6" w14:textId="77777777" w:rsidR="004F4873" w:rsidRDefault="002C4901">
      <w:pPr>
        <w:pStyle w:val="Body"/>
        <w:spacing w:after="0"/>
        <w:rPr>
          <w:rFonts w:ascii="Arial" w:hAnsi="Arial" w:cs="Arial"/>
        </w:rPr>
      </w:pPr>
      <w:r>
        <w:rPr>
          <w:rFonts w:ascii="Arial" w:hAnsi="Arial" w:cs="Arial"/>
        </w:rPr>
        <w:t>This study investigates the average total plate count (TPC) in treatments (10:1, 15:1, and 20:1) over the experimental period, demonstrating distinct microbial abundances. The estimated TPC among the Treatment T</w:t>
      </w:r>
      <w:r>
        <w:rPr>
          <w:rFonts w:ascii="Arial" w:hAnsi="Arial" w:cs="Arial"/>
          <w:vertAlign w:val="subscript"/>
        </w:rPr>
        <w:t>1</w:t>
      </w:r>
      <w:r>
        <w:rPr>
          <w:rFonts w:ascii="Arial" w:hAnsi="Arial" w:cs="Arial"/>
        </w:rPr>
        <w:t xml:space="preserve"> exhibited a TPC of 9.7 × 105 CFU/ml, while T</w:t>
      </w:r>
      <w:r>
        <w:rPr>
          <w:rFonts w:ascii="Arial" w:hAnsi="Arial" w:cs="Arial"/>
          <w:vertAlign w:val="subscript"/>
        </w:rPr>
        <w:t>2</w:t>
      </w:r>
      <w:r>
        <w:rPr>
          <w:rFonts w:ascii="Arial" w:hAnsi="Arial" w:cs="Arial"/>
        </w:rPr>
        <w:t xml:space="preserve"> showed 1.06 × 107 CFU/ml, and T3 displayed the highest count at 4.3 × 107 CFU/ml. The significant increase in T3 compared to T</w:t>
      </w:r>
      <w:r>
        <w:rPr>
          <w:rFonts w:ascii="Arial" w:hAnsi="Arial" w:cs="Arial"/>
          <w:vertAlign w:val="subscript"/>
        </w:rPr>
        <w:t>1</w:t>
      </w:r>
      <w:r>
        <w:rPr>
          <w:rFonts w:ascii="Arial" w:hAnsi="Arial" w:cs="Arial"/>
        </w:rPr>
        <w:t xml:space="preserve"> and T</w:t>
      </w:r>
      <w:r>
        <w:rPr>
          <w:rFonts w:ascii="Arial" w:hAnsi="Arial" w:cs="Arial"/>
          <w:vertAlign w:val="subscript"/>
        </w:rPr>
        <w:t>2</w:t>
      </w:r>
      <w:r>
        <w:rPr>
          <w:rFonts w:ascii="Arial" w:hAnsi="Arial" w:cs="Arial"/>
        </w:rPr>
        <w:t xml:space="preserve"> emphasizes the substantial impact of C:N ratios on microbial proliferation, underscoring the importance of nutrient ratios in shaping microbial communities. The current findings, as supported by Hosain </w:t>
      </w:r>
      <w:r>
        <w:rPr>
          <w:rFonts w:ascii="Arial" w:hAnsi="Arial" w:cs="Arial"/>
          <w:i/>
          <w:iCs/>
        </w:rPr>
        <w:t>et al</w:t>
      </w:r>
      <w:r>
        <w:rPr>
          <w:rFonts w:ascii="Arial" w:hAnsi="Arial" w:cs="Arial"/>
        </w:rPr>
        <w:t xml:space="preserve">. (2021), suggest that higher crude protein in the C:N 20 treatment may be due to the richness of microorganisms present, but differences in carbon sources could lead to the formation of different microbial communities, impacting fish growth performance. Similar observations were noted by Xu and Pan (2013) in shrimps, who suggested that variations in nutritional compositions might stem from differences in microbial communities due to carbon sources and C:N ratios. </w:t>
      </w:r>
    </w:p>
    <w:p w14:paraId="6CF88167" w14:textId="77777777" w:rsidR="004F4873" w:rsidRDefault="004F4873">
      <w:pPr>
        <w:pStyle w:val="Body"/>
        <w:spacing w:after="0"/>
        <w:rPr>
          <w:rFonts w:ascii="Arial" w:hAnsi="Arial" w:cs="Arial"/>
        </w:rPr>
      </w:pPr>
    </w:p>
    <w:p w14:paraId="14892BBB" w14:textId="77777777" w:rsidR="004F4873" w:rsidRDefault="002C4901">
      <w:pPr>
        <w:pStyle w:val="Body"/>
        <w:spacing w:after="0"/>
        <w:rPr>
          <w:rFonts w:ascii="Arial" w:hAnsi="Arial" w:cs="Arial"/>
          <w:b/>
          <w:bCs/>
          <w:sz w:val="18"/>
          <w:szCs w:val="18"/>
        </w:rPr>
      </w:pPr>
      <w:r>
        <w:rPr>
          <w:rFonts w:ascii="Arial" w:hAnsi="Arial" w:cs="Arial"/>
          <w:b/>
          <w:bCs/>
          <w:sz w:val="18"/>
          <w:szCs w:val="18"/>
        </w:rPr>
        <w:lastRenderedPageBreak/>
        <w:t>Table 3.  Average TPC (CFU/ml) of bio-floc recorded in different treatment at the end of experimental period</w:t>
      </w:r>
    </w:p>
    <w:p w14:paraId="6D5F5A35" w14:textId="77777777" w:rsidR="004F4873" w:rsidRDefault="004F4873">
      <w:pPr>
        <w:pStyle w:val="Body"/>
        <w:spacing w:after="0"/>
        <w:rPr>
          <w:rFonts w:ascii="Arial" w:hAnsi="Arial" w:cs="Arial"/>
        </w:rPr>
      </w:pPr>
    </w:p>
    <w:tbl>
      <w:tblPr>
        <w:tblStyle w:val="TableGrid"/>
        <w:tblW w:w="0" w:type="auto"/>
        <w:tblLook w:val="0400" w:firstRow="0" w:lastRow="0" w:firstColumn="0" w:lastColumn="0" w:noHBand="0" w:noVBand="1"/>
      </w:tblPr>
      <w:tblGrid>
        <w:gridCol w:w="4095"/>
        <w:gridCol w:w="4103"/>
      </w:tblGrid>
      <w:tr w:rsidR="004F4873" w14:paraId="0FD44256" w14:textId="77777777">
        <w:tc>
          <w:tcPr>
            <w:tcW w:w="4212" w:type="dxa"/>
            <w:tcBorders>
              <w:top w:val="single" w:sz="4" w:space="0" w:color="auto"/>
              <w:left w:val="single" w:sz="4" w:space="0" w:color="auto"/>
              <w:bottom w:val="single" w:sz="4" w:space="0" w:color="auto"/>
              <w:right w:val="single" w:sz="4" w:space="0" w:color="auto"/>
            </w:tcBorders>
          </w:tcPr>
          <w:p w14:paraId="7E1482B6" w14:textId="77777777" w:rsidR="004F4873" w:rsidRDefault="002C4901">
            <w:pPr>
              <w:pStyle w:val="Body"/>
              <w:spacing w:after="0"/>
              <w:rPr>
                <w:rFonts w:ascii="Arial" w:hAnsi="Arial" w:cs="Arial"/>
                <w:b/>
                <w:bCs/>
                <w:sz w:val="18"/>
                <w:szCs w:val="18"/>
              </w:rPr>
            </w:pPr>
            <w:r>
              <w:rPr>
                <w:rFonts w:ascii="Arial" w:hAnsi="Arial" w:cs="Arial"/>
                <w:b/>
                <w:bCs/>
                <w:sz w:val="18"/>
                <w:szCs w:val="18"/>
              </w:rPr>
              <w:t>Treatment</w:t>
            </w:r>
          </w:p>
        </w:tc>
        <w:tc>
          <w:tcPr>
            <w:tcW w:w="4212" w:type="dxa"/>
            <w:tcBorders>
              <w:top w:val="single" w:sz="4" w:space="0" w:color="auto"/>
              <w:left w:val="single" w:sz="4" w:space="0" w:color="auto"/>
              <w:bottom w:val="single" w:sz="4" w:space="0" w:color="auto"/>
              <w:right w:val="single" w:sz="4" w:space="0" w:color="auto"/>
            </w:tcBorders>
          </w:tcPr>
          <w:p w14:paraId="73E769D7" w14:textId="77777777" w:rsidR="004F4873" w:rsidRDefault="002C4901">
            <w:pPr>
              <w:pStyle w:val="Body"/>
              <w:spacing w:after="0"/>
              <w:rPr>
                <w:rFonts w:ascii="Arial" w:hAnsi="Arial" w:cs="Arial"/>
                <w:b/>
                <w:bCs/>
                <w:sz w:val="18"/>
                <w:szCs w:val="18"/>
              </w:rPr>
            </w:pPr>
            <w:r>
              <w:rPr>
                <w:rFonts w:ascii="Arial" w:hAnsi="Arial" w:cs="Arial"/>
                <w:b/>
                <w:bCs/>
                <w:sz w:val="18"/>
                <w:szCs w:val="18"/>
              </w:rPr>
              <w:t>TPC(CFU/ml)</w:t>
            </w:r>
          </w:p>
        </w:tc>
      </w:tr>
      <w:tr w:rsidR="004F4873" w14:paraId="754B6709" w14:textId="77777777">
        <w:tc>
          <w:tcPr>
            <w:tcW w:w="4212" w:type="dxa"/>
            <w:tcBorders>
              <w:top w:val="single" w:sz="4" w:space="0" w:color="auto"/>
              <w:left w:val="single" w:sz="4" w:space="0" w:color="auto"/>
              <w:bottom w:val="single" w:sz="4" w:space="0" w:color="auto"/>
              <w:right w:val="single" w:sz="4" w:space="0" w:color="auto"/>
            </w:tcBorders>
          </w:tcPr>
          <w:p w14:paraId="5D01A000" w14:textId="77777777" w:rsidR="004F4873" w:rsidRDefault="002C4901">
            <w:pPr>
              <w:pStyle w:val="Body"/>
              <w:spacing w:after="0"/>
              <w:rPr>
                <w:rFonts w:ascii="Arial" w:hAnsi="Arial" w:cs="Arial"/>
                <w:sz w:val="18"/>
                <w:szCs w:val="18"/>
              </w:rPr>
            </w:pPr>
            <w:r>
              <w:rPr>
                <w:rFonts w:ascii="Arial" w:hAnsi="Arial" w:cs="Arial"/>
                <w:sz w:val="18"/>
                <w:szCs w:val="18"/>
              </w:rPr>
              <w:t>T1</w:t>
            </w:r>
          </w:p>
        </w:tc>
        <w:tc>
          <w:tcPr>
            <w:tcW w:w="4212" w:type="dxa"/>
            <w:tcBorders>
              <w:top w:val="single" w:sz="4" w:space="0" w:color="auto"/>
              <w:left w:val="single" w:sz="4" w:space="0" w:color="auto"/>
              <w:bottom w:val="single" w:sz="4" w:space="0" w:color="auto"/>
              <w:right w:val="single" w:sz="4" w:space="0" w:color="auto"/>
            </w:tcBorders>
          </w:tcPr>
          <w:p w14:paraId="22641A23" w14:textId="77777777" w:rsidR="004F4873" w:rsidRDefault="002C4901">
            <w:pPr>
              <w:pStyle w:val="Body"/>
              <w:spacing w:after="0"/>
              <w:rPr>
                <w:rFonts w:ascii="Arial" w:hAnsi="Arial" w:cs="Arial"/>
                <w:sz w:val="18"/>
                <w:szCs w:val="18"/>
              </w:rPr>
            </w:pPr>
            <w:r>
              <w:rPr>
                <w:rFonts w:ascii="Arial" w:hAnsi="Arial" w:cs="Arial"/>
                <w:sz w:val="18"/>
                <w:szCs w:val="18"/>
              </w:rPr>
              <w:t>9.7*105</w:t>
            </w:r>
          </w:p>
        </w:tc>
      </w:tr>
      <w:tr w:rsidR="004F4873" w14:paraId="64A36043" w14:textId="77777777">
        <w:tc>
          <w:tcPr>
            <w:tcW w:w="4212" w:type="dxa"/>
            <w:tcBorders>
              <w:top w:val="single" w:sz="4" w:space="0" w:color="auto"/>
              <w:left w:val="single" w:sz="4" w:space="0" w:color="auto"/>
              <w:bottom w:val="single" w:sz="4" w:space="0" w:color="auto"/>
              <w:right w:val="single" w:sz="4" w:space="0" w:color="auto"/>
            </w:tcBorders>
          </w:tcPr>
          <w:p w14:paraId="68BCB88E" w14:textId="77777777" w:rsidR="004F4873" w:rsidRDefault="002C4901">
            <w:pPr>
              <w:pStyle w:val="Body"/>
              <w:spacing w:after="0"/>
              <w:rPr>
                <w:rFonts w:ascii="Arial" w:hAnsi="Arial" w:cs="Arial"/>
                <w:sz w:val="18"/>
                <w:szCs w:val="18"/>
              </w:rPr>
            </w:pPr>
            <w:r>
              <w:rPr>
                <w:rFonts w:ascii="Arial" w:hAnsi="Arial" w:cs="Arial"/>
                <w:sz w:val="18"/>
                <w:szCs w:val="18"/>
              </w:rPr>
              <w:t>T2</w:t>
            </w:r>
          </w:p>
        </w:tc>
        <w:tc>
          <w:tcPr>
            <w:tcW w:w="4212" w:type="dxa"/>
            <w:tcBorders>
              <w:top w:val="single" w:sz="4" w:space="0" w:color="auto"/>
              <w:left w:val="single" w:sz="4" w:space="0" w:color="auto"/>
              <w:bottom w:val="single" w:sz="4" w:space="0" w:color="auto"/>
              <w:right w:val="single" w:sz="4" w:space="0" w:color="auto"/>
            </w:tcBorders>
          </w:tcPr>
          <w:p w14:paraId="2B011C31" w14:textId="77777777" w:rsidR="004F4873" w:rsidRDefault="002C4901">
            <w:pPr>
              <w:pStyle w:val="Body"/>
              <w:spacing w:after="0"/>
              <w:rPr>
                <w:rFonts w:ascii="Arial" w:hAnsi="Arial" w:cs="Arial"/>
                <w:sz w:val="18"/>
                <w:szCs w:val="18"/>
              </w:rPr>
            </w:pPr>
            <w:r>
              <w:rPr>
                <w:rFonts w:ascii="Arial" w:hAnsi="Arial" w:cs="Arial"/>
                <w:sz w:val="18"/>
                <w:szCs w:val="18"/>
              </w:rPr>
              <w:t>1.06*107</w:t>
            </w:r>
          </w:p>
        </w:tc>
      </w:tr>
      <w:tr w:rsidR="004F4873" w14:paraId="402126E7" w14:textId="77777777">
        <w:tc>
          <w:tcPr>
            <w:tcW w:w="4212" w:type="dxa"/>
            <w:tcBorders>
              <w:top w:val="single" w:sz="4" w:space="0" w:color="auto"/>
              <w:left w:val="single" w:sz="4" w:space="0" w:color="auto"/>
              <w:bottom w:val="single" w:sz="4" w:space="0" w:color="auto"/>
              <w:right w:val="single" w:sz="4" w:space="0" w:color="auto"/>
            </w:tcBorders>
          </w:tcPr>
          <w:p w14:paraId="6AB0C9B9" w14:textId="77777777" w:rsidR="004F4873" w:rsidRDefault="002C4901">
            <w:pPr>
              <w:pStyle w:val="Body"/>
              <w:spacing w:after="0"/>
              <w:rPr>
                <w:rFonts w:ascii="Arial" w:hAnsi="Arial" w:cs="Arial"/>
                <w:sz w:val="18"/>
                <w:szCs w:val="18"/>
              </w:rPr>
            </w:pPr>
            <w:r>
              <w:rPr>
                <w:rFonts w:ascii="Arial" w:hAnsi="Arial" w:cs="Arial"/>
                <w:sz w:val="18"/>
                <w:szCs w:val="18"/>
              </w:rPr>
              <w:t>T3</w:t>
            </w:r>
          </w:p>
        </w:tc>
        <w:tc>
          <w:tcPr>
            <w:tcW w:w="4212" w:type="dxa"/>
            <w:tcBorders>
              <w:top w:val="single" w:sz="4" w:space="0" w:color="auto"/>
              <w:left w:val="single" w:sz="4" w:space="0" w:color="auto"/>
              <w:bottom w:val="single" w:sz="4" w:space="0" w:color="auto"/>
              <w:right w:val="single" w:sz="4" w:space="0" w:color="auto"/>
            </w:tcBorders>
          </w:tcPr>
          <w:p w14:paraId="1B37A0D1" w14:textId="77777777" w:rsidR="004F4873" w:rsidRDefault="002C4901">
            <w:pPr>
              <w:pStyle w:val="Body"/>
              <w:spacing w:after="0"/>
              <w:rPr>
                <w:rFonts w:ascii="Arial" w:hAnsi="Arial" w:cs="Arial"/>
                <w:sz w:val="18"/>
                <w:szCs w:val="18"/>
              </w:rPr>
            </w:pPr>
            <w:r>
              <w:rPr>
                <w:rFonts w:ascii="Arial" w:hAnsi="Arial" w:cs="Arial"/>
                <w:sz w:val="18"/>
                <w:szCs w:val="18"/>
              </w:rPr>
              <w:t>4.3*107</w:t>
            </w:r>
          </w:p>
        </w:tc>
      </w:tr>
    </w:tbl>
    <w:p w14:paraId="52DE2F81" w14:textId="77777777" w:rsidR="004F4873" w:rsidRDefault="002C4901">
      <w:pPr>
        <w:pStyle w:val="Body"/>
        <w:spacing w:after="0"/>
        <w:rPr>
          <w:rFonts w:ascii="Arial" w:hAnsi="Arial" w:cs="Arial"/>
          <w:sz w:val="18"/>
          <w:szCs w:val="18"/>
        </w:rPr>
      </w:pPr>
      <w:r>
        <w:rPr>
          <w:rFonts w:ascii="Arial" w:hAnsi="Arial" w:cs="Arial"/>
        </w:rPr>
        <w:t>*</w:t>
      </w:r>
      <w:r>
        <w:rPr>
          <w:rFonts w:ascii="Arial" w:hAnsi="Arial" w:cs="Arial"/>
          <w:sz w:val="18"/>
          <w:szCs w:val="18"/>
        </w:rPr>
        <w:t>Note(C:N ratio= Carbon: Nitrogen ratio;T</w:t>
      </w:r>
      <w:r>
        <w:rPr>
          <w:rFonts w:ascii="Arial" w:hAnsi="Arial" w:cs="Arial"/>
          <w:sz w:val="18"/>
          <w:szCs w:val="18"/>
          <w:vertAlign w:val="subscript"/>
        </w:rPr>
        <w:t>1</w:t>
      </w:r>
      <w:r>
        <w:rPr>
          <w:rFonts w:ascii="Arial" w:hAnsi="Arial" w:cs="Arial"/>
          <w:sz w:val="18"/>
          <w:szCs w:val="18"/>
        </w:rPr>
        <w:t>=10:1(Bio-floc);T</w:t>
      </w:r>
      <w:r>
        <w:rPr>
          <w:rFonts w:ascii="Arial" w:hAnsi="Arial" w:cs="Arial"/>
          <w:sz w:val="18"/>
          <w:szCs w:val="18"/>
          <w:vertAlign w:val="subscript"/>
        </w:rPr>
        <w:t>2</w:t>
      </w:r>
      <w:r>
        <w:rPr>
          <w:rFonts w:ascii="Arial" w:hAnsi="Arial" w:cs="Arial"/>
          <w:sz w:val="18"/>
          <w:szCs w:val="18"/>
        </w:rPr>
        <w:t>=15:1(Bio-floc);T</w:t>
      </w:r>
      <w:r>
        <w:rPr>
          <w:rFonts w:ascii="Arial" w:hAnsi="Arial" w:cs="Arial"/>
          <w:sz w:val="18"/>
          <w:szCs w:val="18"/>
          <w:vertAlign w:val="subscript"/>
        </w:rPr>
        <w:t>3</w:t>
      </w:r>
      <w:r>
        <w:rPr>
          <w:rFonts w:ascii="Arial" w:hAnsi="Arial" w:cs="Arial"/>
          <w:sz w:val="18"/>
          <w:szCs w:val="18"/>
        </w:rPr>
        <w:t>=20:1(Bio-floc)</w:t>
      </w:r>
    </w:p>
    <w:p w14:paraId="30D13B8F" w14:textId="77777777" w:rsidR="004F4873" w:rsidRDefault="004F4873">
      <w:pPr>
        <w:pStyle w:val="Body"/>
        <w:spacing w:after="0"/>
        <w:rPr>
          <w:rFonts w:ascii="Arial" w:hAnsi="Arial" w:cs="Arial"/>
        </w:rPr>
      </w:pPr>
    </w:p>
    <w:p w14:paraId="65E6B2AA" w14:textId="77777777" w:rsidR="004F4873" w:rsidRDefault="002C4901">
      <w:pPr>
        <w:pStyle w:val="Body"/>
        <w:spacing w:after="0"/>
        <w:rPr>
          <w:rFonts w:ascii="Arial" w:hAnsi="Arial" w:cs="Arial"/>
          <w:b/>
          <w:bCs/>
        </w:rPr>
      </w:pPr>
      <w:r>
        <w:rPr>
          <w:rFonts w:ascii="Arial" w:hAnsi="Arial" w:cs="Arial"/>
          <w:b/>
          <w:bCs/>
        </w:rPr>
        <w:t>3.4 Proximate composition (%dry) of the biofloc collected from different treatments</w:t>
      </w:r>
    </w:p>
    <w:p w14:paraId="5E611C2B" w14:textId="77777777" w:rsidR="004F4873" w:rsidRDefault="004F4873">
      <w:pPr>
        <w:pStyle w:val="Body"/>
        <w:spacing w:after="0"/>
        <w:rPr>
          <w:rFonts w:ascii="Arial" w:hAnsi="Arial" w:cs="Arial"/>
        </w:rPr>
      </w:pPr>
    </w:p>
    <w:p w14:paraId="4E82737D" w14:textId="77777777" w:rsidR="004F4873" w:rsidRDefault="002C4901">
      <w:pPr>
        <w:pStyle w:val="Body"/>
        <w:spacing w:after="0"/>
        <w:rPr>
          <w:rFonts w:ascii="Arial" w:hAnsi="Arial" w:cs="Arial"/>
        </w:rPr>
      </w:pPr>
      <w:r>
        <w:rPr>
          <w:rFonts w:ascii="Arial" w:hAnsi="Arial" w:cs="Arial"/>
        </w:rPr>
        <w:t>Table 4. Proximate composition (%dry) of the biofloc collected from different treatments</w:t>
      </w:r>
    </w:p>
    <w:tbl>
      <w:tblPr>
        <w:tblStyle w:val="TableGrid"/>
        <w:tblW w:w="0" w:type="auto"/>
        <w:tblLook w:val="0400" w:firstRow="0" w:lastRow="0" w:firstColumn="0" w:lastColumn="0" w:noHBand="0" w:noVBand="1"/>
      </w:tblPr>
      <w:tblGrid>
        <w:gridCol w:w="2072"/>
        <w:gridCol w:w="2042"/>
        <w:gridCol w:w="2042"/>
        <w:gridCol w:w="2042"/>
      </w:tblGrid>
      <w:tr w:rsidR="004F4873" w14:paraId="1B832629" w14:textId="77777777">
        <w:tc>
          <w:tcPr>
            <w:tcW w:w="2106" w:type="dxa"/>
            <w:vMerge w:val="restart"/>
            <w:tcBorders>
              <w:top w:val="single" w:sz="4" w:space="0" w:color="auto"/>
              <w:left w:val="single" w:sz="4" w:space="0" w:color="auto"/>
              <w:bottom w:val="single" w:sz="4" w:space="0" w:color="auto"/>
              <w:right w:val="single" w:sz="4" w:space="0" w:color="auto"/>
            </w:tcBorders>
          </w:tcPr>
          <w:p w14:paraId="7D956264" w14:textId="77777777" w:rsidR="004F4873" w:rsidRDefault="002C4901">
            <w:pPr>
              <w:pStyle w:val="Body"/>
              <w:spacing w:after="0"/>
              <w:rPr>
                <w:rFonts w:ascii="Arial" w:hAnsi="Arial" w:cs="Arial"/>
                <w:b/>
                <w:bCs/>
                <w:sz w:val="18"/>
                <w:szCs w:val="18"/>
              </w:rPr>
            </w:pPr>
            <w:r>
              <w:rPr>
                <w:rFonts w:ascii="Arial" w:hAnsi="Arial" w:cs="Arial"/>
                <w:b/>
                <w:bCs/>
                <w:sz w:val="18"/>
                <w:szCs w:val="18"/>
              </w:rPr>
              <w:t>Composition (% dry matter)</w:t>
            </w:r>
          </w:p>
        </w:tc>
        <w:tc>
          <w:tcPr>
            <w:tcW w:w="6318" w:type="dxa"/>
            <w:gridSpan w:val="3"/>
            <w:tcBorders>
              <w:top w:val="single" w:sz="4" w:space="0" w:color="auto"/>
              <w:left w:val="single" w:sz="4" w:space="0" w:color="auto"/>
              <w:bottom w:val="single" w:sz="4" w:space="0" w:color="auto"/>
              <w:right w:val="single" w:sz="4" w:space="0" w:color="auto"/>
            </w:tcBorders>
          </w:tcPr>
          <w:p w14:paraId="66EC8A51" w14:textId="77777777" w:rsidR="004F4873" w:rsidRDefault="002C4901">
            <w:pPr>
              <w:pStyle w:val="Body"/>
              <w:spacing w:after="0"/>
              <w:rPr>
                <w:rFonts w:ascii="Arial" w:hAnsi="Arial" w:cs="Arial"/>
                <w:b/>
                <w:bCs/>
                <w:sz w:val="18"/>
                <w:szCs w:val="18"/>
              </w:rPr>
            </w:pPr>
            <w:r>
              <w:rPr>
                <w:rFonts w:ascii="Arial" w:hAnsi="Arial" w:cs="Arial"/>
                <w:b/>
                <w:bCs/>
                <w:sz w:val="18"/>
                <w:szCs w:val="18"/>
              </w:rPr>
              <w:t>Bio-floc</w:t>
            </w:r>
          </w:p>
        </w:tc>
      </w:tr>
      <w:tr w:rsidR="004F4873" w14:paraId="29ADE26D" w14:textId="77777777">
        <w:tc>
          <w:tcPr>
            <w:tcW w:w="2106" w:type="dxa"/>
            <w:vMerge/>
            <w:tcBorders>
              <w:top w:val="single" w:sz="4" w:space="0" w:color="auto"/>
              <w:left w:val="single" w:sz="4" w:space="0" w:color="auto"/>
              <w:bottom w:val="single" w:sz="4" w:space="0" w:color="auto"/>
              <w:right w:val="single" w:sz="4" w:space="0" w:color="auto"/>
            </w:tcBorders>
          </w:tcPr>
          <w:p w14:paraId="115BB97B" w14:textId="77777777" w:rsidR="004F4873" w:rsidRDefault="004F4873">
            <w:pPr>
              <w:pStyle w:val="Body"/>
              <w:spacing w:after="0"/>
              <w:rPr>
                <w:rFonts w:ascii="Arial" w:hAnsi="Arial" w:cs="Arial"/>
                <w:b/>
                <w:bCs/>
                <w:sz w:val="18"/>
                <w:szCs w:val="18"/>
              </w:rPr>
            </w:pPr>
          </w:p>
        </w:tc>
        <w:tc>
          <w:tcPr>
            <w:tcW w:w="2106" w:type="dxa"/>
            <w:tcBorders>
              <w:top w:val="single" w:sz="4" w:space="0" w:color="auto"/>
              <w:left w:val="single" w:sz="4" w:space="0" w:color="auto"/>
              <w:bottom w:val="single" w:sz="4" w:space="0" w:color="auto"/>
              <w:right w:val="single" w:sz="4" w:space="0" w:color="auto"/>
            </w:tcBorders>
          </w:tcPr>
          <w:p w14:paraId="06E75B36" w14:textId="77777777" w:rsidR="004F4873" w:rsidRDefault="002C4901">
            <w:pPr>
              <w:pStyle w:val="Body"/>
              <w:spacing w:after="0"/>
              <w:rPr>
                <w:rFonts w:ascii="Arial" w:hAnsi="Arial" w:cs="Arial"/>
                <w:b/>
                <w:bCs/>
                <w:sz w:val="18"/>
                <w:szCs w:val="18"/>
              </w:rPr>
            </w:pPr>
            <w:r>
              <w:rPr>
                <w:rFonts w:ascii="Arial" w:hAnsi="Arial" w:cs="Arial"/>
                <w:b/>
                <w:bCs/>
                <w:sz w:val="18"/>
                <w:szCs w:val="18"/>
              </w:rPr>
              <w:t>T1</w:t>
            </w:r>
          </w:p>
        </w:tc>
        <w:tc>
          <w:tcPr>
            <w:tcW w:w="2106" w:type="dxa"/>
            <w:tcBorders>
              <w:top w:val="single" w:sz="4" w:space="0" w:color="auto"/>
              <w:left w:val="single" w:sz="4" w:space="0" w:color="auto"/>
              <w:bottom w:val="single" w:sz="4" w:space="0" w:color="auto"/>
              <w:right w:val="single" w:sz="4" w:space="0" w:color="auto"/>
            </w:tcBorders>
          </w:tcPr>
          <w:p w14:paraId="74A2CA94" w14:textId="77777777" w:rsidR="004F4873" w:rsidRDefault="002C4901">
            <w:pPr>
              <w:pStyle w:val="Body"/>
              <w:spacing w:after="0"/>
              <w:rPr>
                <w:rFonts w:ascii="Arial" w:hAnsi="Arial" w:cs="Arial"/>
                <w:b/>
                <w:bCs/>
                <w:sz w:val="18"/>
                <w:szCs w:val="18"/>
              </w:rPr>
            </w:pPr>
            <w:r>
              <w:rPr>
                <w:rFonts w:ascii="Arial" w:hAnsi="Arial" w:cs="Arial"/>
                <w:b/>
                <w:bCs/>
                <w:sz w:val="18"/>
                <w:szCs w:val="18"/>
              </w:rPr>
              <w:t>T2</w:t>
            </w:r>
          </w:p>
        </w:tc>
        <w:tc>
          <w:tcPr>
            <w:tcW w:w="2106" w:type="dxa"/>
            <w:tcBorders>
              <w:top w:val="single" w:sz="4" w:space="0" w:color="auto"/>
              <w:left w:val="single" w:sz="4" w:space="0" w:color="auto"/>
              <w:bottom w:val="single" w:sz="4" w:space="0" w:color="auto"/>
              <w:right w:val="single" w:sz="4" w:space="0" w:color="auto"/>
            </w:tcBorders>
          </w:tcPr>
          <w:p w14:paraId="2442972A" w14:textId="77777777" w:rsidR="004F4873" w:rsidRDefault="002C4901">
            <w:pPr>
              <w:pStyle w:val="Body"/>
              <w:spacing w:after="0"/>
              <w:rPr>
                <w:rFonts w:ascii="Arial" w:hAnsi="Arial" w:cs="Arial"/>
                <w:b/>
                <w:bCs/>
                <w:sz w:val="18"/>
                <w:szCs w:val="18"/>
              </w:rPr>
            </w:pPr>
            <w:r>
              <w:rPr>
                <w:rFonts w:ascii="Arial" w:hAnsi="Arial" w:cs="Arial"/>
                <w:b/>
                <w:bCs/>
                <w:sz w:val="18"/>
                <w:szCs w:val="18"/>
              </w:rPr>
              <w:t>T3</w:t>
            </w:r>
          </w:p>
        </w:tc>
      </w:tr>
      <w:tr w:rsidR="004F4873" w14:paraId="2752F796" w14:textId="77777777">
        <w:tc>
          <w:tcPr>
            <w:tcW w:w="2106" w:type="dxa"/>
            <w:tcBorders>
              <w:top w:val="single" w:sz="4" w:space="0" w:color="auto"/>
              <w:left w:val="single" w:sz="4" w:space="0" w:color="auto"/>
              <w:bottom w:val="single" w:sz="4" w:space="0" w:color="auto"/>
              <w:right w:val="single" w:sz="4" w:space="0" w:color="auto"/>
            </w:tcBorders>
          </w:tcPr>
          <w:p w14:paraId="0ED443F8" w14:textId="77777777" w:rsidR="004F4873" w:rsidRDefault="002C4901">
            <w:pPr>
              <w:pStyle w:val="Body"/>
              <w:spacing w:after="0"/>
              <w:rPr>
                <w:rFonts w:ascii="Arial" w:hAnsi="Arial" w:cs="Arial"/>
                <w:sz w:val="18"/>
                <w:szCs w:val="18"/>
              </w:rPr>
            </w:pPr>
            <w:r>
              <w:rPr>
                <w:rFonts w:ascii="Arial" w:hAnsi="Arial" w:cs="Arial"/>
                <w:sz w:val="18"/>
                <w:szCs w:val="18"/>
              </w:rPr>
              <w:t xml:space="preserve">Protein </w:t>
            </w:r>
          </w:p>
        </w:tc>
        <w:tc>
          <w:tcPr>
            <w:tcW w:w="2106" w:type="dxa"/>
            <w:tcBorders>
              <w:top w:val="single" w:sz="4" w:space="0" w:color="auto"/>
              <w:left w:val="single" w:sz="4" w:space="0" w:color="auto"/>
              <w:bottom w:val="single" w:sz="4" w:space="0" w:color="auto"/>
              <w:right w:val="single" w:sz="4" w:space="0" w:color="auto"/>
            </w:tcBorders>
          </w:tcPr>
          <w:p w14:paraId="004048CE" w14:textId="77777777" w:rsidR="004F4873" w:rsidRDefault="002C4901">
            <w:pPr>
              <w:pStyle w:val="Body"/>
              <w:spacing w:after="0"/>
              <w:rPr>
                <w:rFonts w:ascii="Arial" w:hAnsi="Arial" w:cs="Arial"/>
                <w:sz w:val="18"/>
                <w:szCs w:val="18"/>
              </w:rPr>
            </w:pPr>
            <w:r>
              <w:rPr>
                <w:rFonts w:ascii="Arial" w:hAnsi="Arial" w:cs="Arial"/>
                <w:sz w:val="18"/>
                <w:szCs w:val="18"/>
              </w:rPr>
              <w:t>33.43</w:t>
            </w:r>
          </w:p>
        </w:tc>
        <w:tc>
          <w:tcPr>
            <w:tcW w:w="2106" w:type="dxa"/>
            <w:tcBorders>
              <w:top w:val="single" w:sz="4" w:space="0" w:color="auto"/>
              <w:left w:val="single" w:sz="4" w:space="0" w:color="auto"/>
              <w:bottom w:val="single" w:sz="4" w:space="0" w:color="auto"/>
              <w:right w:val="single" w:sz="4" w:space="0" w:color="auto"/>
            </w:tcBorders>
          </w:tcPr>
          <w:p w14:paraId="3D35B3CB" w14:textId="77777777" w:rsidR="004F4873" w:rsidRDefault="002C4901">
            <w:pPr>
              <w:pStyle w:val="Body"/>
              <w:spacing w:after="0"/>
              <w:rPr>
                <w:rFonts w:ascii="Arial" w:hAnsi="Arial" w:cs="Arial"/>
                <w:sz w:val="18"/>
                <w:szCs w:val="18"/>
              </w:rPr>
            </w:pPr>
            <w:r>
              <w:rPr>
                <w:rFonts w:ascii="Arial" w:hAnsi="Arial" w:cs="Arial"/>
                <w:sz w:val="18"/>
                <w:szCs w:val="18"/>
              </w:rPr>
              <w:t>34.83</w:t>
            </w:r>
          </w:p>
        </w:tc>
        <w:tc>
          <w:tcPr>
            <w:tcW w:w="2106" w:type="dxa"/>
            <w:tcBorders>
              <w:top w:val="single" w:sz="4" w:space="0" w:color="auto"/>
              <w:left w:val="single" w:sz="4" w:space="0" w:color="auto"/>
              <w:bottom w:val="single" w:sz="4" w:space="0" w:color="auto"/>
              <w:right w:val="single" w:sz="4" w:space="0" w:color="auto"/>
            </w:tcBorders>
          </w:tcPr>
          <w:p w14:paraId="503F4BFD" w14:textId="77777777" w:rsidR="004F4873" w:rsidRDefault="002C4901">
            <w:pPr>
              <w:pStyle w:val="Body"/>
              <w:spacing w:after="0"/>
              <w:rPr>
                <w:rFonts w:ascii="Arial" w:hAnsi="Arial" w:cs="Arial"/>
                <w:sz w:val="18"/>
                <w:szCs w:val="18"/>
              </w:rPr>
            </w:pPr>
            <w:r>
              <w:rPr>
                <w:rFonts w:ascii="Arial" w:hAnsi="Arial" w:cs="Arial"/>
                <w:sz w:val="18"/>
                <w:szCs w:val="18"/>
              </w:rPr>
              <w:t>35.33</w:t>
            </w:r>
          </w:p>
        </w:tc>
      </w:tr>
      <w:tr w:rsidR="004F4873" w14:paraId="36358FB2" w14:textId="77777777">
        <w:tc>
          <w:tcPr>
            <w:tcW w:w="2106" w:type="dxa"/>
            <w:tcBorders>
              <w:top w:val="single" w:sz="4" w:space="0" w:color="auto"/>
              <w:left w:val="single" w:sz="4" w:space="0" w:color="auto"/>
              <w:bottom w:val="single" w:sz="4" w:space="0" w:color="auto"/>
              <w:right w:val="single" w:sz="4" w:space="0" w:color="auto"/>
            </w:tcBorders>
          </w:tcPr>
          <w:p w14:paraId="34F104B1" w14:textId="77777777" w:rsidR="004F4873" w:rsidRDefault="002C4901">
            <w:pPr>
              <w:pStyle w:val="Body"/>
              <w:spacing w:after="0"/>
              <w:rPr>
                <w:rFonts w:ascii="Arial" w:hAnsi="Arial" w:cs="Arial"/>
                <w:sz w:val="18"/>
                <w:szCs w:val="18"/>
              </w:rPr>
            </w:pPr>
            <w:r>
              <w:rPr>
                <w:rFonts w:ascii="Arial" w:hAnsi="Arial" w:cs="Arial"/>
                <w:sz w:val="18"/>
                <w:szCs w:val="18"/>
              </w:rPr>
              <w:t>Fat</w:t>
            </w:r>
          </w:p>
        </w:tc>
        <w:tc>
          <w:tcPr>
            <w:tcW w:w="2106" w:type="dxa"/>
            <w:tcBorders>
              <w:top w:val="single" w:sz="4" w:space="0" w:color="auto"/>
              <w:left w:val="single" w:sz="4" w:space="0" w:color="auto"/>
              <w:bottom w:val="single" w:sz="4" w:space="0" w:color="auto"/>
              <w:right w:val="single" w:sz="4" w:space="0" w:color="auto"/>
            </w:tcBorders>
          </w:tcPr>
          <w:p w14:paraId="1D4DD3EB" w14:textId="77777777" w:rsidR="004F4873" w:rsidRDefault="002C4901">
            <w:pPr>
              <w:pStyle w:val="Body"/>
              <w:spacing w:after="0"/>
              <w:rPr>
                <w:rFonts w:ascii="Arial" w:hAnsi="Arial" w:cs="Arial"/>
                <w:sz w:val="18"/>
                <w:szCs w:val="18"/>
              </w:rPr>
            </w:pPr>
            <w:r>
              <w:rPr>
                <w:rFonts w:ascii="Arial" w:hAnsi="Arial" w:cs="Arial"/>
                <w:sz w:val="18"/>
                <w:szCs w:val="18"/>
              </w:rPr>
              <w:t>1.41</w:t>
            </w:r>
          </w:p>
        </w:tc>
        <w:tc>
          <w:tcPr>
            <w:tcW w:w="2106" w:type="dxa"/>
            <w:tcBorders>
              <w:top w:val="single" w:sz="4" w:space="0" w:color="auto"/>
              <w:left w:val="single" w:sz="4" w:space="0" w:color="auto"/>
              <w:bottom w:val="single" w:sz="4" w:space="0" w:color="auto"/>
              <w:right w:val="single" w:sz="4" w:space="0" w:color="auto"/>
            </w:tcBorders>
          </w:tcPr>
          <w:p w14:paraId="4DC79B23" w14:textId="77777777" w:rsidR="004F4873" w:rsidRDefault="002C4901">
            <w:pPr>
              <w:pStyle w:val="Body"/>
              <w:spacing w:after="0"/>
              <w:rPr>
                <w:rFonts w:ascii="Arial" w:hAnsi="Arial" w:cs="Arial"/>
                <w:sz w:val="18"/>
                <w:szCs w:val="18"/>
              </w:rPr>
            </w:pPr>
            <w:r>
              <w:rPr>
                <w:rFonts w:ascii="Arial" w:hAnsi="Arial" w:cs="Arial"/>
                <w:sz w:val="18"/>
                <w:szCs w:val="18"/>
              </w:rPr>
              <w:t>1.29</w:t>
            </w:r>
          </w:p>
        </w:tc>
        <w:tc>
          <w:tcPr>
            <w:tcW w:w="2106" w:type="dxa"/>
            <w:tcBorders>
              <w:top w:val="single" w:sz="4" w:space="0" w:color="auto"/>
              <w:left w:val="single" w:sz="4" w:space="0" w:color="auto"/>
              <w:bottom w:val="single" w:sz="4" w:space="0" w:color="auto"/>
              <w:right w:val="single" w:sz="4" w:space="0" w:color="auto"/>
            </w:tcBorders>
          </w:tcPr>
          <w:p w14:paraId="7D977377" w14:textId="77777777" w:rsidR="004F4873" w:rsidRDefault="002C4901">
            <w:pPr>
              <w:pStyle w:val="Body"/>
              <w:spacing w:after="0"/>
              <w:rPr>
                <w:rFonts w:ascii="Arial" w:hAnsi="Arial" w:cs="Arial"/>
                <w:sz w:val="18"/>
                <w:szCs w:val="18"/>
              </w:rPr>
            </w:pPr>
            <w:r>
              <w:rPr>
                <w:rFonts w:ascii="Arial" w:hAnsi="Arial" w:cs="Arial"/>
                <w:sz w:val="18"/>
                <w:szCs w:val="18"/>
              </w:rPr>
              <w:t>1.75</w:t>
            </w:r>
          </w:p>
        </w:tc>
      </w:tr>
      <w:tr w:rsidR="004F4873" w14:paraId="6109B50A" w14:textId="77777777">
        <w:tc>
          <w:tcPr>
            <w:tcW w:w="2106" w:type="dxa"/>
            <w:tcBorders>
              <w:top w:val="single" w:sz="4" w:space="0" w:color="auto"/>
              <w:left w:val="single" w:sz="4" w:space="0" w:color="auto"/>
              <w:bottom w:val="single" w:sz="4" w:space="0" w:color="auto"/>
              <w:right w:val="single" w:sz="4" w:space="0" w:color="auto"/>
            </w:tcBorders>
          </w:tcPr>
          <w:p w14:paraId="3FD6760F" w14:textId="77777777" w:rsidR="004F4873" w:rsidRDefault="002C4901">
            <w:pPr>
              <w:pStyle w:val="Body"/>
              <w:spacing w:after="0"/>
              <w:rPr>
                <w:rFonts w:ascii="Arial" w:hAnsi="Arial" w:cs="Arial"/>
                <w:sz w:val="18"/>
                <w:szCs w:val="18"/>
              </w:rPr>
            </w:pPr>
            <w:r>
              <w:rPr>
                <w:rFonts w:ascii="Arial" w:hAnsi="Arial" w:cs="Arial"/>
                <w:sz w:val="18"/>
                <w:szCs w:val="18"/>
              </w:rPr>
              <w:t xml:space="preserve">Moisture </w:t>
            </w:r>
          </w:p>
        </w:tc>
        <w:tc>
          <w:tcPr>
            <w:tcW w:w="2106" w:type="dxa"/>
            <w:tcBorders>
              <w:top w:val="single" w:sz="4" w:space="0" w:color="auto"/>
              <w:left w:val="single" w:sz="4" w:space="0" w:color="auto"/>
              <w:bottom w:val="single" w:sz="4" w:space="0" w:color="auto"/>
              <w:right w:val="single" w:sz="4" w:space="0" w:color="auto"/>
            </w:tcBorders>
          </w:tcPr>
          <w:p w14:paraId="217BE17C" w14:textId="77777777" w:rsidR="004F4873" w:rsidRDefault="002C4901">
            <w:pPr>
              <w:pStyle w:val="Body"/>
              <w:spacing w:after="0"/>
              <w:rPr>
                <w:rFonts w:ascii="Arial" w:hAnsi="Arial" w:cs="Arial"/>
                <w:sz w:val="18"/>
                <w:szCs w:val="18"/>
              </w:rPr>
            </w:pPr>
            <w:r>
              <w:rPr>
                <w:rFonts w:ascii="Arial" w:hAnsi="Arial" w:cs="Arial"/>
                <w:sz w:val="18"/>
                <w:szCs w:val="18"/>
              </w:rPr>
              <w:t>10.28</w:t>
            </w:r>
          </w:p>
        </w:tc>
        <w:tc>
          <w:tcPr>
            <w:tcW w:w="2106" w:type="dxa"/>
            <w:tcBorders>
              <w:top w:val="single" w:sz="4" w:space="0" w:color="auto"/>
              <w:left w:val="single" w:sz="4" w:space="0" w:color="auto"/>
              <w:bottom w:val="single" w:sz="4" w:space="0" w:color="auto"/>
              <w:right w:val="single" w:sz="4" w:space="0" w:color="auto"/>
            </w:tcBorders>
          </w:tcPr>
          <w:p w14:paraId="28862931" w14:textId="77777777" w:rsidR="004F4873" w:rsidRDefault="002C4901">
            <w:pPr>
              <w:pStyle w:val="Body"/>
              <w:spacing w:after="0"/>
              <w:rPr>
                <w:rFonts w:ascii="Arial" w:hAnsi="Arial" w:cs="Arial"/>
                <w:sz w:val="18"/>
                <w:szCs w:val="18"/>
              </w:rPr>
            </w:pPr>
            <w:r>
              <w:rPr>
                <w:rFonts w:ascii="Arial" w:hAnsi="Arial" w:cs="Arial"/>
                <w:sz w:val="18"/>
                <w:szCs w:val="18"/>
              </w:rPr>
              <w:t>11.19</w:t>
            </w:r>
          </w:p>
        </w:tc>
        <w:tc>
          <w:tcPr>
            <w:tcW w:w="2106" w:type="dxa"/>
            <w:tcBorders>
              <w:top w:val="single" w:sz="4" w:space="0" w:color="auto"/>
              <w:left w:val="single" w:sz="4" w:space="0" w:color="auto"/>
              <w:bottom w:val="single" w:sz="4" w:space="0" w:color="auto"/>
              <w:right w:val="single" w:sz="4" w:space="0" w:color="auto"/>
            </w:tcBorders>
          </w:tcPr>
          <w:p w14:paraId="3DE6F9CB" w14:textId="77777777" w:rsidR="004F4873" w:rsidRDefault="002C4901">
            <w:pPr>
              <w:pStyle w:val="Body"/>
              <w:spacing w:after="0"/>
              <w:rPr>
                <w:rFonts w:ascii="Arial" w:hAnsi="Arial" w:cs="Arial"/>
                <w:sz w:val="18"/>
                <w:szCs w:val="18"/>
              </w:rPr>
            </w:pPr>
            <w:r>
              <w:rPr>
                <w:rFonts w:ascii="Arial" w:hAnsi="Arial" w:cs="Arial"/>
                <w:sz w:val="18"/>
                <w:szCs w:val="18"/>
              </w:rPr>
              <w:t>10.83</w:t>
            </w:r>
          </w:p>
        </w:tc>
      </w:tr>
    </w:tbl>
    <w:p w14:paraId="4C7327BC" w14:textId="77777777" w:rsidR="004F4873" w:rsidRDefault="002C4901">
      <w:pPr>
        <w:pStyle w:val="Body"/>
        <w:spacing w:after="0"/>
        <w:rPr>
          <w:rFonts w:ascii="Arial" w:hAnsi="Arial" w:cs="Arial"/>
        </w:rPr>
      </w:pPr>
      <w:r>
        <w:rPr>
          <w:rFonts w:ascii="Arial" w:hAnsi="Arial" w:cs="Arial"/>
        </w:rPr>
        <w:t>*</w:t>
      </w:r>
      <w:r>
        <w:rPr>
          <w:rFonts w:ascii="Arial" w:hAnsi="Arial" w:cs="Arial"/>
          <w:sz w:val="18"/>
          <w:szCs w:val="18"/>
        </w:rPr>
        <w:t>Note(C:N ratio= carbon: Nitrogen ratio;T</w:t>
      </w:r>
      <w:r>
        <w:rPr>
          <w:rFonts w:ascii="Arial" w:hAnsi="Arial" w:cs="Arial"/>
          <w:sz w:val="18"/>
          <w:szCs w:val="18"/>
          <w:vertAlign w:val="subscript"/>
        </w:rPr>
        <w:t>1</w:t>
      </w:r>
      <w:r>
        <w:rPr>
          <w:rFonts w:ascii="Arial" w:hAnsi="Arial" w:cs="Arial"/>
          <w:sz w:val="18"/>
          <w:szCs w:val="18"/>
        </w:rPr>
        <w:t>=10:1(Bio-floc);T</w:t>
      </w:r>
      <w:r>
        <w:rPr>
          <w:rFonts w:ascii="Arial" w:hAnsi="Arial" w:cs="Arial"/>
          <w:sz w:val="18"/>
          <w:szCs w:val="18"/>
          <w:vertAlign w:val="subscript"/>
        </w:rPr>
        <w:t>2</w:t>
      </w:r>
      <w:r>
        <w:rPr>
          <w:rFonts w:ascii="Arial" w:hAnsi="Arial" w:cs="Arial"/>
          <w:sz w:val="18"/>
          <w:szCs w:val="18"/>
        </w:rPr>
        <w:t>=15:1(Bio-floc);T</w:t>
      </w:r>
      <w:r>
        <w:rPr>
          <w:rFonts w:ascii="Arial" w:hAnsi="Arial" w:cs="Arial"/>
          <w:sz w:val="18"/>
          <w:szCs w:val="18"/>
          <w:vertAlign w:val="subscript"/>
        </w:rPr>
        <w:t>3</w:t>
      </w:r>
      <w:r>
        <w:rPr>
          <w:rFonts w:ascii="Arial" w:hAnsi="Arial" w:cs="Arial"/>
          <w:sz w:val="18"/>
          <w:szCs w:val="18"/>
        </w:rPr>
        <w:t>=20:1(Bio-floc)</w:t>
      </w:r>
    </w:p>
    <w:p w14:paraId="78C82EBC" w14:textId="77777777" w:rsidR="004F4873" w:rsidRDefault="004F4873">
      <w:pPr>
        <w:pStyle w:val="AbstHead"/>
        <w:spacing w:after="0"/>
        <w:jc w:val="both"/>
        <w:rPr>
          <w:rFonts w:ascii="Arial" w:hAnsi="Arial" w:cs="Arial"/>
        </w:rPr>
      </w:pPr>
    </w:p>
    <w:p w14:paraId="32B5E187" w14:textId="77777777" w:rsidR="004F4873" w:rsidRDefault="002C4901">
      <w:pPr>
        <w:pStyle w:val="Body"/>
        <w:spacing w:after="0"/>
        <w:rPr>
          <w:rFonts w:ascii="Arial" w:hAnsi="Arial" w:cs="Arial"/>
        </w:rPr>
      </w:pPr>
      <w:r>
        <w:rPr>
          <w:rFonts w:ascii="Arial" w:hAnsi="Arial" w:cs="Arial"/>
        </w:rPr>
        <w:t xml:space="preserve">Proximate composition of biofloc collected from different treatment showed difference in protein (%) and fat (%). As increase the C:N ratio 10:1 to 20:1 protein and fat also increase. </w:t>
      </w:r>
    </w:p>
    <w:p w14:paraId="0699BC02" w14:textId="77777777" w:rsidR="004F4873" w:rsidRDefault="002C4901">
      <w:pPr>
        <w:pStyle w:val="Body"/>
        <w:spacing w:after="0"/>
        <w:rPr>
          <w:rFonts w:ascii="Arial" w:hAnsi="Arial" w:cs="Arial"/>
        </w:rPr>
      </w:pPr>
      <w:r>
        <w:rPr>
          <w:rFonts w:ascii="Arial" w:hAnsi="Arial" w:cs="Arial"/>
        </w:rPr>
        <w:t>This study assesses the composition (% dry matter) of bio-floc under different C:N ratios (10:1, 15:1, and 20:1). The treatment T3 exhibited the highest protein content at 35.33%, followed by T2 (34.83%) and T1 (33.43%) respectively. In terms of fat content, T3 recorded the highest value at 1.75%, while T1 and T2 showed lower values at 1.41% and 1.29%, respectively. The moisture content varied slightly, with T2 having the highest at 11.19%, followed by T3 (10.83%) and T1 (10.28%). These results underscore the influence of C:N ratios on the nutritional composition of bio-floc, providing valuable insights for optimizing bio-floc production. The trends show that an increase level of protein and lipid level with increase C:N ratio may be attributed that the assimilation of nitrogen is evident in due to the presence of heterotrophic microbial community also evidenced from the significantly higher crude protein content observed in the biofloc of the treatments(Rajkumar</w:t>
      </w:r>
      <w:r>
        <w:rPr>
          <w:rFonts w:ascii="Arial" w:hAnsi="Arial" w:cs="Arial"/>
          <w:i/>
          <w:iCs/>
        </w:rPr>
        <w:t xml:space="preserve"> et al</w:t>
      </w:r>
      <w:r>
        <w:rPr>
          <w:rFonts w:ascii="Arial" w:hAnsi="Arial" w:cs="Arial"/>
        </w:rPr>
        <w:t xml:space="preserve">., 2015 ).The differences in proximate composition among treatments could be attributed to the varying requirements of carbon by different microbial communities, their interactions, as suggested by Emerenciano </w:t>
      </w:r>
      <w:r>
        <w:rPr>
          <w:rFonts w:ascii="Arial" w:hAnsi="Arial" w:cs="Arial"/>
          <w:i/>
          <w:iCs/>
        </w:rPr>
        <w:t>et al</w:t>
      </w:r>
      <w:r>
        <w:rPr>
          <w:rFonts w:ascii="Arial" w:hAnsi="Arial" w:cs="Arial"/>
        </w:rPr>
        <w:t xml:space="preserve">. (2011) and Ekasari </w:t>
      </w:r>
      <w:r>
        <w:rPr>
          <w:rFonts w:ascii="Arial" w:hAnsi="Arial" w:cs="Arial"/>
          <w:i/>
          <w:iCs/>
        </w:rPr>
        <w:t>et al.</w:t>
      </w:r>
      <w:r>
        <w:rPr>
          <w:rFonts w:ascii="Arial" w:hAnsi="Arial" w:cs="Arial"/>
        </w:rPr>
        <w:t xml:space="preserve"> (2016). They proposed that the proximate composition of microbial floc varies depending on the carbon source, feed composition, environmental conditions, culture time, and other factors. The disparity among treatments may be due to the abundance of microbial and associated conglomerates, as supported by Hosain </w:t>
      </w:r>
      <w:r>
        <w:rPr>
          <w:rFonts w:ascii="Arial" w:hAnsi="Arial" w:cs="Arial"/>
          <w:i/>
          <w:iCs/>
        </w:rPr>
        <w:t>et al.</w:t>
      </w:r>
      <w:r>
        <w:rPr>
          <w:rFonts w:ascii="Arial" w:hAnsi="Arial" w:cs="Arial"/>
        </w:rPr>
        <w:t xml:space="preserve"> (2021), while differences in microbial communities and their interaction patterns could account for variations in different treatments, as suggested by Xu and Pan (2013).</w:t>
      </w:r>
    </w:p>
    <w:p w14:paraId="52CE4289" w14:textId="77777777" w:rsidR="004F4873" w:rsidRDefault="004F4873">
      <w:pPr>
        <w:pStyle w:val="AbstHead"/>
        <w:spacing w:after="0"/>
        <w:jc w:val="both"/>
        <w:rPr>
          <w:rFonts w:ascii="Arial" w:hAnsi="Arial" w:cs="Arial"/>
        </w:rPr>
      </w:pPr>
    </w:p>
    <w:tbl>
      <w:tblPr>
        <w:tblW w:w="10413" w:type="dxa"/>
        <w:tblInd w:w="-552" w:type="dxa"/>
        <w:tblLook w:val="04A0" w:firstRow="1" w:lastRow="0" w:firstColumn="1" w:lastColumn="0" w:noHBand="0" w:noVBand="1"/>
      </w:tblPr>
      <w:tblGrid>
        <w:gridCol w:w="3626"/>
        <w:gridCol w:w="3378"/>
        <w:gridCol w:w="3409"/>
      </w:tblGrid>
      <w:tr w:rsidR="004F4873" w14:paraId="64DCEAA0" w14:textId="77777777">
        <w:trPr>
          <w:trHeight w:val="20"/>
        </w:trPr>
        <w:tc>
          <w:tcPr>
            <w:tcW w:w="3626" w:type="dxa"/>
            <w:tcMar>
              <w:top w:w="0" w:type="dxa"/>
              <w:left w:w="108" w:type="dxa"/>
              <w:bottom w:w="0" w:type="dxa"/>
              <w:right w:w="108" w:type="dxa"/>
            </w:tcMar>
          </w:tcPr>
          <w:p w14:paraId="4DDB693F" w14:textId="77777777" w:rsidR="004F4873" w:rsidRDefault="002C4901">
            <w:pPr>
              <w:spacing w:after="200" w:line="276" w:lineRule="auto"/>
              <w:rPr>
                <w:rFonts w:ascii="Arial" w:hAnsi="Arial" w:cs="Arial"/>
              </w:rPr>
            </w:pPr>
            <w:r>
              <w:rPr>
                <w:rFonts w:ascii="Times New Roman" w:eastAsia="Calibri" w:hAnsi="Times New Roman"/>
                <w:noProof/>
                <w:sz w:val="24"/>
                <w:szCs w:val="24"/>
              </w:rPr>
              <w:drawing>
                <wp:inline distT="0" distB="0" distL="0" distR="0" wp14:anchorId="5C58FDDF" wp14:editId="5D1044A1">
                  <wp:extent cx="2076449" cy="1952625"/>
                  <wp:effectExtent l="0" t="0" r="0" b="0"/>
                  <wp:docPr id="1028" name="Image1" descr="Fb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4" cstate="print"/>
                          <a:srcRect l="9615" r="2556" b="34415"/>
                          <a:stretch/>
                        </pic:blipFill>
                        <pic:spPr>
                          <a:xfrm>
                            <a:off x="0" y="0"/>
                            <a:ext cx="2076449" cy="1952625"/>
                          </a:xfrm>
                          <a:prstGeom prst="rect">
                            <a:avLst/>
                          </a:prstGeom>
                        </pic:spPr>
                      </pic:pic>
                    </a:graphicData>
                  </a:graphic>
                </wp:inline>
              </w:drawing>
            </w:r>
          </w:p>
        </w:tc>
        <w:tc>
          <w:tcPr>
            <w:tcW w:w="3378" w:type="dxa"/>
            <w:tcMar>
              <w:top w:w="0" w:type="dxa"/>
              <w:left w:w="108" w:type="dxa"/>
              <w:bottom w:w="0" w:type="dxa"/>
              <w:right w:w="108" w:type="dxa"/>
            </w:tcMar>
          </w:tcPr>
          <w:p w14:paraId="756169CE" w14:textId="77777777" w:rsidR="004F4873" w:rsidRDefault="002C4901">
            <w:pPr>
              <w:spacing w:after="200" w:line="276" w:lineRule="auto"/>
              <w:rPr>
                <w:rFonts w:ascii="Arial" w:hAnsi="Arial" w:cs="Arial"/>
              </w:rPr>
            </w:pPr>
            <w:r>
              <w:rPr>
                <w:rFonts w:ascii="Times New Roman" w:eastAsia="Calibri" w:hAnsi="Times New Roman"/>
                <w:noProof/>
                <w:sz w:val="24"/>
                <w:szCs w:val="24"/>
              </w:rPr>
              <w:drawing>
                <wp:inline distT="0" distB="0" distL="0" distR="0" wp14:anchorId="5425AE8D" wp14:editId="44A63DCD">
                  <wp:extent cx="1914525" cy="2038350"/>
                  <wp:effectExtent l="0" t="0" r="0" b="0"/>
                  <wp:docPr id="1029" name="Image1" descr="Fb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5" cstate="print"/>
                          <a:srcRect l="22596" b="36220"/>
                          <a:stretch/>
                        </pic:blipFill>
                        <pic:spPr>
                          <a:xfrm>
                            <a:off x="0" y="0"/>
                            <a:ext cx="1914525" cy="2038350"/>
                          </a:xfrm>
                          <a:prstGeom prst="rect">
                            <a:avLst/>
                          </a:prstGeom>
                        </pic:spPr>
                      </pic:pic>
                    </a:graphicData>
                  </a:graphic>
                </wp:inline>
              </w:drawing>
            </w:r>
          </w:p>
        </w:tc>
        <w:tc>
          <w:tcPr>
            <w:tcW w:w="3409" w:type="dxa"/>
            <w:tcMar>
              <w:top w:w="0" w:type="dxa"/>
              <w:left w:w="108" w:type="dxa"/>
              <w:bottom w:w="0" w:type="dxa"/>
              <w:right w:w="108" w:type="dxa"/>
            </w:tcMar>
          </w:tcPr>
          <w:p w14:paraId="3524EE76" w14:textId="77777777" w:rsidR="004F4873" w:rsidRDefault="002C4901">
            <w:pPr>
              <w:spacing w:after="200" w:line="276" w:lineRule="auto"/>
              <w:rPr>
                <w:rFonts w:ascii="Arial" w:hAnsi="Arial" w:cs="Arial"/>
              </w:rPr>
            </w:pPr>
            <w:r>
              <w:rPr>
                <w:rFonts w:ascii="Times New Roman" w:eastAsia="Calibri" w:hAnsi="Times New Roman"/>
                <w:noProof/>
                <w:sz w:val="24"/>
                <w:szCs w:val="24"/>
              </w:rPr>
              <w:drawing>
                <wp:inline distT="0" distB="0" distL="0" distR="0" wp14:anchorId="389DAE80" wp14:editId="143C33DA">
                  <wp:extent cx="1943100" cy="2038350"/>
                  <wp:effectExtent l="0" t="0" r="0" b="0"/>
                  <wp:docPr id="1030" name="Image1" descr="FB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6" cstate="print"/>
                          <a:srcRect b="11432"/>
                          <a:stretch/>
                        </pic:blipFill>
                        <pic:spPr>
                          <a:xfrm>
                            <a:off x="0" y="0"/>
                            <a:ext cx="1943100" cy="2038350"/>
                          </a:xfrm>
                          <a:prstGeom prst="rect">
                            <a:avLst/>
                          </a:prstGeom>
                        </pic:spPr>
                      </pic:pic>
                    </a:graphicData>
                  </a:graphic>
                </wp:inline>
              </w:drawing>
            </w:r>
          </w:p>
        </w:tc>
      </w:tr>
      <w:tr w:rsidR="004F4873" w14:paraId="1BF99C94" w14:textId="77777777">
        <w:trPr>
          <w:trHeight w:val="20"/>
        </w:trPr>
        <w:tc>
          <w:tcPr>
            <w:tcW w:w="3626" w:type="dxa"/>
            <w:tcMar>
              <w:top w:w="0" w:type="dxa"/>
              <w:left w:w="108" w:type="dxa"/>
              <w:bottom w:w="0" w:type="dxa"/>
              <w:right w:w="108" w:type="dxa"/>
            </w:tcMar>
          </w:tcPr>
          <w:p w14:paraId="0A21DA17" w14:textId="77777777" w:rsidR="004F4873" w:rsidRDefault="002C4901">
            <w:pPr>
              <w:spacing w:after="200" w:line="276" w:lineRule="auto"/>
              <w:jc w:val="center"/>
              <w:rPr>
                <w:rFonts w:ascii="Arial" w:hAnsi="Arial" w:cs="Arial"/>
              </w:rPr>
            </w:pPr>
            <w:r>
              <w:rPr>
                <w:rFonts w:ascii="Times New Roman" w:eastAsia="Calibri" w:hAnsi="Times New Roman"/>
                <w:sz w:val="24"/>
                <w:szCs w:val="24"/>
              </w:rPr>
              <w:t>i</w:t>
            </w:r>
          </w:p>
        </w:tc>
        <w:tc>
          <w:tcPr>
            <w:tcW w:w="3378" w:type="dxa"/>
            <w:tcMar>
              <w:top w:w="0" w:type="dxa"/>
              <w:left w:w="108" w:type="dxa"/>
              <w:bottom w:w="0" w:type="dxa"/>
              <w:right w:w="108" w:type="dxa"/>
            </w:tcMar>
          </w:tcPr>
          <w:p w14:paraId="4FB84F4A" w14:textId="77777777" w:rsidR="004F4873" w:rsidRDefault="002C4901">
            <w:pPr>
              <w:spacing w:after="200" w:line="276" w:lineRule="auto"/>
              <w:jc w:val="center"/>
              <w:rPr>
                <w:rFonts w:ascii="Arial" w:hAnsi="Arial" w:cs="Arial"/>
              </w:rPr>
            </w:pPr>
            <w:r>
              <w:rPr>
                <w:rFonts w:ascii="Times New Roman" w:eastAsia="Calibri" w:hAnsi="Times New Roman"/>
                <w:sz w:val="24"/>
                <w:szCs w:val="24"/>
              </w:rPr>
              <w:t>ii</w:t>
            </w:r>
          </w:p>
        </w:tc>
        <w:tc>
          <w:tcPr>
            <w:tcW w:w="3409" w:type="dxa"/>
            <w:tcMar>
              <w:top w:w="0" w:type="dxa"/>
              <w:left w:w="108" w:type="dxa"/>
              <w:bottom w:w="0" w:type="dxa"/>
              <w:right w:w="108" w:type="dxa"/>
            </w:tcMar>
          </w:tcPr>
          <w:p w14:paraId="6CC6A6CB" w14:textId="77777777" w:rsidR="004F4873" w:rsidRDefault="002C4901">
            <w:pPr>
              <w:spacing w:after="200" w:line="276" w:lineRule="auto"/>
              <w:jc w:val="center"/>
              <w:rPr>
                <w:rFonts w:ascii="Arial" w:hAnsi="Arial" w:cs="Arial"/>
              </w:rPr>
            </w:pPr>
            <w:r>
              <w:rPr>
                <w:rFonts w:ascii="Times New Roman" w:eastAsia="Calibri" w:hAnsi="Times New Roman"/>
                <w:sz w:val="24"/>
                <w:szCs w:val="24"/>
              </w:rPr>
              <w:t>iii</w:t>
            </w:r>
          </w:p>
        </w:tc>
      </w:tr>
      <w:tr w:rsidR="004F4873" w14:paraId="4DE86AA4" w14:textId="77777777">
        <w:trPr>
          <w:trHeight w:val="20"/>
        </w:trPr>
        <w:tc>
          <w:tcPr>
            <w:tcW w:w="3626" w:type="dxa"/>
            <w:tcMar>
              <w:top w:w="0" w:type="dxa"/>
              <w:left w:w="108" w:type="dxa"/>
              <w:bottom w:w="0" w:type="dxa"/>
              <w:right w:w="108" w:type="dxa"/>
            </w:tcMar>
          </w:tcPr>
          <w:p w14:paraId="51F8A3B8" w14:textId="77777777" w:rsidR="004F4873" w:rsidRDefault="002C4901">
            <w:pPr>
              <w:spacing w:after="200" w:line="276" w:lineRule="auto"/>
              <w:rPr>
                <w:rFonts w:ascii="Arial" w:hAnsi="Arial" w:cs="Arial"/>
              </w:rPr>
            </w:pPr>
            <w:r>
              <w:rPr>
                <w:rFonts w:ascii="Times New Roman" w:eastAsia="Calibri" w:hAnsi="Times New Roman"/>
                <w:noProof/>
                <w:sz w:val="24"/>
                <w:szCs w:val="24"/>
              </w:rPr>
              <w:drawing>
                <wp:inline distT="0" distB="0" distL="0" distR="0" wp14:anchorId="649DF362" wp14:editId="1A8ED17E">
                  <wp:extent cx="2076449" cy="1885950"/>
                  <wp:effectExtent l="0" t="0" r="0" b="0"/>
                  <wp:docPr id="1031" name="Image1" descr="Fb1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7" cstate="print"/>
                          <a:srcRect b="41898"/>
                          <a:stretch/>
                        </pic:blipFill>
                        <pic:spPr>
                          <a:xfrm>
                            <a:off x="0" y="0"/>
                            <a:ext cx="2076449" cy="1885950"/>
                          </a:xfrm>
                          <a:prstGeom prst="rect">
                            <a:avLst/>
                          </a:prstGeom>
                        </pic:spPr>
                      </pic:pic>
                    </a:graphicData>
                  </a:graphic>
                </wp:inline>
              </w:drawing>
            </w:r>
          </w:p>
        </w:tc>
        <w:tc>
          <w:tcPr>
            <w:tcW w:w="3378" w:type="dxa"/>
            <w:tcMar>
              <w:top w:w="0" w:type="dxa"/>
              <w:left w:w="108" w:type="dxa"/>
              <w:bottom w:w="0" w:type="dxa"/>
              <w:right w:w="108" w:type="dxa"/>
            </w:tcMar>
          </w:tcPr>
          <w:p w14:paraId="4AADAE66" w14:textId="77777777" w:rsidR="004F4873" w:rsidRDefault="002C4901">
            <w:pPr>
              <w:spacing w:after="200" w:line="276" w:lineRule="auto"/>
              <w:rPr>
                <w:rFonts w:ascii="Arial" w:hAnsi="Arial" w:cs="Arial"/>
              </w:rPr>
            </w:pPr>
            <w:r>
              <w:rPr>
                <w:rFonts w:ascii="Times New Roman" w:eastAsia="Calibri" w:hAnsi="Times New Roman"/>
                <w:noProof/>
                <w:sz w:val="24"/>
                <w:szCs w:val="24"/>
              </w:rPr>
              <w:drawing>
                <wp:inline distT="0" distB="0" distL="0" distR="0" wp14:anchorId="74078EE9" wp14:editId="61026D10">
                  <wp:extent cx="1914525" cy="1885950"/>
                  <wp:effectExtent l="0" t="0" r="0" b="0"/>
                  <wp:docPr id="1032" name="Image1" descr="Fb1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8" cstate="print"/>
                          <a:srcRect l="29007" t="10228" b="25272"/>
                          <a:stretch/>
                        </pic:blipFill>
                        <pic:spPr>
                          <a:xfrm>
                            <a:off x="0" y="0"/>
                            <a:ext cx="1914525" cy="1885950"/>
                          </a:xfrm>
                          <a:prstGeom prst="rect">
                            <a:avLst/>
                          </a:prstGeom>
                        </pic:spPr>
                      </pic:pic>
                    </a:graphicData>
                  </a:graphic>
                </wp:inline>
              </w:drawing>
            </w:r>
          </w:p>
        </w:tc>
        <w:tc>
          <w:tcPr>
            <w:tcW w:w="3409" w:type="dxa"/>
            <w:tcMar>
              <w:top w:w="0" w:type="dxa"/>
              <w:left w:w="108" w:type="dxa"/>
              <w:bottom w:w="0" w:type="dxa"/>
              <w:right w:w="108" w:type="dxa"/>
            </w:tcMar>
          </w:tcPr>
          <w:p w14:paraId="04084FC2" w14:textId="77777777" w:rsidR="004F4873" w:rsidRDefault="002C4901">
            <w:pPr>
              <w:spacing w:after="200" w:line="276" w:lineRule="auto"/>
              <w:rPr>
                <w:rFonts w:ascii="Arial" w:hAnsi="Arial" w:cs="Arial"/>
              </w:rPr>
            </w:pPr>
            <w:r>
              <w:rPr>
                <w:rFonts w:ascii="Times New Roman" w:eastAsia="Calibri" w:hAnsi="Times New Roman"/>
                <w:noProof/>
                <w:sz w:val="24"/>
                <w:szCs w:val="24"/>
              </w:rPr>
              <w:drawing>
                <wp:inline distT="0" distB="0" distL="0" distR="0" wp14:anchorId="351EF8B9" wp14:editId="003898FE">
                  <wp:extent cx="1943100" cy="1885950"/>
                  <wp:effectExtent l="0" t="0" r="0" b="0"/>
                  <wp:docPr id="1033" name="Image1" descr="FB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9" cstate="print"/>
                          <a:srcRect l="12500" t="1203" r="7364" b="37424"/>
                          <a:stretch/>
                        </pic:blipFill>
                        <pic:spPr>
                          <a:xfrm>
                            <a:off x="0" y="0"/>
                            <a:ext cx="1943100" cy="1885950"/>
                          </a:xfrm>
                          <a:prstGeom prst="rect">
                            <a:avLst/>
                          </a:prstGeom>
                        </pic:spPr>
                      </pic:pic>
                    </a:graphicData>
                  </a:graphic>
                </wp:inline>
              </w:drawing>
            </w:r>
          </w:p>
        </w:tc>
      </w:tr>
    </w:tbl>
    <w:p w14:paraId="684FF303" w14:textId="77777777" w:rsidR="004F4873" w:rsidRDefault="002C4901">
      <w:pPr>
        <w:pStyle w:val="Body"/>
        <w:spacing w:after="0"/>
        <w:rPr>
          <w:rFonts w:ascii="Arial" w:hAnsi="Arial" w:cs="Arial"/>
        </w:rPr>
      </w:pPr>
      <w:r>
        <w:rPr>
          <w:rFonts w:ascii="Arial" w:hAnsi="Arial" w:cs="Arial"/>
        </w:rPr>
        <w:t>Figure 1. Observed floc under microscope @10X (I,ii,iii,iv,v,vi)</w:t>
      </w:r>
    </w:p>
    <w:p w14:paraId="5E2AA755" w14:textId="77777777" w:rsidR="004F4873" w:rsidRDefault="002C4901">
      <w:pPr>
        <w:pStyle w:val="Body"/>
        <w:spacing w:after="0"/>
        <w:rPr>
          <w:rFonts w:ascii="Arial" w:hAnsi="Arial" w:cs="Arial"/>
        </w:rPr>
      </w:pPr>
      <w:r>
        <w:rPr>
          <w:rFonts w:ascii="Arial" w:hAnsi="Arial" w:cs="Arial"/>
        </w:rPr>
        <w:t xml:space="preserve"> </w:t>
      </w:r>
    </w:p>
    <w:p w14:paraId="256261A4" w14:textId="77777777" w:rsidR="004F4873" w:rsidRDefault="002C4901">
      <w:pPr>
        <w:pStyle w:val="ConcHead"/>
        <w:spacing w:after="0"/>
        <w:jc w:val="both"/>
        <w:rPr>
          <w:rFonts w:ascii="Arial" w:hAnsi="Arial" w:cs="Arial"/>
        </w:rPr>
      </w:pPr>
      <w:r>
        <w:rPr>
          <w:rFonts w:ascii="Arial" w:hAnsi="Arial" w:cs="Arial"/>
        </w:rPr>
        <w:t>4. Conclusion</w:t>
      </w:r>
    </w:p>
    <w:p w14:paraId="4A488A6C" w14:textId="77777777" w:rsidR="004F4873" w:rsidRDefault="002C4901">
      <w:pPr>
        <w:pStyle w:val="Body"/>
        <w:spacing w:after="0"/>
        <w:rPr>
          <w:rFonts w:hAnsi="Arial" w:cs="Arial"/>
        </w:rPr>
      </w:pPr>
      <w:r>
        <w:rPr>
          <w:rFonts w:hAnsi="Arial" w:cs="Arial"/>
        </w:rPr>
        <w:t xml:space="preserve">The study confirms that maintaining a higher C:N ratio of 20:1 using millet as an economical and effective carbon source significantly enhanced biofloc system performance. This optimized ratio supports improved fish growth, better water quality, efficient microbial activity and overall system sustainability. Therefore, an C:N ratio of 20:1 is recommended for the successful culture of </w:t>
      </w:r>
      <w:r>
        <w:rPr>
          <w:rFonts w:hAnsi="Arial" w:cs="Arial"/>
          <w:i/>
          <w:iCs/>
        </w:rPr>
        <w:t>Catla catla</w:t>
      </w:r>
      <w:r>
        <w:rPr>
          <w:rFonts w:hAnsi="Arial" w:cs="Arial"/>
        </w:rPr>
        <w:t xml:space="preserve"> in biofloc aquaculture systems. </w:t>
      </w:r>
    </w:p>
    <w:p w14:paraId="5BF333C4" w14:textId="77777777" w:rsidR="004F4873" w:rsidRDefault="004F4873">
      <w:pPr>
        <w:pStyle w:val="Body"/>
        <w:spacing w:after="0"/>
        <w:rPr>
          <w:rFonts w:hAnsi="Arial" w:cs="Arial"/>
        </w:rPr>
      </w:pPr>
    </w:p>
    <w:p w14:paraId="03DA9EE5" w14:textId="77777777" w:rsidR="004F4873" w:rsidRDefault="004F4873">
      <w:pPr>
        <w:pStyle w:val="ReferHead"/>
        <w:spacing w:after="0"/>
        <w:jc w:val="both"/>
        <w:rPr>
          <w:rFonts w:ascii="Arial" w:hAnsi="Arial" w:cs="Arial"/>
        </w:rPr>
      </w:pPr>
      <w:bookmarkStart w:id="3" w:name="_GoBack"/>
      <w:bookmarkEnd w:id="3"/>
    </w:p>
    <w:p w14:paraId="750E5815" w14:textId="77777777" w:rsidR="004F4873" w:rsidRDefault="002C4901">
      <w:pPr>
        <w:pStyle w:val="ReferHead"/>
        <w:spacing w:after="0"/>
        <w:jc w:val="both"/>
        <w:rPr>
          <w:rFonts w:ascii="Arial" w:hAnsi="Arial" w:cs="Arial"/>
        </w:rPr>
      </w:pPr>
      <w:r>
        <w:rPr>
          <w:rFonts w:ascii="Arial" w:hAnsi="Arial" w:cs="Arial"/>
        </w:rPr>
        <w:t>7. References</w:t>
      </w:r>
    </w:p>
    <w:p w14:paraId="425613DE" w14:textId="77777777" w:rsidR="004F4873" w:rsidRDefault="004F4873">
      <w:pPr>
        <w:pStyle w:val="Body"/>
        <w:spacing w:after="0"/>
        <w:rPr>
          <w:rFonts w:ascii="Arial" w:hAnsi="Arial" w:cs="Arial"/>
        </w:rPr>
      </w:pPr>
    </w:p>
    <w:p w14:paraId="7B44F766" w14:textId="77777777" w:rsidR="004F4873" w:rsidRDefault="002C4901">
      <w:pPr>
        <w:pStyle w:val="Body"/>
        <w:spacing w:after="0"/>
        <w:rPr>
          <w:rFonts w:ascii="Arial" w:hAnsi="Arial" w:cs="Arial"/>
        </w:rPr>
      </w:pPr>
      <w:r>
        <w:rPr>
          <w:rFonts w:ascii="Arial" w:hAnsi="Arial" w:cs="Arial"/>
        </w:rPr>
        <w:t xml:space="preserve">Ahmad, I., Verma, A. K., Rani, A. M. B., Rathore, G., Saharan, N., and Gora, A. H. (2016). Growth, non-specific immunity and disease resistance of </w:t>
      </w:r>
      <w:r>
        <w:rPr>
          <w:rFonts w:ascii="Arial" w:hAnsi="Arial" w:cs="Arial"/>
          <w:i/>
          <w:iCs/>
        </w:rPr>
        <w:t>Labeo rohita</w:t>
      </w:r>
      <w:r>
        <w:rPr>
          <w:rFonts w:ascii="Arial" w:hAnsi="Arial" w:cs="Arial"/>
        </w:rPr>
        <w:t xml:space="preserve"> against </w:t>
      </w:r>
      <w:r>
        <w:rPr>
          <w:rFonts w:ascii="Arial" w:hAnsi="Arial" w:cs="Arial"/>
          <w:i/>
          <w:iCs/>
        </w:rPr>
        <w:t>Aeromonas hydrophila</w:t>
      </w:r>
      <w:r>
        <w:rPr>
          <w:rFonts w:ascii="Arial" w:hAnsi="Arial" w:cs="Arial"/>
        </w:rPr>
        <w:t xml:space="preserve"> in biofloc systems using different carbon sources. Aquaculture, 457, 61–67. https://doi.org/10.1016/j.aquaculture.2016.02.011</w:t>
      </w:r>
    </w:p>
    <w:p w14:paraId="1FD3F666" w14:textId="77777777" w:rsidR="004F4873" w:rsidRDefault="002C4901">
      <w:pPr>
        <w:pStyle w:val="Body"/>
        <w:spacing w:after="0"/>
        <w:rPr>
          <w:rFonts w:ascii="Arial" w:hAnsi="Arial" w:cs="Arial"/>
        </w:rPr>
      </w:pPr>
      <w:r>
        <w:rPr>
          <w:rFonts w:ascii="Arial" w:hAnsi="Arial" w:cs="Arial"/>
        </w:rPr>
        <w:t>AOAC, 1995. Official methods of analysis. In: Association of Official Analytical Chemists</w:t>
      </w:r>
    </w:p>
    <w:p w14:paraId="21A061BA" w14:textId="77777777" w:rsidR="004F4873" w:rsidRDefault="002C4901">
      <w:pPr>
        <w:pStyle w:val="Body"/>
        <w:spacing w:after="0"/>
        <w:rPr>
          <w:rFonts w:ascii="Arial" w:hAnsi="Arial" w:cs="Arial"/>
        </w:rPr>
      </w:pPr>
      <w:r>
        <w:rPr>
          <w:rFonts w:ascii="Arial" w:hAnsi="Arial" w:cs="Arial"/>
        </w:rPr>
        <w:t>APHA, 1998. Standard methods for the examination of the water and wastewater, 22nd ed.                American Public Health Association, Washingtosn, United States.</w:t>
      </w:r>
    </w:p>
    <w:p w14:paraId="20D1D8AA" w14:textId="77777777" w:rsidR="004F4873" w:rsidRDefault="002C4901">
      <w:pPr>
        <w:pStyle w:val="Body"/>
        <w:spacing w:after="0"/>
        <w:rPr>
          <w:rFonts w:ascii="Arial" w:hAnsi="Arial" w:cs="Arial"/>
        </w:rPr>
      </w:pPr>
      <w:r>
        <w:rPr>
          <w:rFonts w:ascii="Arial" w:hAnsi="Arial" w:cs="Arial"/>
        </w:rPr>
        <w:t xml:space="preserve">Asaduzzaman, M., Wahab, M., Verdegem, M., Huque, S., Salam, M., and Äzim, M. (2008). C/N ratio control and substrate addition for periphyton development jointly enhance freshwater </w:t>
      </w:r>
      <w:r>
        <w:rPr>
          <w:rFonts w:ascii="Arial" w:hAnsi="Arial" w:cs="Arial"/>
        </w:rPr>
        <w:lastRenderedPageBreak/>
        <w:t xml:space="preserve">prawn </w:t>
      </w:r>
      <w:r>
        <w:rPr>
          <w:rFonts w:ascii="Arial" w:hAnsi="Arial" w:cs="Arial"/>
          <w:i/>
          <w:iCs/>
        </w:rPr>
        <w:t>Macrobrachium rosenbergii</w:t>
      </w:r>
      <w:r>
        <w:rPr>
          <w:rFonts w:ascii="Arial" w:hAnsi="Arial" w:cs="Arial"/>
        </w:rPr>
        <w:t xml:space="preserve"> production in ponds. Aquaculture, 280(1–4), 117–123. https://doi.org/10.1016/j.aquaculture.2008.04.019</w:t>
      </w:r>
    </w:p>
    <w:p w14:paraId="2D71BF29" w14:textId="77777777" w:rsidR="004F4873" w:rsidRDefault="002C4901">
      <w:pPr>
        <w:pStyle w:val="Body"/>
        <w:spacing w:after="0"/>
        <w:rPr>
          <w:rFonts w:ascii="Arial" w:hAnsi="Arial" w:cs="Arial"/>
        </w:rPr>
      </w:pPr>
      <w:r>
        <w:rPr>
          <w:rFonts w:ascii="Arial" w:hAnsi="Arial" w:cs="Arial"/>
        </w:rPr>
        <w:t>Avnimelech, Y. (1999). Carbon/nitrogen ratio as a control element in aquaculture systems. Aquaculture, 176(3–4), 227–235. https://doi.org/10.1016/s0044-8486(99)00085-x</w:t>
      </w:r>
    </w:p>
    <w:p w14:paraId="7FBF53B8" w14:textId="77777777" w:rsidR="004F4873" w:rsidRDefault="002C4901">
      <w:pPr>
        <w:pStyle w:val="Body"/>
        <w:spacing w:after="0"/>
        <w:rPr>
          <w:rFonts w:ascii="Arial" w:hAnsi="Arial" w:cs="Arial"/>
        </w:rPr>
      </w:pPr>
      <w:r>
        <w:rPr>
          <w:rFonts w:ascii="Arial" w:hAnsi="Arial" w:cs="Arial"/>
        </w:rPr>
        <w:t>Avnimelech, Y. (2014). Biofloc technology : a practical guide book. http://ci.nii.ac.jp/ncid/BB13968450</w:t>
      </w:r>
    </w:p>
    <w:p w14:paraId="69FBB327" w14:textId="77777777" w:rsidR="004F4873" w:rsidRDefault="002C4901">
      <w:pPr>
        <w:pStyle w:val="Body"/>
        <w:spacing w:after="0"/>
        <w:rPr>
          <w:rFonts w:ascii="Arial" w:hAnsi="Arial" w:cs="Arial"/>
        </w:rPr>
      </w:pPr>
      <w:r>
        <w:rPr>
          <w:rFonts w:ascii="Arial" w:hAnsi="Arial" w:cs="Arial"/>
        </w:rPr>
        <w:t>Avnimelech, Y., (2007). Feeding with microbial flocs by tilapia in minimal discharge bioflocs technology ponds. Aquaculture 264, 140–147. https://doi.org/10.1016/j. aquaculture.2006.11.025.</w:t>
      </w:r>
    </w:p>
    <w:p w14:paraId="7814BC00" w14:textId="77777777" w:rsidR="004F4873" w:rsidRDefault="002C4901">
      <w:pPr>
        <w:pStyle w:val="Body"/>
        <w:spacing w:after="0"/>
        <w:rPr>
          <w:rFonts w:ascii="Arial" w:hAnsi="Arial" w:cs="Arial"/>
        </w:rPr>
      </w:pPr>
      <w:r>
        <w:rPr>
          <w:rFonts w:ascii="Arial" w:hAnsi="Arial" w:cs="Arial"/>
        </w:rPr>
        <w:t>Avnimelech, Y., Verdegem, M., Keshavanath, P., &amp; Kurup, B. M. (2008). Sustainable land-based aquaculture: rational utilization of water, land and feed resources. Mediterranean Aquaculture Journal (Online), 1(1), 45–54. https://doi.org/10.21608/maj.2008.2663</w:t>
      </w:r>
    </w:p>
    <w:p w14:paraId="4E7D4E3A" w14:textId="77777777" w:rsidR="004F4873" w:rsidRDefault="002C4901">
      <w:pPr>
        <w:pStyle w:val="Body"/>
        <w:spacing w:after="0"/>
        <w:rPr>
          <w:rFonts w:ascii="Arial" w:hAnsi="Arial" w:cs="Arial"/>
        </w:rPr>
      </w:pPr>
      <w:r>
        <w:rPr>
          <w:rFonts w:ascii="Arial" w:hAnsi="Arial" w:cs="Arial"/>
        </w:rPr>
        <w:t>Äzim, M., and Little, D. C. (2008). The biofloc technology (BFT) in indoor tanks: Water quality, biofloc composition, and growth and welfare of Nile tilapia (</w:t>
      </w:r>
      <w:r>
        <w:rPr>
          <w:rFonts w:ascii="Arial" w:hAnsi="Arial" w:cs="Arial"/>
          <w:i/>
          <w:iCs/>
        </w:rPr>
        <w:t>Oreochromis niloticus</w:t>
      </w:r>
      <w:r>
        <w:rPr>
          <w:rFonts w:ascii="Arial" w:hAnsi="Arial" w:cs="Arial"/>
        </w:rPr>
        <w:t>). Aquaculture, 283(1–4), 29–35. https://doi.org/10.1016/j.aquaculture.2008.06.036</w:t>
      </w:r>
    </w:p>
    <w:p w14:paraId="382ED539" w14:textId="77777777" w:rsidR="004F4873" w:rsidRDefault="002C4901">
      <w:pPr>
        <w:pStyle w:val="Body"/>
        <w:spacing w:after="0"/>
        <w:rPr>
          <w:rFonts w:ascii="Arial" w:hAnsi="Arial" w:cs="Arial"/>
        </w:rPr>
      </w:pPr>
      <w:r>
        <w:rPr>
          <w:rFonts w:ascii="Arial" w:hAnsi="Arial" w:cs="Arial"/>
        </w:rPr>
        <w:t xml:space="preserve">Ballester, E. L. C., Abreu, P. C., Cavalli, R. O., Emerenciano, M. G. C., De Abreu, L., &amp; Wasielesky, W. (2010). Effect of practical diets with different protein levels on the performance of </w:t>
      </w:r>
      <w:r>
        <w:rPr>
          <w:rFonts w:ascii="Arial" w:hAnsi="Arial" w:cs="Arial"/>
          <w:i/>
          <w:iCs/>
        </w:rPr>
        <w:t>Farfantepenaeus paulensis</w:t>
      </w:r>
      <w:r>
        <w:rPr>
          <w:rFonts w:ascii="Arial" w:hAnsi="Arial" w:cs="Arial"/>
        </w:rPr>
        <w:t xml:space="preserve"> juveniles nursed in a zero exchange suspended microbial flocs intensive system. Aquaculture Nutrition, 16(2), 163–172. https://doi.org/10.1111/j.1365-2095.2009.00648.x</w:t>
      </w:r>
    </w:p>
    <w:p w14:paraId="77B6B07D" w14:textId="77777777" w:rsidR="004F4873" w:rsidRDefault="002C4901">
      <w:pPr>
        <w:pStyle w:val="Body"/>
        <w:spacing w:after="0"/>
        <w:rPr>
          <w:rFonts w:ascii="Arial" w:hAnsi="Arial" w:cs="Arial"/>
        </w:rPr>
      </w:pPr>
      <w:r>
        <w:rPr>
          <w:rFonts w:ascii="Arial" w:hAnsi="Arial" w:cs="Arial"/>
        </w:rPr>
        <w:t>Crab, R., Defoirdt, T., Bossier, P., &amp; Verstraete, W. (2012). Biofloc technology in aquaculture: Beneficial effects and future challenges. Aquaculture, 356–357, 351–356. https://doi.org/10.1016/j.aquaculture.2012.04.046</w:t>
      </w:r>
    </w:p>
    <w:p w14:paraId="369DA1DF" w14:textId="77777777" w:rsidR="004F4873" w:rsidRDefault="002C4901">
      <w:pPr>
        <w:pStyle w:val="Body"/>
        <w:spacing w:after="0"/>
        <w:rPr>
          <w:rFonts w:ascii="Arial" w:hAnsi="Arial" w:cs="Arial"/>
        </w:rPr>
      </w:pPr>
      <w:r>
        <w:rPr>
          <w:rFonts w:ascii="Arial" w:hAnsi="Arial" w:cs="Arial"/>
        </w:rPr>
        <w:t>Crab, R., Kochva, M., Verstraete, W., &amp; Avnimelech, Y. (2009). Bio-flocs technology application in over-wintering of tilapia. Aquacultural Engineering, 40(3), 105–112. https://doi.org/10.1016/j.aquaeng.2008.12.004</w:t>
      </w:r>
    </w:p>
    <w:p w14:paraId="5857C898" w14:textId="77777777" w:rsidR="004F4873" w:rsidRDefault="002C4901">
      <w:pPr>
        <w:pStyle w:val="Body"/>
        <w:spacing w:after="0"/>
        <w:rPr>
          <w:rFonts w:ascii="Arial" w:hAnsi="Arial" w:cs="Arial"/>
        </w:rPr>
      </w:pPr>
      <w:r>
        <w:rPr>
          <w:rFonts w:ascii="Arial" w:hAnsi="Arial" w:cs="Arial"/>
        </w:rPr>
        <w:t>Crab, R., Lambert, A. W. E., Defoirdt, T., Bossier, P., &amp; Verstraete, W. (2010). The application of bioflocs technology to protect brine shrimp (</w:t>
      </w:r>
      <w:r>
        <w:rPr>
          <w:rFonts w:ascii="Arial" w:hAnsi="Arial" w:cs="Arial"/>
          <w:i/>
          <w:iCs/>
        </w:rPr>
        <w:t>Artemia franciscana</w:t>
      </w:r>
      <w:r>
        <w:rPr>
          <w:rFonts w:ascii="Arial" w:hAnsi="Arial" w:cs="Arial"/>
        </w:rPr>
        <w:t>) from pathogenic Vibrio harveyi. Journal of Applied Microbiology, no. https://doi.org/10.1111/j.1365-2672.2010.04791.x</w:t>
      </w:r>
    </w:p>
    <w:p w14:paraId="3AB74E3A" w14:textId="77777777" w:rsidR="004F4873" w:rsidRDefault="002C4901">
      <w:pPr>
        <w:pStyle w:val="Body"/>
        <w:spacing w:after="0"/>
        <w:rPr>
          <w:rFonts w:ascii="Arial" w:hAnsi="Arial" w:cs="Arial"/>
        </w:rPr>
      </w:pPr>
      <w:r>
        <w:rPr>
          <w:rFonts w:ascii="Arial" w:hAnsi="Arial" w:cs="Arial"/>
        </w:rPr>
        <w:t>Dauda, A. B., Romano, N., Ebrahimi, M., Teh, J. C., Ajadi, A., Chong, C. M., Karim, M., Ikhsan, N. F. M., &amp; Kamarudin, M. S. (2018). Influence of carbon/nitrogen ratios on biofloc production and biochemical composition and subsequent effects on the growth, physiological status and disease resistance of African catfish (Clarias gariepinus) cultured in glycerol-based biofloc systems. Aquaculture, 483, 120–130. https://doi.org/10.1016/j.aquaculture.2017.10.016</w:t>
      </w:r>
    </w:p>
    <w:p w14:paraId="2540ED33" w14:textId="77777777" w:rsidR="004F4873" w:rsidRDefault="002C4901">
      <w:pPr>
        <w:pStyle w:val="Body"/>
        <w:spacing w:after="0"/>
        <w:rPr>
          <w:rFonts w:ascii="Arial" w:hAnsi="Arial" w:cs="Arial"/>
        </w:rPr>
      </w:pPr>
      <w:r>
        <w:rPr>
          <w:rFonts w:ascii="Arial" w:hAnsi="Arial" w:cs="Arial"/>
        </w:rPr>
        <w:t>Dewan, D., Wahab, M., Beveridge, M. C. M., Rahman, M., and Sarkar, B. (1991). Food selection, electivity and dietary overlap among planktivorous Chinese and Indian major carp fry and fingerlings grown in extensively managed, rain-fed ponds in Bangladesh. Aquaculture Research, 22(3), 277–294. https://doi.org/10.1111/j.1365-2109.1991.tb00518.x</w:t>
      </w:r>
    </w:p>
    <w:p w14:paraId="46D8871B" w14:textId="77777777" w:rsidR="004F4873" w:rsidRDefault="002C4901">
      <w:pPr>
        <w:pStyle w:val="Body"/>
        <w:spacing w:after="0"/>
        <w:rPr>
          <w:rFonts w:ascii="Arial" w:hAnsi="Arial" w:cs="Arial"/>
        </w:rPr>
      </w:pPr>
      <w:r>
        <w:rPr>
          <w:rFonts w:ascii="Arial" w:hAnsi="Arial" w:cs="Arial"/>
        </w:rPr>
        <w:t>Dey, S. S., Tibile, R. M., Pawase, A. S., Meshram, S. J., Pathan, D. I., &amp; Nayak, A. (2022). Evaluation of different stocking densities and carbon:nitrogen ratios on growth, body composition and production performance of</w:t>
      </w:r>
      <w:r>
        <w:rPr>
          <w:rFonts w:ascii="Arial" w:hAnsi="Arial" w:cs="Arial"/>
          <w:i/>
          <w:iCs/>
        </w:rPr>
        <w:t xml:space="preserve"> Labeo rohita</w:t>
      </w:r>
      <w:r>
        <w:rPr>
          <w:rFonts w:ascii="Arial" w:hAnsi="Arial" w:cs="Arial"/>
        </w:rPr>
        <w:t xml:space="preserve"> (Hamilton, 1822) spawn in biofloc based‐nursery system. Aquaculture Research, 53(14), 4989–5005. https://doi.org/10.1111/are.15985</w:t>
      </w:r>
    </w:p>
    <w:p w14:paraId="7BC3FEE1" w14:textId="77777777" w:rsidR="004F4873" w:rsidRDefault="002C4901">
      <w:pPr>
        <w:pStyle w:val="Body"/>
        <w:spacing w:after="0"/>
        <w:rPr>
          <w:rFonts w:ascii="Arial" w:hAnsi="Arial" w:cs="Arial"/>
        </w:rPr>
      </w:pPr>
      <w:r>
        <w:rPr>
          <w:rFonts w:ascii="Arial" w:hAnsi="Arial" w:cs="Arial"/>
        </w:rPr>
        <w:t>Ebeling, J. M., Timmons, M. B., and  Bisogni, J. J. (2006). Engineering analysis of the stoichiometry of photoautotrophic, autotrophic, and heterotrophic removal of ammonia–nitrogen in aquaculture systems. Aquaculture, 257(1–4), 346–358. https://doi.org/10.1016/j.aquaculture.2006.03.019</w:t>
      </w:r>
    </w:p>
    <w:p w14:paraId="29160968" w14:textId="77777777" w:rsidR="004F4873" w:rsidRDefault="002C4901">
      <w:pPr>
        <w:pStyle w:val="Body"/>
        <w:spacing w:after="0"/>
        <w:rPr>
          <w:rFonts w:ascii="Arial" w:hAnsi="Arial" w:cs="Arial"/>
        </w:rPr>
      </w:pPr>
      <w:r>
        <w:rPr>
          <w:rFonts w:ascii="Arial" w:hAnsi="Arial" w:cs="Arial"/>
        </w:rPr>
        <w:t>Ekasari, J., Azhar, M. H., Surawidjaja, E. H., Nuryati, S., De Schryver, P., &amp; Bossier, P. (2014). Immune response and disease resistance of shrimp fed biofloc grown on different carbon sources. Fish &amp; Shellfish Immunology, 41(2), 332–339. https://doi.org/10.1016/j.fsi.2014.09.004</w:t>
      </w:r>
    </w:p>
    <w:p w14:paraId="4D73A46F" w14:textId="77777777" w:rsidR="004F4873" w:rsidRDefault="002C4901">
      <w:pPr>
        <w:pStyle w:val="Body"/>
        <w:spacing w:after="0"/>
        <w:rPr>
          <w:rFonts w:ascii="Arial" w:hAnsi="Arial" w:cs="Arial"/>
        </w:rPr>
      </w:pPr>
      <w:r>
        <w:rPr>
          <w:rFonts w:ascii="Arial" w:hAnsi="Arial" w:cs="Arial"/>
        </w:rPr>
        <w:lastRenderedPageBreak/>
        <w:t>Ekasari, J., Suprayudi, M. A., Wiyoto, W., Hazanah, R. F., Lenggara, G. S., Sulistiani, R., Alkahfi, M., &amp; Zairin, M. (2016). Biofloc technology application in African catfish fingerling production: The effects on the reproductive performance of broodstock and the quality of eggs and larvae. Aquaculture, 464, 349–356. https://doi.org/10.1016/j.aquaculture.2016.07.013</w:t>
      </w:r>
    </w:p>
    <w:p w14:paraId="6878255E" w14:textId="77777777" w:rsidR="004F4873" w:rsidRDefault="002C4901">
      <w:pPr>
        <w:pStyle w:val="Body"/>
        <w:spacing w:after="0"/>
        <w:rPr>
          <w:rFonts w:ascii="Arial" w:hAnsi="Arial" w:cs="Arial"/>
        </w:rPr>
      </w:pPr>
      <w:r>
        <w:rPr>
          <w:rFonts w:ascii="Arial" w:hAnsi="Arial" w:cs="Arial"/>
        </w:rPr>
        <w:t xml:space="preserve">Emerenciano, M. G. C., Ballester, E. L. C., Cavalli, R. O., &amp; Wasielesky, W. (2011). Effect of biofloc technology (BFT) on the early postlarval stage of pink shrimp </w:t>
      </w:r>
      <w:r>
        <w:rPr>
          <w:rFonts w:ascii="Arial" w:hAnsi="Arial" w:cs="Arial"/>
          <w:i/>
          <w:iCs/>
        </w:rPr>
        <w:t>Farfantepenaeus paulensis</w:t>
      </w:r>
      <w:r>
        <w:rPr>
          <w:rFonts w:ascii="Arial" w:hAnsi="Arial" w:cs="Arial"/>
        </w:rPr>
        <w:t>: growth performance, floc composition and salinity stress tolerance. Aquaculture International, 19(5), 891–901. https://doi.org/10.1007/s10499-010-9408-6</w:t>
      </w:r>
    </w:p>
    <w:p w14:paraId="643E6854" w14:textId="77777777" w:rsidR="004F4873" w:rsidRDefault="002C4901">
      <w:pPr>
        <w:pStyle w:val="Body"/>
        <w:spacing w:after="0"/>
        <w:rPr>
          <w:rFonts w:ascii="Arial" w:hAnsi="Arial" w:cs="Arial"/>
        </w:rPr>
      </w:pPr>
      <w:r>
        <w:rPr>
          <w:rFonts w:ascii="Arial" w:hAnsi="Arial" w:cs="Arial"/>
        </w:rPr>
        <w:t>FAO. 2023. World Food and Agriculture – Statistical Yearbook 2023.   Rome. https://doi.org/10.4060/cc8166en</w:t>
      </w:r>
    </w:p>
    <w:p w14:paraId="49354EE8" w14:textId="77777777" w:rsidR="004F4873" w:rsidRDefault="002C4901">
      <w:pPr>
        <w:pStyle w:val="Body"/>
        <w:spacing w:after="0"/>
        <w:rPr>
          <w:rFonts w:ascii="Arial" w:hAnsi="Arial" w:cs="Arial"/>
        </w:rPr>
      </w:pPr>
      <w:r>
        <w:rPr>
          <w:rFonts w:ascii="Arial" w:hAnsi="Arial" w:cs="Arial"/>
        </w:rPr>
        <w:t>Hargreaves, J. A. (2006). Photosynthetic suspended-growth systems in aquaculture. Aquacultural Engineering, 34(3), 344–363. https://doi.org/10.1016/j.aquaeng.2005.08.009</w:t>
      </w:r>
    </w:p>
    <w:p w14:paraId="1D2105CE" w14:textId="77777777" w:rsidR="004F4873" w:rsidRDefault="002C4901">
      <w:pPr>
        <w:pStyle w:val="Body"/>
        <w:spacing w:after="0"/>
        <w:rPr>
          <w:rFonts w:ascii="Arial" w:hAnsi="Arial" w:cs="Arial"/>
        </w:rPr>
      </w:pPr>
      <w:r>
        <w:rPr>
          <w:rFonts w:ascii="Arial" w:hAnsi="Arial" w:cs="Arial"/>
        </w:rPr>
        <w:t>Hari, B., Kurup, B. M., Varghese, J. T., Schrama, J., and Verdegem, M. (2006). The effect of carbohydrate addition on water quality and the nitrogen budget in extensive shrimp culture systems. Aquaculture, 252(2–4), 248–263. https://doi.org/10.1016/j.aquaculture.2005.06.044</w:t>
      </w:r>
    </w:p>
    <w:p w14:paraId="16E87C6A" w14:textId="77777777" w:rsidR="004F4873" w:rsidRDefault="002C4901">
      <w:pPr>
        <w:pStyle w:val="Body"/>
        <w:spacing w:after="0"/>
        <w:rPr>
          <w:rFonts w:ascii="Arial" w:hAnsi="Arial" w:cs="Arial"/>
        </w:rPr>
      </w:pPr>
      <w:r>
        <w:rPr>
          <w:rFonts w:ascii="Arial" w:hAnsi="Arial" w:cs="Arial"/>
        </w:rPr>
        <w:t xml:space="preserve">Hosain, M. E., Amin, N., Kamarudin, M. S., Arshad, A., Karim, M., &amp; Romano, N. (2021). Effect of salinity on growth, survival, and proximate composition of </w:t>
      </w:r>
      <w:r>
        <w:rPr>
          <w:rFonts w:ascii="Arial" w:hAnsi="Arial" w:cs="Arial"/>
          <w:i/>
          <w:iCs/>
        </w:rPr>
        <w:t>Macrobrachium rosenbergii</w:t>
      </w:r>
      <w:r>
        <w:rPr>
          <w:rFonts w:ascii="Arial" w:hAnsi="Arial" w:cs="Arial"/>
        </w:rPr>
        <w:t xml:space="preserve"> post larvae as well as zooplankton composition reared in a maize starch based biofloc system. Aquaculture, 533, 736235. https://doi.org/10.1016/j.aquaculture.2020.736235</w:t>
      </w:r>
    </w:p>
    <w:p w14:paraId="6FF9BA68" w14:textId="77777777" w:rsidR="004F4873" w:rsidRDefault="002C4901">
      <w:pPr>
        <w:pStyle w:val="Body"/>
        <w:spacing w:after="0"/>
        <w:rPr>
          <w:rFonts w:ascii="Arial" w:hAnsi="Arial" w:cs="Arial"/>
        </w:rPr>
      </w:pPr>
      <w:r>
        <w:rPr>
          <w:rFonts w:ascii="Arial" w:hAnsi="Arial" w:cs="Arial"/>
        </w:rPr>
        <w:t xml:space="preserve">            International, 16th ed. Vol. 1.</w:t>
      </w:r>
    </w:p>
    <w:p w14:paraId="5A71280F" w14:textId="77777777" w:rsidR="004F4873" w:rsidRDefault="002C4901">
      <w:pPr>
        <w:pStyle w:val="Body"/>
        <w:spacing w:after="0"/>
        <w:rPr>
          <w:rFonts w:ascii="Arial" w:hAnsi="Arial" w:cs="Arial"/>
        </w:rPr>
      </w:pPr>
      <w:r>
        <w:rPr>
          <w:rFonts w:ascii="Arial" w:hAnsi="Arial" w:cs="Arial"/>
        </w:rPr>
        <w:t xml:space="preserve">Ju, Z., Forster, I., Conquest, L., and  Dominy, W. G. (2008). Enhanced growth effects on shrimp </w:t>
      </w:r>
      <w:r>
        <w:rPr>
          <w:rFonts w:ascii="Arial" w:hAnsi="Arial" w:cs="Arial"/>
          <w:i/>
          <w:iCs/>
        </w:rPr>
        <w:t>(Litopenaeus vanname</w:t>
      </w:r>
      <w:r>
        <w:rPr>
          <w:rFonts w:ascii="Arial" w:hAnsi="Arial" w:cs="Arial"/>
        </w:rPr>
        <w:t>i) from inclusion of whole shrimp floc or floc fractions to a formulated diet. Aquaculture Nutrition, 14(6), 533–543. https://doi.org/10.1111/j.1365-2095.2007.00559.x</w:t>
      </w:r>
    </w:p>
    <w:p w14:paraId="421AA017" w14:textId="77777777" w:rsidR="004F4873" w:rsidRDefault="002C4901">
      <w:pPr>
        <w:pStyle w:val="Body"/>
        <w:spacing w:after="0"/>
        <w:rPr>
          <w:rFonts w:ascii="Arial" w:hAnsi="Arial" w:cs="Arial"/>
        </w:rPr>
      </w:pPr>
      <w:r>
        <w:rPr>
          <w:rFonts w:ascii="Arial" w:hAnsi="Arial" w:cs="Arial"/>
        </w:rPr>
        <w:t>Kim, S. K., Pang, Z., Seo, H. C., Cho, Y. R., Samocha, T. M., &amp; Jang, I. K. (2013). Effect of bioflocs on growth and immune activity of Pacific white shrimp,   Litopenaeus vannamei  postlarvae. Aquaculture Research, 45(2), 362–371. https://doi.org/10.1111/are.12319</w:t>
      </w:r>
    </w:p>
    <w:p w14:paraId="127C67A1" w14:textId="77777777" w:rsidR="004F4873" w:rsidRDefault="002C4901">
      <w:pPr>
        <w:pStyle w:val="Body"/>
        <w:spacing w:after="0"/>
        <w:rPr>
          <w:rFonts w:ascii="Arial" w:hAnsi="Arial" w:cs="Arial"/>
        </w:rPr>
      </w:pPr>
      <w:r>
        <w:rPr>
          <w:rFonts w:ascii="Arial" w:hAnsi="Arial" w:cs="Arial"/>
        </w:rPr>
        <w:t>Kumar, V., Roy, S., Behera, B. K., Swain, H. S., &amp; Das, B. K. (2021). Biofloc Microbiome with bioremediation and health benefits. Frontiers in Microbiology, 12. https://doi.org/10.3389/fmicb.2021.741164</w:t>
      </w:r>
    </w:p>
    <w:p w14:paraId="49A033B9" w14:textId="77777777" w:rsidR="004F4873" w:rsidRDefault="002C4901">
      <w:pPr>
        <w:pStyle w:val="Body"/>
        <w:spacing w:after="0"/>
        <w:rPr>
          <w:rFonts w:ascii="Arial" w:hAnsi="Arial" w:cs="Arial"/>
        </w:rPr>
      </w:pPr>
      <w:r>
        <w:rPr>
          <w:rFonts w:ascii="Arial" w:hAnsi="Arial" w:cs="Arial"/>
        </w:rPr>
        <w:t xml:space="preserve">Long, L., Yang, J., Li, Y., Guan, C., &amp; Wu, F. (2015). Effect of biofloc technology on growth, digestive enzyme activity, hematology, and immune response of genetically improved farmed tilapia </w:t>
      </w:r>
      <w:r>
        <w:rPr>
          <w:rFonts w:ascii="Arial" w:hAnsi="Arial" w:cs="Arial"/>
          <w:i/>
          <w:iCs/>
        </w:rPr>
        <w:t>(Oreochromis niloticus</w:t>
      </w:r>
      <w:r>
        <w:rPr>
          <w:rFonts w:ascii="Arial" w:hAnsi="Arial" w:cs="Arial"/>
        </w:rPr>
        <w:t>). Aquaculture, 448, 135–141. https://doi.org/10.1016/j.aquaculture.2015.05.017</w:t>
      </w:r>
    </w:p>
    <w:p w14:paraId="21ED2ECE" w14:textId="77777777" w:rsidR="004F4873" w:rsidRDefault="002C4901">
      <w:pPr>
        <w:pStyle w:val="Body"/>
        <w:spacing w:after="0"/>
        <w:rPr>
          <w:rFonts w:ascii="Arial" w:hAnsi="Arial" w:cs="Arial"/>
        </w:rPr>
      </w:pPr>
      <w:r>
        <w:rPr>
          <w:rFonts w:ascii="Arial" w:hAnsi="Arial" w:cs="Arial"/>
        </w:rPr>
        <w:t>Mahanand, S. S., Moulick, S., and Rao, P. S. (2013). Water Quality and Growth of Rohu, Labeo rohita, in a Biofloc System. Journal of Applied Aquaculture, 25(2), 121–131. https://doi.org/10.1080/10454438.2013.788898</w:t>
      </w:r>
    </w:p>
    <w:p w14:paraId="23294C36" w14:textId="77777777" w:rsidR="004F4873" w:rsidRDefault="002C4901">
      <w:pPr>
        <w:pStyle w:val="Body"/>
        <w:spacing w:after="0"/>
        <w:rPr>
          <w:rFonts w:ascii="Arial" w:hAnsi="Arial" w:cs="Arial"/>
        </w:rPr>
      </w:pPr>
      <w:r>
        <w:rPr>
          <w:rFonts w:ascii="Arial" w:hAnsi="Arial" w:cs="Arial"/>
        </w:rPr>
        <w:t>Middelburg, J. J., and Nieuwenhuize, J. (2000). Nitrogen uptake by heterotrophic bacteria and phytoplankton in the nitrate-rich Thames estuary. Marine Ecology Progress Series, 203, 13–21. https://doi.org/10.3354/meps203013</w:t>
      </w:r>
    </w:p>
    <w:p w14:paraId="025D7003" w14:textId="77777777" w:rsidR="004F4873" w:rsidRDefault="002C4901">
      <w:pPr>
        <w:pStyle w:val="Body"/>
        <w:spacing w:after="0"/>
        <w:rPr>
          <w:rFonts w:ascii="Arial" w:hAnsi="Arial" w:cs="Arial"/>
        </w:rPr>
      </w:pPr>
      <w:r>
        <w:rPr>
          <w:rFonts w:ascii="Arial" w:hAnsi="Arial" w:cs="Arial"/>
        </w:rPr>
        <w:t>Minabi, K., Sourinejad, I., Alizadeh, M., Ghatrami, E. R., and Khanjani, M. H. (2020). Effects of different carbon to nitrogen ratios in the biofloc system on water quality, growth, and body composition of common carp (</w:t>
      </w:r>
      <w:r>
        <w:rPr>
          <w:rFonts w:ascii="Arial" w:hAnsi="Arial" w:cs="Arial"/>
          <w:i/>
          <w:iCs/>
        </w:rPr>
        <w:t>Cyprinus carpio L</w:t>
      </w:r>
      <w:r>
        <w:rPr>
          <w:rFonts w:ascii="Arial" w:hAnsi="Arial" w:cs="Arial"/>
        </w:rPr>
        <w:t>.) fingerlings. Aquaculture International, 28(5), 1883–1898. https://doi.org/10.1007/s10499-020-00564-7</w:t>
      </w:r>
    </w:p>
    <w:p w14:paraId="559EE600" w14:textId="77777777" w:rsidR="004F4873" w:rsidRDefault="002C4901">
      <w:pPr>
        <w:pStyle w:val="Body"/>
        <w:spacing w:after="0"/>
        <w:rPr>
          <w:rFonts w:ascii="Arial" w:hAnsi="Arial" w:cs="Arial"/>
        </w:rPr>
      </w:pPr>
      <w:r>
        <w:rPr>
          <w:rFonts w:ascii="Arial" w:hAnsi="Arial" w:cs="Arial"/>
        </w:rPr>
        <w:t>Minaz, M., &amp; Kubilay, A. (2021). Operating parameters affecting biofloc technology: carbon source, carbon/nitrogen ratio, feeding regime, stocking density, salinity, aeration, and microbial community manipulation. Aquaculture International, 29(3), 1121–1140. https://doi.org/10.1007/s10499-021-00681-x</w:t>
      </w:r>
    </w:p>
    <w:p w14:paraId="4BEA6FB5" w14:textId="77777777" w:rsidR="004F4873" w:rsidRDefault="002C4901">
      <w:pPr>
        <w:pStyle w:val="Body"/>
        <w:spacing w:after="0"/>
        <w:rPr>
          <w:rFonts w:ascii="Arial" w:hAnsi="Arial" w:cs="Arial"/>
        </w:rPr>
      </w:pPr>
      <w:r>
        <w:rPr>
          <w:rFonts w:ascii="Arial" w:hAnsi="Arial" w:cs="Arial"/>
        </w:rPr>
        <w:t>Moriarty, D. (1997). The role of microorganisms in aquaculture ponds. Aquaculture, 151(1–4), 333–349. https://doi.org/10.1016/s0044-8486(96)01487-1</w:t>
      </w:r>
    </w:p>
    <w:p w14:paraId="7BCC5E33" w14:textId="77777777" w:rsidR="004F4873" w:rsidRDefault="002C4901">
      <w:pPr>
        <w:pStyle w:val="Body"/>
        <w:spacing w:after="0"/>
        <w:rPr>
          <w:rFonts w:ascii="Arial" w:hAnsi="Arial" w:cs="Arial"/>
        </w:rPr>
      </w:pPr>
      <w:r>
        <w:rPr>
          <w:rFonts w:ascii="Arial" w:hAnsi="Arial" w:cs="Arial"/>
        </w:rPr>
        <w:t xml:space="preserve">Ngasotter, S., Panda, S. P., Mohanty, U., Akter, S., Mukherjee, S., Waikhom, D., &amp; Devi, L. S. (2020). Current Scenario of Fisheries and Aquaculture in India with Special Reference to </w:t>
      </w:r>
      <w:r>
        <w:rPr>
          <w:rFonts w:ascii="Arial" w:hAnsi="Arial" w:cs="Arial"/>
        </w:rPr>
        <w:lastRenderedPageBreak/>
        <w:t>Odisha: A Review on its Status, Issues and Prospects for Sustainable Development. International Journal of Bio-resource and Stress Management, 11(4), 370–380. https://doi.org/10.23910/1.2020.2126a</w:t>
      </w:r>
    </w:p>
    <w:p w14:paraId="6A46B67F" w14:textId="77777777" w:rsidR="004F4873" w:rsidRDefault="002C4901">
      <w:pPr>
        <w:pStyle w:val="Body"/>
        <w:spacing w:after="0"/>
        <w:rPr>
          <w:rFonts w:ascii="Arial" w:hAnsi="Arial" w:cs="Arial"/>
        </w:rPr>
      </w:pPr>
      <w:r>
        <w:rPr>
          <w:rFonts w:ascii="Arial" w:hAnsi="Arial" w:cs="Arial"/>
        </w:rPr>
        <w:t>Panigrahi, A., Maruthamuthu, S., Saranya, C., Swain, S., Dash, R., and Dayal, J. S. (2019). Carbohydrate sources deferentially influence growth performances, microbial dynamics and immunomodulation in Pacific white shrimp (</w:t>
      </w:r>
      <w:r>
        <w:rPr>
          <w:rFonts w:ascii="Arial" w:hAnsi="Arial" w:cs="Arial"/>
          <w:i/>
          <w:iCs/>
        </w:rPr>
        <w:t>Litopenaeus vanname</w:t>
      </w:r>
      <w:r>
        <w:rPr>
          <w:rFonts w:ascii="Arial" w:hAnsi="Arial" w:cs="Arial"/>
        </w:rPr>
        <w:t>i) under biofloc system. Fish &amp; Shellfish Immunology, 86, 1207–1216. https://doi.org/10.1016/j.fsi.2018.12.040</w:t>
      </w:r>
    </w:p>
    <w:p w14:paraId="35D41C99" w14:textId="77777777" w:rsidR="004F4873" w:rsidRDefault="002C4901">
      <w:pPr>
        <w:pStyle w:val="Body"/>
        <w:spacing w:after="0"/>
        <w:rPr>
          <w:rFonts w:ascii="Arial" w:hAnsi="Arial" w:cs="Arial"/>
        </w:rPr>
      </w:pPr>
      <w:r>
        <w:rPr>
          <w:rFonts w:ascii="Arial" w:hAnsi="Arial" w:cs="Arial"/>
        </w:rPr>
        <w:t xml:space="preserve">Pérez-Fuentes, J. A., Hernández‐Vergara, M. P., Pérez‐Rostro, C. I., and Fogel, I. (2016). C:N ratios affect nitrogen removal and production of Nile tilapia </w:t>
      </w:r>
      <w:r>
        <w:rPr>
          <w:rFonts w:ascii="Arial" w:hAnsi="Arial" w:cs="Arial"/>
          <w:i/>
          <w:iCs/>
        </w:rPr>
        <w:t>Oreochromis niloticus</w:t>
      </w:r>
      <w:r>
        <w:rPr>
          <w:rFonts w:ascii="Arial" w:hAnsi="Arial" w:cs="Arial"/>
        </w:rPr>
        <w:t xml:space="preserve"> raised in a biofloc system under high density cultivation. Aquaculture, 452, 247–251. https://doi.org/10.1016/j.aquaculture.2015.11.010</w:t>
      </w:r>
    </w:p>
    <w:p w14:paraId="2559FA17" w14:textId="77777777" w:rsidR="004F4873" w:rsidRDefault="002C4901">
      <w:pPr>
        <w:pStyle w:val="Body"/>
        <w:spacing w:after="0"/>
        <w:rPr>
          <w:rFonts w:ascii="Arial" w:hAnsi="Arial" w:cs="Arial"/>
        </w:rPr>
      </w:pPr>
      <w:r>
        <w:rPr>
          <w:rFonts w:ascii="Arial" w:hAnsi="Arial" w:cs="Arial"/>
        </w:rPr>
        <w:t xml:space="preserve">Rajkumar, M., Pandey, P. K., Aravind, R., Vennila, A., Bharti, V., and Purushothaman, C. S. (2015). Effect of different biofloc system on water quality, biofloc composition and growth performance in </w:t>
      </w:r>
      <w:r>
        <w:rPr>
          <w:rFonts w:ascii="Arial" w:hAnsi="Arial" w:cs="Arial"/>
          <w:i/>
          <w:iCs/>
        </w:rPr>
        <w:t>Litopenaeus vannamei</w:t>
      </w:r>
      <w:r>
        <w:rPr>
          <w:rFonts w:ascii="Arial" w:hAnsi="Arial" w:cs="Arial"/>
        </w:rPr>
        <w:t xml:space="preserve"> (Boone, 1931). Aquaculture Research, 47(11), 3432–3444. https://doi.org/10.1111/are.12792</w:t>
      </w:r>
    </w:p>
    <w:p w14:paraId="07DC1C66" w14:textId="77777777" w:rsidR="004F4873" w:rsidRDefault="002C4901">
      <w:pPr>
        <w:pStyle w:val="Body"/>
        <w:spacing w:after="0"/>
        <w:rPr>
          <w:rFonts w:ascii="Arial" w:hAnsi="Arial" w:cs="Arial"/>
        </w:rPr>
      </w:pPr>
      <w:r>
        <w:rPr>
          <w:rFonts w:ascii="Arial" w:hAnsi="Arial" w:cs="Arial"/>
        </w:rPr>
        <w:t>Rakocy, J. E., Bailey, D. S., Thoman, E. S., and Shultz, R. (2004). Intensive tank culture of tilapia with a suspended, bacterial-based, treatment process. In New Dimensions on Farmed Tilapia: Proceedings of the Sixth International Symposium on Tilapia in Aquaculture ,584-596.https://www.researchgate.net/publication/237419505</w:t>
      </w:r>
    </w:p>
    <w:p w14:paraId="223A38F1" w14:textId="77777777" w:rsidR="004F4873" w:rsidRDefault="002C4901">
      <w:pPr>
        <w:pStyle w:val="Body"/>
        <w:spacing w:after="0"/>
        <w:rPr>
          <w:rFonts w:ascii="Arial" w:hAnsi="Arial" w:cs="Arial"/>
        </w:rPr>
      </w:pPr>
      <w:r>
        <w:rPr>
          <w:rFonts w:ascii="Arial" w:hAnsi="Arial" w:cs="Arial"/>
        </w:rPr>
        <w:t>Roy, S., Kumar, V., Bossier, P., Norouzitallab, P., &amp; Vanrompay, D. (2019). Phloroglucinol Treatment Induces Transgenerational Epigenetic Inherited Resistance Against Vibrio Infections and Thermal Stress in a Brine Shrimp (Artemia franciscana) Model. Frontiers in Immunology, 10. https://doi.org/10.3389/fimmu.2019.02745</w:t>
      </w:r>
    </w:p>
    <w:p w14:paraId="2EA73EC2" w14:textId="77777777" w:rsidR="004F4873" w:rsidRDefault="002C4901">
      <w:pPr>
        <w:pStyle w:val="Body"/>
        <w:spacing w:after="0"/>
        <w:rPr>
          <w:rFonts w:ascii="Arial" w:hAnsi="Arial" w:cs="Arial"/>
        </w:rPr>
      </w:pPr>
      <w:r>
        <w:rPr>
          <w:rFonts w:ascii="Arial" w:hAnsi="Arial" w:cs="Arial"/>
        </w:rPr>
        <w:t xml:space="preserve">Saha, J., Hossain, M. A., Mamun, M. A., Islam, M. R., &amp; Alam. (2022). Effects of carbon-nitrogen ratio manipulation on the growth performance, body composition and immunity of stinging catfish </w:t>
      </w:r>
      <w:r>
        <w:rPr>
          <w:rFonts w:ascii="Arial" w:hAnsi="Arial" w:cs="Arial"/>
          <w:i/>
          <w:iCs/>
        </w:rPr>
        <w:t xml:space="preserve">Heteropneustes fossilis </w:t>
      </w:r>
      <w:r>
        <w:rPr>
          <w:rFonts w:ascii="Arial" w:hAnsi="Arial" w:cs="Arial"/>
        </w:rPr>
        <w:t>in a biofloc-based culture system. Aquaculture Reports, 25, 101274. https://doi.org/10.1016/j.aqrep.2022.101274</w:t>
      </w:r>
    </w:p>
    <w:p w14:paraId="611F5DB5" w14:textId="77777777" w:rsidR="004F4873" w:rsidRDefault="002C4901">
      <w:pPr>
        <w:pStyle w:val="Body"/>
        <w:spacing w:after="0"/>
        <w:rPr>
          <w:rFonts w:ascii="Arial" w:hAnsi="Arial" w:cs="Arial"/>
        </w:rPr>
      </w:pPr>
      <w:r>
        <w:rPr>
          <w:rFonts w:ascii="Arial" w:hAnsi="Arial" w:cs="Arial"/>
        </w:rPr>
        <w:t>Schneider, O., Sereti, V., Eding, E., &amp; Verreth, J. (2005). Analysis of nutrient flows in integrated intensive aquaculture systems. Aquacultural Engineering, 32(3–4), 379–401. https://doi.org/10.1016/j.aquaeng.2004.09.001</w:t>
      </w:r>
    </w:p>
    <w:p w14:paraId="0B5AE2AA" w14:textId="77777777" w:rsidR="004F4873" w:rsidRDefault="002C4901">
      <w:pPr>
        <w:pStyle w:val="Body"/>
        <w:spacing w:after="0"/>
        <w:rPr>
          <w:rFonts w:ascii="Arial" w:hAnsi="Arial" w:cs="Arial"/>
        </w:rPr>
      </w:pPr>
      <w:r>
        <w:rPr>
          <w:rFonts w:ascii="Arial" w:hAnsi="Arial" w:cs="Arial"/>
        </w:rPr>
        <w:t>Solanki, S., Meshram, S. J., Dhamagaye, H. B., Naik, S. D., Shingare, P. E., andYadav, B. M. (2023). Effect of C/N Ratio Levels and Stocking Density of Catla Spawn (Gibelion catla) on Water Quality, Growth Performance, and Biofloc Nutritional Composition in an Indoor Biofloc System. Aquaculture Research, 2023, 1–11. https://doi.org/10.1155/2023/2501653</w:t>
      </w:r>
    </w:p>
    <w:p w14:paraId="38B65B8A" w14:textId="77777777" w:rsidR="004F4873" w:rsidRDefault="002C4901">
      <w:pPr>
        <w:pStyle w:val="Body"/>
        <w:spacing w:after="0"/>
        <w:rPr>
          <w:rFonts w:ascii="Arial" w:hAnsi="Arial" w:cs="Arial"/>
        </w:rPr>
      </w:pPr>
      <w:r>
        <w:rPr>
          <w:rFonts w:ascii="Arial" w:hAnsi="Arial" w:cs="Arial"/>
        </w:rPr>
        <w:t xml:space="preserve">Tacon, A. G. J., Cody, J., Conquest, L., Divakaran, S., Forster, I., &amp; Decamp, O. (2002). Effect of culture system on the nutrition and growth performance of Pacific white shrimp </w:t>
      </w:r>
      <w:r>
        <w:rPr>
          <w:rFonts w:ascii="Arial" w:hAnsi="Arial" w:cs="Arial"/>
          <w:i/>
          <w:iCs/>
        </w:rPr>
        <w:t>Litopenaeus vannamei</w:t>
      </w:r>
      <w:r>
        <w:rPr>
          <w:rFonts w:ascii="Arial" w:hAnsi="Arial" w:cs="Arial"/>
        </w:rPr>
        <w:t xml:space="preserve"> (Boone) fed different diets. Aquaculture Nutrition, 8(2), 121–137. https://doi.org/10.1046/j.1365-2095.2002.00199.x</w:t>
      </w:r>
    </w:p>
    <w:p w14:paraId="46E2976C" w14:textId="77777777" w:rsidR="004F4873" w:rsidRDefault="002C4901">
      <w:pPr>
        <w:pStyle w:val="Body"/>
        <w:spacing w:after="0"/>
        <w:rPr>
          <w:rFonts w:ascii="Arial" w:hAnsi="Arial" w:cs="Arial"/>
        </w:rPr>
      </w:pPr>
      <w:r>
        <w:rPr>
          <w:rFonts w:ascii="Arial" w:hAnsi="Arial" w:cs="Arial"/>
        </w:rPr>
        <w:t xml:space="preserve">Wang, G., Yu, E., Xie, J., Yu, D., Li, Z., Luo, W., LiJiang, Q., and Zheng, Z. (2015). Effect of C/N ratio on water quality in zero-water exchange tanks and the biofloc supplementation in feed on the growth performance of crucian carp, </w:t>
      </w:r>
      <w:r>
        <w:rPr>
          <w:rFonts w:ascii="Arial" w:hAnsi="Arial" w:cs="Arial"/>
          <w:i/>
          <w:iCs/>
        </w:rPr>
        <w:t>Carassius auratus</w:t>
      </w:r>
      <w:r>
        <w:rPr>
          <w:rFonts w:ascii="Arial" w:hAnsi="Arial" w:cs="Arial"/>
        </w:rPr>
        <w:t>. Aquaculture, 443, 98–104. https://doi.org/10.1016/j.aquaculture.2015.03.015</w:t>
      </w:r>
    </w:p>
    <w:p w14:paraId="7DD7DF59" w14:textId="77777777" w:rsidR="004F4873" w:rsidRDefault="002C4901">
      <w:pPr>
        <w:pStyle w:val="Body"/>
        <w:spacing w:after="0"/>
        <w:rPr>
          <w:rFonts w:ascii="Arial" w:hAnsi="Arial" w:cs="Arial"/>
        </w:rPr>
      </w:pPr>
      <w:r>
        <w:rPr>
          <w:rFonts w:ascii="Arial" w:hAnsi="Arial" w:cs="Arial"/>
        </w:rPr>
        <w:t>Wasielesky, W., Atwood, H. L., Stokes, A. D., &amp; Browdy, C. L. (2006). Effect of natural production in a zero exchange suspended microbial floc based super-intensive culture system for white shrimp Litopenaeus vannamei. Aquaculture, 258(1–4), 396–403. https://doi.org/10.1016/j.aquaculture.2006.04.030</w:t>
      </w:r>
    </w:p>
    <w:p w14:paraId="5DA066B8" w14:textId="77777777" w:rsidR="004F4873" w:rsidRDefault="002C4901">
      <w:pPr>
        <w:pStyle w:val="Body"/>
        <w:spacing w:after="0"/>
        <w:rPr>
          <w:rFonts w:ascii="Arial" w:hAnsi="Arial" w:cs="Arial"/>
        </w:rPr>
      </w:pPr>
      <w:r>
        <w:rPr>
          <w:rFonts w:ascii="Arial" w:hAnsi="Arial" w:cs="Arial"/>
        </w:rPr>
        <w:t xml:space="preserve">Xu, W., &amp; Pan, L. (2013). Enhancement of immune response and antioxidant status of </w:t>
      </w:r>
      <w:r>
        <w:rPr>
          <w:rFonts w:ascii="Arial" w:hAnsi="Arial" w:cs="Arial"/>
          <w:i/>
          <w:iCs/>
        </w:rPr>
        <w:t>Litopenaeus vannamei</w:t>
      </w:r>
      <w:r>
        <w:rPr>
          <w:rFonts w:ascii="Arial" w:hAnsi="Arial" w:cs="Arial"/>
        </w:rPr>
        <w:t xml:space="preserve"> juvenile in biofloc-based culture tanks manipulating high C/N ratio of feed input. Aquaculture, 412–413, 117–124. https://doi.org/10.1016/j.aquaculture.2013.07.017</w:t>
      </w:r>
    </w:p>
    <w:p w14:paraId="6D9197C1" w14:textId="77777777" w:rsidR="004F4873" w:rsidRDefault="002C4901">
      <w:pPr>
        <w:pStyle w:val="Body"/>
        <w:spacing w:after="0"/>
        <w:rPr>
          <w:rFonts w:ascii="Arial" w:hAnsi="Arial" w:cs="Arial"/>
        </w:rPr>
      </w:pPr>
      <w:r>
        <w:rPr>
          <w:rFonts w:ascii="Arial" w:hAnsi="Arial" w:cs="Arial"/>
        </w:rPr>
        <w:t xml:space="preserve">Xu, W., Morris, T. C., &amp; Samocha, T. M. (2018). Effects of two commercial feeds for semi-intensive and hyper-intensive culture and four C/N ratios on water quality and performance of </w:t>
      </w:r>
      <w:r>
        <w:rPr>
          <w:rFonts w:ascii="Arial" w:hAnsi="Arial" w:cs="Arial"/>
          <w:i/>
          <w:iCs/>
        </w:rPr>
        <w:lastRenderedPageBreak/>
        <w:t>Litopenaeus vannamei</w:t>
      </w:r>
      <w:r>
        <w:rPr>
          <w:rFonts w:ascii="Arial" w:hAnsi="Arial" w:cs="Arial"/>
        </w:rPr>
        <w:t xml:space="preserve"> juveniles at high density in biofloc-based, zero-exchange outdoor tanks. Aquaculture, 490, 194–202. https://doi.org/10.1016/j.aquaculture.2018.02.028</w:t>
      </w:r>
    </w:p>
    <w:p w14:paraId="0577AB12" w14:textId="77777777" w:rsidR="004F4873" w:rsidRDefault="004F4873">
      <w:pPr>
        <w:pStyle w:val="Appendix"/>
        <w:spacing w:after="0"/>
        <w:jc w:val="both"/>
        <w:rPr>
          <w:rFonts w:ascii="Arial" w:hAnsi="Arial" w:cs="Arial"/>
          <w:b w:val="0"/>
        </w:rPr>
      </w:pPr>
    </w:p>
    <w:p w14:paraId="5AEA9101" w14:textId="77777777" w:rsidR="004F4873" w:rsidRDefault="004F4873">
      <w:pPr>
        <w:pStyle w:val="Body"/>
        <w:spacing w:after="0"/>
        <w:rPr>
          <w:rFonts w:ascii="Arial" w:hAnsi="Arial" w:cs="Arial"/>
        </w:rPr>
      </w:pPr>
    </w:p>
    <w:p w14:paraId="73C9A76E" w14:textId="77777777" w:rsidR="004F4873" w:rsidRDefault="004F4873">
      <w:pPr>
        <w:pStyle w:val="AbstHead"/>
        <w:spacing w:after="0"/>
        <w:jc w:val="both"/>
        <w:rPr>
          <w:rFonts w:ascii="Arial" w:hAnsi="Arial" w:cs="Arial"/>
        </w:rPr>
      </w:pPr>
    </w:p>
    <w:sectPr w:rsidR="004F4873" w:rsidSect="00BB09E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11876" w14:textId="77777777" w:rsidR="00AE56D0" w:rsidRDefault="00AE56D0">
      <w:r>
        <w:separator/>
      </w:r>
    </w:p>
  </w:endnote>
  <w:endnote w:type="continuationSeparator" w:id="0">
    <w:p w14:paraId="5BDCAED6" w14:textId="77777777" w:rsidR="00AE56D0" w:rsidRDefault="00AE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F591" w14:textId="77777777" w:rsidR="00BB09ED" w:rsidRDefault="00BB0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EC4A" w14:textId="77777777" w:rsidR="00BB09ED" w:rsidRDefault="00BB0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B0D4" w14:textId="77777777" w:rsidR="004F4873" w:rsidRDefault="004F4873">
    <w:pPr>
      <w:pStyle w:val="Footer"/>
      <w:rPr>
        <w:rFonts w:ascii="Arial" w:hAnsi="Arial" w:cs="Arial"/>
        <w:sz w:val="16"/>
      </w:rPr>
    </w:pPr>
  </w:p>
  <w:p w14:paraId="4C558616" w14:textId="77777777" w:rsidR="004F4873" w:rsidRDefault="002C490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805E85E" w14:textId="77777777" w:rsidR="004F4873" w:rsidRDefault="004F4873">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0718" w14:textId="77777777" w:rsidR="00AE56D0" w:rsidRDefault="00AE56D0">
      <w:r>
        <w:separator/>
      </w:r>
    </w:p>
  </w:footnote>
  <w:footnote w:type="continuationSeparator" w:id="0">
    <w:p w14:paraId="46DEDACD" w14:textId="77777777" w:rsidR="00AE56D0" w:rsidRDefault="00AE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6470" w14:textId="2371EE95" w:rsidR="00BB09ED" w:rsidRDefault="00BB09ED">
    <w:pPr>
      <w:pStyle w:val="Header"/>
    </w:pPr>
    <w:r>
      <w:rPr>
        <w:noProof/>
      </w:rPr>
      <w:pict w14:anchorId="7C640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218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11CE5" w14:textId="220B19B6" w:rsidR="00BB09ED" w:rsidRDefault="00BB09ED">
    <w:pPr>
      <w:pStyle w:val="Header"/>
    </w:pPr>
    <w:r>
      <w:rPr>
        <w:noProof/>
      </w:rPr>
      <w:pict w14:anchorId="473A4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218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5286" w14:textId="16E1B0E3" w:rsidR="004F4873" w:rsidRDefault="00BB09ED">
    <w:pPr>
      <w:ind w:left="2160"/>
      <w:jc w:val="center"/>
      <w:rPr>
        <w:rFonts w:ascii="Times New Roman" w:eastAsia="Calibri" w:hAnsi="Times New Roman"/>
        <w:i/>
        <w:sz w:val="18"/>
        <w:szCs w:val="22"/>
      </w:rPr>
    </w:pPr>
    <w:r>
      <w:rPr>
        <w:noProof/>
      </w:rPr>
      <w:pict w14:anchorId="77F89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218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68C51B" w14:textId="77777777" w:rsidR="004F4873" w:rsidRDefault="002C490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25E8255" w14:textId="77777777" w:rsidR="004F4873" w:rsidRDefault="002C4901">
    <w:pPr>
      <w:jc w:val="center"/>
      <w:rPr>
        <w:rFonts w:ascii="Times New Roman" w:eastAsia="Calibri" w:hAnsi="Times New Roman"/>
        <w:i/>
        <w:sz w:val="18"/>
        <w:szCs w:val="22"/>
      </w:rPr>
    </w:pPr>
    <w:r>
      <w:rPr>
        <w:rFonts w:ascii="Times New Roman" w:eastAsia="Calibri" w:hAnsi="Times New Roman"/>
        <w:i/>
        <w:sz w:val="18"/>
        <w:szCs w:val="22"/>
      </w:rPr>
      <w:t>.</w:t>
    </w:r>
  </w:p>
  <w:p w14:paraId="2EBAFBE1" w14:textId="77777777" w:rsidR="004F4873" w:rsidRDefault="002C490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65DAA19" w14:textId="77777777" w:rsidR="004F4873" w:rsidRDefault="002C490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253663C" w14:textId="77777777" w:rsidR="004F4873" w:rsidRDefault="002C490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85EDE1" w14:textId="77777777" w:rsidR="004F4873" w:rsidRDefault="002C490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583D5D7A"/>
    <w:multiLevelType w:val="singleLevel"/>
    <w:tmpl w:val="FFFFFFFF"/>
    <w:lvl w:ilvl="0">
      <w:start w:val="1"/>
      <w:numFmt w:val="decimal"/>
      <w:lvlText w:val="*"/>
      <w:lvlJc w:val="left"/>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MTQzM7M0NjA0NzBS0lEKTi0uzszPAykwrAUAd3CXKSwAAAA="/>
  </w:docVars>
  <w:rsids>
    <w:rsidRoot w:val="004F4873"/>
    <w:rsid w:val="00203929"/>
    <w:rsid w:val="002C4901"/>
    <w:rsid w:val="002E3AE4"/>
    <w:rsid w:val="00310FDA"/>
    <w:rsid w:val="003B1B24"/>
    <w:rsid w:val="004F4873"/>
    <w:rsid w:val="0067678A"/>
    <w:rsid w:val="008E1DDE"/>
    <w:rsid w:val="00977B8E"/>
    <w:rsid w:val="00AE56D0"/>
    <w:rsid w:val="00BB09ED"/>
    <w:rsid w:val="00D5437D"/>
    <w:rsid w:val="00D96F9E"/>
    <w:rsid w:val="00DB205A"/>
    <w:rsid w:val="00EB27C9"/>
    <w:rsid w:val="00F85D0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8B1990"/>
  <w15:docId w15:val="{32B20978-690D-4D37-A01C-DB927DAC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pPr>
      <w:keepNext/>
      <w:keepLines/>
      <w:spacing w:before="40"/>
      <w:outlineLvl w:val="2"/>
    </w:pPr>
    <w:rPr>
      <w:rFonts w:ascii="Cambria" w:eastAsia="SimSun" w:hAnsi="Cambria" w:cs="Shrut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3Char">
    <w:name w:val="Heading 3 Char"/>
    <w:basedOn w:val="DefaultParagraphFont"/>
    <w:link w:val="Heading3"/>
    <w:rPr>
      <w:rFonts w:ascii="Cambria" w:eastAsia="SimSun" w:hAnsi="Cambria" w:cs="Shruti"/>
      <w:color w:val="243F60"/>
      <w:sz w:val="24"/>
      <w:szCs w:val="24"/>
    </w:rPr>
  </w:style>
  <w:style w:type="table" w:customStyle="1" w:styleId="GridTable1Light1">
    <w:name w:val="Grid Table 1 Light1"/>
    <w:basedOn w:val="TableNormal"/>
    <w:uiPriority w:val="46"/>
    <w:pPr>
      <w:spacing w:before="120"/>
    </w:pPr>
    <w:rPr>
      <w:rFonts w:ascii="Calibri" w:eastAsia="Calibri" w:hAnsi="Calibri" w:cs="Shruti"/>
      <w:color w:val="595959"/>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eportTable">
    <w:name w:val="Report Table"/>
    <w:basedOn w:val="TableNormal"/>
    <w:uiPriority w:val="99"/>
    <w:pPr>
      <w:spacing w:before="60" w:after="60"/>
      <w:jc w:val="center"/>
    </w:pPr>
    <w:rPr>
      <w:rFonts w:ascii="Calibri" w:eastAsia="Calibri" w:hAnsi="Calibri" w:cs="Shruti"/>
      <w:color w:val="595959"/>
      <w:lang w:eastAsia="ja-JP"/>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b/>
        <w:color w:val="000000"/>
      </w:rPr>
      <w:tblPr/>
      <w:tcPr>
        <w:tcBorders>
          <w:top w:val="nil"/>
          <w:left w:val="nil"/>
          <w:bottom w:val="nil"/>
          <w:right w:val="nil"/>
          <w:insideH w:val="nil"/>
          <w:insideV w:val="nil"/>
          <w:tl2br w:val="nil"/>
          <w:tr2bl w:val="nil"/>
        </w:tcBorders>
      </w:tcPr>
    </w:tblStylePr>
    <w:tblStylePr w:type="firstCol">
      <w:pPr>
        <w:wordWrap/>
        <w:jc w:val="left"/>
      </w:pPr>
    </w:tblStylePr>
  </w:style>
  <w:style w:type="table" w:customStyle="1" w:styleId="PlainTable21">
    <w:name w:val="Plain Table 21"/>
    <w:basedOn w:val="TableNormal"/>
    <w:uiPriority w:val="41"/>
    <w:pPr>
      <w:spacing w:before="120"/>
    </w:pPr>
    <w:rPr>
      <w:rFonts w:ascii="Calibri" w:eastAsia="Calibri" w:hAnsi="Calibri" w:cs="Shruti"/>
      <w:color w:val="595959"/>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Helvetica" w:hAnsi="Helvetica"/>
    </w:rPr>
  </w:style>
  <w:style w:type="paragraph" w:customStyle="1" w:styleId="TableFigure">
    <w:name w:val="Table&amp;Figure"/>
    <w:basedOn w:val="Normal"/>
    <w:qFormat/>
    <w:pPr>
      <w:spacing w:before="120" w:after="120"/>
    </w:pPr>
    <w:rPr>
      <w:rFonts w:ascii="Times New Roman" w:eastAsia="Calibri" w:hAnsi="Times New Roman" w:cs="Shruti"/>
      <w:sz w:val="24"/>
      <w:szCs w:val="22"/>
    </w:rPr>
  </w:style>
  <w:style w:type="table" w:customStyle="1" w:styleId="TableGrid1">
    <w:name w:val="Table Grid1"/>
    <w:basedOn w:val="TableNormal"/>
    <w:next w:val="TableGrid"/>
    <w:uiPriority w:val="59"/>
    <w:rPr>
      <w:rFonts w:ascii="Calibri" w:eastAsia="Calibri" w:hAnsi="Calibri" w:cs="Shrut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cs="Shrut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F6BE-CD2F-4A4F-9E18-295B0731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7514</Words>
  <Characters>42830</Characters>
  <Application>Microsoft Office Word</Application>
  <DocSecurity>0</DocSecurity>
  <Lines>356</Lines>
  <Paragraphs>100</Paragraphs>
  <ScaleCrop>false</ScaleCrop>
  <Company>aaaa</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2026-01-19T15:00:00Z</cp:lastPrinted>
  <dcterms:created xsi:type="dcterms:W3CDTF">2026-01-19T15:18:00Z</dcterms:created>
  <dcterms:modified xsi:type="dcterms:W3CDTF">2026-01-22T12:09:00Z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5541ab84-4c15-43b0-96d5-a9fc7727980e</vt:lpwstr>
  </property>
  <property fmtid="{D5CDD505-2E9C-101B-9397-08002B2CF9AE}" pid="3" name="ICV">
    <vt:lpwstr>2ef7c300e1564cddb320971a5a3dd3c3</vt:lpwstr>
  </property>
</Properties>
</file>