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DCBB9" w14:textId="77777777" w:rsidR="0039246C" w:rsidRDefault="00902A9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Trait Interrelationships Governing Yield and Nut Quality in Walnut (</w:t>
      </w:r>
      <w:r>
        <w:rPr>
          <w:rFonts w:ascii="Times New Roman" w:eastAsia="Times New Roman" w:hAnsi="Times New Roman" w:cs="Times New Roman"/>
          <w:b/>
          <w:bCs/>
          <w:i/>
          <w:iCs/>
          <w:sz w:val="24"/>
          <w:szCs w:val="24"/>
        </w:rPr>
        <w:t>Juglans regia</w:t>
      </w:r>
      <w:r>
        <w:rPr>
          <w:rFonts w:ascii="Times New Roman" w:eastAsia="Times New Roman" w:hAnsi="Times New Roman" w:cs="Times New Roman"/>
          <w:b/>
          <w:bCs/>
          <w:sz w:val="24"/>
          <w:szCs w:val="24"/>
        </w:rPr>
        <w:t xml:space="preserve"> L.)</w:t>
      </w:r>
    </w:p>
    <w:p w14:paraId="279FE494" w14:textId="77777777" w:rsidR="00B9080B" w:rsidRDefault="00B9080B">
      <w:pPr>
        <w:spacing w:line="360" w:lineRule="auto"/>
        <w:rPr>
          <w:rFonts w:ascii="Times New Roman" w:eastAsia="Times New Roman" w:hAnsi="Times New Roman" w:cs="Times New Roman"/>
          <w:b/>
          <w:bCs/>
          <w:sz w:val="24"/>
          <w:szCs w:val="24"/>
        </w:rPr>
      </w:pPr>
    </w:p>
    <w:p w14:paraId="7185F7B3" w14:textId="3BAE4528" w:rsidR="0039246C" w:rsidRDefault="00902A99">
      <w:pPr>
        <w:spacing w:line="360" w:lineRule="auto"/>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sz w:val="24"/>
          <w:szCs w:val="24"/>
        </w:rPr>
        <w:t>ABSTRACT</w:t>
      </w:r>
    </w:p>
    <w:p w14:paraId="3B7C86F6" w14:textId="77777777" w:rsidR="0039246C" w:rsidRDefault="00902A99">
      <w:pPr>
        <w:spacing w:line="360" w:lineRule="auto"/>
        <w:jc w:val="both"/>
        <w:rPr>
          <w:rFonts w:ascii="Times New Roman" w:eastAsia="Times New Roman" w:hAnsi="Times New Roman" w:cs="Times New Roman"/>
          <w:sz w:val="24"/>
          <w:szCs w:val="24"/>
        </w:rPr>
      </w:pPr>
      <w:bookmarkStart w:id="1" w:name="_8l62eafduhu6" w:colFirst="0" w:colLast="0"/>
      <w:bookmarkEnd w:id="1"/>
      <w:r>
        <w:rPr>
          <w:rFonts w:ascii="Times New Roman" w:eastAsia="Times New Roman" w:hAnsi="Times New Roman" w:cs="Times New Roman"/>
          <w:sz w:val="24"/>
          <w:szCs w:val="24"/>
        </w:rPr>
        <w:t xml:space="preserve">Understanding relationships among various parameters of vegetative growth, flowering behaviour, yield and nut quality traits is important for improving selection efficiency in walnut. The present study evaluated the phenotypic correlations among different </w:t>
      </w:r>
      <w:r>
        <w:rPr>
          <w:rFonts w:ascii="Times New Roman" w:eastAsia="Times New Roman" w:hAnsi="Times New Roman" w:cs="Times New Roman"/>
          <w:sz w:val="24"/>
          <w:szCs w:val="24"/>
        </w:rPr>
        <w:t>vegetative traits, flowering stages, yield and quality parameters in walnut genotypes. Yield showed low significance with vegetative traits such as bud break (r = −0.17), leaf length (r = 0.06) and leaflet length (r = 0.04). Several vegetative traits exhib</w:t>
      </w:r>
      <w:r>
        <w:rPr>
          <w:rFonts w:ascii="Times New Roman" w:eastAsia="Times New Roman" w:hAnsi="Times New Roman" w:cs="Times New Roman"/>
          <w:sz w:val="24"/>
          <w:szCs w:val="24"/>
        </w:rPr>
        <w:t>ited negative correlations with nut size parameters, including leaf length with nut diameter at suture (r = −0.54) and nut diameter at cheek (r = −0.52). Leaflet width showed a significant positive correlation with protein content (r = 0.44). Flowering tra</w:t>
      </w:r>
      <w:r>
        <w:rPr>
          <w:rFonts w:ascii="Times New Roman" w:eastAsia="Times New Roman" w:hAnsi="Times New Roman" w:cs="Times New Roman"/>
          <w:sz w:val="24"/>
          <w:szCs w:val="24"/>
        </w:rPr>
        <w:t xml:space="preserve">its showed significant positive correlation with kernel recovery percentage, particularly first male bloom (r = 0.45), peak male bloom (r = 0.46), last male bloom (r = 0.46) and first female bloom (r = 0.52). Flower number per inflorescence (r = 0.38) and </w:t>
      </w:r>
      <w:r>
        <w:rPr>
          <w:rFonts w:ascii="Times New Roman" w:eastAsia="Times New Roman" w:hAnsi="Times New Roman" w:cs="Times New Roman"/>
          <w:sz w:val="24"/>
          <w:szCs w:val="24"/>
        </w:rPr>
        <w:t>flowering overlap (r = 0.44) showed positive but weak associations with yield. The results indicate that flowering behaviour is more closely associated with kernel recovery than vegetative growth traits in walnut.</w:t>
      </w:r>
    </w:p>
    <w:p w14:paraId="33526BCD" w14:textId="77777777" w:rsidR="0039246C" w:rsidRDefault="00902A9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 words:</w:t>
      </w:r>
      <w:r>
        <w:rPr>
          <w:rFonts w:ascii="Times New Roman" w:eastAsia="Times New Roman" w:hAnsi="Times New Roman" w:cs="Times New Roman"/>
          <w:sz w:val="24"/>
          <w:szCs w:val="24"/>
        </w:rPr>
        <w:t xml:space="preserve"> Walnut, vegetative morphology, </w:t>
      </w:r>
      <w:r>
        <w:rPr>
          <w:rFonts w:ascii="Times New Roman" w:eastAsia="Times New Roman" w:hAnsi="Times New Roman" w:cs="Times New Roman"/>
          <w:sz w:val="24"/>
          <w:szCs w:val="24"/>
        </w:rPr>
        <w:t>correlation analysis, flowering behaviour, kernel quality.</w:t>
      </w:r>
    </w:p>
    <w:p w14:paraId="7BFE688B" w14:textId="77777777" w:rsidR="0039246C" w:rsidRDefault="00902A9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Introduction</w:t>
      </w:r>
    </w:p>
    <w:p w14:paraId="69FD8ADD" w14:textId="77777777" w:rsidR="0039246C" w:rsidRDefault="00902A9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Walnut (</w:t>
      </w:r>
      <w:r>
        <w:rPr>
          <w:rFonts w:ascii="Times New Roman" w:eastAsia="Times New Roman" w:hAnsi="Times New Roman" w:cs="Times New Roman"/>
          <w:i/>
          <w:iCs/>
          <w:sz w:val="24"/>
          <w:szCs w:val="24"/>
        </w:rPr>
        <w:t>Juglans regia</w:t>
      </w:r>
      <w:r>
        <w:rPr>
          <w:rFonts w:ascii="Times New Roman" w:eastAsia="Times New Roman" w:hAnsi="Times New Roman" w:cs="Times New Roman"/>
          <w:sz w:val="24"/>
          <w:szCs w:val="24"/>
        </w:rPr>
        <w:t xml:space="preserve"> L.) is an important temperate nut crop with high economic and nutritional value, which is extensively cultivated for its kernels which are rich in oil, protein</w:t>
      </w:r>
      <w:r>
        <w:rPr>
          <w:rFonts w:ascii="Times New Roman" w:eastAsia="Times New Roman" w:hAnsi="Times New Roman" w:cs="Times New Roman"/>
          <w:sz w:val="24"/>
          <w:szCs w:val="24"/>
        </w:rPr>
        <w:t>, and other nutrients. In addition to the nutritive value, walnut cultivation contributes significantly to the living standards of people in the temperate regions (</w:t>
      </w:r>
      <w:proofErr w:type="spellStart"/>
      <w:r>
        <w:rPr>
          <w:rFonts w:ascii="Times New Roman" w:eastAsia="Times New Roman" w:hAnsi="Times New Roman" w:cs="Times New Roman"/>
          <w:sz w:val="24"/>
          <w:szCs w:val="24"/>
        </w:rPr>
        <w:t>Mukarram</w:t>
      </w:r>
      <w:proofErr w:type="spellEnd"/>
      <w:r>
        <w:rPr>
          <w:rFonts w:ascii="Times New Roman" w:eastAsia="Times New Roman" w:hAnsi="Times New Roman" w:cs="Times New Roman"/>
          <w:sz w:val="24"/>
          <w:szCs w:val="24"/>
        </w:rPr>
        <w:t>, et al., 2024). Despite its high importance walnut productivity as well as the qual</w:t>
      </w:r>
      <w:r>
        <w:rPr>
          <w:rFonts w:ascii="Times New Roman" w:eastAsia="Times New Roman" w:hAnsi="Times New Roman" w:cs="Times New Roman"/>
          <w:sz w:val="24"/>
          <w:szCs w:val="24"/>
        </w:rPr>
        <w:t>ity varies extensively due to genetic diversity, environmental factors and cultural practices (</w:t>
      </w:r>
      <w:proofErr w:type="spellStart"/>
      <w:r>
        <w:rPr>
          <w:rFonts w:ascii="Times New Roman" w:eastAsia="Times New Roman" w:hAnsi="Times New Roman" w:cs="Times New Roman"/>
          <w:sz w:val="24"/>
          <w:szCs w:val="24"/>
        </w:rPr>
        <w:t>Vahdati</w:t>
      </w:r>
      <w:proofErr w:type="spellEnd"/>
      <w:r>
        <w:rPr>
          <w:rFonts w:ascii="Times New Roman" w:eastAsia="Times New Roman" w:hAnsi="Times New Roman" w:cs="Times New Roman"/>
          <w:sz w:val="24"/>
          <w:szCs w:val="24"/>
        </w:rPr>
        <w:t xml:space="preserve">, et al., 2020; Devin and </w:t>
      </w:r>
      <w:proofErr w:type="spellStart"/>
      <w:r>
        <w:rPr>
          <w:rFonts w:ascii="Times New Roman" w:eastAsia="Times New Roman" w:hAnsi="Times New Roman" w:cs="Times New Roman"/>
          <w:sz w:val="24"/>
          <w:szCs w:val="24"/>
        </w:rPr>
        <w:t>Bujdoso</w:t>
      </w:r>
      <w:proofErr w:type="spellEnd"/>
      <w:r>
        <w:rPr>
          <w:rFonts w:ascii="Times New Roman" w:eastAsia="Times New Roman" w:hAnsi="Times New Roman" w:cs="Times New Roman"/>
          <w:sz w:val="24"/>
          <w:szCs w:val="24"/>
        </w:rPr>
        <w:t>, 2022). Enhancement in the quality of the kernel and production is a prime objective of walnut breeding programme. Produ</w:t>
      </w:r>
      <w:r>
        <w:rPr>
          <w:rFonts w:ascii="Times New Roman" w:eastAsia="Times New Roman" w:hAnsi="Times New Roman" w:cs="Times New Roman"/>
          <w:sz w:val="24"/>
          <w:szCs w:val="24"/>
        </w:rPr>
        <w:t>ctivity is a complicated trait which is affected by a set of morphological, phenological and physiological attributes, making it less effective for direct selection (</w:t>
      </w:r>
      <w:proofErr w:type="spellStart"/>
      <w:r>
        <w:rPr>
          <w:rFonts w:ascii="Times New Roman" w:eastAsia="Times New Roman" w:hAnsi="Times New Roman" w:cs="Times New Roman"/>
          <w:sz w:val="24"/>
          <w:szCs w:val="24"/>
        </w:rPr>
        <w:t>Manthos</w:t>
      </w:r>
      <w:proofErr w:type="spellEnd"/>
      <w:r>
        <w:rPr>
          <w:rFonts w:ascii="Times New Roman" w:eastAsia="Times New Roman" w:hAnsi="Times New Roman" w:cs="Times New Roman"/>
          <w:sz w:val="24"/>
          <w:szCs w:val="24"/>
        </w:rPr>
        <w:t xml:space="preserve">, et al., 2023; </w:t>
      </w:r>
      <w:proofErr w:type="spellStart"/>
      <w:r>
        <w:rPr>
          <w:rFonts w:ascii="Times New Roman" w:eastAsia="Times New Roman" w:hAnsi="Times New Roman" w:cs="Times New Roman"/>
          <w:sz w:val="24"/>
          <w:szCs w:val="24"/>
        </w:rPr>
        <w:t>Einollahi</w:t>
      </w:r>
      <w:proofErr w:type="spellEnd"/>
      <w:r>
        <w:rPr>
          <w:rFonts w:ascii="Times New Roman" w:eastAsia="Times New Roman" w:hAnsi="Times New Roman" w:cs="Times New Roman"/>
          <w:sz w:val="24"/>
          <w:szCs w:val="24"/>
        </w:rPr>
        <w:t>, et al.,2024).</w:t>
      </w:r>
    </w:p>
    <w:p w14:paraId="3EC52F8E" w14:textId="77777777" w:rsidR="0039246C" w:rsidRDefault="00902A9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For walnuts grown in plantations, the kern</w:t>
      </w:r>
      <w:r>
        <w:rPr>
          <w:rFonts w:ascii="Times New Roman" w:eastAsia="Times New Roman" w:hAnsi="Times New Roman" w:cs="Times New Roman"/>
          <w:sz w:val="24"/>
          <w:szCs w:val="24"/>
        </w:rPr>
        <w:t>el quality and yield potential can pay an even more role in terms of economic performance. Such traits are linked to growth habit, flowering and development of the walnuts (</w:t>
      </w:r>
      <w:proofErr w:type="spellStart"/>
      <w:r>
        <w:rPr>
          <w:rFonts w:ascii="Times New Roman" w:eastAsia="Times New Roman" w:hAnsi="Times New Roman" w:cs="Times New Roman"/>
          <w:sz w:val="24"/>
          <w:szCs w:val="24"/>
        </w:rPr>
        <w:t>McGranahan</w:t>
      </w:r>
      <w:proofErr w:type="spellEnd"/>
      <w:r>
        <w:rPr>
          <w:rFonts w:ascii="Times New Roman" w:eastAsia="Times New Roman" w:hAnsi="Times New Roman" w:cs="Times New Roman"/>
          <w:sz w:val="24"/>
          <w:szCs w:val="24"/>
        </w:rPr>
        <w:t xml:space="preserve"> &amp; Leslie, 2012; Lone, et al., 2023).</w:t>
      </w:r>
    </w:p>
    <w:p w14:paraId="2DBE2A50" w14:textId="77777777" w:rsidR="0039246C" w:rsidRDefault="00902A9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of vegetative morphologica</w:t>
      </w:r>
      <w:r>
        <w:rPr>
          <w:rFonts w:ascii="Times New Roman" w:eastAsia="Times New Roman" w:hAnsi="Times New Roman" w:cs="Times New Roman"/>
          <w:sz w:val="24"/>
          <w:szCs w:val="24"/>
        </w:rPr>
        <w:t xml:space="preserve">l parameters like bud break timing as well as parameters like leaf and leaflet size in regulating photosynthetic potential and allocation of assimilates is very fundamental (Solar and </w:t>
      </w:r>
      <w:proofErr w:type="spellStart"/>
      <w:r>
        <w:rPr>
          <w:rFonts w:ascii="Times New Roman" w:eastAsia="Times New Roman" w:hAnsi="Times New Roman" w:cs="Times New Roman"/>
          <w:sz w:val="24"/>
          <w:szCs w:val="24"/>
        </w:rPr>
        <w:t>Stampar</w:t>
      </w:r>
      <w:proofErr w:type="spellEnd"/>
      <w:r>
        <w:rPr>
          <w:rFonts w:ascii="Times New Roman" w:eastAsia="Times New Roman" w:hAnsi="Times New Roman" w:cs="Times New Roman"/>
          <w:sz w:val="24"/>
          <w:szCs w:val="24"/>
        </w:rPr>
        <w:t>, 2011). In walnuts, reproductive effectiveness is highly depende</w:t>
      </w:r>
      <w:r>
        <w:rPr>
          <w:rFonts w:ascii="Times New Roman" w:eastAsia="Times New Roman" w:hAnsi="Times New Roman" w:cs="Times New Roman"/>
          <w:sz w:val="24"/>
          <w:szCs w:val="24"/>
        </w:rPr>
        <w:t>nt on flo9wering coordination based on dichogamy requirements to ensure synchronization between male and female flowering phases (Germain, 1997; Kumar et al., 2024). Understanding the interaction between vegetative parameters and yield parameters is essent</w:t>
      </w:r>
      <w:r>
        <w:rPr>
          <w:rFonts w:ascii="Times New Roman" w:eastAsia="Times New Roman" w:hAnsi="Times New Roman" w:cs="Times New Roman"/>
          <w:sz w:val="24"/>
          <w:szCs w:val="24"/>
        </w:rPr>
        <w:t xml:space="preserve">ial for identifying the useful parameters in walnut improvement. </w:t>
      </w:r>
    </w:p>
    <w:p w14:paraId="7369FCBA" w14:textId="77777777" w:rsidR="0039246C" w:rsidRDefault="00902A9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 helps to identify the traits that are positively or negatively associated with yield or quality traits (Panahi et al., 2022). But correlation analysis does not elucidate the rela</w:t>
      </w:r>
      <w:r>
        <w:rPr>
          <w:rFonts w:ascii="Times New Roman" w:eastAsia="Times New Roman" w:hAnsi="Times New Roman" w:cs="Times New Roman"/>
          <w:sz w:val="24"/>
          <w:szCs w:val="24"/>
        </w:rPr>
        <w:t>tionship between cause and effect, besides the fact that related traits can affect the yield indirectly. Although several studies have described the relationships between the traits related to the nut, kernel, and flower in the walnut species, there is a l</w:t>
      </w:r>
      <w:r>
        <w:rPr>
          <w:rFonts w:ascii="Times New Roman" w:eastAsia="Times New Roman" w:hAnsi="Times New Roman" w:cs="Times New Roman"/>
          <w:sz w:val="24"/>
          <w:szCs w:val="24"/>
        </w:rPr>
        <w:t>ack of information available about the relationship between the vegetative morphological traits related to the yield or quality parameters in temperate regions. Specifically, there is a lack of understanding about the relationship between the bud break, le</w:t>
      </w:r>
      <w:r>
        <w:rPr>
          <w:rFonts w:ascii="Times New Roman" w:eastAsia="Times New Roman" w:hAnsi="Times New Roman" w:cs="Times New Roman"/>
          <w:sz w:val="24"/>
          <w:szCs w:val="24"/>
        </w:rPr>
        <w:t>af, and leaflet traits related to the yield parameters or the kernel quality (</w:t>
      </w:r>
      <w:proofErr w:type="spellStart"/>
      <w:r>
        <w:rPr>
          <w:rFonts w:ascii="Times New Roman" w:eastAsia="Times New Roman" w:hAnsi="Times New Roman" w:cs="Times New Roman"/>
          <w:sz w:val="24"/>
          <w:szCs w:val="24"/>
        </w:rPr>
        <w:t>Sovelli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Khadivi</w:t>
      </w:r>
      <w:proofErr w:type="spellEnd"/>
      <w:r>
        <w:rPr>
          <w:rFonts w:ascii="Times New Roman" w:eastAsia="Times New Roman" w:hAnsi="Times New Roman" w:cs="Times New Roman"/>
          <w:sz w:val="24"/>
          <w:szCs w:val="24"/>
        </w:rPr>
        <w:t>, 2023).</w:t>
      </w:r>
    </w:p>
    <w:p w14:paraId="44115837" w14:textId="77777777" w:rsidR="0039246C" w:rsidRDefault="00902A9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light of the above considerations, the present study was conducted to examine the relationship of bud break, leaf length, leaf width, leaflet l</w:t>
      </w:r>
      <w:r>
        <w:rPr>
          <w:rFonts w:ascii="Times New Roman" w:eastAsia="Times New Roman" w:hAnsi="Times New Roman" w:cs="Times New Roman"/>
          <w:sz w:val="24"/>
          <w:szCs w:val="24"/>
        </w:rPr>
        <w:t>ength, leaflet width, and the number of leaflets with the parameters of yield, nut, kernel, flowering, and quality of walnut (</w:t>
      </w:r>
      <w:r>
        <w:rPr>
          <w:rFonts w:ascii="Times New Roman" w:eastAsia="Times New Roman" w:hAnsi="Times New Roman" w:cs="Times New Roman"/>
          <w:i/>
          <w:iCs/>
          <w:sz w:val="24"/>
          <w:szCs w:val="24"/>
        </w:rPr>
        <w:t xml:space="preserve">Juglans regia </w:t>
      </w:r>
      <w:r>
        <w:rPr>
          <w:rFonts w:ascii="Times New Roman" w:eastAsia="Times New Roman" w:hAnsi="Times New Roman" w:cs="Times New Roman"/>
          <w:sz w:val="24"/>
          <w:szCs w:val="24"/>
        </w:rPr>
        <w:t>L.). The findings of this study are expected to provide valuable information for identifying key traits for walnut i</w:t>
      </w:r>
      <w:r>
        <w:rPr>
          <w:rFonts w:ascii="Times New Roman" w:eastAsia="Times New Roman" w:hAnsi="Times New Roman" w:cs="Times New Roman"/>
          <w:sz w:val="24"/>
          <w:szCs w:val="24"/>
        </w:rPr>
        <w:t>mprovement programme.</w:t>
      </w:r>
    </w:p>
    <w:p w14:paraId="68721E81" w14:textId="77777777" w:rsidR="0039246C" w:rsidRDefault="00902A9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Materials and Methods</w:t>
      </w:r>
    </w:p>
    <w:p w14:paraId="7D09239C" w14:textId="77777777" w:rsidR="0039246C" w:rsidRDefault="00902A9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experiment was carried out at the Walnut orchard in the Faculty of Agriculture, </w:t>
      </w:r>
      <w:proofErr w:type="spellStart"/>
      <w:r>
        <w:rPr>
          <w:rFonts w:ascii="Times New Roman" w:eastAsia="Times New Roman" w:hAnsi="Times New Roman" w:cs="Times New Roman"/>
          <w:sz w:val="24"/>
          <w:szCs w:val="24"/>
        </w:rPr>
        <w:t>Wadura</w:t>
      </w:r>
      <w:proofErr w:type="spellEnd"/>
      <w:r>
        <w:rPr>
          <w:rFonts w:ascii="Times New Roman" w:eastAsia="Times New Roman" w:hAnsi="Times New Roman" w:cs="Times New Roman"/>
          <w:sz w:val="24"/>
          <w:szCs w:val="24"/>
        </w:rPr>
        <w:t>, SKUAST-K (at 1,610 MSL) in the 2023-2024 growth year. The experimental material comprised of twenty-one walnut (</w:t>
      </w:r>
      <w:r>
        <w:rPr>
          <w:rFonts w:ascii="Times New Roman" w:eastAsia="Times New Roman" w:hAnsi="Times New Roman" w:cs="Times New Roman"/>
          <w:i/>
          <w:iCs/>
          <w:sz w:val="24"/>
          <w:szCs w:val="24"/>
        </w:rPr>
        <w:t>Juglans regia</w:t>
      </w:r>
      <w:r>
        <w:rPr>
          <w:rFonts w:ascii="Times New Roman" w:eastAsia="Times New Roman" w:hAnsi="Times New Roman" w:cs="Times New Roman"/>
          <w:sz w:val="24"/>
          <w:szCs w:val="24"/>
        </w:rPr>
        <w:t xml:space="preserve"> L.) genotypes evaluated under uniform orchard management practices. The trees selected for the study were healthy, of similar age, vigorous, and grown under recommended agronomic conditions. Vegetative morphological observations </w:t>
      </w:r>
      <w:r>
        <w:rPr>
          <w:rFonts w:ascii="Times New Roman" w:eastAsia="Times New Roman" w:hAnsi="Times New Roman" w:cs="Times New Roman"/>
          <w:sz w:val="24"/>
          <w:szCs w:val="24"/>
        </w:rPr>
        <w:lastRenderedPageBreak/>
        <w:t xml:space="preserve">included the </w:t>
      </w:r>
      <w:r>
        <w:rPr>
          <w:rFonts w:ascii="Times New Roman" w:eastAsia="Times New Roman" w:hAnsi="Times New Roman" w:cs="Times New Roman"/>
          <w:sz w:val="24"/>
          <w:szCs w:val="24"/>
        </w:rPr>
        <w:t>bud break, leaf length, leaf width, leaflet length, leaflet width, and number of leaflets.</w:t>
      </w:r>
    </w:p>
    <w:p w14:paraId="62A81553" w14:textId="77777777" w:rsidR="0039246C" w:rsidRDefault="00902A9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Parameters related to yield and nut quality, like yield per tree, nut weight, length, diameter at the suture and cheek, shell thickness, kernel weight, kernel recove</w:t>
      </w:r>
      <w:r>
        <w:rPr>
          <w:rFonts w:ascii="Times New Roman" w:eastAsia="Times New Roman" w:hAnsi="Times New Roman" w:cs="Times New Roman"/>
          <w:sz w:val="24"/>
          <w:szCs w:val="24"/>
        </w:rPr>
        <w:t xml:space="preserve">ry, protein, and oil, were determined using standard analytical procedures (AOAC, 2000). The yield parameters included first, highest, and final male and female bloom, and the extent female flower overlap with the </w:t>
      </w:r>
      <w:proofErr w:type="spellStart"/>
      <w:r>
        <w:rPr>
          <w:rFonts w:ascii="Times New Roman" w:eastAsia="Times New Roman" w:hAnsi="Times New Roman" w:cs="Times New Roman"/>
          <w:sz w:val="24"/>
          <w:szCs w:val="24"/>
        </w:rPr>
        <w:t>staminate</w:t>
      </w:r>
      <w:proofErr w:type="spellEnd"/>
      <w:r>
        <w:rPr>
          <w:rFonts w:ascii="Times New Roman" w:eastAsia="Times New Roman" w:hAnsi="Times New Roman" w:cs="Times New Roman"/>
          <w:sz w:val="24"/>
          <w:szCs w:val="24"/>
        </w:rPr>
        <w:t xml:space="preserve"> bloom.</w:t>
      </w:r>
    </w:p>
    <w:p w14:paraId="65470284" w14:textId="77777777" w:rsidR="0039246C" w:rsidRDefault="00902A9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correlation coefficie</w:t>
      </w:r>
      <w:r>
        <w:rPr>
          <w:rFonts w:ascii="Times New Roman" w:eastAsia="Times New Roman" w:hAnsi="Times New Roman" w:cs="Times New Roman"/>
          <w:sz w:val="24"/>
          <w:szCs w:val="24"/>
        </w:rPr>
        <w:t>nts (r) were computed to estimate the extent and nature of association that existed between the vegetative morphological traits and the yield and quality related characters. The levels of statistical significance were tested at 5%, 1%, probability levels f</w:t>
      </w:r>
      <w:r>
        <w:rPr>
          <w:rFonts w:ascii="Times New Roman" w:eastAsia="Times New Roman" w:hAnsi="Times New Roman" w:cs="Times New Roman"/>
          <w:sz w:val="24"/>
          <w:szCs w:val="24"/>
        </w:rPr>
        <w:t>ollowing the standard procedures of statistical analysis (</w:t>
      </w:r>
      <w:proofErr w:type="spellStart"/>
      <w:r>
        <w:rPr>
          <w:rFonts w:ascii="Times New Roman" w:eastAsia="Times New Roman" w:hAnsi="Times New Roman" w:cs="Times New Roman"/>
          <w:sz w:val="24"/>
          <w:szCs w:val="24"/>
        </w:rPr>
        <w:t>Panse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Sukhatme</w:t>
      </w:r>
      <w:proofErr w:type="spellEnd"/>
      <w:r>
        <w:rPr>
          <w:rFonts w:ascii="Times New Roman" w:eastAsia="Times New Roman" w:hAnsi="Times New Roman" w:cs="Times New Roman"/>
          <w:sz w:val="24"/>
          <w:szCs w:val="24"/>
        </w:rPr>
        <w:t>, 1985). All the statistical analysis was conducted using the standard statistical software.</w:t>
      </w:r>
    </w:p>
    <w:p w14:paraId="70387B56" w14:textId="2EBDEF11" w:rsidR="0039246C" w:rsidRDefault="00902A9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Results</w:t>
      </w:r>
      <w:r w:rsidR="004E0E68">
        <w:rPr>
          <w:rFonts w:ascii="Times New Roman" w:eastAsia="Times New Roman" w:hAnsi="Times New Roman" w:cs="Times New Roman"/>
          <w:b/>
          <w:bCs/>
          <w:sz w:val="24"/>
          <w:szCs w:val="24"/>
        </w:rPr>
        <w:t xml:space="preserve"> and d</w:t>
      </w:r>
      <w:r w:rsidR="00A87E39">
        <w:rPr>
          <w:rFonts w:ascii="Times New Roman" w:eastAsia="Times New Roman" w:hAnsi="Times New Roman" w:cs="Times New Roman"/>
          <w:b/>
          <w:bCs/>
          <w:sz w:val="24"/>
          <w:szCs w:val="24"/>
        </w:rPr>
        <w:t>i</w:t>
      </w:r>
      <w:r w:rsidR="004E0E68">
        <w:rPr>
          <w:rFonts w:ascii="Times New Roman" w:eastAsia="Times New Roman" w:hAnsi="Times New Roman" w:cs="Times New Roman"/>
          <w:b/>
          <w:bCs/>
          <w:sz w:val="24"/>
          <w:szCs w:val="24"/>
        </w:rPr>
        <w:t>s</w:t>
      </w:r>
      <w:r w:rsidR="00A87E39">
        <w:rPr>
          <w:rFonts w:ascii="Times New Roman" w:eastAsia="Times New Roman" w:hAnsi="Times New Roman" w:cs="Times New Roman"/>
          <w:b/>
          <w:bCs/>
          <w:sz w:val="24"/>
          <w:szCs w:val="24"/>
        </w:rPr>
        <w:t>c</w:t>
      </w:r>
      <w:r w:rsidR="004E0E68">
        <w:rPr>
          <w:rFonts w:ascii="Times New Roman" w:eastAsia="Times New Roman" w:hAnsi="Times New Roman" w:cs="Times New Roman"/>
          <w:b/>
          <w:bCs/>
          <w:sz w:val="24"/>
          <w:szCs w:val="24"/>
        </w:rPr>
        <w:t>ussion</w:t>
      </w:r>
    </w:p>
    <w:p w14:paraId="41E075F9" w14:textId="77777777" w:rsidR="0039246C" w:rsidRDefault="00902A9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phenotypic correlation coefficients among the variables of vegetative, flowering, yields and quality parameters are given in Table 1.  The majority of the variables under vegetation showed low to moderate correlation values with the variables related t</w:t>
      </w:r>
      <w:r>
        <w:rPr>
          <w:rFonts w:ascii="Times New Roman" w:eastAsia="Times New Roman" w:hAnsi="Times New Roman" w:cs="Times New Roman"/>
          <w:sz w:val="24"/>
          <w:szCs w:val="24"/>
        </w:rPr>
        <w:t>o yields as well as the physical parameters of the nut, though the phenology of flowering demonstrated relatively stronger association with the kernel recovery percentage. The time of bud break showed a low non-significant correlation with the given yields</w:t>
      </w:r>
      <w:r>
        <w:rPr>
          <w:rFonts w:ascii="Times New Roman" w:eastAsia="Times New Roman" w:hAnsi="Times New Roman" w:cs="Times New Roman"/>
          <w:sz w:val="24"/>
          <w:szCs w:val="24"/>
        </w:rPr>
        <w:t xml:space="preserve"> (r = −0.17) and most of the physical parameters for the nut.</w:t>
      </w:r>
      <w:r>
        <w:rPr>
          <w:rFonts w:ascii="Times New Roman" w:eastAsia="Times New Roman" w:hAnsi="Times New Roman" w:cs="Times New Roman"/>
        </w:rPr>
        <w:t xml:space="preserve"> However, significant positive correlation values between the bud break</w:t>
      </w:r>
      <w:r>
        <w:rPr>
          <w:rFonts w:ascii="Times New Roman" w:eastAsia="Times New Roman" w:hAnsi="Times New Roman" w:cs="Times New Roman"/>
          <w:sz w:val="24"/>
          <w:szCs w:val="24"/>
        </w:rPr>
        <w:t xml:space="preserve"> phenology and the parameters: first male bloom(r = 0.54), peak male bloom (r = 0.50), last male bloom (r = 0.54), first fem</w:t>
      </w:r>
      <w:r>
        <w:rPr>
          <w:rFonts w:ascii="Times New Roman" w:eastAsia="Times New Roman" w:hAnsi="Times New Roman" w:cs="Times New Roman"/>
          <w:sz w:val="24"/>
          <w:szCs w:val="24"/>
        </w:rPr>
        <w:t>ale bloom (r = 0.55), peak female bloom (r = 0.44) as well as flowering overlap phenology (r = 0.44), measures were found, indicating the indirect contribution of the initial or synchronized bud break to the increase of the overlap duration between the mal</w:t>
      </w:r>
      <w:r>
        <w:rPr>
          <w:rFonts w:ascii="Times New Roman" w:eastAsia="Times New Roman" w:hAnsi="Times New Roman" w:cs="Times New Roman"/>
          <w:sz w:val="24"/>
          <w:szCs w:val="24"/>
        </w:rPr>
        <w:t xml:space="preserve">e as well as female flowering, which is a vital component for the successful process of pollination of the walnut trees. </w:t>
      </w:r>
    </w:p>
    <w:p w14:paraId="5B1AA24E" w14:textId="77777777" w:rsidR="0039246C" w:rsidRDefault="00902A9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Leaf length was found to have a highly significant negative relationship with nut diameter at suture (correlation coefficient= −0.54) </w:t>
      </w:r>
      <w:r>
        <w:rPr>
          <w:rFonts w:ascii="Times New Roman" w:eastAsia="Times New Roman" w:hAnsi="Times New Roman" w:cs="Times New Roman"/>
          <w:sz w:val="24"/>
          <w:szCs w:val="24"/>
        </w:rPr>
        <w:t xml:space="preserve">and nut diameter at cheek (correlation coefficient = −0.52). Whereas, was found to have a highly significant positive relationship with the first male bloom (correlation coefficient = 0.57), peak male bloom (correlation coefficient = 0.50), last </w:t>
      </w:r>
      <w:r>
        <w:rPr>
          <w:rFonts w:ascii="Times New Roman" w:eastAsia="Times New Roman" w:hAnsi="Times New Roman" w:cs="Times New Roman"/>
          <w:sz w:val="24"/>
          <w:szCs w:val="24"/>
        </w:rPr>
        <w:lastRenderedPageBreak/>
        <w:t>male bloom</w:t>
      </w:r>
      <w:r>
        <w:rPr>
          <w:rFonts w:ascii="Times New Roman" w:eastAsia="Times New Roman" w:hAnsi="Times New Roman" w:cs="Times New Roman"/>
          <w:sz w:val="24"/>
          <w:szCs w:val="24"/>
        </w:rPr>
        <w:t xml:space="preserve"> (correlation coefficient = 0.54), first female bloom (correlation coefficient = 0.55), and peak female bloom (correlation coefficient = 0.44).</w:t>
      </w:r>
    </w:p>
    <w:p w14:paraId="27D163CD" w14:textId="77777777" w:rsidR="0039246C" w:rsidRDefault="00902A9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Leaf width was found to be highly significantly and negatively correlated with nut diameter at suture (-0.54) an</w:t>
      </w:r>
      <w:r>
        <w:rPr>
          <w:rFonts w:ascii="Times New Roman" w:eastAsia="Times New Roman" w:hAnsi="Times New Roman" w:cs="Times New Roman"/>
          <w:sz w:val="24"/>
          <w:szCs w:val="24"/>
        </w:rPr>
        <w:t>d nut diameter at cheek (-0.53) whereas, it was non-significantly correlated with other traits. Likewise, the values of leaflet length recorded positive correlations with first male bloom, which was (0.55), peak male bloom (0.49), last male bloom (0.54), f</w:t>
      </w:r>
      <w:r>
        <w:rPr>
          <w:rFonts w:ascii="Times New Roman" w:eastAsia="Times New Roman" w:hAnsi="Times New Roman" w:cs="Times New Roman"/>
          <w:sz w:val="24"/>
          <w:szCs w:val="24"/>
        </w:rPr>
        <w:t>irst female bloom (0.53) and peak female bloom (0.43). Leaflet length was also found to be negatively correlated with the persistence of female flowers (r =-0.38).</w:t>
      </w:r>
    </w:p>
    <w:p w14:paraId="26EE84AB" w14:textId="77777777" w:rsidR="0039246C" w:rsidRDefault="00902A9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Leaflet width showed significant positive correlation with the protein content of the kernel</w:t>
      </w:r>
      <w:r>
        <w:rPr>
          <w:rFonts w:ascii="Times New Roman" w:eastAsia="Times New Roman" w:hAnsi="Times New Roman" w:cs="Times New Roman"/>
          <w:sz w:val="24"/>
          <w:szCs w:val="24"/>
        </w:rPr>
        <w:t xml:space="preserve"> (r = 0.44) although highly significant negative correlation exists between width of leaflets and overlap of female flowering and </w:t>
      </w:r>
      <w:proofErr w:type="spellStart"/>
      <w:r>
        <w:rPr>
          <w:rFonts w:ascii="Times New Roman" w:eastAsia="Times New Roman" w:hAnsi="Times New Roman" w:cs="Times New Roman"/>
          <w:sz w:val="24"/>
          <w:szCs w:val="24"/>
        </w:rPr>
        <w:t>staminate</w:t>
      </w:r>
      <w:proofErr w:type="spellEnd"/>
      <w:r>
        <w:rPr>
          <w:rFonts w:ascii="Times New Roman" w:eastAsia="Times New Roman" w:hAnsi="Times New Roman" w:cs="Times New Roman"/>
          <w:sz w:val="24"/>
          <w:szCs w:val="24"/>
        </w:rPr>
        <w:t xml:space="preserve"> inflorescences (r = -0.56). The variable number of leaflets is not significantly associated with most of the charact</w:t>
      </w:r>
      <w:r>
        <w:rPr>
          <w:rFonts w:ascii="Times New Roman" w:eastAsia="Times New Roman" w:hAnsi="Times New Roman" w:cs="Times New Roman"/>
          <w:sz w:val="24"/>
          <w:szCs w:val="24"/>
        </w:rPr>
        <w:t>ers measured.</w:t>
      </w:r>
    </w:p>
    <w:p w14:paraId="27645BC1" w14:textId="77777777" w:rsidR="0039246C" w:rsidRDefault="00902A9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Flowering characteristics were generally displayed to possess relatively stronger and more significant associations with kernel recovery percentage. First male flowering (r = 0.45), peak male bloom (r = 0.46), last male bloom (r = 0.46), and </w:t>
      </w:r>
      <w:r>
        <w:rPr>
          <w:rFonts w:ascii="Times New Roman" w:eastAsia="Times New Roman" w:hAnsi="Times New Roman" w:cs="Times New Roman"/>
          <w:sz w:val="24"/>
          <w:szCs w:val="24"/>
        </w:rPr>
        <w:t xml:space="preserve">first female flowering (r = 0.52) revealed significantly positive associations with kernel recovery percent, underscoring the significance and role of flower characteristics in determining the kernel efficiencies and recoveries. It is clear that genotypes </w:t>
      </w:r>
      <w:r>
        <w:rPr>
          <w:rFonts w:ascii="Times New Roman" w:eastAsia="Times New Roman" w:hAnsi="Times New Roman" w:cs="Times New Roman"/>
          <w:sz w:val="24"/>
          <w:szCs w:val="24"/>
        </w:rPr>
        <w:t xml:space="preserve">with synchronized and longer flowering phases are associated with enhanced fertilization and kernel development and are responsible for improved recoveries to a higher extent. Flowering coordination and association with kernel characteristics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been esta</w:t>
      </w:r>
      <w:r>
        <w:rPr>
          <w:rFonts w:ascii="Times New Roman" w:eastAsia="Times New Roman" w:hAnsi="Times New Roman" w:cs="Times New Roman"/>
          <w:sz w:val="24"/>
          <w:szCs w:val="24"/>
        </w:rPr>
        <w:t xml:space="preserve">blished in walnut and other nut trees, to emphasize reproduction and the role of successful nut-production phases and efficiencies in determining the quality and yield. </w:t>
      </w:r>
    </w:p>
    <w:p w14:paraId="5020C777" w14:textId="77777777" w:rsidR="0039246C" w:rsidRDefault="00902A9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Yield per tree was generally weakly associated with vegetative growth traits, indicati</w:t>
      </w:r>
      <w:r>
        <w:rPr>
          <w:rFonts w:ascii="Times New Roman" w:eastAsia="Times New Roman" w:hAnsi="Times New Roman" w:cs="Times New Roman"/>
          <w:sz w:val="24"/>
          <w:szCs w:val="24"/>
        </w:rPr>
        <w:t>ng a limited direct influence of leaf morphology on productivity in walnut. Bud break showed a weak negative association with yield (r = −0.17), whereas the correlation of yield with leaf length was almost negligible (r = 0.06). Similarly, the associations</w:t>
      </w:r>
      <w:r>
        <w:rPr>
          <w:rFonts w:ascii="Times New Roman" w:eastAsia="Times New Roman" w:hAnsi="Times New Roman" w:cs="Times New Roman"/>
          <w:sz w:val="24"/>
          <w:szCs w:val="24"/>
        </w:rPr>
        <w:t xml:space="preserve"> of yield with leaflet length (r = 0.04) and leaf width (r = −0.04) were also weak. Furthermore, the number of leaflets was also weakly associated with yield (r = −0.05), suggesting that variability in leaf number did not have a major impact on yield under</w:t>
      </w:r>
      <w:r>
        <w:rPr>
          <w:rFonts w:ascii="Times New Roman" w:eastAsia="Times New Roman" w:hAnsi="Times New Roman" w:cs="Times New Roman"/>
          <w:sz w:val="24"/>
          <w:szCs w:val="24"/>
        </w:rPr>
        <w:t xml:space="preserve"> the studied conditions.</w:t>
      </w:r>
    </w:p>
    <w:p w14:paraId="1490FD98" w14:textId="77777777" w:rsidR="0039246C" w:rsidRDefault="00902A9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high correlation between the timing of bud break and the floral traits indicates that the dormancy breaks in vegetative buds influences the control of flowering time in walnut trees </w:t>
      </w:r>
      <w:r>
        <w:rPr>
          <w:rFonts w:ascii="Times New Roman" w:eastAsia="Times New Roman" w:hAnsi="Times New Roman" w:cs="Times New Roman"/>
          <w:sz w:val="24"/>
          <w:szCs w:val="24"/>
        </w:rPr>
        <w:lastRenderedPageBreak/>
        <w:t>(Charrier, et al., 2011; Bernard, et al., 202</w:t>
      </w:r>
      <w:r>
        <w:rPr>
          <w:rFonts w:ascii="Times New Roman" w:eastAsia="Times New Roman" w:hAnsi="Times New Roman" w:cs="Times New Roman"/>
          <w:sz w:val="24"/>
          <w:szCs w:val="24"/>
        </w:rPr>
        <w:t xml:space="preserve">0). The early bud break, in this case promotes the male and female phases in the emergence of the flowers, which can influence pollination process in temperate regions (Germain, 1997; Solar and </w:t>
      </w:r>
      <w:proofErr w:type="spellStart"/>
      <w:r>
        <w:rPr>
          <w:rFonts w:ascii="Times New Roman" w:eastAsia="Times New Roman" w:hAnsi="Times New Roman" w:cs="Times New Roman"/>
          <w:sz w:val="24"/>
          <w:szCs w:val="24"/>
        </w:rPr>
        <w:t>Stampar</w:t>
      </w:r>
      <w:proofErr w:type="spellEnd"/>
      <w:r>
        <w:rPr>
          <w:rFonts w:ascii="Times New Roman" w:eastAsia="Times New Roman" w:hAnsi="Times New Roman" w:cs="Times New Roman"/>
          <w:sz w:val="24"/>
          <w:szCs w:val="24"/>
        </w:rPr>
        <w:t xml:space="preserve">, 2011; </w:t>
      </w:r>
      <w:proofErr w:type="spellStart"/>
      <w:r>
        <w:rPr>
          <w:rFonts w:ascii="Times New Roman" w:eastAsia="Times New Roman" w:hAnsi="Times New Roman" w:cs="Times New Roman"/>
          <w:sz w:val="24"/>
          <w:szCs w:val="24"/>
        </w:rPr>
        <w:t>Szot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Lysiak</w:t>
      </w:r>
      <w:proofErr w:type="spellEnd"/>
      <w:r>
        <w:rPr>
          <w:rFonts w:ascii="Times New Roman" w:eastAsia="Times New Roman" w:hAnsi="Times New Roman" w:cs="Times New Roman"/>
          <w:sz w:val="24"/>
          <w:szCs w:val="24"/>
        </w:rPr>
        <w:t>, 2025).</w:t>
      </w:r>
    </w:p>
    <w:p w14:paraId="195D7023" w14:textId="77777777" w:rsidR="0039246C" w:rsidRDefault="00902A9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Leaf length, leaf width</w:t>
      </w:r>
      <w:r>
        <w:rPr>
          <w:rFonts w:ascii="Times New Roman" w:eastAsia="Times New Roman" w:hAnsi="Times New Roman" w:cs="Times New Roman"/>
          <w:sz w:val="24"/>
          <w:szCs w:val="24"/>
        </w:rPr>
        <w:t>, leaflet length and leaflet width were vegetative traits that depicted the strong negative, non-significant correlation with the nut size characters, such as nut diameter at suture and cheek. The result indicated that an increase in vegetative growth does</w:t>
      </w:r>
      <w:r>
        <w:rPr>
          <w:rFonts w:ascii="Times New Roman" w:eastAsia="Times New Roman" w:hAnsi="Times New Roman" w:cs="Times New Roman"/>
          <w:sz w:val="24"/>
          <w:szCs w:val="24"/>
        </w:rPr>
        <w:t xml:space="preserve"> not necessarily increase the nut growth, possibly affected by the competition from the vegetative and reproductive sinks for assimilates. This was witnessed in some other nut trees, (</w:t>
      </w:r>
      <w:proofErr w:type="spellStart"/>
      <w:r>
        <w:rPr>
          <w:rFonts w:ascii="Times New Roman" w:eastAsia="Times New Roman" w:hAnsi="Times New Roman" w:cs="Times New Roman"/>
          <w:sz w:val="24"/>
          <w:szCs w:val="24"/>
        </w:rPr>
        <w:t>McGranahan</w:t>
      </w:r>
      <w:proofErr w:type="spellEnd"/>
      <w:r>
        <w:rPr>
          <w:rFonts w:ascii="Times New Roman" w:eastAsia="Times New Roman" w:hAnsi="Times New Roman" w:cs="Times New Roman"/>
          <w:sz w:val="24"/>
          <w:szCs w:val="24"/>
        </w:rPr>
        <w:t xml:space="preserve"> &amp; Leslie, 2012; Zhang et al., 2021; Marino, et al., 2023). Si</w:t>
      </w:r>
      <w:r>
        <w:rPr>
          <w:rFonts w:ascii="Times New Roman" w:eastAsia="Times New Roman" w:hAnsi="Times New Roman" w:cs="Times New Roman"/>
          <w:sz w:val="24"/>
          <w:szCs w:val="24"/>
        </w:rPr>
        <w:t>milar studies in walnut and other fruit crops were witnessed in earlier studies, in which the result showed that a large vegetative growth does not exhibit positive correlation with the fruit/nut size (</w:t>
      </w:r>
      <w:proofErr w:type="spellStart"/>
      <w:r>
        <w:rPr>
          <w:rFonts w:ascii="Times New Roman" w:eastAsia="Times New Roman" w:hAnsi="Times New Roman" w:cs="Times New Roman"/>
          <w:sz w:val="24"/>
          <w:szCs w:val="24"/>
        </w:rPr>
        <w:t>Aslamarz</w:t>
      </w:r>
      <w:proofErr w:type="spellEnd"/>
      <w:r>
        <w:rPr>
          <w:rFonts w:ascii="Times New Roman" w:eastAsia="Times New Roman" w:hAnsi="Times New Roman" w:cs="Times New Roman"/>
          <w:sz w:val="24"/>
          <w:szCs w:val="24"/>
        </w:rPr>
        <w:t xml:space="preserve"> et al., 2009; </w:t>
      </w:r>
      <w:proofErr w:type="spellStart"/>
      <w:r>
        <w:rPr>
          <w:rFonts w:ascii="Times New Roman" w:eastAsia="Times New Roman" w:hAnsi="Times New Roman" w:cs="Times New Roman"/>
          <w:sz w:val="24"/>
          <w:szCs w:val="24"/>
        </w:rPr>
        <w:t>Gandev</w:t>
      </w:r>
      <w:proofErr w:type="spellEnd"/>
      <w:r>
        <w:rPr>
          <w:rFonts w:ascii="Times New Roman" w:eastAsia="Times New Roman" w:hAnsi="Times New Roman" w:cs="Times New Roman"/>
          <w:sz w:val="24"/>
          <w:szCs w:val="24"/>
        </w:rPr>
        <w:t xml:space="preserve">, 2014; </w:t>
      </w:r>
      <w:proofErr w:type="spellStart"/>
      <w:r>
        <w:rPr>
          <w:rFonts w:ascii="Times New Roman" w:eastAsia="Times New Roman" w:hAnsi="Times New Roman" w:cs="Times New Roman"/>
          <w:sz w:val="24"/>
          <w:szCs w:val="24"/>
        </w:rPr>
        <w:t>Christopoulos</w:t>
      </w:r>
      <w:proofErr w:type="spellEnd"/>
      <w:r>
        <w:rPr>
          <w:rFonts w:ascii="Times New Roman" w:eastAsia="Times New Roman" w:hAnsi="Times New Roman" w:cs="Times New Roman"/>
          <w:sz w:val="24"/>
          <w:szCs w:val="24"/>
        </w:rPr>
        <w:t>, et</w:t>
      </w:r>
      <w:r>
        <w:rPr>
          <w:rFonts w:ascii="Times New Roman" w:eastAsia="Times New Roman" w:hAnsi="Times New Roman" w:cs="Times New Roman"/>
          <w:sz w:val="24"/>
          <w:szCs w:val="24"/>
        </w:rPr>
        <w:t xml:space="preserve"> al., 2021). The positive correlation of leaflet width and kernel protein concentration depicted the positive influence of the vegetative traits on the kernel biochemical constituents. The non-significant correlation of the vegetative traits with the total</w:t>
      </w:r>
      <w:r>
        <w:rPr>
          <w:rFonts w:ascii="Times New Roman" w:eastAsia="Times New Roman" w:hAnsi="Times New Roman" w:cs="Times New Roman"/>
          <w:sz w:val="24"/>
          <w:szCs w:val="24"/>
        </w:rPr>
        <w:t xml:space="preserve"> yield of the trees depends on various factors such as synchronicity of flowers (Abedi and </w:t>
      </w:r>
      <w:proofErr w:type="spellStart"/>
      <w:r>
        <w:rPr>
          <w:rFonts w:ascii="Times New Roman" w:eastAsia="Times New Roman" w:hAnsi="Times New Roman" w:cs="Times New Roman"/>
          <w:sz w:val="24"/>
          <w:szCs w:val="24"/>
        </w:rPr>
        <w:t>Parvaneh</w:t>
      </w:r>
      <w:proofErr w:type="spellEnd"/>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sz w:val="24"/>
          <w:szCs w:val="24"/>
        </w:rPr>
        <w:t>Bogdziewicz</w:t>
      </w:r>
      <w:proofErr w:type="spellEnd"/>
      <w:r>
        <w:rPr>
          <w:rFonts w:ascii="Times New Roman" w:eastAsia="Times New Roman" w:hAnsi="Times New Roman" w:cs="Times New Roman"/>
          <w:sz w:val="24"/>
          <w:szCs w:val="24"/>
        </w:rPr>
        <w:t>, et al., 2020). The efficacy of the pollination system and the environment in which it grows (Falconer &amp; Mackay, 1996; Chen et al., 2023)</w:t>
      </w:r>
      <w:r>
        <w:rPr>
          <w:rFonts w:ascii="Times New Roman" w:eastAsia="Times New Roman" w:hAnsi="Times New Roman" w:cs="Times New Roman"/>
          <w:sz w:val="24"/>
          <w:szCs w:val="24"/>
        </w:rPr>
        <w:t>.</w:t>
      </w:r>
    </w:p>
    <w:p w14:paraId="30A39FDE" w14:textId="77777777" w:rsidR="0039246C" w:rsidRDefault="00902A9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Flowering phenology was found as the most relevant component that influenced kernel recovery percentage. The significant positive correlation of kernel recovery with first male bloom, peak male bloom, last male bloom, and first female bloom indicates tha</w:t>
      </w:r>
      <w:r>
        <w:rPr>
          <w:rFonts w:ascii="Times New Roman" w:eastAsia="Times New Roman" w:hAnsi="Times New Roman" w:cs="Times New Roman"/>
          <w:sz w:val="24"/>
          <w:szCs w:val="24"/>
        </w:rPr>
        <w:t xml:space="preserve">t timely and longer flowering phases </w:t>
      </w:r>
      <w:proofErr w:type="spellStart"/>
      <w:r>
        <w:rPr>
          <w:rFonts w:ascii="Times New Roman" w:eastAsia="Times New Roman" w:hAnsi="Times New Roman" w:cs="Times New Roman"/>
          <w:sz w:val="24"/>
          <w:szCs w:val="24"/>
        </w:rPr>
        <w:t>favor</w:t>
      </w:r>
      <w:proofErr w:type="spellEnd"/>
      <w:r>
        <w:rPr>
          <w:rFonts w:ascii="Times New Roman" w:eastAsia="Times New Roman" w:hAnsi="Times New Roman" w:cs="Times New Roman"/>
          <w:sz w:val="24"/>
          <w:szCs w:val="24"/>
        </w:rPr>
        <w:t xml:space="preserve"> better fertilization and kernel filling. These results </w:t>
      </w:r>
      <w:proofErr w:type="gramStart"/>
      <w:r>
        <w:rPr>
          <w:rFonts w:ascii="Times New Roman" w:eastAsia="Times New Roman" w:hAnsi="Times New Roman" w:cs="Times New Roman"/>
          <w:sz w:val="24"/>
          <w:szCs w:val="24"/>
        </w:rPr>
        <w:t>are in agreement</w:t>
      </w:r>
      <w:proofErr w:type="gramEnd"/>
      <w:r>
        <w:rPr>
          <w:rFonts w:ascii="Times New Roman" w:eastAsia="Times New Roman" w:hAnsi="Times New Roman" w:cs="Times New Roman"/>
          <w:sz w:val="24"/>
          <w:szCs w:val="24"/>
        </w:rPr>
        <w:t xml:space="preserve"> with the previous studies indicating the importance of flowering synchronization and duration in determining kernel development and nut quali</w:t>
      </w:r>
      <w:r>
        <w:rPr>
          <w:rFonts w:ascii="Times New Roman" w:eastAsia="Times New Roman" w:hAnsi="Times New Roman" w:cs="Times New Roman"/>
          <w:sz w:val="24"/>
          <w:szCs w:val="24"/>
        </w:rPr>
        <w:t xml:space="preserve">ty in walnut (Germain, 1997; Solar et al., 2012; Marrano, et al., 2019; </w:t>
      </w:r>
      <w:proofErr w:type="spellStart"/>
      <w:r>
        <w:rPr>
          <w:rFonts w:ascii="Times New Roman" w:eastAsia="Times New Roman" w:hAnsi="Times New Roman" w:cs="Times New Roman"/>
          <w:sz w:val="24"/>
          <w:szCs w:val="24"/>
        </w:rPr>
        <w:t>Gurjar</w:t>
      </w:r>
      <w:proofErr w:type="spellEnd"/>
      <w:r>
        <w:rPr>
          <w:rFonts w:ascii="Times New Roman" w:eastAsia="Times New Roman" w:hAnsi="Times New Roman" w:cs="Times New Roman"/>
          <w:sz w:val="24"/>
          <w:szCs w:val="24"/>
        </w:rPr>
        <w:t xml:space="preserve">, et al., 2025). The strong association of first female bloom with kernel recovery further supports that early receptivity of female flowers may </w:t>
      </w:r>
      <w:proofErr w:type="spellStart"/>
      <w:r>
        <w:rPr>
          <w:rFonts w:ascii="Times New Roman" w:eastAsia="Times New Roman" w:hAnsi="Times New Roman" w:cs="Times New Roman"/>
          <w:sz w:val="24"/>
          <w:szCs w:val="24"/>
        </w:rPr>
        <w:t>favor</w:t>
      </w:r>
      <w:proofErr w:type="spellEnd"/>
      <w:r>
        <w:rPr>
          <w:rFonts w:ascii="Times New Roman" w:eastAsia="Times New Roman" w:hAnsi="Times New Roman" w:cs="Times New Roman"/>
          <w:sz w:val="24"/>
          <w:szCs w:val="24"/>
        </w:rPr>
        <w:t xml:space="preserve"> effective fertilization, le</w:t>
      </w:r>
      <w:r>
        <w:rPr>
          <w:rFonts w:ascii="Times New Roman" w:eastAsia="Times New Roman" w:hAnsi="Times New Roman" w:cs="Times New Roman"/>
          <w:sz w:val="24"/>
          <w:szCs w:val="24"/>
        </w:rPr>
        <w:t>ading to higher kernel proportion (</w:t>
      </w:r>
      <w:proofErr w:type="spellStart"/>
      <w:r>
        <w:rPr>
          <w:rFonts w:ascii="Times New Roman" w:eastAsia="Times New Roman" w:hAnsi="Times New Roman" w:cs="Times New Roman"/>
          <w:sz w:val="24"/>
          <w:szCs w:val="24"/>
        </w:rPr>
        <w:t>Banyal</w:t>
      </w:r>
      <w:proofErr w:type="spellEnd"/>
      <w:r>
        <w:rPr>
          <w:rFonts w:ascii="Times New Roman" w:eastAsia="Times New Roman" w:hAnsi="Times New Roman" w:cs="Times New Roman"/>
          <w:sz w:val="24"/>
          <w:szCs w:val="24"/>
        </w:rPr>
        <w:t>, et al., 2023). Yield per tree had a significant positive relation with flowering overlap that again underlined the role of reproductive synchrony in yield determination. Sufficient coincidence between male and fem</w:t>
      </w:r>
      <w:r>
        <w:rPr>
          <w:rFonts w:ascii="Times New Roman" w:eastAsia="Times New Roman" w:hAnsi="Times New Roman" w:cs="Times New Roman"/>
          <w:sz w:val="24"/>
          <w:szCs w:val="24"/>
        </w:rPr>
        <w:t>ale flowering phases guarantees efficient pollen transfer and fertilization, culminating in improved fruit set and stability of yield (</w:t>
      </w:r>
      <w:proofErr w:type="spellStart"/>
      <w:r>
        <w:rPr>
          <w:rFonts w:ascii="Times New Roman" w:eastAsia="Times New Roman" w:hAnsi="Times New Roman" w:cs="Times New Roman"/>
          <w:sz w:val="24"/>
          <w:szCs w:val="24"/>
        </w:rPr>
        <w:t>Mutke</w:t>
      </w:r>
      <w:proofErr w:type="spellEnd"/>
      <w:r>
        <w:rPr>
          <w:rFonts w:ascii="Times New Roman" w:eastAsia="Times New Roman" w:hAnsi="Times New Roman" w:cs="Times New Roman"/>
          <w:sz w:val="24"/>
          <w:szCs w:val="24"/>
        </w:rPr>
        <w:t xml:space="preserve">, et al., 2012; Sharma and Kumar, 2015; Din, et al, 2019). In this regard, previous studies have </w:t>
      </w:r>
      <w:proofErr w:type="spellStart"/>
      <w:r>
        <w:rPr>
          <w:rFonts w:ascii="Times New Roman" w:eastAsia="Times New Roman" w:hAnsi="Times New Roman" w:cs="Times New Roman"/>
          <w:sz w:val="24"/>
          <w:szCs w:val="24"/>
        </w:rPr>
        <w:t>alsos</w:t>
      </w:r>
      <w:proofErr w:type="spellEnd"/>
      <w:r>
        <w:rPr>
          <w:rFonts w:ascii="Times New Roman" w:eastAsia="Times New Roman" w:hAnsi="Times New Roman" w:cs="Times New Roman"/>
          <w:sz w:val="24"/>
          <w:szCs w:val="24"/>
        </w:rPr>
        <w:t xml:space="preserve"> reported flow</w:t>
      </w:r>
      <w:r>
        <w:rPr>
          <w:rFonts w:ascii="Times New Roman" w:eastAsia="Times New Roman" w:hAnsi="Times New Roman" w:cs="Times New Roman"/>
          <w:sz w:val="24"/>
          <w:szCs w:val="24"/>
        </w:rPr>
        <w:t xml:space="preserve">ering overlap as the key </w:t>
      </w:r>
      <w:r>
        <w:rPr>
          <w:rFonts w:ascii="Times New Roman" w:eastAsia="Times New Roman" w:hAnsi="Times New Roman" w:cs="Times New Roman"/>
          <w:sz w:val="24"/>
          <w:szCs w:val="24"/>
        </w:rPr>
        <w:lastRenderedPageBreak/>
        <w:t>yield determinant factor in walnut and other wind-pollinated nut crops (</w:t>
      </w:r>
      <w:proofErr w:type="spellStart"/>
      <w:r>
        <w:rPr>
          <w:rFonts w:ascii="Times New Roman" w:eastAsia="Times New Roman" w:hAnsi="Times New Roman" w:cs="Times New Roman"/>
          <w:sz w:val="24"/>
          <w:szCs w:val="24"/>
        </w:rPr>
        <w:t>Polito</w:t>
      </w:r>
      <w:proofErr w:type="spellEnd"/>
      <w:r>
        <w:rPr>
          <w:rFonts w:ascii="Times New Roman" w:eastAsia="Times New Roman" w:hAnsi="Times New Roman" w:cs="Times New Roman"/>
          <w:sz w:val="24"/>
          <w:szCs w:val="24"/>
        </w:rPr>
        <w:t xml:space="preserve"> et al., 1998; </w:t>
      </w:r>
      <w:proofErr w:type="spellStart"/>
      <w:r>
        <w:rPr>
          <w:rFonts w:ascii="Times New Roman" w:eastAsia="Times New Roman" w:hAnsi="Times New Roman" w:cs="Times New Roman"/>
          <w:sz w:val="24"/>
          <w:szCs w:val="24"/>
        </w:rPr>
        <w:t>Koubouris</w:t>
      </w:r>
      <w:proofErr w:type="spellEnd"/>
      <w:r>
        <w:rPr>
          <w:rFonts w:ascii="Times New Roman" w:eastAsia="Times New Roman" w:hAnsi="Times New Roman" w:cs="Times New Roman"/>
          <w:sz w:val="24"/>
          <w:szCs w:val="24"/>
        </w:rPr>
        <w:t xml:space="preserve"> et al., 2010; </w:t>
      </w:r>
      <w:proofErr w:type="spellStart"/>
      <w:proofErr w:type="gramStart"/>
      <w:r>
        <w:rPr>
          <w:rFonts w:ascii="Times New Roman" w:eastAsia="Times New Roman" w:hAnsi="Times New Roman" w:cs="Times New Roman"/>
          <w:sz w:val="24"/>
          <w:szCs w:val="24"/>
        </w:rPr>
        <w:t>Pollegoni,et</w:t>
      </w:r>
      <w:proofErr w:type="spellEnd"/>
      <w:r>
        <w:rPr>
          <w:rFonts w:ascii="Times New Roman" w:eastAsia="Times New Roman" w:hAnsi="Times New Roman" w:cs="Times New Roman"/>
          <w:sz w:val="24"/>
          <w:szCs w:val="24"/>
        </w:rPr>
        <w:t xml:space="preserve"> al.</w:t>
      </w:r>
      <w:proofErr w:type="gramEnd"/>
      <w:r>
        <w:rPr>
          <w:rFonts w:ascii="Times New Roman" w:eastAsia="Times New Roman" w:hAnsi="Times New Roman" w:cs="Times New Roman"/>
          <w:sz w:val="24"/>
          <w:szCs w:val="24"/>
        </w:rPr>
        <w:t>, 2010; Soleimani, et al., 2023).</w:t>
      </w:r>
    </w:p>
    <w:p w14:paraId="1038E77C" w14:textId="77777777" w:rsidR="0039246C" w:rsidRDefault="00902A9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Conclusion</w:t>
      </w:r>
    </w:p>
    <w:p w14:paraId="72153FBC" w14:textId="77777777" w:rsidR="0039246C" w:rsidRDefault="00902A99">
      <w:pPr>
        <w:spacing w:line="360" w:lineRule="auto"/>
        <w:jc w:val="both"/>
        <w:rPr>
          <w:rFonts w:ascii="Times New Roman" w:eastAsia="Times New Roman" w:hAnsi="Times New Roman" w:cs="Times New Roman"/>
          <w:sz w:val="24"/>
          <w:szCs w:val="24"/>
        </w:rPr>
        <w:sectPr w:rsidR="0039246C">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pgNumType w:start="1"/>
          <w:cols w:space="720"/>
        </w:sectPr>
      </w:pPr>
      <w:r>
        <w:rPr>
          <w:rFonts w:ascii="Times New Roman" w:eastAsia="Times New Roman" w:hAnsi="Times New Roman" w:cs="Times New Roman"/>
          <w:sz w:val="24"/>
          <w:szCs w:val="24"/>
        </w:rPr>
        <w:t>The present study revealed that th</w:t>
      </w:r>
      <w:r>
        <w:rPr>
          <w:rFonts w:ascii="Times New Roman" w:eastAsia="Times New Roman" w:hAnsi="Times New Roman" w:cs="Times New Roman"/>
          <w:sz w:val="24"/>
          <w:szCs w:val="24"/>
        </w:rPr>
        <w:t xml:space="preserve">e vegetative morphological traits in walnut genotypes have a closer association with flowering behaviour and kernel quality attributes as comparison to yield per tree. Traits such as time of bud break, leaf and leaflet dimensions, and leaflet width showed </w:t>
      </w:r>
      <w:r>
        <w:rPr>
          <w:rFonts w:ascii="Times New Roman" w:eastAsia="Times New Roman" w:hAnsi="Times New Roman" w:cs="Times New Roman"/>
          <w:sz w:val="24"/>
          <w:szCs w:val="24"/>
        </w:rPr>
        <w:t>the significant relationships with flowering synchrony and kernel protein content. These vegetative characters may therefore be considered as the useful indicators for indirect selection aimed at improving flowering behaviour and kernel quality in walnut b</w:t>
      </w:r>
      <w:r>
        <w:rPr>
          <w:rFonts w:ascii="Times New Roman" w:eastAsia="Times New Roman" w:hAnsi="Times New Roman" w:cs="Times New Roman"/>
          <w:sz w:val="24"/>
          <w:szCs w:val="24"/>
        </w:rPr>
        <w:t>reeding programmes.</w:t>
      </w:r>
    </w:p>
    <w:p w14:paraId="343AF846" w14:textId="77777777" w:rsidR="0039246C" w:rsidRDefault="0039246C">
      <w:pPr>
        <w:widowControl w:val="0"/>
        <w:pBdr>
          <w:top w:val="nil"/>
          <w:left w:val="nil"/>
          <w:bottom w:val="nil"/>
          <w:right w:val="nil"/>
          <w:between w:val="nil"/>
        </w:pBdr>
        <w:spacing w:after="0"/>
        <w:rPr>
          <w:rFonts w:ascii="Times New Roman" w:eastAsia="Times New Roman" w:hAnsi="Times New Roman" w:cs="Times New Roman"/>
          <w:sz w:val="24"/>
          <w:szCs w:val="24"/>
        </w:rPr>
      </w:pPr>
    </w:p>
    <w:tbl>
      <w:tblPr>
        <w:tblStyle w:val="a"/>
        <w:tblpPr w:leftFromText="180" w:rightFromText="180" w:vertAnchor="page" w:horzAnchor="margin" w:tblpY="1786"/>
        <w:tblW w:w="14811" w:type="dxa"/>
        <w:tblInd w:w="0" w:type="dxa"/>
        <w:tblLayout w:type="fixed"/>
        <w:tblLook w:val="0400" w:firstRow="0" w:lastRow="0" w:firstColumn="0" w:lastColumn="0" w:noHBand="0" w:noVBand="1"/>
      </w:tblPr>
      <w:tblGrid>
        <w:gridCol w:w="1916"/>
        <w:gridCol w:w="1275"/>
        <w:gridCol w:w="1277"/>
        <w:gridCol w:w="1281"/>
        <w:gridCol w:w="1297"/>
        <w:gridCol w:w="1297"/>
        <w:gridCol w:w="1302"/>
        <w:gridCol w:w="1278"/>
        <w:gridCol w:w="1314"/>
        <w:gridCol w:w="1287"/>
        <w:gridCol w:w="1287"/>
      </w:tblGrid>
      <w:tr w:rsidR="0039246C" w14:paraId="13FF98E0" w14:textId="77777777">
        <w:trPr>
          <w:trHeight w:val="912"/>
        </w:trPr>
        <w:tc>
          <w:tcPr>
            <w:tcW w:w="1916" w:type="dxa"/>
            <w:tcBorders>
              <w:top w:val="single" w:sz="8" w:space="0" w:color="000000"/>
              <w:left w:val="single" w:sz="8" w:space="0" w:color="000000"/>
              <w:bottom w:val="single" w:sz="8" w:space="0" w:color="000000"/>
              <w:right w:val="single" w:sz="8" w:space="0" w:color="000000"/>
            </w:tcBorders>
            <w:vAlign w:val="center"/>
          </w:tcPr>
          <w:p w14:paraId="55535B56"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Trait</w:t>
            </w:r>
          </w:p>
        </w:tc>
        <w:tc>
          <w:tcPr>
            <w:tcW w:w="1275" w:type="dxa"/>
            <w:tcBorders>
              <w:top w:val="single" w:sz="8" w:space="0" w:color="000000"/>
              <w:left w:val="nil"/>
              <w:bottom w:val="single" w:sz="8" w:space="0" w:color="000000"/>
              <w:right w:val="single" w:sz="8" w:space="0" w:color="000000"/>
            </w:tcBorders>
            <w:vAlign w:val="center"/>
          </w:tcPr>
          <w:p w14:paraId="79E3DE23"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Yield</w:t>
            </w:r>
          </w:p>
        </w:tc>
        <w:tc>
          <w:tcPr>
            <w:tcW w:w="1277" w:type="dxa"/>
            <w:tcBorders>
              <w:top w:val="single" w:sz="8" w:space="0" w:color="000000"/>
              <w:left w:val="nil"/>
              <w:bottom w:val="single" w:sz="8" w:space="0" w:color="000000"/>
              <w:right w:val="single" w:sz="8" w:space="0" w:color="000000"/>
            </w:tcBorders>
            <w:vAlign w:val="center"/>
          </w:tcPr>
          <w:p w14:paraId="35CDD422"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Nut weight</w:t>
            </w:r>
          </w:p>
        </w:tc>
        <w:tc>
          <w:tcPr>
            <w:tcW w:w="1281" w:type="dxa"/>
            <w:tcBorders>
              <w:top w:val="single" w:sz="8" w:space="0" w:color="000000"/>
              <w:left w:val="nil"/>
              <w:bottom w:val="single" w:sz="8" w:space="0" w:color="000000"/>
              <w:right w:val="single" w:sz="8" w:space="0" w:color="000000"/>
            </w:tcBorders>
            <w:vAlign w:val="center"/>
          </w:tcPr>
          <w:p w14:paraId="344FFA17"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Nut Length</w:t>
            </w:r>
          </w:p>
        </w:tc>
        <w:tc>
          <w:tcPr>
            <w:tcW w:w="1297" w:type="dxa"/>
            <w:tcBorders>
              <w:top w:val="single" w:sz="8" w:space="0" w:color="000000"/>
              <w:left w:val="nil"/>
              <w:bottom w:val="single" w:sz="8" w:space="0" w:color="000000"/>
              <w:right w:val="single" w:sz="8" w:space="0" w:color="000000"/>
            </w:tcBorders>
            <w:vAlign w:val="center"/>
          </w:tcPr>
          <w:p w14:paraId="7B3A00BF"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Nut Diameter Suture</w:t>
            </w:r>
          </w:p>
        </w:tc>
        <w:tc>
          <w:tcPr>
            <w:tcW w:w="1297" w:type="dxa"/>
            <w:tcBorders>
              <w:top w:val="single" w:sz="8" w:space="0" w:color="000000"/>
              <w:left w:val="nil"/>
              <w:bottom w:val="single" w:sz="8" w:space="0" w:color="000000"/>
              <w:right w:val="single" w:sz="8" w:space="0" w:color="000000"/>
            </w:tcBorders>
            <w:vAlign w:val="center"/>
          </w:tcPr>
          <w:p w14:paraId="7B3B88A8"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Nut Diameter Cheek</w:t>
            </w:r>
          </w:p>
        </w:tc>
        <w:tc>
          <w:tcPr>
            <w:tcW w:w="1302" w:type="dxa"/>
            <w:tcBorders>
              <w:top w:val="single" w:sz="8" w:space="0" w:color="000000"/>
              <w:left w:val="nil"/>
              <w:bottom w:val="single" w:sz="8" w:space="0" w:color="000000"/>
              <w:right w:val="single" w:sz="8" w:space="0" w:color="000000"/>
            </w:tcBorders>
            <w:vAlign w:val="center"/>
          </w:tcPr>
          <w:p w14:paraId="35F69D2D"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Shell Thickness</w:t>
            </w:r>
          </w:p>
        </w:tc>
        <w:tc>
          <w:tcPr>
            <w:tcW w:w="1278" w:type="dxa"/>
            <w:tcBorders>
              <w:top w:val="single" w:sz="8" w:space="0" w:color="000000"/>
              <w:left w:val="nil"/>
              <w:bottom w:val="single" w:sz="8" w:space="0" w:color="000000"/>
              <w:right w:val="single" w:sz="8" w:space="0" w:color="000000"/>
            </w:tcBorders>
            <w:vAlign w:val="center"/>
          </w:tcPr>
          <w:p w14:paraId="50F8A2D6"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Kernel weight</w:t>
            </w:r>
          </w:p>
        </w:tc>
        <w:tc>
          <w:tcPr>
            <w:tcW w:w="1314" w:type="dxa"/>
            <w:tcBorders>
              <w:top w:val="single" w:sz="8" w:space="0" w:color="000000"/>
              <w:left w:val="nil"/>
              <w:bottom w:val="single" w:sz="8" w:space="0" w:color="000000"/>
              <w:right w:val="single" w:sz="8" w:space="0" w:color="000000"/>
            </w:tcBorders>
            <w:vAlign w:val="center"/>
          </w:tcPr>
          <w:p w14:paraId="6D8BBD43"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Kernel percentage</w:t>
            </w:r>
          </w:p>
        </w:tc>
        <w:tc>
          <w:tcPr>
            <w:tcW w:w="1287" w:type="dxa"/>
            <w:tcBorders>
              <w:top w:val="single" w:sz="8" w:space="0" w:color="000000"/>
              <w:left w:val="nil"/>
              <w:bottom w:val="single" w:sz="8" w:space="0" w:color="000000"/>
              <w:right w:val="single" w:sz="8" w:space="0" w:color="000000"/>
            </w:tcBorders>
            <w:vAlign w:val="center"/>
          </w:tcPr>
          <w:p w14:paraId="24E8A528"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Protein Content</w:t>
            </w:r>
          </w:p>
        </w:tc>
        <w:tc>
          <w:tcPr>
            <w:tcW w:w="1287" w:type="dxa"/>
            <w:tcBorders>
              <w:top w:val="single" w:sz="8" w:space="0" w:color="000000"/>
              <w:left w:val="nil"/>
              <w:bottom w:val="single" w:sz="8" w:space="0" w:color="000000"/>
              <w:right w:val="single" w:sz="8" w:space="0" w:color="000000"/>
            </w:tcBorders>
            <w:vAlign w:val="center"/>
          </w:tcPr>
          <w:p w14:paraId="0C14C614"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Oil Content</w:t>
            </w:r>
          </w:p>
        </w:tc>
      </w:tr>
      <w:tr w:rsidR="0039246C" w14:paraId="507488E6" w14:textId="77777777">
        <w:trPr>
          <w:trHeight w:val="544"/>
        </w:trPr>
        <w:tc>
          <w:tcPr>
            <w:tcW w:w="1916" w:type="dxa"/>
            <w:tcBorders>
              <w:top w:val="nil"/>
              <w:left w:val="single" w:sz="8" w:space="0" w:color="000000"/>
              <w:bottom w:val="single" w:sz="8" w:space="0" w:color="000000"/>
              <w:right w:val="single" w:sz="8" w:space="0" w:color="000000"/>
            </w:tcBorders>
            <w:vAlign w:val="center"/>
          </w:tcPr>
          <w:p w14:paraId="4F989846"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First Male Bloom</w:t>
            </w:r>
          </w:p>
        </w:tc>
        <w:tc>
          <w:tcPr>
            <w:tcW w:w="1275" w:type="dxa"/>
            <w:tcBorders>
              <w:top w:val="nil"/>
              <w:left w:val="nil"/>
              <w:bottom w:val="single" w:sz="8" w:space="0" w:color="000000"/>
              <w:right w:val="single" w:sz="8" w:space="0" w:color="000000"/>
            </w:tcBorders>
            <w:vAlign w:val="center"/>
          </w:tcPr>
          <w:p w14:paraId="2C169989"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w:t>
            </w:r>
          </w:p>
        </w:tc>
        <w:tc>
          <w:tcPr>
            <w:tcW w:w="1277" w:type="dxa"/>
            <w:tcBorders>
              <w:top w:val="nil"/>
              <w:left w:val="nil"/>
              <w:bottom w:val="single" w:sz="8" w:space="0" w:color="000000"/>
              <w:right w:val="single" w:sz="8" w:space="0" w:color="000000"/>
            </w:tcBorders>
            <w:vAlign w:val="center"/>
          </w:tcPr>
          <w:p w14:paraId="7A0CEA04"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281" w:type="dxa"/>
            <w:tcBorders>
              <w:top w:val="nil"/>
              <w:left w:val="nil"/>
              <w:bottom w:val="single" w:sz="8" w:space="0" w:color="000000"/>
              <w:right w:val="single" w:sz="8" w:space="0" w:color="000000"/>
            </w:tcBorders>
            <w:vAlign w:val="center"/>
          </w:tcPr>
          <w:p w14:paraId="5C7AA612"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297" w:type="dxa"/>
            <w:tcBorders>
              <w:top w:val="nil"/>
              <w:left w:val="nil"/>
              <w:bottom w:val="single" w:sz="8" w:space="0" w:color="000000"/>
              <w:right w:val="single" w:sz="8" w:space="0" w:color="000000"/>
            </w:tcBorders>
            <w:vAlign w:val="center"/>
          </w:tcPr>
          <w:p w14:paraId="6841DBE0"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c>
          <w:tcPr>
            <w:tcW w:w="1297" w:type="dxa"/>
            <w:tcBorders>
              <w:top w:val="nil"/>
              <w:left w:val="nil"/>
              <w:bottom w:val="single" w:sz="8" w:space="0" w:color="000000"/>
              <w:right w:val="single" w:sz="8" w:space="0" w:color="000000"/>
            </w:tcBorders>
            <w:vAlign w:val="center"/>
          </w:tcPr>
          <w:p w14:paraId="419D0A53"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w:t>
            </w:r>
          </w:p>
        </w:tc>
        <w:tc>
          <w:tcPr>
            <w:tcW w:w="1302" w:type="dxa"/>
            <w:tcBorders>
              <w:top w:val="nil"/>
              <w:left w:val="nil"/>
              <w:bottom w:val="single" w:sz="8" w:space="0" w:color="000000"/>
              <w:right w:val="single" w:sz="8" w:space="0" w:color="000000"/>
            </w:tcBorders>
            <w:vAlign w:val="center"/>
          </w:tcPr>
          <w:p w14:paraId="40A1E5D9"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w:t>
            </w:r>
          </w:p>
        </w:tc>
        <w:tc>
          <w:tcPr>
            <w:tcW w:w="1278" w:type="dxa"/>
            <w:tcBorders>
              <w:top w:val="nil"/>
              <w:left w:val="nil"/>
              <w:bottom w:val="single" w:sz="8" w:space="0" w:color="000000"/>
              <w:right w:val="single" w:sz="8" w:space="0" w:color="000000"/>
            </w:tcBorders>
            <w:vAlign w:val="center"/>
          </w:tcPr>
          <w:p w14:paraId="1DFB8B8D"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w:t>
            </w:r>
          </w:p>
        </w:tc>
        <w:tc>
          <w:tcPr>
            <w:tcW w:w="1314" w:type="dxa"/>
            <w:tcBorders>
              <w:top w:val="nil"/>
              <w:left w:val="nil"/>
              <w:bottom w:val="single" w:sz="8" w:space="0" w:color="000000"/>
              <w:right w:val="single" w:sz="8" w:space="0" w:color="000000"/>
            </w:tcBorders>
            <w:vAlign w:val="center"/>
          </w:tcPr>
          <w:p w14:paraId="56257245"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w:t>
            </w:r>
          </w:p>
        </w:tc>
        <w:tc>
          <w:tcPr>
            <w:tcW w:w="1287" w:type="dxa"/>
            <w:tcBorders>
              <w:top w:val="nil"/>
              <w:left w:val="nil"/>
              <w:bottom w:val="single" w:sz="8" w:space="0" w:color="000000"/>
              <w:right w:val="single" w:sz="8" w:space="0" w:color="000000"/>
            </w:tcBorders>
            <w:vAlign w:val="center"/>
          </w:tcPr>
          <w:p w14:paraId="759D96EE"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1287" w:type="dxa"/>
            <w:tcBorders>
              <w:top w:val="nil"/>
              <w:left w:val="nil"/>
              <w:bottom w:val="single" w:sz="8" w:space="0" w:color="000000"/>
              <w:right w:val="single" w:sz="8" w:space="0" w:color="000000"/>
            </w:tcBorders>
            <w:vAlign w:val="center"/>
          </w:tcPr>
          <w:p w14:paraId="39B42ECF"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w:t>
            </w:r>
          </w:p>
        </w:tc>
      </w:tr>
      <w:tr w:rsidR="0039246C" w14:paraId="093BE0C4" w14:textId="77777777">
        <w:trPr>
          <w:trHeight w:val="628"/>
        </w:trPr>
        <w:tc>
          <w:tcPr>
            <w:tcW w:w="1916" w:type="dxa"/>
            <w:tcBorders>
              <w:top w:val="nil"/>
              <w:left w:val="single" w:sz="8" w:space="0" w:color="000000"/>
              <w:bottom w:val="single" w:sz="8" w:space="0" w:color="000000"/>
              <w:right w:val="single" w:sz="8" w:space="0" w:color="000000"/>
            </w:tcBorders>
            <w:vAlign w:val="center"/>
          </w:tcPr>
          <w:p w14:paraId="21B4C742"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Peak Male </w:t>
            </w:r>
            <w:r>
              <w:rPr>
                <w:rFonts w:ascii="Times New Roman" w:eastAsia="Times New Roman" w:hAnsi="Times New Roman" w:cs="Times New Roman"/>
                <w:b/>
                <w:bCs/>
                <w:color w:val="000000"/>
                <w:sz w:val="24"/>
                <w:szCs w:val="24"/>
              </w:rPr>
              <w:t>Bloom</w:t>
            </w:r>
          </w:p>
        </w:tc>
        <w:tc>
          <w:tcPr>
            <w:tcW w:w="1275" w:type="dxa"/>
            <w:tcBorders>
              <w:top w:val="nil"/>
              <w:left w:val="nil"/>
              <w:bottom w:val="single" w:sz="8" w:space="0" w:color="000000"/>
              <w:right w:val="single" w:sz="8" w:space="0" w:color="000000"/>
            </w:tcBorders>
            <w:vAlign w:val="center"/>
          </w:tcPr>
          <w:p w14:paraId="2F4CF170"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1277" w:type="dxa"/>
            <w:tcBorders>
              <w:top w:val="nil"/>
              <w:left w:val="nil"/>
              <w:bottom w:val="single" w:sz="8" w:space="0" w:color="000000"/>
              <w:right w:val="single" w:sz="8" w:space="0" w:color="000000"/>
            </w:tcBorders>
            <w:vAlign w:val="center"/>
          </w:tcPr>
          <w:p w14:paraId="35D733F3"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w:t>
            </w:r>
          </w:p>
        </w:tc>
        <w:tc>
          <w:tcPr>
            <w:tcW w:w="1281" w:type="dxa"/>
            <w:tcBorders>
              <w:top w:val="nil"/>
              <w:left w:val="nil"/>
              <w:bottom w:val="single" w:sz="8" w:space="0" w:color="000000"/>
              <w:right w:val="single" w:sz="8" w:space="0" w:color="000000"/>
            </w:tcBorders>
            <w:vAlign w:val="center"/>
          </w:tcPr>
          <w:p w14:paraId="1BF0B816"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w:t>
            </w:r>
          </w:p>
        </w:tc>
        <w:tc>
          <w:tcPr>
            <w:tcW w:w="1297" w:type="dxa"/>
            <w:tcBorders>
              <w:top w:val="nil"/>
              <w:left w:val="nil"/>
              <w:bottom w:val="single" w:sz="8" w:space="0" w:color="000000"/>
              <w:right w:val="single" w:sz="8" w:space="0" w:color="000000"/>
            </w:tcBorders>
            <w:vAlign w:val="center"/>
          </w:tcPr>
          <w:p w14:paraId="7CD2F06A"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w:t>
            </w:r>
          </w:p>
        </w:tc>
        <w:tc>
          <w:tcPr>
            <w:tcW w:w="1297" w:type="dxa"/>
            <w:tcBorders>
              <w:top w:val="nil"/>
              <w:left w:val="nil"/>
              <w:bottom w:val="single" w:sz="8" w:space="0" w:color="000000"/>
              <w:right w:val="single" w:sz="8" w:space="0" w:color="000000"/>
            </w:tcBorders>
            <w:vAlign w:val="center"/>
          </w:tcPr>
          <w:p w14:paraId="435E1D33"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302" w:type="dxa"/>
            <w:tcBorders>
              <w:top w:val="nil"/>
              <w:left w:val="nil"/>
              <w:bottom w:val="single" w:sz="8" w:space="0" w:color="000000"/>
              <w:right w:val="single" w:sz="8" w:space="0" w:color="000000"/>
            </w:tcBorders>
            <w:vAlign w:val="center"/>
          </w:tcPr>
          <w:p w14:paraId="0C930FC3"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w:t>
            </w:r>
          </w:p>
        </w:tc>
        <w:tc>
          <w:tcPr>
            <w:tcW w:w="1278" w:type="dxa"/>
            <w:tcBorders>
              <w:top w:val="nil"/>
              <w:left w:val="nil"/>
              <w:bottom w:val="single" w:sz="8" w:space="0" w:color="000000"/>
              <w:right w:val="single" w:sz="8" w:space="0" w:color="000000"/>
            </w:tcBorders>
            <w:vAlign w:val="center"/>
          </w:tcPr>
          <w:p w14:paraId="00D06457"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w:t>
            </w:r>
          </w:p>
        </w:tc>
        <w:tc>
          <w:tcPr>
            <w:tcW w:w="1314" w:type="dxa"/>
            <w:tcBorders>
              <w:top w:val="nil"/>
              <w:left w:val="nil"/>
              <w:bottom w:val="single" w:sz="8" w:space="0" w:color="000000"/>
              <w:right w:val="single" w:sz="8" w:space="0" w:color="000000"/>
            </w:tcBorders>
            <w:vAlign w:val="center"/>
          </w:tcPr>
          <w:p w14:paraId="55A60F6F"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w:t>
            </w:r>
          </w:p>
        </w:tc>
        <w:tc>
          <w:tcPr>
            <w:tcW w:w="1287" w:type="dxa"/>
            <w:tcBorders>
              <w:top w:val="nil"/>
              <w:left w:val="nil"/>
              <w:bottom w:val="single" w:sz="8" w:space="0" w:color="000000"/>
              <w:right w:val="single" w:sz="8" w:space="0" w:color="000000"/>
            </w:tcBorders>
            <w:vAlign w:val="center"/>
          </w:tcPr>
          <w:p w14:paraId="5EAAE725"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w:t>
            </w:r>
          </w:p>
        </w:tc>
        <w:tc>
          <w:tcPr>
            <w:tcW w:w="1287" w:type="dxa"/>
            <w:tcBorders>
              <w:top w:val="nil"/>
              <w:left w:val="nil"/>
              <w:bottom w:val="single" w:sz="8" w:space="0" w:color="000000"/>
              <w:right w:val="single" w:sz="8" w:space="0" w:color="000000"/>
            </w:tcBorders>
            <w:vAlign w:val="center"/>
          </w:tcPr>
          <w:p w14:paraId="5D72693B"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w:t>
            </w:r>
          </w:p>
        </w:tc>
      </w:tr>
      <w:tr w:rsidR="0039246C" w14:paraId="02131FB8" w14:textId="77777777">
        <w:trPr>
          <w:trHeight w:val="410"/>
        </w:trPr>
        <w:tc>
          <w:tcPr>
            <w:tcW w:w="1916" w:type="dxa"/>
            <w:tcBorders>
              <w:top w:val="nil"/>
              <w:left w:val="single" w:sz="8" w:space="0" w:color="000000"/>
              <w:bottom w:val="single" w:sz="8" w:space="0" w:color="000000"/>
              <w:right w:val="single" w:sz="8" w:space="0" w:color="000000"/>
            </w:tcBorders>
            <w:vAlign w:val="center"/>
          </w:tcPr>
          <w:p w14:paraId="592A7AFF"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Last Male Bloom</w:t>
            </w:r>
          </w:p>
        </w:tc>
        <w:tc>
          <w:tcPr>
            <w:tcW w:w="1275" w:type="dxa"/>
            <w:tcBorders>
              <w:top w:val="nil"/>
              <w:left w:val="nil"/>
              <w:bottom w:val="single" w:sz="8" w:space="0" w:color="000000"/>
              <w:right w:val="single" w:sz="8" w:space="0" w:color="000000"/>
            </w:tcBorders>
            <w:vAlign w:val="center"/>
          </w:tcPr>
          <w:p w14:paraId="4DBD6087"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w:t>
            </w:r>
          </w:p>
        </w:tc>
        <w:tc>
          <w:tcPr>
            <w:tcW w:w="1277" w:type="dxa"/>
            <w:tcBorders>
              <w:top w:val="nil"/>
              <w:left w:val="nil"/>
              <w:bottom w:val="single" w:sz="8" w:space="0" w:color="000000"/>
              <w:right w:val="single" w:sz="8" w:space="0" w:color="000000"/>
            </w:tcBorders>
            <w:vAlign w:val="center"/>
          </w:tcPr>
          <w:p w14:paraId="752CF75A"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w:t>
            </w:r>
          </w:p>
        </w:tc>
        <w:tc>
          <w:tcPr>
            <w:tcW w:w="1281" w:type="dxa"/>
            <w:tcBorders>
              <w:top w:val="nil"/>
              <w:left w:val="nil"/>
              <w:bottom w:val="single" w:sz="8" w:space="0" w:color="000000"/>
              <w:right w:val="single" w:sz="8" w:space="0" w:color="000000"/>
            </w:tcBorders>
            <w:vAlign w:val="center"/>
          </w:tcPr>
          <w:p w14:paraId="591A2F81"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w:t>
            </w:r>
          </w:p>
        </w:tc>
        <w:tc>
          <w:tcPr>
            <w:tcW w:w="1297" w:type="dxa"/>
            <w:tcBorders>
              <w:top w:val="nil"/>
              <w:left w:val="nil"/>
              <w:bottom w:val="single" w:sz="8" w:space="0" w:color="000000"/>
              <w:right w:val="single" w:sz="8" w:space="0" w:color="000000"/>
            </w:tcBorders>
            <w:vAlign w:val="center"/>
          </w:tcPr>
          <w:p w14:paraId="5C9D52C9"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97" w:type="dxa"/>
            <w:tcBorders>
              <w:top w:val="nil"/>
              <w:left w:val="nil"/>
              <w:bottom w:val="single" w:sz="8" w:space="0" w:color="000000"/>
              <w:right w:val="single" w:sz="8" w:space="0" w:color="000000"/>
            </w:tcBorders>
            <w:vAlign w:val="center"/>
          </w:tcPr>
          <w:p w14:paraId="1A7DCA94"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w:t>
            </w:r>
          </w:p>
        </w:tc>
        <w:tc>
          <w:tcPr>
            <w:tcW w:w="1302" w:type="dxa"/>
            <w:tcBorders>
              <w:top w:val="nil"/>
              <w:left w:val="nil"/>
              <w:bottom w:val="single" w:sz="8" w:space="0" w:color="000000"/>
              <w:right w:val="single" w:sz="8" w:space="0" w:color="000000"/>
            </w:tcBorders>
            <w:vAlign w:val="center"/>
          </w:tcPr>
          <w:p w14:paraId="66D15645"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w:t>
            </w:r>
          </w:p>
        </w:tc>
        <w:tc>
          <w:tcPr>
            <w:tcW w:w="1278" w:type="dxa"/>
            <w:tcBorders>
              <w:top w:val="nil"/>
              <w:left w:val="nil"/>
              <w:bottom w:val="single" w:sz="8" w:space="0" w:color="000000"/>
              <w:right w:val="single" w:sz="8" w:space="0" w:color="000000"/>
            </w:tcBorders>
            <w:vAlign w:val="center"/>
          </w:tcPr>
          <w:p w14:paraId="07E7925A"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w:t>
            </w:r>
          </w:p>
        </w:tc>
        <w:tc>
          <w:tcPr>
            <w:tcW w:w="1314" w:type="dxa"/>
            <w:tcBorders>
              <w:top w:val="nil"/>
              <w:left w:val="nil"/>
              <w:bottom w:val="single" w:sz="8" w:space="0" w:color="000000"/>
              <w:right w:val="single" w:sz="8" w:space="0" w:color="000000"/>
            </w:tcBorders>
            <w:vAlign w:val="center"/>
          </w:tcPr>
          <w:p w14:paraId="59E62EC8"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w:t>
            </w:r>
          </w:p>
        </w:tc>
        <w:tc>
          <w:tcPr>
            <w:tcW w:w="1287" w:type="dxa"/>
            <w:tcBorders>
              <w:top w:val="nil"/>
              <w:left w:val="nil"/>
              <w:bottom w:val="single" w:sz="8" w:space="0" w:color="000000"/>
              <w:right w:val="single" w:sz="8" w:space="0" w:color="000000"/>
            </w:tcBorders>
            <w:vAlign w:val="center"/>
          </w:tcPr>
          <w:p w14:paraId="6E9D8F50"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w:t>
            </w:r>
          </w:p>
        </w:tc>
        <w:tc>
          <w:tcPr>
            <w:tcW w:w="1287" w:type="dxa"/>
            <w:tcBorders>
              <w:top w:val="nil"/>
              <w:left w:val="nil"/>
              <w:bottom w:val="single" w:sz="8" w:space="0" w:color="000000"/>
              <w:right w:val="single" w:sz="8" w:space="0" w:color="000000"/>
            </w:tcBorders>
            <w:vAlign w:val="center"/>
          </w:tcPr>
          <w:p w14:paraId="2D8FD60B"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r>
      <w:tr w:rsidR="0039246C" w14:paraId="5C10B54A" w14:textId="77777777">
        <w:trPr>
          <w:trHeight w:val="581"/>
        </w:trPr>
        <w:tc>
          <w:tcPr>
            <w:tcW w:w="1916" w:type="dxa"/>
            <w:tcBorders>
              <w:top w:val="nil"/>
              <w:left w:val="single" w:sz="8" w:space="0" w:color="000000"/>
              <w:bottom w:val="single" w:sz="8" w:space="0" w:color="000000"/>
              <w:right w:val="single" w:sz="8" w:space="0" w:color="000000"/>
            </w:tcBorders>
            <w:vAlign w:val="center"/>
          </w:tcPr>
          <w:p w14:paraId="32B48067"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First Female Bloom</w:t>
            </w:r>
          </w:p>
        </w:tc>
        <w:tc>
          <w:tcPr>
            <w:tcW w:w="1275" w:type="dxa"/>
            <w:tcBorders>
              <w:top w:val="nil"/>
              <w:left w:val="nil"/>
              <w:bottom w:val="single" w:sz="8" w:space="0" w:color="000000"/>
              <w:right w:val="single" w:sz="8" w:space="0" w:color="000000"/>
            </w:tcBorders>
            <w:vAlign w:val="center"/>
          </w:tcPr>
          <w:p w14:paraId="51AECFDA"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c>
          <w:tcPr>
            <w:tcW w:w="1277" w:type="dxa"/>
            <w:tcBorders>
              <w:top w:val="nil"/>
              <w:left w:val="nil"/>
              <w:bottom w:val="single" w:sz="8" w:space="0" w:color="000000"/>
              <w:right w:val="single" w:sz="8" w:space="0" w:color="000000"/>
            </w:tcBorders>
            <w:vAlign w:val="center"/>
          </w:tcPr>
          <w:p w14:paraId="3A68C645"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w:t>
            </w:r>
          </w:p>
        </w:tc>
        <w:tc>
          <w:tcPr>
            <w:tcW w:w="1281" w:type="dxa"/>
            <w:tcBorders>
              <w:top w:val="nil"/>
              <w:left w:val="nil"/>
              <w:bottom w:val="single" w:sz="8" w:space="0" w:color="000000"/>
              <w:right w:val="single" w:sz="8" w:space="0" w:color="000000"/>
            </w:tcBorders>
            <w:vAlign w:val="center"/>
          </w:tcPr>
          <w:p w14:paraId="608B2A5E"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w:t>
            </w:r>
          </w:p>
        </w:tc>
        <w:tc>
          <w:tcPr>
            <w:tcW w:w="1297" w:type="dxa"/>
            <w:tcBorders>
              <w:top w:val="nil"/>
              <w:left w:val="nil"/>
              <w:bottom w:val="single" w:sz="8" w:space="0" w:color="000000"/>
              <w:right w:val="single" w:sz="8" w:space="0" w:color="000000"/>
            </w:tcBorders>
            <w:vAlign w:val="center"/>
          </w:tcPr>
          <w:p w14:paraId="55E5482A"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297" w:type="dxa"/>
            <w:tcBorders>
              <w:top w:val="nil"/>
              <w:left w:val="nil"/>
              <w:bottom w:val="single" w:sz="8" w:space="0" w:color="000000"/>
              <w:right w:val="single" w:sz="8" w:space="0" w:color="000000"/>
            </w:tcBorders>
            <w:vAlign w:val="center"/>
          </w:tcPr>
          <w:p w14:paraId="580E624D"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1302" w:type="dxa"/>
            <w:tcBorders>
              <w:top w:val="nil"/>
              <w:left w:val="nil"/>
              <w:bottom w:val="single" w:sz="8" w:space="0" w:color="000000"/>
              <w:right w:val="single" w:sz="8" w:space="0" w:color="000000"/>
            </w:tcBorders>
            <w:vAlign w:val="center"/>
          </w:tcPr>
          <w:p w14:paraId="3ADE0528"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1278" w:type="dxa"/>
            <w:tcBorders>
              <w:top w:val="nil"/>
              <w:left w:val="nil"/>
              <w:bottom w:val="single" w:sz="8" w:space="0" w:color="000000"/>
              <w:right w:val="single" w:sz="8" w:space="0" w:color="000000"/>
            </w:tcBorders>
            <w:vAlign w:val="center"/>
          </w:tcPr>
          <w:p w14:paraId="7278998F"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w:t>
            </w:r>
          </w:p>
        </w:tc>
        <w:tc>
          <w:tcPr>
            <w:tcW w:w="1314" w:type="dxa"/>
            <w:tcBorders>
              <w:top w:val="nil"/>
              <w:left w:val="nil"/>
              <w:bottom w:val="single" w:sz="8" w:space="0" w:color="000000"/>
              <w:right w:val="single" w:sz="8" w:space="0" w:color="000000"/>
            </w:tcBorders>
            <w:vAlign w:val="center"/>
          </w:tcPr>
          <w:p w14:paraId="17A7EE79"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0.52**</w:t>
            </w:r>
          </w:p>
        </w:tc>
        <w:tc>
          <w:tcPr>
            <w:tcW w:w="1287" w:type="dxa"/>
            <w:tcBorders>
              <w:top w:val="nil"/>
              <w:left w:val="nil"/>
              <w:bottom w:val="single" w:sz="8" w:space="0" w:color="000000"/>
              <w:right w:val="single" w:sz="8" w:space="0" w:color="000000"/>
            </w:tcBorders>
            <w:vAlign w:val="center"/>
          </w:tcPr>
          <w:p w14:paraId="2074649C"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c>
          <w:tcPr>
            <w:tcW w:w="1287" w:type="dxa"/>
            <w:tcBorders>
              <w:top w:val="nil"/>
              <w:left w:val="nil"/>
              <w:bottom w:val="single" w:sz="8" w:space="0" w:color="000000"/>
              <w:right w:val="single" w:sz="8" w:space="0" w:color="000000"/>
            </w:tcBorders>
            <w:vAlign w:val="center"/>
          </w:tcPr>
          <w:p w14:paraId="2C44878B"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w:t>
            </w:r>
          </w:p>
        </w:tc>
      </w:tr>
      <w:tr w:rsidR="0039246C" w14:paraId="0AC96F9A" w14:textId="77777777">
        <w:trPr>
          <w:trHeight w:val="690"/>
        </w:trPr>
        <w:tc>
          <w:tcPr>
            <w:tcW w:w="1916" w:type="dxa"/>
            <w:tcBorders>
              <w:top w:val="nil"/>
              <w:left w:val="single" w:sz="8" w:space="0" w:color="000000"/>
              <w:bottom w:val="single" w:sz="8" w:space="0" w:color="000000"/>
              <w:right w:val="single" w:sz="8" w:space="0" w:color="000000"/>
            </w:tcBorders>
            <w:vAlign w:val="center"/>
          </w:tcPr>
          <w:p w14:paraId="0807B0E7"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Peak Female Bloom</w:t>
            </w:r>
          </w:p>
        </w:tc>
        <w:tc>
          <w:tcPr>
            <w:tcW w:w="1275" w:type="dxa"/>
            <w:tcBorders>
              <w:top w:val="nil"/>
              <w:left w:val="nil"/>
              <w:bottom w:val="single" w:sz="8" w:space="0" w:color="000000"/>
              <w:right w:val="single" w:sz="8" w:space="0" w:color="000000"/>
            </w:tcBorders>
            <w:vAlign w:val="center"/>
          </w:tcPr>
          <w:p w14:paraId="2A1A394E"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w:t>
            </w:r>
          </w:p>
        </w:tc>
        <w:tc>
          <w:tcPr>
            <w:tcW w:w="1277" w:type="dxa"/>
            <w:tcBorders>
              <w:top w:val="nil"/>
              <w:left w:val="nil"/>
              <w:bottom w:val="single" w:sz="8" w:space="0" w:color="000000"/>
              <w:right w:val="single" w:sz="8" w:space="0" w:color="000000"/>
            </w:tcBorders>
            <w:vAlign w:val="center"/>
          </w:tcPr>
          <w:p w14:paraId="4B151F55"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w:t>
            </w:r>
          </w:p>
        </w:tc>
        <w:tc>
          <w:tcPr>
            <w:tcW w:w="1281" w:type="dxa"/>
            <w:tcBorders>
              <w:top w:val="nil"/>
              <w:left w:val="nil"/>
              <w:bottom w:val="single" w:sz="8" w:space="0" w:color="000000"/>
              <w:right w:val="single" w:sz="8" w:space="0" w:color="000000"/>
            </w:tcBorders>
            <w:vAlign w:val="center"/>
          </w:tcPr>
          <w:p w14:paraId="045FC9FD"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w:t>
            </w:r>
          </w:p>
        </w:tc>
        <w:tc>
          <w:tcPr>
            <w:tcW w:w="1297" w:type="dxa"/>
            <w:tcBorders>
              <w:top w:val="nil"/>
              <w:left w:val="nil"/>
              <w:bottom w:val="single" w:sz="8" w:space="0" w:color="000000"/>
              <w:right w:val="single" w:sz="8" w:space="0" w:color="000000"/>
            </w:tcBorders>
            <w:vAlign w:val="center"/>
          </w:tcPr>
          <w:p w14:paraId="69D494AC"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w:t>
            </w:r>
          </w:p>
        </w:tc>
        <w:tc>
          <w:tcPr>
            <w:tcW w:w="1297" w:type="dxa"/>
            <w:tcBorders>
              <w:top w:val="nil"/>
              <w:left w:val="nil"/>
              <w:bottom w:val="single" w:sz="8" w:space="0" w:color="000000"/>
              <w:right w:val="single" w:sz="8" w:space="0" w:color="000000"/>
            </w:tcBorders>
            <w:vAlign w:val="center"/>
          </w:tcPr>
          <w:p w14:paraId="1B58794E"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c>
          <w:tcPr>
            <w:tcW w:w="1302" w:type="dxa"/>
            <w:tcBorders>
              <w:top w:val="nil"/>
              <w:left w:val="nil"/>
              <w:bottom w:val="single" w:sz="8" w:space="0" w:color="000000"/>
              <w:right w:val="single" w:sz="8" w:space="0" w:color="000000"/>
            </w:tcBorders>
            <w:vAlign w:val="center"/>
          </w:tcPr>
          <w:p w14:paraId="2C32719D"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w:t>
            </w:r>
          </w:p>
        </w:tc>
        <w:tc>
          <w:tcPr>
            <w:tcW w:w="1278" w:type="dxa"/>
            <w:tcBorders>
              <w:top w:val="nil"/>
              <w:left w:val="nil"/>
              <w:bottom w:val="single" w:sz="8" w:space="0" w:color="000000"/>
              <w:right w:val="single" w:sz="8" w:space="0" w:color="000000"/>
            </w:tcBorders>
            <w:vAlign w:val="center"/>
          </w:tcPr>
          <w:p w14:paraId="263D6A6E"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w:t>
            </w:r>
          </w:p>
        </w:tc>
        <w:tc>
          <w:tcPr>
            <w:tcW w:w="1314" w:type="dxa"/>
            <w:tcBorders>
              <w:top w:val="nil"/>
              <w:left w:val="nil"/>
              <w:bottom w:val="single" w:sz="8" w:space="0" w:color="000000"/>
              <w:right w:val="single" w:sz="8" w:space="0" w:color="000000"/>
            </w:tcBorders>
            <w:vAlign w:val="center"/>
          </w:tcPr>
          <w:p w14:paraId="1D28C200"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w:t>
            </w:r>
          </w:p>
        </w:tc>
        <w:tc>
          <w:tcPr>
            <w:tcW w:w="1287" w:type="dxa"/>
            <w:tcBorders>
              <w:top w:val="nil"/>
              <w:left w:val="nil"/>
              <w:bottom w:val="single" w:sz="8" w:space="0" w:color="000000"/>
              <w:right w:val="single" w:sz="8" w:space="0" w:color="000000"/>
            </w:tcBorders>
            <w:vAlign w:val="center"/>
          </w:tcPr>
          <w:p w14:paraId="3FA72AC7"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w:t>
            </w:r>
          </w:p>
        </w:tc>
        <w:tc>
          <w:tcPr>
            <w:tcW w:w="1287" w:type="dxa"/>
            <w:tcBorders>
              <w:top w:val="nil"/>
              <w:left w:val="nil"/>
              <w:bottom w:val="single" w:sz="8" w:space="0" w:color="000000"/>
              <w:right w:val="single" w:sz="8" w:space="0" w:color="000000"/>
            </w:tcBorders>
            <w:vAlign w:val="center"/>
          </w:tcPr>
          <w:p w14:paraId="0B20F7A7"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w:t>
            </w:r>
          </w:p>
        </w:tc>
      </w:tr>
      <w:tr w:rsidR="0039246C" w14:paraId="5A4A2EAA" w14:textId="77777777">
        <w:trPr>
          <w:trHeight w:val="581"/>
        </w:trPr>
        <w:tc>
          <w:tcPr>
            <w:tcW w:w="1916" w:type="dxa"/>
            <w:tcBorders>
              <w:top w:val="nil"/>
              <w:left w:val="single" w:sz="8" w:space="0" w:color="000000"/>
              <w:bottom w:val="single" w:sz="8" w:space="0" w:color="000000"/>
              <w:right w:val="single" w:sz="8" w:space="0" w:color="000000"/>
            </w:tcBorders>
            <w:vAlign w:val="center"/>
          </w:tcPr>
          <w:p w14:paraId="6CCB27AE"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Last Female Bloom</w:t>
            </w:r>
          </w:p>
        </w:tc>
        <w:tc>
          <w:tcPr>
            <w:tcW w:w="1275" w:type="dxa"/>
            <w:tcBorders>
              <w:top w:val="nil"/>
              <w:left w:val="nil"/>
              <w:bottom w:val="single" w:sz="8" w:space="0" w:color="000000"/>
              <w:right w:val="single" w:sz="8" w:space="0" w:color="000000"/>
            </w:tcBorders>
            <w:vAlign w:val="center"/>
          </w:tcPr>
          <w:p w14:paraId="48BE3C04"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277" w:type="dxa"/>
            <w:tcBorders>
              <w:top w:val="nil"/>
              <w:left w:val="nil"/>
              <w:bottom w:val="single" w:sz="8" w:space="0" w:color="000000"/>
              <w:right w:val="single" w:sz="8" w:space="0" w:color="000000"/>
            </w:tcBorders>
            <w:vAlign w:val="center"/>
          </w:tcPr>
          <w:p w14:paraId="45113E65"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w:t>
            </w:r>
          </w:p>
        </w:tc>
        <w:tc>
          <w:tcPr>
            <w:tcW w:w="1281" w:type="dxa"/>
            <w:tcBorders>
              <w:top w:val="nil"/>
              <w:left w:val="nil"/>
              <w:bottom w:val="single" w:sz="8" w:space="0" w:color="000000"/>
              <w:right w:val="single" w:sz="8" w:space="0" w:color="000000"/>
            </w:tcBorders>
            <w:vAlign w:val="center"/>
          </w:tcPr>
          <w:p w14:paraId="41937378"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97" w:type="dxa"/>
            <w:tcBorders>
              <w:top w:val="nil"/>
              <w:left w:val="nil"/>
              <w:bottom w:val="single" w:sz="8" w:space="0" w:color="000000"/>
              <w:right w:val="single" w:sz="8" w:space="0" w:color="000000"/>
            </w:tcBorders>
            <w:vAlign w:val="center"/>
          </w:tcPr>
          <w:p w14:paraId="50C1A712"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w:t>
            </w:r>
          </w:p>
        </w:tc>
        <w:tc>
          <w:tcPr>
            <w:tcW w:w="1297" w:type="dxa"/>
            <w:tcBorders>
              <w:top w:val="nil"/>
              <w:left w:val="nil"/>
              <w:bottom w:val="single" w:sz="8" w:space="0" w:color="000000"/>
              <w:right w:val="single" w:sz="8" w:space="0" w:color="000000"/>
            </w:tcBorders>
            <w:vAlign w:val="center"/>
          </w:tcPr>
          <w:p w14:paraId="30334DA2"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302" w:type="dxa"/>
            <w:tcBorders>
              <w:top w:val="nil"/>
              <w:left w:val="nil"/>
              <w:bottom w:val="single" w:sz="8" w:space="0" w:color="000000"/>
              <w:right w:val="single" w:sz="8" w:space="0" w:color="000000"/>
            </w:tcBorders>
            <w:vAlign w:val="center"/>
          </w:tcPr>
          <w:p w14:paraId="3B360F80"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278" w:type="dxa"/>
            <w:tcBorders>
              <w:top w:val="nil"/>
              <w:left w:val="nil"/>
              <w:bottom w:val="single" w:sz="8" w:space="0" w:color="000000"/>
              <w:right w:val="single" w:sz="8" w:space="0" w:color="000000"/>
            </w:tcBorders>
            <w:vAlign w:val="center"/>
          </w:tcPr>
          <w:p w14:paraId="23FD7E90"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w:t>
            </w:r>
          </w:p>
        </w:tc>
        <w:tc>
          <w:tcPr>
            <w:tcW w:w="1314" w:type="dxa"/>
            <w:tcBorders>
              <w:top w:val="nil"/>
              <w:left w:val="nil"/>
              <w:bottom w:val="single" w:sz="8" w:space="0" w:color="000000"/>
              <w:right w:val="single" w:sz="8" w:space="0" w:color="000000"/>
            </w:tcBorders>
            <w:vAlign w:val="center"/>
          </w:tcPr>
          <w:p w14:paraId="4EED24B7"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w:t>
            </w:r>
          </w:p>
        </w:tc>
        <w:tc>
          <w:tcPr>
            <w:tcW w:w="1287" w:type="dxa"/>
            <w:tcBorders>
              <w:top w:val="nil"/>
              <w:left w:val="nil"/>
              <w:bottom w:val="single" w:sz="8" w:space="0" w:color="000000"/>
              <w:right w:val="single" w:sz="8" w:space="0" w:color="000000"/>
            </w:tcBorders>
            <w:vAlign w:val="center"/>
          </w:tcPr>
          <w:p w14:paraId="7AA6687A"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w:t>
            </w:r>
          </w:p>
        </w:tc>
        <w:tc>
          <w:tcPr>
            <w:tcW w:w="1287" w:type="dxa"/>
            <w:tcBorders>
              <w:top w:val="nil"/>
              <w:left w:val="nil"/>
              <w:bottom w:val="single" w:sz="8" w:space="0" w:color="000000"/>
              <w:right w:val="single" w:sz="8" w:space="0" w:color="000000"/>
            </w:tcBorders>
            <w:vAlign w:val="center"/>
          </w:tcPr>
          <w:p w14:paraId="5D031504"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w:t>
            </w:r>
          </w:p>
        </w:tc>
      </w:tr>
      <w:tr w:rsidR="0039246C" w14:paraId="4FB7233C" w14:textId="77777777">
        <w:trPr>
          <w:trHeight w:val="945"/>
        </w:trPr>
        <w:tc>
          <w:tcPr>
            <w:tcW w:w="1916" w:type="dxa"/>
            <w:tcBorders>
              <w:top w:val="nil"/>
              <w:left w:val="single" w:sz="8" w:space="0" w:color="000000"/>
              <w:bottom w:val="single" w:sz="8" w:space="0" w:color="000000"/>
              <w:right w:val="single" w:sz="8" w:space="0" w:color="000000"/>
            </w:tcBorders>
            <w:vAlign w:val="center"/>
          </w:tcPr>
          <w:p w14:paraId="6AED2565"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Female flower per inflorescence</w:t>
            </w:r>
          </w:p>
        </w:tc>
        <w:tc>
          <w:tcPr>
            <w:tcW w:w="1275" w:type="dxa"/>
            <w:tcBorders>
              <w:top w:val="nil"/>
              <w:left w:val="nil"/>
              <w:bottom w:val="single" w:sz="8" w:space="0" w:color="000000"/>
              <w:right w:val="single" w:sz="8" w:space="0" w:color="000000"/>
            </w:tcBorders>
            <w:vAlign w:val="center"/>
          </w:tcPr>
          <w:p w14:paraId="26C07447"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w:t>
            </w:r>
          </w:p>
        </w:tc>
        <w:tc>
          <w:tcPr>
            <w:tcW w:w="1277" w:type="dxa"/>
            <w:tcBorders>
              <w:top w:val="nil"/>
              <w:left w:val="nil"/>
              <w:bottom w:val="single" w:sz="8" w:space="0" w:color="000000"/>
              <w:right w:val="single" w:sz="8" w:space="0" w:color="000000"/>
            </w:tcBorders>
            <w:vAlign w:val="center"/>
          </w:tcPr>
          <w:p w14:paraId="40398084"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w:t>
            </w:r>
          </w:p>
        </w:tc>
        <w:tc>
          <w:tcPr>
            <w:tcW w:w="1281" w:type="dxa"/>
            <w:tcBorders>
              <w:top w:val="nil"/>
              <w:left w:val="nil"/>
              <w:bottom w:val="single" w:sz="8" w:space="0" w:color="000000"/>
              <w:right w:val="single" w:sz="8" w:space="0" w:color="000000"/>
            </w:tcBorders>
            <w:vAlign w:val="center"/>
          </w:tcPr>
          <w:p w14:paraId="79040EAF"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w:t>
            </w:r>
          </w:p>
        </w:tc>
        <w:tc>
          <w:tcPr>
            <w:tcW w:w="1297" w:type="dxa"/>
            <w:tcBorders>
              <w:top w:val="nil"/>
              <w:left w:val="nil"/>
              <w:bottom w:val="single" w:sz="8" w:space="0" w:color="000000"/>
              <w:right w:val="single" w:sz="8" w:space="0" w:color="000000"/>
            </w:tcBorders>
            <w:vAlign w:val="center"/>
          </w:tcPr>
          <w:p w14:paraId="2BB43B66"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w:t>
            </w:r>
          </w:p>
        </w:tc>
        <w:tc>
          <w:tcPr>
            <w:tcW w:w="1297" w:type="dxa"/>
            <w:tcBorders>
              <w:top w:val="nil"/>
              <w:left w:val="nil"/>
              <w:bottom w:val="single" w:sz="8" w:space="0" w:color="000000"/>
              <w:right w:val="single" w:sz="8" w:space="0" w:color="000000"/>
            </w:tcBorders>
            <w:vAlign w:val="center"/>
          </w:tcPr>
          <w:p w14:paraId="3C577A38"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w:t>
            </w:r>
          </w:p>
        </w:tc>
        <w:tc>
          <w:tcPr>
            <w:tcW w:w="1302" w:type="dxa"/>
            <w:tcBorders>
              <w:top w:val="nil"/>
              <w:left w:val="nil"/>
              <w:bottom w:val="single" w:sz="8" w:space="0" w:color="000000"/>
              <w:right w:val="single" w:sz="8" w:space="0" w:color="000000"/>
            </w:tcBorders>
            <w:vAlign w:val="center"/>
          </w:tcPr>
          <w:p w14:paraId="02F878BC"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1278" w:type="dxa"/>
            <w:tcBorders>
              <w:top w:val="nil"/>
              <w:left w:val="nil"/>
              <w:bottom w:val="single" w:sz="8" w:space="0" w:color="000000"/>
              <w:right w:val="single" w:sz="8" w:space="0" w:color="000000"/>
            </w:tcBorders>
            <w:vAlign w:val="center"/>
          </w:tcPr>
          <w:p w14:paraId="113C753A"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w:t>
            </w:r>
          </w:p>
        </w:tc>
        <w:tc>
          <w:tcPr>
            <w:tcW w:w="1314" w:type="dxa"/>
            <w:tcBorders>
              <w:top w:val="nil"/>
              <w:left w:val="nil"/>
              <w:bottom w:val="single" w:sz="8" w:space="0" w:color="000000"/>
              <w:right w:val="single" w:sz="8" w:space="0" w:color="000000"/>
            </w:tcBorders>
            <w:vAlign w:val="center"/>
          </w:tcPr>
          <w:p w14:paraId="5769FD00"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w:t>
            </w:r>
          </w:p>
        </w:tc>
        <w:tc>
          <w:tcPr>
            <w:tcW w:w="1287" w:type="dxa"/>
            <w:tcBorders>
              <w:top w:val="nil"/>
              <w:left w:val="nil"/>
              <w:bottom w:val="single" w:sz="8" w:space="0" w:color="000000"/>
              <w:right w:val="single" w:sz="8" w:space="0" w:color="000000"/>
            </w:tcBorders>
            <w:vAlign w:val="center"/>
          </w:tcPr>
          <w:p w14:paraId="181BCC0F"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w:t>
            </w:r>
          </w:p>
        </w:tc>
        <w:tc>
          <w:tcPr>
            <w:tcW w:w="1287" w:type="dxa"/>
            <w:tcBorders>
              <w:top w:val="nil"/>
              <w:left w:val="nil"/>
              <w:bottom w:val="single" w:sz="8" w:space="0" w:color="000000"/>
              <w:right w:val="single" w:sz="8" w:space="0" w:color="000000"/>
            </w:tcBorders>
            <w:vAlign w:val="center"/>
          </w:tcPr>
          <w:p w14:paraId="7D7013DE"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w:t>
            </w:r>
          </w:p>
        </w:tc>
      </w:tr>
      <w:tr w:rsidR="0039246C" w14:paraId="701BACC7" w14:textId="77777777">
        <w:trPr>
          <w:trHeight w:val="1189"/>
        </w:trPr>
        <w:tc>
          <w:tcPr>
            <w:tcW w:w="1916" w:type="dxa"/>
            <w:tcBorders>
              <w:top w:val="nil"/>
              <w:left w:val="single" w:sz="8" w:space="0" w:color="000000"/>
              <w:bottom w:val="single" w:sz="8" w:space="0" w:color="000000"/>
              <w:right w:val="single" w:sz="8" w:space="0" w:color="000000"/>
            </w:tcBorders>
            <w:vAlign w:val="center"/>
          </w:tcPr>
          <w:p w14:paraId="3FCF8ABD" w14:textId="77777777" w:rsidR="0039246C" w:rsidRDefault="00902A9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Duration of female flower overlapped by </w:t>
            </w:r>
            <w:proofErr w:type="spellStart"/>
            <w:r>
              <w:rPr>
                <w:rFonts w:ascii="Times New Roman" w:eastAsia="Times New Roman" w:hAnsi="Times New Roman" w:cs="Times New Roman"/>
                <w:b/>
                <w:bCs/>
                <w:color w:val="000000"/>
                <w:sz w:val="24"/>
                <w:szCs w:val="24"/>
              </w:rPr>
              <w:t>staminate</w:t>
            </w:r>
            <w:proofErr w:type="spellEnd"/>
            <w:r>
              <w:rPr>
                <w:rFonts w:ascii="Times New Roman" w:eastAsia="Times New Roman" w:hAnsi="Times New Roman" w:cs="Times New Roman"/>
                <w:b/>
                <w:bCs/>
                <w:color w:val="000000"/>
                <w:sz w:val="24"/>
                <w:szCs w:val="24"/>
              </w:rPr>
              <w:t xml:space="preserve"> bloom</w:t>
            </w:r>
          </w:p>
        </w:tc>
        <w:tc>
          <w:tcPr>
            <w:tcW w:w="1275" w:type="dxa"/>
            <w:tcBorders>
              <w:top w:val="nil"/>
              <w:left w:val="nil"/>
              <w:bottom w:val="single" w:sz="8" w:space="0" w:color="000000"/>
              <w:right w:val="single" w:sz="8" w:space="0" w:color="000000"/>
            </w:tcBorders>
            <w:vAlign w:val="center"/>
          </w:tcPr>
          <w:p w14:paraId="180A5B9D"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w:t>
            </w:r>
          </w:p>
        </w:tc>
        <w:tc>
          <w:tcPr>
            <w:tcW w:w="1277" w:type="dxa"/>
            <w:tcBorders>
              <w:top w:val="nil"/>
              <w:left w:val="nil"/>
              <w:bottom w:val="single" w:sz="8" w:space="0" w:color="000000"/>
              <w:right w:val="single" w:sz="8" w:space="0" w:color="000000"/>
            </w:tcBorders>
            <w:vAlign w:val="center"/>
          </w:tcPr>
          <w:p w14:paraId="60695F8A"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281" w:type="dxa"/>
            <w:tcBorders>
              <w:top w:val="nil"/>
              <w:left w:val="nil"/>
              <w:bottom w:val="single" w:sz="8" w:space="0" w:color="000000"/>
              <w:right w:val="single" w:sz="8" w:space="0" w:color="000000"/>
            </w:tcBorders>
            <w:vAlign w:val="center"/>
          </w:tcPr>
          <w:p w14:paraId="4583123D"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w:t>
            </w:r>
          </w:p>
        </w:tc>
        <w:tc>
          <w:tcPr>
            <w:tcW w:w="1297" w:type="dxa"/>
            <w:tcBorders>
              <w:top w:val="nil"/>
              <w:left w:val="nil"/>
              <w:bottom w:val="single" w:sz="8" w:space="0" w:color="000000"/>
              <w:right w:val="single" w:sz="8" w:space="0" w:color="000000"/>
            </w:tcBorders>
            <w:vAlign w:val="center"/>
          </w:tcPr>
          <w:p w14:paraId="505F9795"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w:t>
            </w:r>
          </w:p>
        </w:tc>
        <w:tc>
          <w:tcPr>
            <w:tcW w:w="1297" w:type="dxa"/>
            <w:tcBorders>
              <w:top w:val="nil"/>
              <w:left w:val="nil"/>
              <w:bottom w:val="single" w:sz="8" w:space="0" w:color="000000"/>
              <w:right w:val="single" w:sz="8" w:space="0" w:color="000000"/>
            </w:tcBorders>
            <w:vAlign w:val="center"/>
          </w:tcPr>
          <w:p w14:paraId="7E471EC5"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w:t>
            </w:r>
          </w:p>
        </w:tc>
        <w:tc>
          <w:tcPr>
            <w:tcW w:w="1302" w:type="dxa"/>
            <w:tcBorders>
              <w:top w:val="nil"/>
              <w:left w:val="nil"/>
              <w:bottom w:val="single" w:sz="8" w:space="0" w:color="000000"/>
              <w:right w:val="single" w:sz="8" w:space="0" w:color="000000"/>
            </w:tcBorders>
            <w:vAlign w:val="center"/>
          </w:tcPr>
          <w:p w14:paraId="09745E23"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w:t>
            </w:r>
          </w:p>
        </w:tc>
        <w:tc>
          <w:tcPr>
            <w:tcW w:w="1278" w:type="dxa"/>
            <w:tcBorders>
              <w:top w:val="nil"/>
              <w:left w:val="nil"/>
              <w:bottom w:val="single" w:sz="8" w:space="0" w:color="000000"/>
              <w:right w:val="single" w:sz="8" w:space="0" w:color="000000"/>
            </w:tcBorders>
            <w:vAlign w:val="center"/>
          </w:tcPr>
          <w:p w14:paraId="504C0DDA"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314" w:type="dxa"/>
            <w:tcBorders>
              <w:top w:val="nil"/>
              <w:left w:val="nil"/>
              <w:bottom w:val="single" w:sz="8" w:space="0" w:color="000000"/>
              <w:right w:val="single" w:sz="8" w:space="0" w:color="000000"/>
            </w:tcBorders>
            <w:vAlign w:val="center"/>
          </w:tcPr>
          <w:p w14:paraId="10BC3353"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w:t>
            </w:r>
          </w:p>
        </w:tc>
        <w:tc>
          <w:tcPr>
            <w:tcW w:w="1287" w:type="dxa"/>
            <w:tcBorders>
              <w:top w:val="nil"/>
              <w:left w:val="nil"/>
              <w:bottom w:val="single" w:sz="8" w:space="0" w:color="000000"/>
              <w:right w:val="single" w:sz="8" w:space="0" w:color="000000"/>
            </w:tcBorders>
            <w:vAlign w:val="center"/>
          </w:tcPr>
          <w:p w14:paraId="1F09A370"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w:t>
            </w:r>
          </w:p>
        </w:tc>
        <w:tc>
          <w:tcPr>
            <w:tcW w:w="1287" w:type="dxa"/>
            <w:tcBorders>
              <w:top w:val="nil"/>
              <w:left w:val="nil"/>
              <w:bottom w:val="single" w:sz="8" w:space="0" w:color="000000"/>
              <w:right w:val="single" w:sz="8" w:space="0" w:color="000000"/>
            </w:tcBorders>
            <w:vAlign w:val="center"/>
          </w:tcPr>
          <w:p w14:paraId="4FCFC093" w14:textId="77777777" w:rsidR="0039246C" w:rsidRDefault="00902A9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w:t>
            </w:r>
          </w:p>
        </w:tc>
      </w:tr>
    </w:tbl>
    <w:p w14:paraId="70C04547" w14:textId="77777777" w:rsidR="0039246C" w:rsidRDefault="00902A99">
      <w:pPr>
        <w:spacing w:line="360" w:lineRule="auto"/>
        <w:jc w:val="both"/>
        <w:rPr>
          <w:rFonts w:ascii="Times New Roman" w:eastAsia="Times New Roman" w:hAnsi="Times New Roman" w:cs="Times New Roman"/>
          <w:b/>
          <w:bCs/>
          <w:sz w:val="24"/>
          <w:szCs w:val="24"/>
        </w:rPr>
        <w:sectPr w:rsidR="0039246C">
          <w:pgSz w:w="16838" w:h="11906" w:orient="landscape"/>
          <w:pgMar w:top="1440" w:right="1440" w:bottom="1440" w:left="1440" w:header="708" w:footer="708" w:gutter="0"/>
          <w:cols w:space="720"/>
        </w:sectPr>
      </w:pPr>
      <w:r>
        <w:rPr>
          <w:rFonts w:ascii="Times New Roman" w:eastAsia="Times New Roman" w:hAnsi="Times New Roman" w:cs="Times New Roman"/>
          <w:b/>
          <w:bCs/>
          <w:sz w:val="24"/>
          <w:szCs w:val="24"/>
        </w:rPr>
        <w:t>Table1: Correlation coefficients among vegetative morphological, yield and quality traits of walnut genotypes (</w:t>
      </w:r>
      <w:r>
        <w:rPr>
          <w:rFonts w:ascii="Times New Roman" w:eastAsia="Times New Roman" w:hAnsi="Times New Roman" w:cs="Times New Roman"/>
          <w:b/>
          <w:bCs/>
          <w:i/>
          <w:iCs/>
          <w:sz w:val="24"/>
          <w:szCs w:val="24"/>
        </w:rPr>
        <w:t>Juglans regia</w:t>
      </w:r>
      <w:r>
        <w:rPr>
          <w:rFonts w:ascii="Times New Roman" w:eastAsia="Times New Roman" w:hAnsi="Times New Roman" w:cs="Times New Roman"/>
          <w:b/>
          <w:bCs/>
          <w:sz w:val="24"/>
          <w:szCs w:val="24"/>
        </w:rPr>
        <w:t xml:space="preserve"> L.)</w:t>
      </w:r>
    </w:p>
    <w:p w14:paraId="1B2E9FB8" w14:textId="77777777" w:rsidR="0039246C" w:rsidRDefault="00902A9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1 shows the value of correlation coefficients between the various trait </w:t>
      </w:r>
      <w:r>
        <w:rPr>
          <w:rFonts w:ascii="Times New Roman" w:eastAsia="Times New Roman" w:hAnsi="Times New Roman" w:cs="Times New Roman"/>
          <w:sz w:val="24"/>
          <w:szCs w:val="24"/>
        </w:rPr>
        <w:t xml:space="preserve">characters in both vegetative and flower phases and those related to yield and quality. The nature and trend in the correlation coefficients are also demonstrated in the heatmap below (Figure 1). The graph indicates the intensity and signs associated with </w:t>
      </w:r>
      <w:r>
        <w:rPr>
          <w:rFonts w:ascii="Times New Roman" w:eastAsia="Times New Roman" w:hAnsi="Times New Roman" w:cs="Times New Roman"/>
          <w:sz w:val="24"/>
          <w:szCs w:val="24"/>
        </w:rPr>
        <w:t>the correlation coefficients in the various traits involves in the study. The correlation in the various characters was higher in vegetative features, and those related to yield and quality /kernel biochemical constituents.</w:t>
      </w:r>
    </w:p>
    <w:p w14:paraId="66B2111C" w14:textId="77777777" w:rsidR="0039246C" w:rsidRDefault="00902A99">
      <w:pPr>
        <w:spacing w:line="360" w:lineRule="auto"/>
        <w:rPr>
          <w:rFonts w:ascii="Times New Roman" w:eastAsia="Times New Roman" w:hAnsi="Times New Roman" w:cs="Times New Roman"/>
          <w:b/>
          <w:bCs/>
        </w:rPr>
      </w:pPr>
      <w:r>
        <w:rPr>
          <w:rFonts w:ascii="Times New Roman" w:eastAsia="Times New Roman" w:hAnsi="Times New Roman" w:cs="Times New Roman"/>
          <w:b/>
          <w:bCs/>
        </w:rPr>
        <w:t>Figure 1. Heatmap showing phenot</w:t>
      </w:r>
      <w:r>
        <w:rPr>
          <w:rFonts w:ascii="Times New Roman" w:eastAsia="Times New Roman" w:hAnsi="Times New Roman" w:cs="Times New Roman"/>
          <w:b/>
          <w:bCs/>
        </w:rPr>
        <w:t>ypic correlation coefficients (r) among vegetative morphological, yield, and quality traits in 21 walnut (Juglans regia L.) genotypes. Red indicates positive correlations and blue indicates negative correlations, while colour intensity represents the magni</w:t>
      </w:r>
      <w:r>
        <w:rPr>
          <w:rFonts w:ascii="Times New Roman" w:eastAsia="Times New Roman" w:hAnsi="Times New Roman" w:cs="Times New Roman"/>
          <w:b/>
          <w:bCs/>
        </w:rPr>
        <w:t>tude of the correlation coefficient (r).</w:t>
      </w:r>
    </w:p>
    <w:p w14:paraId="58475303" w14:textId="77777777" w:rsidR="0039246C" w:rsidRDefault="00902A99">
      <w:pPr>
        <w:tabs>
          <w:tab w:val="left" w:pos="1080"/>
        </w:tabs>
        <w:jc w:val="center"/>
        <w:rPr>
          <w:rFonts w:ascii="Times New Roman" w:eastAsia="Times New Roman" w:hAnsi="Times New Roman" w:cs="Times New Roman"/>
          <w:sz w:val="24"/>
          <w:szCs w:val="24"/>
        </w:rPr>
        <w:sectPr w:rsidR="0039246C">
          <w:pgSz w:w="11906" w:h="16838"/>
          <w:pgMar w:top="1440" w:right="1440" w:bottom="1440" w:left="1440" w:header="708" w:footer="708" w:gutter="0"/>
          <w:cols w:space="720"/>
        </w:sectPr>
      </w:pPr>
      <w:r>
        <w:rPr>
          <w:rFonts w:ascii="Times New Roman" w:eastAsia="Times New Roman" w:hAnsi="Times New Roman" w:cs="Times New Roman"/>
          <w:b/>
          <w:bCs/>
          <w:noProof/>
          <w:sz w:val="24"/>
          <w:szCs w:val="24"/>
        </w:rPr>
        <w:drawing>
          <wp:inline distT="0" distB="0" distL="0" distR="0" wp14:anchorId="059E0D3F" wp14:editId="1B6ED2CD">
            <wp:extent cx="5363409" cy="37820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363409" cy="3782013"/>
                    </a:xfrm>
                    <a:prstGeom prst="rect">
                      <a:avLst/>
                    </a:prstGeom>
                    <a:ln/>
                  </pic:spPr>
                </pic:pic>
              </a:graphicData>
            </a:graphic>
          </wp:inline>
        </w:drawing>
      </w:r>
    </w:p>
    <w:p w14:paraId="43486CE3" w14:textId="77777777" w:rsidR="0039246C" w:rsidRDefault="0039246C">
      <w:pPr>
        <w:spacing w:line="360" w:lineRule="auto"/>
        <w:jc w:val="both"/>
        <w:rPr>
          <w:rFonts w:ascii="Times New Roman" w:eastAsia="Times New Roman" w:hAnsi="Times New Roman" w:cs="Times New Roman"/>
          <w:b/>
          <w:bCs/>
          <w:sz w:val="24"/>
          <w:szCs w:val="24"/>
        </w:rPr>
      </w:pPr>
    </w:p>
    <w:p w14:paraId="4C860F4A" w14:textId="77777777" w:rsidR="0039246C" w:rsidRDefault="00902A9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References </w:t>
      </w:r>
    </w:p>
    <w:p w14:paraId="4E056705"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AOAC, 2000. Official Methods of Analysis, 17th ed. Association of Official Analytical Chemists, Washington, DC.</w:t>
      </w:r>
    </w:p>
    <w:p w14:paraId="404DFC30"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Abedi, B. and </w:t>
      </w:r>
      <w:proofErr w:type="spellStart"/>
      <w:r>
        <w:rPr>
          <w:rFonts w:ascii="Times New Roman" w:eastAsia="Times New Roman" w:hAnsi="Times New Roman" w:cs="Times New Roman"/>
          <w:sz w:val="24"/>
          <w:szCs w:val="24"/>
        </w:rPr>
        <w:t>Parvaneh</w:t>
      </w:r>
      <w:proofErr w:type="spellEnd"/>
      <w:r>
        <w:rPr>
          <w:rFonts w:ascii="Times New Roman" w:eastAsia="Times New Roman" w:hAnsi="Times New Roman" w:cs="Times New Roman"/>
          <w:sz w:val="24"/>
          <w:szCs w:val="24"/>
        </w:rPr>
        <w:t xml:space="preserve">, T., 2016. Study of correlations between horticultural </w:t>
      </w:r>
      <w:r>
        <w:rPr>
          <w:rFonts w:ascii="Times New Roman" w:eastAsia="Times New Roman" w:hAnsi="Times New Roman" w:cs="Times New Roman"/>
          <w:sz w:val="24"/>
          <w:szCs w:val="24"/>
        </w:rPr>
        <w:t>traits and variables affecting kernel percentage of walnut (Juglans regia L.).</w:t>
      </w:r>
    </w:p>
    <w:p w14:paraId="0AD0A152"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Aslamarz</w:t>
      </w:r>
      <w:proofErr w:type="spellEnd"/>
      <w:r>
        <w:rPr>
          <w:rFonts w:ascii="Times New Roman" w:eastAsia="Times New Roman" w:hAnsi="Times New Roman" w:cs="Times New Roman"/>
          <w:sz w:val="24"/>
          <w:szCs w:val="24"/>
        </w:rPr>
        <w:t xml:space="preserve">, A. A., </w:t>
      </w:r>
      <w:proofErr w:type="spellStart"/>
      <w:r>
        <w:rPr>
          <w:rFonts w:ascii="Times New Roman" w:eastAsia="Times New Roman" w:hAnsi="Times New Roman" w:cs="Times New Roman"/>
          <w:sz w:val="24"/>
          <w:szCs w:val="24"/>
        </w:rPr>
        <w:t>Vahdati</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Rahemi</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Hassani</w:t>
      </w:r>
      <w:proofErr w:type="spellEnd"/>
      <w:r>
        <w:rPr>
          <w:rFonts w:ascii="Times New Roman" w:eastAsia="Times New Roman" w:hAnsi="Times New Roman" w:cs="Times New Roman"/>
          <w:sz w:val="24"/>
          <w:szCs w:val="24"/>
        </w:rPr>
        <w:t xml:space="preserve">, D. (2009). Correlation between vegetative growth and nut traits in walnut. Scientia </w:t>
      </w:r>
      <w:proofErr w:type="spellStart"/>
      <w:r>
        <w:rPr>
          <w:rFonts w:ascii="Times New Roman" w:eastAsia="Times New Roman" w:hAnsi="Times New Roman" w:cs="Times New Roman"/>
          <w:sz w:val="24"/>
          <w:szCs w:val="24"/>
        </w:rPr>
        <w:t>Horticulturae</w:t>
      </w:r>
      <w:proofErr w:type="spellEnd"/>
      <w:r>
        <w:rPr>
          <w:rFonts w:ascii="Times New Roman" w:eastAsia="Times New Roman" w:hAnsi="Times New Roman" w:cs="Times New Roman"/>
          <w:sz w:val="24"/>
          <w:szCs w:val="24"/>
        </w:rPr>
        <w:t>, 121, 229–233.</w:t>
      </w:r>
    </w:p>
    <w:p w14:paraId="00C97F24"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Banyal</w:t>
      </w:r>
      <w:proofErr w:type="spellEnd"/>
      <w:r>
        <w:rPr>
          <w:rFonts w:ascii="Times New Roman" w:eastAsia="Times New Roman" w:hAnsi="Times New Roman" w:cs="Times New Roman"/>
          <w:sz w:val="24"/>
          <w:szCs w:val="24"/>
        </w:rPr>
        <w:t>, S.K</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Patial</w:t>
      </w:r>
      <w:proofErr w:type="spellEnd"/>
      <w:r>
        <w:rPr>
          <w:rFonts w:ascii="Times New Roman" w:eastAsia="Times New Roman" w:hAnsi="Times New Roman" w:cs="Times New Roman"/>
          <w:sz w:val="24"/>
          <w:szCs w:val="24"/>
        </w:rPr>
        <w:t xml:space="preserve">, U.R. and </w:t>
      </w:r>
      <w:proofErr w:type="spellStart"/>
      <w:r>
        <w:rPr>
          <w:rFonts w:ascii="Times New Roman" w:eastAsia="Times New Roman" w:hAnsi="Times New Roman" w:cs="Times New Roman"/>
          <w:sz w:val="24"/>
          <w:szCs w:val="24"/>
        </w:rPr>
        <w:t>Banyal</w:t>
      </w:r>
      <w:proofErr w:type="spellEnd"/>
      <w:r>
        <w:rPr>
          <w:rFonts w:ascii="Times New Roman" w:eastAsia="Times New Roman" w:hAnsi="Times New Roman" w:cs="Times New Roman"/>
          <w:sz w:val="24"/>
          <w:szCs w:val="24"/>
        </w:rPr>
        <w:t>, A.K., 2023. Pollination Management. In Temperate Nuts (pp. 149-170). Singapore: Springer Nature Singapore.</w:t>
      </w:r>
    </w:p>
    <w:p w14:paraId="4D1F2BF8"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Bernard, A., Marrano, A., </w:t>
      </w:r>
      <w:proofErr w:type="spellStart"/>
      <w:r>
        <w:rPr>
          <w:rFonts w:ascii="Times New Roman" w:eastAsia="Times New Roman" w:hAnsi="Times New Roman" w:cs="Times New Roman"/>
          <w:sz w:val="24"/>
          <w:szCs w:val="24"/>
        </w:rPr>
        <w:t>Donkpegan</w:t>
      </w:r>
      <w:proofErr w:type="spellEnd"/>
      <w:r>
        <w:rPr>
          <w:rFonts w:ascii="Times New Roman" w:eastAsia="Times New Roman" w:hAnsi="Times New Roman" w:cs="Times New Roman"/>
          <w:sz w:val="24"/>
          <w:szCs w:val="24"/>
        </w:rPr>
        <w:t xml:space="preserve">, A., Brown, P.J., Leslie, C.A., Neale, D.B., </w:t>
      </w:r>
      <w:proofErr w:type="spellStart"/>
      <w:r>
        <w:rPr>
          <w:rFonts w:ascii="Times New Roman" w:eastAsia="Times New Roman" w:hAnsi="Times New Roman" w:cs="Times New Roman"/>
          <w:sz w:val="24"/>
          <w:szCs w:val="24"/>
        </w:rPr>
        <w:t>Lheureux</w:t>
      </w:r>
      <w:proofErr w:type="spellEnd"/>
      <w:r>
        <w:rPr>
          <w:rFonts w:ascii="Times New Roman" w:eastAsia="Times New Roman" w:hAnsi="Times New Roman" w:cs="Times New Roman"/>
          <w:sz w:val="24"/>
          <w:szCs w:val="24"/>
        </w:rPr>
        <w:t xml:space="preserve">, F. and </w:t>
      </w:r>
      <w:proofErr w:type="spellStart"/>
      <w:r>
        <w:rPr>
          <w:rFonts w:ascii="Times New Roman" w:eastAsia="Times New Roman" w:hAnsi="Times New Roman" w:cs="Times New Roman"/>
          <w:sz w:val="24"/>
          <w:szCs w:val="24"/>
        </w:rPr>
        <w:t>Dirlewanger</w:t>
      </w:r>
      <w:proofErr w:type="spellEnd"/>
      <w:r>
        <w:rPr>
          <w:rFonts w:ascii="Times New Roman" w:eastAsia="Times New Roman" w:hAnsi="Times New Roman" w:cs="Times New Roman"/>
          <w:sz w:val="24"/>
          <w:szCs w:val="24"/>
        </w:rPr>
        <w:t xml:space="preserve">, E., 2020. </w:t>
      </w:r>
      <w:r>
        <w:rPr>
          <w:rFonts w:ascii="Times New Roman" w:eastAsia="Times New Roman" w:hAnsi="Times New Roman" w:cs="Times New Roman"/>
          <w:sz w:val="24"/>
          <w:szCs w:val="24"/>
        </w:rPr>
        <w:t>Association and linkage mapping to unravel genetic architecture of phenological traits and lateral bearing in Persian walnut (Juglans regia L.). BMC genomics, 21(1), p.203.</w:t>
      </w:r>
    </w:p>
    <w:p w14:paraId="3FE6A329"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Bogdziewicz</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Pesendorfer</w:t>
      </w:r>
      <w:proofErr w:type="spellEnd"/>
      <w:r>
        <w:rPr>
          <w:rFonts w:ascii="Times New Roman" w:eastAsia="Times New Roman" w:hAnsi="Times New Roman" w:cs="Times New Roman"/>
          <w:sz w:val="24"/>
          <w:szCs w:val="24"/>
        </w:rPr>
        <w:t>, M., Crone, E.E., Pérez‐</w:t>
      </w:r>
      <w:proofErr w:type="spellStart"/>
      <w:r>
        <w:rPr>
          <w:rFonts w:ascii="Times New Roman" w:eastAsia="Times New Roman" w:hAnsi="Times New Roman" w:cs="Times New Roman"/>
          <w:sz w:val="24"/>
          <w:szCs w:val="24"/>
        </w:rPr>
        <w:t>Izquierdo</w:t>
      </w:r>
      <w:proofErr w:type="spellEnd"/>
      <w:r>
        <w:rPr>
          <w:rFonts w:ascii="Times New Roman" w:eastAsia="Times New Roman" w:hAnsi="Times New Roman" w:cs="Times New Roman"/>
          <w:sz w:val="24"/>
          <w:szCs w:val="24"/>
        </w:rPr>
        <w:t xml:space="preserve">, C. and </w:t>
      </w:r>
      <w:proofErr w:type="spellStart"/>
      <w:r>
        <w:rPr>
          <w:rFonts w:ascii="Times New Roman" w:eastAsia="Times New Roman" w:hAnsi="Times New Roman" w:cs="Times New Roman"/>
          <w:sz w:val="24"/>
          <w:szCs w:val="24"/>
        </w:rPr>
        <w:t>Bonal</w:t>
      </w:r>
      <w:proofErr w:type="spellEnd"/>
      <w:r>
        <w:rPr>
          <w:rFonts w:ascii="Times New Roman" w:eastAsia="Times New Roman" w:hAnsi="Times New Roman" w:cs="Times New Roman"/>
          <w:sz w:val="24"/>
          <w:szCs w:val="24"/>
        </w:rPr>
        <w:t>, R., 2</w:t>
      </w:r>
      <w:r>
        <w:rPr>
          <w:rFonts w:ascii="Times New Roman" w:eastAsia="Times New Roman" w:hAnsi="Times New Roman" w:cs="Times New Roman"/>
          <w:sz w:val="24"/>
          <w:szCs w:val="24"/>
        </w:rPr>
        <w:t>020. Flowering synchrony drives reproductive success in a wind‐pollinated tree. Ecology Letters, 23(12), pp.1820-1826.</w:t>
      </w:r>
    </w:p>
    <w:p w14:paraId="0E0E2793"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Charrier, G., Bonhomme, M., </w:t>
      </w:r>
      <w:proofErr w:type="spellStart"/>
      <w:r>
        <w:rPr>
          <w:rFonts w:ascii="Times New Roman" w:eastAsia="Times New Roman" w:hAnsi="Times New Roman" w:cs="Times New Roman"/>
          <w:sz w:val="24"/>
          <w:szCs w:val="24"/>
        </w:rPr>
        <w:t>Lacointe</w:t>
      </w:r>
      <w:proofErr w:type="spellEnd"/>
      <w:r>
        <w:rPr>
          <w:rFonts w:ascii="Times New Roman" w:eastAsia="Times New Roman" w:hAnsi="Times New Roman" w:cs="Times New Roman"/>
          <w:sz w:val="24"/>
          <w:szCs w:val="24"/>
        </w:rPr>
        <w:t xml:space="preserve">, A. and </w:t>
      </w:r>
      <w:proofErr w:type="spellStart"/>
      <w:r>
        <w:rPr>
          <w:rFonts w:ascii="Times New Roman" w:eastAsia="Times New Roman" w:hAnsi="Times New Roman" w:cs="Times New Roman"/>
          <w:sz w:val="24"/>
          <w:szCs w:val="24"/>
        </w:rPr>
        <w:t>Améglio</w:t>
      </w:r>
      <w:proofErr w:type="spellEnd"/>
      <w:r>
        <w:rPr>
          <w:rFonts w:ascii="Times New Roman" w:eastAsia="Times New Roman" w:hAnsi="Times New Roman" w:cs="Times New Roman"/>
          <w:sz w:val="24"/>
          <w:szCs w:val="24"/>
        </w:rPr>
        <w:t>, T., 2011. Are budburst dates, dormancy and cold acclimation in walnut trees (Juglan</w:t>
      </w:r>
      <w:r>
        <w:rPr>
          <w:rFonts w:ascii="Times New Roman" w:eastAsia="Times New Roman" w:hAnsi="Times New Roman" w:cs="Times New Roman"/>
          <w:sz w:val="24"/>
          <w:szCs w:val="24"/>
        </w:rPr>
        <w:t xml:space="preserve">s regia L.) under mainly genotypic or environmental </w:t>
      </w:r>
      <w:proofErr w:type="gramStart"/>
      <w:r>
        <w:rPr>
          <w:rFonts w:ascii="Times New Roman" w:eastAsia="Times New Roman" w:hAnsi="Times New Roman" w:cs="Times New Roman"/>
          <w:sz w:val="24"/>
          <w:szCs w:val="24"/>
        </w:rPr>
        <w:t>control?.</w:t>
      </w:r>
      <w:proofErr w:type="gramEnd"/>
      <w:r>
        <w:rPr>
          <w:rFonts w:ascii="Times New Roman" w:eastAsia="Times New Roman" w:hAnsi="Times New Roman" w:cs="Times New Roman"/>
          <w:sz w:val="24"/>
          <w:szCs w:val="24"/>
        </w:rPr>
        <w:t xml:space="preserve"> International journal of biometeorology, 55(6), pp.763-774.</w:t>
      </w:r>
    </w:p>
    <w:p w14:paraId="5010F769"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Y., Li, X., Wang, J., 2023. Relationships between vegetative growth, flowering phenology and nut quality in walnut (Juglans </w:t>
      </w:r>
      <w:r>
        <w:rPr>
          <w:rFonts w:ascii="Times New Roman" w:eastAsia="Times New Roman" w:hAnsi="Times New Roman" w:cs="Times New Roman"/>
          <w:sz w:val="24"/>
          <w:szCs w:val="24"/>
        </w:rPr>
        <w:t xml:space="preserve">regia L.). Scientia </w:t>
      </w:r>
      <w:proofErr w:type="spellStart"/>
      <w:r>
        <w:rPr>
          <w:rFonts w:ascii="Times New Roman" w:eastAsia="Times New Roman" w:hAnsi="Times New Roman" w:cs="Times New Roman"/>
          <w:sz w:val="24"/>
          <w:szCs w:val="24"/>
        </w:rPr>
        <w:t>Horticulturae</w:t>
      </w:r>
      <w:proofErr w:type="spellEnd"/>
      <w:r>
        <w:rPr>
          <w:rFonts w:ascii="Times New Roman" w:eastAsia="Times New Roman" w:hAnsi="Times New Roman" w:cs="Times New Roman"/>
          <w:sz w:val="24"/>
          <w:szCs w:val="24"/>
        </w:rPr>
        <w:t xml:space="preserve"> 317, 112058.</w:t>
      </w:r>
    </w:p>
    <w:p w14:paraId="35F05C26"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Christopoulos</w:t>
      </w:r>
      <w:proofErr w:type="spellEnd"/>
      <w:r>
        <w:rPr>
          <w:rFonts w:ascii="Times New Roman" w:eastAsia="Times New Roman" w:hAnsi="Times New Roman" w:cs="Times New Roman"/>
          <w:sz w:val="24"/>
          <w:szCs w:val="24"/>
        </w:rPr>
        <w:t xml:space="preserve">, M.V., </w:t>
      </w:r>
      <w:proofErr w:type="spellStart"/>
      <w:r>
        <w:rPr>
          <w:rFonts w:ascii="Times New Roman" w:eastAsia="Times New Roman" w:hAnsi="Times New Roman" w:cs="Times New Roman"/>
          <w:sz w:val="24"/>
          <w:szCs w:val="24"/>
        </w:rPr>
        <w:t>Kafkaletou</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Karantzi</w:t>
      </w:r>
      <w:proofErr w:type="spellEnd"/>
      <w:r>
        <w:rPr>
          <w:rFonts w:ascii="Times New Roman" w:eastAsia="Times New Roman" w:hAnsi="Times New Roman" w:cs="Times New Roman"/>
          <w:sz w:val="24"/>
          <w:szCs w:val="24"/>
        </w:rPr>
        <w:t xml:space="preserve">, A.D. and </w:t>
      </w:r>
      <w:proofErr w:type="spellStart"/>
      <w:r>
        <w:rPr>
          <w:rFonts w:ascii="Times New Roman" w:eastAsia="Times New Roman" w:hAnsi="Times New Roman" w:cs="Times New Roman"/>
          <w:sz w:val="24"/>
          <w:szCs w:val="24"/>
        </w:rPr>
        <w:t>Tsantili</w:t>
      </w:r>
      <w:proofErr w:type="spellEnd"/>
      <w:r>
        <w:rPr>
          <w:rFonts w:ascii="Times New Roman" w:eastAsia="Times New Roman" w:hAnsi="Times New Roman" w:cs="Times New Roman"/>
          <w:sz w:val="24"/>
          <w:szCs w:val="24"/>
        </w:rPr>
        <w:t>, E., 2021. Girdling effects on fruit maturity, kernel quality, and nutritional value of walnuts (Juglans regia L.) alongside the effects on leaf</w:t>
      </w:r>
      <w:r>
        <w:rPr>
          <w:rFonts w:ascii="Times New Roman" w:eastAsia="Times New Roman" w:hAnsi="Times New Roman" w:cs="Times New Roman"/>
          <w:sz w:val="24"/>
          <w:szCs w:val="24"/>
        </w:rPr>
        <w:t xml:space="preserve"> physiological characteristics. Agronomy, 11(2), p.200.</w:t>
      </w:r>
    </w:p>
    <w:p w14:paraId="610BF1F3"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Devin, S.R. and </w:t>
      </w:r>
      <w:proofErr w:type="spellStart"/>
      <w:r>
        <w:rPr>
          <w:rFonts w:ascii="Times New Roman" w:eastAsia="Times New Roman" w:hAnsi="Times New Roman" w:cs="Times New Roman"/>
          <w:sz w:val="24"/>
          <w:szCs w:val="24"/>
        </w:rPr>
        <w:t>Bujdoso</w:t>
      </w:r>
      <w:proofErr w:type="spellEnd"/>
      <w:r>
        <w:rPr>
          <w:rFonts w:ascii="Times New Roman" w:eastAsia="Times New Roman" w:hAnsi="Times New Roman" w:cs="Times New Roman"/>
          <w:sz w:val="24"/>
          <w:szCs w:val="24"/>
        </w:rPr>
        <w:t xml:space="preserve">, G., 2022. Walnut genotypes for high density orchards. </w:t>
      </w:r>
      <w:proofErr w:type="spellStart"/>
      <w:r>
        <w:rPr>
          <w:rFonts w:ascii="Times New Roman" w:eastAsia="Times New Roman" w:hAnsi="Times New Roman" w:cs="Times New Roman"/>
          <w:sz w:val="24"/>
          <w:szCs w:val="24"/>
        </w:rPr>
        <w:t>Horticulturae</w:t>
      </w:r>
      <w:proofErr w:type="spellEnd"/>
      <w:r>
        <w:rPr>
          <w:rFonts w:ascii="Times New Roman" w:eastAsia="Times New Roman" w:hAnsi="Times New Roman" w:cs="Times New Roman"/>
          <w:sz w:val="24"/>
          <w:szCs w:val="24"/>
        </w:rPr>
        <w:t>, 8(6), p.490.</w:t>
      </w:r>
    </w:p>
    <w:p w14:paraId="224DD072"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 S., </w:t>
      </w:r>
      <w:proofErr w:type="spellStart"/>
      <w:r>
        <w:rPr>
          <w:rFonts w:ascii="Times New Roman" w:eastAsia="Times New Roman" w:hAnsi="Times New Roman" w:cs="Times New Roman"/>
          <w:sz w:val="24"/>
          <w:szCs w:val="24"/>
        </w:rPr>
        <w:t>Wani</w:t>
      </w:r>
      <w:proofErr w:type="spellEnd"/>
      <w:r>
        <w:rPr>
          <w:rFonts w:ascii="Times New Roman" w:eastAsia="Times New Roman" w:hAnsi="Times New Roman" w:cs="Times New Roman"/>
          <w:sz w:val="24"/>
          <w:szCs w:val="24"/>
        </w:rPr>
        <w:t xml:space="preserve">, R.A., Ab </w:t>
      </w:r>
      <w:proofErr w:type="spellStart"/>
      <w:r>
        <w:rPr>
          <w:rFonts w:ascii="Times New Roman" w:eastAsia="Times New Roman" w:hAnsi="Times New Roman" w:cs="Times New Roman"/>
          <w:sz w:val="24"/>
          <w:szCs w:val="24"/>
        </w:rPr>
        <w:t>Waheed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Wani</w:t>
      </w:r>
      <w:proofErr w:type="spellEnd"/>
      <w:r>
        <w:rPr>
          <w:rFonts w:ascii="Times New Roman" w:eastAsia="Times New Roman" w:hAnsi="Times New Roman" w:cs="Times New Roman"/>
          <w:sz w:val="24"/>
          <w:szCs w:val="24"/>
        </w:rPr>
        <w:t xml:space="preserve">, F.N., </w:t>
      </w:r>
      <w:proofErr w:type="spellStart"/>
      <w:r>
        <w:rPr>
          <w:rFonts w:ascii="Times New Roman" w:eastAsia="Times New Roman" w:hAnsi="Times New Roman" w:cs="Times New Roman"/>
          <w:sz w:val="24"/>
          <w:szCs w:val="24"/>
        </w:rPr>
        <w:t>Farwah</w:t>
      </w:r>
      <w:proofErr w:type="spellEnd"/>
      <w:r>
        <w:rPr>
          <w:rFonts w:ascii="Times New Roman" w:eastAsia="Times New Roman" w:hAnsi="Times New Roman" w:cs="Times New Roman"/>
          <w:sz w:val="24"/>
          <w:szCs w:val="24"/>
        </w:rPr>
        <w:t>, S., Rizvi, S. and Nisar, T.F.W.S., 2019. e</w:t>
      </w:r>
      <w:r>
        <w:rPr>
          <w:rFonts w:ascii="Times New Roman" w:eastAsia="Times New Roman" w:hAnsi="Times New Roman" w:cs="Times New Roman"/>
          <w:sz w:val="24"/>
          <w:szCs w:val="24"/>
        </w:rPr>
        <w:t>nhancement in temperate fruit crops. Journal of Pharmacognosy and Phytochemistry, 8(2), pp.1203-1216.</w:t>
      </w:r>
    </w:p>
    <w:p w14:paraId="1E425EBD"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Einollahi</w:t>
      </w:r>
      <w:proofErr w:type="spellEnd"/>
      <w:r>
        <w:rPr>
          <w:rFonts w:ascii="Times New Roman" w:eastAsia="Times New Roman" w:hAnsi="Times New Roman" w:cs="Times New Roman"/>
          <w:sz w:val="24"/>
          <w:szCs w:val="24"/>
        </w:rPr>
        <w:t xml:space="preserve">, F. and </w:t>
      </w:r>
      <w:proofErr w:type="spellStart"/>
      <w:r>
        <w:rPr>
          <w:rFonts w:ascii="Times New Roman" w:eastAsia="Times New Roman" w:hAnsi="Times New Roman" w:cs="Times New Roman"/>
          <w:sz w:val="24"/>
          <w:szCs w:val="24"/>
        </w:rPr>
        <w:t>Khadivi</w:t>
      </w:r>
      <w:proofErr w:type="spellEnd"/>
      <w:r>
        <w:rPr>
          <w:rFonts w:ascii="Times New Roman" w:eastAsia="Times New Roman" w:hAnsi="Times New Roman" w:cs="Times New Roman"/>
          <w:sz w:val="24"/>
          <w:szCs w:val="24"/>
        </w:rPr>
        <w:t>, A., 2024. Morphological and pomological assessments of seedling-originated walnut (Juglans regia L.) trees to select the promis</w:t>
      </w:r>
      <w:r>
        <w:rPr>
          <w:rFonts w:ascii="Times New Roman" w:eastAsia="Times New Roman" w:hAnsi="Times New Roman" w:cs="Times New Roman"/>
          <w:sz w:val="24"/>
          <w:szCs w:val="24"/>
        </w:rPr>
        <w:t>ing late-leafing genotypes. BMC Plant Biology, 24(1), p.253.</w:t>
      </w:r>
    </w:p>
    <w:p w14:paraId="73392A69"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Falconer, D.S., Mackay, T.F.C., 1996. Introduction to Quantitative Genetics, 4th ed. Longman Group Ltd., Harlow, UK.</w:t>
      </w:r>
    </w:p>
    <w:p w14:paraId="731CEF5C"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Gandev</w:t>
      </w:r>
      <w:proofErr w:type="spellEnd"/>
      <w:r>
        <w:rPr>
          <w:rFonts w:ascii="Times New Roman" w:eastAsia="Times New Roman" w:hAnsi="Times New Roman" w:cs="Times New Roman"/>
          <w:sz w:val="24"/>
          <w:szCs w:val="24"/>
        </w:rPr>
        <w:t>, S. (2014). Relationships between vegetative growth and productivity in</w:t>
      </w:r>
      <w:r>
        <w:rPr>
          <w:rFonts w:ascii="Times New Roman" w:eastAsia="Times New Roman" w:hAnsi="Times New Roman" w:cs="Times New Roman"/>
          <w:sz w:val="24"/>
          <w:szCs w:val="24"/>
        </w:rPr>
        <w:t xml:space="preserve"> walnut. Journal of Horticultural Research, 22, 57–64.</w:t>
      </w:r>
    </w:p>
    <w:p w14:paraId="381787F2"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Germain, E., 1997. Genetic improvement of walnut (Juglans regia L.). Acta </w:t>
      </w:r>
      <w:proofErr w:type="spellStart"/>
      <w:r>
        <w:rPr>
          <w:rFonts w:ascii="Times New Roman" w:eastAsia="Times New Roman" w:hAnsi="Times New Roman" w:cs="Times New Roman"/>
          <w:sz w:val="24"/>
          <w:szCs w:val="24"/>
        </w:rPr>
        <w:t>Horticulturae</w:t>
      </w:r>
      <w:proofErr w:type="spellEnd"/>
      <w:r>
        <w:rPr>
          <w:rFonts w:ascii="Times New Roman" w:eastAsia="Times New Roman" w:hAnsi="Times New Roman" w:cs="Times New Roman"/>
          <w:sz w:val="24"/>
          <w:szCs w:val="24"/>
        </w:rPr>
        <w:t xml:space="preserve"> 442, 21–32.</w:t>
      </w:r>
    </w:p>
    <w:p w14:paraId="79C71B90"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Gurjar</w:t>
      </w:r>
      <w:proofErr w:type="spellEnd"/>
      <w:r>
        <w:rPr>
          <w:rFonts w:ascii="Times New Roman" w:eastAsia="Times New Roman" w:hAnsi="Times New Roman" w:cs="Times New Roman"/>
          <w:sz w:val="24"/>
          <w:szCs w:val="24"/>
        </w:rPr>
        <w:t xml:space="preserve">, T.D., Pandey, A.K. and </w:t>
      </w:r>
      <w:proofErr w:type="spellStart"/>
      <w:r>
        <w:rPr>
          <w:rFonts w:ascii="Times New Roman" w:eastAsia="Times New Roman" w:hAnsi="Times New Roman" w:cs="Times New Roman"/>
          <w:sz w:val="24"/>
          <w:szCs w:val="24"/>
        </w:rPr>
        <w:t>Rodge</w:t>
      </w:r>
      <w:proofErr w:type="spellEnd"/>
      <w:r>
        <w:rPr>
          <w:rFonts w:ascii="Times New Roman" w:eastAsia="Times New Roman" w:hAnsi="Times New Roman" w:cs="Times New Roman"/>
          <w:sz w:val="24"/>
          <w:szCs w:val="24"/>
        </w:rPr>
        <w:t xml:space="preserve">, R.R., 2025. Floral Biology, Pollination, and genetic resources </w:t>
      </w:r>
      <w:r>
        <w:rPr>
          <w:rFonts w:ascii="Times New Roman" w:eastAsia="Times New Roman" w:hAnsi="Times New Roman" w:cs="Times New Roman"/>
          <w:sz w:val="24"/>
          <w:szCs w:val="24"/>
        </w:rPr>
        <w:t>in nut crops. In Temperate Nut Crops (pp. 51-108). Apple Academic Press.</w:t>
      </w:r>
    </w:p>
    <w:p w14:paraId="66795C8B"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Koubouris</w:t>
      </w:r>
      <w:proofErr w:type="spellEnd"/>
      <w:r>
        <w:rPr>
          <w:rFonts w:ascii="Times New Roman" w:eastAsia="Times New Roman" w:hAnsi="Times New Roman" w:cs="Times New Roman"/>
          <w:sz w:val="24"/>
          <w:szCs w:val="24"/>
        </w:rPr>
        <w:t xml:space="preserve">, G. C., </w:t>
      </w:r>
      <w:proofErr w:type="spellStart"/>
      <w:r>
        <w:rPr>
          <w:rFonts w:ascii="Times New Roman" w:eastAsia="Times New Roman" w:hAnsi="Times New Roman" w:cs="Times New Roman"/>
          <w:sz w:val="24"/>
          <w:szCs w:val="24"/>
        </w:rPr>
        <w:t>Metzidakis</w:t>
      </w:r>
      <w:proofErr w:type="spellEnd"/>
      <w:r>
        <w:rPr>
          <w:rFonts w:ascii="Times New Roman" w:eastAsia="Times New Roman" w:hAnsi="Times New Roman" w:cs="Times New Roman"/>
          <w:sz w:val="24"/>
          <w:szCs w:val="24"/>
        </w:rPr>
        <w:t xml:space="preserve">, I. T., &amp; </w:t>
      </w:r>
      <w:proofErr w:type="spellStart"/>
      <w:r>
        <w:rPr>
          <w:rFonts w:ascii="Times New Roman" w:eastAsia="Times New Roman" w:hAnsi="Times New Roman" w:cs="Times New Roman"/>
          <w:sz w:val="24"/>
          <w:szCs w:val="24"/>
        </w:rPr>
        <w:t>Vasilakakis</w:t>
      </w:r>
      <w:proofErr w:type="spellEnd"/>
      <w:r>
        <w:rPr>
          <w:rFonts w:ascii="Times New Roman" w:eastAsia="Times New Roman" w:hAnsi="Times New Roman" w:cs="Times New Roman"/>
          <w:sz w:val="24"/>
          <w:szCs w:val="24"/>
        </w:rPr>
        <w:t xml:space="preserve">, M. (2010). Influence of flowering phenology on yield in nut crops. Scientia </w:t>
      </w:r>
      <w:proofErr w:type="spellStart"/>
      <w:r>
        <w:rPr>
          <w:rFonts w:ascii="Times New Roman" w:eastAsia="Times New Roman" w:hAnsi="Times New Roman" w:cs="Times New Roman"/>
          <w:sz w:val="24"/>
          <w:szCs w:val="24"/>
        </w:rPr>
        <w:t>Horticulturae</w:t>
      </w:r>
      <w:proofErr w:type="spellEnd"/>
      <w:r>
        <w:rPr>
          <w:rFonts w:ascii="Times New Roman" w:eastAsia="Times New Roman" w:hAnsi="Times New Roman" w:cs="Times New Roman"/>
          <w:sz w:val="24"/>
          <w:szCs w:val="24"/>
        </w:rPr>
        <w:t>, 123, 333–338.</w:t>
      </w:r>
    </w:p>
    <w:p w14:paraId="58E03CCD"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A., </w:t>
      </w:r>
      <w:proofErr w:type="spellStart"/>
      <w:r>
        <w:rPr>
          <w:rFonts w:ascii="Times New Roman" w:eastAsia="Times New Roman" w:hAnsi="Times New Roman" w:cs="Times New Roman"/>
          <w:sz w:val="24"/>
          <w:szCs w:val="24"/>
        </w:rPr>
        <w:t>Dangi</w:t>
      </w:r>
      <w:proofErr w:type="spellEnd"/>
      <w:r>
        <w:rPr>
          <w:rFonts w:ascii="Times New Roman" w:eastAsia="Times New Roman" w:hAnsi="Times New Roman" w:cs="Times New Roman"/>
          <w:sz w:val="24"/>
          <w:szCs w:val="24"/>
        </w:rPr>
        <w:t>, G., Kuma</w:t>
      </w:r>
      <w:r>
        <w:rPr>
          <w:rFonts w:ascii="Times New Roman" w:eastAsia="Times New Roman" w:hAnsi="Times New Roman" w:cs="Times New Roman"/>
          <w:sz w:val="24"/>
          <w:szCs w:val="24"/>
        </w:rPr>
        <w:t xml:space="preserve">r, P., Sharma, D.P., Sharma, G., </w:t>
      </w:r>
      <w:proofErr w:type="spellStart"/>
      <w:r>
        <w:rPr>
          <w:rFonts w:ascii="Times New Roman" w:eastAsia="Times New Roman" w:hAnsi="Times New Roman" w:cs="Times New Roman"/>
          <w:sz w:val="24"/>
          <w:szCs w:val="24"/>
        </w:rPr>
        <w:t>Sajwan</w:t>
      </w:r>
      <w:proofErr w:type="spellEnd"/>
      <w:r>
        <w:rPr>
          <w:rFonts w:ascii="Times New Roman" w:eastAsia="Times New Roman" w:hAnsi="Times New Roman" w:cs="Times New Roman"/>
          <w:sz w:val="24"/>
          <w:szCs w:val="24"/>
        </w:rPr>
        <w:t xml:space="preserve">, P., Dogra, R.K. and </w:t>
      </w:r>
      <w:proofErr w:type="spellStart"/>
      <w:r>
        <w:rPr>
          <w:rFonts w:ascii="Times New Roman" w:eastAsia="Times New Roman" w:hAnsi="Times New Roman" w:cs="Times New Roman"/>
          <w:sz w:val="24"/>
          <w:szCs w:val="24"/>
        </w:rPr>
        <w:t>Gundogdu</w:t>
      </w:r>
      <w:proofErr w:type="spellEnd"/>
      <w:r>
        <w:rPr>
          <w:rFonts w:ascii="Times New Roman" w:eastAsia="Times New Roman" w:hAnsi="Times New Roman" w:cs="Times New Roman"/>
          <w:sz w:val="24"/>
          <w:szCs w:val="24"/>
        </w:rPr>
        <w:t>, M., 2024. Exploring pollination mechanisms in walnut: Production and breeding perspectives. South African Journal of Botany, 171, pp.673-681.</w:t>
      </w:r>
    </w:p>
    <w:p w14:paraId="2D896B6D"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Lone, F.A., </w:t>
      </w:r>
      <w:proofErr w:type="spellStart"/>
      <w:r>
        <w:rPr>
          <w:rFonts w:ascii="Times New Roman" w:eastAsia="Times New Roman" w:hAnsi="Times New Roman" w:cs="Times New Roman"/>
          <w:sz w:val="24"/>
          <w:szCs w:val="24"/>
        </w:rPr>
        <w:t>Ganaie</w:t>
      </w:r>
      <w:proofErr w:type="spellEnd"/>
      <w:r>
        <w:rPr>
          <w:rFonts w:ascii="Times New Roman" w:eastAsia="Times New Roman" w:hAnsi="Times New Roman" w:cs="Times New Roman"/>
          <w:sz w:val="24"/>
          <w:szCs w:val="24"/>
        </w:rPr>
        <w:t xml:space="preserve">, M.I., </w:t>
      </w:r>
      <w:proofErr w:type="spellStart"/>
      <w:r>
        <w:rPr>
          <w:rFonts w:ascii="Times New Roman" w:eastAsia="Times New Roman" w:hAnsi="Times New Roman" w:cs="Times New Roman"/>
          <w:sz w:val="24"/>
          <w:szCs w:val="24"/>
        </w:rPr>
        <w:t>Ganaie</w:t>
      </w:r>
      <w:proofErr w:type="spellEnd"/>
      <w:r>
        <w:rPr>
          <w:rFonts w:ascii="Times New Roman" w:eastAsia="Times New Roman" w:hAnsi="Times New Roman" w:cs="Times New Roman"/>
          <w:sz w:val="24"/>
          <w:szCs w:val="24"/>
        </w:rPr>
        <w:t>, S.A., Rat</w:t>
      </w:r>
      <w:r>
        <w:rPr>
          <w:rFonts w:ascii="Times New Roman" w:eastAsia="Times New Roman" w:hAnsi="Times New Roman" w:cs="Times New Roman"/>
          <w:sz w:val="24"/>
          <w:szCs w:val="24"/>
        </w:rPr>
        <w:t>her, J.A. and Bhat, M.S., 2023. Economic and profitability analysis of walnut production in Kashmir Valley, India. Asian Journal of Agriculture and Development, 20(2), pp.69-82.</w:t>
      </w:r>
    </w:p>
    <w:p w14:paraId="0BEAFE1B"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Marrano, A., </w:t>
      </w:r>
      <w:proofErr w:type="spellStart"/>
      <w:r>
        <w:rPr>
          <w:rFonts w:ascii="Times New Roman" w:eastAsia="Times New Roman" w:hAnsi="Times New Roman" w:cs="Times New Roman"/>
          <w:sz w:val="24"/>
          <w:szCs w:val="24"/>
        </w:rPr>
        <w:t>Sideli</w:t>
      </w:r>
      <w:proofErr w:type="spellEnd"/>
      <w:r>
        <w:rPr>
          <w:rFonts w:ascii="Times New Roman" w:eastAsia="Times New Roman" w:hAnsi="Times New Roman" w:cs="Times New Roman"/>
          <w:sz w:val="24"/>
          <w:szCs w:val="24"/>
        </w:rPr>
        <w:t>, G.M., Leslie, C.A., Cheng, H. and Neale, D.B., 2019. Deci</w:t>
      </w:r>
      <w:r>
        <w:rPr>
          <w:rFonts w:ascii="Times New Roman" w:eastAsia="Times New Roman" w:hAnsi="Times New Roman" w:cs="Times New Roman"/>
          <w:sz w:val="24"/>
          <w:szCs w:val="24"/>
        </w:rPr>
        <w:t xml:space="preserve">phering of the genetic control of phenology, yield, and pellicle </w:t>
      </w:r>
      <w:proofErr w:type="spellStart"/>
      <w:r>
        <w:rPr>
          <w:rFonts w:ascii="Times New Roman" w:eastAsia="Times New Roman" w:hAnsi="Times New Roman" w:cs="Times New Roman"/>
          <w:sz w:val="24"/>
          <w:szCs w:val="24"/>
        </w:rPr>
        <w:t>color</w:t>
      </w:r>
      <w:proofErr w:type="spellEnd"/>
      <w:r>
        <w:rPr>
          <w:rFonts w:ascii="Times New Roman" w:eastAsia="Times New Roman" w:hAnsi="Times New Roman" w:cs="Times New Roman"/>
          <w:sz w:val="24"/>
          <w:szCs w:val="24"/>
        </w:rPr>
        <w:t xml:space="preserve"> in Persian walnut (Juglans regia L.). Frontiers in plant science, 10, p.1140.</w:t>
      </w:r>
    </w:p>
    <w:p w14:paraId="51230C8D"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Marino, G., Guzmán-Delgado, P., Santos, E., </w:t>
      </w:r>
      <w:proofErr w:type="spellStart"/>
      <w:r>
        <w:rPr>
          <w:rFonts w:ascii="Times New Roman" w:eastAsia="Times New Roman" w:hAnsi="Times New Roman" w:cs="Times New Roman"/>
          <w:sz w:val="24"/>
          <w:szCs w:val="24"/>
        </w:rPr>
        <w:t>Adaskaveg</w:t>
      </w:r>
      <w:proofErr w:type="spellEnd"/>
      <w:r>
        <w:rPr>
          <w:rFonts w:ascii="Times New Roman" w:eastAsia="Times New Roman" w:hAnsi="Times New Roman" w:cs="Times New Roman"/>
          <w:sz w:val="24"/>
          <w:szCs w:val="24"/>
        </w:rPr>
        <w:t>, J.A., Blanco-</w:t>
      </w:r>
      <w:proofErr w:type="spellStart"/>
      <w:r>
        <w:rPr>
          <w:rFonts w:ascii="Times New Roman" w:eastAsia="Times New Roman" w:hAnsi="Times New Roman" w:cs="Times New Roman"/>
          <w:sz w:val="24"/>
          <w:szCs w:val="24"/>
        </w:rPr>
        <w:t>Ulate</w:t>
      </w:r>
      <w:proofErr w:type="spellEnd"/>
      <w:r>
        <w:rPr>
          <w:rFonts w:ascii="Times New Roman" w:eastAsia="Times New Roman" w:hAnsi="Times New Roman" w:cs="Times New Roman"/>
          <w:sz w:val="24"/>
          <w:szCs w:val="24"/>
        </w:rPr>
        <w:t xml:space="preserve">, B., Ferguson, L., </w:t>
      </w:r>
      <w:proofErr w:type="spellStart"/>
      <w:r>
        <w:rPr>
          <w:rFonts w:ascii="Times New Roman" w:eastAsia="Times New Roman" w:hAnsi="Times New Roman" w:cs="Times New Roman"/>
          <w:sz w:val="24"/>
          <w:szCs w:val="24"/>
        </w:rPr>
        <w:t>Zwieniecki</w:t>
      </w:r>
      <w:proofErr w:type="spellEnd"/>
      <w:r>
        <w:rPr>
          <w:rFonts w:ascii="Times New Roman" w:eastAsia="Times New Roman" w:hAnsi="Times New Roman" w:cs="Times New Roman"/>
          <w:sz w:val="24"/>
          <w:szCs w:val="24"/>
        </w:rPr>
        <w:t>, M.</w:t>
      </w:r>
      <w:r>
        <w:rPr>
          <w:rFonts w:ascii="Times New Roman" w:eastAsia="Times New Roman" w:hAnsi="Times New Roman" w:cs="Times New Roman"/>
          <w:sz w:val="24"/>
          <w:szCs w:val="24"/>
        </w:rPr>
        <w:t>A. and Fernández-</w:t>
      </w:r>
      <w:proofErr w:type="spellStart"/>
      <w:r>
        <w:rPr>
          <w:rFonts w:ascii="Times New Roman" w:eastAsia="Times New Roman" w:hAnsi="Times New Roman" w:cs="Times New Roman"/>
          <w:sz w:val="24"/>
          <w:szCs w:val="24"/>
        </w:rPr>
        <w:t>Suela</w:t>
      </w:r>
      <w:proofErr w:type="spellEnd"/>
      <w:r>
        <w:rPr>
          <w:rFonts w:ascii="Times New Roman" w:eastAsia="Times New Roman" w:hAnsi="Times New Roman" w:cs="Times New Roman"/>
          <w:sz w:val="24"/>
          <w:szCs w:val="24"/>
        </w:rPr>
        <w:t>, E., 2023. Interactive effect of branch source-sink ratio and leaf aging on photosynthesis in pistachio. Frontiers in Plant Science, 14, p.1194177.</w:t>
      </w:r>
    </w:p>
    <w:p w14:paraId="48A566A6"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McGranahan</w:t>
      </w:r>
      <w:proofErr w:type="spellEnd"/>
      <w:r>
        <w:rPr>
          <w:rFonts w:ascii="Times New Roman" w:eastAsia="Times New Roman" w:hAnsi="Times New Roman" w:cs="Times New Roman"/>
          <w:sz w:val="24"/>
          <w:szCs w:val="24"/>
        </w:rPr>
        <w:t xml:space="preserve">, G., Leslie, C., 2012. Walnuts (Juglans). In: </w:t>
      </w:r>
      <w:proofErr w:type="spellStart"/>
      <w:r>
        <w:rPr>
          <w:rFonts w:ascii="Times New Roman" w:eastAsia="Times New Roman" w:hAnsi="Times New Roman" w:cs="Times New Roman"/>
          <w:sz w:val="24"/>
          <w:szCs w:val="24"/>
        </w:rPr>
        <w:t>Badenes</w:t>
      </w:r>
      <w:proofErr w:type="spellEnd"/>
      <w:r>
        <w:rPr>
          <w:rFonts w:ascii="Times New Roman" w:eastAsia="Times New Roman" w:hAnsi="Times New Roman" w:cs="Times New Roman"/>
          <w:sz w:val="24"/>
          <w:szCs w:val="24"/>
        </w:rPr>
        <w:t>, M.L., Byrne, D.H. (</w:t>
      </w:r>
      <w:r>
        <w:rPr>
          <w:rFonts w:ascii="Times New Roman" w:eastAsia="Times New Roman" w:hAnsi="Times New Roman" w:cs="Times New Roman"/>
          <w:sz w:val="24"/>
          <w:szCs w:val="24"/>
        </w:rPr>
        <w:t>Eds.), Fruit Breeding. Springer, New York, pp. 827–846.</w:t>
      </w:r>
    </w:p>
    <w:p w14:paraId="0C5FB797"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Manthos</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Rouskas</w:t>
      </w:r>
      <w:proofErr w:type="spellEnd"/>
      <w:r>
        <w:rPr>
          <w:rFonts w:ascii="Times New Roman" w:eastAsia="Times New Roman" w:hAnsi="Times New Roman" w:cs="Times New Roman"/>
          <w:sz w:val="24"/>
          <w:szCs w:val="24"/>
        </w:rPr>
        <w:t xml:space="preserve">, D., Sotiropoulos, T. and </w:t>
      </w:r>
      <w:proofErr w:type="spellStart"/>
      <w:r>
        <w:rPr>
          <w:rFonts w:ascii="Times New Roman" w:eastAsia="Times New Roman" w:hAnsi="Times New Roman" w:cs="Times New Roman"/>
          <w:sz w:val="24"/>
          <w:szCs w:val="24"/>
        </w:rPr>
        <w:t>Botu</w:t>
      </w:r>
      <w:proofErr w:type="spellEnd"/>
      <w:r>
        <w:rPr>
          <w:rFonts w:ascii="Times New Roman" w:eastAsia="Times New Roman" w:hAnsi="Times New Roman" w:cs="Times New Roman"/>
          <w:sz w:val="24"/>
          <w:szCs w:val="24"/>
        </w:rPr>
        <w:t xml:space="preserve">, M., 2023. Description of two promising walnut (Juglans regia L.) selections with lateral bud fruitfulness and large nuts. </w:t>
      </w:r>
      <w:proofErr w:type="spellStart"/>
      <w:r>
        <w:rPr>
          <w:rFonts w:ascii="Times New Roman" w:eastAsia="Times New Roman" w:hAnsi="Times New Roman" w:cs="Times New Roman"/>
          <w:sz w:val="24"/>
          <w:szCs w:val="24"/>
        </w:rPr>
        <w:t>Horticulturae</w:t>
      </w:r>
      <w:proofErr w:type="spellEnd"/>
      <w:r>
        <w:rPr>
          <w:rFonts w:ascii="Times New Roman" w:eastAsia="Times New Roman" w:hAnsi="Times New Roman" w:cs="Times New Roman"/>
          <w:sz w:val="24"/>
          <w:szCs w:val="24"/>
        </w:rPr>
        <w:t>, 9(7), p.82</w:t>
      </w:r>
      <w:r>
        <w:rPr>
          <w:rFonts w:ascii="Times New Roman" w:eastAsia="Times New Roman" w:hAnsi="Times New Roman" w:cs="Times New Roman"/>
          <w:sz w:val="24"/>
          <w:szCs w:val="24"/>
        </w:rPr>
        <w:t>0.</w:t>
      </w:r>
    </w:p>
    <w:p w14:paraId="4F12C1B2"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Mukarram</w:t>
      </w:r>
      <w:proofErr w:type="spellEnd"/>
      <w:r>
        <w:rPr>
          <w:rFonts w:ascii="Times New Roman" w:eastAsia="Times New Roman" w:hAnsi="Times New Roman" w:cs="Times New Roman"/>
          <w:sz w:val="24"/>
          <w:szCs w:val="24"/>
        </w:rPr>
        <w:t xml:space="preserve">, S.A., </w:t>
      </w:r>
      <w:proofErr w:type="spellStart"/>
      <w:r>
        <w:rPr>
          <w:rFonts w:ascii="Times New Roman" w:eastAsia="Times New Roman" w:hAnsi="Times New Roman" w:cs="Times New Roman"/>
          <w:sz w:val="24"/>
          <w:szCs w:val="24"/>
        </w:rPr>
        <w:t>Wandhekar</w:t>
      </w:r>
      <w:proofErr w:type="spellEnd"/>
      <w:r>
        <w:rPr>
          <w:rFonts w:ascii="Times New Roman" w:eastAsia="Times New Roman" w:hAnsi="Times New Roman" w:cs="Times New Roman"/>
          <w:sz w:val="24"/>
          <w:szCs w:val="24"/>
        </w:rPr>
        <w:t xml:space="preserve">, S.S., Ahmed, A.E.M., Pandey, V.K., Csaba, O., Lajos, D., </w:t>
      </w:r>
      <w:proofErr w:type="spellStart"/>
      <w:r>
        <w:rPr>
          <w:rFonts w:ascii="Times New Roman" w:eastAsia="Times New Roman" w:hAnsi="Times New Roman" w:cs="Times New Roman"/>
          <w:sz w:val="24"/>
          <w:szCs w:val="24"/>
        </w:rPr>
        <w:t>József</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Harsányi</w:t>
      </w:r>
      <w:proofErr w:type="spellEnd"/>
      <w:r>
        <w:rPr>
          <w:rFonts w:ascii="Times New Roman" w:eastAsia="Times New Roman" w:hAnsi="Times New Roman" w:cs="Times New Roman"/>
          <w:sz w:val="24"/>
          <w:szCs w:val="24"/>
        </w:rPr>
        <w:t xml:space="preserve">, E. and Bela, K., 2024. Exploring the Ecological Implications, Gastronomic Applications, and Nutritional and Therapeutic Potential of Juglans regia </w:t>
      </w:r>
      <w:proofErr w:type="gramStart"/>
      <w:r>
        <w:rPr>
          <w:rFonts w:ascii="Times New Roman" w:eastAsia="Times New Roman" w:hAnsi="Times New Roman" w:cs="Times New Roman"/>
          <w:sz w:val="24"/>
          <w:szCs w:val="24"/>
        </w:rPr>
        <w:t>L.(</w:t>
      </w:r>
      <w:proofErr w:type="gramEnd"/>
      <w:r>
        <w:rPr>
          <w:rFonts w:ascii="Times New Roman" w:eastAsia="Times New Roman" w:hAnsi="Times New Roman" w:cs="Times New Roman"/>
          <w:sz w:val="24"/>
          <w:szCs w:val="24"/>
        </w:rPr>
        <w:t>Green Walnut): A Comprehensive Review. Nutrients, 16(8), p.1183.</w:t>
      </w:r>
    </w:p>
    <w:p w14:paraId="1D9D9917"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Mutke</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Calama</w:t>
      </w:r>
      <w:proofErr w:type="spellEnd"/>
      <w:r>
        <w:rPr>
          <w:rFonts w:ascii="Times New Roman" w:eastAsia="Times New Roman" w:hAnsi="Times New Roman" w:cs="Times New Roman"/>
          <w:sz w:val="24"/>
          <w:szCs w:val="24"/>
        </w:rPr>
        <w:t xml:space="preserve">, R., González-Martínez, S.C., Montero, G., Javier </w:t>
      </w:r>
      <w:proofErr w:type="spellStart"/>
      <w:r>
        <w:rPr>
          <w:rFonts w:ascii="Times New Roman" w:eastAsia="Times New Roman" w:hAnsi="Times New Roman" w:cs="Times New Roman"/>
          <w:sz w:val="24"/>
          <w:szCs w:val="24"/>
        </w:rPr>
        <w:t>Gordo</w:t>
      </w:r>
      <w:proofErr w:type="spellEnd"/>
      <w:r>
        <w:rPr>
          <w:rFonts w:ascii="Times New Roman" w:eastAsia="Times New Roman" w:hAnsi="Times New Roman" w:cs="Times New Roman"/>
          <w:sz w:val="24"/>
          <w:szCs w:val="24"/>
        </w:rPr>
        <w:t xml:space="preserve">, F., Bono, D. and Gil, L., 2012. 4 </w:t>
      </w:r>
      <w:proofErr w:type="spellStart"/>
      <w:r>
        <w:rPr>
          <w:rFonts w:ascii="Times New Roman" w:eastAsia="Times New Roman" w:hAnsi="Times New Roman" w:cs="Times New Roman"/>
          <w:sz w:val="24"/>
          <w:szCs w:val="24"/>
        </w:rPr>
        <w:t>mediterranean</w:t>
      </w:r>
      <w:proofErr w:type="spellEnd"/>
      <w:r>
        <w:rPr>
          <w:rFonts w:ascii="Times New Roman" w:eastAsia="Times New Roman" w:hAnsi="Times New Roman" w:cs="Times New Roman"/>
          <w:sz w:val="24"/>
          <w:szCs w:val="24"/>
        </w:rPr>
        <w:t xml:space="preserve"> stone pine: Botany and horticulture. Horticultural reviews, 39(1)</w:t>
      </w:r>
      <w:r>
        <w:rPr>
          <w:rFonts w:ascii="Times New Roman" w:eastAsia="Times New Roman" w:hAnsi="Times New Roman" w:cs="Times New Roman"/>
          <w:sz w:val="24"/>
          <w:szCs w:val="24"/>
        </w:rPr>
        <w:t>, pp.153-201.</w:t>
      </w:r>
    </w:p>
    <w:p w14:paraId="4206CF83"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Panahi, B., </w:t>
      </w:r>
      <w:proofErr w:type="spellStart"/>
      <w:r>
        <w:rPr>
          <w:rFonts w:ascii="Times New Roman" w:eastAsia="Times New Roman" w:hAnsi="Times New Roman" w:cs="Times New Roman"/>
          <w:sz w:val="24"/>
          <w:szCs w:val="24"/>
        </w:rPr>
        <w:t>Tajaddod</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Mohammadzadeh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Jallali</w:t>
      </w:r>
      <w:proofErr w:type="spellEnd"/>
      <w:r>
        <w:rPr>
          <w:rFonts w:ascii="Times New Roman" w:eastAsia="Times New Roman" w:hAnsi="Times New Roman" w:cs="Times New Roman"/>
          <w:sz w:val="24"/>
          <w:szCs w:val="24"/>
        </w:rPr>
        <w:t xml:space="preserve">, H., Hejazi, M.A. and </w:t>
      </w:r>
      <w:proofErr w:type="spellStart"/>
      <w:r>
        <w:rPr>
          <w:rFonts w:ascii="Times New Roman" w:eastAsia="Times New Roman" w:hAnsi="Times New Roman" w:cs="Times New Roman"/>
          <w:sz w:val="24"/>
          <w:szCs w:val="24"/>
        </w:rPr>
        <w:t>Zeinalabedini</w:t>
      </w:r>
      <w:proofErr w:type="spellEnd"/>
      <w:r>
        <w:rPr>
          <w:rFonts w:ascii="Times New Roman" w:eastAsia="Times New Roman" w:hAnsi="Times New Roman" w:cs="Times New Roman"/>
          <w:sz w:val="24"/>
          <w:szCs w:val="24"/>
        </w:rPr>
        <w:t xml:space="preserve">, M., 2022. Variability and association among some pomological and physiochemical traits in spring frost tolerant genotypes of Persian walnut (Juglans regia </w:t>
      </w:r>
      <w:r>
        <w:rPr>
          <w:rFonts w:ascii="Times New Roman" w:eastAsia="Times New Roman" w:hAnsi="Times New Roman" w:cs="Times New Roman"/>
          <w:sz w:val="24"/>
          <w:szCs w:val="24"/>
        </w:rPr>
        <w:t>L.) and selection of genotypes with superior traits based on machine learning algorithms. Genetic Resources and Crop Evolution, 69(3), pp.959-971.</w:t>
      </w:r>
    </w:p>
    <w:p w14:paraId="1A53AB5C"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Panse</w:t>
      </w:r>
      <w:proofErr w:type="spellEnd"/>
      <w:r>
        <w:rPr>
          <w:rFonts w:ascii="Times New Roman" w:eastAsia="Times New Roman" w:hAnsi="Times New Roman" w:cs="Times New Roman"/>
          <w:sz w:val="24"/>
          <w:szCs w:val="24"/>
        </w:rPr>
        <w:t xml:space="preserve">, V.G., </w:t>
      </w:r>
      <w:proofErr w:type="spellStart"/>
      <w:r>
        <w:rPr>
          <w:rFonts w:ascii="Times New Roman" w:eastAsia="Times New Roman" w:hAnsi="Times New Roman" w:cs="Times New Roman"/>
          <w:sz w:val="24"/>
          <w:szCs w:val="24"/>
        </w:rPr>
        <w:t>Sukhatme</w:t>
      </w:r>
      <w:proofErr w:type="spellEnd"/>
      <w:r>
        <w:rPr>
          <w:rFonts w:ascii="Times New Roman" w:eastAsia="Times New Roman" w:hAnsi="Times New Roman" w:cs="Times New Roman"/>
          <w:sz w:val="24"/>
          <w:szCs w:val="24"/>
        </w:rPr>
        <w:t>, P.V., 1985. Statistical Methods for Agricultural Workers, 4th ed. ICAR, New Delhi.</w:t>
      </w:r>
    </w:p>
    <w:p w14:paraId="16E1A8F0"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Pol</w:t>
      </w:r>
      <w:r>
        <w:rPr>
          <w:rFonts w:ascii="Times New Roman" w:eastAsia="Times New Roman" w:hAnsi="Times New Roman" w:cs="Times New Roman"/>
          <w:sz w:val="24"/>
          <w:szCs w:val="24"/>
        </w:rPr>
        <w:t>ito</w:t>
      </w:r>
      <w:proofErr w:type="spellEnd"/>
      <w:r>
        <w:rPr>
          <w:rFonts w:ascii="Times New Roman" w:eastAsia="Times New Roman" w:hAnsi="Times New Roman" w:cs="Times New Roman"/>
          <w:sz w:val="24"/>
          <w:szCs w:val="24"/>
        </w:rPr>
        <w:t xml:space="preserve">, V. S., </w:t>
      </w:r>
      <w:proofErr w:type="spellStart"/>
      <w:r>
        <w:rPr>
          <w:rFonts w:ascii="Times New Roman" w:eastAsia="Times New Roman" w:hAnsi="Times New Roman" w:cs="Times New Roman"/>
          <w:sz w:val="24"/>
          <w:szCs w:val="24"/>
        </w:rPr>
        <w:t>Pinney</w:t>
      </w:r>
      <w:proofErr w:type="spellEnd"/>
      <w:r>
        <w:rPr>
          <w:rFonts w:ascii="Times New Roman" w:eastAsia="Times New Roman" w:hAnsi="Times New Roman" w:cs="Times New Roman"/>
          <w:sz w:val="24"/>
          <w:szCs w:val="24"/>
        </w:rPr>
        <w:t xml:space="preserve">, K., &amp; Olson, W. H. (1998). Flowering biology and yield in walnut. </w:t>
      </w:r>
      <w:proofErr w:type="spellStart"/>
      <w:r>
        <w:rPr>
          <w:rFonts w:ascii="Times New Roman" w:eastAsia="Times New Roman" w:hAnsi="Times New Roman" w:cs="Times New Roman"/>
          <w:sz w:val="24"/>
          <w:szCs w:val="24"/>
        </w:rPr>
        <w:t>HortScience</w:t>
      </w:r>
      <w:proofErr w:type="spellEnd"/>
      <w:r>
        <w:rPr>
          <w:rFonts w:ascii="Times New Roman" w:eastAsia="Times New Roman" w:hAnsi="Times New Roman" w:cs="Times New Roman"/>
          <w:sz w:val="24"/>
          <w:szCs w:val="24"/>
        </w:rPr>
        <w:t>, 33, 890–893.</w:t>
      </w:r>
    </w:p>
    <w:p w14:paraId="6A1AC1B9"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Pollegioni</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Woeste</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Olimpieri</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Ducci</w:t>
      </w:r>
      <w:proofErr w:type="spellEnd"/>
      <w:r>
        <w:rPr>
          <w:rFonts w:ascii="Times New Roman" w:eastAsia="Times New Roman" w:hAnsi="Times New Roman" w:cs="Times New Roman"/>
          <w:sz w:val="24"/>
          <w:szCs w:val="24"/>
        </w:rPr>
        <w:t xml:space="preserve">, F. and </w:t>
      </w:r>
      <w:proofErr w:type="spellStart"/>
      <w:r>
        <w:rPr>
          <w:rFonts w:ascii="Times New Roman" w:eastAsia="Times New Roman" w:hAnsi="Times New Roman" w:cs="Times New Roman"/>
          <w:sz w:val="24"/>
          <w:szCs w:val="24"/>
        </w:rPr>
        <w:t>Malvolti</w:t>
      </w:r>
      <w:proofErr w:type="spellEnd"/>
      <w:r>
        <w:rPr>
          <w:rFonts w:ascii="Times New Roman" w:eastAsia="Times New Roman" w:hAnsi="Times New Roman" w:cs="Times New Roman"/>
          <w:sz w:val="24"/>
          <w:szCs w:val="24"/>
        </w:rPr>
        <w:t>, M.E., 2010. Pollen biology and hybridization process: open problem in walnut.</w:t>
      </w:r>
      <w:r>
        <w:rPr>
          <w:rFonts w:ascii="Times New Roman" w:eastAsia="Times New Roman" w:hAnsi="Times New Roman" w:cs="Times New Roman"/>
          <w:sz w:val="24"/>
          <w:szCs w:val="24"/>
        </w:rPr>
        <w:t xml:space="preserve"> Pollen: Structure, Types and Effects. Nova Science Publishers, Hauppauge, New York, pp.65-99.</w:t>
      </w:r>
    </w:p>
    <w:p w14:paraId="1F86BB70"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Sharma, N. and Kumar, A., Factors Affecting Fruit Set, Development and Quality. G (2015): Fundamental of Fruit production, p.98.</w:t>
      </w:r>
    </w:p>
    <w:p w14:paraId="0ED17A61"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Solar, A., </w:t>
      </w:r>
      <w:proofErr w:type="spellStart"/>
      <w:r>
        <w:rPr>
          <w:rFonts w:ascii="Times New Roman" w:eastAsia="Times New Roman" w:hAnsi="Times New Roman" w:cs="Times New Roman"/>
          <w:sz w:val="24"/>
          <w:szCs w:val="24"/>
        </w:rPr>
        <w:t>Stampar</w:t>
      </w:r>
      <w:proofErr w:type="spellEnd"/>
      <w:r>
        <w:rPr>
          <w:rFonts w:ascii="Times New Roman" w:eastAsia="Times New Roman" w:hAnsi="Times New Roman" w:cs="Times New Roman"/>
          <w:sz w:val="24"/>
          <w:szCs w:val="24"/>
        </w:rPr>
        <w:t>, F., 2011. Ch</w:t>
      </w:r>
      <w:r>
        <w:rPr>
          <w:rFonts w:ascii="Times New Roman" w:eastAsia="Times New Roman" w:hAnsi="Times New Roman" w:cs="Times New Roman"/>
          <w:sz w:val="24"/>
          <w:szCs w:val="24"/>
        </w:rPr>
        <w:t xml:space="preserve">aracterisation of walnut cultivars in relation to flowering and yield behaviour. Scientia </w:t>
      </w:r>
      <w:proofErr w:type="spellStart"/>
      <w:r>
        <w:rPr>
          <w:rFonts w:ascii="Times New Roman" w:eastAsia="Times New Roman" w:hAnsi="Times New Roman" w:cs="Times New Roman"/>
          <w:sz w:val="24"/>
          <w:szCs w:val="24"/>
        </w:rPr>
        <w:t>Horticulturae</w:t>
      </w:r>
      <w:proofErr w:type="spellEnd"/>
      <w:r>
        <w:rPr>
          <w:rFonts w:ascii="Times New Roman" w:eastAsia="Times New Roman" w:hAnsi="Times New Roman" w:cs="Times New Roman"/>
          <w:sz w:val="24"/>
          <w:szCs w:val="24"/>
        </w:rPr>
        <w:t xml:space="preserve"> 128, 1–8.</w:t>
      </w:r>
    </w:p>
    <w:p w14:paraId="155081AE"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Soleimani, A., </w:t>
      </w:r>
      <w:proofErr w:type="spellStart"/>
      <w:r>
        <w:rPr>
          <w:rFonts w:ascii="Times New Roman" w:eastAsia="Times New Roman" w:hAnsi="Times New Roman" w:cs="Times New Roman"/>
          <w:sz w:val="24"/>
          <w:szCs w:val="24"/>
        </w:rPr>
        <w:t>Rabiei</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Hassani</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Mozaffari</w:t>
      </w:r>
      <w:proofErr w:type="spellEnd"/>
      <w:r>
        <w:rPr>
          <w:rFonts w:ascii="Times New Roman" w:eastAsia="Times New Roman" w:hAnsi="Times New Roman" w:cs="Times New Roman"/>
          <w:sz w:val="24"/>
          <w:szCs w:val="24"/>
        </w:rPr>
        <w:t xml:space="preserve">, M.R. and </w:t>
      </w:r>
      <w:proofErr w:type="spellStart"/>
      <w:r>
        <w:rPr>
          <w:rFonts w:ascii="Times New Roman" w:eastAsia="Times New Roman" w:hAnsi="Times New Roman" w:cs="Times New Roman"/>
          <w:sz w:val="24"/>
          <w:szCs w:val="24"/>
        </w:rPr>
        <w:t>Dastjerdi</w:t>
      </w:r>
      <w:proofErr w:type="spellEnd"/>
      <w:r>
        <w:rPr>
          <w:rFonts w:ascii="Times New Roman" w:eastAsia="Times New Roman" w:hAnsi="Times New Roman" w:cs="Times New Roman"/>
          <w:sz w:val="24"/>
          <w:szCs w:val="24"/>
        </w:rPr>
        <w:t>, R., 2023. Yield related traits in some Persian walnut cultivars: Analys</w:t>
      </w:r>
      <w:r>
        <w:rPr>
          <w:rFonts w:ascii="Times New Roman" w:eastAsia="Times New Roman" w:hAnsi="Times New Roman" w:cs="Times New Roman"/>
          <w:sz w:val="24"/>
          <w:szCs w:val="24"/>
        </w:rPr>
        <w:t>is of genetic and genetic by environment interaction. Advances in Horticultural Science, 37(4).</w:t>
      </w:r>
    </w:p>
    <w:p w14:paraId="4C8BAAA8"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Soveili</w:t>
      </w:r>
      <w:proofErr w:type="spellEnd"/>
      <w:r>
        <w:rPr>
          <w:rFonts w:ascii="Times New Roman" w:eastAsia="Times New Roman" w:hAnsi="Times New Roman" w:cs="Times New Roman"/>
          <w:sz w:val="24"/>
          <w:szCs w:val="24"/>
        </w:rPr>
        <w:t xml:space="preserve">, S. and </w:t>
      </w:r>
      <w:proofErr w:type="spellStart"/>
      <w:r>
        <w:rPr>
          <w:rFonts w:ascii="Times New Roman" w:eastAsia="Times New Roman" w:hAnsi="Times New Roman" w:cs="Times New Roman"/>
          <w:sz w:val="24"/>
          <w:szCs w:val="24"/>
        </w:rPr>
        <w:t>Khadivi</w:t>
      </w:r>
      <w:proofErr w:type="spellEnd"/>
      <w:r>
        <w:rPr>
          <w:rFonts w:ascii="Times New Roman" w:eastAsia="Times New Roman" w:hAnsi="Times New Roman" w:cs="Times New Roman"/>
          <w:sz w:val="24"/>
          <w:szCs w:val="24"/>
        </w:rPr>
        <w:t>, A., 2023. Selecting the superior late-leafing genotypes of Persian walnut (Juglans regia L.) using morphological and pomological evalua</w:t>
      </w:r>
      <w:r>
        <w:rPr>
          <w:rFonts w:ascii="Times New Roman" w:eastAsia="Times New Roman" w:hAnsi="Times New Roman" w:cs="Times New Roman"/>
          <w:sz w:val="24"/>
          <w:szCs w:val="24"/>
        </w:rPr>
        <w:t>tions. BMC Plant Biology, 23(1), p.379.</w:t>
      </w:r>
    </w:p>
    <w:p w14:paraId="251EBC96"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Szot</w:t>
      </w:r>
      <w:proofErr w:type="spellEnd"/>
      <w:r>
        <w:rPr>
          <w:rFonts w:ascii="Times New Roman" w:eastAsia="Times New Roman" w:hAnsi="Times New Roman" w:cs="Times New Roman"/>
          <w:sz w:val="24"/>
          <w:szCs w:val="24"/>
        </w:rPr>
        <w:t xml:space="preserve">, I. and </w:t>
      </w:r>
      <w:proofErr w:type="spellStart"/>
      <w:r>
        <w:rPr>
          <w:rFonts w:ascii="Times New Roman" w:eastAsia="Times New Roman" w:hAnsi="Times New Roman" w:cs="Times New Roman"/>
          <w:sz w:val="24"/>
          <w:szCs w:val="24"/>
        </w:rPr>
        <w:t>Łysiak</w:t>
      </w:r>
      <w:proofErr w:type="spellEnd"/>
      <w:r>
        <w:rPr>
          <w:rFonts w:ascii="Times New Roman" w:eastAsia="Times New Roman" w:hAnsi="Times New Roman" w:cs="Times New Roman"/>
          <w:sz w:val="24"/>
          <w:szCs w:val="24"/>
        </w:rPr>
        <w:t>, G.P., 2025. Factors Influencing the Formation, Development of Buds, and Flowering of Temperate Fruit Trees. Agriculture, 15(12), p.1304.</w:t>
      </w:r>
    </w:p>
    <w:p w14:paraId="273579E5" w14:textId="77777777" w:rsidR="0039246C" w:rsidRDefault="00902A99">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Vahdati</w:t>
      </w:r>
      <w:proofErr w:type="spellEnd"/>
      <w:r>
        <w:rPr>
          <w:rFonts w:ascii="Times New Roman" w:eastAsia="Times New Roman" w:hAnsi="Times New Roman" w:cs="Times New Roman"/>
          <w:sz w:val="24"/>
          <w:szCs w:val="24"/>
        </w:rPr>
        <w:t xml:space="preserve">, K., Arab, M.M., </w:t>
      </w:r>
      <w:proofErr w:type="spellStart"/>
      <w:r>
        <w:rPr>
          <w:rFonts w:ascii="Times New Roman" w:eastAsia="Times New Roman" w:hAnsi="Times New Roman" w:cs="Times New Roman"/>
          <w:sz w:val="24"/>
          <w:szCs w:val="24"/>
        </w:rPr>
        <w:t>Sarikhani</w:t>
      </w:r>
      <w:proofErr w:type="spellEnd"/>
      <w:r>
        <w:rPr>
          <w:rFonts w:ascii="Times New Roman" w:eastAsia="Times New Roman" w:hAnsi="Times New Roman" w:cs="Times New Roman"/>
          <w:sz w:val="24"/>
          <w:szCs w:val="24"/>
        </w:rPr>
        <w:t>, S., Sadat-Hosseini, M.</w:t>
      </w:r>
      <w:r>
        <w:rPr>
          <w:rFonts w:ascii="Times New Roman" w:eastAsia="Times New Roman" w:hAnsi="Times New Roman" w:cs="Times New Roman"/>
          <w:sz w:val="24"/>
          <w:szCs w:val="24"/>
        </w:rPr>
        <w:t>, Leslie, C.A. and Brown, P.J., 2020. Advances in Persian walnut (Juglans regia L.) breeding strategies. In Advances in Plant Breeding Strategies: Nut and Beverage Crops: Volume 4 (pp. 401-472). Cham: Springer International Publishing.</w:t>
      </w:r>
    </w:p>
    <w:p w14:paraId="499210E5" w14:textId="77777777" w:rsidR="0039246C" w:rsidRDefault="00902A99">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L., Liu, P., </w:t>
      </w:r>
      <w:r>
        <w:rPr>
          <w:rFonts w:ascii="Times New Roman" w:eastAsia="Times New Roman" w:hAnsi="Times New Roman" w:cs="Times New Roman"/>
          <w:sz w:val="24"/>
          <w:szCs w:val="24"/>
        </w:rPr>
        <w:t>Zhao, S., 2021. Source–sink relationships affecting nut development and quality in walnut. Journal of Integrative Agriculture 20, 3125–3134.</w:t>
      </w:r>
    </w:p>
    <w:p w14:paraId="039EFEB5" w14:textId="77777777" w:rsidR="0039246C" w:rsidRDefault="0039246C">
      <w:pPr>
        <w:spacing w:line="360" w:lineRule="auto"/>
        <w:jc w:val="both"/>
        <w:rPr>
          <w:rFonts w:ascii="Times New Roman" w:eastAsia="Times New Roman" w:hAnsi="Times New Roman" w:cs="Times New Roman"/>
          <w:sz w:val="24"/>
          <w:szCs w:val="24"/>
        </w:rPr>
      </w:pPr>
    </w:p>
    <w:sectPr w:rsidR="0039246C">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B8A9B" w14:textId="77777777" w:rsidR="00902A99" w:rsidRDefault="00902A99" w:rsidP="00B9080B">
      <w:pPr>
        <w:spacing w:after="0" w:line="240" w:lineRule="auto"/>
      </w:pPr>
      <w:r>
        <w:separator/>
      </w:r>
    </w:p>
  </w:endnote>
  <w:endnote w:type="continuationSeparator" w:id="0">
    <w:p w14:paraId="566FD7CB" w14:textId="77777777" w:rsidR="00902A99" w:rsidRDefault="00902A99" w:rsidP="00B90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569C85FE-DC15-4AFB-BFB6-EC1ABB426B76}"/>
    <w:embedBold r:id="rId2" w:fontKey="{2120E260-9782-4516-8351-117B921451E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7521E7C-E784-45C4-926D-DCE1AB8D8BEC}"/>
  </w:font>
  <w:font w:name="Cambria">
    <w:panose1 w:val="02040503050406030204"/>
    <w:charset w:val="00"/>
    <w:family w:val="roman"/>
    <w:pitch w:val="variable"/>
    <w:sig w:usb0="E00006FF" w:usb1="420024FF" w:usb2="02000000" w:usb3="00000000" w:csb0="0000019F" w:csb1="00000000"/>
    <w:embedRegular r:id="rId4" w:fontKey="{261549CC-9944-4760-ADC0-B4876623CB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DF5D5" w14:textId="77777777" w:rsidR="00B9080B" w:rsidRDefault="00B908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5DE96" w14:textId="77777777" w:rsidR="00B9080B" w:rsidRDefault="00B908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790EC" w14:textId="77777777" w:rsidR="00B9080B" w:rsidRDefault="00B908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7D9A3" w14:textId="77777777" w:rsidR="00902A99" w:rsidRDefault="00902A99" w:rsidP="00B9080B">
      <w:pPr>
        <w:spacing w:after="0" w:line="240" w:lineRule="auto"/>
      </w:pPr>
      <w:r>
        <w:separator/>
      </w:r>
    </w:p>
  </w:footnote>
  <w:footnote w:type="continuationSeparator" w:id="0">
    <w:p w14:paraId="10E6E1FF" w14:textId="77777777" w:rsidR="00902A99" w:rsidRDefault="00902A99" w:rsidP="00B908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B802" w14:textId="2D34A2A1" w:rsidR="00B9080B" w:rsidRDefault="00B9080B">
    <w:pPr>
      <w:pStyle w:val="Header"/>
    </w:pPr>
    <w:r>
      <w:rPr>
        <w:noProof/>
      </w:rPr>
      <w:pict w14:anchorId="6404F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3202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253C9" w14:textId="44DDAD86" w:rsidR="00B9080B" w:rsidRDefault="00B9080B">
    <w:pPr>
      <w:pStyle w:val="Header"/>
    </w:pPr>
    <w:r>
      <w:rPr>
        <w:noProof/>
      </w:rPr>
      <w:pict w14:anchorId="5CFF2F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3202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60336" w14:textId="30BBDF9C" w:rsidR="00B9080B" w:rsidRDefault="00B9080B">
    <w:pPr>
      <w:pStyle w:val="Header"/>
    </w:pPr>
    <w:r>
      <w:rPr>
        <w:noProof/>
      </w:rPr>
      <w:pict w14:anchorId="630779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3202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46C"/>
    <w:rsid w:val="000276FC"/>
    <w:rsid w:val="0039246C"/>
    <w:rsid w:val="004E0E68"/>
    <w:rsid w:val="00902A99"/>
    <w:rsid w:val="00A87E39"/>
    <w:rsid w:val="00B9080B"/>
    <w:rsid w:val="00C44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70D3AC"/>
  <w15:docId w15:val="{686CAD78-F136-4ECA-BE53-7A22538A9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C44CDC"/>
    <w:rPr>
      <w:color w:val="0000FF" w:themeColor="hyperlink"/>
      <w:u w:val="single"/>
    </w:rPr>
  </w:style>
  <w:style w:type="character" w:styleId="UnresolvedMention">
    <w:name w:val="Unresolved Mention"/>
    <w:basedOn w:val="DefaultParagraphFont"/>
    <w:uiPriority w:val="99"/>
    <w:semiHidden/>
    <w:unhideWhenUsed/>
    <w:rsid w:val="00C44CDC"/>
    <w:rPr>
      <w:color w:val="605E5C"/>
      <w:shd w:val="clear" w:color="auto" w:fill="E1DFDD"/>
    </w:rPr>
  </w:style>
  <w:style w:type="paragraph" w:styleId="Header">
    <w:name w:val="header"/>
    <w:basedOn w:val="Normal"/>
    <w:link w:val="HeaderChar"/>
    <w:uiPriority w:val="99"/>
    <w:unhideWhenUsed/>
    <w:rsid w:val="00B908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80B"/>
  </w:style>
  <w:style w:type="paragraph" w:styleId="Footer">
    <w:name w:val="footer"/>
    <w:basedOn w:val="Normal"/>
    <w:link w:val="FooterChar"/>
    <w:uiPriority w:val="99"/>
    <w:unhideWhenUsed/>
    <w:rsid w:val="00B908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3380</Words>
  <Characters>19270</Characters>
  <Application>Microsoft Office Word</Application>
  <DocSecurity>0</DocSecurity>
  <Lines>160</Lines>
  <Paragraphs>45</Paragraphs>
  <ScaleCrop>false</ScaleCrop>
  <Company/>
  <LinksUpToDate>false</LinksUpToDate>
  <CharactersWithSpaces>22605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2026-01-21T10:26:00Z</dcterms:created>
  <dcterms:modified xsi:type="dcterms:W3CDTF">2026-01-21T13:07:00Z</dcterms:modified>
</cp:coreProperties>
</file>