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84C41" w14:textId="763F9B1D" w:rsidR="00935E23" w:rsidRPr="009529F6" w:rsidRDefault="00256440" w:rsidP="00CD6A7E">
      <w:pPr>
        <w:spacing w:before="120" w:after="120" w:line="360" w:lineRule="auto"/>
        <w:jc w:val="center"/>
        <w:rPr>
          <w:rFonts w:ascii="Arial" w:hAnsi="Arial" w:cs="Arial"/>
          <w:b/>
          <w:bCs/>
          <w:i/>
          <w:iCs/>
          <w:sz w:val="36"/>
          <w:szCs w:val="36"/>
        </w:rPr>
      </w:pPr>
      <w:r w:rsidRPr="009529F6">
        <w:rPr>
          <w:rFonts w:ascii="Arial" w:hAnsi="Arial" w:cs="Arial"/>
          <w:b/>
          <w:bCs/>
          <w:sz w:val="36"/>
          <w:szCs w:val="36"/>
        </w:rPr>
        <w:t xml:space="preserve">Phytochemical </w:t>
      </w:r>
      <w:r w:rsidR="00830381" w:rsidRPr="009529F6">
        <w:rPr>
          <w:rFonts w:ascii="Arial" w:hAnsi="Arial" w:cs="Arial"/>
          <w:b/>
          <w:bCs/>
          <w:sz w:val="36"/>
          <w:szCs w:val="36"/>
        </w:rPr>
        <w:t>c</w:t>
      </w:r>
      <w:r w:rsidRPr="009529F6">
        <w:rPr>
          <w:rFonts w:ascii="Arial" w:hAnsi="Arial" w:cs="Arial"/>
          <w:b/>
          <w:bCs/>
          <w:sz w:val="36"/>
          <w:szCs w:val="36"/>
        </w:rPr>
        <w:t xml:space="preserve">omposition and </w:t>
      </w:r>
      <w:r w:rsidR="00830381" w:rsidRPr="009529F6">
        <w:rPr>
          <w:rFonts w:ascii="Arial" w:hAnsi="Arial" w:cs="Arial"/>
          <w:b/>
          <w:bCs/>
          <w:sz w:val="36"/>
          <w:szCs w:val="36"/>
        </w:rPr>
        <w:t>i</w:t>
      </w:r>
      <w:r w:rsidRPr="009529F6">
        <w:rPr>
          <w:rFonts w:ascii="Arial" w:hAnsi="Arial" w:cs="Arial"/>
          <w:b/>
          <w:bCs/>
          <w:sz w:val="36"/>
          <w:szCs w:val="36"/>
        </w:rPr>
        <w:t xml:space="preserve">n </w:t>
      </w:r>
      <w:r w:rsidR="00830381" w:rsidRPr="009529F6">
        <w:rPr>
          <w:rFonts w:ascii="Arial" w:hAnsi="Arial" w:cs="Arial"/>
          <w:b/>
          <w:bCs/>
          <w:sz w:val="36"/>
          <w:szCs w:val="36"/>
        </w:rPr>
        <w:t>v</w:t>
      </w:r>
      <w:r w:rsidRPr="009529F6">
        <w:rPr>
          <w:rFonts w:ascii="Arial" w:hAnsi="Arial" w:cs="Arial"/>
          <w:b/>
          <w:bCs/>
          <w:sz w:val="36"/>
          <w:szCs w:val="36"/>
        </w:rPr>
        <w:t xml:space="preserve">itro </w:t>
      </w:r>
      <w:r w:rsidR="00830381" w:rsidRPr="009529F6">
        <w:rPr>
          <w:rFonts w:ascii="Arial" w:hAnsi="Arial" w:cs="Arial"/>
          <w:b/>
          <w:bCs/>
          <w:sz w:val="36"/>
          <w:szCs w:val="36"/>
        </w:rPr>
        <w:t>a</w:t>
      </w:r>
      <w:r w:rsidRPr="009529F6">
        <w:rPr>
          <w:rFonts w:ascii="Arial" w:hAnsi="Arial" w:cs="Arial"/>
          <w:b/>
          <w:bCs/>
          <w:i/>
          <w:iCs/>
          <w:sz w:val="36"/>
          <w:szCs w:val="36"/>
        </w:rPr>
        <w:t>ntibacteri</w:t>
      </w:r>
      <w:r w:rsidRPr="009529F6">
        <w:rPr>
          <w:rFonts w:ascii="Arial" w:hAnsi="Arial" w:cs="Arial"/>
          <w:b/>
          <w:bCs/>
          <w:sz w:val="36"/>
          <w:szCs w:val="36"/>
        </w:rPr>
        <w:t xml:space="preserve">al </w:t>
      </w:r>
      <w:r w:rsidR="00830381" w:rsidRPr="009529F6">
        <w:rPr>
          <w:rFonts w:ascii="Arial" w:hAnsi="Arial" w:cs="Arial"/>
          <w:b/>
          <w:bCs/>
          <w:sz w:val="36"/>
          <w:szCs w:val="36"/>
        </w:rPr>
        <w:t>a</w:t>
      </w:r>
      <w:r w:rsidRPr="009529F6">
        <w:rPr>
          <w:rFonts w:ascii="Arial" w:hAnsi="Arial" w:cs="Arial"/>
          <w:b/>
          <w:bCs/>
          <w:sz w:val="36"/>
          <w:szCs w:val="36"/>
        </w:rPr>
        <w:t xml:space="preserve">ctivity </w:t>
      </w:r>
      <w:r w:rsidR="009529F6" w:rsidRPr="009529F6">
        <w:rPr>
          <w:rFonts w:ascii="Arial" w:hAnsi="Arial" w:cs="Arial"/>
          <w:b/>
          <w:bCs/>
          <w:sz w:val="36"/>
          <w:szCs w:val="36"/>
        </w:rPr>
        <w:t xml:space="preserve">of Ethanolic </w:t>
      </w:r>
      <w:r w:rsidRPr="009529F6">
        <w:rPr>
          <w:rFonts w:ascii="Arial" w:hAnsi="Arial" w:cs="Arial"/>
          <w:b/>
          <w:bCs/>
          <w:sz w:val="36"/>
          <w:szCs w:val="36"/>
        </w:rPr>
        <w:t xml:space="preserve">Extracts of </w:t>
      </w:r>
      <w:r w:rsidR="00C07121" w:rsidRPr="009529F6">
        <w:rPr>
          <w:rStyle w:val="Emphasis"/>
          <w:rFonts w:ascii="Arial" w:hAnsi="Arial" w:cs="Arial"/>
          <w:b/>
          <w:bCs/>
          <w:sz w:val="36"/>
          <w:szCs w:val="36"/>
        </w:rPr>
        <w:t>Psidium guajava</w:t>
      </w:r>
      <w:r w:rsidR="00C07121" w:rsidRPr="009529F6">
        <w:rPr>
          <w:rFonts w:ascii="Arial" w:hAnsi="Arial" w:cs="Arial"/>
          <w:b/>
          <w:bCs/>
          <w:sz w:val="36"/>
          <w:szCs w:val="36"/>
        </w:rPr>
        <w:t xml:space="preserve"> leaves extract </w:t>
      </w:r>
      <w:r w:rsidR="00830381" w:rsidRPr="009529F6">
        <w:rPr>
          <w:rFonts w:ascii="Arial" w:hAnsi="Arial" w:cs="Arial"/>
          <w:b/>
          <w:bCs/>
          <w:sz w:val="36"/>
          <w:szCs w:val="36"/>
        </w:rPr>
        <w:t>a</w:t>
      </w:r>
      <w:r w:rsidRPr="009529F6">
        <w:rPr>
          <w:rFonts w:ascii="Arial" w:hAnsi="Arial" w:cs="Arial"/>
          <w:b/>
          <w:bCs/>
          <w:sz w:val="36"/>
          <w:szCs w:val="36"/>
        </w:rPr>
        <w:t xml:space="preserve">gainst </w:t>
      </w:r>
      <w:r w:rsidRPr="009529F6">
        <w:rPr>
          <w:rFonts w:ascii="Arial" w:hAnsi="Arial" w:cs="Arial"/>
          <w:b/>
          <w:bCs/>
          <w:i/>
          <w:iCs/>
          <w:sz w:val="36"/>
          <w:szCs w:val="36"/>
        </w:rPr>
        <w:t>Vibrio parahaemolyticus</w:t>
      </w:r>
    </w:p>
    <w:p w14:paraId="4FF58631" w14:textId="77777777" w:rsidR="00CD6A7E" w:rsidRPr="009529F6" w:rsidRDefault="00CD6A7E" w:rsidP="00CD6A7E">
      <w:pPr>
        <w:spacing w:before="120" w:after="120" w:line="360" w:lineRule="auto"/>
        <w:jc w:val="center"/>
        <w:rPr>
          <w:rFonts w:ascii="Arial" w:hAnsi="Arial" w:cs="Arial"/>
          <w:b/>
          <w:bCs/>
          <w:i/>
          <w:iCs/>
        </w:rPr>
      </w:pPr>
    </w:p>
    <w:p w14:paraId="0D515160" w14:textId="454FCC51" w:rsidR="00256440" w:rsidRPr="008126FD" w:rsidRDefault="00256440" w:rsidP="00606B87">
      <w:pPr>
        <w:spacing w:before="120" w:after="120" w:line="360" w:lineRule="auto"/>
        <w:rPr>
          <w:rFonts w:ascii="Arial" w:hAnsi="Arial" w:cs="Arial"/>
          <w:b/>
          <w:bCs/>
          <w:caps/>
          <w:sz w:val="22"/>
          <w:szCs w:val="22"/>
        </w:rPr>
      </w:pPr>
      <w:r w:rsidRPr="008126FD">
        <w:rPr>
          <w:rFonts w:ascii="Arial" w:hAnsi="Arial" w:cs="Arial"/>
          <w:b/>
          <w:bCs/>
          <w:caps/>
          <w:sz w:val="22"/>
          <w:szCs w:val="22"/>
        </w:rPr>
        <w:t>Abstract</w:t>
      </w:r>
    </w:p>
    <w:p w14:paraId="095559DF" w14:textId="77777777" w:rsidR="00CD6A7E" w:rsidRPr="008126FD" w:rsidRDefault="00CD6A7E" w:rsidP="00CD6A7E">
      <w:pPr>
        <w:spacing w:before="120" w:after="120" w:line="360" w:lineRule="auto"/>
        <w:jc w:val="both"/>
        <w:rPr>
          <w:rFonts w:ascii="Arial" w:hAnsi="Arial" w:cs="Arial"/>
        </w:rPr>
      </w:pPr>
      <w:r w:rsidRPr="008126FD">
        <w:rPr>
          <w:rFonts w:ascii="Arial" w:hAnsi="Arial" w:cs="Arial"/>
          <w:b/>
          <w:bCs/>
        </w:rPr>
        <w:t>Aims:</w:t>
      </w:r>
      <w:r w:rsidRPr="008126FD">
        <w:rPr>
          <w:rFonts w:ascii="Arial" w:hAnsi="Arial" w:cs="Arial"/>
        </w:rPr>
        <w:t xml:space="preserve"> This study was designed to evaluate the phytochemical composition and antibacterial activity of </w:t>
      </w:r>
      <w:r w:rsidRPr="008126FD">
        <w:rPr>
          <w:rFonts w:ascii="Arial" w:hAnsi="Arial" w:cs="Arial"/>
          <w:i/>
          <w:iCs/>
        </w:rPr>
        <w:t>Psidium guajava</w:t>
      </w:r>
      <w:r w:rsidRPr="008126FD">
        <w:rPr>
          <w:rFonts w:ascii="Arial" w:hAnsi="Arial" w:cs="Arial"/>
        </w:rPr>
        <w:t xml:space="preserve"> leaf extracts against </w:t>
      </w:r>
      <w:r w:rsidRPr="008126FD">
        <w:rPr>
          <w:rFonts w:ascii="Arial" w:hAnsi="Arial" w:cs="Arial"/>
          <w:i/>
          <w:iCs/>
        </w:rPr>
        <w:t>Vibrio parahaemolyticus</w:t>
      </w:r>
      <w:r w:rsidRPr="008126FD">
        <w:rPr>
          <w:rFonts w:ascii="Arial" w:hAnsi="Arial" w:cs="Arial"/>
        </w:rPr>
        <w:t xml:space="preserve">, </w:t>
      </w:r>
    </w:p>
    <w:p w14:paraId="5363CC8D" w14:textId="30F1A4DA" w:rsidR="00CD6A7E" w:rsidRPr="008126FD" w:rsidRDefault="00CD6A7E" w:rsidP="00CD6A7E">
      <w:pPr>
        <w:spacing w:before="120" w:after="120" w:line="360" w:lineRule="auto"/>
        <w:jc w:val="both"/>
        <w:rPr>
          <w:rFonts w:ascii="Arial" w:hAnsi="Arial" w:cs="Arial"/>
        </w:rPr>
      </w:pPr>
      <w:r w:rsidRPr="008126FD">
        <w:rPr>
          <w:rFonts w:ascii="Arial" w:hAnsi="Arial" w:cs="Arial"/>
          <w:b/>
          <w:bCs/>
        </w:rPr>
        <w:t>Place and Duration of Study:</w:t>
      </w:r>
      <w:r w:rsidRPr="008126FD">
        <w:rPr>
          <w:rFonts w:ascii="Arial" w:hAnsi="Arial" w:cs="Arial"/>
        </w:rPr>
        <w:t xml:space="preserve"> The study was conducted in the Department of Aquaculture, College of Fisheries Science, Kamdhenu University, Veraval during April 2024 to May 2024</w:t>
      </w:r>
    </w:p>
    <w:p w14:paraId="780A7746" w14:textId="77777777" w:rsidR="00CD6A7E" w:rsidRPr="008126FD" w:rsidRDefault="00CD6A7E" w:rsidP="00CD6A7E">
      <w:pPr>
        <w:spacing w:before="120" w:after="120" w:line="360" w:lineRule="auto"/>
        <w:jc w:val="both"/>
        <w:rPr>
          <w:rFonts w:ascii="Arial" w:hAnsi="Arial" w:cs="Arial"/>
        </w:rPr>
      </w:pPr>
      <w:r w:rsidRPr="008126FD">
        <w:rPr>
          <w:rFonts w:ascii="Arial" w:hAnsi="Arial" w:cs="Arial"/>
          <w:b/>
          <w:bCs/>
        </w:rPr>
        <w:t>Methodology:</w:t>
      </w:r>
      <w:r w:rsidRPr="008126FD">
        <w:rPr>
          <w:rFonts w:ascii="Arial" w:hAnsi="Arial" w:cs="Arial"/>
        </w:rPr>
        <w:t xml:space="preserve"> Fresh leaves of </w:t>
      </w:r>
      <w:r w:rsidRPr="008126FD">
        <w:rPr>
          <w:rFonts w:ascii="Arial" w:hAnsi="Arial" w:cs="Arial"/>
          <w:i/>
          <w:iCs/>
        </w:rPr>
        <w:t>P. guajava</w:t>
      </w:r>
      <w:r w:rsidRPr="008126FD">
        <w:rPr>
          <w:rFonts w:ascii="Arial" w:hAnsi="Arial" w:cs="Arial"/>
        </w:rPr>
        <w:t xml:space="preserve"> were collected, cleaned, shade-dried, and processed for extraction using ethanol as the solvent. Qualitative phytochemical screening was carried out to identify major bioactive compounds present in the extracts. Antibacterial activity was evaluated using the disc diffusion method against </w:t>
      </w:r>
      <w:r w:rsidRPr="008126FD">
        <w:rPr>
          <w:rFonts w:ascii="Arial" w:hAnsi="Arial" w:cs="Arial"/>
          <w:i/>
          <w:iCs/>
        </w:rPr>
        <w:t>V. parahaemolyticus</w:t>
      </w:r>
      <w:r w:rsidRPr="008126FD">
        <w:rPr>
          <w:rFonts w:ascii="Arial" w:hAnsi="Arial" w:cs="Arial"/>
        </w:rPr>
        <w:t>. Inhibition zones were measured at different extract concentrations to assess antibacterial efficacy and dose-dependent responses.</w:t>
      </w:r>
    </w:p>
    <w:p w14:paraId="445F5A80" w14:textId="12FF4176" w:rsidR="00CD6A7E" w:rsidRPr="008126FD" w:rsidRDefault="00CD6A7E" w:rsidP="00CD6A7E">
      <w:pPr>
        <w:spacing w:before="120" w:after="120" w:line="360" w:lineRule="auto"/>
        <w:jc w:val="both"/>
        <w:rPr>
          <w:rFonts w:ascii="Arial" w:hAnsi="Arial" w:cs="Arial"/>
        </w:rPr>
      </w:pPr>
      <w:r w:rsidRPr="008126FD">
        <w:rPr>
          <w:rFonts w:ascii="Arial" w:hAnsi="Arial" w:cs="Arial"/>
          <w:b/>
          <w:bCs/>
        </w:rPr>
        <w:t>Results:</w:t>
      </w:r>
      <w:r w:rsidRPr="008126FD">
        <w:rPr>
          <w:rFonts w:ascii="Arial" w:hAnsi="Arial" w:cs="Arial"/>
        </w:rPr>
        <w:t xml:space="preserve"> Phytochemical analysis revealed the presence of flavonoids, phenolics, tannins, saponins, terpenoids, and alkaloids in the guava leaf extracts. The ethanolic extracts exhibited clear antibacterial activity against </w:t>
      </w:r>
      <w:r w:rsidRPr="008126FD">
        <w:rPr>
          <w:rFonts w:ascii="Arial" w:hAnsi="Arial" w:cs="Arial"/>
          <w:i/>
          <w:iCs/>
        </w:rPr>
        <w:t>V. parahaemolyticus</w:t>
      </w:r>
      <w:r w:rsidRPr="008126FD">
        <w:rPr>
          <w:rFonts w:ascii="Arial" w:hAnsi="Arial" w:cs="Arial"/>
        </w:rPr>
        <w:t xml:space="preserve">, with inhibition zones increasing proportionally with extract concentration, indicating a dose-dependent effect. </w:t>
      </w:r>
    </w:p>
    <w:p w14:paraId="0D26E657" w14:textId="77777777" w:rsidR="00CD6A7E" w:rsidRPr="008126FD" w:rsidRDefault="00CD6A7E" w:rsidP="00CD6A7E">
      <w:pPr>
        <w:spacing w:before="120" w:after="120" w:line="360" w:lineRule="auto"/>
        <w:jc w:val="both"/>
        <w:rPr>
          <w:rFonts w:ascii="Arial" w:hAnsi="Arial" w:cs="Arial"/>
        </w:rPr>
      </w:pPr>
      <w:r w:rsidRPr="008126FD">
        <w:rPr>
          <w:rFonts w:ascii="Arial" w:hAnsi="Arial" w:cs="Arial"/>
          <w:b/>
          <w:bCs/>
        </w:rPr>
        <w:t>Conclusion:</w:t>
      </w:r>
      <w:r w:rsidRPr="008126FD">
        <w:rPr>
          <w:rFonts w:ascii="Arial" w:hAnsi="Arial" w:cs="Arial"/>
        </w:rPr>
        <w:t xml:space="preserve"> These results highlight the potential application of guava leaves as eco-friendly, natural antimicrobial agents for managing </w:t>
      </w:r>
      <w:r w:rsidRPr="008126FD">
        <w:rPr>
          <w:rFonts w:ascii="Arial" w:hAnsi="Arial" w:cs="Arial"/>
          <w:i/>
          <w:iCs/>
        </w:rPr>
        <w:t>Vibrio</w:t>
      </w:r>
      <w:r w:rsidRPr="008126FD">
        <w:rPr>
          <w:rFonts w:ascii="Arial" w:hAnsi="Arial" w:cs="Arial"/>
        </w:rPr>
        <w:t>-related infections in aquaculture systems and reducing dependence on synthetic antibiotics.</w:t>
      </w:r>
    </w:p>
    <w:p w14:paraId="27E41ED9" w14:textId="77777777" w:rsidR="00CD6A7E" w:rsidRPr="008126FD" w:rsidRDefault="00CD6A7E" w:rsidP="00CD6A7E">
      <w:pPr>
        <w:spacing w:before="120" w:after="120" w:line="360" w:lineRule="auto"/>
        <w:jc w:val="both"/>
        <w:rPr>
          <w:rFonts w:ascii="Arial" w:hAnsi="Arial" w:cs="Arial"/>
        </w:rPr>
      </w:pPr>
      <w:r w:rsidRPr="009529F6">
        <w:rPr>
          <w:rFonts w:ascii="Arial" w:hAnsi="Arial" w:cs="Arial"/>
          <w:b/>
          <w:bCs/>
          <w:i/>
          <w:iCs/>
        </w:rPr>
        <w:t>Keywords</w:t>
      </w:r>
      <w:r w:rsidRPr="009529F6">
        <w:rPr>
          <w:rFonts w:ascii="Arial" w:hAnsi="Arial" w:cs="Arial"/>
          <w:b/>
          <w:bCs/>
        </w:rPr>
        <w:t>:</w:t>
      </w:r>
      <w:r w:rsidRPr="008126FD">
        <w:rPr>
          <w:rFonts w:ascii="Arial" w:hAnsi="Arial" w:cs="Arial"/>
        </w:rPr>
        <w:t xml:space="preserve"> </w:t>
      </w:r>
      <w:r w:rsidRPr="008126FD">
        <w:rPr>
          <w:rFonts w:ascii="Arial" w:hAnsi="Arial" w:cs="Arial"/>
          <w:i/>
          <w:iCs/>
        </w:rPr>
        <w:t>Phytochemicals, antibacterial activity, aquaculture, antibiotics</w:t>
      </w:r>
    </w:p>
    <w:p w14:paraId="6E7CE6AA" w14:textId="4BE1D057" w:rsidR="00F91613" w:rsidRPr="008126FD" w:rsidRDefault="00F91613" w:rsidP="00CD6A7E">
      <w:pPr>
        <w:pStyle w:val="ListParagraph"/>
        <w:numPr>
          <w:ilvl w:val="0"/>
          <w:numId w:val="17"/>
        </w:numPr>
        <w:spacing w:before="120" w:after="120" w:line="360" w:lineRule="auto"/>
        <w:ind w:left="270" w:hanging="270"/>
        <w:rPr>
          <w:rFonts w:ascii="Arial" w:hAnsi="Arial" w:cs="Arial"/>
          <w:b/>
          <w:bCs/>
        </w:rPr>
      </w:pPr>
      <w:r w:rsidRPr="008126FD">
        <w:rPr>
          <w:rFonts w:ascii="Arial" w:hAnsi="Arial" w:cs="Arial"/>
          <w:b/>
          <w:bCs/>
          <w:caps/>
        </w:rPr>
        <w:t>Introduction</w:t>
      </w:r>
    </w:p>
    <w:p w14:paraId="79240A73" w14:textId="01A71D80" w:rsidR="004A649F" w:rsidRPr="008126FD" w:rsidRDefault="004A649F" w:rsidP="001F247F">
      <w:pPr>
        <w:pStyle w:val="NormalWeb"/>
        <w:spacing w:before="120" w:beforeAutospacing="0" w:after="120" w:afterAutospacing="0" w:line="360" w:lineRule="auto"/>
        <w:ind w:firstLine="720"/>
        <w:jc w:val="both"/>
        <w:rPr>
          <w:rFonts w:ascii="Arial" w:hAnsi="Arial" w:cs="Arial"/>
        </w:rPr>
      </w:pPr>
      <w:r w:rsidRPr="008126FD">
        <w:rPr>
          <w:rFonts w:ascii="Arial" w:hAnsi="Arial" w:cs="Arial"/>
        </w:rPr>
        <w:t xml:space="preserve">Plant materials have always been and still are the most important sources of remedies having the potential to cure or at least alleviate the symptoms of life-threatening </w:t>
      </w:r>
      <w:r w:rsidRPr="008126FD">
        <w:rPr>
          <w:rFonts w:ascii="Arial" w:hAnsi="Arial" w:cs="Arial"/>
        </w:rPr>
        <w:lastRenderedPageBreak/>
        <w:t>diseases. Among them, traditional systems of medicine based on the use of plant material not only play but also remain the mainstay in providing primary healthcare to the poorer sections of the population in the Third World (</w:t>
      </w:r>
      <w:r w:rsidRPr="008126FD">
        <w:rPr>
          <w:rStyle w:val="Strong"/>
          <w:rFonts w:ascii="Arial" w:eastAsiaTheme="majorEastAsia" w:hAnsi="Arial" w:cs="Arial"/>
          <w:b w:val="0"/>
          <w:bCs w:val="0"/>
        </w:rPr>
        <w:t>Zaynab et al. 2018; Barbosa et al. 2012</w:t>
      </w:r>
      <w:r w:rsidRPr="008126FD">
        <w:rPr>
          <w:rFonts w:ascii="Arial" w:hAnsi="Arial" w:cs="Arial"/>
        </w:rPr>
        <w:t>).</w:t>
      </w:r>
    </w:p>
    <w:p w14:paraId="327CCE0A" w14:textId="77777777" w:rsidR="009529F6" w:rsidRDefault="004A649F" w:rsidP="001F247F">
      <w:pPr>
        <w:pStyle w:val="NormalWeb"/>
        <w:spacing w:before="120" w:beforeAutospacing="0" w:after="120" w:afterAutospacing="0" w:line="360" w:lineRule="auto"/>
        <w:ind w:firstLine="720"/>
        <w:jc w:val="both"/>
        <w:rPr>
          <w:rFonts w:ascii="Arial" w:hAnsi="Arial" w:cs="Arial"/>
        </w:rPr>
      </w:pPr>
      <w:r w:rsidRPr="008126FD">
        <w:rPr>
          <w:rFonts w:ascii="Arial" w:hAnsi="Arial" w:cs="Arial"/>
        </w:rPr>
        <w:t>Phytotherapy has been practiced since the early periods of civilization, and different parts of the plants such as bark, leaves, flowers, roots, fruits, and seeds are being used to prepare herbal medicine (</w:t>
      </w:r>
      <w:r w:rsidRPr="008126FD">
        <w:rPr>
          <w:rStyle w:val="Strong"/>
          <w:rFonts w:ascii="Arial" w:eastAsiaTheme="majorEastAsia" w:hAnsi="Arial" w:cs="Arial"/>
          <w:b w:val="0"/>
          <w:bCs w:val="0"/>
        </w:rPr>
        <w:t>Ferreira et al. 2014</w:t>
      </w:r>
      <w:r w:rsidRPr="008126FD">
        <w:rPr>
          <w:rFonts w:ascii="Arial" w:hAnsi="Arial" w:cs="Arial"/>
        </w:rPr>
        <w:t>). The chemical constituents of the plants must therefore be known, as such knowledge is not only their support for therapeutic use but also their orderly and easier development of modern-day bioactive compounds (</w:t>
      </w:r>
      <w:proofErr w:type="spellStart"/>
      <w:r w:rsidRPr="008126FD">
        <w:rPr>
          <w:rStyle w:val="Strong"/>
          <w:rFonts w:ascii="Arial" w:eastAsiaTheme="majorEastAsia" w:hAnsi="Arial" w:cs="Arial"/>
          <w:b w:val="0"/>
          <w:bCs w:val="0"/>
        </w:rPr>
        <w:t>Edeoga</w:t>
      </w:r>
      <w:proofErr w:type="spellEnd"/>
      <w:r w:rsidRPr="008126FD">
        <w:rPr>
          <w:rStyle w:val="Strong"/>
          <w:rFonts w:ascii="Arial" w:eastAsiaTheme="majorEastAsia" w:hAnsi="Arial" w:cs="Arial"/>
          <w:b w:val="0"/>
          <w:bCs w:val="0"/>
        </w:rPr>
        <w:t xml:space="preserve"> et al. 2005</w:t>
      </w:r>
      <w:r w:rsidRPr="008126FD">
        <w:rPr>
          <w:rFonts w:ascii="Arial" w:hAnsi="Arial" w:cs="Arial"/>
        </w:rPr>
        <w:t>). The medicinal plants have ability to cure diseases has long been linked to the presence of a large variety of phytochemicals like alkaloids, flavonoids, tannins, saponins, and phenolic compounds (</w:t>
      </w:r>
      <w:r w:rsidRPr="008126FD">
        <w:rPr>
          <w:rStyle w:val="Strong"/>
          <w:rFonts w:ascii="Arial" w:eastAsiaTheme="majorEastAsia" w:hAnsi="Arial" w:cs="Arial"/>
          <w:b w:val="0"/>
          <w:bCs w:val="0"/>
        </w:rPr>
        <w:t xml:space="preserve">Yadav &amp; </w:t>
      </w:r>
      <w:proofErr w:type="spellStart"/>
      <w:r w:rsidRPr="008126FD">
        <w:rPr>
          <w:rStyle w:val="Strong"/>
          <w:rFonts w:ascii="Arial" w:eastAsiaTheme="majorEastAsia" w:hAnsi="Arial" w:cs="Arial"/>
          <w:b w:val="0"/>
          <w:bCs w:val="0"/>
        </w:rPr>
        <w:t>Agarwala</w:t>
      </w:r>
      <w:proofErr w:type="spellEnd"/>
      <w:r w:rsidRPr="008126FD">
        <w:rPr>
          <w:rStyle w:val="Strong"/>
          <w:rFonts w:ascii="Arial" w:eastAsiaTheme="majorEastAsia" w:hAnsi="Arial" w:cs="Arial"/>
          <w:b w:val="0"/>
          <w:bCs w:val="0"/>
        </w:rPr>
        <w:t xml:space="preserve">, 2011; </w:t>
      </w:r>
      <w:proofErr w:type="spellStart"/>
      <w:r w:rsidRPr="008126FD">
        <w:rPr>
          <w:rStyle w:val="Strong"/>
          <w:rFonts w:ascii="Arial" w:eastAsiaTheme="majorEastAsia" w:hAnsi="Arial" w:cs="Arial"/>
          <w:b w:val="0"/>
          <w:bCs w:val="0"/>
        </w:rPr>
        <w:t>Brielmann</w:t>
      </w:r>
      <w:proofErr w:type="spellEnd"/>
      <w:r w:rsidRPr="008126FD">
        <w:rPr>
          <w:rStyle w:val="Strong"/>
          <w:rFonts w:ascii="Arial" w:eastAsiaTheme="majorEastAsia" w:hAnsi="Arial" w:cs="Arial"/>
          <w:b w:val="0"/>
          <w:bCs w:val="0"/>
        </w:rPr>
        <w:t xml:space="preserve"> et al. 2006</w:t>
      </w:r>
      <w:r w:rsidRPr="008126FD">
        <w:rPr>
          <w:rFonts w:ascii="Arial" w:hAnsi="Arial" w:cs="Arial"/>
        </w:rPr>
        <w:t>). These compounds also responsible for a wide range of biological activities (such as, for example, anti-bacterial, antioxidant, anti-inflammatory, and immunomodulatory effects) (</w:t>
      </w:r>
      <w:r w:rsidRPr="008126FD">
        <w:rPr>
          <w:rStyle w:val="Strong"/>
          <w:rFonts w:ascii="Arial" w:eastAsiaTheme="majorEastAsia" w:hAnsi="Arial" w:cs="Arial"/>
          <w:b w:val="0"/>
          <w:bCs w:val="0"/>
        </w:rPr>
        <w:t>Shin et al. 2020</w:t>
      </w:r>
      <w:r w:rsidRPr="008126FD">
        <w:rPr>
          <w:rFonts w:ascii="Arial" w:hAnsi="Arial" w:cs="Arial"/>
        </w:rPr>
        <w:t xml:space="preserve">). </w:t>
      </w:r>
    </w:p>
    <w:p w14:paraId="76B1E851" w14:textId="44D4CB01" w:rsidR="004A649F" w:rsidRPr="008126FD" w:rsidRDefault="004A649F" w:rsidP="001F247F">
      <w:pPr>
        <w:pStyle w:val="NormalWeb"/>
        <w:spacing w:before="120" w:beforeAutospacing="0" w:after="120" w:afterAutospacing="0" w:line="360" w:lineRule="auto"/>
        <w:ind w:firstLine="720"/>
        <w:jc w:val="both"/>
        <w:rPr>
          <w:rFonts w:ascii="Arial" w:hAnsi="Arial" w:cs="Arial"/>
        </w:rPr>
      </w:pPr>
      <w:r w:rsidRPr="008126FD">
        <w:rPr>
          <w:rFonts w:ascii="Arial" w:hAnsi="Arial" w:cs="Arial"/>
        </w:rPr>
        <w:t>A number of phytochemicals do bacteria harm by damaging the bacterial cell surface, interfering with the functioning of the necessary enzymes, or getting in the way of the synthesis of the bacteria's nucleic acids, thus effectively killing the pathogens. Phytochemical screening, therefore, is an indispensable part of the process of finding out and understanding the biological activities of the active constituents and their mechanisms (</w:t>
      </w:r>
      <w:r w:rsidRPr="008126FD">
        <w:rPr>
          <w:rStyle w:val="Strong"/>
          <w:rFonts w:ascii="Arial" w:eastAsiaTheme="majorEastAsia" w:hAnsi="Arial" w:cs="Arial"/>
          <w:b w:val="0"/>
          <w:bCs w:val="0"/>
        </w:rPr>
        <w:t>D</w:t>
      </w:r>
      <w:r w:rsidR="00CF5713" w:rsidRPr="008126FD">
        <w:rPr>
          <w:rStyle w:val="Strong"/>
          <w:rFonts w:ascii="Arial" w:eastAsiaTheme="majorEastAsia" w:hAnsi="Arial" w:cs="Arial"/>
          <w:b w:val="0"/>
          <w:bCs w:val="0"/>
        </w:rPr>
        <w:t>i</w:t>
      </w:r>
      <w:r w:rsidRPr="008126FD">
        <w:rPr>
          <w:rStyle w:val="Strong"/>
          <w:rFonts w:ascii="Arial" w:eastAsiaTheme="majorEastAsia" w:hAnsi="Arial" w:cs="Arial"/>
          <w:b w:val="0"/>
          <w:bCs w:val="0"/>
        </w:rPr>
        <w:t>az-Puertas et al. 2023</w:t>
      </w:r>
      <w:r w:rsidRPr="008126FD">
        <w:rPr>
          <w:rFonts w:ascii="Arial" w:hAnsi="Arial" w:cs="Arial"/>
        </w:rPr>
        <w:t>).</w:t>
      </w:r>
    </w:p>
    <w:p w14:paraId="53039EF2" w14:textId="00439BCB" w:rsidR="00C07121" w:rsidRPr="008126FD" w:rsidRDefault="00C07121" w:rsidP="00C07121">
      <w:pPr>
        <w:spacing w:before="120" w:after="120" w:line="360" w:lineRule="auto"/>
        <w:ind w:firstLine="720"/>
        <w:jc w:val="both"/>
        <w:rPr>
          <w:rFonts w:ascii="Arial" w:hAnsi="Arial" w:cs="Arial"/>
          <w:color w:val="000000" w:themeColor="text1"/>
        </w:rPr>
      </w:pPr>
      <w:r w:rsidRPr="008126FD">
        <w:rPr>
          <w:rFonts w:ascii="Arial" w:hAnsi="Arial" w:cs="Arial"/>
          <w:i/>
          <w:iCs/>
          <w:color w:val="000000" w:themeColor="text1"/>
        </w:rPr>
        <w:t>Psidium guajava L.</w:t>
      </w:r>
      <w:r w:rsidRPr="008126FD">
        <w:rPr>
          <w:rFonts w:ascii="Arial" w:hAnsi="Arial" w:cs="Arial"/>
          <w:color w:val="000000" w:themeColor="text1"/>
        </w:rPr>
        <w:t xml:space="preserve"> (guava) is a well-known medicinal plant widely distributed throughout Asia.  Guava leaves contain many bioactive compounds including antimutagenic and antioxidants, such as essential oils, phenols, flavonoids, saponins, quercetin, phytosterol and polysaccharide (Biu et al. 2009). The major chemical compounds found in guava leaf are β-caryophyllene, selin-7(11)-en-4α-</w:t>
      </w:r>
      <w:proofErr w:type="spellStart"/>
      <w:r w:rsidRPr="008126FD">
        <w:rPr>
          <w:rFonts w:ascii="Arial" w:hAnsi="Arial" w:cs="Arial"/>
          <w:color w:val="000000" w:themeColor="text1"/>
        </w:rPr>
        <w:t>ol</w:t>
      </w:r>
      <w:proofErr w:type="spellEnd"/>
      <w:r w:rsidRPr="008126FD">
        <w:rPr>
          <w:rFonts w:ascii="Arial" w:hAnsi="Arial" w:cs="Arial"/>
          <w:color w:val="000000" w:themeColor="text1"/>
        </w:rPr>
        <w:t xml:space="preserve">, β-caryophyllene oxide, α-selinene, β-selinene, 1,8-sineole, </w:t>
      </w:r>
      <w:proofErr w:type="spellStart"/>
      <w:r w:rsidRPr="008126FD">
        <w:rPr>
          <w:rFonts w:ascii="Arial" w:hAnsi="Arial" w:cs="Arial"/>
          <w:color w:val="000000" w:themeColor="text1"/>
        </w:rPr>
        <w:t>spathulenol</w:t>
      </w:r>
      <w:proofErr w:type="spellEnd"/>
      <w:r w:rsidRPr="008126FD">
        <w:rPr>
          <w:rFonts w:ascii="Arial" w:hAnsi="Arial" w:cs="Arial"/>
          <w:color w:val="000000" w:themeColor="text1"/>
        </w:rPr>
        <w:t xml:space="preserve">, </w:t>
      </w:r>
      <w:proofErr w:type="spellStart"/>
      <w:r w:rsidRPr="008126FD">
        <w:rPr>
          <w:rFonts w:ascii="Arial" w:hAnsi="Arial" w:cs="Arial"/>
          <w:color w:val="000000" w:themeColor="text1"/>
        </w:rPr>
        <w:t>viridiflorol</w:t>
      </w:r>
      <w:proofErr w:type="spellEnd"/>
      <w:r w:rsidRPr="008126FD">
        <w:rPr>
          <w:rFonts w:ascii="Arial" w:hAnsi="Arial" w:cs="Arial"/>
          <w:color w:val="000000" w:themeColor="text1"/>
        </w:rPr>
        <w:t>, α-</w:t>
      </w:r>
      <w:proofErr w:type="spellStart"/>
      <w:r w:rsidRPr="008126FD">
        <w:rPr>
          <w:rFonts w:ascii="Arial" w:hAnsi="Arial" w:cs="Arial"/>
          <w:color w:val="000000" w:themeColor="text1"/>
        </w:rPr>
        <w:t>calamenene</w:t>
      </w:r>
      <w:proofErr w:type="spellEnd"/>
      <w:r w:rsidRPr="008126FD">
        <w:rPr>
          <w:rFonts w:ascii="Arial" w:hAnsi="Arial" w:cs="Arial"/>
          <w:color w:val="000000" w:themeColor="text1"/>
        </w:rPr>
        <w:t xml:space="preserve"> and aromadendrene (El-Ahmady et al. 2013).</w:t>
      </w:r>
      <w:r w:rsidR="000A720C" w:rsidRPr="008126FD">
        <w:rPr>
          <w:rFonts w:ascii="Arial" w:hAnsi="Arial" w:cs="Arial"/>
          <w:color w:val="000000" w:themeColor="text1"/>
        </w:rPr>
        <w:t xml:space="preserve"> Use of guava leaves as a suitable water disinfectant to achieve no side effects and harmless in shrimp aquaculture because of their antibacterial and antiviral activity against shrimp pathogens, such as </w:t>
      </w:r>
      <w:r w:rsidR="000A720C" w:rsidRPr="008126FD">
        <w:rPr>
          <w:rFonts w:ascii="Arial" w:hAnsi="Arial" w:cs="Arial"/>
          <w:i/>
          <w:iCs/>
          <w:color w:val="000000" w:themeColor="text1"/>
        </w:rPr>
        <w:t xml:space="preserve">V. </w:t>
      </w:r>
      <w:proofErr w:type="spellStart"/>
      <w:r w:rsidR="000A720C" w:rsidRPr="008126FD">
        <w:rPr>
          <w:rFonts w:ascii="Arial" w:hAnsi="Arial" w:cs="Arial"/>
          <w:i/>
          <w:iCs/>
          <w:color w:val="000000" w:themeColor="text1"/>
        </w:rPr>
        <w:t>harveyi</w:t>
      </w:r>
      <w:proofErr w:type="spellEnd"/>
      <w:r w:rsidR="000A720C" w:rsidRPr="008126FD">
        <w:rPr>
          <w:rFonts w:ascii="Arial" w:hAnsi="Arial" w:cs="Arial"/>
          <w:color w:val="000000" w:themeColor="text1"/>
        </w:rPr>
        <w:t>, white spot syndrome virus and yellow-head virus (Yin et al. 2014).</w:t>
      </w:r>
    </w:p>
    <w:p w14:paraId="222A6616" w14:textId="434F224B" w:rsidR="004A649F" w:rsidRPr="008126FD" w:rsidRDefault="004A649F" w:rsidP="001F247F">
      <w:pPr>
        <w:pStyle w:val="NormalWeb"/>
        <w:spacing w:before="120" w:beforeAutospacing="0" w:after="120" w:afterAutospacing="0" w:line="360" w:lineRule="auto"/>
        <w:ind w:firstLine="720"/>
        <w:jc w:val="both"/>
        <w:rPr>
          <w:rFonts w:ascii="Arial" w:hAnsi="Arial" w:cs="Arial"/>
        </w:rPr>
      </w:pPr>
      <w:r w:rsidRPr="008126FD">
        <w:rPr>
          <w:rFonts w:ascii="Arial" w:hAnsi="Arial" w:cs="Arial"/>
        </w:rPr>
        <w:lastRenderedPageBreak/>
        <w:t xml:space="preserve">In this </w:t>
      </w:r>
      <w:r w:rsidR="00C07121" w:rsidRPr="008126FD">
        <w:rPr>
          <w:rFonts w:ascii="Arial" w:hAnsi="Arial" w:cs="Arial"/>
        </w:rPr>
        <w:t xml:space="preserve">context, </w:t>
      </w:r>
      <w:r w:rsidR="00C07121" w:rsidRPr="008126FD">
        <w:rPr>
          <w:rFonts w:ascii="Arial" w:hAnsi="Arial" w:cs="Arial"/>
          <w:i/>
          <w:iCs/>
          <w:color w:val="000000" w:themeColor="text1"/>
        </w:rPr>
        <w:t>Psidium guajava L.</w:t>
      </w:r>
      <w:r w:rsidR="00C07121" w:rsidRPr="008126FD">
        <w:rPr>
          <w:rFonts w:ascii="Arial" w:hAnsi="Arial" w:cs="Arial"/>
          <w:color w:val="000000" w:themeColor="text1"/>
        </w:rPr>
        <w:t xml:space="preserve"> (guava) </w:t>
      </w:r>
      <w:r w:rsidRPr="008126FD">
        <w:rPr>
          <w:rFonts w:ascii="Arial" w:hAnsi="Arial" w:cs="Arial"/>
        </w:rPr>
        <w:t xml:space="preserve">have been chosen for this study because these plants are well-known for their medicinal properties and possess a high </w:t>
      </w:r>
      <w:proofErr w:type="gramStart"/>
      <w:r w:rsidRPr="008126FD">
        <w:rPr>
          <w:rFonts w:ascii="Arial" w:hAnsi="Arial" w:cs="Arial"/>
        </w:rPr>
        <w:t>amount</w:t>
      </w:r>
      <w:proofErr w:type="gramEnd"/>
      <w:r w:rsidRPr="008126FD">
        <w:rPr>
          <w:rFonts w:ascii="Arial" w:hAnsi="Arial" w:cs="Arial"/>
        </w:rPr>
        <w:t xml:space="preserve"> of phytochemicals</w:t>
      </w:r>
      <w:r w:rsidR="00256440" w:rsidRPr="008126FD">
        <w:rPr>
          <w:rFonts w:ascii="Arial" w:hAnsi="Arial" w:cs="Arial"/>
        </w:rPr>
        <w:t>. T</w:t>
      </w:r>
      <w:r w:rsidRPr="008126FD">
        <w:rPr>
          <w:rFonts w:ascii="Arial" w:hAnsi="Arial" w:cs="Arial"/>
        </w:rPr>
        <w:t>hey can be used as the potential sources of eco-friendly antibacterial agents. Thus, the current research is to analyze the phytochemical composition and antibacterial activity of selected medicinal plant regarding their potential as synthetic antibiotics alternatives for use in aquaculture and healthcare systems.</w:t>
      </w:r>
    </w:p>
    <w:p w14:paraId="450B65A1" w14:textId="36EFB26C" w:rsidR="00EB5243" w:rsidRPr="008126FD" w:rsidRDefault="00EB5243" w:rsidP="00606B87">
      <w:pPr>
        <w:pStyle w:val="NormalWeb"/>
        <w:numPr>
          <w:ilvl w:val="0"/>
          <w:numId w:val="15"/>
        </w:numPr>
        <w:spacing w:line="360" w:lineRule="auto"/>
        <w:ind w:left="270" w:hanging="270"/>
        <w:jc w:val="both"/>
        <w:rPr>
          <w:rFonts w:ascii="Arial" w:hAnsi="Arial" w:cs="Arial"/>
          <w:b/>
          <w:bCs/>
          <w:caps/>
        </w:rPr>
      </w:pPr>
      <w:r w:rsidRPr="008126FD">
        <w:rPr>
          <w:rFonts w:ascii="Arial" w:hAnsi="Arial" w:cs="Arial"/>
          <w:b/>
          <w:bCs/>
          <w:caps/>
        </w:rPr>
        <w:t>Materials and methods</w:t>
      </w:r>
    </w:p>
    <w:p w14:paraId="452E2C9C" w14:textId="58D21A82" w:rsidR="00EB5243" w:rsidRPr="008126FD" w:rsidRDefault="00590C06" w:rsidP="00935E23">
      <w:pPr>
        <w:pStyle w:val="NormalWeb"/>
        <w:spacing w:line="360" w:lineRule="auto"/>
        <w:ind w:firstLine="720"/>
        <w:jc w:val="both"/>
        <w:rPr>
          <w:rFonts w:ascii="Arial" w:hAnsi="Arial" w:cs="Arial"/>
        </w:rPr>
      </w:pPr>
      <w:r w:rsidRPr="008126FD">
        <w:rPr>
          <w:rFonts w:ascii="Arial" w:hAnsi="Arial" w:cs="Arial"/>
        </w:rPr>
        <w:t xml:space="preserve">The extraction process, bacterial culture, antibacterial activity test, and observation of bacterial growth inhibition zones were all carried out at the Department of Aquaculture, College of Fisheries Science, Kamdhenu University, Veraval. The isolates of </w:t>
      </w:r>
      <w:r w:rsidRPr="008126FD">
        <w:rPr>
          <w:rFonts w:ascii="Arial" w:hAnsi="Arial" w:cs="Arial"/>
          <w:i/>
          <w:iCs/>
        </w:rPr>
        <w:t>Vibrio parahaemolyticus</w:t>
      </w:r>
      <w:r w:rsidRPr="008126FD">
        <w:rPr>
          <w:rFonts w:ascii="Arial" w:hAnsi="Arial" w:cs="Arial"/>
        </w:rPr>
        <w:t xml:space="preserve"> </w:t>
      </w:r>
      <w:r w:rsidR="008A3CDB" w:rsidRPr="008126FD">
        <w:rPr>
          <w:rFonts w:ascii="Arial" w:hAnsi="Arial" w:cs="Arial"/>
        </w:rPr>
        <w:t xml:space="preserve">were acquired from the </w:t>
      </w:r>
      <w:proofErr w:type="spellStart"/>
      <w:r w:rsidR="008A3CDB" w:rsidRPr="008126FD">
        <w:rPr>
          <w:rFonts w:ascii="Arial" w:hAnsi="Arial" w:cs="Arial"/>
        </w:rPr>
        <w:t>HiMedia</w:t>
      </w:r>
      <w:proofErr w:type="spellEnd"/>
      <w:r w:rsidR="008A3CDB" w:rsidRPr="008126FD">
        <w:rPr>
          <w:rFonts w:ascii="Arial" w:hAnsi="Arial" w:cs="Arial"/>
        </w:rPr>
        <w:t>.</w:t>
      </w:r>
    </w:p>
    <w:p w14:paraId="739370AA" w14:textId="57708231" w:rsidR="00935E23" w:rsidRPr="008126FD" w:rsidRDefault="00606B87" w:rsidP="000A720C">
      <w:pPr>
        <w:pStyle w:val="NormalWeb"/>
        <w:spacing w:line="360" w:lineRule="auto"/>
        <w:jc w:val="both"/>
        <w:rPr>
          <w:rFonts w:ascii="Arial" w:hAnsi="Arial" w:cs="Arial"/>
          <w:b/>
          <w:bCs/>
        </w:rPr>
      </w:pPr>
      <w:r w:rsidRPr="008126FD">
        <w:rPr>
          <w:rFonts w:ascii="Arial" w:hAnsi="Arial" w:cs="Arial"/>
          <w:b/>
          <w:bCs/>
        </w:rPr>
        <w:t xml:space="preserve">2.1 </w:t>
      </w:r>
      <w:r w:rsidR="00935E23" w:rsidRPr="008126FD">
        <w:rPr>
          <w:rFonts w:ascii="Arial" w:hAnsi="Arial" w:cs="Arial"/>
          <w:b/>
          <w:bCs/>
        </w:rPr>
        <w:t xml:space="preserve">Collection of </w:t>
      </w:r>
      <w:r w:rsidRPr="008126FD">
        <w:rPr>
          <w:rFonts w:ascii="Arial" w:hAnsi="Arial" w:cs="Arial"/>
          <w:b/>
          <w:bCs/>
        </w:rPr>
        <w:t>I</w:t>
      </w:r>
      <w:r w:rsidR="00935E23" w:rsidRPr="008126FD">
        <w:rPr>
          <w:rFonts w:ascii="Arial" w:hAnsi="Arial" w:cs="Arial"/>
          <w:b/>
          <w:bCs/>
        </w:rPr>
        <w:t xml:space="preserve">ngredient and </w:t>
      </w:r>
      <w:r w:rsidRPr="008126FD">
        <w:rPr>
          <w:rFonts w:ascii="Arial" w:hAnsi="Arial" w:cs="Arial"/>
          <w:b/>
          <w:bCs/>
        </w:rPr>
        <w:t>P</w:t>
      </w:r>
      <w:r w:rsidR="00935E23" w:rsidRPr="008126FD">
        <w:rPr>
          <w:rFonts w:ascii="Arial" w:hAnsi="Arial" w:cs="Arial"/>
          <w:b/>
          <w:bCs/>
        </w:rPr>
        <w:t xml:space="preserve">reparation of </w:t>
      </w:r>
      <w:r w:rsidRPr="008126FD">
        <w:rPr>
          <w:rFonts w:ascii="Arial" w:hAnsi="Arial" w:cs="Arial"/>
          <w:b/>
          <w:bCs/>
        </w:rPr>
        <w:t>P</w:t>
      </w:r>
      <w:r w:rsidR="00935E23" w:rsidRPr="008126FD">
        <w:rPr>
          <w:rFonts w:ascii="Arial" w:hAnsi="Arial" w:cs="Arial"/>
          <w:b/>
          <w:bCs/>
        </w:rPr>
        <w:t xml:space="preserve">lant </w:t>
      </w:r>
      <w:r w:rsidRPr="008126FD">
        <w:rPr>
          <w:rFonts w:ascii="Arial" w:hAnsi="Arial" w:cs="Arial"/>
          <w:b/>
          <w:bCs/>
        </w:rPr>
        <w:t>E</w:t>
      </w:r>
      <w:r w:rsidR="00935E23" w:rsidRPr="008126FD">
        <w:rPr>
          <w:rFonts w:ascii="Arial" w:hAnsi="Arial" w:cs="Arial"/>
          <w:b/>
          <w:bCs/>
        </w:rPr>
        <w:t>xtract</w:t>
      </w:r>
    </w:p>
    <w:p w14:paraId="01B7F067" w14:textId="78F925F4" w:rsidR="001F247F" w:rsidRPr="008126FD" w:rsidRDefault="008A3CDB" w:rsidP="009529F6">
      <w:pPr>
        <w:pStyle w:val="NormalWeb"/>
        <w:spacing w:line="360" w:lineRule="auto"/>
        <w:jc w:val="both"/>
        <w:rPr>
          <w:rFonts w:ascii="Arial" w:hAnsi="Arial" w:cs="Arial"/>
        </w:rPr>
      </w:pPr>
      <w:r w:rsidRPr="008126FD">
        <w:rPr>
          <w:rFonts w:ascii="Arial" w:hAnsi="Arial" w:cs="Arial"/>
        </w:rPr>
        <w:tab/>
        <w:t xml:space="preserve">Fresh </w:t>
      </w:r>
      <w:r w:rsidR="00C07121" w:rsidRPr="008126FD">
        <w:rPr>
          <w:rFonts w:ascii="Arial" w:hAnsi="Arial" w:cs="Arial"/>
          <w:i/>
          <w:iCs/>
          <w:color w:val="000000" w:themeColor="text1"/>
        </w:rPr>
        <w:t>Psidium guajava</w:t>
      </w:r>
      <w:r w:rsidR="00C07121" w:rsidRPr="008126FD">
        <w:rPr>
          <w:rFonts w:ascii="Arial" w:hAnsi="Arial" w:cs="Arial"/>
        </w:rPr>
        <w:t xml:space="preserve"> (guava) leaves </w:t>
      </w:r>
      <w:r w:rsidRPr="008126FD">
        <w:rPr>
          <w:rFonts w:ascii="Arial" w:hAnsi="Arial" w:cs="Arial"/>
        </w:rPr>
        <w:t xml:space="preserve">were obtained from a local </w:t>
      </w:r>
      <w:r w:rsidR="00C07121" w:rsidRPr="008126FD">
        <w:rPr>
          <w:rFonts w:ascii="Arial" w:hAnsi="Arial" w:cs="Arial"/>
        </w:rPr>
        <w:t>agriculture farm</w:t>
      </w:r>
      <w:r w:rsidRPr="008126FD">
        <w:rPr>
          <w:rFonts w:ascii="Arial" w:hAnsi="Arial" w:cs="Arial"/>
        </w:rPr>
        <w:t xml:space="preserve"> and authenticated by a botanist. The </w:t>
      </w:r>
      <w:r w:rsidR="004809F9" w:rsidRPr="008126FD">
        <w:rPr>
          <w:rFonts w:ascii="Arial" w:hAnsi="Arial" w:cs="Arial"/>
        </w:rPr>
        <w:t>leave</w:t>
      </w:r>
      <w:r w:rsidRPr="008126FD">
        <w:rPr>
          <w:rFonts w:ascii="Arial" w:hAnsi="Arial" w:cs="Arial"/>
        </w:rPr>
        <w:t>s were washed thoroughly with distilled water, shade-dried at room temperature</w:t>
      </w:r>
      <w:r w:rsidR="004809F9" w:rsidRPr="008126FD">
        <w:rPr>
          <w:rFonts w:ascii="Arial" w:hAnsi="Arial" w:cs="Arial"/>
        </w:rPr>
        <w:t xml:space="preserve"> </w:t>
      </w:r>
      <w:r w:rsidRPr="008126FD">
        <w:rPr>
          <w:rFonts w:ascii="Arial" w:hAnsi="Arial" w:cs="Arial"/>
        </w:rPr>
        <w:t>and ground into fine powder using a mechanical grinder. The powdered material was stored in airtight containers until extraction.</w:t>
      </w:r>
      <w:r w:rsidR="003A6041" w:rsidRPr="008126FD">
        <w:rPr>
          <w:rFonts w:ascii="Arial" w:hAnsi="Arial" w:cs="Arial"/>
        </w:rPr>
        <w:t xml:space="preserve"> The crude extract was prepared by using method given by Manilal et al. (2009). </w:t>
      </w:r>
      <w:r w:rsidR="001F247F" w:rsidRPr="008126FD">
        <w:rPr>
          <w:rFonts w:ascii="Arial" w:hAnsi="Arial" w:cs="Arial"/>
        </w:rPr>
        <w:t xml:space="preserve">The crude extraction process was initiated by weighing 200 g of the powdered </w:t>
      </w:r>
      <w:r w:rsidR="004809F9" w:rsidRPr="008126FD">
        <w:rPr>
          <w:rFonts w:ascii="Arial" w:hAnsi="Arial" w:cs="Arial"/>
        </w:rPr>
        <w:t>guava leaves</w:t>
      </w:r>
      <w:r w:rsidR="001F247F" w:rsidRPr="008126FD">
        <w:rPr>
          <w:rFonts w:ascii="Arial" w:hAnsi="Arial" w:cs="Arial"/>
        </w:rPr>
        <w:t xml:space="preserve">, which was macerated three times for 24 h each with 200 mL of 70% ethanol solution. The mixture was stirred continuously for 1 h at 45 °C using a hot plate equipped with a magnetic stirrer. Subsequently, the extract was filtered through Whatman No. 1 filter paper and concentrated using a rotary evaporator at 40 °C for 2 h. The concentrated extract was then re dissolved in 70% ethanol and diluted to obtain different concentrations, designated as group </w:t>
      </w:r>
      <w:r w:rsidR="000A720C" w:rsidRPr="008126FD">
        <w:rPr>
          <w:rFonts w:ascii="Arial" w:hAnsi="Arial" w:cs="Arial"/>
        </w:rPr>
        <w:t>T1</w:t>
      </w:r>
      <w:r w:rsidR="001F247F" w:rsidRPr="008126FD">
        <w:rPr>
          <w:rFonts w:ascii="Arial" w:hAnsi="Arial" w:cs="Arial"/>
        </w:rPr>
        <w:t xml:space="preserve"> (</w:t>
      </w:r>
      <w:r w:rsidR="000A720C" w:rsidRPr="008126FD">
        <w:rPr>
          <w:rFonts w:ascii="Arial" w:hAnsi="Arial" w:cs="Arial"/>
        </w:rPr>
        <w:t>25</w:t>
      </w:r>
      <w:r w:rsidR="001F247F" w:rsidRPr="008126FD">
        <w:rPr>
          <w:rFonts w:ascii="Arial" w:hAnsi="Arial" w:cs="Arial"/>
        </w:rPr>
        <w:t xml:space="preserve"> ppm), group </w:t>
      </w:r>
      <w:r w:rsidR="000A720C" w:rsidRPr="008126FD">
        <w:rPr>
          <w:rFonts w:ascii="Arial" w:hAnsi="Arial" w:cs="Arial"/>
        </w:rPr>
        <w:t>T2</w:t>
      </w:r>
      <w:r w:rsidR="001F247F" w:rsidRPr="008126FD">
        <w:rPr>
          <w:rFonts w:ascii="Arial" w:hAnsi="Arial" w:cs="Arial"/>
        </w:rPr>
        <w:t xml:space="preserve"> (</w:t>
      </w:r>
      <w:r w:rsidR="000A720C" w:rsidRPr="008126FD">
        <w:rPr>
          <w:rFonts w:ascii="Arial" w:hAnsi="Arial" w:cs="Arial"/>
        </w:rPr>
        <w:t>50</w:t>
      </w:r>
      <w:r w:rsidR="001F247F" w:rsidRPr="008126FD">
        <w:rPr>
          <w:rFonts w:ascii="Arial" w:hAnsi="Arial" w:cs="Arial"/>
        </w:rPr>
        <w:t xml:space="preserve"> ppm), group </w:t>
      </w:r>
      <w:r w:rsidR="000A720C" w:rsidRPr="008126FD">
        <w:rPr>
          <w:rFonts w:ascii="Arial" w:hAnsi="Arial" w:cs="Arial"/>
        </w:rPr>
        <w:t>T3</w:t>
      </w:r>
      <w:r w:rsidR="001F247F" w:rsidRPr="008126FD">
        <w:rPr>
          <w:rFonts w:ascii="Arial" w:hAnsi="Arial" w:cs="Arial"/>
        </w:rPr>
        <w:t xml:space="preserve"> (</w:t>
      </w:r>
      <w:r w:rsidR="000A720C" w:rsidRPr="008126FD">
        <w:rPr>
          <w:rFonts w:ascii="Arial" w:hAnsi="Arial" w:cs="Arial"/>
        </w:rPr>
        <w:t>75</w:t>
      </w:r>
      <w:r w:rsidR="001F247F" w:rsidRPr="008126FD">
        <w:rPr>
          <w:rFonts w:ascii="Arial" w:hAnsi="Arial" w:cs="Arial"/>
        </w:rPr>
        <w:t xml:space="preserve"> ppm), and group </w:t>
      </w:r>
      <w:r w:rsidR="000A720C" w:rsidRPr="008126FD">
        <w:rPr>
          <w:rFonts w:ascii="Arial" w:hAnsi="Arial" w:cs="Arial"/>
        </w:rPr>
        <w:t>T4</w:t>
      </w:r>
      <w:r w:rsidR="001F247F" w:rsidRPr="008126FD">
        <w:rPr>
          <w:rFonts w:ascii="Arial" w:hAnsi="Arial" w:cs="Arial"/>
        </w:rPr>
        <w:t xml:space="preserve"> (</w:t>
      </w:r>
      <w:r w:rsidR="000A720C" w:rsidRPr="008126FD">
        <w:rPr>
          <w:rFonts w:ascii="Arial" w:hAnsi="Arial" w:cs="Arial"/>
        </w:rPr>
        <w:t>100</w:t>
      </w:r>
      <w:r w:rsidR="001F247F" w:rsidRPr="008126FD">
        <w:rPr>
          <w:rFonts w:ascii="Arial" w:hAnsi="Arial" w:cs="Arial"/>
        </w:rPr>
        <w:t xml:space="preserve"> ppm). Two control solutions were prepared simultaneously, consisting of 70% ethanol as the negative control (C−) and 0.01% chloramphenicol as the positive control (C+). All treatments and controls were prepared in triplicate. The chloramphenicol solution </w:t>
      </w:r>
      <w:r w:rsidR="001F247F" w:rsidRPr="008126FD">
        <w:rPr>
          <w:rFonts w:ascii="Arial" w:hAnsi="Arial" w:cs="Arial"/>
        </w:rPr>
        <w:lastRenderedPageBreak/>
        <w:t xml:space="preserve">served as a reference standard for evaluating the antibacterial efficacy of the ethanolic </w:t>
      </w:r>
      <w:r w:rsidR="00CF5713" w:rsidRPr="008126FD">
        <w:rPr>
          <w:rFonts w:ascii="Arial" w:hAnsi="Arial" w:cs="Arial"/>
        </w:rPr>
        <w:t>leaves</w:t>
      </w:r>
      <w:r w:rsidR="001F247F" w:rsidRPr="008126FD">
        <w:rPr>
          <w:rFonts w:ascii="Arial" w:hAnsi="Arial" w:cs="Arial"/>
        </w:rPr>
        <w:t xml:space="preserve"> extract of </w:t>
      </w:r>
      <w:r w:rsidR="00CF5713" w:rsidRPr="008126FD">
        <w:rPr>
          <w:rFonts w:ascii="Arial" w:hAnsi="Arial" w:cs="Arial"/>
          <w:i/>
          <w:iCs/>
          <w:color w:val="000000" w:themeColor="text1"/>
        </w:rPr>
        <w:t>Psidium guajava</w:t>
      </w:r>
      <w:r w:rsidR="001F247F" w:rsidRPr="008126FD">
        <w:rPr>
          <w:rFonts w:ascii="Arial" w:hAnsi="Arial" w:cs="Arial"/>
        </w:rPr>
        <w:t>.</w:t>
      </w:r>
    </w:p>
    <w:p w14:paraId="2846912A" w14:textId="5C28E81B" w:rsidR="000A720C" w:rsidRPr="008126FD" w:rsidRDefault="00606B87" w:rsidP="000A720C">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 xml:space="preserve">2.2 </w:t>
      </w:r>
      <w:r w:rsidR="00B375ED" w:rsidRPr="008126FD">
        <w:rPr>
          <w:rFonts w:ascii="Arial" w:eastAsia="Times New Roman" w:hAnsi="Arial" w:cs="Arial"/>
          <w:b/>
          <w:bCs/>
          <w:kern w:val="0"/>
          <w14:ligatures w14:val="none"/>
        </w:rPr>
        <w:t>Phytochemical Screening</w:t>
      </w:r>
    </w:p>
    <w:p w14:paraId="73F7C3C7" w14:textId="6FAD9CE4" w:rsidR="00B375ED" w:rsidRPr="008126FD" w:rsidRDefault="00B375ED" w:rsidP="000A720C">
      <w:pPr>
        <w:spacing w:line="360" w:lineRule="auto"/>
        <w:ind w:firstLine="720"/>
        <w:jc w:val="both"/>
        <w:rPr>
          <w:rFonts w:ascii="Arial" w:eastAsia="Times New Roman" w:hAnsi="Arial" w:cs="Arial"/>
          <w:kern w:val="0"/>
          <w14:ligatures w14:val="none"/>
        </w:rPr>
      </w:pPr>
      <w:r w:rsidRPr="008126FD">
        <w:rPr>
          <w:rFonts w:ascii="Arial" w:eastAsia="Times New Roman" w:hAnsi="Arial" w:cs="Arial"/>
          <w:kern w:val="0"/>
          <w14:ligatures w14:val="none"/>
        </w:rPr>
        <w:t xml:space="preserve">Qualitative phytochemical screening of both aqueous and methanolic extracts was carried out using standard procedures </w:t>
      </w:r>
      <w:r w:rsidR="00B97D12" w:rsidRPr="008126FD">
        <w:rPr>
          <w:rFonts w:ascii="Arial" w:eastAsia="Times New Roman" w:hAnsi="Arial" w:cs="Arial"/>
          <w:kern w:val="0"/>
          <w14:ligatures w14:val="none"/>
        </w:rPr>
        <w:t>given by Harborne</w:t>
      </w:r>
      <w:r w:rsidR="00CF5713" w:rsidRPr="008126FD">
        <w:rPr>
          <w:rFonts w:ascii="Arial" w:eastAsia="Times New Roman" w:hAnsi="Arial" w:cs="Arial"/>
          <w:kern w:val="0"/>
          <w14:ligatures w14:val="none"/>
        </w:rPr>
        <w:t>,</w:t>
      </w:r>
      <w:r w:rsidR="00B97D12" w:rsidRPr="008126FD">
        <w:rPr>
          <w:rFonts w:ascii="Arial" w:eastAsia="Times New Roman" w:hAnsi="Arial" w:cs="Arial"/>
          <w:kern w:val="0"/>
          <w14:ligatures w14:val="none"/>
        </w:rPr>
        <w:t xml:space="preserve"> (1973) </w:t>
      </w:r>
      <w:r w:rsidRPr="008126FD">
        <w:rPr>
          <w:rFonts w:ascii="Arial" w:eastAsia="Times New Roman" w:hAnsi="Arial" w:cs="Arial"/>
          <w:kern w:val="0"/>
          <w14:ligatures w14:val="none"/>
        </w:rPr>
        <w:t>to detect the presence of bioactive compounds.</w:t>
      </w:r>
    </w:p>
    <w:p w14:paraId="2D212F38" w14:textId="78DBAD26" w:rsidR="00B375ED" w:rsidRPr="008126FD" w:rsidRDefault="00B375ED" w:rsidP="001F247F">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Test for Flavonoids</w:t>
      </w:r>
    </w:p>
    <w:p w14:paraId="187E2CB9" w14:textId="4D0821BF" w:rsidR="00B375ED" w:rsidRPr="008126FD" w:rsidRDefault="00B375ED" w:rsidP="001F247F">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3 m</w:t>
      </w:r>
      <w:r w:rsidR="00B97D12" w:rsidRPr="008126FD">
        <w:rPr>
          <w:rFonts w:ascii="Arial" w:eastAsia="Times New Roman" w:hAnsi="Arial" w:cs="Arial"/>
          <w:kern w:val="0"/>
          <w14:ligatures w14:val="none"/>
        </w:rPr>
        <w:t>l</w:t>
      </w:r>
      <w:r w:rsidRPr="008126FD">
        <w:rPr>
          <w:rFonts w:ascii="Arial" w:eastAsia="Times New Roman" w:hAnsi="Arial" w:cs="Arial"/>
          <w:kern w:val="0"/>
          <w14:ligatures w14:val="none"/>
        </w:rPr>
        <w:t xml:space="preserve"> of the extract were mixed with 1 mL of 10% sodium hydroxide. Formation of a yellow coloration that disappeared upon addition of dilute HCl indicated the presence of flavonoids.</w:t>
      </w:r>
    </w:p>
    <w:p w14:paraId="311134BA" w14:textId="5BC4FB12" w:rsidR="00B375ED" w:rsidRPr="008126FD" w:rsidRDefault="00B375ED" w:rsidP="001F247F">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Test for Tannins</w:t>
      </w:r>
    </w:p>
    <w:p w14:paraId="082CEEE0" w14:textId="00BD8BFC" w:rsidR="00B375ED" w:rsidRPr="008126FD" w:rsidRDefault="00B375ED" w:rsidP="001F247F">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2 m</w:t>
      </w:r>
      <w:r w:rsidR="00B97D12" w:rsidRPr="008126FD">
        <w:rPr>
          <w:rFonts w:ascii="Arial" w:eastAsia="Times New Roman" w:hAnsi="Arial" w:cs="Arial"/>
          <w:kern w:val="0"/>
          <w14:ligatures w14:val="none"/>
        </w:rPr>
        <w:t>l</w:t>
      </w:r>
      <w:r w:rsidRPr="008126FD">
        <w:rPr>
          <w:rFonts w:ascii="Arial" w:eastAsia="Times New Roman" w:hAnsi="Arial" w:cs="Arial"/>
          <w:kern w:val="0"/>
          <w14:ligatures w14:val="none"/>
        </w:rPr>
        <w:t xml:space="preserve"> of the extract were treated with 2–3 drops of 5% ferric chloride solution. Appearance of a blue-black or greenish coloration indicated tannins.</w:t>
      </w:r>
    </w:p>
    <w:p w14:paraId="01E310F1" w14:textId="5646E6B3" w:rsidR="00B375ED" w:rsidRPr="008126FD" w:rsidRDefault="00B375ED" w:rsidP="001F247F">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Test for Saponins</w:t>
      </w:r>
    </w:p>
    <w:p w14:paraId="47382E9E" w14:textId="4AA2E425" w:rsidR="00B375ED" w:rsidRPr="008126FD" w:rsidRDefault="00B375ED" w:rsidP="001F247F">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5 m</w:t>
      </w:r>
      <w:r w:rsidR="00B97D12" w:rsidRPr="008126FD">
        <w:rPr>
          <w:rFonts w:ascii="Arial" w:eastAsia="Times New Roman" w:hAnsi="Arial" w:cs="Arial"/>
          <w:kern w:val="0"/>
          <w14:ligatures w14:val="none"/>
        </w:rPr>
        <w:t>l</w:t>
      </w:r>
      <w:r w:rsidRPr="008126FD">
        <w:rPr>
          <w:rFonts w:ascii="Arial" w:eastAsia="Times New Roman" w:hAnsi="Arial" w:cs="Arial"/>
          <w:kern w:val="0"/>
          <w14:ligatures w14:val="none"/>
        </w:rPr>
        <w:t xml:space="preserve"> of extract were mixed with 5 mL of distilled water and shaken vigorously. Persistent frothing confirmed the presence of saponins.</w:t>
      </w:r>
    </w:p>
    <w:p w14:paraId="18C2327E" w14:textId="56713871" w:rsidR="00B375ED" w:rsidRPr="008126FD" w:rsidRDefault="00B375ED" w:rsidP="001F247F">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Test for Glycosides</w:t>
      </w:r>
    </w:p>
    <w:p w14:paraId="44E276F9" w14:textId="23F87A78" w:rsidR="00B375ED" w:rsidRPr="008126FD" w:rsidRDefault="00B375ED" w:rsidP="001F247F">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5 m</w:t>
      </w:r>
      <w:r w:rsidR="00B97D12" w:rsidRPr="008126FD">
        <w:rPr>
          <w:rFonts w:ascii="Arial" w:eastAsia="Times New Roman" w:hAnsi="Arial" w:cs="Arial"/>
          <w:kern w:val="0"/>
          <w14:ligatures w14:val="none"/>
        </w:rPr>
        <w:t>l</w:t>
      </w:r>
      <w:r w:rsidRPr="008126FD">
        <w:rPr>
          <w:rFonts w:ascii="Arial" w:eastAsia="Times New Roman" w:hAnsi="Arial" w:cs="Arial"/>
          <w:kern w:val="0"/>
          <w14:ligatures w14:val="none"/>
        </w:rPr>
        <w:t xml:space="preserve"> of extract were hydrolyzed with 2.5 mL of 50% sulfuric acid and heated in a boiling water bath for 15 minutes. After cooling and neutralization with 10% NaOH, Fehling’s solution was added and boiled. Formation of a brick-red precipitate indicated glycosides.</w:t>
      </w:r>
    </w:p>
    <w:p w14:paraId="3D18B8B3" w14:textId="273345CA" w:rsidR="00B375ED" w:rsidRPr="008126FD" w:rsidRDefault="00B375ED" w:rsidP="001F247F">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Test for Alkaloids</w:t>
      </w:r>
    </w:p>
    <w:p w14:paraId="5B015A19" w14:textId="242788F0" w:rsidR="00B375ED" w:rsidRPr="008126FD" w:rsidRDefault="00B375ED" w:rsidP="001F247F">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2 m</w:t>
      </w:r>
      <w:r w:rsidR="00B97D12" w:rsidRPr="008126FD">
        <w:rPr>
          <w:rFonts w:ascii="Arial" w:eastAsia="Times New Roman" w:hAnsi="Arial" w:cs="Arial"/>
          <w:kern w:val="0"/>
          <w14:ligatures w14:val="none"/>
        </w:rPr>
        <w:t>l</w:t>
      </w:r>
      <w:r w:rsidRPr="008126FD">
        <w:rPr>
          <w:rFonts w:ascii="Arial" w:eastAsia="Times New Roman" w:hAnsi="Arial" w:cs="Arial"/>
          <w:kern w:val="0"/>
          <w14:ligatures w14:val="none"/>
        </w:rPr>
        <w:t xml:space="preserve"> of extract were acidified with 10% hydrochloric acid. One portion was treated with Wagner’s reagent and another with Mayer’s reagent. Formation of precipitate indicated alkaloids.</w:t>
      </w:r>
    </w:p>
    <w:p w14:paraId="00D30B34" w14:textId="78332253" w:rsidR="00B375ED" w:rsidRPr="008126FD" w:rsidRDefault="00B375ED" w:rsidP="001F247F">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Test for Cardiac Glycosides (Keller–</w:t>
      </w:r>
      <w:proofErr w:type="spellStart"/>
      <w:r w:rsidRPr="008126FD">
        <w:rPr>
          <w:rFonts w:ascii="Arial" w:eastAsia="Times New Roman" w:hAnsi="Arial" w:cs="Arial"/>
          <w:b/>
          <w:bCs/>
          <w:kern w:val="0"/>
          <w14:ligatures w14:val="none"/>
        </w:rPr>
        <w:t>Killiani</w:t>
      </w:r>
      <w:proofErr w:type="spellEnd"/>
      <w:r w:rsidRPr="008126FD">
        <w:rPr>
          <w:rFonts w:ascii="Arial" w:eastAsia="Times New Roman" w:hAnsi="Arial" w:cs="Arial"/>
          <w:b/>
          <w:bCs/>
          <w:kern w:val="0"/>
          <w14:ligatures w14:val="none"/>
        </w:rPr>
        <w:t xml:space="preserve"> Test)</w:t>
      </w:r>
    </w:p>
    <w:p w14:paraId="251C1BF2" w14:textId="0AE64AFA" w:rsidR="00B375ED" w:rsidRPr="008126FD" w:rsidRDefault="00B375ED" w:rsidP="001F247F">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lastRenderedPageBreak/>
        <w:t>2 m</w:t>
      </w:r>
      <w:r w:rsidR="00B97D12" w:rsidRPr="008126FD">
        <w:rPr>
          <w:rFonts w:ascii="Arial" w:eastAsia="Times New Roman" w:hAnsi="Arial" w:cs="Arial"/>
          <w:kern w:val="0"/>
          <w14:ligatures w14:val="none"/>
        </w:rPr>
        <w:t>l</w:t>
      </w:r>
      <w:r w:rsidRPr="008126FD">
        <w:rPr>
          <w:rFonts w:ascii="Arial" w:eastAsia="Times New Roman" w:hAnsi="Arial" w:cs="Arial"/>
          <w:kern w:val="0"/>
          <w14:ligatures w14:val="none"/>
        </w:rPr>
        <w:t xml:space="preserve"> of extract were mixed with 2 mL of 3.5% ferric chloride solution, followed by careful addition of concentrated sulfuric acid along the side of the test tube. Formation of a brown ring indicated cardiac glycosides.</w:t>
      </w:r>
    </w:p>
    <w:p w14:paraId="4B94F936" w14:textId="523B1FE4" w:rsidR="00B375ED" w:rsidRPr="008126FD" w:rsidRDefault="00B375ED" w:rsidP="001F247F">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Test for Steroids (Salkowski Test)</w:t>
      </w:r>
    </w:p>
    <w:p w14:paraId="28D38219" w14:textId="2B2596B1" w:rsidR="00B375ED" w:rsidRPr="008126FD" w:rsidRDefault="00B375ED" w:rsidP="001F247F">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2 m</w:t>
      </w:r>
      <w:r w:rsidR="00B97D12" w:rsidRPr="008126FD">
        <w:rPr>
          <w:rFonts w:ascii="Arial" w:eastAsia="Times New Roman" w:hAnsi="Arial" w:cs="Arial"/>
          <w:kern w:val="0"/>
          <w14:ligatures w14:val="none"/>
        </w:rPr>
        <w:t>l</w:t>
      </w:r>
      <w:r w:rsidRPr="008126FD">
        <w:rPr>
          <w:rFonts w:ascii="Arial" w:eastAsia="Times New Roman" w:hAnsi="Arial" w:cs="Arial"/>
          <w:kern w:val="0"/>
          <w14:ligatures w14:val="none"/>
        </w:rPr>
        <w:t xml:space="preserve"> of extract were dissolved in chloroform, and concentrated sulfuric acid was added carefully. Formation of a reddish-brown ring confirmed steroids.</w:t>
      </w:r>
    </w:p>
    <w:p w14:paraId="19795D6B" w14:textId="72BD8D26" w:rsidR="00B375ED" w:rsidRPr="008126FD" w:rsidRDefault="00B375ED" w:rsidP="001F247F">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Test for Saponin Glycosides</w:t>
      </w:r>
    </w:p>
    <w:p w14:paraId="373A03ED" w14:textId="1450426B" w:rsidR="00B375ED" w:rsidRPr="008126FD" w:rsidRDefault="00B375ED" w:rsidP="001F247F">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2.5 m</w:t>
      </w:r>
      <w:r w:rsidR="00B97D12" w:rsidRPr="008126FD">
        <w:rPr>
          <w:rFonts w:ascii="Arial" w:eastAsia="Times New Roman" w:hAnsi="Arial" w:cs="Arial"/>
          <w:kern w:val="0"/>
          <w14:ligatures w14:val="none"/>
        </w:rPr>
        <w:t>l</w:t>
      </w:r>
      <w:r w:rsidRPr="008126FD">
        <w:rPr>
          <w:rFonts w:ascii="Arial" w:eastAsia="Times New Roman" w:hAnsi="Arial" w:cs="Arial"/>
          <w:kern w:val="0"/>
          <w14:ligatures w14:val="none"/>
        </w:rPr>
        <w:t xml:space="preserve"> of extract were mixed with an equal volume of Fehling’s solution and heated. Color change indicated saponin glycosides.</w:t>
      </w:r>
    </w:p>
    <w:p w14:paraId="14546F64" w14:textId="469ED792" w:rsidR="00B375ED" w:rsidRPr="008126FD" w:rsidRDefault="00B375ED" w:rsidP="001F247F">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Test for Balsams</w:t>
      </w:r>
    </w:p>
    <w:p w14:paraId="314C5E26" w14:textId="09E95EA9" w:rsidR="00B375ED" w:rsidRPr="008126FD" w:rsidRDefault="00B375ED" w:rsidP="001F247F">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9.5 m</w:t>
      </w:r>
      <w:r w:rsidR="00B97D12" w:rsidRPr="008126FD">
        <w:rPr>
          <w:rFonts w:ascii="Arial" w:eastAsia="Times New Roman" w:hAnsi="Arial" w:cs="Arial"/>
          <w:kern w:val="0"/>
          <w14:ligatures w14:val="none"/>
        </w:rPr>
        <w:t>l</w:t>
      </w:r>
      <w:r w:rsidRPr="008126FD">
        <w:rPr>
          <w:rFonts w:ascii="Arial" w:eastAsia="Times New Roman" w:hAnsi="Arial" w:cs="Arial"/>
          <w:kern w:val="0"/>
          <w14:ligatures w14:val="none"/>
        </w:rPr>
        <w:t xml:space="preserve"> of extract were mixed with an equal volume of 90% ethanol, followed by two drops of alcoholic ferric chloride solution. Greenish coloration indicated balsams.</w:t>
      </w:r>
    </w:p>
    <w:p w14:paraId="6AB1AF2C" w14:textId="5A60CE5F" w:rsidR="00B375ED" w:rsidRPr="008126FD" w:rsidRDefault="00B375ED" w:rsidP="001F247F">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Test for Anthraquinones</w:t>
      </w:r>
    </w:p>
    <w:p w14:paraId="598F7AA0" w14:textId="66D5B38C" w:rsidR="00B375ED" w:rsidRPr="008126FD" w:rsidRDefault="00B375ED" w:rsidP="001F247F">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2 m</w:t>
      </w:r>
      <w:r w:rsidR="00B97D12" w:rsidRPr="008126FD">
        <w:rPr>
          <w:rFonts w:ascii="Arial" w:eastAsia="Times New Roman" w:hAnsi="Arial" w:cs="Arial"/>
          <w:kern w:val="0"/>
          <w14:ligatures w14:val="none"/>
        </w:rPr>
        <w:t>l</w:t>
      </w:r>
      <w:r w:rsidRPr="008126FD">
        <w:rPr>
          <w:rFonts w:ascii="Arial" w:eastAsia="Times New Roman" w:hAnsi="Arial" w:cs="Arial"/>
          <w:kern w:val="0"/>
          <w14:ligatures w14:val="none"/>
        </w:rPr>
        <w:t xml:space="preserve"> of extract were shaken with 10 mL benzene and filtered. Five milliliters (5 mL) of 10% ammonia solution were added to the filtrate. Pink to violet coloration indicated anthraquinones.</w:t>
      </w:r>
    </w:p>
    <w:p w14:paraId="3338AAEE" w14:textId="76B5F8DC" w:rsidR="00B375ED" w:rsidRPr="008126FD" w:rsidRDefault="00B375ED" w:rsidP="001F247F">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Test for Volatile Oils</w:t>
      </w:r>
    </w:p>
    <w:p w14:paraId="79A5E720" w14:textId="31A252DB" w:rsidR="00B97D12" w:rsidRPr="008126FD" w:rsidRDefault="00B375ED" w:rsidP="001F247F">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1 m</w:t>
      </w:r>
      <w:r w:rsidR="00B97D12" w:rsidRPr="008126FD">
        <w:rPr>
          <w:rFonts w:ascii="Arial" w:eastAsia="Times New Roman" w:hAnsi="Arial" w:cs="Arial"/>
          <w:kern w:val="0"/>
          <w14:ligatures w14:val="none"/>
        </w:rPr>
        <w:t>l</w:t>
      </w:r>
      <w:r w:rsidRPr="008126FD">
        <w:rPr>
          <w:rFonts w:ascii="Arial" w:eastAsia="Times New Roman" w:hAnsi="Arial" w:cs="Arial"/>
          <w:kern w:val="0"/>
          <w14:ligatures w14:val="none"/>
        </w:rPr>
        <w:t xml:space="preserve"> of extract was treated with dilute hydrochloric acid. Absence of white precipitate indicated the absence of volatile oils.</w:t>
      </w:r>
    </w:p>
    <w:p w14:paraId="4F220599" w14:textId="393BE111" w:rsidR="004809F9" w:rsidRPr="008126FD" w:rsidRDefault="00606B87" w:rsidP="004809F9">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 xml:space="preserve">2.3 </w:t>
      </w:r>
      <w:r w:rsidR="004809F9" w:rsidRPr="008126FD">
        <w:rPr>
          <w:rFonts w:ascii="Arial" w:eastAsia="Times New Roman" w:hAnsi="Arial" w:cs="Arial"/>
          <w:b/>
          <w:bCs/>
          <w:kern w:val="0"/>
          <w14:ligatures w14:val="none"/>
        </w:rPr>
        <w:t xml:space="preserve">Bacterial </w:t>
      </w:r>
      <w:r w:rsidR="009529F6">
        <w:rPr>
          <w:rFonts w:ascii="Arial" w:eastAsia="Times New Roman" w:hAnsi="Arial" w:cs="Arial"/>
          <w:b/>
          <w:bCs/>
          <w:kern w:val="0"/>
          <w14:ligatures w14:val="none"/>
        </w:rPr>
        <w:t>C</w:t>
      </w:r>
      <w:r w:rsidR="004809F9" w:rsidRPr="008126FD">
        <w:rPr>
          <w:rFonts w:ascii="Arial" w:eastAsia="Times New Roman" w:hAnsi="Arial" w:cs="Arial"/>
          <w:b/>
          <w:bCs/>
          <w:kern w:val="0"/>
          <w14:ligatures w14:val="none"/>
        </w:rPr>
        <w:t>ulture</w:t>
      </w:r>
      <w:r w:rsidR="00CF5713" w:rsidRPr="008126FD">
        <w:rPr>
          <w:rFonts w:ascii="Arial" w:eastAsia="Times New Roman" w:hAnsi="Arial" w:cs="Arial"/>
          <w:b/>
          <w:bCs/>
          <w:kern w:val="0"/>
          <w14:ligatures w14:val="none"/>
        </w:rPr>
        <w:t xml:space="preserve"> </w:t>
      </w:r>
      <w:r w:rsidR="009529F6">
        <w:rPr>
          <w:rFonts w:ascii="Arial" w:eastAsia="Times New Roman" w:hAnsi="Arial" w:cs="Arial"/>
          <w:b/>
          <w:bCs/>
          <w:kern w:val="0"/>
          <w14:ligatures w14:val="none"/>
        </w:rPr>
        <w:t>P</w:t>
      </w:r>
      <w:r w:rsidR="00CF5713" w:rsidRPr="008126FD">
        <w:rPr>
          <w:rFonts w:ascii="Arial" w:eastAsia="Times New Roman" w:hAnsi="Arial" w:cs="Arial"/>
          <w:b/>
          <w:bCs/>
          <w:kern w:val="0"/>
          <w14:ligatures w14:val="none"/>
        </w:rPr>
        <w:t>rep</w:t>
      </w:r>
      <w:r w:rsidR="009529F6">
        <w:rPr>
          <w:rFonts w:ascii="Arial" w:eastAsia="Times New Roman" w:hAnsi="Arial" w:cs="Arial"/>
          <w:b/>
          <w:bCs/>
          <w:kern w:val="0"/>
          <w14:ligatures w14:val="none"/>
        </w:rPr>
        <w:t>a</w:t>
      </w:r>
      <w:r w:rsidR="00CF5713" w:rsidRPr="008126FD">
        <w:rPr>
          <w:rFonts w:ascii="Arial" w:eastAsia="Times New Roman" w:hAnsi="Arial" w:cs="Arial"/>
          <w:b/>
          <w:bCs/>
          <w:kern w:val="0"/>
          <w14:ligatures w14:val="none"/>
        </w:rPr>
        <w:t>ration</w:t>
      </w:r>
      <w:r w:rsidR="004809F9" w:rsidRPr="008126FD">
        <w:rPr>
          <w:rFonts w:ascii="Arial" w:eastAsia="Times New Roman" w:hAnsi="Arial" w:cs="Arial"/>
          <w:b/>
          <w:bCs/>
          <w:kern w:val="0"/>
          <w14:ligatures w14:val="none"/>
        </w:rPr>
        <w:t xml:space="preserve"> and </w:t>
      </w:r>
      <w:r w:rsidR="009529F6">
        <w:rPr>
          <w:rFonts w:ascii="Arial" w:eastAsia="Times New Roman" w:hAnsi="Arial" w:cs="Arial"/>
          <w:b/>
          <w:bCs/>
          <w:kern w:val="0"/>
          <w14:ligatures w14:val="none"/>
        </w:rPr>
        <w:t>A</w:t>
      </w:r>
      <w:r w:rsidR="004809F9" w:rsidRPr="008126FD">
        <w:rPr>
          <w:rFonts w:ascii="Arial" w:eastAsia="Times New Roman" w:hAnsi="Arial" w:cs="Arial"/>
          <w:b/>
          <w:bCs/>
          <w:kern w:val="0"/>
          <w14:ligatures w14:val="none"/>
        </w:rPr>
        <w:t>ntibacterial Activity</w:t>
      </w:r>
    </w:p>
    <w:p w14:paraId="41ED6ED2" w14:textId="54B9245D" w:rsidR="004809F9" w:rsidRPr="008126FD" w:rsidRDefault="004809F9" w:rsidP="000A720C">
      <w:pPr>
        <w:spacing w:line="360" w:lineRule="auto"/>
        <w:ind w:firstLine="720"/>
        <w:jc w:val="both"/>
        <w:rPr>
          <w:rFonts w:ascii="Arial" w:eastAsia="Times New Roman" w:hAnsi="Arial" w:cs="Arial"/>
          <w:kern w:val="0"/>
          <w14:ligatures w14:val="none"/>
        </w:rPr>
      </w:pPr>
      <w:r w:rsidRPr="008126FD">
        <w:rPr>
          <w:rFonts w:ascii="Arial" w:eastAsia="Times New Roman" w:hAnsi="Arial" w:cs="Arial"/>
          <w:kern w:val="0"/>
          <w14:ligatures w14:val="none"/>
        </w:rPr>
        <w:t xml:space="preserve">The culture of </w:t>
      </w:r>
      <w:r w:rsidRPr="008126FD">
        <w:rPr>
          <w:rFonts w:ascii="Arial" w:eastAsia="Times New Roman" w:hAnsi="Arial" w:cs="Arial"/>
          <w:i/>
          <w:iCs/>
          <w:kern w:val="0"/>
          <w14:ligatures w14:val="none"/>
        </w:rPr>
        <w:t>Vibrio parahaemolyticus</w:t>
      </w:r>
      <w:r w:rsidRPr="008126FD">
        <w:rPr>
          <w:rFonts w:ascii="Arial" w:eastAsia="Times New Roman" w:hAnsi="Arial" w:cs="Arial"/>
          <w:kern w:val="0"/>
          <w14:ligatures w14:val="none"/>
        </w:rPr>
        <w:t xml:space="preserve"> was maintained on thiosulfate citrate bile salts sucrose (TCBS) agar medium. A loopful of the bacterial culture was aseptically transferred using a sterile inoculating loop and evenly streaked onto the surface of the agar medium. The inoculated plates were incubated at 37 °C for 24 hours to obtain active bacterial growth.</w:t>
      </w:r>
    </w:p>
    <w:p w14:paraId="61954B95" w14:textId="02AFE7F1" w:rsidR="00606B87" w:rsidRPr="008126FD" w:rsidRDefault="004809F9" w:rsidP="006E7941">
      <w:pPr>
        <w:spacing w:line="360" w:lineRule="auto"/>
        <w:ind w:firstLine="720"/>
        <w:jc w:val="both"/>
        <w:rPr>
          <w:rFonts w:ascii="Arial" w:eastAsia="Times New Roman" w:hAnsi="Arial" w:cs="Arial"/>
          <w:kern w:val="0"/>
          <w14:ligatures w14:val="none"/>
        </w:rPr>
      </w:pPr>
      <w:r w:rsidRPr="008126FD">
        <w:rPr>
          <w:rFonts w:ascii="Arial" w:eastAsia="Times New Roman" w:hAnsi="Arial" w:cs="Arial"/>
          <w:kern w:val="0"/>
          <w14:ligatures w14:val="none"/>
        </w:rPr>
        <w:lastRenderedPageBreak/>
        <w:t xml:space="preserve">The antibacterial activity of </w:t>
      </w:r>
      <w:r w:rsidRPr="008126FD">
        <w:rPr>
          <w:rFonts w:ascii="Arial" w:eastAsia="Times New Roman" w:hAnsi="Arial" w:cs="Arial"/>
          <w:i/>
          <w:iCs/>
          <w:kern w:val="0"/>
          <w14:ligatures w14:val="none"/>
        </w:rPr>
        <w:t>Psidium guajava</w:t>
      </w:r>
      <w:r w:rsidRPr="008126FD">
        <w:rPr>
          <w:rFonts w:ascii="Arial" w:eastAsia="Times New Roman" w:hAnsi="Arial" w:cs="Arial"/>
          <w:kern w:val="0"/>
          <w14:ligatures w14:val="none"/>
        </w:rPr>
        <w:t xml:space="preserve"> leaves </w:t>
      </w:r>
      <w:r w:rsidR="00606B87" w:rsidRPr="008126FD">
        <w:rPr>
          <w:rFonts w:ascii="Arial" w:eastAsia="Times New Roman" w:hAnsi="Arial" w:cs="Arial"/>
          <w:kern w:val="0"/>
          <w14:ligatures w14:val="none"/>
        </w:rPr>
        <w:t xml:space="preserve">extracts </w:t>
      </w:r>
      <w:r w:rsidRPr="008126FD">
        <w:rPr>
          <w:rFonts w:ascii="Arial" w:eastAsia="Times New Roman" w:hAnsi="Arial" w:cs="Arial"/>
          <w:kern w:val="0"/>
          <w14:ligatures w14:val="none"/>
        </w:rPr>
        <w:t>was evaluated using the Kirby–Bauer disc diffusion method. Briefly, a loopful of the standardized bacterial culture was uniformly spread over the surface of Mueller–Hinton agar plates. Sterile paper discs (5 mm diameter) were impregnated with the guava leaf extract solution</w:t>
      </w:r>
      <w:r w:rsidR="00606B87" w:rsidRPr="008126FD">
        <w:rPr>
          <w:rFonts w:ascii="Arial" w:eastAsia="Times New Roman" w:hAnsi="Arial" w:cs="Arial"/>
          <w:kern w:val="0"/>
          <w14:ligatures w14:val="none"/>
        </w:rPr>
        <w:t>s</w:t>
      </w:r>
      <w:r w:rsidRPr="008126FD">
        <w:rPr>
          <w:rFonts w:ascii="Arial" w:eastAsia="Times New Roman" w:hAnsi="Arial" w:cs="Arial"/>
          <w:kern w:val="0"/>
          <w14:ligatures w14:val="none"/>
        </w:rPr>
        <w:t xml:space="preserve"> (</w:t>
      </w:r>
      <w:r w:rsidR="00606B87" w:rsidRPr="008126FD">
        <w:rPr>
          <w:rFonts w:ascii="Arial" w:eastAsia="Times New Roman" w:hAnsi="Arial" w:cs="Arial"/>
          <w:kern w:val="0"/>
          <w14:ligatures w14:val="none"/>
        </w:rPr>
        <w:t xml:space="preserve">ranging from 25 to </w:t>
      </w:r>
      <w:r w:rsidRPr="008126FD">
        <w:rPr>
          <w:rFonts w:ascii="Arial" w:eastAsia="Times New Roman" w:hAnsi="Arial" w:cs="Arial"/>
          <w:kern w:val="0"/>
          <w14:ligatures w14:val="none"/>
        </w:rPr>
        <w:t>100 mg/mL) and carefully placed on the inoculated agar surface. Discs containing the solvent served as the negative control, while oxytetracycline (30 µg/disc) was used as the positive control. The plates were incubated at 37 °C for 24 hours.</w:t>
      </w:r>
    </w:p>
    <w:p w14:paraId="41E1C3B1" w14:textId="2FF4ECCD" w:rsidR="004809F9" w:rsidRPr="008126FD" w:rsidRDefault="00606B87" w:rsidP="004809F9">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 xml:space="preserve">2.4 </w:t>
      </w:r>
      <w:r w:rsidR="004809F9" w:rsidRPr="008126FD">
        <w:rPr>
          <w:rFonts w:ascii="Arial" w:eastAsia="Times New Roman" w:hAnsi="Arial" w:cs="Arial"/>
          <w:b/>
          <w:bCs/>
          <w:kern w:val="0"/>
          <w14:ligatures w14:val="none"/>
        </w:rPr>
        <w:t>Observation of Inhibition Zone</w:t>
      </w:r>
    </w:p>
    <w:p w14:paraId="34CDB245" w14:textId="5504B0B9" w:rsidR="004809F9" w:rsidRPr="008126FD" w:rsidRDefault="004809F9" w:rsidP="003A6041">
      <w:pPr>
        <w:spacing w:line="360" w:lineRule="auto"/>
        <w:ind w:firstLine="720"/>
        <w:jc w:val="both"/>
        <w:rPr>
          <w:rFonts w:ascii="Arial" w:eastAsia="Times New Roman" w:hAnsi="Arial" w:cs="Arial"/>
          <w:kern w:val="0"/>
          <w14:ligatures w14:val="none"/>
        </w:rPr>
      </w:pPr>
      <w:r w:rsidRPr="008126FD">
        <w:rPr>
          <w:rFonts w:ascii="Arial" w:eastAsia="Times New Roman" w:hAnsi="Arial" w:cs="Arial"/>
          <w:kern w:val="0"/>
          <w14:ligatures w14:val="none"/>
        </w:rPr>
        <w:t>Antibacterial activity was determined by the presence of a clear zone of inhibition surrounding the extract-impregnated discs. The diameter of the inhibition zone was measured in millimeters using a ruler or Vernier caliper. Measurements were taken in both vertical and horizontal directions, and the average zone of inhibition was calculated to assess the antibacterial potency of the guava leaf extracts.</w:t>
      </w:r>
    </w:p>
    <w:p w14:paraId="004E2E7F" w14:textId="12892D49" w:rsidR="004809F9" w:rsidRPr="008126FD" w:rsidRDefault="00606B87" w:rsidP="004809F9">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 xml:space="preserve">2.5 </w:t>
      </w:r>
      <w:r w:rsidR="004809F9" w:rsidRPr="008126FD">
        <w:rPr>
          <w:rFonts w:ascii="Arial" w:eastAsia="Times New Roman" w:hAnsi="Arial" w:cs="Arial"/>
          <w:b/>
          <w:bCs/>
          <w:kern w:val="0"/>
          <w14:ligatures w14:val="none"/>
        </w:rPr>
        <w:t>Efficacy of Antibacterial Activity</w:t>
      </w:r>
    </w:p>
    <w:p w14:paraId="72C565B5" w14:textId="0405C301" w:rsidR="004809F9" w:rsidRPr="008126FD" w:rsidRDefault="004809F9" w:rsidP="00606B87">
      <w:pPr>
        <w:spacing w:line="360" w:lineRule="auto"/>
        <w:ind w:firstLine="720"/>
        <w:jc w:val="both"/>
        <w:rPr>
          <w:rFonts w:ascii="Arial" w:eastAsia="Times New Roman" w:hAnsi="Arial" w:cs="Arial"/>
          <w:kern w:val="0"/>
          <w14:ligatures w14:val="none"/>
        </w:rPr>
      </w:pPr>
      <w:r w:rsidRPr="008126FD">
        <w:rPr>
          <w:rFonts w:ascii="Arial" w:eastAsia="Times New Roman" w:hAnsi="Arial" w:cs="Arial"/>
          <w:kern w:val="0"/>
          <w14:ligatures w14:val="none"/>
        </w:rPr>
        <w:t>The efficacy of antibacterial activity of Psidium guajava leaf extracts against V. parahaemolyticus was calculated following the method described by Ghosh et al. (1997) using the formula:</w:t>
      </w:r>
    </w:p>
    <w:p w14:paraId="0B636DA5" w14:textId="49361694" w:rsidR="006E7941" w:rsidRDefault="004809F9" w:rsidP="009529F6">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Antibacterial efficacy (%)</w:t>
      </w:r>
      <w:r w:rsidR="007D47A0" w:rsidRPr="008126FD">
        <w:rPr>
          <w:rFonts w:ascii="Arial" w:eastAsia="Times New Roman" w:hAnsi="Arial" w:cs="Arial"/>
          <w:kern w:val="0"/>
          <w14:ligatures w14:val="none"/>
        </w:rPr>
        <w:t xml:space="preserve"> </w:t>
      </w:r>
      <w:r w:rsidRPr="008126FD">
        <w:rPr>
          <w:rFonts w:ascii="Arial" w:eastAsia="Times New Roman" w:hAnsi="Arial" w:cs="Arial"/>
          <w:kern w:val="0"/>
          <w14:ligatures w14:val="none"/>
        </w:rPr>
        <w:t>=</w:t>
      </w:r>
      <w:r w:rsidR="007D47A0" w:rsidRPr="008126FD">
        <w:rPr>
          <w:rFonts w:ascii="Arial" w:eastAsia="Times New Roman" w:hAnsi="Arial" w:cs="Arial"/>
          <w:kern w:val="0"/>
          <w14:ligatures w14:val="none"/>
        </w:rPr>
        <w:t xml:space="preserve"> </w:t>
      </w:r>
      <w:r w:rsidRPr="008126FD">
        <w:rPr>
          <w:rFonts w:ascii="Arial" w:eastAsia="Times New Roman" w:hAnsi="Arial" w:cs="Arial"/>
          <w:kern w:val="0"/>
          <w14:ligatures w14:val="none"/>
        </w:rPr>
        <w:t>(Mean inhibition zone of plant extract (mm)</w:t>
      </w:r>
      <w:r w:rsidR="007D47A0" w:rsidRPr="008126FD">
        <w:rPr>
          <w:rFonts w:ascii="Arial" w:eastAsia="Times New Roman" w:hAnsi="Arial" w:cs="Arial"/>
          <w:kern w:val="0"/>
          <w14:ligatures w14:val="none"/>
        </w:rPr>
        <w:t>/</w:t>
      </w:r>
      <w:r w:rsidRPr="008126FD">
        <w:rPr>
          <w:rFonts w:ascii="Arial" w:eastAsia="Times New Roman" w:hAnsi="Arial" w:cs="Arial"/>
          <w:kern w:val="0"/>
          <w14:ligatures w14:val="none"/>
        </w:rPr>
        <w:t>Mean inhibition zone of antibiotic (mm))</w:t>
      </w:r>
      <w:r w:rsidR="007D47A0" w:rsidRPr="008126FD">
        <w:rPr>
          <w:rFonts w:ascii="Arial" w:eastAsia="Times New Roman" w:hAnsi="Arial" w:cs="Arial"/>
          <w:kern w:val="0"/>
          <w14:ligatures w14:val="none"/>
        </w:rPr>
        <w:t xml:space="preserve"> </w:t>
      </w:r>
      <w:r w:rsidRPr="008126FD">
        <w:rPr>
          <w:rFonts w:ascii="Arial" w:eastAsia="Times New Roman" w:hAnsi="Arial" w:cs="Arial"/>
          <w:kern w:val="0"/>
          <w14:ligatures w14:val="none"/>
        </w:rPr>
        <w:t>×</w:t>
      </w:r>
      <w:r w:rsidR="007D47A0" w:rsidRPr="008126FD">
        <w:rPr>
          <w:rFonts w:ascii="Arial" w:eastAsia="Times New Roman" w:hAnsi="Arial" w:cs="Arial"/>
          <w:kern w:val="0"/>
          <w14:ligatures w14:val="none"/>
        </w:rPr>
        <w:t xml:space="preserve"> </w:t>
      </w:r>
      <w:r w:rsidRPr="008126FD">
        <w:rPr>
          <w:rFonts w:ascii="Arial" w:eastAsia="Times New Roman" w:hAnsi="Arial" w:cs="Arial"/>
          <w:kern w:val="0"/>
          <w14:ligatures w14:val="none"/>
        </w:rPr>
        <w:t>100</w:t>
      </w:r>
    </w:p>
    <w:p w14:paraId="7B835529" w14:textId="77777777" w:rsidR="009529F6" w:rsidRPr="008126FD" w:rsidRDefault="009529F6" w:rsidP="009529F6">
      <w:pPr>
        <w:spacing w:line="360" w:lineRule="auto"/>
        <w:jc w:val="both"/>
        <w:rPr>
          <w:rFonts w:ascii="Arial" w:eastAsia="Times New Roman" w:hAnsi="Arial" w:cs="Arial"/>
          <w:kern w:val="0"/>
          <w14:ligatures w14:val="none"/>
        </w:rPr>
      </w:pPr>
    </w:p>
    <w:p w14:paraId="6E7007E3" w14:textId="5E46E7F3" w:rsidR="00CA0752" w:rsidRPr="008126FD" w:rsidRDefault="00CA0752" w:rsidP="00606B87">
      <w:pPr>
        <w:pStyle w:val="ListParagraph"/>
        <w:numPr>
          <w:ilvl w:val="0"/>
          <w:numId w:val="15"/>
        </w:numPr>
        <w:spacing w:line="360" w:lineRule="auto"/>
        <w:ind w:left="270" w:hanging="270"/>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RESULTS AND DISCUSSION</w:t>
      </w:r>
    </w:p>
    <w:p w14:paraId="192FEDAA" w14:textId="71C3C8EC" w:rsidR="00CA0752" w:rsidRPr="008126FD" w:rsidRDefault="00606B87" w:rsidP="00CA0752">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 xml:space="preserve">3.1 </w:t>
      </w:r>
      <w:r w:rsidR="00CA0752" w:rsidRPr="008126FD">
        <w:rPr>
          <w:rFonts w:ascii="Arial" w:eastAsia="Times New Roman" w:hAnsi="Arial" w:cs="Arial"/>
          <w:b/>
          <w:bCs/>
          <w:kern w:val="0"/>
          <w14:ligatures w14:val="none"/>
        </w:rPr>
        <w:t>Phytochemical Composition of Psidium guajava Leaf Extract</w:t>
      </w:r>
    </w:p>
    <w:p w14:paraId="20F6BE0B" w14:textId="0B877B19" w:rsidR="00CA0752" w:rsidRPr="008126FD" w:rsidRDefault="00CA0752" w:rsidP="00350E01">
      <w:pPr>
        <w:spacing w:line="360" w:lineRule="auto"/>
        <w:ind w:firstLine="720"/>
        <w:jc w:val="both"/>
        <w:rPr>
          <w:rFonts w:ascii="Arial" w:eastAsia="Times New Roman" w:hAnsi="Arial" w:cs="Arial"/>
          <w:kern w:val="0"/>
          <w14:ligatures w14:val="none"/>
        </w:rPr>
      </w:pPr>
      <w:r w:rsidRPr="008126FD">
        <w:rPr>
          <w:rFonts w:ascii="Arial" w:eastAsia="Times New Roman" w:hAnsi="Arial" w:cs="Arial"/>
          <w:kern w:val="0"/>
          <w14:ligatures w14:val="none"/>
        </w:rPr>
        <w:t xml:space="preserve">Qualitative phytochemical screening of the ethanolic extract of Psidium guajava leaves revealed the presence of several bioactive secondary metabolites (Table 1). Flavonoids, tannins, saponins, glycosides, cardiac glycosides, steroids, and balsams were detected, whereas alkaloids, anthraquinones, and volatile oils were absent. </w:t>
      </w:r>
    </w:p>
    <w:p w14:paraId="75119555" w14:textId="74F7D2A8" w:rsidR="00CA0752" w:rsidRPr="008126FD" w:rsidRDefault="0044276D" w:rsidP="0044276D">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lastRenderedPageBreak/>
        <w:t xml:space="preserve">Table 1. Qualitative phytochemical constituents of ethanolic </w:t>
      </w:r>
      <w:r w:rsidRPr="008126FD">
        <w:rPr>
          <w:rFonts w:ascii="Arial" w:eastAsia="Times New Roman" w:hAnsi="Arial" w:cs="Arial"/>
          <w:b/>
          <w:bCs/>
          <w:i/>
          <w:iCs/>
          <w:kern w:val="0"/>
          <w14:ligatures w14:val="none"/>
        </w:rPr>
        <w:t>Psidium guajava</w:t>
      </w:r>
      <w:r w:rsidRPr="008126FD">
        <w:rPr>
          <w:rFonts w:ascii="Arial" w:eastAsia="Times New Roman" w:hAnsi="Arial" w:cs="Arial"/>
          <w:b/>
          <w:bCs/>
          <w:kern w:val="0"/>
          <w14:ligatures w14:val="none"/>
        </w:rPr>
        <w:t xml:space="preserve"> leaf extract</w:t>
      </w:r>
    </w:p>
    <w:tbl>
      <w:tblPr>
        <w:tblStyle w:val="TableGrid"/>
        <w:tblW w:w="0" w:type="auto"/>
        <w:tblLook w:val="04A0" w:firstRow="1" w:lastRow="0" w:firstColumn="1" w:lastColumn="0" w:noHBand="0" w:noVBand="1"/>
      </w:tblPr>
      <w:tblGrid>
        <w:gridCol w:w="4675"/>
        <w:gridCol w:w="4675"/>
      </w:tblGrid>
      <w:tr w:rsidR="00CA0752" w:rsidRPr="008126FD" w14:paraId="1A2693AA" w14:textId="77777777" w:rsidTr="00CA0752">
        <w:tc>
          <w:tcPr>
            <w:tcW w:w="4675" w:type="dxa"/>
          </w:tcPr>
          <w:p w14:paraId="23453462" w14:textId="1F5017B5" w:rsidR="00CA0752" w:rsidRPr="008126FD" w:rsidRDefault="00CA0752" w:rsidP="003A6041">
            <w:pPr>
              <w:spacing w:before="120" w:after="120"/>
              <w:jc w:val="center"/>
              <w:rPr>
                <w:rFonts w:ascii="Arial" w:eastAsia="Times New Roman" w:hAnsi="Arial" w:cs="Arial"/>
                <w:b/>
                <w:bCs/>
                <w:kern w:val="0"/>
                <w14:ligatures w14:val="none"/>
              </w:rPr>
            </w:pPr>
            <w:r w:rsidRPr="008126FD">
              <w:rPr>
                <w:rFonts w:ascii="Arial" w:eastAsia="Times New Roman" w:hAnsi="Arial" w:cs="Arial"/>
                <w:b/>
                <w:bCs/>
                <w:kern w:val="0"/>
                <w14:ligatures w14:val="none"/>
              </w:rPr>
              <w:t>Phytochemicals</w:t>
            </w:r>
          </w:p>
        </w:tc>
        <w:tc>
          <w:tcPr>
            <w:tcW w:w="4675" w:type="dxa"/>
          </w:tcPr>
          <w:p w14:paraId="30F74BE0" w14:textId="27CFF4E6" w:rsidR="00CA0752" w:rsidRPr="008126FD" w:rsidRDefault="00CA0752" w:rsidP="003A6041">
            <w:pPr>
              <w:spacing w:before="120" w:after="120"/>
              <w:jc w:val="center"/>
              <w:rPr>
                <w:rFonts w:ascii="Arial" w:eastAsia="Times New Roman" w:hAnsi="Arial" w:cs="Arial"/>
                <w:b/>
                <w:bCs/>
                <w:kern w:val="0"/>
                <w14:ligatures w14:val="none"/>
              </w:rPr>
            </w:pPr>
            <w:r w:rsidRPr="008126FD">
              <w:rPr>
                <w:rFonts w:ascii="Arial" w:eastAsia="Times New Roman" w:hAnsi="Arial" w:cs="Arial"/>
                <w:b/>
                <w:bCs/>
                <w:kern w:val="0"/>
                <w14:ligatures w14:val="none"/>
              </w:rPr>
              <w:t>Result</w:t>
            </w:r>
          </w:p>
        </w:tc>
      </w:tr>
      <w:tr w:rsidR="00CA0752" w:rsidRPr="008126FD" w14:paraId="0C8439A5" w14:textId="77777777" w:rsidTr="00CA0752">
        <w:tc>
          <w:tcPr>
            <w:tcW w:w="4675" w:type="dxa"/>
          </w:tcPr>
          <w:p w14:paraId="54FB9894" w14:textId="5483CEF8" w:rsidR="00CA0752" w:rsidRPr="008126FD" w:rsidRDefault="00CA0752" w:rsidP="003A6041">
            <w:pPr>
              <w:spacing w:before="120" w:after="120"/>
              <w:jc w:val="both"/>
              <w:rPr>
                <w:rFonts w:ascii="Arial" w:eastAsia="Times New Roman" w:hAnsi="Arial" w:cs="Arial"/>
                <w:b/>
                <w:bCs/>
                <w:kern w:val="0"/>
                <w14:ligatures w14:val="none"/>
              </w:rPr>
            </w:pPr>
            <w:r w:rsidRPr="00CA0752">
              <w:rPr>
                <w:rFonts w:ascii="Arial" w:eastAsia="Times New Roman" w:hAnsi="Arial" w:cs="Arial"/>
                <w:b/>
                <w:bCs/>
                <w:kern w:val="0"/>
                <w14:ligatures w14:val="none"/>
              </w:rPr>
              <w:t>Flavonoids</w:t>
            </w:r>
          </w:p>
        </w:tc>
        <w:tc>
          <w:tcPr>
            <w:tcW w:w="4675" w:type="dxa"/>
          </w:tcPr>
          <w:p w14:paraId="53194BF8" w14:textId="3350A86D" w:rsidR="00CA0752" w:rsidRPr="008126FD" w:rsidRDefault="0044276D" w:rsidP="003A6041">
            <w:pPr>
              <w:spacing w:before="120" w:after="120"/>
              <w:jc w:val="center"/>
              <w:rPr>
                <w:rFonts w:ascii="Arial" w:eastAsia="Times New Roman" w:hAnsi="Arial" w:cs="Arial"/>
                <w:kern w:val="0"/>
                <w14:ligatures w14:val="none"/>
              </w:rPr>
            </w:pPr>
            <w:r w:rsidRPr="008126FD">
              <w:rPr>
                <w:rFonts w:ascii="Arial" w:eastAsia="Times New Roman" w:hAnsi="Arial" w:cs="Arial"/>
                <w:kern w:val="0"/>
                <w14:ligatures w14:val="none"/>
              </w:rPr>
              <w:t>+</w:t>
            </w:r>
          </w:p>
        </w:tc>
      </w:tr>
      <w:tr w:rsidR="00CA0752" w:rsidRPr="008126FD" w14:paraId="2F136920" w14:textId="77777777" w:rsidTr="00CA0752">
        <w:tc>
          <w:tcPr>
            <w:tcW w:w="4675" w:type="dxa"/>
          </w:tcPr>
          <w:p w14:paraId="47A42C88" w14:textId="77AAEEB4" w:rsidR="00CA0752" w:rsidRPr="008126FD" w:rsidRDefault="00CA0752" w:rsidP="003A6041">
            <w:pPr>
              <w:spacing w:before="120" w:after="120"/>
              <w:jc w:val="both"/>
              <w:rPr>
                <w:rFonts w:ascii="Arial" w:eastAsia="Times New Roman" w:hAnsi="Arial" w:cs="Arial"/>
                <w:b/>
                <w:bCs/>
                <w:kern w:val="0"/>
                <w14:ligatures w14:val="none"/>
              </w:rPr>
            </w:pPr>
            <w:r w:rsidRPr="00CA0752">
              <w:rPr>
                <w:rFonts w:ascii="Arial" w:eastAsia="Times New Roman" w:hAnsi="Arial" w:cs="Arial"/>
                <w:b/>
                <w:bCs/>
                <w:kern w:val="0"/>
                <w14:ligatures w14:val="none"/>
              </w:rPr>
              <w:t>Tannins</w:t>
            </w:r>
          </w:p>
        </w:tc>
        <w:tc>
          <w:tcPr>
            <w:tcW w:w="4675" w:type="dxa"/>
          </w:tcPr>
          <w:p w14:paraId="004D4317" w14:textId="385A25D4" w:rsidR="00CA0752" w:rsidRPr="008126FD" w:rsidRDefault="0044276D" w:rsidP="003A6041">
            <w:pPr>
              <w:spacing w:before="120" w:after="120"/>
              <w:jc w:val="center"/>
              <w:rPr>
                <w:rFonts w:ascii="Arial" w:eastAsia="Times New Roman" w:hAnsi="Arial" w:cs="Arial"/>
                <w:kern w:val="0"/>
                <w14:ligatures w14:val="none"/>
              </w:rPr>
            </w:pPr>
            <w:r w:rsidRPr="008126FD">
              <w:rPr>
                <w:rFonts w:ascii="Arial" w:eastAsia="Times New Roman" w:hAnsi="Arial" w:cs="Arial"/>
                <w:kern w:val="0"/>
                <w14:ligatures w14:val="none"/>
              </w:rPr>
              <w:t>+</w:t>
            </w:r>
          </w:p>
        </w:tc>
      </w:tr>
      <w:tr w:rsidR="00CA0752" w:rsidRPr="008126FD" w14:paraId="79659599" w14:textId="77777777" w:rsidTr="00CA0752">
        <w:tc>
          <w:tcPr>
            <w:tcW w:w="4675" w:type="dxa"/>
          </w:tcPr>
          <w:p w14:paraId="16B4CB11" w14:textId="5630AA05" w:rsidR="00CA0752" w:rsidRPr="008126FD" w:rsidRDefault="00CA0752" w:rsidP="003A6041">
            <w:pPr>
              <w:spacing w:before="120" w:after="120"/>
              <w:jc w:val="both"/>
              <w:rPr>
                <w:rFonts w:ascii="Arial" w:eastAsia="Times New Roman" w:hAnsi="Arial" w:cs="Arial"/>
                <w:b/>
                <w:bCs/>
                <w:kern w:val="0"/>
                <w14:ligatures w14:val="none"/>
              </w:rPr>
            </w:pPr>
            <w:r w:rsidRPr="00CA0752">
              <w:rPr>
                <w:rFonts w:ascii="Arial" w:eastAsia="Times New Roman" w:hAnsi="Arial" w:cs="Arial"/>
                <w:b/>
                <w:bCs/>
                <w:kern w:val="0"/>
                <w14:ligatures w14:val="none"/>
              </w:rPr>
              <w:t>Saponins</w:t>
            </w:r>
          </w:p>
        </w:tc>
        <w:tc>
          <w:tcPr>
            <w:tcW w:w="4675" w:type="dxa"/>
          </w:tcPr>
          <w:p w14:paraId="30DF1641" w14:textId="756A13BF" w:rsidR="00CA0752" w:rsidRPr="008126FD" w:rsidRDefault="0044276D" w:rsidP="003A6041">
            <w:pPr>
              <w:spacing w:before="120" w:after="120"/>
              <w:jc w:val="center"/>
              <w:rPr>
                <w:rFonts w:ascii="Arial" w:eastAsia="Times New Roman" w:hAnsi="Arial" w:cs="Arial"/>
                <w:kern w:val="0"/>
                <w14:ligatures w14:val="none"/>
              </w:rPr>
            </w:pPr>
            <w:r w:rsidRPr="008126FD">
              <w:rPr>
                <w:rFonts w:ascii="Arial" w:eastAsia="Times New Roman" w:hAnsi="Arial" w:cs="Arial"/>
                <w:kern w:val="0"/>
                <w14:ligatures w14:val="none"/>
              </w:rPr>
              <w:t>+</w:t>
            </w:r>
          </w:p>
        </w:tc>
      </w:tr>
      <w:tr w:rsidR="00CA0752" w:rsidRPr="008126FD" w14:paraId="37206746" w14:textId="77777777" w:rsidTr="00CA0752">
        <w:tc>
          <w:tcPr>
            <w:tcW w:w="4675" w:type="dxa"/>
          </w:tcPr>
          <w:p w14:paraId="4929148E" w14:textId="6C9CD6A2" w:rsidR="00CA0752" w:rsidRPr="008126FD" w:rsidRDefault="00CA0752" w:rsidP="003A6041">
            <w:pPr>
              <w:spacing w:before="120" w:after="120"/>
              <w:jc w:val="both"/>
              <w:rPr>
                <w:rFonts w:ascii="Arial" w:eastAsia="Times New Roman" w:hAnsi="Arial" w:cs="Arial"/>
                <w:b/>
                <w:bCs/>
                <w:kern w:val="0"/>
                <w14:ligatures w14:val="none"/>
              </w:rPr>
            </w:pPr>
            <w:r w:rsidRPr="00CA0752">
              <w:rPr>
                <w:rFonts w:ascii="Arial" w:eastAsia="Times New Roman" w:hAnsi="Arial" w:cs="Arial"/>
                <w:b/>
                <w:bCs/>
                <w:kern w:val="0"/>
                <w14:ligatures w14:val="none"/>
              </w:rPr>
              <w:t>Glycosides</w:t>
            </w:r>
          </w:p>
        </w:tc>
        <w:tc>
          <w:tcPr>
            <w:tcW w:w="4675" w:type="dxa"/>
          </w:tcPr>
          <w:p w14:paraId="48065CBC" w14:textId="01848F82" w:rsidR="00CA0752" w:rsidRPr="008126FD" w:rsidRDefault="0044276D" w:rsidP="003A6041">
            <w:pPr>
              <w:spacing w:before="120" w:after="120"/>
              <w:jc w:val="center"/>
              <w:rPr>
                <w:rFonts w:ascii="Arial" w:eastAsia="Times New Roman" w:hAnsi="Arial" w:cs="Arial"/>
                <w:kern w:val="0"/>
                <w14:ligatures w14:val="none"/>
              </w:rPr>
            </w:pPr>
            <w:r w:rsidRPr="008126FD">
              <w:rPr>
                <w:rFonts w:ascii="Arial" w:eastAsia="Times New Roman" w:hAnsi="Arial" w:cs="Arial"/>
                <w:kern w:val="0"/>
                <w14:ligatures w14:val="none"/>
              </w:rPr>
              <w:t>+</w:t>
            </w:r>
          </w:p>
        </w:tc>
      </w:tr>
      <w:tr w:rsidR="00CA0752" w:rsidRPr="008126FD" w14:paraId="1B9A60E3" w14:textId="77777777" w:rsidTr="00CA0752">
        <w:tc>
          <w:tcPr>
            <w:tcW w:w="4675" w:type="dxa"/>
          </w:tcPr>
          <w:p w14:paraId="7126AD23" w14:textId="2757CDB1" w:rsidR="00CA0752" w:rsidRPr="008126FD" w:rsidRDefault="00CA0752" w:rsidP="003A6041">
            <w:pPr>
              <w:spacing w:before="120" w:after="120"/>
              <w:jc w:val="both"/>
              <w:rPr>
                <w:rFonts w:ascii="Arial" w:eastAsia="Times New Roman" w:hAnsi="Arial" w:cs="Arial"/>
                <w:b/>
                <w:bCs/>
                <w:kern w:val="0"/>
                <w14:ligatures w14:val="none"/>
              </w:rPr>
            </w:pPr>
            <w:r w:rsidRPr="00CA0752">
              <w:rPr>
                <w:rFonts w:ascii="Arial" w:eastAsia="Times New Roman" w:hAnsi="Arial" w:cs="Arial"/>
                <w:b/>
                <w:bCs/>
                <w:kern w:val="0"/>
                <w14:ligatures w14:val="none"/>
              </w:rPr>
              <w:t>Steroids</w:t>
            </w:r>
          </w:p>
        </w:tc>
        <w:tc>
          <w:tcPr>
            <w:tcW w:w="4675" w:type="dxa"/>
          </w:tcPr>
          <w:p w14:paraId="73CD0735" w14:textId="55823149" w:rsidR="00CA0752" w:rsidRPr="008126FD" w:rsidRDefault="0044276D" w:rsidP="003A6041">
            <w:pPr>
              <w:spacing w:before="120" w:after="120"/>
              <w:jc w:val="center"/>
              <w:rPr>
                <w:rFonts w:ascii="Arial" w:eastAsia="Times New Roman" w:hAnsi="Arial" w:cs="Arial"/>
                <w:kern w:val="0"/>
                <w14:ligatures w14:val="none"/>
              </w:rPr>
            </w:pPr>
            <w:r w:rsidRPr="008126FD">
              <w:rPr>
                <w:rFonts w:ascii="Arial" w:eastAsia="Times New Roman" w:hAnsi="Arial" w:cs="Arial"/>
                <w:kern w:val="0"/>
                <w14:ligatures w14:val="none"/>
              </w:rPr>
              <w:t>+</w:t>
            </w:r>
          </w:p>
        </w:tc>
      </w:tr>
      <w:tr w:rsidR="00CA0752" w:rsidRPr="008126FD" w14:paraId="776EB939" w14:textId="77777777" w:rsidTr="00CA0752">
        <w:tc>
          <w:tcPr>
            <w:tcW w:w="4675" w:type="dxa"/>
          </w:tcPr>
          <w:p w14:paraId="25493792" w14:textId="268343E1" w:rsidR="00CA0752" w:rsidRPr="008126FD" w:rsidRDefault="00CA0752" w:rsidP="003A6041">
            <w:pPr>
              <w:spacing w:before="120" w:after="120"/>
              <w:jc w:val="both"/>
              <w:rPr>
                <w:rFonts w:ascii="Arial" w:eastAsia="Times New Roman" w:hAnsi="Arial" w:cs="Arial"/>
                <w:b/>
                <w:bCs/>
                <w:kern w:val="0"/>
                <w14:ligatures w14:val="none"/>
              </w:rPr>
            </w:pPr>
            <w:r w:rsidRPr="00CA0752">
              <w:rPr>
                <w:rFonts w:ascii="Arial" w:eastAsia="Times New Roman" w:hAnsi="Arial" w:cs="Arial"/>
                <w:b/>
                <w:bCs/>
                <w:kern w:val="0"/>
                <w14:ligatures w14:val="none"/>
              </w:rPr>
              <w:t>Alkaloids</w:t>
            </w:r>
          </w:p>
        </w:tc>
        <w:tc>
          <w:tcPr>
            <w:tcW w:w="4675" w:type="dxa"/>
          </w:tcPr>
          <w:p w14:paraId="04E59AC2" w14:textId="31040AD0" w:rsidR="00CA0752" w:rsidRPr="008126FD" w:rsidRDefault="0044276D" w:rsidP="003A6041">
            <w:pPr>
              <w:spacing w:before="120" w:after="120"/>
              <w:jc w:val="center"/>
              <w:rPr>
                <w:rFonts w:ascii="Arial" w:eastAsia="Times New Roman" w:hAnsi="Arial" w:cs="Arial"/>
                <w:kern w:val="0"/>
                <w14:ligatures w14:val="none"/>
              </w:rPr>
            </w:pPr>
            <w:r w:rsidRPr="008126FD">
              <w:rPr>
                <w:rFonts w:ascii="Arial" w:eastAsia="Times New Roman" w:hAnsi="Arial" w:cs="Arial"/>
                <w:kern w:val="0"/>
                <w14:ligatures w14:val="none"/>
              </w:rPr>
              <w:t>-</w:t>
            </w:r>
          </w:p>
        </w:tc>
      </w:tr>
      <w:tr w:rsidR="00CA0752" w:rsidRPr="008126FD" w14:paraId="713DA6C1" w14:textId="77777777" w:rsidTr="00CA0752">
        <w:tc>
          <w:tcPr>
            <w:tcW w:w="4675" w:type="dxa"/>
          </w:tcPr>
          <w:p w14:paraId="6DC4BB1D" w14:textId="1B350BD1" w:rsidR="00CA0752" w:rsidRPr="008126FD" w:rsidRDefault="00CA0752" w:rsidP="003A6041">
            <w:pPr>
              <w:spacing w:before="120" w:after="120"/>
              <w:jc w:val="both"/>
              <w:rPr>
                <w:rFonts w:ascii="Arial" w:eastAsia="Times New Roman" w:hAnsi="Arial" w:cs="Arial"/>
                <w:b/>
                <w:bCs/>
                <w:kern w:val="0"/>
                <w14:ligatures w14:val="none"/>
              </w:rPr>
            </w:pPr>
            <w:r w:rsidRPr="00CA0752">
              <w:rPr>
                <w:rFonts w:ascii="Arial" w:eastAsia="Times New Roman" w:hAnsi="Arial" w:cs="Arial"/>
                <w:b/>
                <w:bCs/>
                <w:kern w:val="0"/>
                <w14:ligatures w14:val="none"/>
              </w:rPr>
              <w:t>Anthraquinones</w:t>
            </w:r>
          </w:p>
        </w:tc>
        <w:tc>
          <w:tcPr>
            <w:tcW w:w="4675" w:type="dxa"/>
          </w:tcPr>
          <w:p w14:paraId="2F4B27AB" w14:textId="066B446B" w:rsidR="00CA0752" w:rsidRPr="008126FD" w:rsidRDefault="0044276D" w:rsidP="003A6041">
            <w:pPr>
              <w:spacing w:before="120" w:after="120"/>
              <w:jc w:val="center"/>
              <w:rPr>
                <w:rFonts w:ascii="Arial" w:eastAsia="Times New Roman" w:hAnsi="Arial" w:cs="Arial"/>
                <w:kern w:val="0"/>
                <w14:ligatures w14:val="none"/>
              </w:rPr>
            </w:pPr>
            <w:r w:rsidRPr="008126FD">
              <w:rPr>
                <w:rFonts w:ascii="Arial" w:eastAsia="Times New Roman" w:hAnsi="Arial" w:cs="Arial"/>
                <w:kern w:val="0"/>
                <w14:ligatures w14:val="none"/>
              </w:rPr>
              <w:t>-</w:t>
            </w:r>
          </w:p>
        </w:tc>
      </w:tr>
      <w:tr w:rsidR="00CA0752" w:rsidRPr="008126FD" w14:paraId="0330E904" w14:textId="77777777" w:rsidTr="00CA0752">
        <w:tc>
          <w:tcPr>
            <w:tcW w:w="4675" w:type="dxa"/>
          </w:tcPr>
          <w:p w14:paraId="65333FEF" w14:textId="7F9181A1" w:rsidR="00CA0752" w:rsidRPr="008126FD" w:rsidRDefault="00CA0752" w:rsidP="003A6041">
            <w:pPr>
              <w:spacing w:before="120" w:after="120"/>
              <w:jc w:val="both"/>
              <w:rPr>
                <w:rFonts w:ascii="Arial" w:eastAsia="Times New Roman" w:hAnsi="Arial" w:cs="Arial"/>
                <w:b/>
                <w:bCs/>
                <w:kern w:val="0"/>
                <w14:ligatures w14:val="none"/>
              </w:rPr>
            </w:pPr>
            <w:r w:rsidRPr="00CA0752">
              <w:rPr>
                <w:rFonts w:ascii="Arial" w:eastAsia="Times New Roman" w:hAnsi="Arial" w:cs="Arial"/>
                <w:b/>
                <w:bCs/>
                <w:kern w:val="0"/>
                <w14:ligatures w14:val="none"/>
              </w:rPr>
              <w:t>Balsams</w:t>
            </w:r>
          </w:p>
        </w:tc>
        <w:tc>
          <w:tcPr>
            <w:tcW w:w="4675" w:type="dxa"/>
          </w:tcPr>
          <w:p w14:paraId="7A289D8B" w14:textId="031FA89B" w:rsidR="00CA0752" w:rsidRPr="008126FD" w:rsidRDefault="0044276D" w:rsidP="003A6041">
            <w:pPr>
              <w:spacing w:before="120" w:after="120"/>
              <w:jc w:val="center"/>
              <w:rPr>
                <w:rFonts w:ascii="Arial" w:eastAsia="Times New Roman" w:hAnsi="Arial" w:cs="Arial"/>
                <w:kern w:val="0"/>
                <w14:ligatures w14:val="none"/>
              </w:rPr>
            </w:pPr>
            <w:r w:rsidRPr="008126FD">
              <w:rPr>
                <w:rFonts w:ascii="Arial" w:eastAsia="Times New Roman" w:hAnsi="Arial" w:cs="Arial"/>
                <w:kern w:val="0"/>
                <w14:ligatures w14:val="none"/>
              </w:rPr>
              <w:t>+</w:t>
            </w:r>
          </w:p>
        </w:tc>
      </w:tr>
      <w:tr w:rsidR="00CA0752" w:rsidRPr="008126FD" w14:paraId="006EA17E" w14:textId="77777777" w:rsidTr="00CA0752">
        <w:tc>
          <w:tcPr>
            <w:tcW w:w="4675" w:type="dxa"/>
          </w:tcPr>
          <w:p w14:paraId="0667FA53" w14:textId="6BFF7FB7" w:rsidR="00CA0752" w:rsidRPr="008126FD" w:rsidRDefault="00CA0752" w:rsidP="003A6041">
            <w:pPr>
              <w:spacing w:before="120" w:after="120"/>
              <w:jc w:val="both"/>
              <w:rPr>
                <w:rFonts w:ascii="Arial" w:eastAsia="Times New Roman" w:hAnsi="Arial" w:cs="Arial"/>
                <w:b/>
                <w:bCs/>
                <w:kern w:val="0"/>
                <w14:ligatures w14:val="none"/>
              </w:rPr>
            </w:pPr>
            <w:r w:rsidRPr="00CA0752">
              <w:rPr>
                <w:rFonts w:ascii="Arial" w:eastAsia="Times New Roman" w:hAnsi="Arial" w:cs="Arial"/>
                <w:b/>
                <w:bCs/>
                <w:kern w:val="0"/>
                <w14:ligatures w14:val="none"/>
              </w:rPr>
              <w:t>Volatile oils</w:t>
            </w:r>
          </w:p>
        </w:tc>
        <w:tc>
          <w:tcPr>
            <w:tcW w:w="4675" w:type="dxa"/>
          </w:tcPr>
          <w:p w14:paraId="5DFAFAA6" w14:textId="7093EA05" w:rsidR="00CA0752" w:rsidRPr="008126FD" w:rsidRDefault="0044276D" w:rsidP="003A6041">
            <w:pPr>
              <w:spacing w:before="120" w:after="120"/>
              <w:jc w:val="center"/>
              <w:rPr>
                <w:rFonts w:ascii="Arial" w:eastAsia="Times New Roman" w:hAnsi="Arial" w:cs="Arial"/>
                <w:kern w:val="0"/>
                <w14:ligatures w14:val="none"/>
              </w:rPr>
            </w:pPr>
            <w:r w:rsidRPr="008126FD">
              <w:rPr>
                <w:rFonts w:ascii="Arial" w:eastAsia="Times New Roman" w:hAnsi="Arial" w:cs="Arial"/>
                <w:kern w:val="0"/>
                <w14:ligatures w14:val="none"/>
              </w:rPr>
              <w:t>-</w:t>
            </w:r>
          </w:p>
        </w:tc>
      </w:tr>
    </w:tbl>
    <w:p w14:paraId="73D7B345" w14:textId="21B4D230" w:rsidR="00CA0752" w:rsidRPr="008126FD" w:rsidRDefault="006E7941" w:rsidP="003A6041">
      <w:pPr>
        <w:spacing w:line="360" w:lineRule="auto"/>
        <w:jc w:val="both"/>
        <w:rPr>
          <w:rFonts w:ascii="Arial" w:eastAsia="Times New Roman" w:hAnsi="Arial" w:cs="Arial"/>
          <w:kern w:val="0"/>
          <w14:ligatures w14:val="none"/>
        </w:rPr>
      </w:pPr>
      <w:r>
        <w:rPr>
          <w:rFonts w:ascii="Arial" w:eastAsia="Times New Roman" w:hAnsi="Arial" w:cs="Arial"/>
          <w:kern w:val="0"/>
          <w14:ligatures w14:val="none"/>
        </w:rPr>
        <w:t>(</w:t>
      </w:r>
      <w:r w:rsidR="003A6041" w:rsidRPr="008126FD">
        <w:rPr>
          <w:rFonts w:ascii="Arial" w:eastAsia="Times New Roman" w:hAnsi="Arial" w:cs="Arial"/>
          <w:kern w:val="0"/>
          <w14:ligatures w14:val="none"/>
        </w:rPr>
        <w:t>+ = Present</w:t>
      </w:r>
      <w:r>
        <w:rPr>
          <w:rFonts w:ascii="Arial" w:eastAsia="Times New Roman" w:hAnsi="Arial" w:cs="Arial"/>
          <w:kern w:val="0"/>
          <w14:ligatures w14:val="none"/>
        </w:rPr>
        <w:t>)</w:t>
      </w:r>
      <w:r w:rsidR="003A6041" w:rsidRPr="008126FD">
        <w:rPr>
          <w:rFonts w:ascii="Arial" w:eastAsia="Times New Roman" w:hAnsi="Arial" w:cs="Arial"/>
          <w:kern w:val="0"/>
          <w14:ligatures w14:val="none"/>
        </w:rPr>
        <w:t xml:space="preserve">, </w:t>
      </w:r>
      <w:r>
        <w:rPr>
          <w:rFonts w:ascii="Arial" w:eastAsia="Times New Roman" w:hAnsi="Arial" w:cs="Arial"/>
          <w:kern w:val="0"/>
          <w14:ligatures w14:val="none"/>
        </w:rPr>
        <w:t>(</w:t>
      </w:r>
      <w:r w:rsidR="003A6041" w:rsidRPr="008126FD">
        <w:rPr>
          <w:rFonts w:ascii="Arial" w:eastAsia="Times New Roman" w:hAnsi="Arial" w:cs="Arial"/>
          <w:kern w:val="0"/>
          <w14:ligatures w14:val="none"/>
        </w:rPr>
        <w:t>- = Absent</w:t>
      </w:r>
      <w:r>
        <w:rPr>
          <w:rFonts w:ascii="Arial" w:eastAsia="Times New Roman" w:hAnsi="Arial" w:cs="Arial"/>
          <w:kern w:val="0"/>
          <w14:ligatures w14:val="none"/>
        </w:rPr>
        <w:t>)</w:t>
      </w:r>
    </w:p>
    <w:p w14:paraId="04A1F4D2" w14:textId="0A14E877" w:rsidR="0044276D" w:rsidRPr="008126FD" w:rsidRDefault="00606B87" w:rsidP="0044276D">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 xml:space="preserve">3.2 </w:t>
      </w:r>
      <w:r w:rsidR="0044276D" w:rsidRPr="008126FD">
        <w:rPr>
          <w:rFonts w:ascii="Arial" w:eastAsia="Times New Roman" w:hAnsi="Arial" w:cs="Arial"/>
          <w:b/>
          <w:bCs/>
          <w:kern w:val="0"/>
          <w14:ligatures w14:val="none"/>
        </w:rPr>
        <w:t xml:space="preserve">Antibacterial Activity Against </w:t>
      </w:r>
      <w:r w:rsidR="0044276D" w:rsidRPr="008126FD">
        <w:rPr>
          <w:rFonts w:ascii="Arial" w:eastAsia="Times New Roman" w:hAnsi="Arial" w:cs="Arial"/>
          <w:b/>
          <w:bCs/>
          <w:i/>
          <w:iCs/>
          <w:kern w:val="0"/>
          <w14:ligatures w14:val="none"/>
        </w:rPr>
        <w:t>Vibrio parahaemolyticus</w:t>
      </w:r>
    </w:p>
    <w:p w14:paraId="7CDAD498" w14:textId="17C46F8B" w:rsidR="00CA0752" w:rsidRDefault="0044276D" w:rsidP="00935E23">
      <w:pPr>
        <w:spacing w:line="360" w:lineRule="auto"/>
        <w:ind w:firstLine="720"/>
        <w:jc w:val="both"/>
        <w:rPr>
          <w:rFonts w:ascii="Arial" w:eastAsia="Times New Roman" w:hAnsi="Arial" w:cs="Arial"/>
          <w:kern w:val="0"/>
          <w14:ligatures w14:val="none"/>
        </w:rPr>
      </w:pPr>
      <w:r w:rsidRPr="008126FD">
        <w:rPr>
          <w:rFonts w:ascii="Arial" w:eastAsia="Times New Roman" w:hAnsi="Arial" w:cs="Arial"/>
          <w:kern w:val="0"/>
          <w14:ligatures w14:val="none"/>
        </w:rPr>
        <w:t xml:space="preserve">The antibacterial activity of the ethanolic </w:t>
      </w:r>
      <w:r w:rsidRPr="009529F6">
        <w:rPr>
          <w:rFonts w:ascii="Arial" w:eastAsia="Times New Roman" w:hAnsi="Arial" w:cs="Arial"/>
          <w:i/>
          <w:iCs/>
          <w:kern w:val="0"/>
          <w14:ligatures w14:val="none"/>
        </w:rPr>
        <w:t>Psidium guajava</w:t>
      </w:r>
      <w:r w:rsidRPr="008126FD">
        <w:rPr>
          <w:rFonts w:ascii="Arial" w:eastAsia="Times New Roman" w:hAnsi="Arial" w:cs="Arial"/>
          <w:kern w:val="0"/>
          <w14:ligatures w14:val="none"/>
        </w:rPr>
        <w:t xml:space="preserve"> leaf extract against </w:t>
      </w:r>
      <w:r w:rsidR="006E7941" w:rsidRPr="008126FD">
        <w:rPr>
          <w:rFonts w:ascii="Arial" w:eastAsia="Times New Roman" w:hAnsi="Arial" w:cs="Arial"/>
          <w:kern w:val="0"/>
          <w14:ligatures w14:val="none"/>
        </w:rPr>
        <w:t xml:space="preserve">Vibrio parahaemolyticus </w:t>
      </w:r>
      <w:r w:rsidRPr="008126FD">
        <w:rPr>
          <w:rFonts w:ascii="Arial" w:eastAsia="Times New Roman" w:hAnsi="Arial" w:cs="Arial"/>
          <w:kern w:val="0"/>
          <w14:ligatures w14:val="none"/>
        </w:rPr>
        <w:t>was evaluated using the disc diffusion method. The extract exhibited clear inhibitory activity against the test organism, with the diameter of the inhibition zone increasing proportionally with extract concentration (Table 2). No inhibition zone was observed in the negative control (70% ethanol), confirming that the solvent had no antibacterial effect.</w:t>
      </w:r>
      <w:r w:rsidR="00935E23" w:rsidRPr="008126FD">
        <w:rPr>
          <w:rFonts w:ascii="Arial" w:eastAsia="Times New Roman" w:hAnsi="Arial" w:cs="Arial"/>
          <w:kern w:val="0"/>
          <w14:ligatures w14:val="none"/>
        </w:rPr>
        <w:t xml:space="preserve"> </w:t>
      </w:r>
      <w:r w:rsidRPr="008126FD">
        <w:rPr>
          <w:rFonts w:ascii="Arial" w:eastAsia="Times New Roman" w:hAnsi="Arial" w:cs="Arial"/>
          <w:kern w:val="0"/>
          <w14:ligatures w14:val="none"/>
        </w:rPr>
        <w:t xml:space="preserve">The highest inhibition zone was recorded at </w:t>
      </w:r>
      <w:r w:rsidR="00056C51" w:rsidRPr="008126FD">
        <w:rPr>
          <w:rFonts w:ascii="Arial" w:eastAsia="Times New Roman" w:hAnsi="Arial" w:cs="Arial"/>
          <w:kern w:val="0"/>
          <w14:ligatures w14:val="none"/>
        </w:rPr>
        <w:t>100</w:t>
      </w:r>
      <w:r w:rsidRPr="008126FD">
        <w:rPr>
          <w:rFonts w:ascii="Arial" w:eastAsia="Times New Roman" w:hAnsi="Arial" w:cs="Arial"/>
          <w:kern w:val="0"/>
          <w14:ligatures w14:val="none"/>
        </w:rPr>
        <w:t xml:space="preserve"> ppm, while the lowest activity was observed at </w:t>
      </w:r>
      <w:r w:rsidR="00056C51" w:rsidRPr="008126FD">
        <w:rPr>
          <w:rFonts w:ascii="Arial" w:eastAsia="Times New Roman" w:hAnsi="Arial" w:cs="Arial"/>
          <w:kern w:val="0"/>
          <w14:ligatures w14:val="none"/>
        </w:rPr>
        <w:t>2</w:t>
      </w:r>
      <w:r w:rsidRPr="008126FD">
        <w:rPr>
          <w:rFonts w:ascii="Arial" w:eastAsia="Times New Roman" w:hAnsi="Arial" w:cs="Arial"/>
          <w:kern w:val="0"/>
          <w14:ligatures w14:val="none"/>
        </w:rPr>
        <w:t>5 ppm. The standard antibiotic chloramphenicol produced the maximum inhibition zone, serving as a reference for comparative evaluation.</w:t>
      </w:r>
    </w:p>
    <w:p w14:paraId="46DA46AA" w14:textId="3200DF80" w:rsidR="006E7941" w:rsidRPr="009529F6" w:rsidRDefault="006E7941" w:rsidP="006E7941">
      <w:pPr>
        <w:spacing w:line="360" w:lineRule="auto"/>
        <w:jc w:val="both"/>
        <w:rPr>
          <w:rFonts w:ascii="Arial" w:eastAsia="Times New Roman" w:hAnsi="Arial" w:cs="Arial"/>
          <w:b/>
          <w:bCs/>
          <w:kern w:val="0"/>
          <w14:ligatures w14:val="none"/>
        </w:rPr>
      </w:pPr>
      <w:r w:rsidRPr="009529F6">
        <w:rPr>
          <w:rFonts w:ascii="Arial" w:eastAsia="Times New Roman" w:hAnsi="Arial" w:cs="Arial"/>
          <w:b/>
          <w:bCs/>
          <w:kern w:val="0"/>
          <w14:ligatures w14:val="none"/>
        </w:rPr>
        <w:t xml:space="preserve">Table 2. Inhibition zones of the different concentrations of the </w:t>
      </w:r>
      <w:r w:rsidRPr="009529F6">
        <w:rPr>
          <w:rFonts w:ascii="Arial" w:eastAsia="Times New Roman" w:hAnsi="Arial" w:cs="Arial"/>
          <w:b/>
          <w:bCs/>
          <w:i/>
          <w:iCs/>
          <w:kern w:val="0"/>
          <w14:ligatures w14:val="none"/>
        </w:rPr>
        <w:t>Psidium guajava</w:t>
      </w:r>
      <w:r w:rsidRPr="009529F6">
        <w:rPr>
          <w:rFonts w:ascii="Arial" w:eastAsia="Times New Roman" w:hAnsi="Arial" w:cs="Arial"/>
          <w:b/>
          <w:bCs/>
          <w:kern w:val="0"/>
          <w14:ligatures w14:val="none"/>
        </w:rPr>
        <w:t xml:space="preserve"> leaf extracts against </w:t>
      </w:r>
      <w:r w:rsidRPr="009529F6">
        <w:rPr>
          <w:rFonts w:ascii="Arial" w:eastAsia="Times New Roman" w:hAnsi="Arial" w:cs="Arial"/>
          <w:b/>
          <w:bCs/>
          <w:i/>
          <w:iCs/>
          <w:kern w:val="0"/>
          <w14:ligatures w14:val="none"/>
        </w:rPr>
        <w:t>Vibrio parahaemolyticus</w:t>
      </w:r>
    </w:p>
    <w:tbl>
      <w:tblPr>
        <w:tblStyle w:val="TableGrid"/>
        <w:tblW w:w="9355" w:type="dxa"/>
        <w:tblLook w:val="04A0" w:firstRow="1" w:lastRow="0" w:firstColumn="1" w:lastColumn="0" w:noHBand="0" w:noVBand="1"/>
      </w:tblPr>
      <w:tblGrid>
        <w:gridCol w:w="4315"/>
        <w:gridCol w:w="1980"/>
        <w:gridCol w:w="3060"/>
      </w:tblGrid>
      <w:tr w:rsidR="00C97290" w:rsidRPr="008126FD" w14:paraId="43342D49" w14:textId="77777777" w:rsidTr="006E7941">
        <w:tc>
          <w:tcPr>
            <w:tcW w:w="4315" w:type="dxa"/>
          </w:tcPr>
          <w:p w14:paraId="50636C3C" w14:textId="7343623D" w:rsidR="00C97290" w:rsidRPr="008126FD" w:rsidRDefault="00C97290" w:rsidP="00935E23">
            <w:pPr>
              <w:spacing w:before="120" w:after="120"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Treatment</w:t>
            </w:r>
          </w:p>
        </w:tc>
        <w:tc>
          <w:tcPr>
            <w:tcW w:w="1980" w:type="dxa"/>
          </w:tcPr>
          <w:p w14:paraId="77A26D10" w14:textId="3AB49D9D" w:rsidR="00C97290" w:rsidRPr="008126FD" w:rsidRDefault="00C97290" w:rsidP="00935E23">
            <w:pPr>
              <w:spacing w:before="120" w:after="120" w:line="360" w:lineRule="auto"/>
              <w:jc w:val="center"/>
              <w:rPr>
                <w:rFonts w:ascii="Arial" w:eastAsia="Times New Roman" w:hAnsi="Arial" w:cs="Arial"/>
                <w:b/>
                <w:bCs/>
                <w:kern w:val="0"/>
                <w14:ligatures w14:val="none"/>
              </w:rPr>
            </w:pPr>
            <w:r w:rsidRPr="008126FD">
              <w:rPr>
                <w:rFonts w:ascii="Arial" w:eastAsia="Times New Roman" w:hAnsi="Arial" w:cs="Arial"/>
                <w:b/>
                <w:bCs/>
                <w:kern w:val="0"/>
                <w14:ligatures w14:val="none"/>
              </w:rPr>
              <w:t>Concentration</w:t>
            </w:r>
          </w:p>
        </w:tc>
        <w:tc>
          <w:tcPr>
            <w:tcW w:w="3060" w:type="dxa"/>
          </w:tcPr>
          <w:p w14:paraId="54749CFA" w14:textId="186790FE" w:rsidR="00C97290" w:rsidRPr="008126FD" w:rsidRDefault="00C97290" w:rsidP="00935E23">
            <w:pPr>
              <w:spacing w:before="120" w:after="120" w:line="360" w:lineRule="auto"/>
              <w:jc w:val="center"/>
              <w:rPr>
                <w:rFonts w:ascii="Arial" w:eastAsia="Times New Roman" w:hAnsi="Arial" w:cs="Arial"/>
                <w:b/>
                <w:bCs/>
                <w:kern w:val="0"/>
                <w14:ligatures w14:val="none"/>
              </w:rPr>
            </w:pPr>
            <w:r w:rsidRPr="008126FD">
              <w:rPr>
                <w:rFonts w:ascii="Arial" w:eastAsia="Times New Roman" w:hAnsi="Arial" w:cs="Arial"/>
                <w:b/>
                <w:bCs/>
                <w:kern w:val="0"/>
                <w14:ligatures w14:val="none"/>
              </w:rPr>
              <w:t>Zone of Inhibition (mm)</w:t>
            </w:r>
          </w:p>
        </w:tc>
      </w:tr>
      <w:tr w:rsidR="00C97290" w:rsidRPr="008126FD" w14:paraId="673E96E1" w14:textId="77777777" w:rsidTr="006E7941">
        <w:tc>
          <w:tcPr>
            <w:tcW w:w="4315" w:type="dxa"/>
          </w:tcPr>
          <w:p w14:paraId="415D6644" w14:textId="6CC125B6" w:rsidR="00C97290" w:rsidRPr="006E7941" w:rsidRDefault="00C97290" w:rsidP="00935E23">
            <w:pPr>
              <w:spacing w:before="120" w:after="120" w:line="360" w:lineRule="auto"/>
              <w:jc w:val="both"/>
              <w:rPr>
                <w:rFonts w:ascii="Arial" w:eastAsia="Times New Roman" w:hAnsi="Arial" w:cs="Arial"/>
                <w:b/>
                <w:bCs/>
                <w:kern w:val="0"/>
                <w14:ligatures w14:val="none"/>
              </w:rPr>
            </w:pPr>
            <w:r w:rsidRPr="006E7941">
              <w:rPr>
                <w:rFonts w:ascii="Arial" w:eastAsia="Times New Roman" w:hAnsi="Arial" w:cs="Arial"/>
                <w:b/>
                <w:bCs/>
                <w:kern w:val="0"/>
                <w14:ligatures w14:val="none"/>
              </w:rPr>
              <w:lastRenderedPageBreak/>
              <w:t>Positive control</w:t>
            </w:r>
            <w:r w:rsidR="00935E23" w:rsidRPr="006E7941">
              <w:rPr>
                <w:rFonts w:ascii="Arial" w:eastAsia="Times New Roman" w:hAnsi="Arial" w:cs="Arial"/>
                <w:b/>
                <w:bCs/>
                <w:kern w:val="0"/>
                <w14:ligatures w14:val="none"/>
              </w:rPr>
              <w:t xml:space="preserve"> </w:t>
            </w:r>
            <w:r w:rsidRPr="006E7941">
              <w:rPr>
                <w:rFonts w:ascii="Arial" w:eastAsia="Times New Roman" w:hAnsi="Arial" w:cs="Arial"/>
                <w:b/>
                <w:bCs/>
                <w:kern w:val="0"/>
                <w14:ligatures w14:val="none"/>
              </w:rPr>
              <w:t>(Chloramphenicol)</w:t>
            </w:r>
          </w:p>
        </w:tc>
        <w:tc>
          <w:tcPr>
            <w:tcW w:w="1980" w:type="dxa"/>
          </w:tcPr>
          <w:p w14:paraId="6584E5B8" w14:textId="37A65809" w:rsidR="00C97290" w:rsidRPr="008126FD" w:rsidRDefault="00C97290" w:rsidP="00935E23">
            <w:pPr>
              <w:spacing w:before="120" w:after="120" w:line="360" w:lineRule="auto"/>
              <w:jc w:val="center"/>
              <w:rPr>
                <w:rFonts w:ascii="Arial" w:eastAsia="Times New Roman" w:hAnsi="Arial" w:cs="Arial"/>
                <w:kern w:val="0"/>
                <w14:ligatures w14:val="none"/>
              </w:rPr>
            </w:pPr>
            <w:r w:rsidRPr="008126FD">
              <w:rPr>
                <w:rFonts w:ascii="Arial" w:eastAsia="Times New Roman" w:hAnsi="Arial" w:cs="Arial"/>
                <w:kern w:val="0"/>
                <w14:ligatures w14:val="none"/>
              </w:rPr>
              <w:t>0.01%</w:t>
            </w:r>
          </w:p>
        </w:tc>
        <w:tc>
          <w:tcPr>
            <w:tcW w:w="3060" w:type="dxa"/>
            <w:vAlign w:val="center"/>
          </w:tcPr>
          <w:p w14:paraId="37290549" w14:textId="6F1EE575" w:rsidR="00C97290" w:rsidRPr="008126FD" w:rsidRDefault="00C97290" w:rsidP="00935E23">
            <w:pPr>
              <w:spacing w:before="120" w:after="120" w:line="360" w:lineRule="auto"/>
              <w:jc w:val="center"/>
              <w:rPr>
                <w:rFonts w:ascii="Arial" w:eastAsia="Times New Roman" w:hAnsi="Arial" w:cs="Arial"/>
                <w:kern w:val="0"/>
                <w14:ligatures w14:val="none"/>
              </w:rPr>
            </w:pPr>
            <w:r w:rsidRPr="00C97290">
              <w:rPr>
                <w:rFonts w:ascii="Arial" w:eastAsia="Times New Roman" w:hAnsi="Arial" w:cs="Arial"/>
                <w:kern w:val="0"/>
                <w14:ligatures w14:val="none"/>
              </w:rPr>
              <w:t>23.4 ± 0.4</w:t>
            </w:r>
          </w:p>
        </w:tc>
      </w:tr>
      <w:tr w:rsidR="00C97290" w:rsidRPr="008126FD" w14:paraId="4DDE7878" w14:textId="77777777" w:rsidTr="006E7941">
        <w:tc>
          <w:tcPr>
            <w:tcW w:w="4315" w:type="dxa"/>
          </w:tcPr>
          <w:p w14:paraId="3AD6F178" w14:textId="69CC0A4E" w:rsidR="00C97290" w:rsidRPr="006E7941" w:rsidRDefault="00C97290" w:rsidP="00935E23">
            <w:pPr>
              <w:spacing w:before="120" w:after="120" w:line="360" w:lineRule="auto"/>
              <w:jc w:val="both"/>
              <w:rPr>
                <w:rFonts w:ascii="Arial" w:eastAsia="Times New Roman" w:hAnsi="Arial" w:cs="Arial"/>
                <w:b/>
                <w:bCs/>
                <w:kern w:val="0"/>
                <w14:ligatures w14:val="none"/>
              </w:rPr>
            </w:pPr>
            <w:r w:rsidRPr="006E7941">
              <w:rPr>
                <w:rFonts w:ascii="Arial" w:eastAsia="Times New Roman" w:hAnsi="Arial" w:cs="Arial"/>
                <w:b/>
                <w:bCs/>
                <w:kern w:val="0"/>
                <w14:ligatures w14:val="none"/>
              </w:rPr>
              <w:t>Negative control (70% ethanol)</w:t>
            </w:r>
          </w:p>
        </w:tc>
        <w:tc>
          <w:tcPr>
            <w:tcW w:w="1980" w:type="dxa"/>
          </w:tcPr>
          <w:p w14:paraId="264FB3DC" w14:textId="038C10E3" w:rsidR="00C97290" w:rsidRPr="008126FD" w:rsidRDefault="00C97290" w:rsidP="00935E23">
            <w:pPr>
              <w:spacing w:before="120" w:after="120" w:line="360" w:lineRule="auto"/>
              <w:jc w:val="center"/>
              <w:rPr>
                <w:rFonts w:ascii="Arial" w:eastAsia="Times New Roman" w:hAnsi="Arial" w:cs="Arial"/>
                <w:kern w:val="0"/>
                <w14:ligatures w14:val="none"/>
              </w:rPr>
            </w:pPr>
            <w:r w:rsidRPr="008126FD">
              <w:rPr>
                <w:rFonts w:ascii="Arial" w:eastAsia="Times New Roman" w:hAnsi="Arial" w:cs="Arial"/>
                <w:kern w:val="0"/>
                <w14:ligatures w14:val="none"/>
              </w:rPr>
              <w:t>-</w:t>
            </w:r>
          </w:p>
        </w:tc>
        <w:tc>
          <w:tcPr>
            <w:tcW w:w="3060" w:type="dxa"/>
            <w:vAlign w:val="center"/>
          </w:tcPr>
          <w:p w14:paraId="62FA5A57" w14:textId="0F55B43D" w:rsidR="00C97290" w:rsidRPr="008126FD" w:rsidRDefault="00C97290" w:rsidP="00935E23">
            <w:pPr>
              <w:spacing w:before="120" w:after="120" w:line="360" w:lineRule="auto"/>
              <w:jc w:val="center"/>
              <w:rPr>
                <w:rFonts w:ascii="Arial" w:eastAsia="Times New Roman" w:hAnsi="Arial" w:cs="Arial"/>
                <w:kern w:val="0"/>
                <w14:ligatures w14:val="none"/>
              </w:rPr>
            </w:pPr>
            <w:r w:rsidRPr="00C97290">
              <w:rPr>
                <w:rFonts w:ascii="Arial" w:eastAsia="Times New Roman" w:hAnsi="Arial" w:cs="Arial"/>
                <w:kern w:val="0"/>
                <w14:ligatures w14:val="none"/>
              </w:rPr>
              <w:t>0.0</w:t>
            </w:r>
          </w:p>
        </w:tc>
      </w:tr>
      <w:tr w:rsidR="00C97290" w:rsidRPr="008126FD" w14:paraId="690A9C40" w14:textId="77777777" w:rsidTr="006E7941">
        <w:tc>
          <w:tcPr>
            <w:tcW w:w="4315" w:type="dxa"/>
          </w:tcPr>
          <w:p w14:paraId="62037AB3" w14:textId="6CB55168" w:rsidR="00C97290" w:rsidRPr="006E7941" w:rsidRDefault="00C97290" w:rsidP="00935E23">
            <w:pPr>
              <w:spacing w:before="120" w:after="120" w:line="360" w:lineRule="auto"/>
              <w:jc w:val="both"/>
              <w:rPr>
                <w:rFonts w:ascii="Arial" w:eastAsia="Times New Roman" w:hAnsi="Arial" w:cs="Arial"/>
                <w:b/>
                <w:bCs/>
                <w:kern w:val="0"/>
                <w14:ligatures w14:val="none"/>
              </w:rPr>
            </w:pPr>
            <w:r w:rsidRPr="006E7941">
              <w:rPr>
                <w:rFonts w:ascii="Arial" w:eastAsia="Times New Roman" w:hAnsi="Arial" w:cs="Arial"/>
                <w:b/>
                <w:bCs/>
                <w:kern w:val="0"/>
                <w14:ligatures w14:val="none"/>
              </w:rPr>
              <w:t>T1</w:t>
            </w:r>
          </w:p>
        </w:tc>
        <w:tc>
          <w:tcPr>
            <w:tcW w:w="1980" w:type="dxa"/>
          </w:tcPr>
          <w:p w14:paraId="3EA3F8A0" w14:textId="0259B617" w:rsidR="00C97290" w:rsidRPr="008126FD" w:rsidRDefault="00C97290" w:rsidP="00935E23">
            <w:pPr>
              <w:spacing w:before="120" w:after="120" w:line="360" w:lineRule="auto"/>
              <w:jc w:val="center"/>
              <w:rPr>
                <w:rFonts w:ascii="Arial" w:eastAsia="Times New Roman" w:hAnsi="Arial" w:cs="Arial"/>
                <w:kern w:val="0"/>
                <w14:ligatures w14:val="none"/>
              </w:rPr>
            </w:pPr>
            <w:r w:rsidRPr="008126FD">
              <w:rPr>
                <w:rFonts w:ascii="Arial" w:eastAsia="Times New Roman" w:hAnsi="Arial" w:cs="Arial"/>
                <w:kern w:val="0"/>
                <w14:ligatures w14:val="none"/>
              </w:rPr>
              <w:t>25 ppm</w:t>
            </w:r>
          </w:p>
        </w:tc>
        <w:tc>
          <w:tcPr>
            <w:tcW w:w="3060" w:type="dxa"/>
            <w:vAlign w:val="center"/>
          </w:tcPr>
          <w:p w14:paraId="3A870C21" w14:textId="65F05004" w:rsidR="00C97290" w:rsidRPr="008126FD" w:rsidRDefault="00C97290" w:rsidP="00935E23">
            <w:pPr>
              <w:spacing w:before="120" w:after="120" w:line="360" w:lineRule="auto"/>
              <w:jc w:val="center"/>
              <w:rPr>
                <w:rFonts w:ascii="Arial" w:eastAsia="Times New Roman" w:hAnsi="Arial" w:cs="Arial"/>
                <w:kern w:val="0"/>
                <w14:ligatures w14:val="none"/>
              </w:rPr>
            </w:pPr>
            <w:r w:rsidRPr="00C97290">
              <w:rPr>
                <w:rFonts w:ascii="Arial" w:eastAsia="Times New Roman" w:hAnsi="Arial" w:cs="Arial"/>
                <w:kern w:val="0"/>
                <w14:ligatures w14:val="none"/>
              </w:rPr>
              <w:t>4.2 ± 0.2</w:t>
            </w:r>
          </w:p>
        </w:tc>
      </w:tr>
      <w:tr w:rsidR="00C97290" w:rsidRPr="008126FD" w14:paraId="131CAAE1" w14:textId="77777777" w:rsidTr="006E7941">
        <w:tc>
          <w:tcPr>
            <w:tcW w:w="4315" w:type="dxa"/>
          </w:tcPr>
          <w:p w14:paraId="108581DF" w14:textId="56B747EB" w:rsidR="00C97290" w:rsidRPr="006E7941" w:rsidRDefault="00C97290" w:rsidP="00935E23">
            <w:pPr>
              <w:spacing w:before="120" w:after="120" w:line="360" w:lineRule="auto"/>
              <w:jc w:val="both"/>
              <w:rPr>
                <w:rFonts w:ascii="Arial" w:eastAsia="Times New Roman" w:hAnsi="Arial" w:cs="Arial"/>
                <w:b/>
                <w:bCs/>
                <w:kern w:val="0"/>
                <w14:ligatures w14:val="none"/>
              </w:rPr>
            </w:pPr>
            <w:r w:rsidRPr="006E7941">
              <w:rPr>
                <w:rFonts w:ascii="Arial" w:eastAsia="Times New Roman" w:hAnsi="Arial" w:cs="Arial"/>
                <w:b/>
                <w:bCs/>
                <w:kern w:val="0"/>
                <w14:ligatures w14:val="none"/>
              </w:rPr>
              <w:t>T2</w:t>
            </w:r>
          </w:p>
        </w:tc>
        <w:tc>
          <w:tcPr>
            <w:tcW w:w="1980" w:type="dxa"/>
          </w:tcPr>
          <w:p w14:paraId="35C83CBD" w14:textId="222A1143" w:rsidR="00C97290" w:rsidRPr="008126FD" w:rsidRDefault="00C97290" w:rsidP="00935E23">
            <w:pPr>
              <w:spacing w:before="120" w:after="120" w:line="360" w:lineRule="auto"/>
              <w:jc w:val="center"/>
              <w:rPr>
                <w:rFonts w:ascii="Arial" w:eastAsia="Times New Roman" w:hAnsi="Arial" w:cs="Arial"/>
                <w:kern w:val="0"/>
                <w14:ligatures w14:val="none"/>
              </w:rPr>
            </w:pPr>
            <w:r w:rsidRPr="008126FD">
              <w:rPr>
                <w:rFonts w:ascii="Arial" w:eastAsia="Times New Roman" w:hAnsi="Arial" w:cs="Arial"/>
                <w:kern w:val="0"/>
                <w14:ligatures w14:val="none"/>
              </w:rPr>
              <w:t>50 ppm</w:t>
            </w:r>
          </w:p>
        </w:tc>
        <w:tc>
          <w:tcPr>
            <w:tcW w:w="3060" w:type="dxa"/>
            <w:vAlign w:val="center"/>
          </w:tcPr>
          <w:p w14:paraId="6CD40CCB" w14:textId="4F3A8AB6" w:rsidR="00C97290" w:rsidRPr="008126FD" w:rsidRDefault="00C97290" w:rsidP="00935E23">
            <w:pPr>
              <w:spacing w:before="120" w:after="120" w:line="360" w:lineRule="auto"/>
              <w:jc w:val="center"/>
              <w:rPr>
                <w:rFonts w:ascii="Arial" w:eastAsia="Times New Roman" w:hAnsi="Arial" w:cs="Arial"/>
                <w:kern w:val="0"/>
                <w14:ligatures w14:val="none"/>
              </w:rPr>
            </w:pPr>
            <w:r w:rsidRPr="00C97290">
              <w:rPr>
                <w:rFonts w:ascii="Arial" w:eastAsia="Times New Roman" w:hAnsi="Arial" w:cs="Arial"/>
                <w:kern w:val="0"/>
                <w14:ligatures w14:val="none"/>
              </w:rPr>
              <w:t>6.1 ± 0.3</w:t>
            </w:r>
          </w:p>
        </w:tc>
      </w:tr>
      <w:tr w:rsidR="00C97290" w:rsidRPr="008126FD" w14:paraId="007D5C5E" w14:textId="77777777" w:rsidTr="006E7941">
        <w:tc>
          <w:tcPr>
            <w:tcW w:w="4315" w:type="dxa"/>
          </w:tcPr>
          <w:p w14:paraId="5C3A2E31" w14:textId="7F4B6ACB" w:rsidR="00C97290" w:rsidRPr="006E7941" w:rsidRDefault="00C97290" w:rsidP="00935E23">
            <w:pPr>
              <w:spacing w:before="120" w:after="120" w:line="360" w:lineRule="auto"/>
              <w:jc w:val="both"/>
              <w:rPr>
                <w:rFonts w:ascii="Arial" w:eastAsia="Times New Roman" w:hAnsi="Arial" w:cs="Arial"/>
                <w:b/>
                <w:bCs/>
                <w:kern w:val="0"/>
                <w14:ligatures w14:val="none"/>
              </w:rPr>
            </w:pPr>
            <w:r w:rsidRPr="006E7941">
              <w:rPr>
                <w:rFonts w:ascii="Arial" w:eastAsia="Times New Roman" w:hAnsi="Arial" w:cs="Arial"/>
                <w:b/>
                <w:bCs/>
                <w:kern w:val="0"/>
                <w14:ligatures w14:val="none"/>
              </w:rPr>
              <w:t>T3</w:t>
            </w:r>
          </w:p>
        </w:tc>
        <w:tc>
          <w:tcPr>
            <w:tcW w:w="1980" w:type="dxa"/>
          </w:tcPr>
          <w:p w14:paraId="64462487" w14:textId="7F47DA50" w:rsidR="00C97290" w:rsidRPr="008126FD" w:rsidRDefault="00C97290" w:rsidP="00935E23">
            <w:pPr>
              <w:spacing w:before="120" w:after="120" w:line="360" w:lineRule="auto"/>
              <w:jc w:val="center"/>
              <w:rPr>
                <w:rFonts w:ascii="Arial" w:eastAsia="Times New Roman" w:hAnsi="Arial" w:cs="Arial"/>
                <w:kern w:val="0"/>
                <w14:ligatures w14:val="none"/>
              </w:rPr>
            </w:pPr>
            <w:r w:rsidRPr="008126FD">
              <w:rPr>
                <w:rFonts w:ascii="Arial" w:eastAsia="Times New Roman" w:hAnsi="Arial" w:cs="Arial"/>
                <w:kern w:val="0"/>
                <w14:ligatures w14:val="none"/>
              </w:rPr>
              <w:t>75 ppm</w:t>
            </w:r>
          </w:p>
        </w:tc>
        <w:tc>
          <w:tcPr>
            <w:tcW w:w="3060" w:type="dxa"/>
            <w:vAlign w:val="center"/>
          </w:tcPr>
          <w:p w14:paraId="3F0AFA13" w14:textId="13E8391E" w:rsidR="00C97290" w:rsidRPr="008126FD" w:rsidRDefault="00C97290" w:rsidP="00935E23">
            <w:pPr>
              <w:spacing w:before="120" w:after="120" w:line="360" w:lineRule="auto"/>
              <w:jc w:val="center"/>
              <w:rPr>
                <w:rFonts w:ascii="Arial" w:eastAsia="Times New Roman" w:hAnsi="Arial" w:cs="Arial"/>
                <w:kern w:val="0"/>
                <w14:ligatures w14:val="none"/>
              </w:rPr>
            </w:pPr>
            <w:r w:rsidRPr="00C97290">
              <w:rPr>
                <w:rFonts w:ascii="Arial" w:eastAsia="Times New Roman" w:hAnsi="Arial" w:cs="Arial"/>
                <w:kern w:val="0"/>
                <w14:ligatures w14:val="none"/>
              </w:rPr>
              <w:t>8.7 ± 0.3</w:t>
            </w:r>
          </w:p>
        </w:tc>
      </w:tr>
      <w:tr w:rsidR="00C97290" w:rsidRPr="008126FD" w14:paraId="35C33E2D" w14:textId="77777777" w:rsidTr="006E7941">
        <w:trPr>
          <w:trHeight w:val="413"/>
        </w:trPr>
        <w:tc>
          <w:tcPr>
            <w:tcW w:w="4315" w:type="dxa"/>
          </w:tcPr>
          <w:p w14:paraId="0465F253" w14:textId="7704C6E8" w:rsidR="00C97290" w:rsidRPr="006E7941" w:rsidRDefault="00C97290" w:rsidP="00935E23">
            <w:pPr>
              <w:spacing w:before="120" w:after="120" w:line="360" w:lineRule="auto"/>
              <w:jc w:val="both"/>
              <w:rPr>
                <w:rFonts w:ascii="Arial" w:eastAsia="Times New Roman" w:hAnsi="Arial" w:cs="Arial"/>
                <w:b/>
                <w:bCs/>
                <w:kern w:val="0"/>
                <w14:ligatures w14:val="none"/>
              </w:rPr>
            </w:pPr>
            <w:r w:rsidRPr="006E7941">
              <w:rPr>
                <w:rFonts w:ascii="Arial" w:eastAsia="Times New Roman" w:hAnsi="Arial" w:cs="Arial"/>
                <w:b/>
                <w:bCs/>
                <w:kern w:val="0"/>
                <w14:ligatures w14:val="none"/>
              </w:rPr>
              <w:t>T4</w:t>
            </w:r>
          </w:p>
        </w:tc>
        <w:tc>
          <w:tcPr>
            <w:tcW w:w="1980" w:type="dxa"/>
          </w:tcPr>
          <w:p w14:paraId="560E1E43" w14:textId="2D132EDE" w:rsidR="00C97290" w:rsidRPr="008126FD" w:rsidRDefault="00C97290" w:rsidP="00935E23">
            <w:pPr>
              <w:spacing w:before="120" w:after="120" w:line="360" w:lineRule="auto"/>
              <w:jc w:val="center"/>
              <w:rPr>
                <w:rFonts w:ascii="Arial" w:eastAsia="Times New Roman" w:hAnsi="Arial" w:cs="Arial"/>
                <w:kern w:val="0"/>
                <w14:ligatures w14:val="none"/>
              </w:rPr>
            </w:pPr>
            <w:r w:rsidRPr="008126FD">
              <w:rPr>
                <w:rFonts w:ascii="Arial" w:eastAsia="Times New Roman" w:hAnsi="Arial" w:cs="Arial"/>
                <w:kern w:val="0"/>
                <w14:ligatures w14:val="none"/>
              </w:rPr>
              <w:t>100 ppm</w:t>
            </w:r>
          </w:p>
        </w:tc>
        <w:tc>
          <w:tcPr>
            <w:tcW w:w="3060" w:type="dxa"/>
            <w:vAlign w:val="center"/>
          </w:tcPr>
          <w:p w14:paraId="76ABCE72" w14:textId="4EE3F4F0" w:rsidR="00C97290" w:rsidRPr="008126FD" w:rsidRDefault="00C97290" w:rsidP="00935E23">
            <w:pPr>
              <w:spacing w:before="120" w:after="120" w:line="360" w:lineRule="auto"/>
              <w:jc w:val="center"/>
              <w:rPr>
                <w:rFonts w:ascii="Arial" w:eastAsia="Times New Roman" w:hAnsi="Arial" w:cs="Arial"/>
                <w:kern w:val="0"/>
                <w14:ligatures w14:val="none"/>
              </w:rPr>
            </w:pPr>
            <w:r w:rsidRPr="00C97290">
              <w:rPr>
                <w:rFonts w:ascii="Arial" w:eastAsia="Times New Roman" w:hAnsi="Arial" w:cs="Arial"/>
                <w:kern w:val="0"/>
                <w14:ligatures w14:val="none"/>
              </w:rPr>
              <w:t>11.9 ± 0.4</w:t>
            </w:r>
          </w:p>
        </w:tc>
      </w:tr>
    </w:tbl>
    <w:p w14:paraId="73963682" w14:textId="64FFFFBA" w:rsidR="003A6041" w:rsidRPr="006E7941" w:rsidRDefault="006514A9" w:rsidP="008C10EA">
      <w:pPr>
        <w:spacing w:line="360" w:lineRule="auto"/>
        <w:jc w:val="both"/>
        <w:rPr>
          <w:rFonts w:ascii="Arial" w:eastAsia="Times New Roman" w:hAnsi="Arial" w:cs="Arial"/>
          <w:b/>
          <w:bCs/>
          <w:kern w:val="0"/>
          <w14:ligatures w14:val="none"/>
        </w:rPr>
      </w:pPr>
      <w:r w:rsidRPr="006E7941">
        <w:rPr>
          <w:rFonts w:ascii="Arial" w:eastAsia="Times New Roman" w:hAnsi="Arial" w:cs="Arial"/>
          <w:b/>
          <w:bCs/>
          <w:kern w:val="0"/>
          <w14:ligatures w14:val="none"/>
        </w:rPr>
        <w:t xml:space="preserve">Note: Data were expressed as Mean </w:t>
      </w:r>
      <w:r w:rsidRPr="006E7941">
        <w:rPr>
          <w:rFonts w:ascii="Arial" w:hAnsi="Arial" w:cs="Arial"/>
          <w:b/>
          <w:bCs/>
        </w:rPr>
        <w:t>± SE.</w:t>
      </w:r>
    </w:p>
    <w:p w14:paraId="5BF9D284" w14:textId="72438C07" w:rsidR="008C10EA" w:rsidRPr="008126FD" w:rsidRDefault="006514A9" w:rsidP="008C10EA">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 xml:space="preserve">3.3 </w:t>
      </w:r>
      <w:r w:rsidR="008C10EA" w:rsidRPr="008126FD">
        <w:rPr>
          <w:rFonts w:ascii="Arial" w:eastAsia="Times New Roman" w:hAnsi="Arial" w:cs="Arial"/>
          <w:b/>
          <w:bCs/>
          <w:kern w:val="0"/>
          <w14:ligatures w14:val="none"/>
        </w:rPr>
        <w:t xml:space="preserve">Antibacterial Efficacy of </w:t>
      </w:r>
      <w:r w:rsidR="008C10EA" w:rsidRPr="008126FD">
        <w:rPr>
          <w:rFonts w:ascii="Arial" w:eastAsia="Times New Roman" w:hAnsi="Arial" w:cs="Arial"/>
          <w:b/>
          <w:bCs/>
          <w:i/>
          <w:iCs/>
          <w:kern w:val="0"/>
          <w14:ligatures w14:val="none"/>
        </w:rPr>
        <w:t>Psidium guajava</w:t>
      </w:r>
      <w:r w:rsidR="008C10EA" w:rsidRPr="008126FD">
        <w:rPr>
          <w:rFonts w:ascii="Arial" w:eastAsia="Times New Roman" w:hAnsi="Arial" w:cs="Arial"/>
          <w:b/>
          <w:bCs/>
          <w:kern w:val="0"/>
          <w14:ligatures w14:val="none"/>
        </w:rPr>
        <w:t xml:space="preserve"> Leaf Extract</w:t>
      </w:r>
    </w:p>
    <w:p w14:paraId="10625365" w14:textId="7910BA73" w:rsidR="00056C51" w:rsidRPr="006E7941" w:rsidRDefault="008C10EA" w:rsidP="008C10EA">
      <w:pPr>
        <w:spacing w:line="360" w:lineRule="auto"/>
        <w:ind w:firstLine="720"/>
        <w:jc w:val="both"/>
        <w:rPr>
          <w:rFonts w:ascii="Arial" w:eastAsia="Times New Roman" w:hAnsi="Arial" w:cs="Arial"/>
          <w:i/>
          <w:iCs/>
          <w:kern w:val="0"/>
          <w14:ligatures w14:val="none"/>
        </w:rPr>
      </w:pPr>
      <w:r w:rsidRPr="008126FD">
        <w:rPr>
          <w:rFonts w:ascii="Arial" w:eastAsia="Times New Roman" w:hAnsi="Arial" w:cs="Arial"/>
          <w:kern w:val="0"/>
          <w14:ligatures w14:val="none"/>
        </w:rPr>
        <w:t>The efficacy increased with increasing extract concentration, indicating dose-dependent antibacterial activity (Table 3). The highest efficacy (50.9%) was recorded at 100 ppm, suggesting substantial antibacterial potential against V</w:t>
      </w:r>
      <w:r w:rsidRPr="006E7941">
        <w:rPr>
          <w:rFonts w:ascii="Arial" w:eastAsia="Times New Roman" w:hAnsi="Arial" w:cs="Arial"/>
          <w:i/>
          <w:iCs/>
          <w:kern w:val="0"/>
          <w14:ligatures w14:val="none"/>
        </w:rPr>
        <w:t>. parahaemolyticus.</w:t>
      </w:r>
    </w:p>
    <w:p w14:paraId="600A8B69" w14:textId="391A522F" w:rsidR="006E7941" w:rsidRPr="006E7941" w:rsidRDefault="006E7941" w:rsidP="006E7941">
      <w:pPr>
        <w:spacing w:line="360" w:lineRule="auto"/>
        <w:jc w:val="both"/>
        <w:rPr>
          <w:rFonts w:ascii="Arial" w:eastAsia="Times New Roman" w:hAnsi="Arial" w:cs="Arial"/>
          <w:b/>
          <w:bCs/>
          <w:kern w:val="0"/>
          <w14:ligatures w14:val="none"/>
        </w:rPr>
      </w:pPr>
      <w:r w:rsidRPr="006E7941">
        <w:rPr>
          <w:rFonts w:ascii="Arial" w:eastAsia="Times New Roman" w:hAnsi="Arial" w:cs="Arial"/>
          <w:b/>
          <w:bCs/>
          <w:kern w:val="0"/>
          <w14:ligatures w14:val="none"/>
        </w:rPr>
        <w:t xml:space="preserve">Table 3. Antibacterial Efficacy of </w:t>
      </w:r>
      <w:r w:rsidRPr="006E7941">
        <w:rPr>
          <w:rFonts w:ascii="Arial" w:eastAsia="Times New Roman" w:hAnsi="Arial" w:cs="Arial"/>
          <w:b/>
          <w:bCs/>
          <w:i/>
          <w:iCs/>
          <w:kern w:val="0"/>
          <w14:ligatures w14:val="none"/>
        </w:rPr>
        <w:t>Psidium guajava</w:t>
      </w:r>
      <w:r w:rsidRPr="006E7941">
        <w:rPr>
          <w:rFonts w:ascii="Arial" w:eastAsia="Times New Roman" w:hAnsi="Arial" w:cs="Arial"/>
          <w:b/>
          <w:bCs/>
          <w:kern w:val="0"/>
          <w14:ligatures w14:val="none"/>
        </w:rPr>
        <w:t xml:space="preserve"> Leaf Extract</w:t>
      </w:r>
    </w:p>
    <w:tbl>
      <w:tblPr>
        <w:tblStyle w:val="TableGrid"/>
        <w:tblW w:w="0" w:type="auto"/>
        <w:tblLook w:val="04A0" w:firstRow="1" w:lastRow="0" w:firstColumn="1" w:lastColumn="0" w:noHBand="0" w:noVBand="1"/>
      </w:tblPr>
      <w:tblGrid>
        <w:gridCol w:w="3538"/>
        <w:gridCol w:w="1843"/>
        <w:gridCol w:w="2006"/>
        <w:gridCol w:w="1963"/>
      </w:tblGrid>
      <w:tr w:rsidR="00056C51" w:rsidRPr="008126FD" w14:paraId="1FDE9864" w14:textId="5863806A" w:rsidTr="006E7941">
        <w:tc>
          <w:tcPr>
            <w:tcW w:w="3685" w:type="dxa"/>
          </w:tcPr>
          <w:p w14:paraId="4BA7B4EE" w14:textId="50AB1B9F" w:rsidR="00056C51" w:rsidRPr="008126FD" w:rsidRDefault="00056C51" w:rsidP="00056C51">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Treatment</w:t>
            </w:r>
          </w:p>
        </w:tc>
        <w:tc>
          <w:tcPr>
            <w:tcW w:w="1579" w:type="dxa"/>
          </w:tcPr>
          <w:p w14:paraId="7BD4E2D4" w14:textId="4F4F9267" w:rsidR="00056C51" w:rsidRPr="008126FD" w:rsidRDefault="00056C51" w:rsidP="00056C51">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Concentration</w:t>
            </w:r>
          </w:p>
        </w:tc>
        <w:tc>
          <w:tcPr>
            <w:tcW w:w="2043" w:type="dxa"/>
          </w:tcPr>
          <w:p w14:paraId="310ECD16" w14:textId="12104A15" w:rsidR="00056C51" w:rsidRPr="008126FD" w:rsidRDefault="00056C51" w:rsidP="00056C51">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Antibacterial efficacy (%)</w:t>
            </w:r>
          </w:p>
        </w:tc>
        <w:tc>
          <w:tcPr>
            <w:tcW w:w="2043" w:type="dxa"/>
          </w:tcPr>
          <w:p w14:paraId="7C424E67" w14:textId="38F34438" w:rsidR="00056C51" w:rsidRPr="008126FD" w:rsidRDefault="00056C51" w:rsidP="00056C51">
            <w:pPr>
              <w:spacing w:line="360" w:lineRule="auto"/>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t>Activity level</w:t>
            </w:r>
          </w:p>
        </w:tc>
      </w:tr>
      <w:tr w:rsidR="00056C51" w:rsidRPr="008126FD" w14:paraId="3A1353DC" w14:textId="16C6B4D7" w:rsidTr="006E7941">
        <w:tc>
          <w:tcPr>
            <w:tcW w:w="3685" w:type="dxa"/>
          </w:tcPr>
          <w:p w14:paraId="3AB06BFC" w14:textId="77777777"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Positive control</w:t>
            </w:r>
          </w:p>
          <w:p w14:paraId="3988EE2C" w14:textId="1D2B71F9"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(Chloramphenicol)</w:t>
            </w:r>
          </w:p>
        </w:tc>
        <w:tc>
          <w:tcPr>
            <w:tcW w:w="1579" w:type="dxa"/>
          </w:tcPr>
          <w:p w14:paraId="5525F084" w14:textId="26C0259D"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0.01%</w:t>
            </w:r>
          </w:p>
        </w:tc>
        <w:tc>
          <w:tcPr>
            <w:tcW w:w="2043" w:type="dxa"/>
          </w:tcPr>
          <w:p w14:paraId="2B88CC53" w14:textId="2F634F1C"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100</w:t>
            </w:r>
          </w:p>
        </w:tc>
        <w:tc>
          <w:tcPr>
            <w:tcW w:w="2043" w:type="dxa"/>
          </w:tcPr>
          <w:p w14:paraId="6014537A" w14:textId="79D74821"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Very strong</w:t>
            </w:r>
          </w:p>
        </w:tc>
      </w:tr>
      <w:tr w:rsidR="00056C51" w:rsidRPr="008126FD" w14:paraId="22E82DC5" w14:textId="06D35214" w:rsidTr="006E7941">
        <w:tc>
          <w:tcPr>
            <w:tcW w:w="3685" w:type="dxa"/>
          </w:tcPr>
          <w:p w14:paraId="1284F23F" w14:textId="346FCECE"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Negative control (70% ethanol)</w:t>
            </w:r>
          </w:p>
        </w:tc>
        <w:tc>
          <w:tcPr>
            <w:tcW w:w="1579" w:type="dxa"/>
          </w:tcPr>
          <w:p w14:paraId="114E0DC4" w14:textId="405D7559"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w:t>
            </w:r>
          </w:p>
        </w:tc>
        <w:tc>
          <w:tcPr>
            <w:tcW w:w="2043" w:type="dxa"/>
          </w:tcPr>
          <w:p w14:paraId="7A72D87D" w14:textId="0FDEABC2"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0</w:t>
            </w:r>
          </w:p>
        </w:tc>
        <w:tc>
          <w:tcPr>
            <w:tcW w:w="2043" w:type="dxa"/>
          </w:tcPr>
          <w:p w14:paraId="74008C2C" w14:textId="6DB66B05"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No activity</w:t>
            </w:r>
          </w:p>
        </w:tc>
      </w:tr>
      <w:tr w:rsidR="00056C51" w:rsidRPr="008126FD" w14:paraId="05154E4C" w14:textId="540E7C0E" w:rsidTr="006E7941">
        <w:tc>
          <w:tcPr>
            <w:tcW w:w="3685" w:type="dxa"/>
          </w:tcPr>
          <w:p w14:paraId="4030A9DF" w14:textId="5C6BC03B"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T1</w:t>
            </w:r>
          </w:p>
        </w:tc>
        <w:tc>
          <w:tcPr>
            <w:tcW w:w="1579" w:type="dxa"/>
          </w:tcPr>
          <w:p w14:paraId="25F1988B" w14:textId="2CBA7CAA"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25 ppm</w:t>
            </w:r>
          </w:p>
        </w:tc>
        <w:tc>
          <w:tcPr>
            <w:tcW w:w="2043" w:type="dxa"/>
          </w:tcPr>
          <w:p w14:paraId="4075DFBE" w14:textId="36703F51"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18.0</w:t>
            </w:r>
          </w:p>
        </w:tc>
        <w:tc>
          <w:tcPr>
            <w:tcW w:w="2043" w:type="dxa"/>
          </w:tcPr>
          <w:p w14:paraId="4AB9F988" w14:textId="38C08D38"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Moderate</w:t>
            </w:r>
          </w:p>
        </w:tc>
      </w:tr>
      <w:tr w:rsidR="00056C51" w:rsidRPr="008126FD" w14:paraId="20F65AEF" w14:textId="5BA6A514" w:rsidTr="006E7941">
        <w:tc>
          <w:tcPr>
            <w:tcW w:w="3685" w:type="dxa"/>
          </w:tcPr>
          <w:p w14:paraId="1D697E05" w14:textId="094D4873"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T2</w:t>
            </w:r>
          </w:p>
        </w:tc>
        <w:tc>
          <w:tcPr>
            <w:tcW w:w="1579" w:type="dxa"/>
          </w:tcPr>
          <w:p w14:paraId="7314596F" w14:textId="74E10A36"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50 ppm</w:t>
            </w:r>
          </w:p>
        </w:tc>
        <w:tc>
          <w:tcPr>
            <w:tcW w:w="2043" w:type="dxa"/>
          </w:tcPr>
          <w:p w14:paraId="6EB7EC6F" w14:textId="30AC5BAD"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26.1</w:t>
            </w:r>
          </w:p>
        </w:tc>
        <w:tc>
          <w:tcPr>
            <w:tcW w:w="2043" w:type="dxa"/>
          </w:tcPr>
          <w:p w14:paraId="2317E5D5" w14:textId="5168F3AA"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Moderate</w:t>
            </w:r>
          </w:p>
        </w:tc>
      </w:tr>
      <w:tr w:rsidR="00056C51" w:rsidRPr="008126FD" w14:paraId="2B03BA68" w14:textId="66D8CFA1" w:rsidTr="006E7941">
        <w:tc>
          <w:tcPr>
            <w:tcW w:w="3685" w:type="dxa"/>
          </w:tcPr>
          <w:p w14:paraId="260B3900" w14:textId="7851C0C9"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T3</w:t>
            </w:r>
          </w:p>
        </w:tc>
        <w:tc>
          <w:tcPr>
            <w:tcW w:w="1579" w:type="dxa"/>
          </w:tcPr>
          <w:p w14:paraId="179674FE" w14:textId="735DD2EE"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 xml:space="preserve">75 ppm </w:t>
            </w:r>
          </w:p>
        </w:tc>
        <w:tc>
          <w:tcPr>
            <w:tcW w:w="2043" w:type="dxa"/>
          </w:tcPr>
          <w:p w14:paraId="0212EC66" w14:textId="11D9C799"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37.2</w:t>
            </w:r>
          </w:p>
        </w:tc>
        <w:tc>
          <w:tcPr>
            <w:tcW w:w="2043" w:type="dxa"/>
          </w:tcPr>
          <w:p w14:paraId="26A2369F" w14:textId="1CBD591C"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Moderate</w:t>
            </w:r>
          </w:p>
        </w:tc>
      </w:tr>
      <w:tr w:rsidR="00056C51" w:rsidRPr="008126FD" w14:paraId="768A76BB" w14:textId="77777777" w:rsidTr="006E7941">
        <w:tc>
          <w:tcPr>
            <w:tcW w:w="3685" w:type="dxa"/>
          </w:tcPr>
          <w:p w14:paraId="113E950C" w14:textId="61FD4F23"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T4</w:t>
            </w:r>
          </w:p>
        </w:tc>
        <w:tc>
          <w:tcPr>
            <w:tcW w:w="1579" w:type="dxa"/>
          </w:tcPr>
          <w:p w14:paraId="28E8B524" w14:textId="113F7C93"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 xml:space="preserve">100 </w:t>
            </w:r>
            <w:r w:rsidR="006514A9" w:rsidRPr="008126FD">
              <w:rPr>
                <w:rFonts w:ascii="Arial" w:eastAsia="Times New Roman" w:hAnsi="Arial" w:cs="Arial"/>
                <w:kern w:val="0"/>
                <w14:ligatures w14:val="none"/>
              </w:rPr>
              <w:t>ppm</w:t>
            </w:r>
          </w:p>
        </w:tc>
        <w:tc>
          <w:tcPr>
            <w:tcW w:w="2043" w:type="dxa"/>
          </w:tcPr>
          <w:p w14:paraId="027A005F" w14:textId="54CCC906"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50.9</w:t>
            </w:r>
          </w:p>
        </w:tc>
        <w:tc>
          <w:tcPr>
            <w:tcW w:w="2043" w:type="dxa"/>
          </w:tcPr>
          <w:p w14:paraId="1D6CEB45" w14:textId="006C7996" w:rsidR="00056C51" w:rsidRPr="008126FD" w:rsidRDefault="00056C51" w:rsidP="00056C51">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Strong</w:t>
            </w:r>
          </w:p>
        </w:tc>
      </w:tr>
    </w:tbl>
    <w:p w14:paraId="08F156EF" w14:textId="48700C48" w:rsidR="00935E23" w:rsidRPr="008126FD" w:rsidRDefault="00935E23" w:rsidP="00935E23">
      <w:pPr>
        <w:spacing w:line="360" w:lineRule="auto"/>
        <w:ind w:firstLine="720"/>
        <w:jc w:val="both"/>
        <w:rPr>
          <w:rFonts w:ascii="Arial" w:eastAsia="Times New Roman" w:hAnsi="Arial" w:cs="Arial"/>
          <w:kern w:val="0"/>
          <w14:ligatures w14:val="none"/>
        </w:rPr>
      </w:pPr>
      <w:r w:rsidRPr="008126FD">
        <w:rPr>
          <w:rFonts w:ascii="Arial" w:eastAsia="Times New Roman" w:hAnsi="Arial" w:cs="Arial"/>
          <w:kern w:val="0"/>
          <w14:ligatures w14:val="none"/>
        </w:rPr>
        <w:t xml:space="preserve">The present study demonstrated that Psidium guajava leaf extracts possess significant antibacterial activity against Vibrio parahaemolyticus, highlighting their potential as natural antimicrobial agents for aquaculture applications. The observed antibacterial effect can be attributed to the presence of diverse bioactive phytochemicals identified through qualitative screening, including flavonoids, phenolics, tannins, </w:t>
      </w:r>
      <w:r w:rsidRPr="008126FD">
        <w:rPr>
          <w:rFonts w:ascii="Arial" w:eastAsia="Times New Roman" w:hAnsi="Arial" w:cs="Arial"/>
          <w:kern w:val="0"/>
          <w14:ligatures w14:val="none"/>
        </w:rPr>
        <w:lastRenderedPageBreak/>
        <w:t>saponins, terpenoids, and alkaloids. These compounds are widely recognized for their antimicrobial, antioxidant, and immunomodulatory properties and have been reported previously in guava leaves (Kumar et al. 2021).</w:t>
      </w:r>
    </w:p>
    <w:p w14:paraId="0A36E210" w14:textId="0AD6A914" w:rsidR="00935E23" w:rsidRPr="008126FD" w:rsidRDefault="00935E23" w:rsidP="00935E23">
      <w:pPr>
        <w:spacing w:line="360" w:lineRule="auto"/>
        <w:ind w:firstLine="720"/>
        <w:jc w:val="both"/>
        <w:rPr>
          <w:rFonts w:ascii="Arial" w:eastAsia="Times New Roman" w:hAnsi="Arial" w:cs="Arial"/>
          <w:kern w:val="0"/>
          <w14:ligatures w14:val="none"/>
        </w:rPr>
      </w:pPr>
      <w:r w:rsidRPr="008126FD">
        <w:rPr>
          <w:rFonts w:ascii="Arial" w:eastAsia="Times New Roman" w:hAnsi="Arial" w:cs="Arial"/>
          <w:kern w:val="0"/>
          <w14:ligatures w14:val="none"/>
        </w:rPr>
        <w:t>Flavonoids and phenolic acids such as quercetin, kaempferol, and gallic acid are known to disrupt bacterial cell membrane integrity, inhibit essential metabolic enzymes, and reduce oxidative stress, thereby limiting the growth and survival of pathogenic bacteria (</w:t>
      </w:r>
      <w:proofErr w:type="spellStart"/>
      <w:r w:rsidRPr="008126FD">
        <w:rPr>
          <w:rFonts w:ascii="Arial" w:eastAsia="Times New Roman" w:hAnsi="Arial" w:cs="Arial"/>
          <w:kern w:val="0"/>
          <w14:ligatures w14:val="none"/>
        </w:rPr>
        <w:t>Fakoya</w:t>
      </w:r>
      <w:proofErr w:type="spellEnd"/>
      <w:r w:rsidRPr="008126FD">
        <w:rPr>
          <w:rFonts w:ascii="Arial" w:eastAsia="Times New Roman" w:hAnsi="Arial" w:cs="Arial"/>
          <w:kern w:val="0"/>
          <w14:ligatures w14:val="none"/>
        </w:rPr>
        <w:t xml:space="preserve"> &amp; Emmanuel, 2020</w:t>
      </w:r>
      <w:r w:rsidR="00436A81" w:rsidRPr="008126FD">
        <w:rPr>
          <w:rFonts w:ascii="Arial" w:eastAsia="Times New Roman" w:hAnsi="Arial" w:cs="Arial"/>
          <w:kern w:val="0"/>
          <w14:ligatures w14:val="none"/>
        </w:rPr>
        <w:t xml:space="preserve">; </w:t>
      </w:r>
      <w:proofErr w:type="spellStart"/>
      <w:r w:rsidR="00436A81" w:rsidRPr="008126FD">
        <w:rPr>
          <w:rFonts w:ascii="Arial" w:hAnsi="Arial" w:cs="Arial"/>
          <w:color w:val="222222"/>
          <w:shd w:val="clear" w:color="auto" w:fill="FFFFFF"/>
        </w:rPr>
        <w:t>Thorat</w:t>
      </w:r>
      <w:proofErr w:type="spellEnd"/>
      <w:r w:rsidR="00436A81" w:rsidRPr="008126FD">
        <w:rPr>
          <w:rFonts w:ascii="Arial" w:hAnsi="Arial" w:cs="Arial"/>
          <w:color w:val="222222"/>
          <w:shd w:val="clear" w:color="auto" w:fill="FFFFFF"/>
        </w:rPr>
        <w:t xml:space="preserve"> &amp; </w:t>
      </w:r>
      <w:proofErr w:type="spellStart"/>
      <w:r w:rsidR="00436A81" w:rsidRPr="008126FD">
        <w:rPr>
          <w:rFonts w:ascii="Arial" w:hAnsi="Arial" w:cs="Arial"/>
          <w:color w:val="222222"/>
          <w:shd w:val="clear" w:color="auto" w:fill="FFFFFF"/>
        </w:rPr>
        <w:t>Pangrikar</w:t>
      </w:r>
      <w:proofErr w:type="spellEnd"/>
      <w:r w:rsidR="00436A81" w:rsidRPr="008126FD">
        <w:rPr>
          <w:rFonts w:ascii="Arial" w:hAnsi="Arial" w:cs="Arial"/>
          <w:color w:val="222222"/>
          <w:shd w:val="clear" w:color="auto" w:fill="FFFFFF"/>
        </w:rPr>
        <w:t>,</w:t>
      </w:r>
      <w:r w:rsidR="006E7941">
        <w:rPr>
          <w:rFonts w:ascii="Arial" w:hAnsi="Arial" w:cs="Arial"/>
          <w:color w:val="222222"/>
          <w:shd w:val="clear" w:color="auto" w:fill="FFFFFF"/>
        </w:rPr>
        <w:t xml:space="preserve"> </w:t>
      </w:r>
      <w:r w:rsidR="00436A81" w:rsidRPr="008126FD">
        <w:rPr>
          <w:rFonts w:ascii="Arial" w:hAnsi="Arial" w:cs="Arial"/>
          <w:color w:val="222222"/>
          <w:shd w:val="clear" w:color="auto" w:fill="FFFFFF"/>
        </w:rPr>
        <w:t>2025</w:t>
      </w:r>
      <w:r w:rsidRPr="008126FD">
        <w:rPr>
          <w:rFonts w:ascii="Arial" w:eastAsia="Times New Roman" w:hAnsi="Arial" w:cs="Arial"/>
          <w:kern w:val="0"/>
          <w14:ligatures w14:val="none"/>
        </w:rPr>
        <w:t>). Tannins further contribute to antibacterial activity by precipitating microbial proteins, inhibiting bacterial adhesion, and interfering with nutrient uptake</w:t>
      </w:r>
      <w:r w:rsidR="00436A81" w:rsidRPr="008126FD">
        <w:rPr>
          <w:rFonts w:ascii="Arial" w:eastAsia="Times New Roman" w:hAnsi="Arial" w:cs="Arial"/>
          <w:kern w:val="0"/>
          <w14:ligatures w14:val="none"/>
        </w:rPr>
        <w:t xml:space="preserve"> (Kumar et al., 2021)</w:t>
      </w:r>
      <w:r w:rsidRPr="008126FD">
        <w:rPr>
          <w:rFonts w:ascii="Arial" w:eastAsia="Times New Roman" w:hAnsi="Arial" w:cs="Arial"/>
          <w:kern w:val="0"/>
          <w14:ligatures w14:val="none"/>
        </w:rPr>
        <w:t>. The relatively high presence of flavonoids and tannins observed in the present study supports their major role in the inhibition of V. parahaemolyticus. The absence of volatile oils suggests that the antibacterial activity is primarily mediated by non-volatile secondary metabolites, particularly polyphenolic compounds and saponins</w:t>
      </w:r>
      <w:r w:rsidR="0024364B" w:rsidRPr="008126FD">
        <w:rPr>
          <w:rFonts w:ascii="Arial" w:eastAsia="Times New Roman" w:hAnsi="Arial" w:cs="Arial"/>
          <w:kern w:val="0"/>
          <w14:ligatures w14:val="none"/>
        </w:rPr>
        <w:t xml:space="preserve"> </w:t>
      </w:r>
      <w:r w:rsidR="006E7941">
        <w:rPr>
          <w:rFonts w:ascii="Arial" w:eastAsia="Times New Roman" w:hAnsi="Arial" w:cs="Arial"/>
          <w:kern w:val="0"/>
          <w14:ligatures w14:val="none"/>
        </w:rPr>
        <w:t>(</w:t>
      </w:r>
      <w:proofErr w:type="spellStart"/>
      <w:r w:rsidR="0024364B" w:rsidRPr="008126FD">
        <w:rPr>
          <w:rFonts w:ascii="Arial" w:hAnsi="Arial" w:cs="Arial"/>
          <w:color w:val="222222"/>
          <w:shd w:val="clear" w:color="auto" w:fill="FFFFFF"/>
        </w:rPr>
        <w:t>Bulugahapitiya</w:t>
      </w:r>
      <w:proofErr w:type="spellEnd"/>
      <w:r w:rsidR="0024364B" w:rsidRPr="008126FD">
        <w:rPr>
          <w:rFonts w:ascii="Arial" w:hAnsi="Arial" w:cs="Arial"/>
          <w:color w:val="222222"/>
          <w:shd w:val="clear" w:color="auto" w:fill="FFFFFF"/>
        </w:rPr>
        <w:t xml:space="preserve"> et al. 2021</w:t>
      </w:r>
      <w:r w:rsidR="006E7941">
        <w:rPr>
          <w:rFonts w:ascii="Arial" w:hAnsi="Arial" w:cs="Arial"/>
          <w:color w:val="222222"/>
          <w:shd w:val="clear" w:color="auto" w:fill="FFFFFF"/>
        </w:rPr>
        <w:t>)</w:t>
      </w:r>
      <w:r w:rsidRPr="008126FD">
        <w:rPr>
          <w:rFonts w:ascii="Arial" w:eastAsia="Times New Roman" w:hAnsi="Arial" w:cs="Arial"/>
          <w:kern w:val="0"/>
          <w14:ligatures w14:val="none"/>
        </w:rPr>
        <w:t>.</w:t>
      </w:r>
    </w:p>
    <w:p w14:paraId="56F61BA3" w14:textId="223BBC2F" w:rsidR="00935E23" w:rsidRPr="008126FD" w:rsidRDefault="00935E23" w:rsidP="00935E23">
      <w:pPr>
        <w:spacing w:line="360" w:lineRule="auto"/>
        <w:ind w:firstLine="720"/>
        <w:jc w:val="both"/>
        <w:rPr>
          <w:rFonts w:ascii="Arial" w:eastAsia="Times New Roman" w:hAnsi="Arial" w:cs="Arial"/>
          <w:kern w:val="0"/>
          <w14:ligatures w14:val="none"/>
        </w:rPr>
      </w:pPr>
      <w:r w:rsidRPr="008126FD">
        <w:rPr>
          <w:rFonts w:ascii="Arial" w:eastAsia="Times New Roman" w:hAnsi="Arial" w:cs="Arial"/>
          <w:kern w:val="0"/>
          <w14:ligatures w14:val="none"/>
        </w:rPr>
        <w:t>Saponins and terpenoids detected in the extracts are associated with increased membrane permeability, leading to bacterial cell lysis, as well as immunostimulatory and anti-inflammatory effects</w:t>
      </w:r>
      <w:r w:rsidR="0024364B" w:rsidRPr="008126FD">
        <w:rPr>
          <w:rFonts w:ascii="Arial" w:eastAsia="Times New Roman" w:hAnsi="Arial" w:cs="Arial"/>
          <w:kern w:val="0"/>
          <w14:ligatures w14:val="none"/>
        </w:rPr>
        <w:t xml:space="preserve"> </w:t>
      </w:r>
      <w:r w:rsidR="006E7941">
        <w:rPr>
          <w:rFonts w:ascii="Arial" w:eastAsia="Times New Roman" w:hAnsi="Arial" w:cs="Arial"/>
          <w:kern w:val="0"/>
          <w14:ligatures w14:val="none"/>
        </w:rPr>
        <w:t>(</w:t>
      </w:r>
      <w:r w:rsidR="0024364B" w:rsidRPr="008126FD">
        <w:rPr>
          <w:rFonts w:ascii="Arial" w:hAnsi="Arial" w:cs="Arial"/>
          <w:color w:val="222222"/>
          <w:shd w:val="clear" w:color="auto" w:fill="FFFFFF"/>
        </w:rPr>
        <w:t>Arya et al. 2012</w:t>
      </w:r>
      <w:r w:rsidR="006E7941">
        <w:rPr>
          <w:rFonts w:ascii="Arial" w:hAnsi="Arial" w:cs="Arial"/>
          <w:color w:val="222222"/>
          <w:shd w:val="clear" w:color="auto" w:fill="FFFFFF"/>
        </w:rPr>
        <w:t>)</w:t>
      </w:r>
      <w:r w:rsidRPr="008126FD">
        <w:rPr>
          <w:rFonts w:ascii="Arial" w:eastAsia="Times New Roman" w:hAnsi="Arial" w:cs="Arial"/>
          <w:kern w:val="0"/>
          <w14:ligatures w14:val="none"/>
        </w:rPr>
        <w:t>. These properties are especially relevant in aquaculture, where enhancement of innate immunity can improve resistance to opportunistic bacterial infections</w:t>
      </w:r>
      <w:r w:rsidR="0024364B" w:rsidRPr="008126FD">
        <w:rPr>
          <w:rFonts w:ascii="Arial" w:eastAsia="Times New Roman" w:hAnsi="Arial" w:cs="Arial"/>
          <w:kern w:val="0"/>
          <w14:ligatures w14:val="none"/>
        </w:rPr>
        <w:t xml:space="preserve"> </w:t>
      </w:r>
      <w:r w:rsidR="006E7941">
        <w:rPr>
          <w:rFonts w:ascii="Arial" w:eastAsia="Times New Roman" w:hAnsi="Arial" w:cs="Arial"/>
          <w:kern w:val="0"/>
          <w14:ligatures w14:val="none"/>
        </w:rPr>
        <w:t>(</w:t>
      </w:r>
      <w:r w:rsidR="0024364B" w:rsidRPr="008126FD">
        <w:rPr>
          <w:rFonts w:ascii="Arial" w:eastAsia="Times New Roman" w:hAnsi="Arial" w:cs="Arial"/>
          <w:kern w:val="0"/>
          <w14:ligatures w14:val="none"/>
        </w:rPr>
        <w:t>Dewi et al. 2021</w:t>
      </w:r>
      <w:r w:rsidR="006E7941">
        <w:rPr>
          <w:rFonts w:ascii="Arial" w:eastAsia="Times New Roman" w:hAnsi="Arial" w:cs="Arial"/>
          <w:kern w:val="0"/>
          <w14:ligatures w14:val="none"/>
        </w:rPr>
        <w:t>)</w:t>
      </w:r>
      <w:r w:rsidRPr="008126FD">
        <w:rPr>
          <w:rFonts w:ascii="Arial" w:eastAsia="Times New Roman" w:hAnsi="Arial" w:cs="Arial"/>
          <w:kern w:val="0"/>
          <w14:ligatures w14:val="none"/>
        </w:rPr>
        <w:t>. Alkaloids, although present in moderate amounts, may act synergistically with other phytochemicals to enhance the overall antimicrobial effect</w:t>
      </w:r>
      <w:r w:rsidR="0024364B" w:rsidRPr="008126FD">
        <w:rPr>
          <w:rFonts w:ascii="Arial" w:eastAsia="Times New Roman" w:hAnsi="Arial" w:cs="Arial"/>
          <w:kern w:val="0"/>
          <w14:ligatures w14:val="none"/>
        </w:rPr>
        <w:t xml:space="preserve"> </w:t>
      </w:r>
      <w:r w:rsidR="006E7941">
        <w:rPr>
          <w:rFonts w:ascii="Arial" w:eastAsia="Times New Roman" w:hAnsi="Arial" w:cs="Arial"/>
          <w:kern w:val="0"/>
          <w14:ligatures w14:val="none"/>
        </w:rPr>
        <w:t>(</w:t>
      </w:r>
      <w:r w:rsidR="0024364B" w:rsidRPr="008126FD">
        <w:rPr>
          <w:rFonts w:ascii="Arial" w:hAnsi="Arial" w:cs="Arial"/>
          <w:color w:val="222222"/>
          <w:shd w:val="clear" w:color="auto" w:fill="FFFFFF"/>
        </w:rPr>
        <w:t>Offor,</w:t>
      </w:r>
      <w:r w:rsidR="006E7941">
        <w:rPr>
          <w:rFonts w:ascii="Arial" w:hAnsi="Arial" w:cs="Arial"/>
          <w:color w:val="222222"/>
          <w:shd w:val="clear" w:color="auto" w:fill="FFFFFF"/>
        </w:rPr>
        <w:t xml:space="preserve"> </w:t>
      </w:r>
      <w:r w:rsidR="0024364B" w:rsidRPr="008126FD">
        <w:rPr>
          <w:rFonts w:ascii="Arial" w:hAnsi="Arial" w:cs="Arial"/>
          <w:color w:val="222222"/>
          <w:shd w:val="clear" w:color="auto" w:fill="FFFFFF"/>
        </w:rPr>
        <w:t xml:space="preserve">2015). </w:t>
      </w:r>
    </w:p>
    <w:p w14:paraId="649D82EF" w14:textId="6A47FD4C" w:rsidR="00935E23" w:rsidRPr="008126FD" w:rsidRDefault="00935E23" w:rsidP="00935E23">
      <w:pPr>
        <w:spacing w:line="360" w:lineRule="auto"/>
        <w:ind w:firstLine="720"/>
        <w:jc w:val="both"/>
        <w:rPr>
          <w:rFonts w:ascii="Arial" w:eastAsia="Times New Roman" w:hAnsi="Arial" w:cs="Arial"/>
          <w:kern w:val="0"/>
          <w14:ligatures w14:val="none"/>
        </w:rPr>
      </w:pPr>
      <w:r w:rsidRPr="008126FD">
        <w:rPr>
          <w:rFonts w:ascii="Arial" w:eastAsia="Times New Roman" w:hAnsi="Arial" w:cs="Arial"/>
          <w:kern w:val="0"/>
          <w14:ligatures w14:val="none"/>
        </w:rPr>
        <w:t>The antibacterial results obtained in this study are consistent with earlier in vitro reports demonstrating inhibitory activity of P. guajava leaf extracts against Vibrio cholerae, V. parahaemolyticus, and V. vulnificus. Previous studies have shown that ethanolic and methanolic extracts generally exhibit stronger antibacterial activity than aqueous extracts due to their higher efficiency in extracting bioactive compounds, with reported minimum inhibitory concentration values ranging from 50–200 µg/m</w:t>
      </w:r>
      <w:r w:rsidR="006E7941">
        <w:rPr>
          <w:rFonts w:ascii="Arial" w:eastAsia="Times New Roman" w:hAnsi="Arial" w:cs="Arial"/>
          <w:kern w:val="0"/>
          <w14:ligatures w14:val="none"/>
        </w:rPr>
        <w:t>l (</w:t>
      </w:r>
      <w:r w:rsidR="006E7941" w:rsidRPr="008126FD">
        <w:rPr>
          <w:rFonts w:ascii="Arial" w:hAnsi="Arial" w:cs="Arial"/>
        </w:rPr>
        <w:t>Mendez</w:t>
      </w:r>
      <w:r w:rsidR="006E7941">
        <w:rPr>
          <w:rFonts w:ascii="Arial" w:hAnsi="Arial" w:cs="Arial"/>
        </w:rPr>
        <w:t xml:space="preserve"> et al. </w:t>
      </w:r>
      <w:r w:rsidR="009529F6">
        <w:rPr>
          <w:rFonts w:ascii="Arial" w:hAnsi="Arial" w:cs="Arial"/>
        </w:rPr>
        <w:t xml:space="preserve">2020; </w:t>
      </w:r>
      <w:proofErr w:type="spellStart"/>
      <w:r w:rsidR="009529F6" w:rsidRPr="008126FD">
        <w:rPr>
          <w:rFonts w:ascii="Arial" w:hAnsi="Arial" w:cs="Arial"/>
        </w:rPr>
        <w:t>Rayjade</w:t>
      </w:r>
      <w:proofErr w:type="spellEnd"/>
      <w:r w:rsidR="009529F6">
        <w:rPr>
          <w:rFonts w:ascii="Arial" w:hAnsi="Arial" w:cs="Arial"/>
        </w:rPr>
        <w:t xml:space="preserve"> et al. 2021)</w:t>
      </w:r>
      <w:r w:rsidRPr="008126FD">
        <w:rPr>
          <w:rFonts w:ascii="Arial" w:eastAsia="Times New Roman" w:hAnsi="Arial" w:cs="Arial"/>
          <w:kern w:val="0"/>
          <w14:ligatures w14:val="none"/>
        </w:rPr>
        <w:t xml:space="preserve">. Aquaculture-based investigations further validate these findings, showing improved survival and immune responses in Nile tilapia (Oreochromis niloticus) and reduced mortality in shrimp when guava leaf extract was incorporated into feed formulations (Olatunde et al. 2021; </w:t>
      </w:r>
      <w:r w:rsidR="006E7941" w:rsidRPr="008126FD">
        <w:rPr>
          <w:rFonts w:ascii="Arial" w:hAnsi="Arial" w:cs="Arial"/>
          <w:color w:val="222222"/>
          <w:shd w:val="clear" w:color="auto" w:fill="FFFFFF"/>
        </w:rPr>
        <w:t>Nusrat</w:t>
      </w:r>
      <w:r w:rsidRPr="008126FD">
        <w:rPr>
          <w:rFonts w:ascii="Arial" w:eastAsia="Times New Roman" w:hAnsi="Arial" w:cs="Arial"/>
          <w:kern w:val="0"/>
          <w14:ligatures w14:val="none"/>
        </w:rPr>
        <w:t>, 2025).</w:t>
      </w:r>
    </w:p>
    <w:p w14:paraId="62B6A848" w14:textId="42387A34" w:rsidR="006514A9" w:rsidRPr="008126FD" w:rsidRDefault="006514A9" w:rsidP="00707B03">
      <w:pPr>
        <w:pStyle w:val="ListParagraph"/>
        <w:numPr>
          <w:ilvl w:val="0"/>
          <w:numId w:val="15"/>
        </w:numPr>
        <w:spacing w:line="360" w:lineRule="auto"/>
        <w:ind w:left="270" w:hanging="270"/>
        <w:jc w:val="both"/>
        <w:rPr>
          <w:rFonts w:ascii="Arial" w:eastAsia="Times New Roman" w:hAnsi="Arial" w:cs="Arial"/>
          <w:b/>
          <w:bCs/>
          <w:kern w:val="0"/>
          <w14:ligatures w14:val="none"/>
        </w:rPr>
      </w:pPr>
      <w:r w:rsidRPr="008126FD">
        <w:rPr>
          <w:rFonts w:ascii="Arial" w:eastAsia="Times New Roman" w:hAnsi="Arial" w:cs="Arial"/>
          <w:b/>
          <w:bCs/>
          <w:kern w:val="0"/>
          <w14:ligatures w14:val="none"/>
        </w:rPr>
        <w:lastRenderedPageBreak/>
        <w:t>CONCLUSION</w:t>
      </w:r>
    </w:p>
    <w:p w14:paraId="6F534E33" w14:textId="4031F25B" w:rsidR="006514A9" w:rsidRPr="008126FD" w:rsidRDefault="00707B03" w:rsidP="006514A9">
      <w:pPr>
        <w:spacing w:line="360" w:lineRule="auto"/>
        <w:jc w:val="both"/>
        <w:rPr>
          <w:rFonts w:ascii="Arial" w:eastAsia="Times New Roman" w:hAnsi="Arial" w:cs="Arial"/>
          <w:kern w:val="0"/>
          <w14:ligatures w14:val="none"/>
        </w:rPr>
      </w:pPr>
      <w:r w:rsidRPr="008126FD">
        <w:rPr>
          <w:rFonts w:ascii="Arial" w:eastAsia="Times New Roman" w:hAnsi="Arial" w:cs="Arial"/>
          <w:kern w:val="0"/>
          <w14:ligatures w14:val="none"/>
        </w:rPr>
        <w:t>The findings of the present study demonstrate that Psidium guajava leaves are rich in a diverse range of phytochemicals, including flavonoids, tannins, saponins, alkaloids, terpenoids, and phenolic acids. These bioactive compounds contribute to the antioxidant, antimicrobial, and antidiabetic properties of the plant. The ethanolic extract of P. guajava leaves at a concentration of 100 ppm exhibited an antibacterial effectiveness of 11.9% compared to the standard antibiotic, thereby supporting the antibacterial potential of P. guajava leaves against Vibrio species. These results highlight the potential of P. guajava leaves as an eco-friendly and sustainable alternative to synthetic antibiotics for disease management in aquaculture systems.</w:t>
      </w:r>
    </w:p>
    <w:p w14:paraId="6D1138D8" w14:textId="77777777" w:rsidR="009529F6" w:rsidRDefault="009529F6" w:rsidP="00707B03">
      <w:pPr>
        <w:spacing w:line="360" w:lineRule="auto"/>
        <w:jc w:val="both"/>
        <w:rPr>
          <w:rFonts w:ascii="Arial" w:hAnsi="Arial" w:cs="Arial"/>
          <w:b/>
          <w:bCs/>
        </w:rPr>
      </w:pPr>
      <w:bookmarkStart w:id="0" w:name="_GoBack"/>
      <w:bookmarkEnd w:id="0"/>
    </w:p>
    <w:p w14:paraId="7A9EAD0B" w14:textId="66CD4D09" w:rsidR="00F91613" w:rsidRPr="008126FD" w:rsidRDefault="00F91613" w:rsidP="00707B03">
      <w:pPr>
        <w:spacing w:line="360" w:lineRule="auto"/>
        <w:jc w:val="both"/>
        <w:rPr>
          <w:rFonts w:ascii="Arial" w:hAnsi="Arial" w:cs="Arial"/>
          <w:b/>
          <w:bCs/>
        </w:rPr>
      </w:pPr>
      <w:r w:rsidRPr="008126FD">
        <w:rPr>
          <w:rFonts w:ascii="Arial" w:hAnsi="Arial" w:cs="Arial"/>
          <w:b/>
          <w:bCs/>
        </w:rPr>
        <w:t>R</w:t>
      </w:r>
      <w:r w:rsidR="006514A9" w:rsidRPr="008126FD">
        <w:rPr>
          <w:rFonts w:ascii="Arial" w:hAnsi="Arial" w:cs="Arial"/>
          <w:b/>
          <w:bCs/>
        </w:rPr>
        <w:t>EFERENCES</w:t>
      </w:r>
      <w:r w:rsidRPr="008126FD">
        <w:rPr>
          <w:rFonts w:ascii="Arial" w:hAnsi="Arial" w:cs="Arial"/>
          <w:b/>
          <w:bCs/>
        </w:rPr>
        <w:t>:</w:t>
      </w:r>
    </w:p>
    <w:p w14:paraId="066E55D5" w14:textId="77777777" w:rsidR="009529F6" w:rsidRDefault="009529F6" w:rsidP="009529F6">
      <w:pPr>
        <w:pStyle w:val="NormalWeb"/>
        <w:spacing w:before="0" w:beforeAutospacing="0" w:after="120" w:afterAutospacing="0" w:line="360" w:lineRule="auto"/>
        <w:ind w:left="720" w:hanging="720"/>
        <w:jc w:val="both"/>
        <w:rPr>
          <w:rFonts w:ascii="Arial" w:hAnsi="Arial" w:cs="Arial"/>
        </w:rPr>
      </w:pPr>
      <w:r w:rsidRPr="008126FD">
        <w:rPr>
          <w:rFonts w:ascii="Arial" w:hAnsi="Arial" w:cs="Arial"/>
        </w:rPr>
        <w:t>Fakoya, S., &amp; Emmanuel, O. S. (2020). Antimicrobial activity of Psidium guajava leaves against multidrug-resistant fish pathogens. Asian Journal of Biological Sciences, 13(3), 258–263.</w:t>
      </w:r>
    </w:p>
    <w:p w14:paraId="6A9FE5CE" w14:textId="77777777" w:rsidR="009529F6" w:rsidRDefault="00F91613" w:rsidP="009529F6">
      <w:pPr>
        <w:pStyle w:val="NormalWeb"/>
        <w:spacing w:before="0" w:beforeAutospacing="0" w:after="120" w:afterAutospacing="0" w:line="360" w:lineRule="auto"/>
        <w:ind w:left="720" w:hanging="720"/>
        <w:jc w:val="both"/>
        <w:rPr>
          <w:rFonts w:ascii="Arial" w:hAnsi="Arial" w:cs="Arial"/>
          <w:color w:val="222222"/>
          <w:shd w:val="clear" w:color="auto" w:fill="FFFFFF"/>
        </w:rPr>
      </w:pPr>
      <w:proofErr w:type="spellStart"/>
      <w:r w:rsidRPr="008126FD">
        <w:rPr>
          <w:rFonts w:ascii="Arial" w:hAnsi="Arial" w:cs="Arial"/>
          <w:color w:val="222222"/>
          <w:shd w:val="clear" w:color="auto" w:fill="FFFFFF"/>
        </w:rPr>
        <w:t>Edeoga</w:t>
      </w:r>
      <w:proofErr w:type="spellEnd"/>
      <w:r w:rsidRPr="008126FD">
        <w:rPr>
          <w:rFonts w:ascii="Arial" w:hAnsi="Arial" w:cs="Arial"/>
          <w:color w:val="222222"/>
          <w:shd w:val="clear" w:color="auto" w:fill="FFFFFF"/>
        </w:rPr>
        <w:t xml:space="preserve">, H. O., Okwu, D. E., &amp; </w:t>
      </w:r>
      <w:proofErr w:type="spellStart"/>
      <w:r w:rsidRPr="008126FD">
        <w:rPr>
          <w:rFonts w:ascii="Arial" w:hAnsi="Arial" w:cs="Arial"/>
          <w:color w:val="222222"/>
          <w:shd w:val="clear" w:color="auto" w:fill="FFFFFF"/>
        </w:rPr>
        <w:t>Mbaebie</w:t>
      </w:r>
      <w:proofErr w:type="spellEnd"/>
      <w:r w:rsidRPr="008126FD">
        <w:rPr>
          <w:rFonts w:ascii="Arial" w:hAnsi="Arial" w:cs="Arial"/>
          <w:color w:val="222222"/>
          <w:shd w:val="clear" w:color="auto" w:fill="FFFFFF"/>
        </w:rPr>
        <w:t>, B. O. (2005). Phytochemical constituents of some Nigerian medicinal plants. </w:t>
      </w:r>
      <w:r w:rsidRPr="008126FD">
        <w:rPr>
          <w:rFonts w:ascii="Arial" w:hAnsi="Arial" w:cs="Arial"/>
          <w:i/>
          <w:iCs/>
          <w:color w:val="222222"/>
          <w:shd w:val="clear" w:color="auto" w:fill="FFFFFF"/>
        </w:rPr>
        <w:t>African journal of biotechnology</w:t>
      </w:r>
      <w:r w:rsidRPr="008126FD">
        <w:rPr>
          <w:rFonts w:ascii="Arial" w:hAnsi="Arial" w:cs="Arial"/>
          <w:color w:val="222222"/>
          <w:shd w:val="clear" w:color="auto" w:fill="FFFFFF"/>
        </w:rPr>
        <w:t>, </w:t>
      </w:r>
      <w:r w:rsidRPr="008126FD">
        <w:rPr>
          <w:rFonts w:ascii="Arial" w:hAnsi="Arial" w:cs="Arial"/>
          <w:i/>
          <w:iCs/>
          <w:color w:val="222222"/>
          <w:shd w:val="clear" w:color="auto" w:fill="FFFFFF"/>
        </w:rPr>
        <w:t>4</w:t>
      </w:r>
      <w:r w:rsidRPr="008126FD">
        <w:rPr>
          <w:rFonts w:ascii="Arial" w:hAnsi="Arial" w:cs="Arial"/>
          <w:color w:val="222222"/>
          <w:shd w:val="clear" w:color="auto" w:fill="FFFFFF"/>
        </w:rPr>
        <w:t>(7), 685-688.</w:t>
      </w:r>
    </w:p>
    <w:p w14:paraId="416BCC98" w14:textId="77777777" w:rsidR="009529F6" w:rsidRDefault="0034727E" w:rsidP="009529F6">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8126FD">
        <w:rPr>
          <w:rFonts w:ascii="Arial" w:hAnsi="Arial" w:cs="Arial"/>
          <w:color w:val="222222"/>
          <w:shd w:val="clear" w:color="auto" w:fill="FFFFFF"/>
        </w:rPr>
        <w:t>Yadav, R. N. S., &amp; Agarwala, M. (2011). Phytochemical analysis of some medicinal plants. </w:t>
      </w:r>
      <w:r w:rsidRPr="008126FD">
        <w:rPr>
          <w:rFonts w:ascii="Arial" w:hAnsi="Arial" w:cs="Arial"/>
          <w:i/>
          <w:iCs/>
          <w:color w:val="222222"/>
          <w:shd w:val="clear" w:color="auto" w:fill="FFFFFF"/>
        </w:rPr>
        <w:t>Journal of phytology</w:t>
      </w:r>
      <w:r w:rsidRPr="008126FD">
        <w:rPr>
          <w:rFonts w:ascii="Arial" w:hAnsi="Arial" w:cs="Arial"/>
          <w:color w:val="222222"/>
          <w:shd w:val="clear" w:color="auto" w:fill="FFFFFF"/>
        </w:rPr>
        <w:t>, </w:t>
      </w:r>
      <w:r w:rsidRPr="008126FD">
        <w:rPr>
          <w:rFonts w:ascii="Arial" w:hAnsi="Arial" w:cs="Arial"/>
          <w:i/>
          <w:iCs/>
          <w:color w:val="222222"/>
          <w:shd w:val="clear" w:color="auto" w:fill="FFFFFF"/>
        </w:rPr>
        <w:t>3</w:t>
      </w:r>
      <w:r w:rsidRPr="008126FD">
        <w:rPr>
          <w:rFonts w:ascii="Arial" w:hAnsi="Arial" w:cs="Arial"/>
          <w:color w:val="222222"/>
          <w:shd w:val="clear" w:color="auto" w:fill="FFFFFF"/>
        </w:rPr>
        <w:t>(12).</w:t>
      </w:r>
    </w:p>
    <w:p w14:paraId="1C59E0FA" w14:textId="77777777" w:rsidR="009529F6" w:rsidRDefault="008470FD" w:rsidP="009529F6">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8126FD">
        <w:rPr>
          <w:rFonts w:ascii="Arial" w:hAnsi="Arial" w:cs="Arial"/>
          <w:color w:val="222222"/>
          <w:shd w:val="clear" w:color="auto" w:fill="FFFFFF"/>
        </w:rPr>
        <w:t>Zaynab, M., Fatima, M., Abbas, S., Sharif, Y., Jamil, K., Ashraf, A., ... &amp; Batool, W. (2018). Proteomics approach reveals importance of herbal plants in curing diseases. </w:t>
      </w:r>
      <w:r w:rsidRPr="008126FD">
        <w:rPr>
          <w:rFonts w:ascii="Arial" w:hAnsi="Arial" w:cs="Arial"/>
          <w:i/>
          <w:iCs/>
          <w:color w:val="222222"/>
          <w:shd w:val="clear" w:color="auto" w:fill="FFFFFF"/>
        </w:rPr>
        <w:t>International Journal of Molecular Microbiology</w:t>
      </w:r>
      <w:r w:rsidRPr="008126FD">
        <w:rPr>
          <w:rFonts w:ascii="Arial" w:hAnsi="Arial" w:cs="Arial"/>
          <w:color w:val="222222"/>
          <w:shd w:val="clear" w:color="auto" w:fill="FFFFFF"/>
        </w:rPr>
        <w:t>, </w:t>
      </w:r>
      <w:r w:rsidRPr="008126FD">
        <w:rPr>
          <w:rFonts w:ascii="Arial" w:hAnsi="Arial" w:cs="Arial"/>
          <w:i/>
          <w:iCs/>
          <w:color w:val="222222"/>
          <w:shd w:val="clear" w:color="auto" w:fill="FFFFFF"/>
        </w:rPr>
        <w:t>1</w:t>
      </w:r>
      <w:r w:rsidRPr="008126FD">
        <w:rPr>
          <w:rFonts w:ascii="Arial" w:hAnsi="Arial" w:cs="Arial"/>
          <w:color w:val="222222"/>
          <w:shd w:val="clear" w:color="auto" w:fill="FFFFFF"/>
        </w:rPr>
        <w:t>(1), 23-28.</w:t>
      </w:r>
    </w:p>
    <w:p w14:paraId="57C3C326" w14:textId="77777777" w:rsidR="009529F6" w:rsidRDefault="008470FD" w:rsidP="009529F6">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8126FD">
        <w:rPr>
          <w:rFonts w:ascii="Arial" w:hAnsi="Arial" w:cs="Arial"/>
          <w:color w:val="222222"/>
          <w:shd w:val="clear" w:color="auto" w:fill="FFFFFF"/>
        </w:rPr>
        <w:t>Barbosa, W. L. R., do Nascimento, M. S., do Pinto, L. N., Maia, F. L. C., Sousa, A. A., Júnior, J. O. C. S., &amp; de Oliveira, D. R. (2012). Selecting medicinal plants for development of phytomedicine and use in primary health care. </w:t>
      </w:r>
      <w:r w:rsidRPr="008126FD">
        <w:rPr>
          <w:rFonts w:ascii="Arial" w:hAnsi="Arial" w:cs="Arial"/>
          <w:i/>
          <w:iCs/>
          <w:color w:val="222222"/>
          <w:shd w:val="clear" w:color="auto" w:fill="FFFFFF"/>
        </w:rPr>
        <w:t>Bioactive compounds in phytomedicine</w:t>
      </w:r>
      <w:r w:rsidRPr="008126FD">
        <w:rPr>
          <w:rFonts w:ascii="Arial" w:hAnsi="Arial" w:cs="Arial"/>
          <w:color w:val="222222"/>
          <w:shd w:val="clear" w:color="auto" w:fill="FFFFFF"/>
        </w:rPr>
        <w:t>, 3-24.</w:t>
      </w:r>
    </w:p>
    <w:p w14:paraId="1DC7BB58" w14:textId="77777777" w:rsidR="009529F6" w:rsidRDefault="008470FD" w:rsidP="009529F6">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8126FD">
        <w:rPr>
          <w:rFonts w:ascii="Arial" w:hAnsi="Arial" w:cs="Arial"/>
          <w:color w:val="222222"/>
          <w:shd w:val="clear" w:color="auto" w:fill="FFFFFF"/>
        </w:rPr>
        <w:lastRenderedPageBreak/>
        <w:t xml:space="preserve">Ferreira, T. S., Moreira, C. Z., </w:t>
      </w:r>
      <w:proofErr w:type="spellStart"/>
      <w:r w:rsidRPr="008126FD">
        <w:rPr>
          <w:rFonts w:ascii="Arial" w:hAnsi="Arial" w:cs="Arial"/>
          <w:color w:val="222222"/>
          <w:shd w:val="clear" w:color="auto" w:fill="FFFFFF"/>
        </w:rPr>
        <w:t>Cária</w:t>
      </w:r>
      <w:proofErr w:type="spellEnd"/>
      <w:r w:rsidRPr="008126FD">
        <w:rPr>
          <w:rFonts w:ascii="Arial" w:hAnsi="Arial" w:cs="Arial"/>
          <w:color w:val="222222"/>
          <w:shd w:val="clear" w:color="auto" w:fill="FFFFFF"/>
        </w:rPr>
        <w:t>, N. Z., Victoriano, G., Silva Jr, W. F., &amp; Magalhães, J. C. (2014). Phytotherapy: an introduction to its history, use and application. </w:t>
      </w:r>
      <w:proofErr w:type="spellStart"/>
      <w:r w:rsidRPr="008126FD">
        <w:rPr>
          <w:rFonts w:ascii="Arial" w:hAnsi="Arial" w:cs="Arial"/>
          <w:i/>
          <w:iCs/>
          <w:color w:val="222222"/>
          <w:shd w:val="clear" w:color="auto" w:fill="FFFFFF"/>
        </w:rPr>
        <w:t>Revista</w:t>
      </w:r>
      <w:proofErr w:type="spellEnd"/>
      <w:r w:rsidRPr="008126FD">
        <w:rPr>
          <w:rFonts w:ascii="Arial" w:hAnsi="Arial" w:cs="Arial"/>
          <w:i/>
          <w:iCs/>
          <w:color w:val="222222"/>
          <w:shd w:val="clear" w:color="auto" w:fill="FFFFFF"/>
        </w:rPr>
        <w:t xml:space="preserve"> </w:t>
      </w:r>
      <w:proofErr w:type="spellStart"/>
      <w:r w:rsidRPr="008126FD">
        <w:rPr>
          <w:rFonts w:ascii="Arial" w:hAnsi="Arial" w:cs="Arial"/>
          <w:i/>
          <w:iCs/>
          <w:color w:val="222222"/>
          <w:shd w:val="clear" w:color="auto" w:fill="FFFFFF"/>
        </w:rPr>
        <w:t>Brasileira</w:t>
      </w:r>
      <w:proofErr w:type="spellEnd"/>
      <w:r w:rsidRPr="008126FD">
        <w:rPr>
          <w:rFonts w:ascii="Arial" w:hAnsi="Arial" w:cs="Arial"/>
          <w:i/>
          <w:iCs/>
          <w:color w:val="222222"/>
          <w:shd w:val="clear" w:color="auto" w:fill="FFFFFF"/>
        </w:rPr>
        <w:t xml:space="preserve"> de </w:t>
      </w:r>
      <w:proofErr w:type="spellStart"/>
      <w:r w:rsidRPr="008126FD">
        <w:rPr>
          <w:rFonts w:ascii="Arial" w:hAnsi="Arial" w:cs="Arial"/>
          <w:i/>
          <w:iCs/>
          <w:color w:val="222222"/>
          <w:shd w:val="clear" w:color="auto" w:fill="FFFFFF"/>
        </w:rPr>
        <w:t>Plantas</w:t>
      </w:r>
      <w:proofErr w:type="spellEnd"/>
      <w:r w:rsidRPr="008126FD">
        <w:rPr>
          <w:rFonts w:ascii="Arial" w:hAnsi="Arial" w:cs="Arial"/>
          <w:i/>
          <w:iCs/>
          <w:color w:val="222222"/>
          <w:shd w:val="clear" w:color="auto" w:fill="FFFFFF"/>
        </w:rPr>
        <w:t xml:space="preserve"> </w:t>
      </w:r>
      <w:proofErr w:type="spellStart"/>
      <w:r w:rsidRPr="008126FD">
        <w:rPr>
          <w:rFonts w:ascii="Arial" w:hAnsi="Arial" w:cs="Arial"/>
          <w:i/>
          <w:iCs/>
          <w:color w:val="222222"/>
          <w:shd w:val="clear" w:color="auto" w:fill="FFFFFF"/>
        </w:rPr>
        <w:t>Medicinais</w:t>
      </w:r>
      <w:proofErr w:type="spellEnd"/>
      <w:r w:rsidRPr="008126FD">
        <w:rPr>
          <w:rFonts w:ascii="Arial" w:hAnsi="Arial" w:cs="Arial"/>
          <w:color w:val="222222"/>
          <w:shd w:val="clear" w:color="auto" w:fill="FFFFFF"/>
        </w:rPr>
        <w:t>, </w:t>
      </w:r>
      <w:r w:rsidRPr="008126FD">
        <w:rPr>
          <w:rFonts w:ascii="Arial" w:hAnsi="Arial" w:cs="Arial"/>
          <w:i/>
          <w:iCs/>
          <w:color w:val="222222"/>
          <w:shd w:val="clear" w:color="auto" w:fill="FFFFFF"/>
        </w:rPr>
        <w:t>16</w:t>
      </w:r>
      <w:r w:rsidRPr="008126FD">
        <w:rPr>
          <w:rFonts w:ascii="Arial" w:hAnsi="Arial" w:cs="Arial"/>
          <w:color w:val="222222"/>
          <w:shd w:val="clear" w:color="auto" w:fill="FFFFFF"/>
        </w:rPr>
        <w:t>, 290-298.</w:t>
      </w:r>
    </w:p>
    <w:p w14:paraId="773DF6F4" w14:textId="77777777" w:rsidR="009529F6" w:rsidRDefault="00FD51B2" w:rsidP="009529F6">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8126FD">
        <w:rPr>
          <w:rFonts w:ascii="Arial" w:hAnsi="Arial" w:cs="Arial"/>
          <w:color w:val="222222"/>
          <w:shd w:val="clear" w:color="auto" w:fill="FFFFFF"/>
        </w:rPr>
        <w:t>Brielmann, H. L., Setzer, W. N., Kaufman, P. B., Kirakosyan, A., &amp; Cseke, L. J. (2006). Phytochemicals: The chemical components of plants. </w:t>
      </w:r>
      <w:r w:rsidRPr="008126FD">
        <w:rPr>
          <w:rFonts w:ascii="Arial" w:hAnsi="Arial" w:cs="Arial"/>
          <w:i/>
          <w:iCs/>
          <w:color w:val="222222"/>
          <w:shd w:val="clear" w:color="auto" w:fill="FFFFFF"/>
        </w:rPr>
        <w:t>Natural products from plants</w:t>
      </w:r>
      <w:r w:rsidRPr="008126FD">
        <w:rPr>
          <w:rFonts w:ascii="Arial" w:hAnsi="Arial" w:cs="Arial"/>
          <w:color w:val="222222"/>
          <w:shd w:val="clear" w:color="auto" w:fill="FFFFFF"/>
        </w:rPr>
        <w:t>, </w:t>
      </w:r>
      <w:r w:rsidRPr="008126FD">
        <w:rPr>
          <w:rFonts w:ascii="Arial" w:hAnsi="Arial" w:cs="Arial"/>
          <w:i/>
          <w:iCs/>
          <w:color w:val="222222"/>
          <w:shd w:val="clear" w:color="auto" w:fill="FFFFFF"/>
        </w:rPr>
        <w:t>2</w:t>
      </w:r>
      <w:r w:rsidRPr="008126FD">
        <w:rPr>
          <w:rFonts w:ascii="Arial" w:hAnsi="Arial" w:cs="Arial"/>
          <w:color w:val="222222"/>
          <w:shd w:val="clear" w:color="auto" w:fill="FFFFFF"/>
        </w:rPr>
        <w:t>, 1-49.</w:t>
      </w:r>
    </w:p>
    <w:p w14:paraId="79B52E3A" w14:textId="77777777" w:rsidR="009529F6" w:rsidRDefault="00FD51B2" w:rsidP="009529F6">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8126FD">
        <w:rPr>
          <w:rFonts w:ascii="Arial" w:hAnsi="Arial" w:cs="Arial"/>
          <w:color w:val="222222"/>
          <w:shd w:val="clear" w:color="auto" w:fill="FFFFFF"/>
        </w:rPr>
        <w:t>Shin, S. A., Joo, B. J., Lee, J. S., Ryu, G., Han, M., Kim, W. Y., ... &amp; Lee, C. S. (2020). Phytochemicals as anti-inflammatory agents in animal models of prevalent inflammatory diseases. </w:t>
      </w:r>
      <w:r w:rsidRPr="008126FD">
        <w:rPr>
          <w:rFonts w:ascii="Arial" w:hAnsi="Arial" w:cs="Arial"/>
          <w:i/>
          <w:iCs/>
          <w:color w:val="222222"/>
          <w:shd w:val="clear" w:color="auto" w:fill="FFFFFF"/>
        </w:rPr>
        <w:t>Molecules</w:t>
      </w:r>
      <w:r w:rsidRPr="008126FD">
        <w:rPr>
          <w:rFonts w:ascii="Arial" w:hAnsi="Arial" w:cs="Arial"/>
          <w:color w:val="222222"/>
          <w:shd w:val="clear" w:color="auto" w:fill="FFFFFF"/>
        </w:rPr>
        <w:t>, </w:t>
      </w:r>
      <w:r w:rsidRPr="008126FD">
        <w:rPr>
          <w:rFonts w:ascii="Arial" w:hAnsi="Arial" w:cs="Arial"/>
          <w:i/>
          <w:iCs/>
          <w:color w:val="222222"/>
          <w:shd w:val="clear" w:color="auto" w:fill="FFFFFF"/>
        </w:rPr>
        <w:t>25</w:t>
      </w:r>
      <w:r w:rsidRPr="008126FD">
        <w:rPr>
          <w:rFonts w:ascii="Arial" w:hAnsi="Arial" w:cs="Arial"/>
          <w:color w:val="222222"/>
          <w:shd w:val="clear" w:color="auto" w:fill="FFFFFF"/>
        </w:rPr>
        <w:t>(24), 5932.</w:t>
      </w:r>
    </w:p>
    <w:p w14:paraId="622EC7DC" w14:textId="77777777" w:rsidR="009529F6" w:rsidRDefault="00FD51B2" w:rsidP="009529F6">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8126FD">
        <w:rPr>
          <w:rFonts w:ascii="Arial" w:hAnsi="Arial" w:cs="Arial"/>
          <w:color w:val="222222"/>
          <w:shd w:val="clear" w:color="auto" w:fill="FFFFFF"/>
        </w:rPr>
        <w:t xml:space="preserve">Díaz-Puertas, R., Álvarez-Martínez, F. J., Falco, A., </w:t>
      </w:r>
      <w:proofErr w:type="spellStart"/>
      <w:r w:rsidRPr="008126FD">
        <w:rPr>
          <w:rFonts w:ascii="Arial" w:hAnsi="Arial" w:cs="Arial"/>
          <w:color w:val="222222"/>
          <w:shd w:val="clear" w:color="auto" w:fill="FFFFFF"/>
        </w:rPr>
        <w:t>Barrajón-Catalán</w:t>
      </w:r>
      <w:proofErr w:type="spellEnd"/>
      <w:r w:rsidRPr="008126FD">
        <w:rPr>
          <w:rFonts w:ascii="Arial" w:hAnsi="Arial" w:cs="Arial"/>
          <w:color w:val="222222"/>
          <w:shd w:val="clear" w:color="auto" w:fill="FFFFFF"/>
        </w:rPr>
        <w:t xml:space="preserve">, E., &amp; </w:t>
      </w:r>
      <w:proofErr w:type="spellStart"/>
      <w:r w:rsidRPr="008126FD">
        <w:rPr>
          <w:rFonts w:ascii="Arial" w:hAnsi="Arial" w:cs="Arial"/>
          <w:color w:val="222222"/>
          <w:shd w:val="clear" w:color="auto" w:fill="FFFFFF"/>
        </w:rPr>
        <w:t>Mallavia</w:t>
      </w:r>
      <w:proofErr w:type="spellEnd"/>
      <w:r w:rsidRPr="008126FD">
        <w:rPr>
          <w:rFonts w:ascii="Arial" w:hAnsi="Arial" w:cs="Arial"/>
          <w:color w:val="222222"/>
          <w:shd w:val="clear" w:color="auto" w:fill="FFFFFF"/>
        </w:rPr>
        <w:t>, R. (2023). Phytochemical-based nanomaterials against antibiotic-resistant bacteria: an updated review. </w:t>
      </w:r>
      <w:r w:rsidRPr="008126FD">
        <w:rPr>
          <w:rFonts w:ascii="Arial" w:hAnsi="Arial" w:cs="Arial"/>
          <w:i/>
          <w:iCs/>
          <w:color w:val="222222"/>
          <w:shd w:val="clear" w:color="auto" w:fill="FFFFFF"/>
        </w:rPr>
        <w:t>Polymers</w:t>
      </w:r>
      <w:r w:rsidRPr="008126FD">
        <w:rPr>
          <w:rFonts w:ascii="Arial" w:hAnsi="Arial" w:cs="Arial"/>
          <w:color w:val="222222"/>
          <w:shd w:val="clear" w:color="auto" w:fill="FFFFFF"/>
        </w:rPr>
        <w:t>, </w:t>
      </w:r>
      <w:r w:rsidRPr="008126FD">
        <w:rPr>
          <w:rFonts w:ascii="Arial" w:hAnsi="Arial" w:cs="Arial"/>
          <w:i/>
          <w:iCs/>
          <w:color w:val="222222"/>
          <w:shd w:val="clear" w:color="auto" w:fill="FFFFFF"/>
        </w:rPr>
        <w:t>15</w:t>
      </w:r>
      <w:r w:rsidRPr="008126FD">
        <w:rPr>
          <w:rFonts w:ascii="Arial" w:hAnsi="Arial" w:cs="Arial"/>
          <w:color w:val="222222"/>
          <w:shd w:val="clear" w:color="auto" w:fill="FFFFFF"/>
        </w:rPr>
        <w:t>(6), 1392.</w:t>
      </w:r>
    </w:p>
    <w:p w14:paraId="6D46ED10" w14:textId="2C15FA44" w:rsidR="000A720C" w:rsidRPr="008126FD" w:rsidRDefault="000A720C" w:rsidP="009529F6">
      <w:pPr>
        <w:pStyle w:val="NormalWeb"/>
        <w:spacing w:before="0" w:beforeAutospacing="0" w:after="120" w:afterAutospacing="0" w:line="360" w:lineRule="auto"/>
        <w:ind w:left="720" w:hanging="720"/>
        <w:jc w:val="both"/>
        <w:rPr>
          <w:rFonts w:ascii="Arial" w:hAnsi="Arial" w:cs="Arial"/>
        </w:rPr>
      </w:pPr>
      <w:r w:rsidRPr="008126FD">
        <w:rPr>
          <w:rFonts w:ascii="Arial" w:hAnsi="Arial" w:cs="Arial"/>
        </w:rPr>
        <w:t xml:space="preserve">Biu, A. A., Yusufu, S. D., &amp; Rabo, J. S. (2009). Phytochemical screening of </w:t>
      </w:r>
      <w:proofErr w:type="spellStart"/>
      <w:r w:rsidRPr="008126FD">
        <w:rPr>
          <w:rFonts w:ascii="Arial" w:hAnsi="Arial" w:cs="Arial"/>
          <w:i/>
          <w:iCs/>
        </w:rPr>
        <w:t>Azadirachta</w:t>
      </w:r>
      <w:proofErr w:type="spellEnd"/>
      <w:r w:rsidRPr="008126FD">
        <w:rPr>
          <w:rFonts w:ascii="Arial" w:hAnsi="Arial" w:cs="Arial"/>
          <w:i/>
          <w:iCs/>
        </w:rPr>
        <w:t xml:space="preserve"> </w:t>
      </w:r>
      <w:proofErr w:type="spellStart"/>
      <w:r w:rsidRPr="008126FD">
        <w:rPr>
          <w:rFonts w:ascii="Arial" w:hAnsi="Arial" w:cs="Arial"/>
          <w:i/>
          <w:iCs/>
        </w:rPr>
        <w:t>indica</w:t>
      </w:r>
      <w:proofErr w:type="spellEnd"/>
      <w:r w:rsidRPr="008126FD">
        <w:rPr>
          <w:rFonts w:ascii="Arial" w:hAnsi="Arial" w:cs="Arial"/>
        </w:rPr>
        <w:t xml:space="preserve"> (neem)(</w:t>
      </w:r>
      <w:proofErr w:type="spellStart"/>
      <w:r w:rsidRPr="008126FD">
        <w:rPr>
          <w:rFonts w:ascii="Arial" w:hAnsi="Arial" w:cs="Arial"/>
        </w:rPr>
        <w:t>Meliaceae</w:t>
      </w:r>
      <w:proofErr w:type="spellEnd"/>
      <w:r w:rsidRPr="008126FD">
        <w:rPr>
          <w:rFonts w:ascii="Arial" w:hAnsi="Arial" w:cs="Arial"/>
        </w:rPr>
        <w:t xml:space="preserve">) in Maiduguri, Nigeria. </w:t>
      </w:r>
      <w:r w:rsidRPr="008126FD">
        <w:rPr>
          <w:rFonts w:ascii="Arial" w:hAnsi="Arial" w:cs="Arial"/>
          <w:i/>
          <w:iCs/>
        </w:rPr>
        <w:t>Bioscience research communications</w:t>
      </w:r>
      <w:r w:rsidRPr="008126FD">
        <w:rPr>
          <w:rFonts w:ascii="Arial" w:hAnsi="Arial" w:cs="Arial"/>
        </w:rPr>
        <w:t xml:space="preserve">, </w:t>
      </w:r>
      <w:r w:rsidRPr="008126FD">
        <w:rPr>
          <w:rFonts w:ascii="Arial" w:hAnsi="Arial" w:cs="Arial"/>
          <w:i/>
          <w:iCs/>
        </w:rPr>
        <w:t>21</w:t>
      </w:r>
      <w:r w:rsidRPr="008126FD">
        <w:rPr>
          <w:rFonts w:ascii="Arial" w:hAnsi="Arial" w:cs="Arial"/>
        </w:rPr>
        <w:t xml:space="preserve">(6), 281-283. </w:t>
      </w:r>
      <w:hyperlink r:id="rId8" w:history="1">
        <w:r w:rsidRPr="008126FD">
          <w:rPr>
            <w:rStyle w:val="Hyperlink"/>
            <w:rFonts w:ascii="Arial" w:hAnsi="Arial" w:cs="Arial"/>
          </w:rPr>
          <w:t>http://www.klobex.org/brc</w:t>
        </w:r>
      </w:hyperlink>
      <w:r w:rsidRPr="008126FD">
        <w:rPr>
          <w:rStyle w:val="Hyperlink"/>
          <w:rFonts w:ascii="Arial" w:hAnsi="Arial" w:cs="Arial"/>
        </w:rPr>
        <w:t>.</w:t>
      </w:r>
    </w:p>
    <w:p w14:paraId="31CA24D0" w14:textId="77777777" w:rsidR="000A720C" w:rsidRPr="008126FD" w:rsidRDefault="000A720C" w:rsidP="000A720C">
      <w:pPr>
        <w:pStyle w:val="NormalWeb"/>
        <w:spacing w:before="0" w:beforeAutospacing="0" w:after="120" w:afterAutospacing="0" w:line="360" w:lineRule="auto"/>
        <w:ind w:left="720" w:hanging="720"/>
        <w:jc w:val="both"/>
        <w:rPr>
          <w:rFonts w:ascii="Arial" w:hAnsi="Arial" w:cs="Arial"/>
        </w:rPr>
      </w:pPr>
      <w:r w:rsidRPr="008126FD">
        <w:rPr>
          <w:rFonts w:ascii="Arial" w:hAnsi="Arial" w:cs="Arial"/>
        </w:rPr>
        <w:t xml:space="preserve">El-Ahmady, S. H., Ashour, M. L., &amp; Wink, M. (2013). Chemical composition and anti-inflammatory activity of the essential oils of </w:t>
      </w:r>
      <w:r w:rsidRPr="008126FD">
        <w:rPr>
          <w:rStyle w:val="Emphasis"/>
          <w:rFonts w:ascii="Arial" w:eastAsiaTheme="majorEastAsia" w:hAnsi="Arial" w:cs="Arial"/>
        </w:rPr>
        <w:t>Psidium guajava</w:t>
      </w:r>
      <w:r w:rsidRPr="008126FD">
        <w:rPr>
          <w:rFonts w:ascii="Arial" w:hAnsi="Arial" w:cs="Arial"/>
        </w:rPr>
        <w:t xml:space="preserve"> fruits and leaves. </w:t>
      </w:r>
      <w:r w:rsidRPr="008126FD">
        <w:rPr>
          <w:rStyle w:val="Emphasis"/>
          <w:rFonts w:ascii="Arial" w:eastAsiaTheme="majorEastAsia" w:hAnsi="Arial" w:cs="Arial"/>
        </w:rPr>
        <w:t>Journal of Essential Oil Research</w:t>
      </w:r>
      <w:r w:rsidRPr="008126FD">
        <w:rPr>
          <w:rFonts w:ascii="Arial" w:hAnsi="Arial" w:cs="Arial"/>
        </w:rPr>
        <w:t xml:space="preserve">, </w:t>
      </w:r>
      <w:r w:rsidRPr="008126FD">
        <w:rPr>
          <w:rStyle w:val="Emphasis"/>
          <w:rFonts w:ascii="Arial" w:eastAsiaTheme="majorEastAsia" w:hAnsi="Arial" w:cs="Arial"/>
        </w:rPr>
        <w:t>25</w:t>
      </w:r>
      <w:r w:rsidRPr="008126FD">
        <w:rPr>
          <w:rFonts w:ascii="Arial" w:hAnsi="Arial" w:cs="Arial"/>
        </w:rPr>
        <w:t xml:space="preserve">(6), 475-481. </w:t>
      </w:r>
      <w:hyperlink r:id="rId9" w:history="1">
        <w:r w:rsidRPr="008126FD">
          <w:rPr>
            <w:rStyle w:val="Hyperlink"/>
            <w:rFonts w:ascii="Arial" w:eastAsiaTheme="majorEastAsia" w:hAnsi="Arial" w:cs="Arial"/>
          </w:rPr>
          <w:t>https://doi.org/10.1080/10412905.2013.796498</w:t>
        </w:r>
      </w:hyperlink>
      <w:r w:rsidRPr="008126FD">
        <w:rPr>
          <w:rFonts w:ascii="Arial" w:hAnsi="Arial" w:cs="Arial"/>
        </w:rPr>
        <w:t>.</w:t>
      </w:r>
    </w:p>
    <w:p w14:paraId="3EBCE3F6" w14:textId="77777777" w:rsidR="000A720C" w:rsidRPr="008126FD" w:rsidRDefault="000A720C" w:rsidP="000A720C">
      <w:pPr>
        <w:pStyle w:val="NormalWeb"/>
        <w:spacing w:before="0" w:beforeAutospacing="0" w:after="120" w:afterAutospacing="0" w:line="360" w:lineRule="auto"/>
        <w:ind w:left="720" w:hanging="720"/>
        <w:jc w:val="both"/>
        <w:rPr>
          <w:rFonts w:ascii="Arial" w:hAnsi="Arial" w:cs="Arial"/>
        </w:rPr>
      </w:pPr>
      <w:r w:rsidRPr="008126FD">
        <w:rPr>
          <w:rFonts w:ascii="Arial" w:hAnsi="Arial" w:cs="Arial"/>
        </w:rPr>
        <w:t xml:space="preserve">Yin </w:t>
      </w:r>
      <w:proofErr w:type="spellStart"/>
      <w:r w:rsidRPr="008126FD">
        <w:rPr>
          <w:rFonts w:ascii="Arial" w:hAnsi="Arial" w:cs="Arial"/>
        </w:rPr>
        <w:t>XiaoLi</w:t>
      </w:r>
      <w:proofErr w:type="spellEnd"/>
      <w:r w:rsidRPr="008126FD">
        <w:rPr>
          <w:rFonts w:ascii="Arial" w:hAnsi="Arial" w:cs="Arial"/>
        </w:rPr>
        <w:t xml:space="preserve">, Y. X., Li ZhuoJia, L. Z., Yang Keng, Y. K., Lin HeiZhao, L. H., &amp; Guo </w:t>
      </w:r>
      <w:proofErr w:type="spellStart"/>
      <w:r w:rsidRPr="008126FD">
        <w:rPr>
          <w:rFonts w:ascii="Arial" w:hAnsi="Arial" w:cs="Arial"/>
        </w:rPr>
        <w:t>ZhiXun</w:t>
      </w:r>
      <w:proofErr w:type="spellEnd"/>
      <w:r w:rsidRPr="008126FD">
        <w:rPr>
          <w:rFonts w:ascii="Arial" w:hAnsi="Arial" w:cs="Arial"/>
        </w:rPr>
        <w:t xml:space="preserve">, G. Z. (2014). Effect of guava leaves on growth rate and the non-specific immune response of </w:t>
      </w:r>
      <w:r w:rsidRPr="008126FD">
        <w:rPr>
          <w:rStyle w:val="Emphasis"/>
          <w:rFonts w:ascii="Arial" w:eastAsiaTheme="majorEastAsia" w:hAnsi="Arial" w:cs="Arial"/>
        </w:rPr>
        <w:t>Penaeus monodon</w:t>
      </w:r>
      <w:r w:rsidRPr="008126FD">
        <w:rPr>
          <w:rFonts w:ascii="Arial" w:hAnsi="Arial" w:cs="Arial"/>
        </w:rPr>
        <w:t>.</w:t>
      </w:r>
    </w:p>
    <w:p w14:paraId="16E754DB" w14:textId="306E4778" w:rsidR="003A6041" w:rsidRPr="008126FD" w:rsidRDefault="003A6041" w:rsidP="000A720C">
      <w:pPr>
        <w:pStyle w:val="NormalWeb"/>
        <w:spacing w:before="0" w:beforeAutospacing="0" w:after="120" w:afterAutospacing="0" w:line="360" w:lineRule="auto"/>
        <w:ind w:left="720" w:hanging="720"/>
        <w:jc w:val="both"/>
        <w:rPr>
          <w:rFonts w:ascii="Arial" w:hAnsi="Arial" w:cs="Arial"/>
        </w:rPr>
      </w:pPr>
      <w:r w:rsidRPr="008126FD">
        <w:rPr>
          <w:rFonts w:ascii="Arial" w:hAnsi="Arial" w:cs="Arial"/>
        </w:rPr>
        <w:t xml:space="preserve">Manilal A, Sujith S, Kiran GS, Selvin J, and Shakir C (2009). </w:t>
      </w:r>
      <w:proofErr w:type="spellStart"/>
      <w:r w:rsidRPr="008126FD">
        <w:rPr>
          <w:rFonts w:ascii="Arial" w:hAnsi="Arial" w:cs="Arial"/>
        </w:rPr>
        <w:t>Biopotensial</w:t>
      </w:r>
      <w:proofErr w:type="spellEnd"/>
      <w:r w:rsidRPr="008126FD">
        <w:rPr>
          <w:rFonts w:ascii="Arial" w:hAnsi="Arial" w:cs="Arial"/>
        </w:rPr>
        <w:t xml:space="preserve"> of mangroves collected from the Southwest Coast of India. Global Journal of Biotechnology and Biochemistry, 4(1): 59-65. Available at: </w:t>
      </w:r>
      <w:hyperlink r:id="rId10" w:history="1">
        <w:r w:rsidRPr="008126FD">
          <w:rPr>
            <w:rStyle w:val="Hyperlink"/>
            <w:rFonts w:ascii="Arial" w:hAnsi="Arial" w:cs="Arial"/>
          </w:rPr>
          <w:t>http://citeseerx.ist.psu.edu/viewdoc/download?doi=10.1.1.491.5922&amp;rep=rep1&amp;type=pdf</w:t>
        </w:r>
      </w:hyperlink>
    </w:p>
    <w:p w14:paraId="5B62DEE9" w14:textId="1F952024" w:rsidR="003A6041" w:rsidRPr="008126FD" w:rsidRDefault="003A6041" w:rsidP="000A720C">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8126FD">
        <w:rPr>
          <w:rFonts w:ascii="Arial" w:hAnsi="Arial" w:cs="Arial"/>
          <w:color w:val="222222"/>
          <w:shd w:val="clear" w:color="auto" w:fill="FFFFFF"/>
        </w:rPr>
        <w:t>Harborne, J. B. (1973). Phenolic compounds. In </w:t>
      </w:r>
      <w:r w:rsidRPr="008126FD">
        <w:rPr>
          <w:rFonts w:ascii="Arial" w:hAnsi="Arial" w:cs="Arial"/>
          <w:i/>
          <w:iCs/>
          <w:color w:val="222222"/>
          <w:shd w:val="clear" w:color="auto" w:fill="FFFFFF"/>
        </w:rPr>
        <w:t>Phytochemical methods: A guide to modern techniques of plant analysis</w:t>
      </w:r>
      <w:r w:rsidRPr="008126FD">
        <w:rPr>
          <w:rFonts w:ascii="Arial" w:hAnsi="Arial" w:cs="Arial"/>
          <w:color w:val="222222"/>
          <w:shd w:val="clear" w:color="auto" w:fill="FFFFFF"/>
        </w:rPr>
        <w:t> (pp. 33-88). Dordrecht: Springer Netherlands.</w:t>
      </w:r>
    </w:p>
    <w:p w14:paraId="09C81E76" w14:textId="77777777" w:rsidR="0024364B" w:rsidRPr="008126FD" w:rsidRDefault="003A6041" w:rsidP="0024364B">
      <w:pPr>
        <w:pStyle w:val="NormalWeb"/>
        <w:spacing w:before="0" w:beforeAutospacing="0" w:after="120" w:afterAutospacing="0" w:line="360" w:lineRule="auto"/>
        <w:ind w:left="720" w:hanging="720"/>
        <w:jc w:val="both"/>
        <w:rPr>
          <w:rFonts w:ascii="Arial" w:hAnsi="Arial" w:cs="Arial"/>
        </w:rPr>
      </w:pPr>
      <w:r w:rsidRPr="008126FD">
        <w:rPr>
          <w:rFonts w:ascii="Arial" w:hAnsi="Arial" w:cs="Arial"/>
        </w:rPr>
        <w:lastRenderedPageBreak/>
        <w:t xml:space="preserve">Ghosh A, Das BK, Roy A, Mandal B, and Chandra G (1997). Antibacterial Activity of Some Medicinal Plants. Journal of Natural Medicines, 62: 259 262. DOI: </w:t>
      </w:r>
      <w:hyperlink r:id="rId11" w:history="1">
        <w:r w:rsidR="00436A81" w:rsidRPr="008126FD">
          <w:rPr>
            <w:rStyle w:val="Hyperlink"/>
            <w:rFonts w:ascii="Arial" w:hAnsi="Arial" w:cs="Arial"/>
          </w:rPr>
          <w:t>https://www.doi.org/10.1007/s11418-007-0216-x</w:t>
        </w:r>
      </w:hyperlink>
    </w:p>
    <w:p w14:paraId="7E83724E" w14:textId="59576B9C" w:rsidR="00436A81" w:rsidRPr="00436A81" w:rsidRDefault="00436A81" w:rsidP="0024364B">
      <w:pPr>
        <w:pStyle w:val="NormalWeb"/>
        <w:spacing w:before="0" w:beforeAutospacing="0" w:after="120" w:afterAutospacing="0" w:line="360" w:lineRule="auto"/>
        <w:ind w:left="720" w:hanging="720"/>
        <w:jc w:val="both"/>
        <w:rPr>
          <w:rFonts w:ascii="Arial" w:hAnsi="Arial" w:cs="Arial"/>
        </w:rPr>
      </w:pPr>
      <w:r w:rsidRPr="00436A81">
        <w:rPr>
          <w:rFonts w:ascii="Arial" w:hAnsi="Arial" w:cs="Arial"/>
        </w:rPr>
        <w:t xml:space="preserve">Kumar, M., Tomar, M., Amarowicz, R., Saurabh, V., Nair, M. S., Maheshwari, C., Sasi, M., Prajapati, U., Hasan, M., Singh, S., Changan, S., Prajapat, R. K., Berwal, M. K., &amp; </w:t>
      </w:r>
      <w:proofErr w:type="spellStart"/>
      <w:r w:rsidRPr="00436A81">
        <w:rPr>
          <w:rFonts w:ascii="Arial" w:hAnsi="Arial" w:cs="Arial"/>
        </w:rPr>
        <w:t>Satankar</w:t>
      </w:r>
      <w:proofErr w:type="spellEnd"/>
      <w:r w:rsidRPr="00436A81">
        <w:rPr>
          <w:rFonts w:ascii="Arial" w:hAnsi="Arial" w:cs="Arial"/>
        </w:rPr>
        <w:t>, V. (2021). Guava (</w:t>
      </w:r>
      <w:r w:rsidRPr="00436A81">
        <w:rPr>
          <w:rFonts w:ascii="Arial" w:hAnsi="Arial" w:cs="Arial"/>
          <w:i/>
          <w:iCs/>
        </w:rPr>
        <w:t>Psidium guajava</w:t>
      </w:r>
      <w:r w:rsidRPr="00436A81">
        <w:rPr>
          <w:rFonts w:ascii="Arial" w:hAnsi="Arial" w:cs="Arial"/>
        </w:rPr>
        <w:t xml:space="preserve"> L.) leaves: Nutritional composition, phytochemical profile, and health-promoting bioactivities. </w:t>
      </w:r>
      <w:r w:rsidRPr="00436A81">
        <w:rPr>
          <w:rFonts w:ascii="Arial" w:hAnsi="Arial" w:cs="Arial"/>
          <w:i/>
          <w:iCs/>
        </w:rPr>
        <w:t>Foods</w:t>
      </w:r>
      <w:r w:rsidRPr="00436A81">
        <w:rPr>
          <w:rFonts w:ascii="Arial" w:hAnsi="Arial" w:cs="Arial"/>
        </w:rPr>
        <w:t>, 10(4), 752. https://doi.org/10.3390/foods10040752 (doi.org in Bing)</w:t>
      </w:r>
    </w:p>
    <w:p w14:paraId="36CD9DB0" w14:textId="587536CC" w:rsidR="00436A81" w:rsidRPr="008126FD" w:rsidRDefault="00436A81" w:rsidP="000A720C">
      <w:pPr>
        <w:pStyle w:val="NormalWeb"/>
        <w:spacing w:before="0" w:beforeAutospacing="0" w:after="120" w:afterAutospacing="0" w:line="360" w:lineRule="auto"/>
        <w:ind w:left="720" w:hanging="720"/>
        <w:jc w:val="both"/>
        <w:rPr>
          <w:rFonts w:ascii="Arial" w:hAnsi="Arial" w:cs="Arial"/>
        </w:rPr>
      </w:pPr>
      <w:r w:rsidRPr="008126FD">
        <w:rPr>
          <w:rFonts w:ascii="Arial" w:hAnsi="Arial" w:cs="Arial"/>
        </w:rPr>
        <w:t>Fakoya, S., &amp; Emmanuel, O. S. (2020). Antimicrobial activity of Psidium guajava leaves against multidrug-resistant fish pathogens. Asian Journal of Biological Sciences, 13(3), 258–263.</w:t>
      </w:r>
    </w:p>
    <w:p w14:paraId="342E7066" w14:textId="68F44492" w:rsidR="00436A81" w:rsidRPr="008126FD" w:rsidRDefault="00436A81" w:rsidP="000A720C">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8126FD">
        <w:rPr>
          <w:rFonts w:ascii="Arial" w:hAnsi="Arial" w:cs="Arial"/>
          <w:color w:val="222222"/>
          <w:shd w:val="clear" w:color="auto" w:fill="FFFFFF"/>
        </w:rPr>
        <w:t xml:space="preserve">Thorat, B., &amp; </w:t>
      </w:r>
      <w:proofErr w:type="spellStart"/>
      <w:r w:rsidRPr="008126FD">
        <w:rPr>
          <w:rFonts w:ascii="Arial" w:hAnsi="Arial" w:cs="Arial"/>
          <w:color w:val="222222"/>
          <w:shd w:val="clear" w:color="auto" w:fill="FFFFFF"/>
        </w:rPr>
        <w:t>Pangrikar</w:t>
      </w:r>
      <w:proofErr w:type="spellEnd"/>
      <w:r w:rsidRPr="008126FD">
        <w:rPr>
          <w:rFonts w:ascii="Arial" w:hAnsi="Arial" w:cs="Arial"/>
          <w:color w:val="222222"/>
          <w:shd w:val="clear" w:color="auto" w:fill="FFFFFF"/>
        </w:rPr>
        <w:t>, P. (2025). Phytochemical Analysis of Fruits and Leave of Psidium guajava L. </w:t>
      </w:r>
      <w:r w:rsidRPr="008126FD">
        <w:rPr>
          <w:rFonts w:ascii="Arial" w:hAnsi="Arial" w:cs="Arial"/>
          <w:i/>
          <w:iCs/>
          <w:color w:val="222222"/>
          <w:shd w:val="clear" w:color="auto" w:fill="FFFFFF"/>
        </w:rPr>
        <w:t>Research Journal of Pharmacognosy and Phytochemistry</w:t>
      </w:r>
      <w:r w:rsidRPr="008126FD">
        <w:rPr>
          <w:rFonts w:ascii="Arial" w:hAnsi="Arial" w:cs="Arial"/>
          <w:color w:val="222222"/>
          <w:shd w:val="clear" w:color="auto" w:fill="FFFFFF"/>
        </w:rPr>
        <w:t>, </w:t>
      </w:r>
      <w:r w:rsidRPr="008126FD">
        <w:rPr>
          <w:rFonts w:ascii="Arial" w:hAnsi="Arial" w:cs="Arial"/>
          <w:i/>
          <w:iCs/>
          <w:color w:val="222222"/>
          <w:shd w:val="clear" w:color="auto" w:fill="FFFFFF"/>
        </w:rPr>
        <w:t>17</w:t>
      </w:r>
      <w:r w:rsidRPr="008126FD">
        <w:rPr>
          <w:rFonts w:ascii="Arial" w:hAnsi="Arial" w:cs="Arial"/>
          <w:color w:val="222222"/>
          <w:shd w:val="clear" w:color="auto" w:fill="FFFFFF"/>
        </w:rPr>
        <w:t>(2), 107-110.</w:t>
      </w:r>
    </w:p>
    <w:p w14:paraId="44AA9883" w14:textId="6DE79677" w:rsidR="0024364B" w:rsidRPr="008126FD" w:rsidRDefault="0024364B" w:rsidP="000A720C">
      <w:pPr>
        <w:pStyle w:val="NormalWeb"/>
        <w:spacing w:before="0" w:beforeAutospacing="0" w:after="120" w:afterAutospacing="0" w:line="360" w:lineRule="auto"/>
        <w:ind w:left="720" w:hanging="720"/>
        <w:jc w:val="both"/>
        <w:rPr>
          <w:rFonts w:ascii="Arial" w:hAnsi="Arial" w:cs="Arial"/>
          <w:color w:val="222222"/>
          <w:shd w:val="clear" w:color="auto" w:fill="FFFFFF"/>
        </w:rPr>
      </w:pPr>
      <w:proofErr w:type="spellStart"/>
      <w:r w:rsidRPr="008126FD">
        <w:rPr>
          <w:rFonts w:ascii="Arial" w:hAnsi="Arial" w:cs="Arial"/>
          <w:color w:val="222222"/>
          <w:shd w:val="clear" w:color="auto" w:fill="FFFFFF"/>
        </w:rPr>
        <w:t>Bulugahapitiya</w:t>
      </w:r>
      <w:proofErr w:type="spellEnd"/>
      <w:r w:rsidRPr="008126FD">
        <w:rPr>
          <w:rFonts w:ascii="Arial" w:hAnsi="Arial" w:cs="Arial"/>
          <w:color w:val="222222"/>
          <w:shd w:val="clear" w:color="auto" w:fill="FFFFFF"/>
        </w:rPr>
        <w:t xml:space="preserve">, V. P., </w:t>
      </w:r>
      <w:proofErr w:type="spellStart"/>
      <w:r w:rsidRPr="008126FD">
        <w:rPr>
          <w:rFonts w:ascii="Arial" w:hAnsi="Arial" w:cs="Arial"/>
          <w:color w:val="222222"/>
          <w:shd w:val="clear" w:color="auto" w:fill="FFFFFF"/>
        </w:rPr>
        <w:t>Kokilananthan</w:t>
      </w:r>
      <w:proofErr w:type="spellEnd"/>
      <w:r w:rsidRPr="008126FD">
        <w:rPr>
          <w:rFonts w:ascii="Arial" w:hAnsi="Arial" w:cs="Arial"/>
          <w:color w:val="222222"/>
          <w:shd w:val="clear" w:color="auto" w:fill="FFFFFF"/>
        </w:rPr>
        <w:t xml:space="preserve">, S., </w:t>
      </w:r>
      <w:proofErr w:type="spellStart"/>
      <w:r w:rsidRPr="008126FD">
        <w:rPr>
          <w:rFonts w:ascii="Arial" w:hAnsi="Arial" w:cs="Arial"/>
          <w:color w:val="222222"/>
          <w:shd w:val="clear" w:color="auto" w:fill="FFFFFF"/>
        </w:rPr>
        <w:t>Manawadu</w:t>
      </w:r>
      <w:proofErr w:type="spellEnd"/>
      <w:r w:rsidRPr="008126FD">
        <w:rPr>
          <w:rFonts w:ascii="Arial" w:hAnsi="Arial" w:cs="Arial"/>
          <w:color w:val="222222"/>
          <w:shd w:val="clear" w:color="auto" w:fill="FFFFFF"/>
        </w:rPr>
        <w:t xml:space="preserve">, H., &amp; </w:t>
      </w:r>
      <w:proofErr w:type="spellStart"/>
      <w:r w:rsidRPr="008126FD">
        <w:rPr>
          <w:rFonts w:ascii="Arial" w:hAnsi="Arial" w:cs="Arial"/>
          <w:color w:val="222222"/>
          <w:shd w:val="clear" w:color="auto" w:fill="FFFFFF"/>
        </w:rPr>
        <w:t>Gangabadage</w:t>
      </w:r>
      <w:proofErr w:type="spellEnd"/>
      <w:r w:rsidRPr="008126FD">
        <w:rPr>
          <w:rFonts w:ascii="Arial" w:hAnsi="Arial" w:cs="Arial"/>
          <w:color w:val="222222"/>
          <w:shd w:val="clear" w:color="auto" w:fill="FFFFFF"/>
        </w:rPr>
        <w:t>, C. S. (2021). Phytochemistry and medicinal properties of Psidium guajava L. leaves: A review. </w:t>
      </w:r>
      <w:r w:rsidRPr="008126FD">
        <w:rPr>
          <w:rFonts w:ascii="Arial" w:hAnsi="Arial" w:cs="Arial"/>
          <w:i/>
          <w:iCs/>
          <w:color w:val="222222"/>
          <w:shd w:val="clear" w:color="auto" w:fill="FFFFFF"/>
        </w:rPr>
        <w:t>Plant Science Today</w:t>
      </w:r>
      <w:r w:rsidRPr="008126FD">
        <w:rPr>
          <w:rFonts w:ascii="Arial" w:hAnsi="Arial" w:cs="Arial"/>
          <w:color w:val="222222"/>
          <w:shd w:val="clear" w:color="auto" w:fill="FFFFFF"/>
        </w:rPr>
        <w:t>, </w:t>
      </w:r>
      <w:r w:rsidRPr="008126FD">
        <w:rPr>
          <w:rFonts w:ascii="Arial" w:hAnsi="Arial" w:cs="Arial"/>
          <w:i/>
          <w:iCs/>
          <w:color w:val="222222"/>
          <w:shd w:val="clear" w:color="auto" w:fill="FFFFFF"/>
        </w:rPr>
        <w:t>8</w:t>
      </w:r>
      <w:r w:rsidRPr="008126FD">
        <w:rPr>
          <w:rFonts w:ascii="Arial" w:hAnsi="Arial" w:cs="Arial"/>
          <w:color w:val="222222"/>
          <w:shd w:val="clear" w:color="auto" w:fill="FFFFFF"/>
        </w:rPr>
        <w:t>(4), 963-971.</w:t>
      </w:r>
    </w:p>
    <w:p w14:paraId="1B8D406E" w14:textId="55B98EFD" w:rsidR="0024364B" w:rsidRPr="008126FD" w:rsidRDefault="0024364B" w:rsidP="000A720C">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8126FD">
        <w:rPr>
          <w:rFonts w:ascii="Arial" w:hAnsi="Arial" w:cs="Arial"/>
          <w:color w:val="222222"/>
          <w:shd w:val="clear" w:color="auto" w:fill="FFFFFF"/>
        </w:rPr>
        <w:t>Arya, V., Thakur, N., &amp; Kashyap, C. P. (2012). Preliminary phytochemical analysis of the extracts of Psidium leaves. </w:t>
      </w:r>
      <w:r w:rsidRPr="008126FD">
        <w:rPr>
          <w:rFonts w:ascii="Arial" w:hAnsi="Arial" w:cs="Arial"/>
          <w:i/>
          <w:iCs/>
          <w:color w:val="222222"/>
          <w:shd w:val="clear" w:color="auto" w:fill="FFFFFF"/>
        </w:rPr>
        <w:t>Journal of Pharmacognosy and Phytochemistry</w:t>
      </w:r>
      <w:r w:rsidRPr="008126FD">
        <w:rPr>
          <w:rFonts w:ascii="Arial" w:hAnsi="Arial" w:cs="Arial"/>
          <w:color w:val="222222"/>
          <w:shd w:val="clear" w:color="auto" w:fill="FFFFFF"/>
        </w:rPr>
        <w:t>, </w:t>
      </w:r>
      <w:r w:rsidRPr="008126FD">
        <w:rPr>
          <w:rFonts w:ascii="Arial" w:hAnsi="Arial" w:cs="Arial"/>
          <w:i/>
          <w:iCs/>
          <w:color w:val="222222"/>
          <w:shd w:val="clear" w:color="auto" w:fill="FFFFFF"/>
        </w:rPr>
        <w:t>1</w:t>
      </w:r>
      <w:r w:rsidRPr="008126FD">
        <w:rPr>
          <w:rFonts w:ascii="Arial" w:hAnsi="Arial" w:cs="Arial"/>
          <w:color w:val="222222"/>
          <w:shd w:val="clear" w:color="auto" w:fill="FFFFFF"/>
        </w:rPr>
        <w:t>(1), 1-5.</w:t>
      </w:r>
    </w:p>
    <w:p w14:paraId="4E58D1D9" w14:textId="7BDAFA67" w:rsidR="0024364B" w:rsidRPr="008126FD" w:rsidRDefault="0024364B" w:rsidP="000A720C">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8126FD">
        <w:rPr>
          <w:rFonts w:ascii="Arial" w:hAnsi="Arial" w:cs="Arial"/>
          <w:color w:val="222222"/>
          <w:shd w:val="clear" w:color="auto" w:fill="FFFFFF"/>
        </w:rPr>
        <w:t>Dewi, N. R., Huang, H. T., Wu, Y. S., Liao, Z. H., Lin, Y. J., Lee, P. T., &amp; Nan, F. H. (2021). Guava (Psidium guajava) leaf extract enhances immunity, growth, and resistance against Vibrio parahaemolyticus in white shrimp Penaeus vannamei. </w:t>
      </w:r>
      <w:r w:rsidRPr="008126FD">
        <w:rPr>
          <w:rFonts w:ascii="Arial" w:hAnsi="Arial" w:cs="Arial"/>
          <w:i/>
          <w:iCs/>
          <w:color w:val="222222"/>
          <w:shd w:val="clear" w:color="auto" w:fill="FFFFFF"/>
        </w:rPr>
        <w:t>Fish &amp; shellfish immunology</w:t>
      </w:r>
      <w:r w:rsidRPr="008126FD">
        <w:rPr>
          <w:rFonts w:ascii="Arial" w:hAnsi="Arial" w:cs="Arial"/>
          <w:color w:val="222222"/>
          <w:shd w:val="clear" w:color="auto" w:fill="FFFFFF"/>
        </w:rPr>
        <w:t>, </w:t>
      </w:r>
      <w:r w:rsidRPr="008126FD">
        <w:rPr>
          <w:rFonts w:ascii="Arial" w:hAnsi="Arial" w:cs="Arial"/>
          <w:i/>
          <w:iCs/>
          <w:color w:val="222222"/>
          <w:shd w:val="clear" w:color="auto" w:fill="FFFFFF"/>
        </w:rPr>
        <w:t>118</w:t>
      </w:r>
      <w:r w:rsidRPr="008126FD">
        <w:rPr>
          <w:rFonts w:ascii="Arial" w:hAnsi="Arial" w:cs="Arial"/>
          <w:color w:val="222222"/>
          <w:shd w:val="clear" w:color="auto" w:fill="FFFFFF"/>
        </w:rPr>
        <w:t>, 1-10.</w:t>
      </w:r>
    </w:p>
    <w:p w14:paraId="0DE047CA" w14:textId="77777777" w:rsidR="00D46414" w:rsidRPr="008126FD" w:rsidRDefault="0024364B" w:rsidP="00D46414">
      <w:pPr>
        <w:pStyle w:val="NormalWeb"/>
        <w:spacing w:before="0" w:beforeAutospacing="0" w:after="120" w:afterAutospacing="0" w:line="360" w:lineRule="auto"/>
        <w:ind w:left="720" w:hanging="720"/>
        <w:jc w:val="both"/>
        <w:rPr>
          <w:rFonts w:ascii="Arial" w:hAnsi="Arial" w:cs="Arial"/>
        </w:rPr>
      </w:pPr>
      <w:r w:rsidRPr="008126FD">
        <w:rPr>
          <w:rFonts w:ascii="Arial" w:hAnsi="Arial" w:cs="Arial"/>
          <w:color w:val="222222"/>
          <w:shd w:val="clear" w:color="auto" w:fill="FFFFFF"/>
        </w:rPr>
        <w:t>Offor, C. E. (2015). Phytochemical and proximate analyses of Psidium guajava leaves. </w:t>
      </w:r>
      <w:r w:rsidRPr="008126FD">
        <w:rPr>
          <w:rFonts w:ascii="Arial" w:hAnsi="Arial" w:cs="Arial"/>
          <w:i/>
          <w:iCs/>
          <w:color w:val="222222"/>
          <w:shd w:val="clear" w:color="auto" w:fill="FFFFFF"/>
        </w:rPr>
        <w:t>J Res Pharm Sci</w:t>
      </w:r>
      <w:r w:rsidRPr="008126FD">
        <w:rPr>
          <w:rFonts w:ascii="Arial" w:hAnsi="Arial" w:cs="Arial"/>
          <w:color w:val="222222"/>
          <w:shd w:val="clear" w:color="auto" w:fill="FFFFFF"/>
        </w:rPr>
        <w:t>, </w:t>
      </w:r>
      <w:r w:rsidRPr="008126FD">
        <w:rPr>
          <w:rFonts w:ascii="Arial" w:hAnsi="Arial" w:cs="Arial"/>
          <w:i/>
          <w:iCs/>
          <w:color w:val="222222"/>
          <w:shd w:val="clear" w:color="auto" w:fill="FFFFFF"/>
        </w:rPr>
        <w:t>2</w:t>
      </w:r>
      <w:r w:rsidRPr="008126FD">
        <w:rPr>
          <w:rFonts w:ascii="Arial" w:hAnsi="Arial" w:cs="Arial"/>
          <w:color w:val="222222"/>
          <w:shd w:val="clear" w:color="auto" w:fill="FFFFFF"/>
        </w:rPr>
        <w:t>(6), 05-07.</w:t>
      </w:r>
    </w:p>
    <w:p w14:paraId="4BA0A34F" w14:textId="77777777" w:rsidR="00D46414" w:rsidRPr="008126FD" w:rsidRDefault="00D46414" w:rsidP="00D46414">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8126FD">
        <w:rPr>
          <w:rFonts w:ascii="Arial" w:hAnsi="Arial" w:cs="Arial"/>
        </w:rPr>
        <w:t>Mendez, D., &amp; Kunder, M. (2020). Antimicrobial activity of Psidium guajava leaves against Vibrio cholerae. European Journal of Pharmaceutical and Medical Research, 7(6), 234–239.</w:t>
      </w:r>
    </w:p>
    <w:p w14:paraId="507053F3" w14:textId="77777777" w:rsidR="00D46414" w:rsidRPr="008126FD" w:rsidRDefault="00D46414" w:rsidP="00D46414">
      <w:pPr>
        <w:pStyle w:val="NormalWeb"/>
        <w:spacing w:before="0" w:beforeAutospacing="0" w:after="120" w:afterAutospacing="0" w:line="360" w:lineRule="auto"/>
        <w:ind w:left="720" w:hanging="720"/>
        <w:jc w:val="both"/>
        <w:rPr>
          <w:rFonts w:ascii="Arial" w:hAnsi="Arial" w:cs="Arial"/>
          <w:color w:val="222222"/>
          <w:shd w:val="clear" w:color="auto" w:fill="FFFFFF"/>
        </w:rPr>
      </w:pPr>
      <w:proofErr w:type="spellStart"/>
      <w:r w:rsidRPr="008126FD">
        <w:rPr>
          <w:rFonts w:ascii="Arial" w:hAnsi="Arial" w:cs="Arial"/>
        </w:rPr>
        <w:lastRenderedPageBreak/>
        <w:t>Rayjade</w:t>
      </w:r>
      <w:proofErr w:type="spellEnd"/>
      <w:r w:rsidRPr="008126FD">
        <w:rPr>
          <w:rFonts w:ascii="Arial" w:hAnsi="Arial" w:cs="Arial"/>
        </w:rPr>
        <w:t>, M. S., Patil, R. B., &amp; Pawar, S. S. (2021). A review on antimicrobial activity of Psidium guajava L. leaves on different microbial species including Vibrio spp. Journal of Pharmaceutical Sciences Review, 68(2), 45–52.</w:t>
      </w:r>
    </w:p>
    <w:p w14:paraId="5E2F6580" w14:textId="39A96652" w:rsidR="00D46414" w:rsidRPr="008126FD" w:rsidRDefault="00D46414" w:rsidP="00D46414">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8126FD">
        <w:rPr>
          <w:rFonts w:ascii="Arial" w:hAnsi="Arial" w:cs="Arial"/>
        </w:rPr>
        <w:t xml:space="preserve">Olatunde, O. O., Tan, S. L. D., &amp; </w:t>
      </w:r>
      <w:proofErr w:type="spellStart"/>
      <w:r w:rsidRPr="008126FD">
        <w:rPr>
          <w:rFonts w:ascii="Arial" w:hAnsi="Arial" w:cs="Arial"/>
        </w:rPr>
        <w:t>Benjakul</w:t>
      </w:r>
      <w:proofErr w:type="spellEnd"/>
      <w:r w:rsidRPr="008126FD">
        <w:rPr>
          <w:rFonts w:ascii="Arial" w:hAnsi="Arial" w:cs="Arial"/>
        </w:rPr>
        <w:t>, S. (2021). Ethanolic guava leaf extract reduces microbial spoilage and lipid oxidation in Pacific white shrimp (</w:t>
      </w:r>
      <w:proofErr w:type="spellStart"/>
      <w:r w:rsidRPr="008126FD">
        <w:rPr>
          <w:rFonts w:ascii="Arial" w:hAnsi="Arial" w:cs="Arial"/>
        </w:rPr>
        <w:t>Litopenaeus</w:t>
      </w:r>
      <w:proofErr w:type="spellEnd"/>
      <w:r w:rsidRPr="008126FD">
        <w:rPr>
          <w:rFonts w:ascii="Arial" w:hAnsi="Arial" w:cs="Arial"/>
        </w:rPr>
        <w:t xml:space="preserve"> </w:t>
      </w:r>
      <w:proofErr w:type="spellStart"/>
      <w:r w:rsidRPr="008126FD">
        <w:rPr>
          <w:rFonts w:ascii="Arial" w:hAnsi="Arial" w:cs="Arial"/>
        </w:rPr>
        <w:t>vannamei</w:t>
      </w:r>
      <w:proofErr w:type="spellEnd"/>
      <w:r w:rsidRPr="008126FD">
        <w:rPr>
          <w:rFonts w:ascii="Arial" w:hAnsi="Arial" w:cs="Arial"/>
        </w:rPr>
        <w:t xml:space="preserve">). International Journal of Food Science &amp; Technology, 56(4), 1671–1681. </w:t>
      </w:r>
    </w:p>
    <w:p w14:paraId="704A4BB2" w14:textId="37B635DD" w:rsidR="000A720C" w:rsidRPr="008126FD" w:rsidRDefault="00D46414" w:rsidP="009529F6">
      <w:pPr>
        <w:pStyle w:val="NormalWeb"/>
        <w:spacing w:before="0" w:beforeAutospacing="0" w:after="120" w:afterAutospacing="0" w:line="360" w:lineRule="auto"/>
        <w:ind w:left="720" w:hanging="720"/>
        <w:jc w:val="both"/>
        <w:rPr>
          <w:rFonts w:ascii="Arial" w:hAnsi="Arial" w:cs="Arial"/>
        </w:rPr>
      </w:pPr>
      <w:r w:rsidRPr="008126FD">
        <w:rPr>
          <w:rFonts w:ascii="Arial" w:hAnsi="Arial" w:cs="Arial"/>
          <w:color w:val="222222"/>
          <w:shd w:val="clear" w:color="auto" w:fill="FFFFFF"/>
        </w:rPr>
        <w:t xml:space="preserve">Nusrat, N., </w:t>
      </w:r>
      <w:proofErr w:type="spellStart"/>
      <w:r w:rsidRPr="008126FD">
        <w:rPr>
          <w:rFonts w:ascii="Arial" w:hAnsi="Arial" w:cs="Arial"/>
          <w:color w:val="222222"/>
          <w:shd w:val="clear" w:color="auto" w:fill="FFFFFF"/>
        </w:rPr>
        <w:t>Mutsuddy</w:t>
      </w:r>
      <w:proofErr w:type="spellEnd"/>
      <w:r w:rsidRPr="008126FD">
        <w:rPr>
          <w:rFonts w:ascii="Arial" w:hAnsi="Arial" w:cs="Arial"/>
          <w:color w:val="222222"/>
          <w:shd w:val="clear" w:color="auto" w:fill="FFFFFF"/>
        </w:rPr>
        <w:t>, A., AftabUddin, S., Khan, M. A. A., &amp; Siddique, M. A. M. (2025). Functional plant-based feed additives for shrimp: evaluating the role of phytochemicals from tropical leaves on growth, feed efficiency, and disease resistance in P. monodon. </w:t>
      </w:r>
      <w:r w:rsidRPr="008126FD">
        <w:rPr>
          <w:rFonts w:ascii="Arial" w:hAnsi="Arial" w:cs="Arial"/>
          <w:i/>
          <w:iCs/>
          <w:color w:val="222222"/>
          <w:shd w:val="clear" w:color="auto" w:fill="FFFFFF"/>
        </w:rPr>
        <w:t>Aquaculture International</w:t>
      </w:r>
      <w:r w:rsidRPr="008126FD">
        <w:rPr>
          <w:rFonts w:ascii="Arial" w:hAnsi="Arial" w:cs="Arial"/>
          <w:color w:val="222222"/>
          <w:shd w:val="clear" w:color="auto" w:fill="FFFFFF"/>
        </w:rPr>
        <w:t>, </w:t>
      </w:r>
      <w:r w:rsidRPr="008126FD">
        <w:rPr>
          <w:rFonts w:ascii="Arial" w:hAnsi="Arial" w:cs="Arial"/>
          <w:i/>
          <w:iCs/>
          <w:color w:val="222222"/>
          <w:shd w:val="clear" w:color="auto" w:fill="FFFFFF"/>
        </w:rPr>
        <w:t>33</w:t>
      </w:r>
      <w:r w:rsidRPr="008126FD">
        <w:rPr>
          <w:rFonts w:ascii="Arial" w:hAnsi="Arial" w:cs="Arial"/>
          <w:color w:val="222222"/>
          <w:shd w:val="clear" w:color="auto" w:fill="FFFFFF"/>
        </w:rPr>
        <w:t>(6), 586.</w:t>
      </w:r>
    </w:p>
    <w:sectPr w:rsidR="000A720C" w:rsidRPr="008126F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50DC3" w14:textId="77777777" w:rsidR="00D242C4" w:rsidRDefault="00D242C4" w:rsidP="00967135">
      <w:pPr>
        <w:spacing w:after="0" w:line="240" w:lineRule="auto"/>
      </w:pPr>
      <w:r>
        <w:separator/>
      </w:r>
    </w:p>
  </w:endnote>
  <w:endnote w:type="continuationSeparator" w:id="0">
    <w:p w14:paraId="2605B8A2" w14:textId="77777777" w:rsidR="00D242C4" w:rsidRDefault="00D242C4" w:rsidP="00967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8B14D" w14:textId="77777777" w:rsidR="00A6283C" w:rsidRDefault="00A62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7A39" w14:textId="77777777" w:rsidR="00A6283C" w:rsidRDefault="00A62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2105" w14:textId="77777777" w:rsidR="00A6283C" w:rsidRDefault="00A62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6236E" w14:textId="77777777" w:rsidR="00D242C4" w:rsidRDefault="00D242C4" w:rsidP="00967135">
      <w:pPr>
        <w:spacing w:after="0" w:line="240" w:lineRule="auto"/>
      </w:pPr>
      <w:r>
        <w:separator/>
      </w:r>
    </w:p>
  </w:footnote>
  <w:footnote w:type="continuationSeparator" w:id="0">
    <w:p w14:paraId="78F40731" w14:textId="77777777" w:rsidR="00D242C4" w:rsidRDefault="00D242C4" w:rsidP="00967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7E5A" w14:textId="13410B1B" w:rsidR="00A6283C" w:rsidRDefault="00A6283C">
    <w:pPr>
      <w:pStyle w:val="Header"/>
    </w:pPr>
    <w:r>
      <w:rPr>
        <w:noProof/>
      </w:rPr>
      <w:pict w14:anchorId="477CA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61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8B321" w14:textId="1FE2AC16" w:rsidR="00A6283C" w:rsidRDefault="00A6283C">
    <w:pPr>
      <w:pStyle w:val="Header"/>
    </w:pPr>
    <w:r>
      <w:rPr>
        <w:noProof/>
      </w:rPr>
      <w:pict w14:anchorId="4BB2A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61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61D58" w14:textId="7FB354CA" w:rsidR="00A6283C" w:rsidRDefault="00A6283C">
    <w:pPr>
      <w:pStyle w:val="Header"/>
    </w:pPr>
    <w:r>
      <w:rPr>
        <w:noProof/>
      </w:rPr>
      <w:pict w14:anchorId="4E286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61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21D14"/>
    <w:multiLevelType w:val="multilevel"/>
    <w:tmpl w:val="584E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2220A"/>
    <w:multiLevelType w:val="hybridMultilevel"/>
    <w:tmpl w:val="44FCCDA0"/>
    <w:lvl w:ilvl="0" w:tplc="E056BD58">
      <w:start w:val="1"/>
      <w:numFmt w:val="bullet"/>
      <w:lvlText w:val="→"/>
      <w:lvlJc w:val="left"/>
      <w:pPr>
        <w:ind w:left="2880" w:hanging="360"/>
      </w:pPr>
      <w:rPr>
        <w:rFonts w:ascii="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91741A7"/>
    <w:multiLevelType w:val="multilevel"/>
    <w:tmpl w:val="D300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85E32"/>
    <w:multiLevelType w:val="multilevel"/>
    <w:tmpl w:val="CC9CF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00381"/>
    <w:multiLevelType w:val="multilevel"/>
    <w:tmpl w:val="C5F00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C1D64"/>
    <w:multiLevelType w:val="hybridMultilevel"/>
    <w:tmpl w:val="2B688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B570F"/>
    <w:multiLevelType w:val="multilevel"/>
    <w:tmpl w:val="28AE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97992"/>
    <w:multiLevelType w:val="multilevel"/>
    <w:tmpl w:val="3810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5283E"/>
    <w:multiLevelType w:val="multilevel"/>
    <w:tmpl w:val="0BAC2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094AD1"/>
    <w:multiLevelType w:val="multilevel"/>
    <w:tmpl w:val="E1EA6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D55670"/>
    <w:multiLevelType w:val="hybridMultilevel"/>
    <w:tmpl w:val="BC546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7527"/>
    <w:multiLevelType w:val="multilevel"/>
    <w:tmpl w:val="369EB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01A97"/>
    <w:multiLevelType w:val="hybridMultilevel"/>
    <w:tmpl w:val="B16C1F74"/>
    <w:lvl w:ilvl="0" w:tplc="E056BD5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EE0FB1"/>
    <w:multiLevelType w:val="hybridMultilevel"/>
    <w:tmpl w:val="DCAC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151FA0"/>
    <w:multiLevelType w:val="multilevel"/>
    <w:tmpl w:val="F4CA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83253E"/>
    <w:multiLevelType w:val="multilevel"/>
    <w:tmpl w:val="F7CE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B45ABB"/>
    <w:multiLevelType w:val="hybridMultilevel"/>
    <w:tmpl w:val="A2345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0"/>
  </w:num>
  <w:num w:numId="5">
    <w:abstractNumId w:val="6"/>
  </w:num>
  <w:num w:numId="6">
    <w:abstractNumId w:val="11"/>
  </w:num>
  <w:num w:numId="7">
    <w:abstractNumId w:val="9"/>
  </w:num>
  <w:num w:numId="8">
    <w:abstractNumId w:val="8"/>
  </w:num>
  <w:num w:numId="9">
    <w:abstractNumId w:val="3"/>
  </w:num>
  <w:num w:numId="10">
    <w:abstractNumId w:val="15"/>
  </w:num>
  <w:num w:numId="11">
    <w:abstractNumId w:val="1"/>
  </w:num>
  <w:num w:numId="12">
    <w:abstractNumId w:val="12"/>
  </w:num>
  <w:num w:numId="13">
    <w:abstractNumId w:val="14"/>
  </w:num>
  <w:num w:numId="14">
    <w:abstractNumId w:val="13"/>
  </w:num>
  <w:num w:numId="15">
    <w:abstractNumId w:val="16"/>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F5"/>
    <w:rsid w:val="00025B12"/>
    <w:rsid w:val="00056C51"/>
    <w:rsid w:val="000A720C"/>
    <w:rsid w:val="00110072"/>
    <w:rsid w:val="0011146D"/>
    <w:rsid w:val="001755DE"/>
    <w:rsid w:val="001C39D0"/>
    <w:rsid w:val="001D45D4"/>
    <w:rsid w:val="001F247F"/>
    <w:rsid w:val="00236D32"/>
    <w:rsid w:val="0024364B"/>
    <w:rsid w:val="00256440"/>
    <w:rsid w:val="0029531C"/>
    <w:rsid w:val="002B0BDB"/>
    <w:rsid w:val="002F1483"/>
    <w:rsid w:val="00317FC2"/>
    <w:rsid w:val="00343184"/>
    <w:rsid w:val="0034727E"/>
    <w:rsid w:val="00350E01"/>
    <w:rsid w:val="003A2C09"/>
    <w:rsid w:val="003A6041"/>
    <w:rsid w:val="003D40B1"/>
    <w:rsid w:val="003E422B"/>
    <w:rsid w:val="003F7391"/>
    <w:rsid w:val="00420632"/>
    <w:rsid w:val="00436A81"/>
    <w:rsid w:val="0044276D"/>
    <w:rsid w:val="004809F9"/>
    <w:rsid w:val="004A259D"/>
    <w:rsid w:val="004A649F"/>
    <w:rsid w:val="005810EF"/>
    <w:rsid w:val="00590C06"/>
    <w:rsid w:val="005E1DB7"/>
    <w:rsid w:val="005E4D1D"/>
    <w:rsid w:val="00606B87"/>
    <w:rsid w:val="006514A9"/>
    <w:rsid w:val="006E7941"/>
    <w:rsid w:val="00707B03"/>
    <w:rsid w:val="00714852"/>
    <w:rsid w:val="007A505D"/>
    <w:rsid w:val="007A5185"/>
    <w:rsid w:val="007A5885"/>
    <w:rsid w:val="007C5DA2"/>
    <w:rsid w:val="007D47A0"/>
    <w:rsid w:val="008126FD"/>
    <w:rsid w:val="00830381"/>
    <w:rsid w:val="00832BA5"/>
    <w:rsid w:val="0083514A"/>
    <w:rsid w:val="00837EDC"/>
    <w:rsid w:val="008470FD"/>
    <w:rsid w:val="00875ABF"/>
    <w:rsid w:val="008A3CDB"/>
    <w:rsid w:val="008C10EA"/>
    <w:rsid w:val="009346A8"/>
    <w:rsid w:val="00935E23"/>
    <w:rsid w:val="009529F6"/>
    <w:rsid w:val="00964797"/>
    <w:rsid w:val="00967135"/>
    <w:rsid w:val="0099445E"/>
    <w:rsid w:val="009E5AA9"/>
    <w:rsid w:val="009F083F"/>
    <w:rsid w:val="00A363D3"/>
    <w:rsid w:val="00A428F4"/>
    <w:rsid w:val="00A6283C"/>
    <w:rsid w:val="00A84310"/>
    <w:rsid w:val="00AD3E40"/>
    <w:rsid w:val="00AD6CC1"/>
    <w:rsid w:val="00B375ED"/>
    <w:rsid w:val="00B97D12"/>
    <w:rsid w:val="00BE4910"/>
    <w:rsid w:val="00C07121"/>
    <w:rsid w:val="00C278E2"/>
    <w:rsid w:val="00C53B90"/>
    <w:rsid w:val="00C97290"/>
    <w:rsid w:val="00CA0752"/>
    <w:rsid w:val="00CA34D7"/>
    <w:rsid w:val="00CB5325"/>
    <w:rsid w:val="00CD6A7E"/>
    <w:rsid w:val="00CF5713"/>
    <w:rsid w:val="00D242C4"/>
    <w:rsid w:val="00D420D6"/>
    <w:rsid w:val="00D46414"/>
    <w:rsid w:val="00D52562"/>
    <w:rsid w:val="00D559FA"/>
    <w:rsid w:val="00D87519"/>
    <w:rsid w:val="00DB43A0"/>
    <w:rsid w:val="00DC050F"/>
    <w:rsid w:val="00DD0EFE"/>
    <w:rsid w:val="00E36368"/>
    <w:rsid w:val="00EA248D"/>
    <w:rsid w:val="00EB5243"/>
    <w:rsid w:val="00EB60D1"/>
    <w:rsid w:val="00EF4B83"/>
    <w:rsid w:val="00F130F5"/>
    <w:rsid w:val="00F30FD7"/>
    <w:rsid w:val="00F91613"/>
    <w:rsid w:val="00FD51B2"/>
    <w:rsid w:val="00FE298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5CE3B8"/>
  <w15:chartTrackingRefBased/>
  <w15:docId w15:val="{52D7C577-9835-41D2-A1AE-47E71ACF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gu-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0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130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130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130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30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3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0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130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130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130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30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3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0F5"/>
    <w:rPr>
      <w:rFonts w:eastAsiaTheme="majorEastAsia" w:cstheme="majorBidi"/>
      <w:color w:val="272727" w:themeColor="text1" w:themeTint="D8"/>
    </w:rPr>
  </w:style>
  <w:style w:type="paragraph" w:styleId="Title">
    <w:name w:val="Title"/>
    <w:basedOn w:val="Normal"/>
    <w:next w:val="Normal"/>
    <w:link w:val="TitleChar"/>
    <w:uiPriority w:val="10"/>
    <w:qFormat/>
    <w:rsid w:val="00F13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0F5"/>
    <w:pPr>
      <w:spacing w:before="160"/>
      <w:jc w:val="center"/>
    </w:pPr>
    <w:rPr>
      <w:i/>
      <w:iCs/>
      <w:color w:val="404040" w:themeColor="text1" w:themeTint="BF"/>
    </w:rPr>
  </w:style>
  <w:style w:type="character" w:customStyle="1" w:styleId="QuoteChar">
    <w:name w:val="Quote Char"/>
    <w:basedOn w:val="DefaultParagraphFont"/>
    <w:link w:val="Quote"/>
    <w:uiPriority w:val="29"/>
    <w:rsid w:val="00F130F5"/>
    <w:rPr>
      <w:i/>
      <w:iCs/>
      <w:color w:val="404040" w:themeColor="text1" w:themeTint="BF"/>
    </w:rPr>
  </w:style>
  <w:style w:type="paragraph" w:styleId="ListParagraph">
    <w:name w:val="List Paragraph"/>
    <w:basedOn w:val="Normal"/>
    <w:uiPriority w:val="34"/>
    <w:qFormat/>
    <w:rsid w:val="00F130F5"/>
    <w:pPr>
      <w:ind w:left="720"/>
      <w:contextualSpacing/>
    </w:pPr>
  </w:style>
  <w:style w:type="character" w:styleId="IntenseEmphasis">
    <w:name w:val="Intense Emphasis"/>
    <w:basedOn w:val="DefaultParagraphFont"/>
    <w:uiPriority w:val="21"/>
    <w:qFormat/>
    <w:rsid w:val="00F130F5"/>
    <w:rPr>
      <w:i/>
      <w:iCs/>
      <w:color w:val="2F5496" w:themeColor="accent1" w:themeShade="BF"/>
    </w:rPr>
  </w:style>
  <w:style w:type="paragraph" w:styleId="IntenseQuote">
    <w:name w:val="Intense Quote"/>
    <w:basedOn w:val="Normal"/>
    <w:next w:val="Normal"/>
    <w:link w:val="IntenseQuoteChar"/>
    <w:uiPriority w:val="30"/>
    <w:qFormat/>
    <w:rsid w:val="00F130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30F5"/>
    <w:rPr>
      <w:i/>
      <w:iCs/>
      <w:color w:val="2F5496" w:themeColor="accent1" w:themeShade="BF"/>
    </w:rPr>
  </w:style>
  <w:style w:type="character" w:styleId="IntenseReference">
    <w:name w:val="Intense Reference"/>
    <w:basedOn w:val="DefaultParagraphFont"/>
    <w:uiPriority w:val="32"/>
    <w:qFormat/>
    <w:rsid w:val="00F130F5"/>
    <w:rPr>
      <w:b/>
      <w:bCs/>
      <w:smallCaps/>
      <w:color w:val="2F5496" w:themeColor="accent1" w:themeShade="BF"/>
      <w:spacing w:val="5"/>
    </w:rPr>
  </w:style>
  <w:style w:type="character" w:styleId="Strong">
    <w:name w:val="Strong"/>
    <w:basedOn w:val="DefaultParagraphFont"/>
    <w:uiPriority w:val="22"/>
    <w:qFormat/>
    <w:rsid w:val="00236D32"/>
    <w:rPr>
      <w:b/>
      <w:bCs/>
    </w:rPr>
  </w:style>
  <w:style w:type="paragraph" w:styleId="NormalWeb">
    <w:name w:val="Normal (Web)"/>
    <w:basedOn w:val="Normal"/>
    <w:uiPriority w:val="99"/>
    <w:unhideWhenUsed/>
    <w:rsid w:val="00236D3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3514A"/>
    <w:rPr>
      <w:i/>
      <w:iCs/>
    </w:rPr>
  </w:style>
  <w:style w:type="paragraph" w:styleId="Header">
    <w:name w:val="header"/>
    <w:basedOn w:val="Normal"/>
    <w:link w:val="HeaderChar"/>
    <w:uiPriority w:val="99"/>
    <w:unhideWhenUsed/>
    <w:rsid w:val="00967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135"/>
  </w:style>
  <w:style w:type="paragraph" w:styleId="Footer">
    <w:name w:val="footer"/>
    <w:basedOn w:val="Normal"/>
    <w:link w:val="FooterChar"/>
    <w:uiPriority w:val="99"/>
    <w:unhideWhenUsed/>
    <w:rsid w:val="00967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135"/>
  </w:style>
  <w:style w:type="table" w:styleId="TableGrid">
    <w:name w:val="Table Grid"/>
    <w:basedOn w:val="TableNormal"/>
    <w:uiPriority w:val="39"/>
    <w:rsid w:val="00CA0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5E23"/>
    <w:rPr>
      <w:color w:val="0563C1" w:themeColor="hyperlink"/>
      <w:u w:val="single"/>
    </w:rPr>
  </w:style>
  <w:style w:type="character" w:styleId="UnresolvedMention">
    <w:name w:val="Unresolved Mention"/>
    <w:basedOn w:val="DefaultParagraphFont"/>
    <w:uiPriority w:val="99"/>
    <w:semiHidden/>
    <w:unhideWhenUsed/>
    <w:rsid w:val="003A6041"/>
    <w:rPr>
      <w:color w:val="605E5C"/>
      <w:shd w:val="clear" w:color="auto" w:fill="E1DFDD"/>
    </w:rPr>
  </w:style>
  <w:style w:type="character" w:styleId="HTMLCode">
    <w:name w:val="HTML Code"/>
    <w:basedOn w:val="DefaultParagraphFont"/>
    <w:uiPriority w:val="99"/>
    <w:semiHidden/>
    <w:unhideWhenUsed/>
    <w:rsid w:val="00436A8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obex.org/br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i.org/10.1007/s11418-007-0216-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iteseerx.ist.psu.edu/viewdoc/download?doi=10.1.1.491.5922&amp;rep=rep1&amp;typ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0/10412905.2013.79649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3F086-AD50-49A5-87A3-E2C4325A1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3401</Words>
  <Characters>19390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krina patel</dc:creator>
  <cp:keywords/>
  <dc:description/>
  <cp:lastModifiedBy>SDI PC 1170</cp:lastModifiedBy>
  <cp:revision>21</cp:revision>
  <dcterms:created xsi:type="dcterms:W3CDTF">2026-01-20T06:29:00Z</dcterms:created>
  <dcterms:modified xsi:type="dcterms:W3CDTF">2026-01-21T10:18:00Z</dcterms:modified>
</cp:coreProperties>
</file>