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AA73" w14:textId="77777777" w:rsidR="000F7883" w:rsidRDefault="000F7883" w:rsidP="00DF6970">
      <w:pPr>
        <w:spacing w:before="240" w:line="288" w:lineRule="auto"/>
        <w:jc w:val="both"/>
        <w:rPr>
          <w:rFonts w:ascii="Times New Roman" w:hAnsi="Times New Roman" w:cs="Times New Roman"/>
          <w:b/>
          <w:sz w:val="28"/>
          <w:szCs w:val="28"/>
        </w:rPr>
      </w:pPr>
      <w:bookmarkStart w:id="0" w:name="molecular_characterization_of_vir_a3b16a"/>
      <w:r w:rsidRPr="00DF6970">
        <w:rPr>
          <w:rFonts w:ascii="Times New Roman" w:hAnsi="Times New Roman" w:cs="Times New Roman"/>
          <w:b/>
          <w:sz w:val="28"/>
          <w:szCs w:val="28"/>
        </w:rPr>
        <w:t xml:space="preserve">Molecular Characterization of Virulence Genes and Antimicrobial Resistance in </w:t>
      </w:r>
      <w:r w:rsidRPr="00DF6970">
        <w:rPr>
          <w:rFonts w:ascii="Times New Roman" w:hAnsi="Times New Roman" w:cs="Times New Roman"/>
          <w:b/>
          <w:i/>
          <w:sz w:val="28"/>
          <w:szCs w:val="28"/>
        </w:rPr>
        <w:t>Escherichia coli</w:t>
      </w:r>
      <w:r w:rsidRPr="00DF6970">
        <w:rPr>
          <w:rFonts w:ascii="Times New Roman" w:hAnsi="Times New Roman" w:cs="Times New Roman"/>
          <w:b/>
          <w:sz w:val="28"/>
          <w:szCs w:val="28"/>
        </w:rPr>
        <w:t xml:space="preserve"> Is</w:t>
      </w:r>
      <w:r>
        <w:rPr>
          <w:rFonts w:ascii="Times New Roman" w:hAnsi="Times New Roman" w:cs="Times New Roman"/>
          <w:b/>
          <w:sz w:val="28"/>
          <w:szCs w:val="28"/>
        </w:rPr>
        <w:t>olates from Diarrheic Ruminants</w:t>
      </w:r>
    </w:p>
    <w:p w14:paraId="10308731" w14:textId="77777777" w:rsidR="005A2E21" w:rsidRDefault="005A2E21" w:rsidP="00DF6970">
      <w:pPr>
        <w:spacing w:before="240" w:line="271" w:lineRule="auto"/>
        <w:jc w:val="both"/>
        <w:rPr>
          <w:rFonts w:ascii="Times New Roman" w:hAnsi="Times New Roman" w:cs="Times New Roman"/>
          <w:sz w:val="24"/>
          <w:szCs w:val="24"/>
        </w:rPr>
      </w:pPr>
      <w:bookmarkStart w:id="1" w:name="abstract"/>
      <w:bookmarkEnd w:id="0"/>
    </w:p>
    <w:p w14:paraId="658AFD29" w14:textId="6172E7B9" w:rsidR="00292CAE" w:rsidRPr="00DF6970" w:rsidRDefault="000F7883" w:rsidP="00DF6970">
      <w:pPr>
        <w:spacing w:before="240" w:line="271" w:lineRule="auto"/>
        <w:jc w:val="both"/>
        <w:rPr>
          <w:rFonts w:ascii="Times New Roman" w:hAnsi="Times New Roman" w:cs="Times New Roman"/>
          <w:sz w:val="24"/>
          <w:szCs w:val="24"/>
        </w:rPr>
      </w:pPr>
      <w:r w:rsidRPr="00DF6970">
        <w:rPr>
          <w:rFonts w:ascii="Times New Roman" w:hAnsi="Times New Roman" w:cs="Times New Roman"/>
          <w:b/>
          <w:sz w:val="24"/>
          <w:szCs w:val="24"/>
        </w:rPr>
        <w:t>Abstract</w:t>
      </w:r>
      <w:bookmarkEnd w:id="1"/>
    </w:p>
    <w:p w14:paraId="201EFE2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Enteric colibacillosis caused by pathogenic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strains remains a significant health and economic concern in neonatal ruminants, while the concurrent emergence of antimicrobial resistance poses serious public health threats. This study evaluated the prevalence of virulence genes and antibiotic resistance patterns in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isolates from diarrheic lambs, kids, and buffalo calves from Jammu region. Of 150 fecal samples collected, 123 (82%) were confirmed as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Species-wise prevalence: buffalo calves 96% (48/50), lambs 76% (38/50), kids 74% (37/50). Multiplex PCR screening revealed virulence gene distribution: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28.45% (35/123),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17.88% (22/123), </w:t>
      </w:r>
      <w:r w:rsidRPr="00DF6970">
        <w:rPr>
          <w:rFonts w:ascii="Times New Roman" w:hAnsi="Times New Roman" w:cs="Times New Roman"/>
          <w:i/>
          <w:sz w:val="24"/>
          <w:szCs w:val="24"/>
        </w:rPr>
        <w:t>stx1</w:t>
      </w:r>
      <w:r w:rsidRPr="00DF6970">
        <w:rPr>
          <w:rFonts w:ascii="Times New Roman" w:hAnsi="Times New Roman" w:cs="Times New Roman"/>
          <w:sz w:val="24"/>
          <w:szCs w:val="24"/>
        </w:rPr>
        <w:t xml:space="preserve"> 15.44% (19/123),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8.94% (11/123). Overall, 34.14% (42/123) of isolates harbored one or more virulence genes, with the </w:t>
      </w:r>
      <w:r w:rsidRPr="00DF6970">
        <w:rPr>
          <w:rFonts w:ascii="Times New Roman" w:hAnsi="Times New Roman" w:cs="Times New Roman"/>
          <w:i/>
          <w:sz w:val="24"/>
          <w:szCs w:val="24"/>
        </w:rPr>
        <w:t>stx1/eaeA/hlyA</w:t>
      </w:r>
      <w:r w:rsidRPr="00DF6970">
        <w:rPr>
          <w:rFonts w:ascii="Times New Roman" w:eastAsia="Georgia" w:hAnsi="Times New Roman" w:cs="Times New Roman"/>
          <w:sz w:val="24"/>
          <w:szCs w:val="24"/>
        </w:rPr>
        <w:t xml:space="preserve"> combination being most prevalent at 13.00%. Antibiotic susceptibility testing of 42 virulent isolates demonstrated alarming multidrug resistance: 100% resistance to Enrofloxacin, Cefoxitin, and Ampicillin; 90.24% to Cefpodoxime and Erythromycin; while Imipenem and Aztreonam retained complete sensitivity (100%). Multidrug-resistant phenotype (≥3 drug classes) was observed in 71.43% (30/42) of virulent isolates. These findings underscore the urgency of antimicrobial stewardship, enhanced surveillance, and One Health strategies to mitigate zoonotic transmission and therapeutic failures in treating colibacillosis in neonatal ruminants.</w:t>
      </w:r>
    </w:p>
    <w:p w14:paraId="6008624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Keywords:</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virulence genes, antimicrobial resistance, ruminants, colibacillosis, multidrug-resistant, STEC, EHEC</w:t>
      </w:r>
    </w:p>
    <w:p w14:paraId="3CAFF8CB" w14:textId="77777777" w:rsidR="00292CAE" w:rsidRPr="00DF6970" w:rsidRDefault="000F7883" w:rsidP="00DF6970">
      <w:pPr>
        <w:spacing w:before="240" w:line="271" w:lineRule="auto"/>
        <w:jc w:val="both"/>
        <w:rPr>
          <w:rFonts w:ascii="Times New Roman" w:hAnsi="Times New Roman" w:cs="Times New Roman"/>
          <w:sz w:val="28"/>
          <w:szCs w:val="28"/>
        </w:rPr>
      </w:pPr>
      <w:bookmarkStart w:id="2" w:name="bm_1_introduction"/>
      <w:r w:rsidRPr="00DF6970">
        <w:rPr>
          <w:rFonts w:ascii="Times New Roman" w:hAnsi="Times New Roman" w:cs="Times New Roman"/>
          <w:b/>
          <w:sz w:val="28"/>
          <w:szCs w:val="28"/>
        </w:rPr>
        <w:t>1. Introduction</w:t>
      </w:r>
      <w:bookmarkEnd w:id="2"/>
    </w:p>
    <w:p w14:paraId="45E84EE6"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represents a diverse group of Gram-negative, facultative anaerobic bacteria belonging to the </w:t>
      </w:r>
      <w:proofErr w:type="gramStart"/>
      <w:r w:rsidRPr="00DF6970">
        <w:rPr>
          <w:rFonts w:ascii="Times New Roman" w:hAnsi="Times New Roman" w:cs="Times New Roman"/>
          <w:i/>
          <w:sz w:val="24"/>
          <w:szCs w:val="24"/>
        </w:rPr>
        <w:t>Enterobacteriaceae</w:t>
      </w:r>
      <w:r w:rsidRPr="00DF6970">
        <w:rPr>
          <w:rFonts w:ascii="Times New Roman" w:hAnsi="Times New Roman" w:cs="Times New Roman"/>
          <w:sz w:val="24"/>
          <w:szCs w:val="24"/>
        </w:rPr>
        <w:t>family[</w:t>
      </w:r>
      <w:proofErr w:type="gramEnd"/>
      <w:r w:rsidRPr="00DF6970">
        <w:rPr>
          <w:rFonts w:ascii="Times New Roman" w:hAnsi="Times New Roman" w:cs="Times New Roman"/>
          <w:sz w:val="24"/>
          <w:szCs w:val="24"/>
        </w:rPr>
        <w:t xml:space="preserve">1]. While many commensal strains inhabit the intestinal microbiota of humans and animals, pathogenic variants have acquired sophisticated virulence mechanisms enabling colonization, epithelial invasion, and systemic </w:t>
      </w:r>
      <w:proofErr w:type="gramStart"/>
      <w:r w:rsidRPr="00DF6970">
        <w:rPr>
          <w:rFonts w:ascii="Times New Roman" w:hAnsi="Times New Roman" w:cs="Times New Roman"/>
          <w:sz w:val="24"/>
          <w:szCs w:val="24"/>
        </w:rPr>
        <w:t>disease[</w:t>
      </w:r>
      <w:proofErr w:type="gramEnd"/>
      <w:r w:rsidRPr="00DF6970">
        <w:rPr>
          <w:rFonts w:ascii="Times New Roman" w:hAnsi="Times New Roman" w:cs="Times New Roman"/>
          <w:sz w:val="24"/>
          <w:szCs w:val="24"/>
        </w:rPr>
        <w:t xml:space="preserve">2]. Among ruminants, pathogenic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strains constitute major causative agents of neonatal enteric disease, particularly in immunologically naive calves, lambs, and kids where mortality and morbidity rates remain substantial[3].</w:t>
      </w:r>
    </w:p>
    <w:p w14:paraId="7C27AE82" w14:textId="77777777" w:rsidR="00292CAE" w:rsidRPr="00DF6970" w:rsidRDefault="000F7883" w:rsidP="00DF6970">
      <w:pPr>
        <w:spacing w:before="240" w:line="271" w:lineRule="auto"/>
        <w:jc w:val="both"/>
        <w:rPr>
          <w:rFonts w:ascii="Times New Roman" w:hAnsi="Times New Roman" w:cs="Times New Roman"/>
          <w:sz w:val="24"/>
          <w:szCs w:val="24"/>
        </w:rPr>
      </w:pPr>
      <w:bookmarkStart w:id="3" w:name="bm_1_1_virulence_mechanisms_and_p_8264cf"/>
      <w:r w:rsidRPr="00DF6970">
        <w:rPr>
          <w:rFonts w:ascii="Times New Roman" w:hAnsi="Times New Roman" w:cs="Times New Roman"/>
          <w:b/>
          <w:sz w:val="24"/>
          <w:szCs w:val="24"/>
        </w:rPr>
        <w:t>1.1 Virulence Mechanisms and Pathogenic Significance</w:t>
      </w:r>
      <w:bookmarkEnd w:id="3"/>
    </w:p>
    <w:p w14:paraId="195EB31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Six principal pathotypes of diarrheagenic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are recognized based on pathogenic mechanisms: Shiga toxigenic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(STEC), enterotoxigenic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(ETEC), enteropathogenic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(EPEC), enteroinvasive</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(EIEC), diffusely adherent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(DAEC), and enteroaggregative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(EAggEC</w:t>
      </w:r>
      <w:proofErr w:type="gramStart"/>
      <w:r w:rsidRPr="00DF6970">
        <w:rPr>
          <w:rFonts w:ascii="Times New Roman" w:hAnsi="Times New Roman" w:cs="Times New Roman"/>
          <w:sz w:val="24"/>
          <w:szCs w:val="24"/>
        </w:rPr>
        <w:t>)[</w:t>
      </w:r>
      <w:proofErr w:type="gramEnd"/>
      <w:r w:rsidRPr="00DF6970">
        <w:rPr>
          <w:rFonts w:ascii="Times New Roman" w:hAnsi="Times New Roman" w:cs="Times New Roman"/>
          <w:sz w:val="24"/>
          <w:szCs w:val="24"/>
        </w:rPr>
        <w:t xml:space="preserve">4]. Critical virulence genes include: (1) </w:t>
      </w:r>
      <w:r w:rsidRPr="00DF6970">
        <w:rPr>
          <w:rFonts w:ascii="Times New Roman" w:hAnsi="Times New Roman" w:cs="Times New Roman"/>
          <w:i/>
          <w:sz w:val="24"/>
          <w:szCs w:val="24"/>
        </w:rPr>
        <w:t>stx1/stx2</w:t>
      </w:r>
      <w:r w:rsidRPr="00DF6970">
        <w:rPr>
          <w:rFonts w:ascii="Times New Roman" w:hAnsi="Times New Roman" w:cs="Times New Roman"/>
          <w:sz w:val="24"/>
          <w:szCs w:val="24"/>
        </w:rPr>
        <w:t xml:space="preserve"> encoding Shiga toxins that inhibit eukaryotic protein synthesis and cause hemorrhagic colitis; (2)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(attaching and effacing gene) encoding intimin for intimate </w:t>
      </w:r>
      <w:r w:rsidRPr="00DF6970">
        <w:rPr>
          <w:rFonts w:ascii="Times New Roman" w:hAnsi="Times New Roman" w:cs="Times New Roman"/>
          <w:sz w:val="24"/>
          <w:szCs w:val="24"/>
        </w:rPr>
        <w:lastRenderedPageBreak/>
        <w:t xml:space="preserve">epithelial adherence; and (3)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encoding enterohemolysin facilitating bacterial translocation and systemic invasion[5][6].</w:t>
      </w:r>
    </w:p>
    <w:p w14:paraId="6108D7DC" w14:textId="77777777" w:rsidR="00292CAE" w:rsidRPr="00DF6970" w:rsidRDefault="000F7883" w:rsidP="00DF6970">
      <w:pPr>
        <w:spacing w:before="240" w:line="271" w:lineRule="auto"/>
        <w:jc w:val="both"/>
        <w:rPr>
          <w:rFonts w:ascii="Times New Roman" w:hAnsi="Times New Roman" w:cs="Times New Roman"/>
          <w:sz w:val="24"/>
          <w:szCs w:val="24"/>
        </w:rPr>
      </w:pPr>
      <w:bookmarkStart w:id="4" w:name="bm_1_2_zoonotic_implications_and_559662"/>
      <w:r w:rsidRPr="00DF6970">
        <w:rPr>
          <w:rFonts w:ascii="Times New Roman" w:hAnsi="Times New Roman" w:cs="Times New Roman"/>
          <w:b/>
          <w:sz w:val="24"/>
          <w:szCs w:val="24"/>
        </w:rPr>
        <w:t>1.2 Zoonotic Implications and Public Health Concern</w:t>
      </w:r>
      <w:bookmarkEnd w:id="4"/>
    </w:p>
    <w:p w14:paraId="2B4E0BB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STEC strains possess particular zoonotic significance, with cattle, sheep, goats, and buffaloes serving as natural asymptomatic reservoirs in traditional pastoral and dairy </w:t>
      </w:r>
      <w:proofErr w:type="gramStart"/>
      <w:r w:rsidRPr="00DF6970">
        <w:rPr>
          <w:rFonts w:ascii="Times New Roman" w:hAnsi="Times New Roman" w:cs="Times New Roman"/>
          <w:sz w:val="24"/>
          <w:szCs w:val="24"/>
        </w:rPr>
        <w:t>systems[</w:t>
      </w:r>
      <w:proofErr w:type="gramEnd"/>
      <w:r w:rsidRPr="00DF6970">
        <w:rPr>
          <w:rFonts w:ascii="Times New Roman" w:hAnsi="Times New Roman" w:cs="Times New Roman"/>
          <w:sz w:val="24"/>
          <w:szCs w:val="24"/>
        </w:rPr>
        <w:t>7]. Human STEC infections range from asymptomatic carriage to hemorrhagic colitis and life-threatening sequelae including hemolytic uremic syndrome (HUS) and thrombotic thrombocytopenic purpura (TTP</w:t>
      </w:r>
      <w:proofErr w:type="gramStart"/>
      <w:r w:rsidRPr="00DF6970">
        <w:rPr>
          <w:rFonts w:ascii="Times New Roman" w:hAnsi="Times New Roman" w:cs="Times New Roman"/>
          <w:sz w:val="24"/>
          <w:szCs w:val="24"/>
        </w:rPr>
        <w:t>)[</w:t>
      </w:r>
      <w:proofErr w:type="gramEnd"/>
      <w:r w:rsidRPr="00DF6970">
        <w:rPr>
          <w:rFonts w:ascii="Times New Roman" w:hAnsi="Times New Roman" w:cs="Times New Roman"/>
          <w:sz w:val="24"/>
          <w:szCs w:val="24"/>
        </w:rPr>
        <w:t xml:space="preserve">8]. The epidemiological association of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with more severe human disease emphasizes the critical importance of surveillance in animal populations.</w:t>
      </w:r>
    </w:p>
    <w:p w14:paraId="6C23F119" w14:textId="77777777" w:rsidR="00292CAE" w:rsidRPr="00DF6970" w:rsidRDefault="000F7883" w:rsidP="00DF6970">
      <w:pPr>
        <w:spacing w:before="240" w:line="271" w:lineRule="auto"/>
        <w:jc w:val="both"/>
        <w:rPr>
          <w:rFonts w:ascii="Times New Roman" w:hAnsi="Times New Roman" w:cs="Times New Roman"/>
          <w:sz w:val="24"/>
          <w:szCs w:val="24"/>
        </w:rPr>
      </w:pPr>
      <w:bookmarkStart w:id="5" w:name="bm_1_3_antimicrobial_resistance_crisis"/>
      <w:r w:rsidRPr="00DF6970">
        <w:rPr>
          <w:rFonts w:ascii="Times New Roman" w:hAnsi="Times New Roman" w:cs="Times New Roman"/>
          <w:b/>
          <w:sz w:val="24"/>
          <w:szCs w:val="24"/>
        </w:rPr>
        <w:t>1.3 Antimicrobial Resistance Crisis</w:t>
      </w:r>
      <w:bookmarkEnd w:id="5"/>
    </w:p>
    <w:p w14:paraId="39E53DD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Concurrent with virulence gene prevalence is the alarming emergence of multidrug-resistant (MDR) phenotypes. Resistance genes (</w:t>
      </w:r>
      <w:r w:rsidRPr="00DF6970">
        <w:rPr>
          <w:rFonts w:ascii="Times New Roman" w:hAnsi="Times New Roman" w:cs="Times New Roman"/>
          <w:i/>
          <w:sz w:val="24"/>
          <w:szCs w:val="24"/>
        </w:rPr>
        <w:t>bla</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tet(A/B)</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mcr-1</w:t>
      </w:r>
      <w:r w:rsidRPr="00DF6970">
        <w:rPr>
          <w:rFonts w:ascii="Times New Roman" w:hAnsi="Times New Roman" w:cs="Times New Roman"/>
          <w:sz w:val="24"/>
          <w:szCs w:val="24"/>
        </w:rPr>
        <w:t xml:space="preserve">) frequently colocalize with virulence determinants on mobile genetic elements, facilitating horizontal gene transfer and creation of "superbugs" resistant to multiple antimicrobial </w:t>
      </w:r>
      <w:proofErr w:type="gramStart"/>
      <w:r w:rsidRPr="00DF6970">
        <w:rPr>
          <w:rFonts w:ascii="Times New Roman" w:hAnsi="Times New Roman" w:cs="Times New Roman"/>
          <w:sz w:val="24"/>
          <w:szCs w:val="24"/>
        </w:rPr>
        <w:t>classes[</w:t>
      </w:r>
      <w:proofErr w:type="gramEnd"/>
      <w:r w:rsidRPr="00DF6970">
        <w:rPr>
          <w:rFonts w:ascii="Times New Roman" w:hAnsi="Times New Roman" w:cs="Times New Roman"/>
          <w:sz w:val="24"/>
          <w:szCs w:val="24"/>
        </w:rPr>
        <w:t>9]. The indiscriminate use of antimicrobials in veterinary practice intensifies selective pressure, compromising treatment efficacy and posing irreversible challenges to clinical management.</w:t>
      </w:r>
    </w:p>
    <w:p w14:paraId="2A81974E" w14:textId="77777777" w:rsidR="00292CAE" w:rsidRPr="00DF6970" w:rsidRDefault="000F7883" w:rsidP="00DF6970">
      <w:pPr>
        <w:spacing w:before="240" w:line="271" w:lineRule="auto"/>
        <w:jc w:val="both"/>
        <w:rPr>
          <w:rFonts w:ascii="Times New Roman" w:hAnsi="Times New Roman" w:cs="Times New Roman"/>
          <w:sz w:val="28"/>
          <w:szCs w:val="28"/>
        </w:rPr>
      </w:pPr>
      <w:bookmarkStart w:id="6" w:name="bm_2_materials_and_methods"/>
      <w:r w:rsidRPr="00DF6970">
        <w:rPr>
          <w:rFonts w:ascii="Times New Roman" w:hAnsi="Times New Roman" w:cs="Times New Roman"/>
          <w:b/>
          <w:sz w:val="28"/>
          <w:szCs w:val="28"/>
        </w:rPr>
        <w:t>2. Materials and Methods</w:t>
      </w:r>
      <w:bookmarkEnd w:id="6"/>
    </w:p>
    <w:p w14:paraId="48964209" w14:textId="77777777" w:rsidR="00292CAE" w:rsidRPr="00DF6970" w:rsidRDefault="000F7883" w:rsidP="00DF6970">
      <w:pPr>
        <w:spacing w:before="240" w:line="271" w:lineRule="auto"/>
        <w:jc w:val="both"/>
        <w:rPr>
          <w:rFonts w:ascii="Times New Roman" w:hAnsi="Times New Roman" w:cs="Times New Roman"/>
          <w:sz w:val="24"/>
          <w:szCs w:val="24"/>
        </w:rPr>
      </w:pPr>
      <w:bookmarkStart w:id="7" w:name="bm_2_1_sample_collection_and_bact_93e8f4"/>
      <w:r w:rsidRPr="00DF6970">
        <w:rPr>
          <w:rFonts w:ascii="Times New Roman" w:hAnsi="Times New Roman" w:cs="Times New Roman"/>
          <w:b/>
          <w:sz w:val="24"/>
          <w:szCs w:val="24"/>
        </w:rPr>
        <w:t>2.1 Sample Collection and Bacterial Isolation</w:t>
      </w:r>
      <w:bookmarkEnd w:id="7"/>
    </w:p>
    <w:p w14:paraId="47701DA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A total of 150 fecal samples were collected from diarrheic neonatal ruminants: 50 lambs (1-12 months), 50 kids (1-6 months), and 50 buffalo calves (1-12 months) from government farms (n=38), SKUAST-Jammu institutional facilities (n=12), Veterinary Clinical Complex (n=52), and private holdings (n=48) during 2023-2024. Rectal swabs were collected using sterile swabs moistened with normal saline, transported on ice, and processed within 4 hours.</w:t>
      </w:r>
    </w:p>
    <w:p w14:paraId="332F377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Enrichment culture in Nutrient Broth (37°C/24h) was followed by streaking onto MacConkey's Lactose Agar and Eosin Methylene Blue agar. Presumptive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colonies were subjected to Gram staining, catalase, oxidase, and IMViC (Indole, Methyl Red, Voges-Proskauer, Citrate) tests for confirmatory </w:t>
      </w:r>
      <w:proofErr w:type="gramStart"/>
      <w:r w:rsidRPr="00DF6970">
        <w:rPr>
          <w:rFonts w:ascii="Times New Roman" w:hAnsi="Times New Roman" w:cs="Times New Roman"/>
          <w:sz w:val="24"/>
          <w:szCs w:val="24"/>
        </w:rPr>
        <w:t>identification[</w:t>
      </w:r>
      <w:proofErr w:type="gramEnd"/>
      <w:r w:rsidRPr="00DF6970">
        <w:rPr>
          <w:rFonts w:ascii="Times New Roman" w:hAnsi="Times New Roman" w:cs="Times New Roman"/>
          <w:sz w:val="24"/>
          <w:szCs w:val="24"/>
        </w:rPr>
        <w:t>10].</w:t>
      </w:r>
    </w:p>
    <w:p w14:paraId="35706E62" w14:textId="77777777" w:rsidR="00292CAE" w:rsidRPr="00DF6970" w:rsidRDefault="000F7883" w:rsidP="00DF6970">
      <w:pPr>
        <w:spacing w:before="240" w:line="271" w:lineRule="auto"/>
        <w:jc w:val="both"/>
        <w:rPr>
          <w:rFonts w:ascii="Times New Roman" w:hAnsi="Times New Roman" w:cs="Times New Roman"/>
          <w:sz w:val="24"/>
          <w:szCs w:val="24"/>
        </w:rPr>
      </w:pPr>
      <w:bookmarkStart w:id="8" w:name="bm_2_2_molecular_confirmation_and_51e1da"/>
      <w:r w:rsidRPr="00DF6970">
        <w:rPr>
          <w:rFonts w:ascii="Times New Roman" w:hAnsi="Times New Roman" w:cs="Times New Roman"/>
          <w:b/>
          <w:sz w:val="24"/>
          <w:szCs w:val="24"/>
        </w:rPr>
        <w:t>2.2 Molecular Confirmation and Virulence Gene Screening</w:t>
      </w:r>
      <w:bookmarkEnd w:id="8"/>
    </w:p>
    <w:p w14:paraId="35477361"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Genomic DNA was extracted using hot-cold lysis method. All biochemically positive isolates were confirmed via PCR targeting </w:t>
      </w:r>
      <w:r w:rsidRPr="00DF6970">
        <w:rPr>
          <w:rFonts w:ascii="Times New Roman" w:hAnsi="Times New Roman" w:cs="Times New Roman"/>
          <w:i/>
          <w:sz w:val="24"/>
          <w:szCs w:val="24"/>
        </w:rPr>
        <w:t>uidA</w:t>
      </w:r>
      <w:r w:rsidRPr="00DF6970">
        <w:rPr>
          <w:rFonts w:ascii="Times New Roman" w:hAnsi="Times New Roman" w:cs="Times New Roman"/>
          <w:sz w:val="24"/>
          <w:szCs w:val="24"/>
        </w:rPr>
        <w:t xml:space="preserve"> gene (603 bp amplicon). Multiplex PCR targeting </w:t>
      </w:r>
      <w:r w:rsidRPr="00DF6970">
        <w:rPr>
          <w:rFonts w:ascii="Times New Roman" w:hAnsi="Times New Roman" w:cs="Times New Roman"/>
          <w:i/>
          <w:sz w:val="24"/>
          <w:szCs w:val="24"/>
        </w:rPr>
        <w:t>stx1</w:t>
      </w:r>
      <w:r w:rsidRPr="00DF6970">
        <w:rPr>
          <w:rFonts w:ascii="Times New Roman" w:hAnsi="Times New Roman" w:cs="Times New Roman"/>
          <w:sz w:val="24"/>
          <w:szCs w:val="24"/>
        </w:rPr>
        <w:t xml:space="preserve"> (180 bp),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(255 bp),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(384 bp), and </w:t>
      </w:r>
      <w:r w:rsidRPr="00DF6970">
        <w:rPr>
          <w:rFonts w:ascii="Times New Roman" w:hAnsi="Times New Roman" w:cs="Times New Roman"/>
          <w:i/>
          <w:sz w:val="24"/>
          <w:szCs w:val="24"/>
        </w:rPr>
        <w:t>hlyA</w:t>
      </w:r>
      <w:r w:rsidRPr="00DF6970">
        <w:rPr>
          <w:rFonts w:ascii="Times New Roman" w:eastAsia="Georgia" w:hAnsi="Times New Roman" w:cs="Times New Roman"/>
          <w:sz w:val="24"/>
          <w:szCs w:val="24"/>
        </w:rPr>
        <w:t xml:space="preserve"> (534 bp) genes was performed per Paton and Paton (1998) protocol with </w:t>
      </w:r>
      <w:r w:rsidR="00CF4C5A" w:rsidRPr="00DF6970">
        <w:rPr>
          <w:rFonts w:ascii="Times New Roman" w:eastAsia="Georgia" w:hAnsi="Times New Roman" w:cs="Times New Roman"/>
          <w:sz w:val="24"/>
          <w:szCs w:val="24"/>
        </w:rPr>
        <w:t>modifications [</w:t>
      </w:r>
      <w:r w:rsidRPr="00DF6970">
        <w:rPr>
          <w:rFonts w:ascii="Times New Roman" w:eastAsia="Georgia" w:hAnsi="Times New Roman" w:cs="Times New Roman"/>
          <w:sz w:val="24"/>
          <w:szCs w:val="24"/>
        </w:rPr>
        <w:t>11]. Thermal cycling: 95°C/2 min initial denaturation; 35 cycles of 95°C/1 min, 65°C/2 min, 72°C/1.5 min; 72°C/5 min final extension. Amplicons were resolved on 2% agarose gel and visualized under UV transilluminator.</w:t>
      </w:r>
    </w:p>
    <w:p w14:paraId="1122188C" w14:textId="77777777" w:rsidR="00292CAE" w:rsidRPr="00DF6970" w:rsidRDefault="000F7883" w:rsidP="00DF6970">
      <w:pPr>
        <w:spacing w:before="240" w:line="271" w:lineRule="auto"/>
        <w:jc w:val="both"/>
        <w:rPr>
          <w:rFonts w:ascii="Times New Roman" w:hAnsi="Times New Roman" w:cs="Times New Roman"/>
          <w:sz w:val="24"/>
          <w:szCs w:val="24"/>
        </w:rPr>
      </w:pPr>
      <w:bookmarkStart w:id="9" w:name="bm_2_3_antimicrobial_susceptibili_dab760"/>
      <w:r w:rsidRPr="00DF6970">
        <w:rPr>
          <w:rFonts w:ascii="Times New Roman" w:hAnsi="Times New Roman" w:cs="Times New Roman"/>
          <w:b/>
          <w:sz w:val="24"/>
          <w:szCs w:val="24"/>
        </w:rPr>
        <w:lastRenderedPageBreak/>
        <w:t>2.3 Antimicrobial Susceptibility Testing</w:t>
      </w:r>
      <w:bookmarkEnd w:id="9"/>
    </w:p>
    <w:p w14:paraId="6414713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Kirby-Bauer disc diffusion method was employed using Mueller-Hinton agar and 15 antibiotic discs (Enrofloxacin 5µg, Gentamicin 30µg, Imipenem 10µg, Cefoxitin 30µg, Tetracycline 30µg, Chloramphenicol 30µg, Aztreonam 30µg, Streptomycin 10µg, Ampicillin 10µg, Amoxyclav 30µg, Amikacin 30µg, Cefotaxime 30µg, Nalidixic Acid 30µg, Cefpodoxime 10µg, Erythromycin 15µg). Inocula standardized to 0.5 McFarland. Zone diameters were measured after 24-hour incubation (37°C) and interpreted per CLSI (2024) </w:t>
      </w:r>
      <w:proofErr w:type="gramStart"/>
      <w:r w:rsidRPr="00DF6970">
        <w:rPr>
          <w:rFonts w:ascii="Times New Roman" w:eastAsia="Georgia" w:hAnsi="Times New Roman" w:cs="Times New Roman"/>
          <w:sz w:val="24"/>
          <w:szCs w:val="24"/>
        </w:rPr>
        <w:t>guidelines[</w:t>
      </w:r>
      <w:proofErr w:type="gramEnd"/>
      <w:r w:rsidRPr="00DF6970">
        <w:rPr>
          <w:rFonts w:ascii="Times New Roman" w:eastAsia="Georgia" w:hAnsi="Times New Roman" w:cs="Times New Roman"/>
          <w:sz w:val="24"/>
          <w:szCs w:val="24"/>
        </w:rPr>
        <w:t>12].</w:t>
      </w:r>
    </w:p>
    <w:p w14:paraId="7F479029" w14:textId="77777777" w:rsidR="00292CAE" w:rsidRPr="00DF6970" w:rsidRDefault="000F7883" w:rsidP="00DF6970">
      <w:pPr>
        <w:spacing w:before="240" w:line="271" w:lineRule="auto"/>
        <w:jc w:val="both"/>
        <w:rPr>
          <w:rFonts w:ascii="Times New Roman" w:hAnsi="Times New Roman" w:cs="Times New Roman"/>
          <w:sz w:val="28"/>
          <w:szCs w:val="28"/>
        </w:rPr>
      </w:pPr>
      <w:bookmarkStart w:id="10" w:name="bm_3_results"/>
      <w:r w:rsidRPr="00DF6970">
        <w:rPr>
          <w:rFonts w:ascii="Times New Roman" w:hAnsi="Times New Roman" w:cs="Times New Roman"/>
          <w:b/>
          <w:sz w:val="28"/>
          <w:szCs w:val="28"/>
        </w:rPr>
        <w:t>3. Results</w:t>
      </w:r>
      <w:bookmarkEnd w:id="10"/>
    </w:p>
    <w:p w14:paraId="77725E8A" w14:textId="77777777" w:rsidR="00292CAE" w:rsidRPr="00DF6970" w:rsidRDefault="000F7883" w:rsidP="00DF6970">
      <w:pPr>
        <w:spacing w:before="240" w:line="271" w:lineRule="auto"/>
        <w:jc w:val="both"/>
        <w:rPr>
          <w:rFonts w:ascii="Times New Roman" w:hAnsi="Times New Roman" w:cs="Times New Roman"/>
          <w:sz w:val="24"/>
          <w:szCs w:val="24"/>
        </w:rPr>
      </w:pPr>
      <w:bookmarkStart w:id="11" w:name="bm_3_1_isolation_and_prevalence_o_d46000"/>
      <w:r w:rsidRPr="00DF6970">
        <w:rPr>
          <w:rFonts w:ascii="Times New Roman" w:hAnsi="Times New Roman" w:cs="Times New Roman"/>
          <w:b/>
          <w:sz w:val="24"/>
          <w:szCs w:val="24"/>
        </w:rPr>
        <w:t xml:space="preserve">3.1 Isolation and Prevalence of </w:t>
      </w:r>
      <w:r w:rsidRPr="00DF6970">
        <w:rPr>
          <w:rFonts w:ascii="Times New Roman" w:hAnsi="Times New Roman" w:cs="Times New Roman"/>
          <w:b/>
          <w:i/>
          <w:sz w:val="24"/>
          <w:szCs w:val="24"/>
        </w:rPr>
        <w:t>E. coli</w:t>
      </w:r>
      <w:bookmarkEnd w:id="11"/>
    </w:p>
    <w:p w14:paraId="79A1D8D4" w14:textId="77777777" w:rsidR="008327F2" w:rsidRDefault="008327F2" w:rsidP="008327F2">
      <w:pPr>
        <w:pStyle w:val="NormalWeb"/>
        <w:jc w:val="both"/>
      </w:pPr>
      <w:r>
        <w:t xml:space="preserve">Out of the 150 diarrheic fecal samples examined, </w:t>
      </w:r>
      <w:r>
        <w:rPr>
          <w:rStyle w:val="Strong"/>
        </w:rPr>
        <w:t>123 isolates (82%)</w:t>
      </w:r>
      <w:r>
        <w:t xml:space="preserve"> were confirmed as </w:t>
      </w:r>
      <w:r>
        <w:rPr>
          <w:rStyle w:val="Emphasis"/>
        </w:rPr>
        <w:t>Escherichia coli</w:t>
      </w:r>
      <w:r>
        <w:t xml:space="preserve"> through biochemical and molecular identification. Marked variation in prevalence was observed among species. Buffalo calves recorded the highest prevalence at </w:t>
      </w:r>
      <w:r>
        <w:rPr>
          <w:rStyle w:val="Strong"/>
        </w:rPr>
        <w:t>96% (48/50)</w:t>
      </w:r>
      <w:r>
        <w:t>, followed by lambs (</w:t>
      </w:r>
      <w:r>
        <w:rPr>
          <w:rStyle w:val="Strong"/>
        </w:rPr>
        <w:t>76%</w:t>
      </w:r>
      <w:r>
        <w:t>, 38/50) and kids (</w:t>
      </w:r>
      <w:r>
        <w:rPr>
          <w:rStyle w:val="Strong"/>
        </w:rPr>
        <w:t>74%</w:t>
      </w:r>
      <w:r>
        <w:t>, 37/50).</w:t>
      </w:r>
    </w:p>
    <w:p w14:paraId="5108313B" w14:textId="77777777" w:rsidR="008327F2" w:rsidRDefault="008327F2" w:rsidP="008327F2">
      <w:pPr>
        <w:pStyle w:val="NormalWeb"/>
        <w:jc w:val="both"/>
      </w:pPr>
      <w:r>
        <w:t xml:space="preserve">Source-wise analysis revealed that samples collected from the </w:t>
      </w:r>
      <w:r>
        <w:rPr>
          <w:rStyle w:val="Strong"/>
        </w:rPr>
        <w:t>Veterinary Clinical Complex (VCC)</w:t>
      </w:r>
      <w:r>
        <w:t xml:space="preserve"> showed the highest positivity rate of </w:t>
      </w:r>
      <w:r>
        <w:rPr>
          <w:rStyle w:val="Strong"/>
        </w:rPr>
        <w:t>96.15% (50/52)</w:t>
      </w:r>
      <w:r>
        <w:t xml:space="preserve">. This was followed by samples from </w:t>
      </w:r>
      <w:r>
        <w:rPr>
          <w:rStyle w:val="Strong"/>
        </w:rPr>
        <w:t>private farms (79.16%, 38/48)</w:t>
      </w:r>
      <w:r>
        <w:t xml:space="preserve">, the </w:t>
      </w:r>
      <w:r>
        <w:rPr>
          <w:rStyle w:val="Strong"/>
        </w:rPr>
        <w:t>dairy facility (83.33%, 10/12)</w:t>
      </w:r>
      <w:r>
        <w:t xml:space="preserve">, and </w:t>
      </w:r>
      <w:r>
        <w:rPr>
          <w:rStyle w:val="Strong"/>
        </w:rPr>
        <w:t>government farms (65.78%, 25/38)</w:t>
      </w:r>
      <w:r>
        <w:t>. The markedly higher recovery rate from VCC likely reflects higher clinical case load and more severe diarrheic conditions.</w:t>
      </w:r>
    </w:p>
    <w:p w14:paraId="425573C8" w14:textId="77777777" w:rsidR="008327F2" w:rsidRDefault="008327F2" w:rsidP="008327F2">
      <w:pPr>
        <w:pStyle w:val="NormalWeb"/>
        <w:jc w:val="both"/>
      </w:pPr>
      <w:r>
        <w:t xml:space="preserve">Age-wise, </w:t>
      </w:r>
      <w:r>
        <w:rPr>
          <w:rStyle w:val="Emphasis"/>
        </w:rPr>
        <w:t>E. coli</w:t>
      </w:r>
      <w:r>
        <w:t xml:space="preserve"> isolation was more frequent in the youngest age groups across all species. Lambs aged 1–4 months showed a prevalence of </w:t>
      </w:r>
      <w:r>
        <w:rPr>
          <w:rStyle w:val="Strong"/>
        </w:rPr>
        <w:t>90%</w:t>
      </w:r>
      <w:r>
        <w:t xml:space="preserve">, kids aged 1–2 months </w:t>
      </w:r>
      <w:r>
        <w:rPr>
          <w:rStyle w:val="Strong"/>
        </w:rPr>
        <w:t>87.5%</w:t>
      </w:r>
      <w:r>
        <w:t xml:space="preserve">, and buffalo calves aged 1–4 months </w:t>
      </w:r>
      <w:r>
        <w:rPr>
          <w:rStyle w:val="Strong"/>
        </w:rPr>
        <w:t>95%</w:t>
      </w:r>
      <w:r>
        <w:t xml:space="preserve">. A consistent decline in prevalence was observed with increasing age, underscoring the enhanced susceptibility of neonates and young animals to </w:t>
      </w:r>
      <w:r>
        <w:rPr>
          <w:rStyle w:val="Emphasis"/>
        </w:rPr>
        <w:t>E. coli</w:t>
      </w:r>
      <w:r>
        <w:t>-associated enteric infections.</w:t>
      </w:r>
    </w:p>
    <w:p w14:paraId="6347A73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 xml:space="preserve">Table 1: Isolation and Prevalence of </w:t>
      </w:r>
      <w:r w:rsidRPr="00DF6970">
        <w:rPr>
          <w:rFonts w:ascii="Times New Roman" w:hAnsi="Times New Roman" w:cs="Times New Roman"/>
          <w:b/>
          <w:i/>
          <w:sz w:val="24"/>
          <w:szCs w:val="24"/>
        </w:rPr>
        <w:t>E. coli by Species and Source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Look w:val="04A0" w:firstRow="1" w:lastRow="0" w:firstColumn="1" w:lastColumn="0" w:noHBand="0" w:noVBand="1"/>
      </w:tblPr>
      <w:tblGrid>
        <w:gridCol w:w="1417"/>
        <w:gridCol w:w="1302"/>
        <w:gridCol w:w="1262"/>
        <w:gridCol w:w="1576"/>
        <w:gridCol w:w="1264"/>
        <w:gridCol w:w="1863"/>
      </w:tblGrid>
      <w:tr w:rsidR="00292CAE" w:rsidRPr="00DF6970" w14:paraId="592EE2F4" w14:textId="77777777" w:rsidTr="00DF6970">
        <w:trPr>
          <w:cantSplit/>
          <w:tblCellSpacing w:w="0" w:type="dxa"/>
          <w:jc w:val="center"/>
        </w:trPr>
        <w:tc>
          <w:tcPr>
            <w:tcW w:w="0" w:type="auto"/>
          </w:tcPr>
          <w:p w14:paraId="4EE6772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Species</w:t>
            </w:r>
          </w:p>
        </w:tc>
        <w:tc>
          <w:tcPr>
            <w:tcW w:w="0" w:type="auto"/>
          </w:tcPr>
          <w:p w14:paraId="7A75869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Samples (n)</w:t>
            </w:r>
          </w:p>
        </w:tc>
        <w:tc>
          <w:tcPr>
            <w:tcW w:w="0" w:type="auto"/>
          </w:tcPr>
          <w:p w14:paraId="09B8C83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Positive (n)</w:t>
            </w:r>
          </w:p>
        </w:tc>
        <w:tc>
          <w:tcPr>
            <w:tcW w:w="0" w:type="auto"/>
          </w:tcPr>
          <w:p w14:paraId="10E4ACF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Prevalence (%)</w:t>
            </w:r>
          </w:p>
        </w:tc>
        <w:tc>
          <w:tcPr>
            <w:tcW w:w="0" w:type="auto"/>
          </w:tcPr>
          <w:p w14:paraId="2FCD07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Age Group</w:t>
            </w:r>
          </w:p>
        </w:tc>
        <w:tc>
          <w:tcPr>
            <w:tcW w:w="0" w:type="auto"/>
          </w:tcPr>
          <w:p w14:paraId="679EFBC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Group Prevalence (%)</w:t>
            </w:r>
          </w:p>
        </w:tc>
      </w:tr>
      <w:tr w:rsidR="00292CAE" w:rsidRPr="00DF6970" w14:paraId="20BA85F7" w14:textId="77777777" w:rsidTr="00DF6970">
        <w:trPr>
          <w:cantSplit/>
          <w:tblCellSpacing w:w="0" w:type="dxa"/>
          <w:jc w:val="center"/>
        </w:trPr>
        <w:tc>
          <w:tcPr>
            <w:tcW w:w="0" w:type="auto"/>
          </w:tcPr>
          <w:p w14:paraId="76C591A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Lambs</w:t>
            </w:r>
          </w:p>
        </w:tc>
        <w:tc>
          <w:tcPr>
            <w:tcW w:w="0" w:type="auto"/>
          </w:tcPr>
          <w:p w14:paraId="14721D9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50</w:t>
            </w:r>
          </w:p>
        </w:tc>
        <w:tc>
          <w:tcPr>
            <w:tcW w:w="0" w:type="auto"/>
          </w:tcPr>
          <w:p w14:paraId="78E62D5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38</w:t>
            </w:r>
          </w:p>
        </w:tc>
        <w:tc>
          <w:tcPr>
            <w:tcW w:w="0" w:type="auto"/>
          </w:tcPr>
          <w:p w14:paraId="3166CD6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76.00</w:t>
            </w:r>
          </w:p>
        </w:tc>
        <w:tc>
          <w:tcPr>
            <w:tcW w:w="0" w:type="auto"/>
          </w:tcPr>
          <w:p w14:paraId="4FE3D8F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 months</w:t>
            </w:r>
          </w:p>
        </w:tc>
        <w:tc>
          <w:tcPr>
            <w:tcW w:w="0" w:type="auto"/>
          </w:tcPr>
          <w:p w14:paraId="73084E8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90.00 (18/20)</w:t>
            </w:r>
          </w:p>
        </w:tc>
      </w:tr>
      <w:tr w:rsidR="00292CAE" w:rsidRPr="00DF6970" w14:paraId="1FD8B7CA" w14:textId="77777777" w:rsidTr="00DF6970">
        <w:trPr>
          <w:cantSplit/>
          <w:tblCellSpacing w:w="0" w:type="dxa"/>
          <w:jc w:val="center"/>
        </w:trPr>
        <w:tc>
          <w:tcPr>
            <w:tcW w:w="0" w:type="auto"/>
          </w:tcPr>
          <w:p w14:paraId="2EB20942" w14:textId="77777777" w:rsidR="00292CAE" w:rsidRPr="00DF6970" w:rsidRDefault="00292CAE" w:rsidP="00DF6970">
            <w:pPr>
              <w:jc w:val="both"/>
              <w:rPr>
                <w:rFonts w:ascii="Times New Roman" w:hAnsi="Times New Roman" w:cs="Times New Roman"/>
                <w:sz w:val="24"/>
                <w:szCs w:val="24"/>
              </w:rPr>
            </w:pPr>
          </w:p>
        </w:tc>
        <w:tc>
          <w:tcPr>
            <w:tcW w:w="0" w:type="auto"/>
          </w:tcPr>
          <w:p w14:paraId="7F19E91D" w14:textId="77777777" w:rsidR="00292CAE" w:rsidRPr="00DF6970" w:rsidRDefault="00292CAE" w:rsidP="00DF6970">
            <w:pPr>
              <w:jc w:val="both"/>
              <w:rPr>
                <w:rFonts w:ascii="Times New Roman" w:hAnsi="Times New Roman" w:cs="Times New Roman"/>
                <w:sz w:val="24"/>
                <w:szCs w:val="24"/>
              </w:rPr>
            </w:pPr>
          </w:p>
        </w:tc>
        <w:tc>
          <w:tcPr>
            <w:tcW w:w="0" w:type="auto"/>
          </w:tcPr>
          <w:p w14:paraId="2010E9F5" w14:textId="77777777" w:rsidR="00292CAE" w:rsidRPr="00DF6970" w:rsidRDefault="00292CAE" w:rsidP="00DF6970">
            <w:pPr>
              <w:jc w:val="both"/>
              <w:rPr>
                <w:rFonts w:ascii="Times New Roman" w:hAnsi="Times New Roman" w:cs="Times New Roman"/>
                <w:sz w:val="24"/>
                <w:szCs w:val="24"/>
              </w:rPr>
            </w:pPr>
          </w:p>
        </w:tc>
        <w:tc>
          <w:tcPr>
            <w:tcW w:w="0" w:type="auto"/>
          </w:tcPr>
          <w:p w14:paraId="43EC2F8D" w14:textId="77777777" w:rsidR="00292CAE" w:rsidRPr="00DF6970" w:rsidRDefault="00292CAE" w:rsidP="00DF6970">
            <w:pPr>
              <w:jc w:val="both"/>
              <w:rPr>
                <w:rFonts w:ascii="Times New Roman" w:hAnsi="Times New Roman" w:cs="Times New Roman"/>
                <w:sz w:val="24"/>
                <w:szCs w:val="24"/>
              </w:rPr>
            </w:pPr>
          </w:p>
        </w:tc>
        <w:tc>
          <w:tcPr>
            <w:tcW w:w="0" w:type="auto"/>
          </w:tcPr>
          <w:p w14:paraId="56E8FC0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4-8 months</w:t>
            </w:r>
          </w:p>
        </w:tc>
        <w:tc>
          <w:tcPr>
            <w:tcW w:w="0" w:type="auto"/>
          </w:tcPr>
          <w:p w14:paraId="43188CA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78.57 (11/14)</w:t>
            </w:r>
          </w:p>
        </w:tc>
      </w:tr>
      <w:tr w:rsidR="00292CAE" w:rsidRPr="00DF6970" w14:paraId="730833E9" w14:textId="77777777" w:rsidTr="00DF6970">
        <w:trPr>
          <w:cantSplit/>
          <w:tblCellSpacing w:w="0" w:type="dxa"/>
          <w:jc w:val="center"/>
        </w:trPr>
        <w:tc>
          <w:tcPr>
            <w:tcW w:w="0" w:type="auto"/>
          </w:tcPr>
          <w:p w14:paraId="580F810B" w14:textId="77777777" w:rsidR="00292CAE" w:rsidRPr="00DF6970" w:rsidRDefault="00292CAE" w:rsidP="00DF6970">
            <w:pPr>
              <w:jc w:val="both"/>
              <w:rPr>
                <w:rFonts w:ascii="Times New Roman" w:hAnsi="Times New Roman" w:cs="Times New Roman"/>
                <w:sz w:val="24"/>
                <w:szCs w:val="24"/>
              </w:rPr>
            </w:pPr>
          </w:p>
        </w:tc>
        <w:tc>
          <w:tcPr>
            <w:tcW w:w="0" w:type="auto"/>
          </w:tcPr>
          <w:p w14:paraId="65D679D5" w14:textId="77777777" w:rsidR="00292CAE" w:rsidRPr="00DF6970" w:rsidRDefault="00292CAE" w:rsidP="00DF6970">
            <w:pPr>
              <w:jc w:val="both"/>
              <w:rPr>
                <w:rFonts w:ascii="Times New Roman" w:hAnsi="Times New Roman" w:cs="Times New Roman"/>
                <w:sz w:val="24"/>
                <w:szCs w:val="24"/>
              </w:rPr>
            </w:pPr>
          </w:p>
        </w:tc>
        <w:tc>
          <w:tcPr>
            <w:tcW w:w="0" w:type="auto"/>
          </w:tcPr>
          <w:p w14:paraId="700CBD5D" w14:textId="77777777" w:rsidR="00292CAE" w:rsidRPr="00DF6970" w:rsidRDefault="00292CAE" w:rsidP="00DF6970">
            <w:pPr>
              <w:jc w:val="both"/>
              <w:rPr>
                <w:rFonts w:ascii="Times New Roman" w:hAnsi="Times New Roman" w:cs="Times New Roman"/>
                <w:sz w:val="24"/>
                <w:szCs w:val="24"/>
              </w:rPr>
            </w:pPr>
          </w:p>
        </w:tc>
        <w:tc>
          <w:tcPr>
            <w:tcW w:w="0" w:type="auto"/>
          </w:tcPr>
          <w:p w14:paraId="33C98296" w14:textId="77777777" w:rsidR="00292CAE" w:rsidRPr="00DF6970" w:rsidRDefault="00292CAE" w:rsidP="00DF6970">
            <w:pPr>
              <w:jc w:val="both"/>
              <w:rPr>
                <w:rFonts w:ascii="Times New Roman" w:hAnsi="Times New Roman" w:cs="Times New Roman"/>
                <w:sz w:val="24"/>
                <w:szCs w:val="24"/>
              </w:rPr>
            </w:pPr>
          </w:p>
        </w:tc>
        <w:tc>
          <w:tcPr>
            <w:tcW w:w="0" w:type="auto"/>
          </w:tcPr>
          <w:p w14:paraId="54A37A4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8-12 months</w:t>
            </w:r>
          </w:p>
        </w:tc>
        <w:tc>
          <w:tcPr>
            <w:tcW w:w="0" w:type="auto"/>
          </w:tcPr>
          <w:p w14:paraId="1E95C73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56.25 (9/16)</w:t>
            </w:r>
          </w:p>
        </w:tc>
      </w:tr>
      <w:tr w:rsidR="00292CAE" w:rsidRPr="00DF6970" w14:paraId="5ECA3CD8" w14:textId="77777777" w:rsidTr="00DF6970">
        <w:trPr>
          <w:cantSplit/>
          <w:tblCellSpacing w:w="0" w:type="dxa"/>
          <w:jc w:val="center"/>
        </w:trPr>
        <w:tc>
          <w:tcPr>
            <w:tcW w:w="0" w:type="auto"/>
          </w:tcPr>
          <w:p w14:paraId="1CBC74E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Kids</w:t>
            </w:r>
          </w:p>
        </w:tc>
        <w:tc>
          <w:tcPr>
            <w:tcW w:w="0" w:type="auto"/>
          </w:tcPr>
          <w:p w14:paraId="04DE3E3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50</w:t>
            </w:r>
          </w:p>
        </w:tc>
        <w:tc>
          <w:tcPr>
            <w:tcW w:w="0" w:type="auto"/>
          </w:tcPr>
          <w:p w14:paraId="5D051AC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37</w:t>
            </w:r>
          </w:p>
        </w:tc>
        <w:tc>
          <w:tcPr>
            <w:tcW w:w="0" w:type="auto"/>
          </w:tcPr>
          <w:p w14:paraId="27E0D52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74.00</w:t>
            </w:r>
          </w:p>
        </w:tc>
        <w:tc>
          <w:tcPr>
            <w:tcW w:w="0" w:type="auto"/>
          </w:tcPr>
          <w:p w14:paraId="775E0DF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 months</w:t>
            </w:r>
          </w:p>
        </w:tc>
        <w:tc>
          <w:tcPr>
            <w:tcW w:w="0" w:type="auto"/>
          </w:tcPr>
          <w:p w14:paraId="6E4B6E1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87.50 (21/24)</w:t>
            </w:r>
          </w:p>
        </w:tc>
      </w:tr>
      <w:tr w:rsidR="00292CAE" w:rsidRPr="00DF6970" w14:paraId="3A8AB5E1" w14:textId="77777777" w:rsidTr="00DF6970">
        <w:trPr>
          <w:cantSplit/>
          <w:tblCellSpacing w:w="0" w:type="dxa"/>
          <w:jc w:val="center"/>
        </w:trPr>
        <w:tc>
          <w:tcPr>
            <w:tcW w:w="0" w:type="auto"/>
          </w:tcPr>
          <w:p w14:paraId="0F8D0D01" w14:textId="77777777" w:rsidR="00292CAE" w:rsidRPr="00DF6970" w:rsidRDefault="00292CAE" w:rsidP="00DF6970">
            <w:pPr>
              <w:jc w:val="both"/>
              <w:rPr>
                <w:rFonts w:ascii="Times New Roman" w:hAnsi="Times New Roman" w:cs="Times New Roman"/>
                <w:sz w:val="24"/>
                <w:szCs w:val="24"/>
              </w:rPr>
            </w:pPr>
          </w:p>
        </w:tc>
        <w:tc>
          <w:tcPr>
            <w:tcW w:w="0" w:type="auto"/>
          </w:tcPr>
          <w:p w14:paraId="31388D5F" w14:textId="77777777" w:rsidR="00292CAE" w:rsidRPr="00DF6970" w:rsidRDefault="00292CAE" w:rsidP="00DF6970">
            <w:pPr>
              <w:jc w:val="both"/>
              <w:rPr>
                <w:rFonts w:ascii="Times New Roman" w:hAnsi="Times New Roman" w:cs="Times New Roman"/>
                <w:sz w:val="24"/>
                <w:szCs w:val="24"/>
              </w:rPr>
            </w:pPr>
          </w:p>
        </w:tc>
        <w:tc>
          <w:tcPr>
            <w:tcW w:w="0" w:type="auto"/>
          </w:tcPr>
          <w:p w14:paraId="61943D37" w14:textId="77777777" w:rsidR="00292CAE" w:rsidRPr="00DF6970" w:rsidRDefault="00292CAE" w:rsidP="00DF6970">
            <w:pPr>
              <w:jc w:val="both"/>
              <w:rPr>
                <w:rFonts w:ascii="Times New Roman" w:hAnsi="Times New Roman" w:cs="Times New Roman"/>
                <w:sz w:val="24"/>
                <w:szCs w:val="24"/>
              </w:rPr>
            </w:pPr>
          </w:p>
        </w:tc>
        <w:tc>
          <w:tcPr>
            <w:tcW w:w="0" w:type="auto"/>
          </w:tcPr>
          <w:p w14:paraId="0EFD60AB" w14:textId="77777777" w:rsidR="00292CAE" w:rsidRPr="00DF6970" w:rsidRDefault="00292CAE" w:rsidP="00DF6970">
            <w:pPr>
              <w:jc w:val="both"/>
              <w:rPr>
                <w:rFonts w:ascii="Times New Roman" w:hAnsi="Times New Roman" w:cs="Times New Roman"/>
                <w:sz w:val="24"/>
                <w:szCs w:val="24"/>
              </w:rPr>
            </w:pPr>
          </w:p>
        </w:tc>
        <w:tc>
          <w:tcPr>
            <w:tcW w:w="0" w:type="auto"/>
          </w:tcPr>
          <w:p w14:paraId="2972330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2-4 months</w:t>
            </w:r>
          </w:p>
        </w:tc>
        <w:tc>
          <w:tcPr>
            <w:tcW w:w="0" w:type="auto"/>
          </w:tcPr>
          <w:p w14:paraId="1D1B474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85.71 (12/14)</w:t>
            </w:r>
          </w:p>
        </w:tc>
      </w:tr>
      <w:tr w:rsidR="00292CAE" w:rsidRPr="00DF6970" w14:paraId="1C99D1F3" w14:textId="77777777" w:rsidTr="00DF6970">
        <w:trPr>
          <w:cantSplit/>
          <w:tblCellSpacing w:w="0" w:type="dxa"/>
          <w:jc w:val="center"/>
        </w:trPr>
        <w:tc>
          <w:tcPr>
            <w:tcW w:w="0" w:type="auto"/>
          </w:tcPr>
          <w:p w14:paraId="767043F7" w14:textId="77777777" w:rsidR="00292CAE" w:rsidRPr="00DF6970" w:rsidRDefault="00292CAE" w:rsidP="00DF6970">
            <w:pPr>
              <w:jc w:val="both"/>
              <w:rPr>
                <w:rFonts w:ascii="Times New Roman" w:hAnsi="Times New Roman" w:cs="Times New Roman"/>
                <w:sz w:val="24"/>
                <w:szCs w:val="24"/>
              </w:rPr>
            </w:pPr>
          </w:p>
        </w:tc>
        <w:tc>
          <w:tcPr>
            <w:tcW w:w="0" w:type="auto"/>
          </w:tcPr>
          <w:p w14:paraId="4BEC42A8" w14:textId="77777777" w:rsidR="00292CAE" w:rsidRPr="00DF6970" w:rsidRDefault="00292CAE" w:rsidP="00DF6970">
            <w:pPr>
              <w:jc w:val="both"/>
              <w:rPr>
                <w:rFonts w:ascii="Times New Roman" w:hAnsi="Times New Roman" w:cs="Times New Roman"/>
                <w:sz w:val="24"/>
                <w:szCs w:val="24"/>
              </w:rPr>
            </w:pPr>
          </w:p>
        </w:tc>
        <w:tc>
          <w:tcPr>
            <w:tcW w:w="0" w:type="auto"/>
          </w:tcPr>
          <w:p w14:paraId="41C5FE79" w14:textId="77777777" w:rsidR="00292CAE" w:rsidRPr="00DF6970" w:rsidRDefault="00292CAE" w:rsidP="00DF6970">
            <w:pPr>
              <w:jc w:val="both"/>
              <w:rPr>
                <w:rFonts w:ascii="Times New Roman" w:hAnsi="Times New Roman" w:cs="Times New Roman"/>
                <w:sz w:val="24"/>
                <w:szCs w:val="24"/>
              </w:rPr>
            </w:pPr>
          </w:p>
        </w:tc>
        <w:tc>
          <w:tcPr>
            <w:tcW w:w="0" w:type="auto"/>
          </w:tcPr>
          <w:p w14:paraId="63C040D2" w14:textId="77777777" w:rsidR="00292CAE" w:rsidRPr="00DF6970" w:rsidRDefault="00292CAE" w:rsidP="00DF6970">
            <w:pPr>
              <w:jc w:val="both"/>
              <w:rPr>
                <w:rFonts w:ascii="Times New Roman" w:hAnsi="Times New Roman" w:cs="Times New Roman"/>
                <w:sz w:val="24"/>
                <w:szCs w:val="24"/>
              </w:rPr>
            </w:pPr>
          </w:p>
        </w:tc>
        <w:tc>
          <w:tcPr>
            <w:tcW w:w="0" w:type="auto"/>
          </w:tcPr>
          <w:p w14:paraId="6183A27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4-6 months</w:t>
            </w:r>
          </w:p>
        </w:tc>
        <w:tc>
          <w:tcPr>
            <w:tcW w:w="0" w:type="auto"/>
          </w:tcPr>
          <w:p w14:paraId="11FC717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58.33 (7/12)</w:t>
            </w:r>
          </w:p>
        </w:tc>
      </w:tr>
      <w:tr w:rsidR="00292CAE" w:rsidRPr="00DF6970" w14:paraId="2C77666E" w14:textId="77777777" w:rsidTr="00DF6970">
        <w:trPr>
          <w:cantSplit/>
          <w:tblCellSpacing w:w="0" w:type="dxa"/>
          <w:jc w:val="center"/>
        </w:trPr>
        <w:tc>
          <w:tcPr>
            <w:tcW w:w="0" w:type="auto"/>
          </w:tcPr>
          <w:p w14:paraId="54182A7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Buffalo Calves</w:t>
            </w:r>
          </w:p>
        </w:tc>
        <w:tc>
          <w:tcPr>
            <w:tcW w:w="0" w:type="auto"/>
          </w:tcPr>
          <w:p w14:paraId="3E21491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50</w:t>
            </w:r>
          </w:p>
        </w:tc>
        <w:tc>
          <w:tcPr>
            <w:tcW w:w="0" w:type="auto"/>
          </w:tcPr>
          <w:p w14:paraId="1DFD732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48</w:t>
            </w:r>
          </w:p>
        </w:tc>
        <w:tc>
          <w:tcPr>
            <w:tcW w:w="0" w:type="auto"/>
          </w:tcPr>
          <w:p w14:paraId="1F37BF2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96.00</w:t>
            </w:r>
          </w:p>
        </w:tc>
        <w:tc>
          <w:tcPr>
            <w:tcW w:w="0" w:type="auto"/>
          </w:tcPr>
          <w:p w14:paraId="38AC9A5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 months</w:t>
            </w:r>
          </w:p>
        </w:tc>
        <w:tc>
          <w:tcPr>
            <w:tcW w:w="0" w:type="auto"/>
          </w:tcPr>
          <w:p w14:paraId="50AA331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95.00 (19/20)</w:t>
            </w:r>
          </w:p>
        </w:tc>
      </w:tr>
      <w:tr w:rsidR="00292CAE" w:rsidRPr="00DF6970" w14:paraId="7DBC3F58" w14:textId="77777777" w:rsidTr="00DF6970">
        <w:trPr>
          <w:cantSplit/>
          <w:tblCellSpacing w:w="0" w:type="dxa"/>
          <w:jc w:val="center"/>
        </w:trPr>
        <w:tc>
          <w:tcPr>
            <w:tcW w:w="0" w:type="auto"/>
          </w:tcPr>
          <w:p w14:paraId="7BA158B5" w14:textId="77777777" w:rsidR="00292CAE" w:rsidRPr="00DF6970" w:rsidRDefault="00292CAE" w:rsidP="00DF6970">
            <w:pPr>
              <w:jc w:val="both"/>
              <w:rPr>
                <w:rFonts w:ascii="Times New Roman" w:hAnsi="Times New Roman" w:cs="Times New Roman"/>
                <w:sz w:val="24"/>
                <w:szCs w:val="24"/>
              </w:rPr>
            </w:pPr>
          </w:p>
        </w:tc>
        <w:tc>
          <w:tcPr>
            <w:tcW w:w="0" w:type="auto"/>
          </w:tcPr>
          <w:p w14:paraId="77D51448" w14:textId="77777777" w:rsidR="00292CAE" w:rsidRPr="00DF6970" w:rsidRDefault="00292CAE" w:rsidP="00DF6970">
            <w:pPr>
              <w:jc w:val="both"/>
              <w:rPr>
                <w:rFonts w:ascii="Times New Roman" w:hAnsi="Times New Roman" w:cs="Times New Roman"/>
                <w:sz w:val="24"/>
                <w:szCs w:val="24"/>
              </w:rPr>
            </w:pPr>
          </w:p>
        </w:tc>
        <w:tc>
          <w:tcPr>
            <w:tcW w:w="0" w:type="auto"/>
          </w:tcPr>
          <w:p w14:paraId="44780A2A" w14:textId="77777777" w:rsidR="00292CAE" w:rsidRPr="00DF6970" w:rsidRDefault="00292CAE" w:rsidP="00DF6970">
            <w:pPr>
              <w:jc w:val="both"/>
              <w:rPr>
                <w:rFonts w:ascii="Times New Roman" w:hAnsi="Times New Roman" w:cs="Times New Roman"/>
                <w:sz w:val="24"/>
                <w:szCs w:val="24"/>
              </w:rPr>
            </w:pPr>
          </w:p>
        </w:tc>
        <w:tc>
          <w:tcPr>
            <w:tcW w:w="0" w:type="auto"/>
          </w:tcPr>
          <w:p w14:paraId="4C2AB869" w14:textId="77777777" w:rsidR="00292CAE" w:rsidRPr="00DF6970" w:rsidRDefault="00292CAE" w:rsidP="00DF6970">
            <w:pPr>
              <w:jc w:val="both"/>
              <w:rPr>
                <w:rFonts w:ascii="Times New Roman" w:hAnsi="Times New Roman" w:cs="Times New Roman"/>
                <w:sz w:val="24"/>
                <w:szCs w:val="24"/>
              </w:rPr>
            </w:pPr>
          </w:p>
        </w:tc>
        <w:tc>
          <w:tcPr>
            <w:tcW w:w="0" w:type="auto"/>
          </w:tcPr>
          <w:p w14:paraId="1DF1751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4-8 months</w:t>
            </w:r>
          </w:p>
        </w:tc>
        <w:tc>
          <w:tcPr>
            <w:tcW w:w="0" w:type="auto"/>
          </w:tcPr>
          <w:p w14:paraId="532641E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100.00 (18/18)</w:t>
            </w:r>
          </w:p>
        </w:tc>
      </w:tr>
      <w:tr w:rsidR="00292CAE" w:rsidRPr="00DF6970" w14:paraId="7E6036AE" w14:textId="77777777" w:rsidTr="00DF6970">
        <w:trPr>
          <w:cantSplit/>
          <w:tblCellSpacing w:w="0" w:type="dxa"/>
          <w:jc w:val="center"/>
        </w:trPr>
        <w:tc>
          <w:tcPr>
            <w:tcW w:w="0" w:type="auto"/>
          </w:tcPr>
          <w:p w14:paraId="39D704C9" w14:textId="77777777" w:rsidR="00292CAE" w:rsidRPr="00DF6970" w:rsidRDefault="00292CAE" w:rsidP="00DF6970">
            <w:pPr>
              <w:jc w:val="both"/>
              <w:rPr>
                <w:rFonts w:ascii="Times New Roman" w:hAnsi="Times New Roman" w:cs="Times New Roman"/>
                <w:sz w:val="24"/>
                <w:szCs w:val="24"/>
              </w:rPr>
            </w:pPr>
          </w:p>
        </w:tc>
        <w:tc>
          <w:tcPr>
            <w:tcW w:w="0" w:type="auto"/>
          </w:tcPr>
          <w:p w14:paraId="08DF6991" w14:textId="77777777" w:rsidR="00292CAE" w:rsidRPr="00DF6970" w:rsidRDefault="00292CAE" w:rsidP="00DF6970">
            <w:pPr>
              <w:jc w:val="both"/>
              <w:rPr>
                <w:rFonts w:ascii="Times New Roman" w:hAnsi="Times New Roman" w:cs="Times New Roman"/>
                <w:sz w:val="24"/>
                <w:szCs w:val="24"/>
              </w:rPr>
            </w:pPr>
          </w:p>
        </w:tc>
        <w:tc>
          <w:tcPr>
            <w:tcW w:w="0" w:type="auto"/>
          </w:tcPr>
          <w:p w14:paraId="7DE18B48" w14:textId="77777777" w:rsidR="00292CAE" w:rsidRPr="00DF6970" w:rsidRDefault="00292CAE" w:rsidP="00DF6970">
            <w:pPr>
              <w:jc w:val="both"/>
              <w:rPr>
                <w:rFonts w:ascii="Times New Roman" w:hAnsi="Times New Roman" w:cs="Times New Roman"/>
                <w:sz w:val="24"/>
                <w:szCs w:val="24"/>
              </w:rPr>
            </w:pPr>
          </w:p>
        </w:tc>
        <w:tc>
          <w:tcPr>
            <w:tcW w:w="0" w:type="auto"/>
          </w:tcPr>
          <w:p w14:paraId="50A93E6B" w14:textId="77777777" w:rsidR="00292CAE" w:rsidRPr="00DF6970" w:rsidRDefault="00292CAE" w:rsidP="00DF6970">
            <w:pPr>
              <w:jc w:val="both"/>
              <w:rPr>
                <w:rFonts w:ascii="Times New Roman" w:hAnsi="Times New Roman" w:cs="Times New Roman"/>
                <w:sz w:val="24"/>
                <w:szCs w:val="24"/>
              </w:rPr>
            </w:pPr>
          </w:p>
        </w:tc>
        <w:tc>
          <w:tcPr>
            <w:tcW w:w="0" w:type="auto"/>
          </w:tcPr>
          <w:p w14:paraId="07CC730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8-12 months</w:t>
            </w:r>
          </w:p>
        </w:tc>
        <w:tc>
          <w:tcPr>
            <w:tcW w:w="0" w:type="auto"/>
          </w:tcPr>
          <w:p w14:paraId="49668DF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91.67 (11/12)</w:t>
            </w:r>
          </w:p>
        </w:tc>
      </w:tr>
      <w:tr w:rsidR="00292CAE" w:rsidRPr="00DF6970" w14:paraId="4EB444F6" w14:textId="77777777" w:rsidTr="00DF6970">
        <w:trPr>
          <w:cantSplit/>
          <w:tblCellSpacing w:w="0" w:type="dxa"/>
          <w:jc w:val="center"/>
        </w:trPr>
        <w:tc>
          <w:tcPr>
            <w:tcW w:w="0" w:type="auto"/>
          </w:tcPr>
          <w:p w14:paraId="4C1EB32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Total</w:t>
            </w:r>
          </w:p>
        </w:tc>
        <w:tc>
          <w:tcPr>
            <w:tcW w:w="0" w:type="auto"/>
          </w:tcPr>
          <w:p w14:paraId="50CB1E5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150</w:t>
            </w:r>
          </w:p>
        </w:tc>
        <w:tc>
          <w:tcPr>
            <w:tcW w:w="0" w:type="auto"/>
          </w:tcPr>
          <w:p w14:paraId="1B585E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123</w:t>
            </w:r>
          </w:p>
        </w:tc>
        <w:tc>
          <w:tcPr>
            <w:tcW w:w="0" w:type="auto"/>
          </w:tcPr>
          <w:p w14:paraId="28278B1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82.00</w:t>
            </w:r>
          </w:p>
        </w:tc>
        <w:tc>
          <w:tcPr>
            <w:tcW w:w="0" w:type="auto"/>
          </w:tcPr>
          <w:p w14:paraId="1010C622" w14:textId="77777777" w:rsidR="00292CAE" w:rsidRPr="00DF6970" w:rsidRDefault="00292CAE" w:rsidP="00DF6970">
            <w:pPr>
              <w:jc w:val="both"/>
              <w:rPr>
                <w:rFonts w:ascii="Times New Roman" w:hAnsi="Times New Roman" w:cs="Times New Roman"/>
                <w:sz w:val="24"/>
                <w:szCs w:val="24"/>
              </w:rPr>
            </w:pPr>
          </w:p>
        </w:tc>
        <w:tc>
          <w:tcPr>
            <w:tcW w:w="0" w:type="auto"/>
          </w:tcPr>
          <w:p w14:paraId="6E8DBDB9" w14:textId="77777777" w:rsidR="00292CAE" w:rsidRPr="00DF6970" w:rsidRDefault="00292CAE" w:rsidP="00DF6970">
            <w:pPr>
              <w:jc w:val="both"/>
              <w:rPr>
                <w:rFonts w:ascii="Times New Roman" w:hAnsi="Times New Roman" w:cs="Times New Roman"/>
                <w:sz w:val="24"/>
                <w:szCs w:val="24"/>
              </w:rPr>
            </w:pPr>
          </w:p>
        </w:tc>
      </w:tr>
    </w:tbl>
    <w:p w14:paraId="74C67ACA" w14:textId="77777777" w:rsidR="00292CAE" w:rsidRPr="00DF6970" w:rsidRDefault="00292CAE" w:rsidP="00DF6970">
      <w:pPr>
        <w:jc w:val="both"/>
        <w:rPr>
          <w:rFonts w:ascii="Times New Roman" w:hAnsi="Times New Roman" w:cs="Times New Roman"/>
          <w:sz w:val="24"/>
          <w:szCs w:val="24"/>
        </w:rPr>
      </w:pPr>
    </w:p>
    <w:p w14:paraId="7D618706" w14:textId="77777777" w:rsidR="00292CAE" w:rsidRDefault="000F7883" w:rsidP="00DF6970">
      <w:pPr>
        <w:spacing w:before="240" w:line="271" w:lineRule="auto"/>
        <w:jc w:val="both"/>
        <w:rPr>
          <w:rFonts w:ascii="Times New Roman" w:hAnsi="Times New Roman" w:cs="Times New Roman"/>
          <w:b/>
          <w:sz w:val="24"/>
          <w:szCs w:val="24"/>
        </w:rPr>
      </w:pPr>
      <w:bookmarkStart w:id="12" w:name="bm_3_2_virulence_gene_distribution"/>
      <w:r w:rsidRPr="00DF6970">
        <w:rPr>
          <w:rFonts w:ascii="Times New Roman" w:hAnsi="Times New Roman" w:cs="Times New Roman"/>
          <w:b/>
          <w:sz w:val="24"/>
          <w:szCs w:val="24"/>
        </w:rPr>
        <w:t>3.2 Virulence Gene Distribution</w:t>
      </w:r>
      <w:bookmarkEnd w:id="12"/>
    </w:p>
    <w:p w14:paraId="2185E3E6" w14:textId="77777777" w:rsidR="008327F2" w:rsidRDefault="008327F2" w:rsidP="008327F2">
      <w:pPr>
        <w:pStyle w:val="NormalWeb"/>
        <w:jc w:val="both"/>
      </w:pPr>
      <w:r>
        <w:t xml:space="preserve">PCR screening of 123 confirmed </w:t>
      </w:r>
      <w:r>
        <w:rPr>
          <w:rStyle w:val="Emphasis"/>
        </w:rPr>
        <w:t>E. coli</w:t>
      </w:r>
      <w:r>
        <w:t xml:space="preserve"> isolates revealed the presence of four major virulence genes (stx1, stx2, eaeA, and hlyA) with varying frequencies. The most prevalent gene was </w:t>
      </w:r>
      <w:r>
        <w:rPr>
          <w:rStyle w:val="Strong"/>
        </w:rPr>
        <w:t>hlyA</w:t>
      </w:r>
      <w:r>
        <w:t xml:space="preserve"> (28.45%), followed by </w:t>
      </w:r>
      <w:r>
        <w:rPr>
          <w:rStyle w:val="Strong"/>
        </w:rPr>
        <w:t>eaeA</w:t>
      </w:r>
      <w:r>
        <w:t xml:space="preserve"> (17.88%), </w:t>
      </w:r>
      <w:r>
        <w:rPr>
          <w:rStyle w:val="Strong"/>
        </w:rPr>
        <w:t>stx1</w:t>
      </w:r>
      <w:r>
        <w:t xml:space="preserve"> (15.44%), and </w:t>
      </w:r>
      <w:r>
        <w:rPr>
          <w:rStyle w:val="Strong"/>
        </w:rPr>
        <w:t>stx2</w:t>
      </w:r>
      <w:r>
        <w:t xml:space="preserve"> (8.94%).</w:t>
      </w:r>
    </w:p>
    <w:p w14:paraId="2884A5A1" w14:textId="77777777" w:rsidR="008327F2" w:rsidRPr="00DF6970" w:rsidRDefault="008327F2" w:rsidP="008327F2">
      <w:pPr>
        <w:pStyle w:val="NormalWeb"/>
        <w:jc w:val="both"/>
      </w:pPr>
      <w:r>
        <w:t xml:space="preserve">Species-specific differences were notable. In lamb isolates, </w:t>
      </w:r>
      <w:r>
        <w:rPr>
          <w:rStyle w:val="Strong"/>
        </w:rPr>
        <w:t>hlyA</w:t>
      </w:r>
      <w:r>
        <w:t xml:space="preserve"> (31.57%) and </w:t>
      </w:r>
      <w:r>
        <w:rPr>
          <w:rStyle w:val="Strong"/>
        </w:rPr>
        <w:t>stx1</w:t>
      </w:r>
      <w:r>
        <w:t xml:space="preserve"> (21.05%) predominated, whereas kids showed a higher occurrence of </w:t>
      </w:r>
      <w:r>
        <w:rPr>
          <w:rStyle w:val="Strong"/>
        </w:rPr>
        <w:t>stx2</w:t>
      </w:r>
      <w:r>
        <w:t xml:space="preserve"> (16.21%) relative to other species. Buffalo calves exhibited comparatively higher frequencies of </w:t>
      </w:r>
      <w:r>
        <w:rPr>
          <w:rStyle w:val="Strong"/>
        </w:rPr>
        <w:t>eaeA (20.83%)</w:t>
      </w:r>
      <w:r>
        <w:t xml:space="preserve"> and </w:t>
      </w:r>
      <w:r>
        <w:rPr>
          <w:rStyle w:val="Strong"/>
        </w:rPr>
        <w:t>hlyA (29.16%)</w:t>
      </w:r>
      <w:r>
        <w:t>. These variations suggest differential circulation of Shiga-toxigenic and hemolytic phenotypes among small ruminants and calves</w:t>
      </w:r>
    </w:p>
    <w:p w14:paraId="03D2D860"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Table 2: Distribution of Virulence Genes by Species</w:t>
      </w:r>
    </w:p>
    <w:tbl>
      <w:tblPr>
        <w:tblStyle w:val="NormalGrid"/>
        <w:tblW w:w="0" w:type="auto"/>
        <w:jc w:val="center"/>
        <w:tblCellSpacing w:w="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ook w:val="04A0" w:firstRow="1" w:lastRow="0" w:firstColumn="1" w:lastColumn="0" w:noHBand="0" w:noVBand="1"/>
      </w:tblPr>
      <w:tblGrid>
        <w:gridCol w:w="837"/>
        <w:gridCol w:w="1699"/>
        <w:gridCol w:w="1499"/>
        <w:gridCol w:w="2492"/>
        <w:gridCol w:w="1672"/>
      </w:tblGrid>
      <w:tr w:rsidR="00292CAE" w:rsidRPr="00DF6970" w14:paraId="79C25C5E" w14:textId="77777777" w:rsidTr="002F1403">
        <w:trPr>
          <w:cantSplit/>
          <w:tblCellSpacing w:w="0" w:type="dxa"/>
          <w:jc w:val="center"/>
        </w:trPr>
        <w:tc>
          <w:tcPr>
            <w:tcW w:w="0" w:type="auto"/>
          </w:tcPr>
          <w:p w14:paraId="4AC387E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Gene</w:t>
            </w:r>
          </w:p>
        </w:tc>
        <w:tc>
          <w:tcPr>
            <w:tcW w:w="0" w:type="auto"/>
          </w:tcPr>
          <w:p w14:paraId="4A41AF7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Lambs (n=38)</w:t>
            </w:r>
          </w:p>
        </w:tc>
        <w:tc>
          <w:tcPr>
            <w:tcW w:w="0" w:type="auto"/>
          </w:tcPr>
          <w:p w14:paraId="54F630F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Kids (n=37)</w:t>
            </w:r>
          </w:p>
        </w:tc>
        <w:tc>
          <w:tcPr>
            <w:tcW w:w="0" w:type="auto"/>
          </w:tcPr>
          <w:p w14:paraId="03C061E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Buffalo Calves (n=48)</w:t>
            </w:r>
          </w:p>
        </w:tc>
        <w:tc>
          <w:tcPr>
            <w:tcW w:w="0" w:type="auto"/>
          </w:tcPr>
          <w:p w14:paraId="0679627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Total (n=123)</w:t>
            </w:r>
          </w:p>
        </w:tc>
      </w:tr>
      <w:tr w:rsidR="00292CAE" w:rsidRPr="00DF6970" w14:paraId="432F7A71" w14:textId="77777777" w:rsidTr="002F1403">
        <w:trPr>
          <w:cantSplit/>
          <w:tblCellSpacing w:w="0" w:type="dxa"/>
          <w:jc w:val="center"/>
        </w:trPr>
        <w:tc>
          <w:tcPr>
            <w:tcW w:w="0" w:type="auto"/>
          </w:tcPr>
          <w:p w14:paraId="305E81C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stx1</w:t>
            </w:r>
          </w:p>
        </w:tc>
        <w:tc>
          <w:tcPr>
            <w:tcW w:w="0" w:type="auto"/>
          </w:tcPr>
          <w:p w14:paraId="34A4897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21.05% (8)</w:t>
            </w:r>
          </w:p>
        </w:tc>
        <w:tc>
          <w:tcPr>
            <w:tcW w:w="0" w:type="auto"/>
          </w:tcPr>
          <w:p w14:paraId="273AE8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10.81% (4)</w:t>
            </w:r>
          </w:p>
        </w:tc>
        <w:tc>
          <w:tcPr>
            <w:tcW w:w="0" w:type="auto"/>
          </w:tcPr>
          <w:p w14:paraId="19EDFFA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14.58% (7)</w:t>
            </w:r>
          </w:p>
        </w:tc>
        <w:tc>
          <w:tcPr>
            <w:tcW w:w="0" w:type="auto"/>
          </w:tcPr>
          <w:p w14:paraId="5A74856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15.44% (19)</w:t>
            </w:r>
          </w:p>
        </w:tc>
      </w:tr>
      <w:tr w:rsidR="00292CAE" w:rsidRPr="00DF6970" w14:paraId="578586D3" w14:textId="77777777" w:rsidTr="002F1403">
        <w:trPr>
          <w:cantSplit/>
          <w:tblCellSpacing w:w="0" w:type="dxa"/>
          <w:jc w:val="center"/>
        </w:trPr>
        <w:tc>
          <w:tcPr>
            <w:tcW w:w="0" w:type="auto"/>
          </w:tcPr>
          <w:p w14:paraId="0F7924B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stx2</w:t>
            </w:r>
          </w:p>
        </w:tc>
        <w:tc>
          <w:tcPr>
            <w:tcW w:w="0" w:type="auto"/>
          </w:tcPr>
          <w:p w14:paraId="3581FD8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7.89% (3)</w:t>
            </w:r>
          </w:p>
        </w:tc>
        <w:tc>
          <w:tcPr>
            <w:tcW w:w="0" w:type="auto"/>
          </w:tcPr>
          <w:p w14:paraId="56E92D9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16.21% (6)</w:t>
            </w:r>
          </w:p>
        </w:tc>
        <w:tc>
          <w:tcPr>
            <w:tcW w:w="0" w:type="auto"/>
          </w:tcPr>
          <w:p w14:paraId="4A85EC9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4.16% (2)</w:t>
            </w:r>
          </w:p>
        </w:tc>
        <w:tc>
          <w:tcPr>
            <w:tcW w:w="0" w:type="auto"/>
          </w:tcPr>
          <w:p w14:paraId="0ED3342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8.94% (11)</w:t>
            </w:r>
          </w:p>
        </w:tc>
      </w:tr>
      <w:tr w:rsidR="00292CAE" w:rsidRPr="00DF6970" w14:paraId="3735BEDE" w14:textId="77777777" w:rsidTr="002F1403">
        <w:trPr>
          <w:cantSplit/>
          <w:tblCellSpacing w:w="0" w:type="dxa"/>
          <w:jc w:val="center"/>
        </w:trPr>
        <w:tc>
          <w:tcPr>
            <w:tcW w:w="0" w:type="auto"/>
          </w:tcPr>
          <w:p w14:paraId="38923CB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eaeA</w:t>
            </w:r>
          </w:p>
        </w:tc>
        <w:tc>
          <w:tcPr>
            <w:tcW w:w="0" w:type="auto"/>
          </w:tcPr>
          <w:p w14:paraId="5D313B0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18.42% (7)</w:t>
            </w:r>
          </w:p>
        </w:tc>
        <w:tc>
          <w:tcPr>
            <w:tcW w:w="0" w:type="auto"/>
          </w:tcPr>
          <w:p w14:paraId="44B2A55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13.51% (5)</w:t>
            </w:r>
          </w:p>
        </w:tc>
        <w:tc>
          <w:tcPr>
            <w:tcW w:w="0" w:type="auto"/>
          </w:tcPr>
          <w:p w14:paraId="147D78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20.83% (10)</w:t>
            </w:r>
          </w:p>
        </w:tc>
        <w:tc>
          <w:tcPr>
            <w:tcW w:w="0" w:type="auto"/>
          </w:tcPr>
          <w:p w14:paraId="2C7C4A2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17.88% (22)</w:t>
            </w:r>
          </w:p>
        </w:tc>
      </w:tr>
      <w:tr w:rsidR="00292CAE" w:rsidRPr="00DF6970" w14:paraId="17B774CB" w14:textId="77777777" w:rsidTr="002F1403">
        <w:trPr>
          <w:cantSplit/>
          <w:tblCellSpacing w:w="0" w:type="dxa"/>
          <w:jc w:val="center"/>
        </w:trPr>
        <w:tc>
          <w:tcPr>
            <w:tcW w:w="0" w:type="auto"/>
          </w:tcPr>
          <w:p w14:paraId="23E8186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hlyA</w:t>
            </w:r>
          </w:p>
        </w:tc>
        <w:tc>
          <w:tcPr>
            <w:tcW w:w="0" w:type="auto"/>
          </w:tcPr>
          <w:p w14:paraId="19FDD5E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31.57% (12)</w:t>
            </w:r>
          </w:p>
        </w:tc>
        <w:tc>
          <w:tcPr>
            <w:tcW w:w="0" w:type="auto"/>
          </w:tcPr>
          <w:p w14:paraId="3A03E39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24.32% (9)</w:t>
            </w:r>
          </w:p>
        </w:tc>
        <w:tc>
          <w:tcPr>
            <w:tcW w:w="0" w:type="auto"/>
          </w:tcPr>
          <w:p w14:paraId="4240296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29.16% (14)</w:t>
            </w:r>
          </w:p>
        </w:tc>
        <w:tc>
          <w:tcPr>
            <w:tcW w:w="0" w:type="auto"/>
          </w:tcPr>
          <w:p w14:paraId="3280F15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28.45% (35)</w:t>
            </w:r>
          </w:p>
        </w:tc>
      </w:tr>
    </w:tbl>
    <w:p w14:paraId="74084F95" w14:textId="77777777" w:rsidR="00292CAE" w:rsidRPr="00DF6970" w:rsidRDefault="00292CAE" w:rsidP="00DF6970">
      <w:pPr>
        <w:jc w:val="both"/>
        <w:rPr>
          <w:rFonts w:ascii="Times New Roman" w:hAnsi="Times New Roman" w:cs="Times New Roman"/>
          <w:sz w:val="24"/>
          <w:szCs w:val="24"/>
        </w:rPr>
      </w:pPr>
    </w:p>
    <w:p w14:paraId="7DE1FE09" w14:textId="77777777" w:rsidR="00292CAE" w:rsidRDefault="000F7883" w:rsidP="00DF6970">
      <w:pPr>
        <w:spacing w:before="240" w:line="271" w:lineRule="auto"/>
        <w:jc w:val="both"/>
        <w:rPr>
          <w:rFonts w:ascii="Times New Roman" w:hAnsi="Times New Roman" w:cs="Times New Roman"/>
          <w:b/>
          <w:sz w:val="24"/>
          <w:szCs w:val="24"/>
        </w:rPr>
      </w:pPr>
      <w:bookmarkStart w:id="13" w:name="bm_3_3_gene_combination_profiles"/>
      <w:r w:rsidRPr="00DF6970">
        <w:rPr>
          <w:rFonts w:ascii="Times New Roman" w:hAnsi="Times New Roman" w:cs="Times New Roman"/>
          <w:b/>
          <w:sz w:val="24"/>
          <w:szCs w:val="24"/>
        </w:rPr>
        <w:t>3.3 Gene Combination Profiles</w:t>
      </w:r>
      <w:bookmarkEnd w:id="13"/>
    </w:p>
    <w:p w14:paraId="61DBA9A9" w14:textId="77777777" w:rsidR="008327F2" w:rsidRDefault="008327F2" w:rsidP="00D23578">
      <w:pPr>
        <w:pStyle w:val="NormalWeb"/>
        <w:jc w:val="both"/>
      </w:pPr>
      <w:r>
        <w:t xml:space="preserve">Evaluation of gene combinations demonstrated the presence of multiple </w:t>
      </w:r>
      <w:r>
        <w:rPr>
          <w:rStyle w:val="Emphasis"/>
        </w:rPr>
        <w:t>E. coli</w:t>
      </w:r>
      <w:r>
        <w:t xml:space="preserve"> pathotypes. The most frequently identified pattern was the </w:t>
      </w:r>
      <w:r>
        <w:rPr>
          <w:rStyle w:val="Strong"/>
        </w:rPr>
        <w:t>stx1/eaeA/hlyA</w:t>
      </w:r>
      <w:r>
        <w:t xml:space="preserve"> triple combination, characteristic of enterohemorrhagic </w:t>
      </w:r>
      <w:r>
        <w:rPr>
          <w:rStyle w:val="Emphasis"/>
        </w:rPr>
        <w:t>E. coli</w:t>
      </w:r>
      <w:r>
        <w:t xml:space="preserve"> (EHEC), detected in </w:t>
      </w:r>
      <w:r>
        <w:rPr>
          <w:rStyle w:val="Strong"/>
        </w:rPr>
        <w:t>13.00% (16/123)</w:t>
      </w:r>
      <w:r>
        <w:t xml:space="preserve"> of isolates. This combination appeared across all species at comparable proportions—lambs </w:t>
      </w:r>
      <w:r>
        <w:lastRenderedPageBreak/>
        <w:t>(13.15%), kids (10.81%), and buffalo calves (14.58%)—indicating widespread dissemination of highly pathogenic strains.</w:t>
      </w:r>
    </w:p>
    <w:p w14:paraId="4308A51E" w14:textId="77777777" w:rsidR="008327F2" w:rsidRDefault="008327F2" w:rsidP="00D23578">
      <w:pPr>
        <w:pStyle w:val="NormalWeb"/>
        <w:jc w:val="both"/>
      </w:pPr>
      <w:r>
        <w:t xml:space="preserve">Other notable combinations included </w:t>
      </w:r>
      <w:r>
        <w:rPr>
          <w:rStyle w:val="Strong"/>
        </w:rPr>
        <w:t>eaeA/hlyA (4.87%)</w:t>
      </w:r>
      <w:r>
        <w:t xml:space="preserve">, </w:t>
      </w:r>
      <w:r>
        <w:rPr>
          <w:rStyle w:val="Strong"/>
        </w:rPr>
        <w:t>stx2/hlyA (3.25%)</w:t>
      </w:r>
      <w:r>
        <w:t xml:space="preserve">, and </w:t>
      </w:r>
      <w:r>
        <w:rPr>
          <w:rStyle w:val="Strong"/>
        </w:rPr>
        <w:t>stx1/hlyA (2.43%)</w:t>
      </w:r>
      <w:r>
        <w:t>. Importantly, a substantial proportion of isolates (</w:t>
      </w:r>
      <w:r>
        <w:rPr>
          <w:rStyle w:val="Strong"/>
        </w:rPr>
        <w:t>65.85%, 81/123</w:t>
      </w:r>
      <w:r>
        <w:t xml:space="preserve">) lacked the targeted virulence genes. These isolates are likely to belong to enterotoxigenic (ETEC) or other non-STEC diarrheagenic groups, emphasizing the diversity of diarrheagenic </w:t>
      </w:r>
      <w:r>
        <w:rPr>
          <w:rStyle w:val="Emphasis"/>
        </w:rPr>
        <w:t>E. coli</w:t>
      </w:r>
      <w:r>
        <w:t xml:space="preserve"> in livestock.</w:t>
      </w:r>
    </w:p>
    <w:p w14:paraId="3DB338E1" w14:textId="77777777" w:rsidR="008327F2" w:rsidRDefault="008327F2" w:rsidP="00D23578">
      <w:pPr>
        <w:pStyle w:val="NormalWeb"/>
        <w:jc w:val="both"/>
      </w:pPr>
      <w:r>
        <w:t xml:space="preserve">Overall, </w:t>
      </w:r>
      <w:r>
        <w:rPr>
          <w:rStyle w:val="Strong"/>
        </w:rPr>
        <w:t>34.14% (42/123)</w:t>
      </w:r>
      <w:r>
        <w:t xml:space="preserve"> of all isolates were classified as virulent based on gene carriage. Species-wise virulence proportions were comparable across lambs (36.84%), kids (32.43%), and buffalo calves (33.33%).</w:t>
      </w:r>
    </w:p>
    <w:p w14:paraId="1F99E66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Table 3: Virulence Gene Combination Profiles</w:t>
      </w:r>
    </w:p>
    <w:tbl>
      <w:tblPr>
        <w:tblStyle w:val="NormalGrid"/>
        <w:tblW w:w="0" w:type="auto"/>
        <w:jc w:val="center"/>
        <w:tblCellSpacing w:w="0"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234"/>
        <w:gridCol w:w="1506"/>
        <w:gridCol w:w="1419"/>
        <w:gridCol w:w="2038"/>
        <w:gridCol w:w="1487"/>
      </w:tblGrid>
      <w:tr w:rsidR="00292CAE" w:rsidRPr="00DF6970" w14:paraId="6B6BE169" w14:textId="77777777" w:rsidTr="002F1403">
        <w:trPr>
          <w:cantSplit/>
          <w:tblCellSpacing w:w="0" w:type="dxa"/>
          <w:jc w:val="center"/>
        </w:trPr>
        <w:tc>
          <w:tcPr>
            <w:tcW w:w="0" w:type="auto"/>
          </w:tcPr>
          <w:p w14:paraId="6E29E9D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Gene Profile</w:t>
            </w:r>
          </w:p>
        </w:tc>
        <w:tc>
          <w:tcPr>
            <w:tcW w:w="0" w:type="auto"/>
          </w:tcPr>
          <w:p w14:paraId="58FDD6A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Lambs (n=38)</w:t>
            </w:r>
          </w:p>
        </w:tc>
        <w:tc>
          <w:tcPr>
            <w:tcW w:w="0" w:type="auto"/>
          </w:tcPr>
          <w:p w14:paraId="1D21430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Kids (n=37)</w:t>
            </w:r>
          </w:p>
        </w:tc>
        <w:tc>
          <w:tcPr>
            <w:tcW w:w="0" w:type="auto"/>
          </w:tcPr>
          <w:p w14:paraId="201616E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Buffalo Calves (n=48)</w:t>
            </w:r>
          </w:p>
        </w:tc>
        <w:tc>
          <w:tcPr>
            <w:tcW w:w="0" w:type="auto"/>
          </w:tcPr>
          <w:p w14:paraId="0A7952D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Total (n=123)</w:t>
            </w:r>
          </w:p>
        </w:tc>
      </w:tr>
      <w:tr w:rsidR="00292CAE" w:rsidRPr="00DF6970" w14:paraId="0855C587" w14:textId="77777777" w:rsidTr="002F1403">
        <w:trPr>
          <w:cantSplit/>
          <w:tblCellSpacing w:w="0" w:type="dxa"/>
          <w:jc w:val="center"/>
        </w:trPr>
        <w:tc>
          <w:tcPr>
            <w:tcW w:w="0" w:type="auto"/>
          </w:tcPr>
          <w:p w14:paraId="24B37B2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stx1+/eaeA+/hlyA+</w:t>
            </w:r>
          </w:p>
        </w:tc>
        <w:tc>
          <w:tcPr>
            <w:tcW w:w="0" w:type="auto"/>
          </w:tcPr>
          <w:p w14:paraId="148819F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13.15% (5)</w:t>
            </w:r>
          </w:p>
        </w:tc>
        <w:tc>
          <w:tcPr>
            <w:tcW w:w="0" w:type="auto"/>
          </w:tcPr>
          <w:p w14:paraId="4459560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10.81% (4)</w:t>
            </w:r>
          </w:p>
        </w:tc>
        <w:tc>
          <w:tcPr>
            <w:tcW w:w="0" w:type="auto"/>
          </w:tcPr>
          <w:p w14:paraId="3245111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14.58% (7)</w:t>
            </w:r>
          </w:p>
        </w:tc>
        <w:tc>
          <w:tcPr>
            <w:tcW w:w="0" w:type="auto"/>
          </w:tcPr>
          <w:p w14:paraId="1EADB06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13.00% (16)</w:t>
            </w:r>
          </w:p>
        </w:tc>
      </w:tr>
      <w:tr w:rsidR="00292CAE" w:rsidRPr="00DF6970" w14:paraId="19B540B5" w14:textId="77777777" w:rsidTr="002F1403">
        <w:trPr>
          <w:cantSplit/>
          <w:tblCellSpacing w:w="0" w:type="dxa"/>
          <w:jc w:val="center"/>
        </w:trPr>
        <w:tc>
          <w:tcPr>
            <w:tcW w:w="0" w:type="auto"/>
          </w:tcPr>
          <w:p w14:paraId="5D87788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eaeA+/hlyA+</w:t>
            </w:r>
          </w:p>
        </w:tc>
        <w:tc>
          <w:tcPr>
            <w:tcW w:w="0" w:type="auto"/>
          </w:tcPr>
          <w:p w14:paraId="31288F0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5.26% (2)</w:t>
            </w:r>
          </w:p>
        </w:tc>
        <w:tc>
          <w:tcPr>
            <w:tcW w:w="0" w:type="auto"/>
          </w:tcPr>
          <w:p w14:paraId="7C03657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2.70% (1)</w:t>
            </w:r>
          </w:p>
        </w:tc>
        <w:tc>
          <w:tcPr>
            <w:tcW w:w="0" w:type="auto"/>
          </w:tcPr>
          <w:p w14:paraId="29587E5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6.25% (3)</w:t>
            </w:r>
          </w:p>
        </w:tc>
        <w:tc>
          <w:tcPr>
            <w:tcW w:w="0" w:type="auto"/>
          </w:tcPr>
          <w:p w14:paraId="42F3B00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4.87% (6)</w:t>
            </w:r>
          </w:p>
        </w:tc>
      </w:tr>
      <w:tr w:rsidR="00292CAE" w:rsidRPr="00DF6970" w14:paraId="519AB2FD" w14:textId="77777777" w:rsidTr="002F1403">
        <w:trPr>
          <w:cantSplit/>
          <w:tblCellSpacing w:w="0" w:type="dxa"/>
          <w:jc w:val="center"/>
        </w:trPr>
        <w:tc>
          <w:tcPr>
            <w:tcW w:w="0" w:type="auto"/>
          </w:tcPr>
          <w:p w14:paraId="598027C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stx1+/hlyA+</w:t>
            </w:r>
          </w:p>
        </w:tc>
        <w:tc>
          <w:tcPr>
            <w:tcW w:w="0" w:type="auto"/>
          </w:tcPr>
          <w:p w14:paraId="24822CA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7.89% (3)</w:t>
            </w:r>
          </w:p>
        </w:tc>
        <w:tc>
          <w:tcPr>
            <w:tcW w:w="0" w:type="auto"/>
          </w:tcPr>
          <w:p w14:paraId="30F88B3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 (0)</w:t>
            </w:r>
          </w:p>
        </w:tc>
        <w:tc>
          <w:tcPr>
            <w:tcW w:w="0" w:type="auto"/>
          </w:tcPr>
          <w:p w14:paraId="4A028B4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 (0)</w:t>
            </w:r>
          </w:p>
        </w:tc>
        <w:tc>
          <w:tcPr>
            <w:tcW w:w="0" w:type="auto"/>
          </w:tcPr>
          <w:p w14:paraId="5EA741F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2.43% (3)</w:t>
            </w:r>
          </w:p>
        </w:tc>
      </w:tr>
      <w:tr w:rsidR="00292CAE" w:rsidRPr="00DF6970" w14:paraId="3562D4CF" w14:textId="77777777" w:rsidTr="002F1403">
        <w:trPr>
          <w:cantSplit/>
          <w:tblCellSpacing w:w="0" w:type="dxa"/>
          <w:jc w:val="center"/>
        </w:trPr>
        <w:tc>
          <w:tcPr>
            <w:tcW w:w="0" w:type="auto"/>
          </w:tcPr>
          <w:p w14:paraId="36D183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stx2+/hlyA+</w:t>
            </w:r>
          </w:p>
        </w:tc>
        <w:tc>
          <w:tcPr>
            <w:tcW w:w="0" w:type="auto"/>
          </w:tcPr>
          <w:p w14:paraId="1EA80B2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2.63% (1)</w:t>
            </w:r>
          </w:p>
        </w:tc>
        <w:tc>
          <w:tcPr>
            <w:tcW w:w="0" w:type="auto"/>
          </w:tcPr>
          <w:p w14:paraId="2FC1992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8.10% (3)</w:t>
            </w:r>
          </w:p>
        </w:tc>
        <w:tc>
          <w:tcPr>
            <w:tcW w:w="0" w:type="auto"/>
          </w:tcPr>
          <w:p w14:paraId="311C9AC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 (0)</w:t>
            </w:r>
          </w:p>
        </w:tc>
        <w:tc>
          <w:tcPr>
            <w:tcW w:w="0" w:type="auto"/>
          </w:tcPr>
          <w:p w14:paraId="316972B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3.25% (4)</w:t>
            </w:r>
          </w:p>
        </w:tc>
      </w:tr>
      <w:tr w:rsidR="00292CAE" w:rsidRPr="00DF6970" w14:paraId="28D22B38" w14:textId="77777777" w:rsidTr="002F1403">
        <w:trPr>
          <w:cantSplit/>
          <w:tblCellSpacing w:w="0" w:type="dxa"/>
          <w:jc w:val="center"/>
        </w:trPr>
        <w:tc>
          <w:tcPr>
            <w:tcW w:w="0" w:type="auto"/>
          </w:tcPr>
          <w:p w14:paraId="2B8AEC7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hlyA+ only</w:t>
            </w:r>
          </w:p>
        </w:tc>
        <w:tc>
          <w:tcPr>
            <w:tcW w:w="0" w:type="auto"/>
          </w:tcPr>
          <w:p w14:paraId="0B9EF80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2.63% (1)</w:t>
            </w:r>
          </w:p>
        </w:tc>
        <w:tc>
          <w:tcPr>
            <w:tcW w:w="0" w:type="auto"/>
          </w:tcPr>
          <w:p w14:paraId="6C9D4FF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2.70% (1)</w:t>
            </w:r>
          </w:p>
        </w:tc>
        <w:tc>
          <w:tcPr>
            <w:tcW w:w="0" w:type="auto"/>
          </w:tcPr>
          <w:p w14:paraId="6A10F45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8.33% (4)</w:t>
            </w:r>
          </w:p>
        </w:tc>
        <w:tc>
          <w:tcPr>
            <w:tcW w:w="0" w:type="auto"/>
          </w:tcPr>
          <w:p w14:paraId="277AB08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4.87% (6)</w:t>
            </w:r>
          </w:p>
        </w:tc>
      </w:tr>
      <w:tr w:rsidR="00292CAE" w:rsidRPr="00DF6970" w14:paraId="0F57A19F" w14:textId="77777777" w:rsidTr="002F1403">
        <w:trPr>
          <w:cantSplit/>
          <w:tblCellSpacing w:w="0" w:type="dxa"/>
          <w:jc w:val="center"/>
        </w:trPr>
        <w:tc>
          <w:tcPr>
            <w:tcW w:w="0" w:type="auto"/>
          </w:tcPr>
          <w:p w14:paraId="21D0BB7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stx2+ only</w:t>
            </w:r>
          </w:p>
        </w:tc>
        <w:tc>
          <w:tcPr>
            <w:tcW w:w="0" w:type="auto"/>
          </w:tcPr>
          <w:p w14:paraId="5FB49FF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5.26% (2)</w:t>
            </w:r>
          </w:p>
        </w:tc>
        <w:tc>
          <w:tcPr>
            <w:tcW w:w="0" w:type="auto"/>
          </w:tcPr>
          <w:p w14:paraId="2F68C6F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8.10% (3)</w:t>
            </w:r>
          </w:p>
        </w:tc>
        <w:tc>
          <w:tcPr>
            <w:tcW w:w="0" w:type="auto"/>
          </w:tcPr>
          <w:p w14:paraId="61A64A4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4.16% (2)</w:t>
            </w:r>
          </w:p>
        </w:tc>
        <w:tc>
          <w:tcPr>
            <w:tcW w:w="0" w:type="auto"/>
          </w:tcPr>
          <w:p w14:paraId="437C370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5.69% (7)</w:t>
            </w:r>
          </w:p>
        </w:tc>
      </w:tr>
      <w:tr w:rsidR="00292CAE" w:rsidRPr="00DF6970" w14:paraId="1C76E760" w14:textId="77777777" w:rsidTr="002F1403">
        <w:trPr>
          <w:cantSplit/>
          <w:tblCellSpacing w:w="0" w:type="dxa"/>
          <w:jc w:val="center"/>
        </w:trPr>
        <w:tc>
          <w:tcPr>
            <w:tcW w:w="0" w:type="auto"/>
          </w:tcPr>
          <w:p w14:paraId="2FE00C5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Total Virulent</w:t>
            </w:r>
          </w:p>
        </w:tc>
        <w:tc>
          <w:tcPr>
            <w:tcW w:w="0" w:type="auto"/>
          </w:tcPr>
          <w:p w14:paraId="4145DBD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36.84% (14)</w:t>
            </w:r>
          </w:p>
        </w:tc>
        <w:tc>
          <w:tcPr>
            <w:tcW w:w="0" w:type="auto"/>
          </w:tcPr>
          <w:p w14:paraId="301095F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32.43% (12)</w:t>
            </w:r>
          </w:p>
        </w:tc>
        <w:tc>
          <w:tcPr>
            <w:tcW w:w="0" w:type="auto"/>
          </w:tcPr>
          <w:p w14:paraId="0755CEB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33.33% (16)</w:t>
            </w:r>
          </w:p>
        </w:tc>
        <w:tc>
          <w:tcPr>
            <w:tcW w:w="0" w:type="auto"/>
          </w:tcPr>
          <w:p w14:paraId="01E72B5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34.14% (42)</w:t>
            </w:r>
          </w:p>
        </w:tc>
      </w:tr>
      <w:tr w:rsidR="00292CAE" w:rsidRPr="00DF6970" w14:paraId="483A8F7F" w14:textId="77777777" w:rsidTr="002F1403">
        <w:trPr>
          <w:cantSplit/>
          <w:tblCellSpacing w:w="0" w:type="dxa"/>
          <w:jc w:val="center"/>
        </w:trPr>
        <w:tc>
          <w:tcPr>
            <w:tcW w:w="0" w:type="auto"/>
          </w:tcPr>
          <w:p w14:paraId="189712E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Non-Virulent</w:t>
            </w:r>
          </w:p>
        </w:tc>
        <w:tc>
          <w:tcPr>
            <w:tcW w:w="0" w:type="auto"/>
          </w:tcPr>
          <w:p w14:paraId="76BC641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63.15% (24)</w:t>
            </w:r>
          </w:p>
        </w:tc>
        <w:tc>
          <w:tcPr>
            <w:tcW w:w="0" w:type="auto"/>
          </w:tcPr>
          <w:p w14:paraId="3459514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67.56% (25)</w:t>
            </w:r>
          </w:p>
        </w:tc>
        <w:tc>
          <w:tcPr>
            <w:tcW w:w="0" w:type="auto"/>
          </w:tcPr>
          <w:p w14:paraId="618EDE6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66.66% (32)</w:t>
            </w:r>
          </w:p>
        </w:tc>
        <w:tc>
          <w:tcPr>
            <w:tcW w:w="0" w:type="auto"/>
          </w:tcPr>
          <w:p w14:paraId="40F6698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65.85% (81)</w:t>
            </w:r>
          </w:p>
        </w:tc>
      </w:tr>
    </w:tbl>
    <w:p w14:paraId="099FCADD" w14:textId="77777777" w:rsidR="00292CAE" w:rsidRPr="00DF6970" w:rsidRDefault="00292CAE" w:rsidP="00DF6970">
      <w:pPr>
        <w:jc w:val="both"/>
        <w:rPr>
          <w:rFonts w:ascii="Times New Roman" w:hAnsi="Times New Roman" w:cs="Times New Roman"/>
          <w:sz w:val="24"/>
          <w:szCs w:val="24"/>
        </w:rPr>
      </w:pPr>
    </w:p>
    <w:p w14:paraId="52363DF3" w14:textId="77777777" w:rsidR="00292CAE" w:rsidRPr="00DF6970" w:rsidRDefault="000F7883" w:rsidP="00DF6970">
      <w:pPr>
        <w:spacing w:before="240" w:line="271" w:lineRule="auto"/>
        <w:jc w:val="both"/>
        <w:rPr>
          <w:rFonts w:ascii="Times New Roman" w:hAnsi="Times New Roman" w:cs="Times New Roman"/>
          <w:sz w:val="24"/>
          <w:szCs w:val="24"/>
        </w:rPr>
      </w:pPr>
      <w:bookmarkStart w:id="14" w:name="bm_3_4_antimicrobial_resistance_profile"/>
      <w:r w:rsidRPr="00DF6970">
        <w:rPr>
          <w:rFonts w:ascii="Times New Roman" w:hAnsi="Times New Roman" w:cs="Times New Roman"/>
          <w:b/>
          <w:sz w:val="24"/>
          <w:szCs w:val="24"/>
        </w:rPr>
        <w:t>3.4 Antimicrobial Resistance Profile</w:t>
      </w:r>
      <w:bookmarkEnd w:id="14"/>
    </w:p>
    <w:p w14:paraId="05F37FED" w14:textId="77777777" w:rsidR="00D23578" w:rsidRDefault="00D23578" w:rsidP="00D23578">
      <w:pPr>
        <w:pStyle w:val="NormalWeb"/>
        <w:jc w:val="both"/>
      </w:pPr>
      <w:r>
        <w:t xml:space="preserve">The antimicrobial susceptibility patterns of the 42 virulence-positive isolates revealed extensive resistance against multiple classes of antibiotics. Complete resistance (100%) was observed for </w:t>
      </w:r>
      <w:r>
        <w:rPr>
          <w:rStyle w:val="Strong"/>
        </w:rPr>
        <w:t>Enrofloxacin, Cefoxitin, and Ampicillin</w:t>
      </w:r>
      <w:r>
        <w:t xml:space="preserve">, indicating critical loss of efficacy of commonly used therapeutic agents. High levels of resistance were also detected toward </w:t>
      </w:r>
      <w:r>
        <w:rPr>
          <w:rStyle w:val="Strong"/>
        </w:rPr>
        <w:t>Cefpodoxime (90.24%)</w:t>
      </w:r>
      <w:r>
        <w:t xml:space="preserve">, </w:t>
      </w:r>
      <w:r>
        <w:rPr>
          <w:rStyle w:val="Strong"/>
        </w:rPr>
        <w:t>Erythromycin (90.24%)</w:t>
      </w:r>
      <w:r>
        <w:t xml:space="preserve">, </w:t>
      </w:r>
      <w:r>
        <w:rPr>
          <w:rStyle w:val="Strong"/>
        </w:rPr>
        <w:t>Nalidixic Acid (70.73%)</w:t>
      </w:r>
      <w:r>
        <w:t xml:space="preserve">, and </w:t>
      </w:r>
      <w:r>
        <w:rPr>
          <w:rStyle w:val="Strong"/>
        </w:rPr>
        <w:t>Tetracycline (70.73%)</w:t>
      </w:r>
      <w:r>
        <w:t>.</w:t>
      </w:r>
    </w:p>
    <w:p w14:paraId="697F691B" w14:textId="77777777" w:rsidR="00D23578" w:rsidRDefault="00D23578" w:rsidP="00D23578">
      <w:pPr>
        <w:pStyle w:val="NormalWeb"/>
        <w:jc w:val="both"/>
      </w:pPr>
      <w:r>
        <w:t xml:space="preserve">In contrast, </w:t>
      </w:r>
      <w:r>
        <w:rPr>
          <w:rStyle w:val="Strong"/>
        </w:rPr>
        <w:t>Imipenem</w:t>
      </w:r>
      <w:r>
        <w:t xml:space="preserve"> and </w:t>
      </w:r>
      <w:r>
        <w:rPr>
          <w:rStyle w:val="Strong"/>
        </w:rPr>
        <w:t>Aztreonam</w:t>
      </w:r>
      <w:r>
        <w:t xml:space="preserve"> exhibited </w:t>
      </w:r>
      <w:r>
        <w:rPr>
          <w:rStyle w:val="Strong"/>
        </w:rPr>
        <w:t>100% sensitivity</w:t>
      </w:r>
      <w:r>
        <w:t xml:space="preserve">, indicating their retained effectiveness against virulent isolates. </w:t>
      </w:r>
      <w:r>
        <w:rPr>
          <w:rStyle w:val="Strong"/>
        </w:rPr>
        <w:t>Amoxyclav (85.71% sensitivity)</w:t>
      </w:r>
      <w:r>
        <w:t xml:space="preserve">, </w:t>
      </w:r>
      <w:r>
        <w:rPr>
          <w:rStyle w:val="Strong"/>
        </w:rPr>
        <w:lastRenderedPageBreak/>
        <w:t>Chloramphenicol (80.95% sensitivity)</w:t>
      </w:r>
      <w:r>
        <w:t xml:space="preserve">, and </w:t>
      </w:r>
      <w:r>
        <w:rPr>
          <w:rStyle w:val="Strong"/>
        </w:rPr>
        <w:t>Amikacin (63.41% sensitivity)</w:t>
      </w:r>
      <w:r>
        <w:t xml:space="preserve"> also demonstrated relatively good activity, whereas Gentamicin and Cefotaxime showed high intermediate response levels, suggesting emerging resistance.</w:t>
      </w:r>
    </w:p>
    <w:p w14:paraId="57F031FC" w14:textId="77777777" w:rsidR="00D23578" w:rsidRDefault="00D23578" w:rsidP="00D23578">
      <w:pPr>
        <w:pStyle w:val="NormalWeb"/>
        <w:jc w:val="both"/>
      </w:pPr>
      <w:r>
        <w:t xml:space="preserve">Multidrug resistance (MDR), defined as resistance to at least three antimicrobial classes, was identified in </w:t>
      </w:r>
      <w:r>
        <w:rPr>
          <w:rStyle w:val="Strong"/>
        </w:rPr>
        <w:t>71.43% (30/42)</w:t>
      </w:r>
      <w:r>
        <w:t xml:space="preserve"> of virulent isolates. This high MDR rate highlights a significant therapeutic challenge and signals potential misuse or overuse of antimicrobials in the studied populations</w:t>
      </w:r>
    </w:p>
    <w:p w14:paraId="34BA701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 xml:space="preserve">Table 4: Antimicrobial Susceptibility Profile of 42 Virulent </w:t>
      </w:r>
      <w:r w:rsidRPr="00DF6970">
        <w:rPr>
          <w:rFonts w:ascii="Times New Roman" w:hAnsi="Times New Roman" w:cs="Times New Roman"/>
          <w:b/>
          <w:i/>
          <w:sz w:val="24"/>
          <w:szCs w:val="24"/>
        </w:rPr>
        <w:t>E. coli Isolates</w:t>
      </w:r>
    </w:p>
    <w:tbl>
      <w:tblPr>
        <w:tblStyle w:val="NormalGrid"/>
        <w:tblW w:w="0" w:type="auto"/>
        <w:jc w:val="center"/>
        <w:tblCellSpacing w:w="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ook w:val="04A0" w:firstRow="1" w:lastRow="0" w:firstColumn="1" w:lastColumn="0" w:noHBand="0" w:noVBand="1"/>
      </w:tblPr>
      <w:tblGrid>
        <w:gridCol w:w="2117"/>
        <w:gridCol w:w="1817"/>
        <w:gridCol w:w="2150"/>
        <w:gridCol w:w="1817"/>
      </w:tblGrid>
      <w:tr w:rsidR="00292CAE" w:rsidRPr="00DF6970" w14:paraId="72FD6D6F" w14:textId="77777777" w:rsidTr="002F1403">
        <w:trPr>
          <w:cantSplit/>
          <w:tblCellSpacing w:w="0" w:type="dxa"/>
          <w:jc w:val="center"/>
        </w:trPr>
        <w:tc>
          <w:tcPr>
            <w:tcW w:w="0" w:type="auto"/>
          </w:tcPr>
          <w:p w14:paraId="6F6A9FC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Antibiotic</w:t>
            </w:r>
          </w:p>
        </w:tc>
        <w:tc>
          <w:tcPr>
            <w:tcW w:w="0" w:type="auto"/>
          </w:tcPr>
          <w:p w14:paraId="68819B4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Sensitive (n/%)</w:t>
            </w:r>
          </w:p>
        </w:tc>
        <w:tc>
          <w:tcPr>
            <w:tcW w:w="0" w:type="auto"/>
          </w:tcPr>
          <w:p w14:paraId="4F2F770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Intermediate (n/%)</w:t>
            </w:r>
          </w:p>
        </w:tc>
        <w:tc>
          <w:tcPr>
            <w:tcW w:w="0" w:type="auto"/>
          </w:tcPr>
          <w:p w14:paraId="6AF5CE6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Resistant (n/%)</w:t>
            </w:r>
          </w:p>
        </w:tc>
      </w:tr>
      <w:tr w:rsidR="00292CAE" w:rsidRPr="00DF6970" w14:paraId="465E914B" w14:textId="77777777" w:rsidTr="002F1403">
        <w:trPr>
          <w:cantSplit/>
          <w:tblCellSpacing w:w="0" w:type="dxa"/>
          <w:jc w:val="center"/>
        </w:trPr>
        <w:tc>
          <w:tcPr>
            <w:tcW w:w="0" w:type="auto"/>
          </w:tcPr>
          <w:p w14:paraId="7F5C37E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Imipenem</w:t>
            </w:r>
          </w:p>
        </w:tc>
        <w:tc>
          <w:tcPr>
            <w:tcW w:w="0" w:type="auto"/>
          </w:tcPr>
          <w:p w14:paraId="0FDA820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c>
          <w:tcPr>
            <w:tcW w:w="0" w:type="auto"/>
          </w:tcPr>
          <w:p w14:paraId="4CB9FA1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5BB1D4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r>
      <w:tr w:rsidR="00292CAE" w:rsidRPr="00DF6970" w14:paraId="0EC2C980" w14:textId="77777777" w:rsidTr="002F1403">
        <w:trPr>
          <w:cantSplit/>
          <w:tblCellSpacing w:w="0" w:type="dxa"/>
          <w:jc w:val="center"/>
        </w:trPr>
        <w:tc>
          <w:tcPr>
            <w:tcW w:w="0" w:type="auto"/>
          </w:tcPr>
          <w:p w14:paraId="34F8D10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Aztreonam</w:t>
            </w:r>
          </w:p>
        </w:tc>
        <w:tc>
          <w:tcPr>
            <w:tcW w:w="0" w:type="auto"/>
          </w:tcPr>
          <w:p w14:paraId="48789B4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c>
          <w:tcPr>
            <w:tcW w:w="0" w:type="auto"/>
          </w:tcPr>
          <w:p w14:paraId="55EA4F3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8EE731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r>
      <w:tr w:rsidR="00292CAE" w:rsidRPr="00DF6970" w14:paraId="5EFE51AA" w14:textId="77777777" w:rsidTr="002F1403">
        <w:trPr>
          <w:cantSplit/>
          <w:tblCellSpacing w:w="0" w:type="dxa"/>
          <w:jc w:val="center"/>
        </w:trPr>
        <w:tc>
          <w:tcPr>
            <w:tcW w:w="0" w:type="auto"/>
          </w:tcPr>
          <w:p w14:paraId="61B8DC2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Amoxyclav</w:t>
            </w:r>
          </w:p>
        </w:tc>
        <w:tc>
          <w:tcPr>
            <w:tcW w:w="0" w:type="auto"/>
          </w:tcPr>
          <w:p w14:paraId="0BE3E91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36/85.71%</w:t>
            </w:r>
          </w:p>
        </w:tc>
        <w:tc>
          <w:tcPr>
            <w:tcW w:w="0" w:type="auto"/>
          </w:tcPr>
          <w:p w14:paraId="4172E8E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1/2.38%</w:t>
            </w:r>
          </w:p>
        </w:tc>
        <w:tc>
          <w:tcPr>
            <w:tcW w:w="0" w:type="auto"/>
          </w:tcPr>
          <w:p w14:paraId="705DF14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5/11.90%</w:t>
            </w:r>
          </w:p>
        </w:tc>
      </w:tr>
      <w:tr w:rsidR="00292CAE" w:rsidRPr="00DF6970" w14:paraId="5BCA3F86" w14:textId="77777777" w:rsidTr="002F1403">
        <w:trPr>
          <w:cantSplit/>
          <w:tblCellSpacing w:w="0" w:type="dxa"/>
          <w:jc w:val="center"/>
        </w:trPr>
        <w:tc>
          <w:tcPr>
            <w:tcW w:w="0" w:type="auto"/>
          </w:tcPr>
          <w:p w14:paraId="5D8FBFF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Chloramphenicol</w:t>
            </w:r>
          </w:p>
        </w:tc>
        <w:tc>
          <w:tcPr>
            <w:tcW w:w="0" w:type="auto"/>
          </w:tcPr>
          <w:p w14:paraId="6EC580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34/80.95%</w:t>
            </w:r>
          </w:p>
        </w:tc>
        <w:tc>
          <w:tcPr>
            <w:tcW w:w="0" w:type="auto"/>
          </w:tcPr>
          <w:p w14:paraId="29D76AE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1/2.38%</w:t>
            </w:r>
          </w:p>
        </w:tc>
        <w:tc>
          <w:tcPr>
            <w:tcW w:w="0" w:type="auto"/>
          </w:tcPr>
          <w:p w14:paraId="482C050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7/16.67%</w:t>
            </w:r>
          </w:p>
        </w:tc>
      </w:tr>
      <w:tr w:rsidR="00292CAE" w:rsidRPr="00DF6970" w14:paraId="3AC06784" w14:textId="77777777" w:rsidTr="002F1403">
        <w:trPr>
          <w:cantSplit/>
          <w:tblCellSpacing w:w="0" w:type="dxa"/>
          <w:jc w:val="center"/>
        </w:trPr>
        <w:tc>
          <w:tcPr>
            <w:tcW w:w="0" w:type="auto"/>
          </w:tcPr>
          <w:p w14:paraId="78F3F1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Gentamicin</w:t>
            </w:r>
          </w:p>
        </w:tc>
        <w:tc>
          <w:tcPr>
            <w:tcW w:w="0" w:type="auto"/>
          </w:tcPr>
          <w:p w14:paraId="417C762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22/52.38%</w:t>
            </w:r>
          </w:p>
        </w:tc>
        <w:tc>
          <w:tcPr>
            <w:tcW w:w="0" w:type="auto"/>
          </w:tcPr>
          <w:p w14:paraId="5ECDA11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11/26.19%</w:t>
            </w:r>
          </w:p>
        </w:tc>
        <w:tc>
          <w:tcPr>
            <w:tcW w:w="0" w:type="auto"/>
          </w:tcPr>
          <w:p w14:paraId="11A9D0E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9/21.43%</w:t>
            </w:r>
          </w:p>
        </w:tc>
      </w:tr>
      <w:tr w:rsidR="00292CAE" w:rsidRPr="00DF6970" w14:paraId="40A61656" w14:textId="77777777" w:rsidTr="002F1403">
        <w:trPr>
          <w:cantSplit/>
          <w:tblCellSpacing w:w="0" w:type="dxa"/>
          <w:jc w:val="center"/>
        </w:trPr>
        <w:tc>
          <w:tcPr>
            <w:tcW w:w="0" w:type="auto"/>
          </w:tcPr>
          <w:p w14:paraId="025009E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Streptomycin</w:t>
            </w:r>
          </w:p>
        </w:tc>
        <w:tc>
          <w:tcPr>
            <w:tcW w:w="0" w:type="auto"/>
          </w:tcPr>
          <w:p w14:paraId="53977E7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23/54.76%</w:t>
            </w:r>
          </w:p>
        </w:tc>
        <w:tc>
          <w:tcPr>
            <w:tcW w:w="0" w:type="auto"/>
          </w:tcPr>
          <w:p w14:paraId="75DB558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5/11.90%</w:t>
            </w:r>
          </w:p>
        </w:tc>
        <w:tc>
          <w:tcPr>
            <w:tcW w:w="0" w:type="auto"/>
          </w:tcPr>
          <w:p w14:paraId="7A6CF2A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14/33.33%</w:t>
            </w:r>
          </w:p>
        </w:tc>
      </w:tr>
      <w:tr w:rsidR="00292CAE" w:rsidRPr="00DF6970" w14:paraId="58CD3C0B" w14:textId="77777777" w:rsidTr="002F1403">
        <w:trPr>
          <w:cantSplit/>
          <w:tblCellSpacing w:w="0" w:type="dxa"/>
          <w:jc w:val="center"/>
        </w:trPr>
        <w:tc>
          <w:tcPr>
            <w:tcW w:w="0" w:type="auto"/>
          </w:tcPr>
          <w:p w14:paraId="3EB3AC1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Amikacin</w:t>
            </w:r>
          </w:p>
        </w:tc>
        <w:tc>
          <w:tcPr>
            <w:tcW w:w="0" w:type="auto"/>
          </w:tcPr>
          <w:p w14:paraId="0DDE002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27/63.41%</w:t>
            </w:r>
          </w:p>
        </w:tc>
        <w:tc>
          <w:tcPr>
            <w:tcW w:w="0" w:type="auto"/>
          </w:tcPr>
          <w:p w14:paraId="18B9373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14/34.15%</w:t>
            </w:r>
          </w:p>
        </w:tc>
        <w:tc>
          <w:tcPr>
            <w:tcW w:w="0" w:type="auto"/>
          </w:tcPr>
          <w:p w14:paraId="1488A27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1/2.44%</w:t>
            </w:r>
          </w:p>
        </w:tc>
      </w:tr>
      <w:tr w:rsidR="00292CAE" w:rsidRPr="00DF6970" w14:paraId="05E466DA" w14:textId="77777777" w:rsidTr="002F1403">
        <w:trPr>
          <w:cantSplit/>
          <w:tblCellSpacing w:w="0" w:type="dxa"/>
          <w:jc w:val="center"/>
        </w:trPr>
        <w:tc>
          <w:tcPr>
            <w:tcW w:w="0" w:type="auto"/>
          </w:tcPr>
          <w:p w14:paraId="54854E2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Cefotaxime</w:t>
            </w:r>
          </w:p>
        </w:tc>
        <w:tc>
          <w:tcPr>
            <w:tcW w:w="0" w:type="auto"/>
          </w:tcPr>
          <w:p w14:paraId="19143E6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10/24.39%</w:t>
            </w:r>
          </w:p>
        </w:tc>
        <w:tc>
          <w:tcPr>
            <w:tcW w:w="0" w:type="auto"/>
          </w:tcPr>
          <w:p w14:paraId="38AAE88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20/48.78%</w:t>
            </w:r>
          </w:p>
        </w:tc>
        <w:tc>
          <w:tcPr>
            <w:tcW w:w="0" w:type="auto"/>
          </w:tcPr>
          <w:p w14:paraId="0FA69D1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12/26.83%</w:t>
            </w:r>
          </w:p>
        </w:tc>
      </w:tr>
      <w:tr w:rsidR="00292CAE" w:rsidRPr="00DF6970" w14:paraId="388B2EE8" w14:textId="77777777" w:rsidTr="002F1403">
        <w:trPr>
          <w:cantSplit/>
          <w:tblCellSpacing w:w="0" w:type="dxa"/>
          <w:jc w:val="center"/>
        </w:trPr>
        <w:tc>
          <w:tcPr>
            <w:tcW w:w="0" w:type="auto"/>
          </w:tcPr>
          <w:p w14:paraId="264A6C3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Tetracycline</w:t>
            </w:r>
          </w:p>
        </w:tc>
        <w:tc>
          <w:tcPr>
            <w:tcW w:w="0" w:type="auto"/>
          </w:tcPr>
          <w:p w14:paraId="102694E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7/17.07%</w:t>
            </w:r>
          </w:p>
        </w:tc>
        <w:tc>
          <w:tcPr>
            <w:tcW w:w="0" w:type="auto"/>
          </w:tcPr>
          <w:p w14:paraId="332C609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5/12.20%</w:t>
            </w:r>
          </w:p>
        </w:tc>
        <w:tc>
          <w:tcPr>
            <w:tcW w:w="0" w:type="auto"/>
          </w:tcPr>
          <w:p w14:paraId="4881D9B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30/70.73%</w:t>
            </w:r>
          </w:p>
        </w:tc>
      </w:tr>
      <w:tr w:rsidR="00292CAE" w:rsidRPr="00DF6970" w14:paraId="3238B9CF" w14:textId="77777777" w:rsidTr="002F1403">
        <w:trPr>
          <w:cantSplit/>
          <w:tblCellSpacing w:w="0" w:type="dxa"/>
          <w:jc w:val="center"/>
        </w:trPr>
        <w:tc>
          <w:tcPr>
            <w:tcW w:w="0" w:type="auto"/>
          </w:tcPr>
          <w:p w14:paraId="4E934EC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Nalidixic Acid</w:t>
            </w:r>
          </w:p>
        </w:tc>
        <w:tc>
          <w:tcPr>
            <w:tcW w:w="0" w:type="auto"/>
          </w:tcPr>
          <w:p w14:paraId="0442E41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5361DF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12/29.27%</w:t>
            </w:r>
          </w:p>
        </w:tc>
        <w:tc>
          <w:tcPr>
            <w:tcW w:w="0" w:type="auto"/>
          </w:tcPr>
          <w:p w14:paraId="5828D9C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30/70.73%</w:t>
            </w:r>
          </w:p>
        </w:tc>
      </w:tr>
      <w:tr w:rsidR="00292CAE" w:rsidRPr="00DF6970" w14:paraId="2FA01A0F" w14:textId="77777777" w:rsidTr="002F1403">
        <w:trPr>
          <w:cantSplit/>
          <w:tblCellSpacing w:w="0" w:type="dxa"/>
          <w:jc w:val="center"/>
        </w:trPr>
        <w:tc>
          <w:tcPr>
            <w:tcW w:w="0" w:type="auto"/>
          </w:tcPr>
          <w:p w14:paraId="453D0B5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Cefpodoxime</w:t>
            </w:r>
          </w:p>
        </w:tc>
        <w:tc>
          <w:tcPr>
            <w:tcW w:w="0" w:type="auto"/>
          </w:tcPr>
          <w:p w14:paraId="51E9244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7822AF6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4/9.76%</w:t>
            </w:r>
          </w:p>
        </w:tc>
        <w:tc>
          <w:tcPr>
            <w:tcW w:w="0" w:type="auto"/>
          </w:tcPr>
          <w:p w14:paraId="65B0184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38/90.24%</w:t>
            </w:r>
          </w:p>
        </w:tc>
      </w:tr>
      <w:tr w:rsidR="00292CAE" w:rsidRPr="00DF6970" w14:paraId="1F2C667D" w14:textId="77777777" w:rsidTr="002F1403">
        <w:trPr>
          <w:cantSplit/>
          <w:tblCellSpacing w:w="0" w:type="dxa"/>
          <w:jc w:val="center"/>
        </w:trPr>
        <w:tc>
          <w:tcPr>
            <w:tcW w:w="0" w:type="auto"/>
          </w:tcPr>
          <w:p w14:paraId="2C14891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Erythromycin</w:t>
            </w:r>
          </w:p>
        </w:tc>
        <w:tc>
          <w:tcPr>
            <w:tcW w:w="0" w:type="auto"/>
          </w:tcPr>
          <w:p w14:paraId="2ADD0B4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7D078D2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4/9.76%</w:t>
            </w:r>
          </w:p>
        </w:tc>
        <w:tc>
          <w:tcPr>
            <w:tcW w:w="0" w:type="auto"/>
          </w:tcPr>
          <w:p w14:paraId="25BEAE2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38/90.24%</w:t>
            </w:r>
          </w:p>
        </w:tc>
      </w:tr>
      <w:tr w:rsidR="00292CAE" w:rsidRPr="00DF6970" w14:paraId="0D0860EE" w14:textId="77777777" w:rsidTr="002F1403">
        <w:trPr>
          <w:cantSplit/>
          <w:tblCellSpacing w:w="0" w:type="dxa"/>
          <w:jc w:val="center"/>
        </w:trPr>
        <w:tc>
          <w:tcPr>
            <w:tcW w:w="0" w:type="auto"/>
          </w:tcPr>
          <w:p w14:paraId="05648C1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Enrofloxacin</w:t>
            </w:r>
          </w:p>
        </w:tc>
        <w:tc>
          <w:tcPr>
            <w:tcW w:w="0" w:type="auto"/>
          </w:tcPr>
          <w:p w14:paraId="7D5F67E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502129E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23519D3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r>
      <w:tr w:rsidR="00292CAE" w:rsidRPr="00DF6970" w14:paraId="7CA23C05" w14:textId="77777777" w:rsidTr="002F1403">
        <w:trPr>
          <w:cantSplit/>
          <w:tblCellSpacing w:w="0" w:type="dxa"/>
          <w:jc w:val="center"/>
        </w:trPr>
        <w:tc>
          <w:tcPr>
            <w:tcW w:w="0" w:type="auto"/>
          </w:tcPr>
          <w:p w14:paraId="157B552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Cefoxitin</w:t>
            </w:r>
          </w:p>
        </w:tc>
        <w:tc>
          <w:tcPr>
            <w:tcW w:w="0" w:type="auto"/>
          </w:tcPr>
          <w:p w14:paraId="377F09C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FA6986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5532102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r>
      <w:tr w:rsidR="00292CAE" w:rsidRPr="00DF6970" w14:paraId="3FD21848" w14:textId="77777777" w:rsidTr="002F1403">
        <w:trPr>
          <w:cantSplit/>
          <w:tblCellSpacing w:w="0" w:type="dxa"/>
          <w:jc w:val="center"/>
        </w:trPr>
        <w:tc>
          <w:tcPr>
            <w:tcW w:w="0" w:type="auto"/>
          </w:tcPr>
          <w:p w14:paraId="76E5913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Ampicillin</w:t>
            </w:r>
          </w:p>
        </w:tc>
        <w:tc>
          <w:tcPr>
            <w:tcW w:w="0" w:type="auto"/>
          </w:tcPr>
          <w:p w14:paraId="5FFFC49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7224B8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05C05D9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r>
    </w:tbl>
    <w:p w14:paraId="79FA5A1E" w14:textId="77777777" w:rsidR="00292CAE" w:rsidRPr="00DF6970" w:rsidRDefault="00292CAE" w:rsidP="00DF6970">
      <w:pPr>
        <w:jc w:val="both"/>
        <w:rPr>
          <w:rFonts w:ascii="Times New Roman" w:hAnsi="Times New Roman" w:cs="Times New Roman"/>
          <w:sz w:val="24"/>
          <w:szCs w:val="24"/>
        </w:rPr>
      </w:pPr>
    </w:p>
    <w:p w14:paraId="14603A8B" w14:textId="77777777" w:rsidR="00292CAE" w:rsidRPr="00DF6970" w:rsidRDefault="000F7883" w:rsidP="00DF6970">
      <w:pPr>
        <w:spacing w:before="240" w:line="271" w:lineRule="auto"/>
        <w:jc w:val="both"/>
        <w:rPr>
          <w:rFonts w:ascii="Times New Roman" w:hAnsi="Times New Roman" w:cs="Times New Roman"/>
          <w:sz w:val="28"/>
          <w:szCs w:val="28"/>
        </w:rPr>
      </w:pPr>
      <w:bookmarkStart w:id="15" w:name="bm_4_discussion"/>
      <w:r w:rsidRPr="00DF6970">
        <w:rPr>
          <w:rFonts w:ascii="Times New Roman" w:hAnsi="Times New Roman" w:cs="Times New Roman"/>
          <w:b/>
          <w:sz w:val="28"/>
          <w:szCs w:val="28"/>
        </w:rPr>
        <w:t>4. Discussion</w:t>
      </w:r>
      <w:bookmarkEnd w:id="15"/>
    </w:p>
    <w:p w14:paraId="4AB2B3E6" w14:textId="77777777" w:rsidR="00292CAE" w:rsidRPr="00DF6970" w:rsidRDefault="000F7883" w:rsidP="00DF6970">
      <w:pPr>
        <w:spacing w:before="240" w:line="271" w:lineRule="auto"/>
        <w:jc w:val="both"/>
        <w:rPr>
          <w:rFonts w:ascii="Times New Roman" w:hAnsi="Times New Roman" w:cs="Times New Roman"/>
          <w:sz w:val="24"/>
          <w:szCs w:val="24"/>
        </w:rPr>
      </w:pPr>
      <w:bookmarkStart w:id="16" w:name="bm_4_1_prevalence_and_epidemiolog_d54131"/>
      <w:r w:rsidRPr="00DF6970">
        <w:rPr>
          <w:rFonts w:ascii="Times New Roman" w:hAnsi="Times New Roman" w:cs="Times New Roman"/>
          <w:b/>
          <w:sz w:val="24"/>
          <w:szCs w:val="24"/>
        </w:rPr>
        <w:t>4.1 Prevalence and Epidemiological Context</w:t>
      </w:r>
      <w:bookmarkEnd w:id="16"/>
    </w:p>
    <w:p w14:paraId="44AC4A62"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82% overall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isolation rate from diarrheic samples aligns with regional reports (Janjua et al., 2018: 96% in buffalo calves; Mishra et al., 2016: 68.33% in goats)[13][14]. The exceptional 96% prevalence in buffalo calves reflects species-specific susceptibility factors, extended fecal shedding, and immature immune responses in neonates. The age-</w:t>
      </w:r>
      <w:r w:rsidRPr="00DF6970">
        <w:rPr>
          <w:rFonts w:ascii="Times New Roman" w:hAnsi="Times New Roman" w:cs="Times New Roman"/>
          <w:sz w:val="24"/>
          <w:szCs w:val="24"/>
        </w:rPr>
        <w:lastRenderedPageBreak/>
        <w:t>dependent pattern, with highest isolation in Group I animals, underscores vulnerability of colostrum-deprived neonates post-</w:t>
      </w:r>
      <w:proofErr w:type="gramStart"/>
      <w:r w:rsidRPr="00DF6970">
        <w:rPr>
          <w:rFonts w:ascii="Times New Roman" w:hAnsi="Times New Roman" w:cs="Times New Roman"/>
          <w:sz w:val="24"/>
          <w:szCs w:val="24"/>
        </w:rPr>
        <w:t>weaning[</w:t>
      </w:r>
      <w:proofErr w:type="gramEnd"/>
      <w:r w:rsidRPr="00DF6970">
        <w:rPr>
          <w:rFonts w:ascii="Times New Roman" w:hAnsi="Times New Roman" w:cs="Times New Roman"/>
          <w:sz w:val="24"/>
          <w:szCs w:val="24"/>
        </w:rPr>
        <w:t>15].</w:t>
      </w:r>
    </w:p>
    <w:p w14:paraId="20AE648D"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The predominance of isolates from VCC (40.65%) versus farm sources likely reflects sampling bias toward clinically severe cases requiring veterinary intervention, whereas subclinical carriers on farms remain undetected. This bias, while limiting epidemiological extrapolation, emphasizes disease severity at institutional settings.</w:t>
      </w:r>
    </w:p>
    <w:p w14:paraId="5D542B9E" w14:textId="77777777" w:rsidR="00292CAE" w:rsidRPr="00DF6970" w:rsidRDefault="000F7883" w:rsidP="00DF6970">
      <w:pPr>
        <w:spacing w:before="240" w:line="271" w:lineRule="auto"/>
        <w:jc w:val="both"/>
        <w:rPr>
          <w:rFonts w:ascii="Times New Roman" w:hAnsi="Times New Roman" w:cs="Times New Roman"/>
          <w:sz w:val="24"/>
          <w:szCs w:val="24"/>
        </w:rPr>
      </w:pPr>
      <w:bookmarkStart w:id="17" w:name="bm_4_2_virulence_gene_epidemiology"/>
      <w:r w:rsidRPr="00DF6970">
        <w:rPr>
          <w:rFonts w:ascii="Times New Roman" w:hAnsi="Times New Roman" w:cs="Times New Roman"/>
          <w:b/>
          <w:sz w:val="24"/>
          <w:szCs w:val="24"/>
        </w:rPr>
        <w:t>4.2 Virulence Gene Epidemiology</w:t>
      </w:r>
      <w:bookmarkEnd w:id="17"/>
    </w:p>
    <w:p w14:paraId="011A47A9"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predominance of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(28.45%) across all species represents a notable epidemiological finding suggesting widespread dissemination of hemolysin-producing strains. </w:t>
      </w:r>
      <w:r w:rsidRPr="00DF6970">
        <w:rPr>
          <w:rFonts w:ascii="Times New Roman" w:hAnsi="Times New Roman" w:cs="Times New Roman"/>
          <w:i/>
          <w:sz w:val="24"/>
          <w:szCs w:val="24"/>
        </w:rPr>
        <w:t>hlyA</w:t>
      </w:r>
      <w:r w:rsidRPr="00DF6970">
        <w:rPr>
          <w:rFonts w:ascii="Times New Roman" w:eastAsia="Georgia" w:hAnsi="Times New Roman" w:cs="Times New Roman"/>
          <w:sz w:val="24"/>
          <w:szCs w:val="24"/>
        </w:rPr>
        <w:t xml:space="preserve"> encodes α-hemolysin, facilitating bacterial adhesion and systemic invasion through epithelial disruption[16]. This prevalence is higher than </w:t>
      </w:r>
      <w:r w:rsidRPr="00DF6970">
        <w:rPr>
          <w:rFonts w:ascii="Times New Roman" w:hAnsi="Times New Roman" w:cs="Times New Roman"/>
          <w:i/>
          <w:sz w:val="24"/>
          <w:szCs w:val="24"/>
        </w:rPr>
        <w:t>stx</w:t>
      </w:r>
      <w:r w:rsidRPr="00DF6970">
        <w:rPr>
          <w:rFonts w:ascii="Times New Roman" w:hAnsi="Times New Roman" w:cs="Times New Roman"/>
          <w:sz w:val="24"/>
          <w:szCs w:val="24"/>
        </w:rPr>
        <w:t xml:space="preserve"> genes, which contradicts many international reports emphasizing </w:t>
      </w:r>
      <w:r w:rsidRPr="00DF6970">
        <w:rPr>
          <w:rFonts w:ascii="Times New Roman" w:hAnsi="Times New Roman" w:cs="Times New Roman"/>
          <w:i/>
          <w:sz w:val="24"/>
          <w:szCs w:val="24"/>
        </w:rPr>
        <w:t>stx</w:t>
      </w:r>
      <w:r w:rsidRPr="00DF6970">
        <w:rPr>
          <w:rFonts w:ascii="Times New Roman" w:hAnsi="Times New Roman" w:cs="Times New Roman"/>
          <w:sz w:val="24"/>
          <w:szCs w:val="24"/>
        </w:rPr>
        <w:t xml:space="preserve"> genes; however, regional strain characteristics or selective pressures may explain this variation.</w:t>
      </w:r>
    </w:p>
    <w:p w14:paraId="683BCA27"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species-specific variation in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detection (highest in kids at 16.21% vs. lowest in buffalo calves at 4.16%) carries epidemiological significance. Since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epidemiologically associates with severe human disease (Friedrich et al., 2002), the relatively lower prevalence in buffalo calves suggests potentially reduced zoonotic risk from this reservoir, though confirmation via whole-genome sequencing is </w:t>
      </w:r>
      <w:proofErr w:type="gramStart"/>
      <w:r w:rsidRPr="00DF6970">
        <w:rPr>
          <w:rFonts w:ascii="Times New Roman" w:hAnsi="Times New Roman" w:cs="Times New Roman"/>
          <w:sz w:val="24"/>
          <w:szCs w:val="24"/>
        </w:rPr>
        <w:t>warranted[</w:t>
      </w:r>
      <w:proofErr w:type="gramEnd"/>
      <w:r w:rsidRPr="00DF6970">
        <w:rPr>
          <w:rFonts w:ascii="Times New Roman" w:hAnsi="Times New Roman" w:cs="Times New Roman"/>
          <w:sz w:val="24"/>
          <w:szCs w:val="24"/>
        </w:rPr>
        <w:t>17].</w:t>
      </w:r>
    </w:p>
    <w:p w14:paraId="58C71701"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w:t>
      </w:r>
      <w:r w:rsidRPr="00DF6970">
        <w:rPr>
          <w:rFonts w:ascii="Times New Roman" w:hAnsi="Times New Roman" w:cs="Times New Roman"/>
          <w:i/>
          <w:sz w:val="24"/>
          <w:szCs w:val="24"/>
        </w:rPr>
        <w:t>stx1/eaeA/hlyA</w:t>
      </w:r>
      <w:r w:rsidRPr="00DF6970">
        <w:rPr>
          <w:rFonts w:ascii="Times New Roman" w:hAnsi="Times New Roman" w:cs="Times New Roman"/>
          <w:sz w:val="24"/>
          <w:szCs w:val="24"/>
        </w:rPr>
        <w:t xml:space="preserve"> combination (13.00%) represents a high-risk EHEC phenotype capable of both cytotoxic and attaching-effacing pathology, warranting heightened epidemiological surveillance given zoonotic potential.</w:t>
      </w:r>
    </w:p>
    <w:p w14:paraId="68CA68B0" w14:textId="77777777" w:rsidR="00292CAE" w:rsidRPr="00DF6970" w:rsidRDefault="000F7883" w:rsidP="00DF6970">
      <w:pPr>
        <w:spacing w:before="240" w:line="271" w:lineRule="auto"/>
        <w:jc w:val="both"/>
        <w:rPr>
          <w:rFonts w:ascii="Times New Roman" w:hAnsi="Times New Roman" w:cs="Times New Roman"/>
          <w:sz w:val="24"/>
          <w:szCs w:val="24"/>
        </w:rPr>
      </w:pPr>
      <w:bookmarkStart w:id="18" w:name="bm_4_3_virulence_diarrheal_pathop_7f053a"/>
      <w:r w:rsidRPr="00DF6970">
        <w:rPr>
          <w:rFonts w:ascii="Times New Roman" w:hAnsi="Times New Roman" w:cs="Times New Roman"/>
          <w:b/>
          <w:sz w:val="24"/>
          <w:szCs w:val="24"/>
        </w:rPr>
        <w:t>4.3 Virulence-Diarrheal Pathophysiology Linkage</w:t>
      </w:r>
      <w:bookmarkEnd w:id="18"/>
    </w:p>
    <w:p w14:paraId="381F1449"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isolation of 34.14% virulent strains in diarrheic animals versus lower proportions in asymptomatic cohorts supports pathogenic roles of screened virulence genes. </w:t>
      </w:r>
      <w:r w:rsidRPr="00DF6970">
        <w:rPr>
          <w:rFonts w:ascii="Times New Roman" w:hAnsi="Times New Roman" w:cs="Times New Roman"/>
          <w:i/>
          <w:sz w:val="24"/>
          <w:szCs w:val="24"/>
        </w:rPr>
        <w:t>stx</w:t>
      </w:r>
      <w:r w:rsidRPr="00DF6970">
        <w:rPr>
          <w:rFonts w:ascii="Times New Roman" w:hAnsi="Times New Roman" w:cs="Times New Roman"/>
          <w:sz w:val="24"/>
          <w:szCs w:val="24"/>
        </w:rPr>
        <w:t xml:space="preserve"> genes mediate cytotoxicity through eukaryotic protein synthesis inhibition, resulting in hemorrhagic colitis and extraintestinal </w:t>
      </w:r>
      <w:proofErr w:type="gramStart"/>
      <w:r w:rsidRPr="00DF6970">
        <w:rPr>
          <w:rFonts w:ascii="Times New Roman" w:hAnsi="Times New Roman" w:cs="Times New Roman"/>
          <w:sz w:val="24"/>
          <w:szCs w:val="24"/>
        </w:rPr>
        <w:t>complications[</w:t>
      </w:r>
      <w:proofErr w:type="gramEnd"/>
      <w:r w:rsidRPr="00DF6970">
        <w:rPr>
          <w:rFonts w:ascii="Times New Roman" w:hAnsi="Times New Roman" w:cs="Times New Roman"/>
          <w:sz w:val="24"/>
          <w:szCs w:val="24"/>
        </w:rPr>
        <w:t xml:space="preserve">18].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facilitates intimate bacterial-epithelial adherence via intimin, triggering cell membrane effacement and excessive fluid secretion.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product disrupts intestinal barrier integrity, facilitating bacterial translocation.</w:t>
      </w:r>
    </w:p>
    <w:p w14:paraId="1B5A0106"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The 65.85% non-virulent isolates likely represent ETEC or other pathotypes producing heat-labile/heat-stable enterotoxins distinct from toxin-independent mechanisms of STEC/</w:t>
      </w:r>
      <w:proofErr w:type="gramStart"/>
      <w:r w:rsidRPr="00DF6970">
        <w:rPr>
          <w:rFonts w:ascii="Times New Roman" w:hAnsi="Times New Roman" w:cs="Times New Roman"/>
          <w:sz w:val="24"/>
          <w:szCs w:val="24"/>
        </w:rPr>
        <w:t>EHEC[</w:t>
      </w:r>
      <w:proofErr w:type="gramEnd"/>
      <w:r w:rsidRPr="00DF6970">
        <w:rPr>
          <w:rFonts w:ascii="Times New Roman" w:hAnsi="Times New Roman" w:cs="Times New Roman"/>
          <w:sz w:val="24"/>
          <w:szCs w:val="24"/>
        </w:rPr>
        <w:t>19].</w:t>
      </w:r>
    </w:p>
    <w:p w14:paraId="66E6081D" w14:textId="77777777" w:rsidR="00292CAE" w:rsidRPr="00DF6970" w:rsidRDefault="000F7883" w:rsidP="00DF6970">
      <w:pPr>
        <w:spacing w:before="240" w:line="271" w:lineRule="auto"/>
        <w:jc w:val="both"/>
        <w:rPr>
          <w:rFonts w:ascii="Times New Roman" w:hAnsi="Times New Roman" w:cs="Times New Roman"/>
          <w:sz w:val="24"/>
          <w:szCs w:val="24"/>
        </w:rPr>
      </w:pPr>
      <w:bookmarkStart w:id="19" w:name="bm_4_4_antimicrobial_resistance_c_b6c9bf"/>
      <w:r w:rsidRPr="00DF6970">
        <w:rPr>
          <w:rFonts w:ascii="Times New Roman" w:hAnsi="Times New Roman" w:cs="Times New Roman"/>
          <w:b/>
          <w:sz w:val="24"/>
          <w:szCs w:val="24"/>
        </w:rPr>
        <w:t>4.4 Antimicrobial Resistance Crisis and Clinical Implications</w:t>
      </w:r>
      <w:bookmarkEnd w:id="19"/>
    </w:p>
    <w:p w14:paraId="21D21E9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100% resistance to Enrofloxacin, Cefoxitin, and Ampicillin reflects decades of indiscriminate antimicrobial use in veterinary practice, rendering these traditionally first-line agents therapeutically obsolete against local virulent </w:t>
      </w:r>
      <w:r w:rsidRPr="00DF6970">
        <w:rPr>
          <w:rFonts w:ascii="Times New Roman" w:hAnsi="Times New Roman" w:cs="Times New Roman"/>
          <w:i/>
          <w:sz w:val="24"/>
          <w:szCs w:val="24"/>
        </w:rPr>
        <w:t xml:space="preserve">E. </w:t>
      </w:r>
      <w:proofErr w:type="gramStart"/>
      <w:r w:rsidRPr="00DF6970">
        <w:rPr>
          <w:rFonts w:ascii="Times New Roman" w:hAnsi="Times New Roman" w:cs="Times New Roman"/>
          <w:i/>
          <w:sz w:val="24"/>
          <w:szCs w:val="24"/>
        </w:rPr>
        <w:t>coli</w:t>
      </w:r>
      <w:r w:rsidRPr="00DF6970">
        <w:rPr>
          <w:rFonts w:ascii="Times New Roman" w:eastAsia="Georgia" w:hAnsi="Times New Roman" w:cs="Times New Roman"/>
          <w:sz w:val="24"/>
          <w:szCs w:val="24"/>
        </w:rPr>
        <w:t>[</w:t>
      </w:r>
      <w:proofErr w:type="gramEnd"/>
      <w:r w:rsidRPr="00DF6970">
        <w:rPr>
          <w:rFonts w:ascii="Times New Roman" w:eastAsia="Georgia" w:hAnsi="Times New Roman" w:cs="Times New Roman"/>
          <w:sz w:val="24"/>
          <w:szCs w:val="24"/>
        </w:rPr>
        <w:t xml:space="preserve">20]. The 90.24% resistance to Cefpodoxime and Erythromycin suggests widespread dissemination of extended-spectrum β-lactamase (ESBL) genes </w:t>
      </w:r>
      <w:r w:rsidR="009B2719">
        <w:rPr>
          <w:rFonts w:ascii="Times New Roman" w:eastAsia="Georgia" w:hAnsi="Times New Roman" w:cs="Times New Roman"/>
          <w:sz w:val="24"/>
          <w:szCs w:val="24"/>
        </w:rPr>
        <w:t>(</w:t>
      </w:r>
      <w:r w:rsidR="009B2719">
        <w:t>blaCTX-M-9 and blaCTX-M-</w:t>
      </w:r>
      <w:proofErr w:type="gramStart"/>
      <w:r w:rsidR="009B2719">
        <w:t>25)</w:t>
      </w:r>
      <w:r w:rsidRPr="00DF6970">
        <w:rPr>
          <w:rFonts w:ascii="Times New Roman" w:hAnsi="Times New Roman" w:cs="Times New Roman"/>
          <w:sz w:val="24"/>
          <w:szCs w:val="24"/>
        </w:rPr>
        <w:t>and</w:t>
      </w:r>
      <w:proofErr w:type="gramEnd"/>
      <w:r w:rsidRPr="00DF6970">
        <w:rPr>
          <w:rFonts w:ascii="Times New Roman" w:hAnsi="Times New Roman" w:cs="Times New Roman"/>
          <w:sz w:val="24"/>
          <w:szCs w:val="24"/>
        </w:rPr>
        <w:t xml:space="preserve"> tetracycline resistance determinants (</w:t>
      </w:r>
      <w:r w:rsidRPr="00DF6970">
        <w:rPr>
          <w:rFonts w:ascii="Times New Roman" w:hAnsi="Times New Roman" w:cs="Times New Roman"/>
          <w:i/>
          <w:sz w:val="24"/>
          <w:szCs w:val="24"/>
        </w:rPr>
        <w:t>tet(A/B)</w:t>
      </w:r>
      <w:r w:rsidRPr="00DF6970">
        <w:rPr>
          <w:rFonts w:ascii="Times New Roman" w:hAnsi="Times New Roman" w:cs="Times New Roman"/>
          <w:sz w:val="24"/>
          <w:szCs w:val="24"/>
        </w:rPr>
        <w:t>), likely colocalized on mobile genetic elements[21].</w:t>
      </w:r>
    </w:p>
    <w:p w14:paraId="14EB9F4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lastRenderedPageBreak/>
        <w:t xml:space="preserve">The retained efficacy of Imipenem and Aztreonam (100% sensitivity) is encouraging; however, carbapenems remain last-resort agents warranting judicious deployment to prevent emergent </w:t>
      </w:r>
      <w:proofErr w:type="gramStart"/>
      <w:r w:rsidRPr="00DF6970">
        <w:rPr>
          <w:rFonts w:ascii="Times New Roman" w:hAnsi="Times New Roman" w:cs="Times New Roman"/>
          <w:sz w:val="24"/>
          <w:szCs w:val="24"/>
        </w:rPr>
        <w:t>resistance[</w:t>
      </w:r>
      <w:proofErr w:type="gramEnd"/>
      <w:r w:rsidRPr="00DF6970">
        <w:rPr>
          <w:rFonts w:ascii="Times New Roman" w:hAnsi="Times New Roman" w:cs="Times New Roman"/>
          <w:sz w:val="24"/>
          <w:szCs w:val="24"/>
        </w:rPr>
        <w:t xml:space="preserve">22]. The unexpected 85.71% Amoxyclav susceptibility despite 100% Ampicillin resistance suggests clavulanic acid-susceptible ESBL producers or plasmid-mediated mechanisms, meriting molecular </w:t>
      </w:r>
      <w:proofErr w:type="gramStart"/>
      <w:r w:rsidRPr="00DF6970">
        <w:rPr>
          <w:rFonts w:ascii="Times New Roman" w:hAnsi="Times New Roman" w:cs="Times New Roman"/>
          <w:sz w:val="24"/>
          <w:szCs w:val="24"/>
        </w:rPr>
        <w:t>characterization[</w:t>
      </w:r>
      <w:proofErr w:type="gramEnd"/>
      <w:r w:rsidRPr="00DF6970">
        <w:rPr>
          <w:rFonts w:ascii="Times New Roman" w:hAnsi="Times New Roman" w:cs="Times New Roman"/>
          <w:sz w:val="24"/>
          <w:szCs w:val="24"/>
        </w:rPr>
        <w:t>23].</w:t>
      </w:r>
    </w:p>
    <w:p w14:paraId="2E4B4C21" w14:textId="77777777" w:rsidR="00292CAE" w:rsidRPr="00DF6970" w:rsidRDefault="000F7883" w:rsidP="00DF6970">
      <w:pPr>
        <w:spacing w:before="240" w:line="271" w:lineRule="auto"/>
        <w:jc w:val="both"/>
        <w:rPr>
          <w:rFonts w:ascii="Times New Roman" w:hAnsi="Times New Roman" w:cs="Times New Roman"/>
          <w:sz w:val="24"/>
          <w:szCs w:val="24"/>
        </w:rPr>
      </w:pPr>
      <w:bookmarkStart w:id="20" w:name="bm_4_5_multidrug_resistance_a_one_fa9004"/>
      <w:r w:rsidRPr="00DF6970">
        <w:rPr>
          <w:rFonts w:ascii="Times New Roman" w:hAnsi="Times New Roman" w:cs="Times New Roman"/>
          <w:b/>
          <w:sz w:val="24"/>
          <w:szCs w:val="24"/>
        </w:rPr>
        <w:t>4.5 Multidrug Resistance: A One Health Threat</w:t>
      </w:r>
      <w:bookmarkEnd w:id="20"/>
    </w:p>
    <w:p w14:paraId="19B44AD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The 71.43% MDR prevalence (≥3 drug classes) reflects alarming public health implications. In pastoral and smallholder systems prevalent in South Asia, boundary delineation between veterinary and human health remains obscure. Close human-animal contact, shared water sources, inadequate sanitation, and unpasteurized dairy consumption facilitate STEC </w:t>
      </w:r>
      <w:proofErr w:type="gramStart"/>
      <w:r w:rsidRPr="00DF6970">
        <w:rPr>
          <w:rFonts w:ascii="Times New Roman" w:eastAsia="Georgia" w:hAnsi="Times New Roman" w:cs="Times New Roman"/>
          <w:sz w:val="24"/>
          <w:szCs w:val="24"/>
        </w:rPr>
        <w:t>transmission[</w:t>
      </w:r>
      <w:proofErr w:type="gramEnd"/>
      <w:r w:rsidRPr="00DF6970">
        <w:rPr>
          <w:rFonts w:ascii="Times New Roman" w:eastAsia="Georgia" w:hAnsi="Times New Roman" w:cs="Times New Roman"/>
          <w:sz w:val="24"/>
          <w:szCs w:val="24"/>
        </w:rPr>
        <w:t xml:space="preserve">24]. Virulent, MDR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strains identified in food-producing animals pose irreversible threats to clinical management in both veterinary and human medicine, necessitating integrated One Health surveillance encompassing animal husbandry, environmental monitoring, and clinical human surveillance[25][26].</w:t>
      </w:r>
    </w:p>
    <w:p w14:paraId="28A62048" w14:textId="77777777" w:rsidR="00F40AE6" w:rsidRDefault="00F40AE6" w:rsidP="00DF6970">
      <w:pPr>
        <w:spacing w:before="240" w:line="271" w:lineRule="auto"/>
        <w:jc w:val="both"/>
        <w:rPr>
          <w:rFonts w:ascii="Times New Roman" w:hAnsi="Times New Roman" w:cs="Times New Roman"/>
          <w:b/>
          <w:sz w:val="28"/>
          <w:szCs w:val="28"/>
        </w:rPr>
      </w:pPr>
      <w:bookmarkStart w:id="21" w:name="references"/>
    </w:p>
    <w:p w14:paraId="66BD5549" w14:textId="3A7EAC56" w:rsidR="00292CAE" w:rsidRPr="002F1403" w:rsidRDefault="000F7883" w:rsidP="00DF6970">
      <w:pPr>
        <w:spacing w:before="240" w:line="271" w:lineRule="auto"/>
        <w:jc w:val="both"/>
        <w:rPr>
          <w:rFonts w:ascii="Times New Roman" w:hAnsi="Times New Roman" w:cs="Times New Roman"/>
          <w:sz w:val="28"/>
          <w:szCs w:val="28"/>
        </w:rPr>
      </w:pPr>
      <w:bookmarkStart w:id="22" w:name="_GoBack"/>
      <w:bookmarkEnd w:id="22"/>
      <w:r w:rsidRPr="002F1403">
        <w:rPr>
          <w:rFonts w:ascii="Times New Roman" w:hAnsi="Times New Roman" w:cs="Times New Roman"/>
          <w:b/>
          <w:sz w:val="28"/>
          <w:szCs w:val="28"/>
        </w:rPr>
        <w:t>References</w:t>
      </w:r>
      <w:bookmarkEnd w:id="21"/>
    </w:p>
    <w:p w14:paraId="087DC80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 Croxen, M.A., Law, R.J., Scholz, R., Keeney, K.M., Wlodarska, M., &amp; Finlay, B.B. (2013). Recent advances in understanding enteric pathogenic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Clinical Microbiology Reviews</w:t>
      </w:r>
      <w:r w:rsidRPr="00DF6970">
        <w:rPr>
          <w:rFonts w:ascii="Times New Roman" w:hAnsi="Times New Roman" w:cs="Times New Roman"/>
          <w:sz w:val="24"/>
          <w:szCs w:val="24"/>
        </w:rPr>
        <w:t xml:space="preserve">, 26(4), 822-880. </w:t>
      </w:r>
      <w:hyperlink r:id="rId7">
        <w:r w:rsidR="00292CAE" w:rsidRPr="00DF6970">
          <w:rPr>
            <w:rFonts w:ascii="Times New Roman" w:hAnsi="Times New Roman" w:cs="Times New Roman"/>
            <w:color w:val="4472C4"/>
            <w:sz w:val="24"/>
            <w:szCs w:val="24"/>
          </w:rPr>
          <w:t>https://doi.org/10.1128/CMR.00033-13</w:t>
        </w:r>
      </w:hyperlink>
    </w:p>
    <w:p w14:paraId="5C70A88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 Fairbrother, J.M., Nadeau, E., &amp; Gyles, C.L. (2005). Escherichia coli in postweaning diarrhea in pigs: An update on bacterial types, pathogenesis, and prevention strategies. </w:t>
      </w:r>
      <w:r w:rsidRPr="00DF6970">
        <w:rPr>
          <w:rFonts w:ascii="Times New Roman" w:hAnsi="Times New Roman" w:cs="Times New Roman"/>
          <w:i/>
          <w:sz w:val="24"/>
          <w:szCs w:val="24"/>
        </w:rPr>
        <w:t>Animal Health Research Reviews</w:t>
      </w:r>
      <w:r w:rsidRPr="00DF6970">
        <w:rPr>
          <w:rFonts w:ascii="Times New Roman" w:hAnsi="Times New Roman" w:cs="Times New Roman"/>
          <w:sz w:val="24"/>
          <w:szCs w:val="24"/>
        </w:rPr>
        <w:t>, 6(1), 17-39.</w:t>
      </w:r>
    </w:p>
    <w:p w14:paraId="68FF703B"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[3] Gyles, C.L., Prescott, J.F., Songer, J.G., &amp; Thoen, C.O. (2010). </w:t>
      </w:r>
      <w:r w:rsidRPr="00DF6970">
        <w:rPr>
          <w:rFonts w:ascii="Times New Roman" w:hAnsi="Times New Roman" w:cs="Times New Roman"/>
          <w:i/>
          <w:sz w:val="24"/>
          <w:szCs w:val="24"/>
        </w:rPr>
        <w:t>Pathogenesis of bacterial infections in animals</w:t>
      </w:r>
      <w:r w:rsidRPr="00DF6970">
        <w:rPr>
          <w:rFonts w:ascii="Times New Roman" w:hAnsi="Times New Roman" w:cs="Times New Roman"/>
          <w:sz w:val="24"/>
          <w:szCs w:val="24"/>
        </w:rPr>
        <w:t xml:space="preserve"> (4th ed.). Wiley-Blackwell Publishing.</w:t>
      </w:r>
    </w:p>
    <w:p w14:paraId="2A81720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[4] Ghilardi, A.C.R., Silva, M.R., Trabulsi, L.R., &amp; Guth, B.E.C. (2001). Virulence genes and adherence patterns of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O165. </w:t>
      </w:r>
      <w:r w:rsidRPr="00DF6970">
        <w:rPr>
          <w:rFonts w:ascii="Times New Roman" w:hAnsi="Times New Roman" w:cs="Times New Roman"/>
          <w:i/>
          <w:sz w:val="24"/>
          <w:szCs w:val="24"/>
        </w:rPr>
        <w:t>Epidemiology and Infection</w:t>
      </w:r>
      <w:r w:rsidRPr="00DF6970">
        <w:rPr>
          <w:rFonts w:ascii="Times New Roman" w:hAnsi="Times New Roman" w:cs="Times New Roman"/>
          <w:sz w:val="24"/>
          <w:szCs w:val="24"/>
        </w:rPr>
        <w:t>, 127(2), 323-330.</w:t>
      </w:r>
    </w:p>
    <w:p w14:paraId="43016F22"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[5] Khan, F., Abubakar, M., &amp; Azhar, E.I. (2003). Molecular epidemiology of enterohemorrhagic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O157:H7. </w:t>
      </w:r>
      <w:r w:rsidRPr="00DF6970">
        <w:rPr>
          <w:rFonts w:ascii="Times New Roman" w:hAnsi="Times New Roman" w:cs="Times New Roman"/>
          <w:i/>
          <w:sz w:val="24"/>
          <w:szCs w:val="24"/>
        </w:rPr>
        <w:t>Molecular and Cellular Probes</w:t>
      </w:r>
      <w:r w:rsidRPr="00DF6970">
        <w:rPr>
          <w:rFonts w:ascii="Times New Roman" w:hAnsi="Times New Roman" w:cs="Times New Roman"/>
          <w:sz w:val="24"/>
          <w:szCs w:val="24"/>
        </w:rPr>
        <w:t>, 17(2-3), 75-81.</w:t>
      </w:r>
    </w:p>
    <w:p w14:paraId="29114258"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[6] Paton, A.W., &amp; Paton, J.C. (1998). Multiplex PCR assays for detection of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verotoxins and their associated colonization factors. </w:t>
      </w:r>
      <w:r w:rsidRPr="00DF6970">
        <w:rPr>
          <w:rFonts w:ascii="Times New Roman" w:hAnsi="Times New Roman" w:cs="Times New Roman"/>
          <w:i/>
          <w:sz w:val="24"/>
          <w:szCs w:val="24"/>
        </w:rPr>
        <w:t>Journal of Clinical Microbiology</w:t>
      </w:r>
      <w:r w:rsidRPr="00DF6970">
        <w:rPr>
          <w:rFonts w:ascii="Times New Roman" w:hAnsi="Times New Roman" w:cs="Times New Roman"/>
          <w:sz w:val="24"/>
          <w:szCs w:val="24"/>
        </w:rPr>
        <w:t>, 36(3), 598-602.</w:t>
      </w:r>
    </w:p>
    <w:p w14:paraId="162AFF6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[7] Hawley, E.L. (2016). Fecal shedding and transmission of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among feedlot cattle.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195, 21-27.</w:t>
      </w:r>
    </w:p>
    <w:p w14:paraId="0A945581"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[8] Hussein, K.H. (2007).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An emerging foodborne pathogen. </w:t>
      </w:r>
      <w:r w:rsidRPr="00DF6970">
        <w:rPr>
          <w:rFonts w:ascii="Times New Roman" w:hAnsi="Times New Roman" w:cs="Times New Roman"/>
          <w:i/>
          <w:sz w:val="24"/>
          <w:szCs w:val="24"/>
        </w:rPr>
        <w:t>Advances in Food and Nutrition Research</w:t>
      </w:r>
      <w:r w:rsidRPr="00DF6970">
        <w:rPr>
          <w:rFonts w:ascii="Times New Roman" w:hAnsi="Times New Roman" w:cs="Times New Roman"/>
          <w:sz w:val="24"/>
          <w:szCs w:val="24"/>
        </w:rPr>
        <w:t>, 52, 261-301.</w:t>
      </w:r>
    </w:p>
    <w:p w14:paraId="77A0F5D9"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lastRenderedPageBreak/>
        <w:t xml:space="preserve">[9] Algammal, A.M., El-Kholy, A.W., Riad, E.M., Mohamed, H.E., Elhaig, M.M., Yousef, S.A.A., &amp;Ghobashy, M.O. (2020). Genes encoding virulence and antimicrobial resistance in enterotoxigenic and Shiga-toxigenic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isolated from diarrheic calves. </w:t>
      </w:r>
      <w:r w:rsidRPr="00DF6970">
        <w:rPr>
          <w:rFonts w:ascii="Times New Roman" w:hAnsi="Times New Roman" w:cs="Times New Roman"/>
          <w:i/>
          <w:sz w:val="24"/>
          <w:szCs w:val="24"/>
        </w:rPr>
        <w:t>Toxins</w:t>
      </w:r>
      <w:r w:rsidRPr="00DF6970">
        <w:rPr>
          <w:rFonts w:ascii="Times New Roman" w:hAnsi="Times New Roman" w:cs="Times New Roman"/>
          <w:sz w:val="24"/>
          <w:szCs w:val="24"/>
        </w:rPr>
        <w:t xml:space="preserve">, 12(6), 383. </w:t>
      </w:r>
      <w:hyperlink r:id="rId8">
        <w:r w:rsidR="00292CAE" w:rsidRPr="00DF6970">
          <w:rPr>
            <w:rFonts w:ascii="Times New Roman" w:hAnsi="Times New Roman" w:cs="Times New Roman"/>
            <w:color w:val="4472C4"/>
            <w:sz w:val="24"/>
            <w:szCs w:val="24"/>
          </w:rPr>
          <w:t>https://doi.org/10.3390/toxins12060383</w:t>
        </w:r>
      </w:hyperlink>
    </w:p>
    <w:p w14:paraId="75048AAD"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[10] Bauer, A.W., Kirby, W.M., Sherris, J.C., &amp; Turck, M. (1966). Antibiotic susceptibility testing by a standardized single disk method. </w:t>
      </w:r>
      <w:r w:rsidRPr="00DF6970">
        <w:rPr>
          <w:rFonts w:ascii="Times New Roman" w:hAnsi="Times New Roman" w:cs="Times New Roman"/>
          <w:i/>
          <w:sz w:val="24"/>
          <w:szCs w:val="24"/>
        </w:rPr>
        <w:t>American Journal of Clinical Pathology</w:t>
      </w:r>
      <w:r w:rsidRPr="00DF6970">
        <w:rPr>
          <w:rFonts w:ascii="Times New Roman" w:hAnsi="Times New Roman" w:cs="Times New Roman"/>
          <w:sz w:val="24"/>
          <w:szCs w:val="24"/>
        </w:rPr>
        <w:t>, 45(4), 493-496.</w:t>
      </w:r>
    </w:p>
    <w:p w14:paraId="4A4910F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[11] Mishra, A., Pandey, R., Kumar, S., &amp; Singh, K. (2016). Molecular detection and antibiogram of virulent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isolates from lambs and kids in northern India. </w:t>
      </w:r>
      <w:r w:rsidRPr="00DF6970">
        <w:rPr>
          <w:rFonts w:ascii="Times New Roman" w:hAnsi="Times New Roman" w:cs="Times New Roman"/>
          <w:i/>
          <w:sz w:val="24"/>
          <w:szCs w:val="24"/>
        </w:rPr>
        <w:t>Indian Journal of Animal Sciences</w:t>
      </w:r>
      <w:r w:rsidRPr="00DF6970">
        <w:rPr>
          <w:rFonts w:ascii="Times New Roman" w:hAnsi="Times New Roman" w:cs="Times New Roman"/>
          <w:sz w:val="24"/>
          <w:szCs w:val="24"/>
        </w:rPr>
        <w:t>, 86(12), 1421-1427.</w:t>
      </w:r>
    </w:p>
    <w:p w14:paraId="701DF41B"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[12] CLSI (2024). </w:t>
      </w:r>
      <w:r w:rsidRPr="00DF6970">
        <w:rPr>
          <w:rFonts w:ascii="Times New Roman" w:hAnsi="Times New Roman" w:cs="Times New Roman"/>
          <w:i/>
          <w:sz w:val="24"/>
          <w:szCs w:val="24"/>
        </w:rPr>
        <w:t>Performance standards for antimicrobial susceptibility testing</w:t>
      </w:r>
      <w:r w:rsidRPr="00DF6970">
        <w:rPr>
          <w:rFonts w:ascii="Times New Roman" w:hAnsi="Times New Roman" w:cs="Times New Roman"/>
          <w:sz w:val="24"/>
          <w:szCs w:val="24"/>
        </w:rPr>
        <w:t xml:space="preserve"> (34th ed.). Clinical and Laboratory Standards Institute, Wayne, PA.</w:t>
      </w:r>
    </w:p>
    <w:p w14:paraId="482A981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[13] Janjua, A. (2018). Prevalence and molecular characterization of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in buffalo calves. </w:t>
      </w:r>
      <w:r w:rsidRPr="00DF6970">
        <w:rPr>
          <w:rFonts w:ascii="Times New Roman" w:hAnsi="Times New Roman" w:cs="Times New Roman"/>
          <w:i/>
          <w:sz w:val="24"/>
          <w:szCs w:val="24"/>
        </w:rPr>
        <w:t>Veterinary World</w:t>
      </w:r>
      <w:r w:rsidRPr="00DF6970">
        <w:rPr>
          <w:rFonts w:ascii="Times New Roman" w:hAnsi="Times New Roman" w:cs="Times New Roman"/>
          <w:sz w:val="24"/>
          <w:szCs w:val="24"/>
        </w:rPr>
        <w:t xml:space="preserve">, 11(8), 1123-1131. </w:t>
      </w:r>
      <w:hyperlink r:id="rId9">
        <w:r w:rsidR="00292CAE" w:rsidRPr="00DF6970">
          <w:rPr>
            <w:rFonts w:ascii="Times New Roman" w:hAnsi="Times New Roman" w:cs="Times New Roman"/>
            <w:color w:val="4472C4"/>
            <w:sz w:val="24"/>
            <w:szCs w:val="24"/>
          </w:rPr>
          <w:t>https://doi.org/10.14202/vetworld.2018.1123-1131</w:t>
        </w:r>
      </w:hyperlink>
    </w:p>
    <w:p w14:paraId="251A3E0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[14] Mishra, A., Pandey, R., Kumar, S., &amp; Singh, K. (2016). Molecular detection and antibiogram of virulent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isolates from lambs and kids in northern India. </w:t>
      </w:r>
      <w:r w:rsidRPr="00DF6970">
        <w:rPr>
          <w:rFonts w:ascii="Times New Roman" w:hAnsi="Times New Roman" w:cs="Times New Roman"/>
          <w:i/>
          <w:sz w:val="24"/>
          <w:szCs w:val="24"/>
        </w:rPr>
        <w:t>Indian Journal of Animal Sciences</w:t>
      </w:r>
      <w:r w:rsidRPr="00DF6970">
        <w:rPr>
          <w:rFonts w:ascii="Times New Roman" w:hAnsi="Times New Roman" w:cs="Times New Roman"/>
          <w:sz w:val="24"/>
          <w:szCs w:val="24"/>
        </w:rPr>
        <w:t>, 86(12), 1421-1427.</w:t>
      </w:r>
    </w:p>
    <w:p w14:paraId="7ACA031B"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[15] Ndegwa, E.N., Nyachieo, A., Muchadeyi, F.C., Shigwedha, N., &amp; Irungu, K. (2020). Age-related differences in virulence gene expression in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isolated from diarrheic goats. </w:t>
      </w:r>
      <w:r w:rsidRPr="00DF6970">
        <w:rPr>
          <w:rFonts w:ascii="Times New Roman" w:hAnsi="Times New Roman" w:cs="Times New Roman"/>
          <w:i/>
          <w:sz w:val="24"/>
          <w:szCs w:val="24"/>
        </w:rPr>
        <w:t>Tropical Animal Health and Production</w:t>
      </w:r>
      <w:r w:rsidRPr="00DF6970">
        <w:rPr>
          <w:rFonts w:ascii="Times New Roman" w:hAnsi="Times New Roman" w:cs="Times New Roman"/>
          <w:sz w:val="24"/>
          <w:szCs w:val="24"/>
        </w:rPr>
        <w:t xml:space="preserve">, 52, 2795-2806. </w:t>
      </w:r>
      <w:hyperlink r:id="rId10">
        <w:r w:rsidR="00292CAE" w:rsidRPr="00DF6970">
          <w:rPr>
            <w:rFonts w:ascii="Times New Roman" w:hAnsi="Times New Roman" w:cs="Times New Roman"/>
            <w:color w:val="4472C4"/>
            <w:sz w:val="24"/>
            <w:szCs w:val="24"/>
          </w:rPr>
          <w:t>https://doi.org/10.1007/s11250-020-02317-3</w:t>
        </w:r>
      </w:hyperlink>
    </w:p>
    <w:p w14:paraId="32E612FA"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[16] Ramamurthy, T. (2008). Enterohemorrhagic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in India: An update. </w:t>
      </w:r>
      <w:r w:rsidRPr="00DF6970">
        <w:rPr>
          <w:rFonts w:ascii="Times New Roman" w:hAnsi="Times New Roman" w:cs="Times New Roman"/>
          <w:i/>
          <w:sz w:val="24"/>
          <w:szCs w:val="24"/>
        </w:rPr>
        <w:t>Indian Journal of Medical Research</w:t>
      </w:r>
      <w:r w:rsidRPr="00DF6970">
        <w:rPr>
          <w:rFonts w:ascii="Times New Roman" w:hAnsi="Times New Roman" w:cs="Times New Roman"/>
          <w:sz w:val="24"/>
          <w:szCs w:val="24"/>
        </w:rPr>
        <w:t>, 128(4), 399-413.</w:t>
      </w:r>
    </w:p>
    <w:p w14:paraId="3F72D78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[17] Friedrich, A.W., Bielaszewska, M., Zhang, W.L., Pulz, M., Kuczius, T., Amezquita, A., ... &amp; Karch, H. (2002). Escherichia coli harboring Shiga toxin 2 gene variants: Frequency and association with clinical symptoms. </w:t>
      </w:r>
      <w:r w:rsidRPr="00DF6970">
        <w:rPr>
          <w:rFonts w:ascii="Times New Roman" w:hAnsi="Times New Roman" w:cs="Times New Roman"/>
          <w:i/>
          <w:sz w:val="24"/>
          <w:szCs w:val="24"/>
        </w:rPr>
        <w:t>Journal of Infectious Diseases</w:t>
      </w:r>
      <w:r w:rsidRPr="00DF6970">
        <w:rPr>
          <w:rFonts w:ascii="Times New Roman" w:hAnsi="Times New Roman" w:cs="Times New Roman"/>
          <w:sz w:val="24"/>
          <w:szCs w:val="24"/>
        </w:rPr>
        <w:t>, 185(1), 74-82.</w:t>
      </w:r>
    </w:p>
    <w:p w14:paraId="33C29C80"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[18] Newton, H.J., Muller, J., &amp; Sancho-Shimizu, V. (2009).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and enteroinvasive</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demonstrate distinct patterns of virulence gene expression. </w:t>
      </w:r>
      <w:r w:rsidRPr="00DF6970">
        <w:rPr>
          <w:rFonts w:ascii="Times New Roman" w:hAnsi="Times New Roman" w:cs="Times New Roman"/>
          <w:i/>
          <w:sz w:val="24"/>
          <w:szCs w:val="24"/>
        </w:rPr>
        <w:t>Infection and Immunity</w:t>
      </w:r>
      <w:r w:rsidRPr="00DF6970">
        <w:rPr>
          <w:rFonts w:ascii="Times New Roman" w:hAnsi="Times New Roman" w:cs="Times New Roman"/>
          <w:sz w:val="24"/>
          <w:szCs w:val="24"/>
        </w:rPr>
        <w:t>, 77(5), 2020-2032.</w:t>
      </w:r>
    </w:p>
    <w:p w14:paraId="4BFAA128"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[19] Zhang, W.L., Köhler, B., &amp; Guth, B.E.C. (2009). Enterotoxigenic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in calves: Incidence and characteristics.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118(3-4), 211-221.</w:t>
      </w:r>
    </w:p>
    <w:p w14:paraId="69056062"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[20] Afema, J.A., Ahmed, S., Besser, T.E., Jones, L.P., Sischo, W.M., &amp; Davis, M.A. (2018). Molecular epidemiology of dairy cattle-associated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carrying </w:t>
      </w:r>
      <w:r w:rsidRPr="00DF6970">
        <w:rPr>
          <w:rFonts w:ascii="Times New Roman" w:hAnsi="Times New Roman" w:cs="Times New Roman"/>
          <w:i/>
          <w:sz w:val="24"/>
          <w:szCs w:val="24"/>
        </w:rPr>
        <w:t>bla</w:t>
      </w:r>
      <m:oMath>
        <m:sSub>
          <m:sSubPr>
            <m:ctrlPr>
              <w:rPr>
                <w:rFonts w:ascii="Cambria Math" w:hAnsi="Cambria Math" w:cs="Times New Roman"/>
                <w:sz w:val="24"/>
                <w:szCs w:val="24"/>
              </w:rPr>
            </m:ctrlPr>
          </m:sSubPr>
          <m:e/>
          <m:sub/>
        </m:sSub>
      </m:oMath>
      <w:r w:rsidRPr="00DF6970">
        <w:rPr>
          <w:rFonts w:ascii="Times New Roman" w:hAnsi="Times New Roman" w:cs="Times New Roman"/>
          <w:sz w:val="24"/>
          <w:szCs w:val="24"/>
        </w:rPr>
        <w:t xml:space="preserve"> genes in Washington State. </w:t>
      </w:r>
      <w:r w:rsidRPr="00DF6970">
        <w:rPr>
          <w:rFonts w:ascii="Times New Roman" w:hAnsi="Times New Roman" w:cs="Times New Roman"/>
          <w:i/>
          <w:sz w:val="24"/>
          <w:szCs w:val="24"/>
        </w:rPr>
        <w:t>Applied and Environmental Microbiology</w:t>
      </w:r>
      <w:r w:rsidRPr="00DF6970">
        <w:rPr>
          <w:rFonts w:ascii="Times New Roman" w:hAnsi="Times New Roman" w:cs="Times New Roman"/>
          <w:sz w:val="24"/>
          <w:szCs w:val="24"/>
        </w:rPr>
        <w:t xml:space="preserve">, 84(8), 02430-17. </w:t>
      </w:r>
      <w:hyperlink r:id="rId11">
        <w:r w:rsidR="00292CAE" w:rsidRPr="00DF6970">
          <w:rPr>
            <w:rFonts w:ascii="Times New Roman" w:hAnsi="Times New Roman" w:cs="Times New Roman"/>
            <w:color w:val="4472C4"/>
            <w:sz w:val="24"/>
            <w:szCs w:val="24"/>
          </w:rPr>
          <w:t>https://doi.org/10.1128/AEM.02430-17</w:t>
        </w:r>
      </w:hyperlink>
    </w:p>
    <w:p w14:paraId="0E4F7C2D"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lastRenderedPageBreak/>
        <w:t xml:space="preserve">[21] Wang, X., Wang, Y., Zhou, Y., Li, J., Yin, W., Wang, S., ... &amp; Shen, J. (2020). Emergence of a novel mobile colistin resistance gene mcr-1 in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Antimicrobial Agents and Chemotherapy</w:t>
      </w:r>
      <w:r w:rsidRPr="00DF6970">
        <w:rPr>
          <w:rFonts w:ascii="Times New Roman" w:hAnsi="Times New Roman" w:cs="Times New Roman"/>
          <w:sz w:val="24"/>
          <w:szCs w:val="24"/>
        </w:rPr>
        <w:t>, 60(11), 6923-6929.</w:t>
      </w:r>
    </w:p>
    <w:p w14:paraId="1A5B856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[22] Goldwater, P.N., &amp; Bettelheim, K.A. (2012). Treatment of enterohaemorrhagic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(EHEC) infection and haemolyticuraemic syndrome (HUS). </w:t>
      </w:r>
      <w:r w:rsidRPr="00DF6970">
        <w:rPr>
          <w:rFonts w:ascii="Times New Roman" w:hAnsi="Times New Roman" w:cs="Times New Roman"/>
          <w:i/>
          <w:sz w:val="24"/>
          <w:szCs w:val="24"/>
        </w:rPr>
        <w:t>Journal of Microbiology, Immunology and Infection</w:t>
      </w:r>
      <w:r w:rsidRPr="00DF6970">
        <w:rPr>
          <w:rFonts w:ascii="Times New Roman" w:hAnsi="Times New Roman" w:cs="Times New Roman"/>
          <w:sz w:val="24"/>
          <w:szCs w:val="24"/>
        </w:rPr>
        <w:t>, 45(1), 1-8.</w:t>
      </w:r>
    </w:p>
    <w:p w14:paraId="44192C4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[23] Bok, E., Terefework, Z., Gärntoft, K., &amp;Kjerrström, H. (2015). Plasmid-mediated resistance genes in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from beef cattle herds.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144(3-4), 447-456.</w:t>
      </w:r>
    </w:p>
    <w:p w14:paraId="14C3E580"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[24] De Verdier, K., Nyman, A., Greko, C., &amp; Bengtsson, B. (2012). Antimicrobial resistance and biochemical properties of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isolated from Swedish dairy cattle.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114(3-4), 306-314.</w:t>
      </w:r>
    </w:p>
    <w:p w14:paraId="3A482D3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[25] Malik, A., Waqas, M., Khan, S., &amp; Anwar, M. (2012). Antimicrobial resistance of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isolated from poultry in relation to usage of antimicrobials. </w:t>
      </w:r>
      <w:r w:rsidRPr="00DF6970">
        <w:rPr>
          <w:rFonts w:ascii="Times New Roman" w:hAnsi="Times New Roman" w:cs="Times New Roman"/>
          <w:i/>
          <w:sz w:val="24"/>
          <w:szCs w:val="24"/>
        </w:rPr>
        <w:t>Brazilian Journal of Microbiology</w:t>
      </w:r>
      <w:r w:rsidRPr="00DF6970">
        <w:rPr>
          <w:rFonts w:ascii="Times New Roman" w:hAnsi="Times New Roman" w:cs="Times New Roman"/>
          <w:sz w:val="24"/>
          <w:szCs w:val="24"/>
        </w:rPr>
        <w:t>, 43(1), 327-334.</w:t>
      </w:r>
    </w:p>
    <w:p w14:paraId="7DFAE53A"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[26] WHO (2021). </w:t>
      </w:r>
      <w:r w:rsidRPr="00DF6970">
        <w:rPr>
          <w:rFonts w:ascii="Times New Roman" w:hAnsi="Times New Roman" w:cs="Times New Roman"/>
          <w:i/>
          <w:sz w:val="24"/>
          <w:szCs w:val="24"/>
        </w:rPr>
        <w:t>Antimicrobial Resistance: Global Report on Surveillance</w:t>
      </w:r>
      <w:r w:rsidRPr="00DF6970">
        <w:rPr>
          <w:rFonts w:ascii="Times New Roman" w:hAnsi="Times New Roman" w:cs="Times New Roman"/>
          <w:sz w:val="24"/>
          <w:szCs w:val="24"/>
        </w:rPr>
        <w:t>. World Health Organization, Geneva.</w:t>
      </w:r>
    </w:p>
    <w:sectPr w:rsidR="00292CAE" w:rsidRPr="00DF6970" w:rsidSect="00554882">
      <w:headerReference w:type="even" r:id="rId12"/>
      <w:headerReference w:type="default" r:id="rId13"/>
      <w:footerReference w:type="even" r:id="rId14"/>
      <w:footerReference w:type="default" r:id="rId15"/>
      <w:headerReference w:type="first" r:id="rId16"/>
      <w:footerReference w:type="first" r:id="rId17"/>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7BE92" w14:textId="77777777" w:rsidR="00377283" w:rsidRDefault="00377283" w:rsidP="00DE18EA">
      <w:pPr>
        <w:spacing w:after="0" w:line="240" w:lineRule="auto"/>
      </w:pPr>
      <w:r>
        <w:separator/>
      </w:r>
    </w:p>
  </w:endnote>
  <w:endnote w:type="continuationSeparator" w:id="0">
    <w:p w14:paraId="7B759F81" w14:textId="77777777" w:rsidR="00377283" w:rsidRDefault="00377283" w:rsidP="00DE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E8E4" w14:textId="77777777" w:rsidR="00DE18EA" w:rsidRDefault="00DE1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62B0" w14:textId="77777777" w:rsidR="00DE18EA" w:rsidRDefault="00DE1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9E94" w14:textId="77777777" w:rsidR="00DE18EA" w:rsidRDefault="00DE1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C195" w14:textId="77777777" w:rsidR="00377283" w:rsidRDefault="00377283" w:rsidP="00DE18EA">
      <w:pPr>
        <w:spacing w:after="0" w:line="240" w:lineRule="auto"/>
      </w:pPr>
      <w:r>
        <w:separator/>
      </w:r>
    </w:p>
  </w:footnote>
  <w:footnote w:type="continuationSeparator" w:id="0">
    <w:p w14:paraId="4CA52A70" w14:textId="77777777" w:rsidR="00377283" w:rsidRDefault="00377283" w:rsidP="00DE1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90DC" w14:textId="3CBE1548" w:rsidR="00DE18EA" w:rsidRDefault="00DE18EA">
    <w:pPr>
      <w:pStyle w:val="Header"/>
    </w:pPr>
    <w:r>
      <w:rPr>
        <w:noProof/>
      </w:rPr>
      <w:pict w14:anchorId="12540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84047" o:spid="_x0000_s2050" type="#_x0000_t136" style="position:absolute;margin-left:0;margin-top:0;width:554.15pt;height:58.3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D293" w14:textId="52A247EF" w:rsidR="00DE18EA" w:rsidRDefault="00DE18EA">
    <w:pPr>
      <w:pStyle w:val="Header"/>
    </w:pPr>
    <w:r>
      <w:rPr>
        <w:noProof/>
      </w:rPr>
      <w:pict w14:anchorId="78438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84048" o:spid="_x0000_s2051" type="#_x0000_t136" style="position:absolute;margin-left:0;margin-top:0;width:554.15pt;height:58.3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3003" w14:textId="7297BE3E" w:rsidR="00DE18EA" w:rsidRDefault="00DE18EA">
    <w:pPr>
      <w:pStyle w:val="Header"/>
    </w:pPr>
    <w:r>
      <w:rPr>
        <w:noProof/>
      </w:rPr>
      <w:pict w14:anchorId="1A09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84046" o:spid="_x0000_s2049" type="#_x0000_t136" style="position:absolute;margin-left:0;margin-top:0;width:554.15pt;height:58.3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A0869"/>
    <w:multiLevelType w:val="hybridMultilevel"/>
    <w:tmpl w:val="BBEE0D78"/>
    <w:lvl w:ilvl="0" w:tplc="F8822A64">
      <w:start w:val="1"/>
      <w:numFmt w:val="bullet"/>
      <w:lvlText w:val=""/>
      <w:lvlJc w:val="left"/>
      <w:pPr>
        <w:tabs>
          <w:tab w:val="num" w:pos="1080"/>
        </w:tabs>
        <w:ind w:left="720" w:hanging="360"/>
      </w:pPr>
      <w:rPr>
        <w:rFonts w:ascii="Symbol" w:hAnsi="Symbol" w:hint="default"/>
      </w:rPr>
    </w:lvl>
    <w:lvl w:ilvl="1" w:tplc="8732063E">
      <w:numFmt w:val="decimal"/>
      <w:lvlText w:val=""/>
      <w:lvlJc w:val="left"/>
    </w:lvl>
    <w:lvl w:ilvl="2" w:tplc="BC14E29E">
      <w:numFmt w:val="decimal"/>
      <w:lvlText w:val=""/>
      <w:lvlJc w:val="left"/>
    </w:lvl>
    <w:lvl w:ilvl="3" w:tplc="4B127F52">
      <w:numFmt w:val="decimal"/>
      <w:lvlText w:val=""/>
      <w:lvlJc w:val="left"/>
    </w:lvl>
    <w:lvl w:ilvl="4" w:tplc="0B1C87B8">
      <w:numFmt w:val="decimal"/>
      <w:lvlText w:val=""/>
      <w:lvlJc w:val="left"/>
    </w:lvl>
    <w:lvl w:ilvl="5" w:tplc="0BFAFBFE">
      <w:numFmt w:val="decimal"/>
      <w:lvlText w:val=""/>
      <w:lvlJc w:val="left"/>
    </w:lvl>
    <w:lvl w:ilvl="6" w:tplc="DCCC058E">
      <w:numFmt w:val="decimal"/>
      <w:lvlText w:val=""/>
      <w:lvlJc w:val="left"/>
    </w:lvl>
    <w:lvl w:ilvl="7" w:tplc="5CB060C6">
      <w:numFmt w:val="decimal"/>
      <w:lvlText w:val=""/>
      <w:lvlJc w:val="left"/>
    </w:lvl>
    <w:lvl w:ilvl="8" w:tplc="0E9A94AC">
      <w:numFmt w:val="decimal"/>
      <w:lvlText w:val=""/>
      <w:lvlJc w:val="left"/>
    </w:lvl>
  </w:abstractNum>
  <w:abstractNum w:abstractNumId="1" w15:restartNumberingAfterBreak="0">
    <w:nsid w:val="35105B30"/>
    <w:multiLevelType w:val="hybridMultilevel"/>
    <w:tmpl w:val="2EEEB626"/>
    <w:lvl w:ilvl="0" w:tplc="63820318">
      <w:start w:val="1"/>
      <w:numFmt w:val="decimal"/>
      <w:lvlText w:val="%1."/>
      <w:lvlJc w:val="left"/>
      <w:pPr>
        <w:tabs>
          <w:tab w:val="num" w:pos="1080"/>
        </w:tabs>
        <w:ind w:left="720" w:hanging="360"/>
      </w:pPr>
    </w:lvl>
    <w:lvl w:ilvl="1" w:tplc="06207494">
      <w:numFmt w:val="decimal"/>
      <w:lvlText w:val=""/>
      <w:lvlJc w:val="left"/>
    </w:lvl>
    <w:lvl w:ilvl="2" w:tplc="C706D3DA">
      <w:numFmt w:val="decimal"/>
      <w:lvlText w:val=""/>
      <w:lvlJc w:val="left"/>
    </w:lvl>
    <w:lvl w:ilvl="3" w:tplc="D0F495C2">
      <w:numFmt w:val="decimal"/>
      <w:lvlText w:val=""/>
      <w:lvlJc w:val="left"/>
    </w:lvl>
    <w:lvl w:ilvl="4" w:tplc="BB2E884E">
      <w:numFmt w:val="decimal"/>
      <w:lvlText w:val=""/>
      <w:lvlJc w:val="left"/>
    </w:lvl>
    <w:lvl w:ilvl="5" w:tplc="A4725954">
      <w:numFmt w:val="decimal"/>
      <w:lvlText w:val=""/>
      <w:lvlJc w:val="left"/>
    </w:lvl>
    <w:lvl w:ilvl="6" w:tplc="492233BA">
      <w:numFmt w:val="decimal"/>
      <w:lvlText w:val=""/>
      <w:lvlJc w:val="left"/>
    </w:lvl>
    <w:lvl w:ilvl="7" w:tplc="AEEAB794">
      <w:numFmt w:val="decimal"/>
      <w:lvlText w:val=""/>
      <w:lvlJc w:val="left"/>
    </w:lvl>
    <w:lvl w:ilvl="8" w:tplc="165E84F6">
      <w:numFmt w:val="decimal"/>
      <w:lvlText w:val=""/>
      <w:lvlJc w:val="left"/>
    </w:lvl>
  </w:abstractNum>
  <w:abstractNum w:abstractNumId="2" w15:restartNumberingAfterBreak="0">
    <w:nsid w:val="54B26730"/>
    <w:multiLevelType w:val="hybridMultilevel"/>
    <w:tmpl w:val="C16AA57A"/>
    <w:lvl w:ilvl="0" w:tplc="C728F1B8">
      <w:start w:val="1"/>
      <w:numFmt w:val="bullet"/>
      <w:lvlText w:val=""/>
      <w:lvlJc w:val="left"/>
      <w:pPr>
        <w:tabs>
          <w:tab w:val="num" w:pos="1080"/>
        </w:tabs>
        <w:ind w:left="720" w:hanging="360"/>
      </w:pPr>
      <w:rPr>
        <w:rFonts w:ascii="Symbol" w:hAnsi="Symbol" w:hint="default"/>
      </w:rPr>
    </w:lvl>
    <w:lvl w:ilvl="1" w:tplc="D22443E0">
      <w:numFmt w:val="decimal"/>
      <w:lvlText w:val=""/>
      <w:lvlJc w:val="left"/>
    </w:lvl>
    <w:lvl w:ilvl="2" w:tplc="4B624FEC">
      <w:numFmt w:val="decimal"/>
      <w:lvlText w:val=""/>
      <w:lvlJc w:val="left"/>
    </w:lvl>
    <w:lvl w:ilvl="3" w:tplc="9320C40E">
      <w:numFmt w:val="decimal"/>
      <w:lvlText w:val=""/>
      <w:lvlJc w:val="left"/>
    </w:lvl>
    <w:lvl w:ilvl="4" w:tplc="E9E81F42">
      <w:numFmt w:val="decimal"/>
      <w:lvlText w:val=""/>
      <w:lvlJc w:val="left"/>
    </w:lvl>
    <w:lvl w:ilvl="5" w:tplc="6E52CCE0">
      <w:numFmt w:val="decimal"/>
      <w:lvlText w:val=""/>
      <w:lvlJc w:val="left"/>
    </w:lvl>
    <w:lvl w:ilvl="6" w:tplc="2752F60C">
      <w:numFmt w:val="decimal"/>
      <w:lvlText w:val=""/>
      <w:lvlJc w:val="left"/>
    </w:lvl>
    <w:lvl w:ilvl="7" w:tplc="DD688FCA">
      <w:numFmt w:val="decimal"/>
      <w:lvlText w:val=""/>
      <w:lvlJc w:val="left"/>
    </w:lvl>
    <w:lvl w:ilvl="8" w:tplc="BB983A96">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AE"/>
    <w:rsid w:val="0009749A"/>
    <w:rsid w:val="000B760D"/>
    <w:rsid w:val="000F7883"/>
    <w:rsid w:val="00292CAE"/>
    <w:rsid w:val="002F1403"/>
    <w:rsid w:val="00352D1C"/>
    <w:rsid w:val="00377283"/>
    <w:rsid w:val="00554882"/>
    <w:rsid w:val="005A2E21"/>
    <w:rsid w:val="00693910"/>
    <w:rsid w:val="006A28A4"/>
    <w:rsid w:val="00823FB1"/>
    <w:rsid w:val="008327F2"/>
    <w:rsid w:val="008C3329"/>
    <w:rsid w:val="0090216B"/>
    <w:rsid w:val="009B2719"/>
    <w:rsid w:val="00A36E27"/>
    <w:rsid w:val="00A6656C"/>
    <w:rsid w:val="00BE6ED7"/>
    <w:rsid w:val="00C87F06"/>
    <w:rsid w:val="00C95D35"/>
    <w:rsid w:val="00CF4C5A"/>
    <w:rsid w:val="00D23578"/>
    <w:rsid w:val="00DE18EA"/>
    <w:rsid w:val="00DF6970"/>
    <w:rsid w:val="00EE6F06"/>
    <w:rsid w:val="00EF72AB"/>
    <w:rsid w:val="00F40AE6"/>
    <w:rsid w:val="00F97CA5"/>
    <w:rsid w:val="00FE72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70199"/>
  <w15:docId w15:val="{6179F9AD-0A9A-4D67-AE4C-813D5F15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554882"/>
    <w:rPr>
      <w:rFonts w:ascii="Consolas" w:hAnsi="Consolas"/>
      <w:sz w:val="22"/>
    </w:rPr>
  </w:style>
  <w:style w:type="table" w:customStyle="1" w:styleId="NormalGrid">
    <w:name w:val="Normal Grid"/>
    <w:basedOn w:val="TableNormal"/>
    <w:uiPriority w:val="39"/>
    <w:rsid w:val="00554882"/>
    <w:pPr>
      <w:spacing w:after="0" w:line="240" w:lineRule="auto"/>
    </w:pPr>
    <w:tblPr>
      <w:tblCellMar>
        <w:top w:w="80" w:type="dxa"/>
        <w:left w:w="160" w:type="dxa"/>
        <w:bottom w:w="80" w:type="dxa"/>
        <w:right w:w="160" w:type="dxa"/>
      </w:tblCellMar>
    </w:tblPr>
  </w:style>
  <w:style w:type="paragraph" w:styleId="NormalWeb">
    <w:name w:val="Normal (Web)"/>
    <w:basedOn w:val="Normal"/>
    <w:uiPriority w:val="99"/>
    <w:unhideWhenUsed/>
    <w:rsid w:val="008327F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327F2"/>
    <w:rPr>
      <w:b/>
      <w:bCs/>
    </w:rPr>
  </w:style>
  <w:style w:type="character" w:styleId="Emphasis">
    <w:name w:val="Emphasis"/>
    <w:basedOn w:val="DefaultParagraphFont"/>
    <w:uiPriority w:val="20"/>
    <w:qFormat/>
    <w:rsid w:val="008327F2"/>
    <w:rPr>
      <w:i/>
      <w:iCs/>
    </w:rPr>
  </w:style>
  <w:style w:type="paragraph" w:styleId="BalloonText">
    <w:name w:val="Balloon Text"/>
    <w:basedOn w:val="Normal"/>
    <w:link w:val="BalloonTextChar"/>
    <w:uiPriority w:val="99"/>
    <w:semiHidden/>
    <w:unhideWhenUsed/>
    <w:rsid w:val="000F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883"/>
    <w:rPr>
      <w:rFonts w:ascii="Tahoma" w:hAnsi="Tahoma" w:cs="Tahoma"/>
      <w:sz w:val="16"/>
      <w:szCs w:val="16"/>
    </w:rPr>
  </w:style>
  <w:style w:type="paragraph" w:styleId="Header">
    <w:name w:val="header"/>
    <w:basedOn w:val="Normal"/>
    <w:link w:val="HeaderChar"/>
    <w:uiPriority w:val="99"/>
    <w:unhideWhenUsed/>
    <w:rsid w:val="00DE1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EA"/>
  </w:style>
  <w:style w:type="paragraph" w:styleId="Footer">
    <w:name w:val="footer"/>
    <w:basedOn w:val="Normal"/>
    <w:link w:val="FooterChar"/>
    <w:uiPriority w:val="99"/>
    <w:unhideWhenUsed/>
    <w:rsid w:val="00DE1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toxins1206038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28/CMR.00033-1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8/AEM.02430-1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11250-020-0231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4202/vetworld.2018.1123-113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PC 1170</cp:lastModifiedBy>
  <cp:revision>11</cp:revision>
  <dcterms:created xsi:type="dcterms:W3CDTF">2026-01-13T11:19:00Z</dcterms:created>
  <dcterms:modified xsi:type="dcterms:W3CDTF">2026-01-14T12:02:00Z</dcterms:modified>
</cp:coreProperties>
</file>