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B1FDC" w14:textId="6A77BB64" w:rsidR="00D30F3C" w:rsidRDefault="00EB411D" w:rsidP="00FE0282">
      <w:pPr>
        <w:pStyle w:val="Author"/>
        <w:spacing w:line="240" w:lineRule="auto"/>
        <w:jc w:val="both"/>
        <w:rPr>
          <w:rFonts w:ascii="Arial" w:hAnsi="Arial" w:cs="Arial"/>
          <w:bCs/>
          <w:iCs/>
          <w:kern w:val="28"/>
          <w:sz w:val="36"/>
          <w:u w:val="single"/>
          <w:lang w:val="en-IN"/>
        </w:rPr>
      </w:pPr>
      <w:r w:rsidRPr="00EB411D">
        <w:rPr>
          <w:rFonts w:ascii="Arial" w:hAnsi="Arial" w:cs="Arial"/>
          <w:bCs/>
          <w:iCs/>
          <w:kern w:val="28"/>
          <w:sz w:val="36"/>
          <w:u w:val="single"/>
          <w:lang w:val="en-IN"/>
        </w:rPr>
        <w:t>Original Research Article</w:t>
      </w:r>
    </w:p>
    <w:p w14:paraId="7F54BAF6" w14:textId="77777777" w:rsidR="00EB411D" w:rsidRPr="00EB411D" w:rsidRDefault="00EB411D" w:rsidP="00FE0282">
      <w:pPr>
        <w:pStyle w:val="Author"/>
        <w:spacing w:line="240" w:lineRule="auto"/>
        <w:jc w:val="both"/>
        <w:rPr>
          <w:rFonts w:ascii="Arial" w:hAnsi="Arial" w:cs="Arial"/>
          <w:bCs/>
          <w:iCs/>
          <w:kern w:val="28"/>
          <w:sz w:val="36"/>
          <w:u w:val="single"/>
          <w:lang w:val="en-IN"/>
        </w:rPr>
      </w:pPr>
    </w:p>
    <w:p w14:paraId="1EFA48B8" w14:textId="1D907166" w:rsidR="00FE0282" w:rsidRPr="00FE0282" w:rsidRDefault="00FE0282" w:rsidP="00D30F3C">
      <w:pPr>
        <w:pStyle w:val="Author"/>
        <w:spacing w:line="240" w:lineRule="auto"/>
        <w:rPr>
          <w:rFonts w:ascii="Arial" w:hAnsi="Arial" w:cs="Arial"/>
          <w:bCs/>
          <w:iCs/>
          <w:kern w:val="28"/>
          <w:sz w:val="36"/>
          <w:lang w:val="en-IN"/>
        </w:rPr>
      </w:pPr>
      <w:r w:rsidRPr="00FE0282">
        <w:rPr>
          <w:rFonts w:ascii="Arial" w:hAnsi="Arial" w:cs="Arial"/>
          <w:bCs/>
          <w:iCs/>
          <w:kern w:val="28"/>
          <w:sz w:val="36"/>
          <w:lang w:val="en-IN"/>
        </w:rPr>
        <w:t>Biochemical Characterization of Groundnut (</w:t>
      </w:r>
      <w:r w:rsidRPr="00FE0282">
        <w:rPr>
          <w:rFonts w:ascii="Arial" w:hAnsi="Arial" w:cs="Arial"/>
          <w:bCs/>
          <w:i/>
          <w:iCs/>
          <w:kern w:val="28"/>
          <w:sz w:val="36"/>
          <w:lang w:val="en-IN"/>
        </w:rPr>
        <w:t>Arachis hypogaea</w:t>
      </w:r>
      <w:r w:rsidRPr="00FE0282">
        <w:rPr>
          <w:rFonts w:ascii="Arial" w:hAnsi="Arial" w:cs="Arial"/>
          <w:bCs/>
          <w:iCs/>
          <w:kern w:val="28"/>
          <w:sz w:val="36"/>
          <w:lang w:val="en-IN"/>
        </w:rPr>
        <w:t xml:space="preserve"> L.) Genotypes for Nutritional and Stress-Related Traits</w:t>
      </w:r>
    </w:p>
    <w:p w14:paraId="3EA445F1" w14:textId="77777777" w:rsidR="00A258C3" w:rsidRPr="00790ADA" w:rsidRDefault="00A258C3" w:rsidP="00441B6F">
      <w:pPr>
        <w:pStyle w:val="Author"/>
        <w:spacing w:line="240" w:lineRule="auto"/>
        <w:jc w:val="both"/>
        <w:rPr>
          <w:rFonts w:ascii="Arial" w:hAnsi="Arial" w:cs="Arial"/>
          <w:sz w:val="36"/>
        </w:rPr>
      </w:pPr>
    </w:p>
    <w:p w14:paraId="790954C0" w14:textId="77777777" w:rsidR="00EB411D" w:rsidRPr="00EB411D" w:rsidRDefault="00EB411D" w:rsidP="00EB411D">
      <w:pPr>
        <w:pStyle w:val="Affiliation"/>
        <w:rPr>
          <w:rFonts w:ascii="Arial" w:hAnsi="Arial" w:cs="Arial"/>
          <w:i/>
          <w:vertAlign w:val="superscript"/>
          <w:lang w:val="en-IN"/>
        </w:rPr>
      </w:pPr>
    </w:p>
    <w:p w14:paraId="2778F9E3" w14:textId="77777777" w:rsidR="002C57D2" w:rsidRPr="00FB3A86" w:rsidRDefault="002C57D2" w:rsidP="00441B6F">
      <w:pPr>
        <w:pStyle w:val="Affiliation"/>
        <w:spacing w:after="0" w:line="240" w:lineRule="auto"/>
        <w:jc w:val="both"/>
        <w:rPr>
          <w:rFonts w:ascii="Arial" w:hAnsi="Arial" w:cs="Arial"/>
        </w:rPr>
      </w:pPr>
    </w:p>
    <w:p w14:paraId="6717399A" w14:textId="7D6A03D9" w:rsidR="00B01FCD" w:rsidRPr="00FB3A86" w:rsidRDefault="00582E5E" w:rsidP="00441B6F">
      <w:pPr>
        <w:pStyle w:val="Copyright"/>
        <w:spacing w:after="0" w:line="240" w:lineRule="auto"/>
        <w:jc w:val="both"/>
        <w:rPr>
          <w:rFonts w:ascii="Arial" w:hAnsi="Arial" w:cs="Arial"/>
        </w:rPr>
        <w:sectPr w:rsidR="00B01FCD" w:rsidRPr="00FB3A86" w:rsidSect="00E560B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11B7EC" wp14:editId="3F1AACF5">
                <wp:extent cx="5303520" cy="635"/>
                <wp:effectExtent l="9525" t="15875" r="11430" b="12700"/>
                <wp:docPr id="4657642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78CB0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109B55F" w14:textId="3161B1C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C7FAA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6DFF00C" w14:textId="77777777" w:rsidTr="001E44FE">
        <w:tc>
          <w:tcPr>
            <w:tcW w:w="9576" w:type="dxa"/>
            <w:shd w:val="clear" w:color="auto" w:fill="F2F2F2"/>
          </w:tcPr>
          <w:p w14:paraId="13D299E5" w14:textId="77777777" w:rsidR="00592E28" w:rsidRDefault="00BA1B01" w:rsidP="00592E28">
            <w:pPr>
              <w:pStyle w:val="Body"/>
              <w:spacing w:after="0"/>
              <w:rPr>
                <w:rFonts w:ascii="Arial" w:hAnsi="Arial" w:cs="Arial"/>
                <w:sz w:val="22"/>
                <w:szCs w:val="22"/>
              </w:rPr>
            </w:pPr>
            <w:r w:rsidRPr="00BA1B01">
              <w:rPr>
                <w:rFonts w:ascii="Arial" w:eastAsia="Calibri" w:hAnsi="Arial" w:cs="Arial"/>
                <w:b/>
                <w:szCs w:val="22"/>
              </w:rPr>
              <w:t xml:space="preserve">Aims: </w:t>
            </w:r>
            <w:r w:rsidR="00592E28" w:rsidRPr="00D957A4">
              <w:rPr>
                <w:rFonts w:ascii="Arial" w:hAnsi="Arial" w:cs="Arial"/>
                <w:sz w:val="22"/>
                <w:szCs w:val="22"/>
              </w:rPr>
              <w:t>Groundnut (</w:t>
            </w:r>
            <w:r w:rsidR="00592E28" w:rsidRPr="0047394B">
              <w:rPr>
                <w:rFonts w:ascii="Arial" w:hAnsi="Arial" w:cs="Arial"/>
                <w:i/>
                <w:iCs/>
                <w:sz w:val="22"/>
                <w:szCs w:val="22"/>
              </w:rPr>
              <w:t>Arachis hypogaea</w:t>
            </w:r>
            <w:r w:rsidR="00592E28" w:rsidRPr="00D957A4">
              <w:rPr>
                <w:rFonts w:ascii="Arial" w:hAnsi="Arial" w:cs="Arial"/>
                <w:sz w:val="22"/>
                <w:szCs w:val="22"/>
              </w:rPr>
              <w:t xml:space="preserve"> L.) is a valuable oilseed crop recognized for its significant nutritional and industrial importance. It is crucial to comprehend the biochemical makeup of different groundnut genotypes to identify those with enhanced quality and resilience to stress. This study was carried out to assess the biochemical differences among various groundnut genotypes concerning important traits, including </w:t>
            </w:r>
            <w:r w:rsidR="00592E28">
              <w:rPr>
                <w:rFonts w:ascii="Arial" w:hAnsi="Arial" w:cs="Arial"/>
                <w:sz w:val="22"/>
                <w:szCs w:val="22"/>
              </w:rPr>
              <w:t>t</w:t>
            </w:r>
            <w:r w:rsidR="00592E28" w:rsidRPr="00D957A4">
              <w:rPr>
                <w:rFonts w:ascii="Arial" w:hAnsi="Arial" w:cs="Arial"/>
                <w:sz w:val="22"/>
                <w:szCs w:val="22"/>
              </w:rPr>
              <w:t xml:space="preserve">otal sugar, </w:t>
            </w:r>
            <w:r w:rsidR="00592E28">
              <w:rPr>
                <w:rFonts w:ascii="Arial" w:hAnsi="Arial" w:cs="Arial"/>
                <w:sz w:val="22"/>
                <w:szCs w:val="22"/>
              </w:rPr>
              <w:t>p</w:t>
            </w:r>
            <w:r w:rsidR="00592E28" w:rsidRPr="00D957A4">
              <w:rPr>
                <w:rFonts w:ascii="Arial" w:hAnsi="Arial" w:cs="Arial"/>
                <w:sz w:val="22"/>
                <w:szCs w:val="22"/>
              </w:rPr>
              <w:t xml:space="preserve">rotein, </w:t>
            </w:r>
            <w:r w:rsidR="00592E28">
              <w:rPr>
                <w:rFonts w:ascii="Arial" w:hAnsi="Arial" w:cs="Arial"/>
                <w:sz w:val="22"/>
                <w:szCs w:val="22"/>
              </w:rPr>
              <w:t>p</w:t>
            </w:r>
            <w:r w:rsidR="00592E28" w:rsidRPr="00D957A4">
              <w:rPr>
                <w:rFonts w:ascii="Arial" w:hAnsi="Arial" w:cs="Arial"/>
                <w:sz w:val="22"/>
                <w:szCs w:val="22"/>
              </w:rPr>
              <w:t xml:space="preserve">roline, </w:t>
            </w:r>
            <w:r w:rsidR="00592E28">
              <w:rPr>
                <w:rFonts w:ascii="Arial" w:hAnsi="Arial" w:cs="Arial"/>
                <w:sz w:val="22"/>
                <w:szCs w:val="22"/>
              </w:rPr>
              <w:t>l</w:t>
            </w:r>
            <w:r w:rsidR="00592E28" w:rsidRPr="00D957A4">
              <w:rPr>
                <w:rFonts w:ascii="Arial" w:hAnsi="Arial" w:cs="Arial"/>
                <w:sz w:val="22"/>
                <w:szCs w:val="22"/>
              </w:rPr>
              <w:t xml:space="preserve">ipid peroxidation. </w:t>
            </w:r>
          </w:p>
          <w:p w14:paraId="7DA84FF1" w14:textId="259D04EC" w:rsidR="00592E28" w:rsidRPr="006672F5" w:rsidRDefault="00BA1B01" w:rsidP="00592E28">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92E28" w:rsidRPr="006672F5">
              <w:rPr>
                <w:rFonts w:ascii="Arial" w:eastAsia="Calibri" w:hAnsi="Arial" w:cs="Arial"/>
                <w:szCs w:val="22"/>
              </w:rPr>
              <w:t>Randomized</w:t>
            </w:r>
            <w:r w:rsidR="00592E28" w:rsidRPr="006672F5">
              <w:rPr>
                <w:rFonts w:ascii="Arial" w:eastAsia="Calibri" w:hAnsi="Arial" w:cs="Arial"/>
                <w:szCs w:val="22"/>
                <w:lang w:val="en-IN"/>
              </w:rPr>
              <w:t xml:space="preserve"> Block Design (RBD).</w:t>
            </w:r>
          </w:p>
          <w:p w14:paraId="3D0FCE5B" w14:textId="06C1912F" w:rsidR="00592E28" w:rsidRPr="006672F5" w:rsidRDefault="00592E28" w:rsidP="00592E28">
            <w:pPr>
              <w:pStyle w:val="Body"/>
              <w:spacing w:after="0"/>
              <w:rPr>
                <w:rFonts w:ascii="Arial" w:eastAsia="Calibri" w:hAnsi="Arial" w:cs="Arial"/>
                <w:szCs w:val="22"/>
                <w:lang w:val="en-IN"/>
              </w:rPr>
            </w:pPr>
            <w:r w:rsidRPr="006672F5">
              <w:rPr>
                <w:rFonts w:ascii="Arial" w:eastAsia="Calibri" w:hAnsi="Arial" w:cs="Arial"/>
                <w:b/>
                <w:szCs w:val="22"/>
              </w:rPr>
              <w:t>Place and Duration of Study:</w:t>
            </w:r>
            <w:r w:rsidRPr="006672F5">
              <w:rPr>
                <w:rFonts w:ascii="Arial" w:eastAsia="Calibri" w:hAnsi="Arial" w:cs="Arial"/>
                <w:szCs w:val="22"/>
              </w:rPr>
              <w:t xml:space="preserve"> </w:t>
            </w:r>
            <w:r w:rsidR="00BB13E6">
              <w:rPr>
                <w:rFonts w:ascii="Arial" w:eastAsia="Calibri" w:hAnsi="Arial" w:cs="Arial"/>
                <w:szCs w:val="22"/>
              </w:rPr>
              <w:t>T</w:t>
            </w:r>
            <w:r w:rsidRPr="00FE0282">
              <w:rPr>
                <w:rFonts w:ascii="Arial" w:hAnsi="Arial" w:cs="Arial"/>
                <w:lang w:val="en-IN"/>
              </w:rPr>
              <w:t xml:space="preserve">he laboratory of Department of Plant Molecular Biology and Biotechnology, R.V.S.K.V.V., College of Agriculture, Gwalior (M.P.), </w:t>
            </w:r>
            <w:r w:rsidRPr="006672F5">
              <w:rPr>
                <w:rFonts w:ascii="Arial" w:eastAsia="Calibri" w:hAnsi="Arial" w:cs="Arial"/>
                <w:szCs w:val="22"/>
                <w:lang w:val="en-IN"/>
              </w:rPr>
              <w:t>kharif 2022.</w:t>
            </w:r>
          </w:p>
          <w:p w14:paraId="5F1059B9" w14:textId="7A8C37A7" w:rsidR="00592E28" w:rsidRDefault="00BA1B01" w:rsidP="00592E28">
            <w:pPr>
              <w:jc w:val="both"/>
              <w:rPr>
                <w:rFonts w:ascii="Arial" w:hAnsi="Arial" w:cs="Arial"/>
                <w:sz w:val="22"/>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92E28" w:rsidRPr="00D957A4">
              <w:rPr>
                <w:rFonts w:ascii="Arial" w:hAnsi="Arial" w:cs="Arial"/>
                <w:sz w:val="22"/>
                <w:szCs w:val="22"/>
              </w:rPr>
              <w:t xml:space="preserve">Biochemical analysis was done for four biochemical parameters: total sugar, protein, proline and lipid peroxidation. Total sugar was estimated as </w:t>
            </w:r>
            <w:r w:rsidR="00592E28" w:rsidRPr="0047394B">
              <w:rPr>
                <w:rFonts w:ascii="Arial" w:hAnsi="Arial" w:cs="Arial"/>
                <w:sz w:val="22"/>
                <w:szCs w:val="22"/>
              </w:rPr>
              <w:t>per protocol of Dubois et al. (1956), proline as per Bates et al. (1973), Lipid peroxidation by the method given by Hodges et al. (1999). The protein estimation was carried out by using Lowry et al. (1951) method</w:t>
            </w:r>
            <w:r w:rsidR="00592E28" w:rsidRPr="00D957A4">
              <w:rPr>
                <w:rFonts w:ascii="Arial" w:hAnsi="Arial" w:cs="Arial"/>
                <w:sz w:val="22"/>
                <w:szCs w:val="22"/>
              </w:rPr>
              <w:t>.</w:t>
            </w:r>
          </w:p>
          <w:p w14:paraId="2104C65F" w14:textId="5E62A363" w:rsidR="00592E28" w:rsidRPr="00D957A4" w:rsidRDefault="00BA1B01" w:rsidP="00592E28">
            <w:pPr>
              <w:jc w:val="both"/>
              <w:rPr>
                <w:rFonts w:ascii="Arial" w:hAnsi="Arial" w:cs="Arial"/>
                <w:sz w:val="22"/>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92E28" w:rsidRPr="00D957A4">
              <w:rPr>
                <w:rFonts w:ascii="Arial" w:hAnsi="Arial" w:cs="Arial"/>
                <w:sz w:val="22"/>
                <w:szCs w:val="22"/>
              </w:rPr>
              <w:t>Among the evaluated genotypes, TG-87 × KDG-128 exhibited the highest total sugar content, whereas SunOleic-95R recorded the minimum proline concentration. The maximum protein content was observed in Malika × GPBD-4, and the highest lipid peroxidation value was noted in Nithya Haritha × SunOleic-95R.</w:t>
            </w:r>
            <w:r w:rsidR="00592E28">
              <w:rPr>
                <w:rFonts w:ascii="Arial" w:hAnsi="Arial" w:cs="Arial"/>
                <w:sz w:val="22"/>
                <w:szCs w:val="22"/>
              </w:rPr>
              <w:t xml:space="preserve"> </w:t>
            </w:r>
          </w:p>
          <w:p w14:paraId="51A8E181" w14:textId="0DB66F1C" w:rsidR="00505F06" w:rsidRPr="00592E28" w:rsidRDefault="00BA1B01" w:rsidP="00592E28">
            <w:pPr>
              <w:jc w:val="both"/>
              <w:rPr>
                <w:rFonts w:ascii="Arial" w:hAnsi="Arial" w:cs="Arial"/>
                <w:sz w:val="22"/>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92E28" w:rsidRPr="006A775F">
              <w:rPr>
                <w:rFonts w:ascii="Arial" w:hAnsi="Arial" w:cs="Arial"/>
                <w:sz w:val="22"/>
                <w:szCs w:val="22"/>
              </w:rPr>
              <w:t>The identified groundnut genotypes and hybrids exhibiting superior biochemical and stress-adaptive traits may serve as valuable material for future quality improvement and stress-resilient breeding programs.</w:t>
            </w:r>
          </w:p>
        </w:tc>
      </w:tr>
    </w:tbl>
    <w:p w14:paraId="6808E28F" w14:textId="77777777" w:rsidR="00636EB2" w:rsidRDefault="00636EB2" w:rsidP="00441B6F">
      <w:pPr>
        <w:pStyle w:val="Body"/>
        <w:spacing w:after="0"/>
        <w:rPr>
          <w:rFonts w:ascii="Arial" w:hAnsi="Arial" w:cs="Arial"/>
          <w:i/>
        </w:rPr>
      </w:pPr>
    </w:p>
    <w:p w14:paraId="31DEA69A" w14:textId="7966A8D9" w:rsidR="0024282C" w:rsidRPr="00FE0282" w:rsidRDefault="00A24E7E" w:rsidP="00441B6F">
      <w:pPr>
        <w:pStyle w:val="Body"/>
        <w:spacing w:after="0"/>
        <w:rPr>
          <w:rFonts w:ascii="Arial" w:hAnsi="Arial" w:cs="Arial"/>
          <w:i/>
          <w:lang w:val="en-IN"/>
        </w:rPr>
      </w:pPr>
      <w:r>
        <w:rPr>
          <w:rFonts w:ascii="Arial" w:hAnsi="Arial" w:cs="Arial"/>
          <w:i/>
        </w:rPr>
        <w:t xml:space="preserve">Keywords: </w:t>
      </w:r>
      <w:r w:rsidR="00FE0282" w:rsidRPr="00FE0282">
        <w:rPr>
          <w:rFonts w:ascii="Arial" w:hAnsi="Arial" w:cs="Arial"/>
          <w:i/>
          <w:lang w:val="en-IN"/>
        </w:rPr>
        <w:t>Groundnut</w:t>
      </w:r>
      <w:r w:rsidR="00FE0282">
        <w:rPr>
          <w:rFonts w:ascii="Arial" w:hAnsi="Arial" w:cs="Arial"/>
          <w:i/>
          <w:lang w:val="en-IN"/>
        </w:rPr>
        <w:t xml:space="preserve">, </w:t>
      </w:r>
      <w:r w:rsidR="00FE0282" w:rsidRPr="00FE0282">
        <w:rPr>
          <w:rFonts w:ascii="Arial" w:hAnsi="Arial" w:cs="Arial"/>
          <w:i/>
          <w:lang w:val="en-IN"/>
        </w:rPr>
        <w:t>lipid peroxidation</w:t>
      </w:r>
      <w:r w:rsidR="00FE0282">
        <w:rPr>
          <w:rFonts w:ascii="Arial" w:hAnsi="Arial" w:cs="Arial"/>
          <w:i/>
          <w:lang w:val="en-IN"/>
        </w:rPr>
        <w:t>,</w:t>
      </w:r>
      <w:r w:rsidR="00FE0282" w:rsidRPr="00FE0282">
        <w:rPr>
          <w:rFonts w:ascii="Arial" w:hAnsi="Arial" w:cs="Arial"/>
          <w:i/>
          <w:lang w:val="en-IN"/>
        </w:rPr>
        <w:t xml:space="preserve"> proline</w:t>
      </w:r>
      <w:r w:rsidR="00FE0282">
        <w:rPr>
          <w:rFonts w:ascii="Arial" w:hAnsi="Arial" w:cs="Arial"/>
          <w:i/>
          <w:lang w:val="en-IN"/>
        </w:rPr>
        <w:t>,</w:t>
      </w:r>
      <w:r w:rsidR="00FE0282" w:rsidRPr="00FE0282">
        <w:rPr>
          <w:rFonts w:ascii="Arial" w:hAnsi="Arial" w:cs="Arial"/>
          <w:i/>
          <w:lang w:val="en-IN"/>
        </w:rPr>
        <w:t xml:space="preserve"> protein</w:t>
      </w:r>
      <w:r w:rsidR="00FE0282">
        <w:rPr>
          <w:rFonts w:ascii="Arial" w:hAnsi="Arial" w:cs="Arial"/>
          <w:i/>
          <w:lang w:val="en-IN"/>
        </w:rPr>
        <w:t>,</w:t>
      </w:r>
      <w:r w:rsidR="00FE0282" w:rsidRPr="00FE0282">
        <w:rPr>
          <w:rFonts w:ascii="Arial" w:hAnsi="Arial" w:cs="Arial"/>
          <w:i/>
          <w:lang w:val="en-IN"/>
        </w:rPr>
        <w:t xml:space="preserve"> total sugar</w:t>
      </w:r>
      <w:r w:rsidR="00FE0282">
        <w:rPr>
          <w:rFonts w:ascii="Arial" w:hAnsi="Arial" w:cs="Arial"/>
          <w:i/>
          <w:lang w:val="en-IN"/>
        </w:rPr>
        <w:t>,</w:t>
      </w:r>
      <w:r w:rsidR="00FE0282" w:rsidRPr="00FE0282">
        <w:rPr>
          <w:rFonts w:ascii="Arial" w:hAnsi="Arial" w:cs="Arial"/>
          <w:i/>
          <w:lang w:val="en-IN"/>
        </w:rPr>
        <w:t xml:space="preserve"> biochemical variability</w:t>
      </w:r>
    </w:p>
    <w:p w14:paraId="45AA411B" w14:textId="77777777" w:rsidR="00505F06" w:rsidRPr="00A24E7E" w:rsidRDefault="00505F06" w:rsidP="00441B6F">
      <w:pPr>
        <w:pStyle w:val="Body"/>
        <w:spacing w:after="0"/>
        <w:rPr>
          <w:rFonts w:ascii="Arial" w:hAnsi="Arial" w:cs="Arial"/>
          <w:i/>
        </w:rPr>
      </w:pPr>
    </w:p>
    <w:p w14:paraId="2F907683" w14:textId="5CF4B9D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1F40ED" w14:textId="77777777" w:rsidR="00790ADA" w:rsidRPr="00FB3A86" w:rsidRDefault="00790ADA" w:rsidP="00441B6F">
      <w:pPr>
        <w:pStyle w:val="AbstHead"/>
        <w:spacing w:after="0"/>
        <w:jc w:val="both"/>
        <w:rPr>
          <w:rFonts w:ascii="Arial" w:hAnsi="Arial" w:cs="Arial"/>
        </w:rPr>
      </w:pPr>
    </w:p>
    <w:p w14:paraId="03512D0A" w14:textId="40990F82" w:rsidR="00FE0282" w:rsidRPr="00FE0282" w:rsidRDefault="00FE0282" w:rsidP="00FE0282">
      <w:pPr>
        <w:pStyle w:val="Body"/>
        <w:spacing w:after="0"/>
        <w:rPr>
          <w:rFonts w:ascii="Arial" w:hAnsi="Arial" w:cs="Arial"/>
          <w:lang w:val="en-IN"/>
        </w:rPr>
      </w:pPr>
      <w:r w:rsidRPr="00FE0282">
        <w:rPr>
          <w:rFonts w:ascii="Arial" w:hAnsi="Arial" w:cs="Arial"/>
          <w:lang w:val="en-IN"/>
        </w:rPr>
        <w:t xml:space="preserve">The groundnut, or </w:t>
      </w:r>
      <w:r w:rsidRPr="00FE0282">
        <w:rPr>
          <w:rFonts w:ascii="Arial" w:hAnsi="Arial" w:cs="Arial"/>
          <w:i/>
          <w:iCs/>
          <w:lang w:val="en-IN"/>
        </w:rPr>
        <w:t>Arachis hypogaea</w:t>
      </w:r>
      <w:r w:rsidRPr="00FE0282">
        <w:rPr>
          <w:rFonts w:ascii="Arial" w:hAnsi="Arial" w:cs="Arial"/>
          <w:lang w:val="en-IN"/>
        </w:rPr>
        <w:t xml:space="preserve"> L., is referred to as "the king of oilseeds." It is a good animal feed and a significant source of oil and protein for human consumption (El-</w:t>
      </w:r>
      <w:proofErr w:type="spellStart"/>
      <w:r w:rsidRPr="00FE0282">
        <w:rPr>
          <w:rFonts w:ascii="Arial" w:hAnsi="Arial" w:cs="Arial"/>
          <w:lang w:val="en-IN"/>
        </w:rPr>
        <w:t>Fouly</w:t>
      </w:r>
      <w:proofErr w:type="spellEnd"/>
      <w:r w:rsidRPr="00FE0282">
        <w:rPr>
          <w:rFonts w:ascii="Arial" w:hAnsi="Arial" w:cs="Arial"/>
          <w:lang w:val="en-IN"/>
        </w:rPr>
        <w:t xml:space="preserve"> et al.</w:t>
      </w:r>
      <w:r w:rsidR="00592E28">
        <w:rPr>
          <w:rFonts w:ascii="Arial" w:hAnsi="Arial" w:cs="Arial"/>
          <w:lang w:val="en-IN"/>
        </w:rPr>
        <w:t>,</w:t>
      </w:r>
      <w:r w:rsidRPr="00FE0282">
        <w:rPr>
          <w:rFonts w:ascii="Arial" w:hAnsi="Arial" w:cs="Arial"/>
          <w:lang w:val="en-IN"/>
        </w:rPr>
        <w:t xml:space="preserve"> 2014). Numerous terms, including peanut, monkey nut, wonder nut, poor man's cashew nut, jar nut, hawk nut, kipper's nut, earth chestnut, and ground bean, are used to refer to groundnuts worldwide (Jain et al.</w:t>
      </w:r>
      <w:r w:rsidR="00592E28">
        <w:rPr>
          <w:rFonts w:ascii="Arial" w:hAnsi="Arial" w:cs="Arial"/>
          <w:lang w:val="en-IN"/>
        </w:rPr>
        <w:t>,</w:t>
      </w:r>
      <w:r w:rsidRPr="00FE0282">
        <w:rPr>
          <w:rFonts w:ascii="Arial" w:hAnsi="Arial" w:cs="Arial"/>
          <w:lang w:val="en-IN"/>
        </w:rPr>
        <w:t xml:space="preserve"> 2016; Johnson, 1995). It is a member of the Fabaceae </w:t>
      </w:r>
      <w:r w:rsidRPr="00FE0282">
        <w:rPr>
          <w:rFonts w:ascii="Arial" w:hAnsi="Arial" w:cs="Arial"/>
          <w:lang w:val="en-IN"/>
        </w:rPr>
        <w:lastRenderedPageBreak/>
        <w:t xml:space="preserve">family with subfamily </w:t>
      </w:r>
      <w:proofErr w:type="spellStart"/>
      <w:r w:rsidRPr="00FE0282">
        <w:rPr>
          <w:rFonts w:ascii="Arial" w:hAnsi="Arial" w:cs="Arial"/>
          <w:lang w:val="en-IN"/>
        </w:rPr>
        <w:t>Papilionaceae</w:t>
      </w:r>
      <w:proofErr w:type="spellEnd"/>
      <w:r w:rsidRPr="00FE0282">
        <w:rPr>
          <w:rFonts w:ascii="Arial" w:hAnsi="Arial" w:cs="Arial"/>
          <w:lang w:val="en-IN"/>
        </w:rPr>
        <w:t>. It is said to have started in South America, most likely Bolivia (Nwokolo, 1996) or Brazil (Higgins, 1951).</w:t>
      </w:r>
    </w:p>
    <w:p w14:paraId="5C39939A" w14:textId="77777777" w:rsidR="00FE0282" w:rsidRPr="00FE0282" w:rsidRDefault="00FE0282" w:rsidP="00FE0282">
      <w:pPr>
        <w:pStyle w:val="Body"/>
        <w:spacing w:after="0"/>
        <w:rPr>
          <w:rFonts w:ascii="Arial" w:hAnsi="Arial" w:cs="Arial"/>
          <w:lang w:val="en-IN"/>
        </w:rPr>
      </w:pPr>
      <w:r w:rsidRPr="00FE0282">
        <w:rPr>
          <w:rFonts w:ascii="Arial" w:hAnsi="Arial" w:cs="Arial"/>
          <w:lang w:val="en-IN"/>
        </w:rPr>
        <w:t>Groundnut is a highly nutritious and energy-dense food, with significant levels of protein (25-30%), oil (45-50%), carbohydrate (20%), good fats, vitamins, and minerals. Additionally, it contains 5% fibre, which has been demonstrated to support digestive health and lower the risk of long-term conditions like diabetes and heart disease (Pramanik et al., 2019; Tomar et al., 2022; Sharma et al., 2023).</w:t>
      </w:r>
    </w:p>
    <w:p w14:paraId="27E052EA" w14:textId="65E2BCEC" w:rsidR="00FE0282" w:rsidRPr="00FE0282" w:rsidRDefault="00FE0282" w:rsidP="00FE0282">
      <w:pPr>
        <w:pStyle w:val="Body"/>
        <w:spacing w:after="0"/>
        <w:rPr>
          <w:rFonts w:ascii="Arial" w:hAnsi="Arial" w:cs="Arial"/>
          <w:lang w:val="en-IN"/>
        </w:rPr>
      </w:pPr>
      <w:r w:rsidRPr="00FE0282">
        <w:rPr>
          <w:rFonts w:ascii="Arial" w:hAnsi="Arial" w:cs="Arial"/>
          <w:lang w:val="en-IN"/>
        </w:rPr>
        <w:t xml:space="preserve">Several previous studies have been conducted to evaluate the nutritional composition of groundnut and explore its potential for genetic improvement. Ingale et al. (2011) analysed the protein content in the variety JL-24 and reported a crude protein value of 25.20%. </w:t>
      </w:r>
      <w:proofErr w:type="spellStart"/>
      <w:r w:rsidRPr="00FE0282">
        <w:rPr>
          <w:rFonts w:ascii="Arial" w:hAnsi="Arial" w:cs="Arial"/>
          <w:lang w:val="en-IN"/>
        </w:rPr>
        <w:t>Muniappan</w:t>
      </w:r>
      <w:proofErr w:type="spellEnd"/>
      <w:r w:rsidRPr="00FE0282">
        <w:rPr>
          <w:rFonts w:ascii="Arial" w:hAnsi="Arial" w:cs="Arial"/>
          <w:lang w:val="en-IN"/>
        </w:rPr>
        <w:t xml:space="preserve"> et al. (2016) examined the seed protein content and protein banding patterns among widely cultivated groundnut cultivars. Their quantitative and qualitative analyses revealed noticeable variation in seed protein profiles. Among the tested cultivars, CO-6 exhibited the highest protein content, followed by CO-4, TMV-7, ICGV00351, and TG-374, although the overall protein content remained relatively consistent across varieties. Similarly, Shinde et al. (201</w:t>
      </w:r>
      <w:r w:rsidR="0023031F">
        <w:rPr>
          <w:rFonts w:ascii="Arial" w:hAnsi="Arial" w:cs="Arial"/>
          <w:lang w:val="en-IN"/>
        </w:rPr>
        <w:t>8</w:t>
      </w:r>
      <w:r w:rsidRPr="00FE0282">
        <w:rPr>
          <w:rFonts w:ascii="Arial" w:hAnsi="Arial" w:cs="Arial"/>
          <w:lang w:val="en-IN"/>
        </w:rPr>
        <w:t>) evaluated eight genotypes to assess biochemical parameters such as proline accumulation, soluble proteins, and lipid peroxidation (MDA). Under water stress conditions, all genotypes showed an increase in proline, soluble proteins, and MDA content, with SB-XI, TAG24, and RHRG-6021 demonstrating particularly high proline accumulation, indicating their potential drought tolerance. Recent studies on groundnut biochemical variation have also reported significant differences in nutritional traits among genotypes. For example, Bakayoko et al. (2025) found broad variability in total sugar and protein contents among 16 groundnut accessions, underscoring the diversity in seed biochemical composition that can be leveraged in breeding programs.</w:t>
      </w:r>
    </w:p>
    <w:p w14:paraId="63D9AEED" w14:textId="77777777" w:rsidR="00FE0282" w:rsidRPr="00FE0282" w:rsidRDefault="00FE0282" w:rsidP="00FE0282">
      <w:pPr>
        <w:pStyle w:val="Body"/>
        <w:spacing w:after="0"/>
        <w:rPr>
          <w:rFonts w:ascii="Arial" w:hAnsi="Arial" w:cs="Arial"/>
          <w:lang w:val="en-IN"/>
        </w:rPr>
      </w:pPr>
      <w:r w:rsidRPr="00FE0282">
        <w:rPr>
          <w:rFonts w:ascii="Arial" w:hAnsi="Arial" w:cs="Arial"/>
          <w:lang w:val="en-IN"/>
        </w:rPr>
        <w:t>These findings highlight the complex biochemical variability present in groundnut and its importance in improving nutritional and stress-related traits. Building upon these earlier studies, the present investigation aimed to further assess quality parameters such as total sugar, proline content, lipid peroxidation, and protein in selected groundnut genotypes.</w:t>
      </w:r>
    </w:p>
    <w:p w14:paraId="283479D8" w14:textId="77777777" w:rsidR="00790ADA" w:rsidRPr="00FB3A86" w:rsidRDefault="00790ADA" w:rsidP="00441B6F">
      <w:pPr>
        <w:pStyle w:val="Body"/>
        <w:spacing w:after="0"/>
        <w:rPr>
          <w:rFonts w:ascii="Arial" w:hAnsi="Arial" w:cs="Arial"/>
        </w:rPr>
      </w:pPr>
    </w:p>
    <w:p w14:paraId="2253BC70" w14:textId="77777777" w:rsidR="00FE0282" w:rsidRDefault="00902823" w:rsidP="00FE0282">
      <w:pPr>
        <w:pStyle w:val="AbstHead"/>
        <w:rPr>
          <w:rFonts w:ascii="Arial" w:hAnsi="Arial" w:cs="Arial"/>
        </w:rPr>
      </w:pPr>
      <w:r>
        <w:rPr>
          <w:rFonts w:ascii="Arial" w:hAnsi="Arial" w:cs="Arial"/>
        </w:rPr>
        <w:t>2. material and method</w:t>
      </w:r>
      <w:r w:rsidR="00000F8F">
        <w:rPr>
          <w:rFonts w:ascii="Arial" w:hAnsi="Arial" w:cs="Arial"/>
        </w:rPr>
        <w:t xml:space="preserve">s </w:t>
      </w:r>
    </w:p>
    <w:p w14:paraId="52727ABB" w14:textId="7255CF48" w:rsidR="004E406B" w:rsidRPr="004E406B" w:rsidRDefault="00FE0282" w:rsidP="004E406B">
      <w:pPr>
        <w:pStyle w:val="AbstHead"/>
        <w:rPr>
          <w:rFonts w:ascii="Arial" w:hAnsi="Arial" w:cs="Arial"/>
        </w:rPr>
      </w:pPr>
      <w:r>
        <w:rPr>
          <w:rFonts w:ascii="Arial" w:hAnsi="Arial" w:cs="Arial"/>
        </w:rPr>
        <w:t xml:space="preserve">2.1 </w:t>
      </w:r>
      <w:r w:rsidRPr="00FE0282">
        <w:rPr>
          <w:rFonts w:ascii="Arial" w:hAnsi="Arial" w:cs="Arial"/>
          <w:lang w:val="en-IN"/>
        </w:rPr>
        <w:t>Experimental Site</w:t>
      </w:r>
      <w:r w:rsidR="004E406B">
        <w:rPr>
          <w:rFonts w:ascii="Arial" w:hAnsi="Arial" w:cs="Arial"/>
          <w:lang w:val="en-IN"/>
        </w:rPr>
        <w:t xml:space="preserve"> </w:t>
      </w:r>
    </w:p>
    <w:p w14:paraId="524234DE" w14:textId="31F6DC78" w:rsidR="00FE0282" w:rsidRDefault="00FE0282" w:rsidP="00FE0282">
      <w:pPr>
        <w:pStyle w:val="AbstHead"/>
        <w:spacing w:after="0"/>
        <w:jc w:val="both"/>
        <w:rPr>
          <w:rFonts w:ascii="Arial" w:hAnsi="Arial" w:cs="Arial"/>
        </w:rPr>
      </w:pPr>
    </w:p>
    <w:p w14:paraId="72BA41AB" w14:textId="05B62994" w:rsidR="00FE0282" w:rsidRDefault="00FE0282" w:rsidP="00FE0282">
      <w:pPr>
        <w:pStyle w:val="Body"/>
        <w:rPr>
          <w:rFonts w:ascii="Arial" w:hAnsi="Arial" w:cs="Arial"/>
          <w:lang w:val="en-IN"/>
        </w:rPr>
      </w:pPr>
      <w:r w:rsidRPr="00FE0282">
        <w:rPr>
          <w:rFonts w:ascii="Arial" w:hAnsi="Arial" w:cs="Arial"/>
          <w:lang w:val="en-IN"/>
        </w:rPr>
        <w:t>The current research was conducted at the laboratory of Department of Plant Molecular Biology and Biotechnology, R.V.S.K.V.V., College of Agriculture, Gwalior (M.P.), in 2022.</w:t>
      </w:r>
    </w:p>
    <w:p w14:paraId="4010DC3E" w14:textId="77777777" w:rsidR="004E406B" w:rsidRDefault="004E406B" w:rsidP="00FE0282">
      <w:pPr>
        <w:pStyle w:val="Body"/>
        <w:rPr>
          <w:rFonts w:ascii="Arial" w:hAnsi="Arial" w:cs="Arial"/>
          <w:lang w:val="en-IN"/>
        </w:rPr>
      </w:pPr>
    </w:p>
    <w:p w14:paraId="34735A91" w14:textId="77777777" w:rsidR="004E406B" w:rsidRDefault="004E406B" w:rsidP="004E406B">
      <w:pPr>
        <w:pStyle w:val="Body"/>
        <w:spacing w:after="0"/>
        <w:rPr>
          <w:rFonts w:ascii="Arial" w:hAnsi="Arial" w:cs="Arial"/>
          <w:b/>
          <w:sz w:val="22"/>
          <w:lang w:val="en-IN"/>
        </w:rPr>
      </w:pPr>
      <w:r w:rsidRPr="00FE0282">
        <w:rPr>
          <w:rFonts w:ascii="Arial" w:hAnsi="Arial" w:cs="Arial"/>
          <w:b/>
          <w:sz w:val="22"/>
          <w:lang w:val="en-IN"/>
        </w:rPr>
        <w:t>2.2. Experimental Details</w:t>
      </w:r>
    </w:p>
    <w:p w14:paraId="48664265" w14:textId="77777777" w:rsidR="004E406B" w:rsidRDefault="004E406B" w:rsidP="004E406B">
      <w:pPr>
        <w:pStyle w:val="Body"/>
        <w:rPr>
          <w:rFonts w:ascii="Arial" w:hAnsi="Arial" w:cs="Arial"/>
          <w:lang w:val="en-IN"/>
        </w:rPr>
      </w:pPr>
    </w:p>
    <w:p w14:paraId="160DEEBE" w14:textId="7717229E" w:rsidR="004E406B" w:rsidRPr="00FE0282" w:rsidRDefault="004E406B" w:rsidP="004E406B">
      <w:pPr>
        <w:pStyle w:val="Body"/>
        <w:rPr>
          <w:rFonts w:ascii="Arial" w:hAnsi="Arial" w:cs="Arial"/>
          <w:lang w:val="en-IN"/>
        </w:rPr>
      </w:pPr>
      <w:r w:rsidRPr="00FE0282">
        <w:rPr>
          <w:rFonts w:ascii="Arial" w:hAnsi="Arial" w:cs="Arial"/>
          <w:lang w:val="en-IN"/>
        </w:rPr>
        <w:t xml:space="preserve">The study focused on 34 different genotypes. The genotypes include 6 lines, 4 testers and 24 F1 hybrids. </w:t>
      </w:r>
      <w:r w:rsidR="000F4A24">
        <w:rPr>
          <w:rFonts w:ascii="Arial" w:hAnsi="Arial" w:cs="Arial"/>
          <w:lang w:val="en-IN"/>
        </w:rPr>
        <w:t xml:space="preserve">These genotypes were grown in </w:t>
      </w:r>
      <w:r w:rsidR="000F4A24">
        <w:rPr>
          <w:rFonts w:ascii="Arial" w:eastAsia="Calibri" w:hAnsi="Arial" w:cs="Arial"/>
          <w:szCs w:val="22"/>
        </w:rPr>
        <w:t>r</w:t>
      </w:r>
      <w:r w:rsidR="000F4A24" w:rsidRPr="006672F5">
        <w:rPr>
          <w:rFonts w:ascii="Arial" w:eastAsia="Calibri" w:hAnsi="Arial" w:cs="Arial"/>
          <w:szCs w:val="22"/>
        </w:rPr>
        <w:t>andomized</w:t>
      </w:r>
      <w:r w:rsidR="000F4A24" w:rsidRPr="006672F5">
        <w:rPr>
          <w:rFonts w:ascii="Arial" w:eastAsia="Calibri" w:hAnsi="Arial" w:cs="Arial"/>
          <w:szCs w:val="22"/>
          <w:lang w:val="en-IN"/>
        </w:rPr>
        <w:t xml:space="preserve"> </w:t>
      </w:r>
      <w:r w:rsidR="000F4A24">
        <w:rPr>
          <w:rFonts w:ascii="Arial" w:eastAsia="Calibri" w:hAnsi="Arial" w:cs="Arial"/>
          <w:szCs w:val="22"/>
          <w:lang w:val="en-IN"/>
        </w:rPr>
        <w:t>b</w:t>
      </w:r>
      <w:r w:rsidR="000F4A24" w:rsidRPr="006672F5">
        <w:rPr>
          <w:rFonts w:ascii="Arial" w:eastAsia="Calibri" w:hAnsi="Arial" w:cs="Arial"/>
          <w:szCs w:val="22"/>
          <w:lang w:val="en-IN"/>
        </w:rPr>
        <w:t xml:space="preserve">lock </w:t>
      </w:r>
      <w:r w:rsidR="000F4A24">
        <w:rPr>
          <w:rFonts w:ascii="Arial" w:eastAsia="Calibri" w:hAnsi="Arial" w:cs="Arial"/>
          <w:szCs w:val="22"/>
          <w:lang w:val="en-IN"/>
        </w:rPr>
        <w:t>d</w:t>
      </w:r>
      <w:r w:rsidR="000F4A24" w:rsidRPr="006672F5">
        <w:rPr>
          <w:rFonts w:ascii="Arial" w:eastAsia="Calibri" w:hAnsi="Arial" w:cs="Arial"/>
          <w:szCs w:val="22"/>
          <w:lang w:val="en-IN"/>
        </w:rPr>
        <w:t>esign (RBD)</w:t>
      </w:r>
      <w:r w:rsidR="000F4A24">
        <w:rPr>
          <w:rFonts w:ascii="Arial" w:eastAsia="Calibri" w:hAnsi="Arial" w:cs="Arial"/>
          <w:szCs w:val="22"/>
          <w:lang w:val="en-IN"/>
        </w:rPr>
        <w:t xml:space="preserve"> during the kharif of 2022, in the research farm of </w:t>
      </w:r>
      <w:r w:rsidR="000F4A24" w:rsidRPr="00FE0282">
        <w:rPr>
          <w:rFonts w:ascii="Arial" w:hAnsi="Arial" w:cs="Arial"/>
          <w:lang w:val="en-IN"/>
        </w:rPr>
        <w:t>R.V.S.K.V.V., College of Agriculture, Gwalior</w:t>
      </w:r>
      <w:r w:rsidR="000F4A24">
        <w:rPr>
          <w:rFonts w:ascii="Arial" w:eastAsia="Calibri" w:hAnsi="Arial" w:cs="Arial"/>
          <w:szCs w:val="22"/>
          <w:lang w:val="en-IN"/>
        </w:rPr>
        <w:t>.</w:t>
      </w:r>
      <w:r w:rsidR="000F4A24">
        <w:rPr>
          <w:rFonts w:ascii="Arial" w:hAnsi="Arial" w:cs="Arial"/>
          <w:lang w:val="en-IN"/>
        </w:rPr>
        <w:t xml:space="preserve"> </w:t>
      </w:r>
      <w:r w:rsidRPr="00FE0282">
        <w:rPr>
          <w:rFonts w:ascii="Arial" w:hAnsi="Arial" w:cs="Arial"/>
          <w:lang w:val="en-IN"/>
        </w:rPr>
        <w:t>Tables 1 and 2 provide the lists of parental lines and hybrids, respectively.</w:t>
      </w:r>
    </w:p>
    <w:p w14:paraId="2F8C9E88" w14:textId="77777777" w:rsidR="004E406B" w:rsidRDefault="004E406B" w:rsidP="004E406B">
      <w:pPr>
        <w:pStyle w:val="Body"/>
        <w:spacing w:after="0"/>
        <w:rPr>
          <w:rFonts w:ascii="Arial" w:hAnsi="Arial" w:cs="Arial"/>
        </w:rPr>
      </w:pPr>
    </w:p>
    <w:p w14:paraId="40AA8107" w14:textId="77777777" w:rsidR="004E406B" w:rsidRPr="006672F5" w:rsidRDefault="004E406B" w:rsidP="004E406B">
      <w:pPr>
        <w:pStyle w:val="Body"/>
        <w:rPr>
          <w:rFonts w:ascii="Arial" w:hAnsi="Arial" w:cs="Arial"/>
          <w:b/>
          <w:bCs/>
          <w:lang w:val="en-IN"/>
        </w:rPr>
      </w:pPr>
      <w:r w:rsidRPr="006672F5">
        <w:rPr>
          <w:rFonts w:ascii="Arial" w:hAnsi="Arial" w:cs="Arial"/>
          <w:b/>
          <w:bCs/>
          <w:lang w:val="en-IN"/>
        </w:rPr>
        <w:t>Table 1. List of parental lines used in the present study.</w:t>
      </w:r>
    </w:p>
    <w:tbl>
      <w:tblPr>
        <w:tblW w:w="84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821"/>
        <w:gridCol w:w="1710"/>
        <w:gridCol w:w="2340"/>
        <w:gridCol w:w="1530"/>
      </w:tblGrid>
      <w:tr w:rsidR="004E406B" w:rsidRPr="006672F5" w14:paraId="05CB1E90" w14:textId="77777777" w:rsidTr="002D38BD">
        <w:trPr>
          <w:trHeight w:val="281"/>
          <w:jc w:val="center"/>
        </w:trPr>
        <w:tc>
          <w:tcPr>
            <w:tcW w:w="2821" w:type="dxa"/>
            <w:tcMar>
              <w:top w:w="0" w:type="dxa"/>
              <w:left w:w="108" w:type="dxa"/>
              <w:bottom w:w="0" w:type="dxa"/>
              <w:right w:w="108" w:type="dxa"/>
            </w:tcMar>
          </w:tcPr>
          <w:p w14:paraId="6824B72B" w14:textId="77777777" w:rsidR="004E406B" w:rsidRPr="006672F5" w:rsidRDefault="004E406B" w:rsidP="002D38BD">
            <w:pPr>
              <w:pStyle w:val="Body"/>
              <w:rPr>
                <w:rFonts w:ascii="Arial" w:hAnsi="Arial" w:cs="Arial"/>
                <w:b/>
                <w:bCs/>
                <w:lang w:val="en-IN"/>
              </w:rPr>
            </w:pPr>
            <w:bookmarkStart w:id="0" w:name="_Hlk218699631"/>
            <w:r w:rsidRPr="006672F5">
              <w:rPr>
                <w:rFonts w:ascii="Arial" w:hAnsi="Arial" w:cs="Arial"/>
                <w:b/>
                <w:bCs/>
                <w:lang w:val="en-IN"/>
              </w:rPr>
              <w:t>Female (line)</w:t>
            </w:r>
          </w:p>
        </w:tc>
        <w:tc>
          <w:tcPr>
            <w:tcW w:w="1710" w:type="dxa"/>
            <w:tcMar>
              <w:top w:w="0" w:type="dxa"/>
              <w:left w:w="108" w:type="dxa"/>
              <w:bottom w:w="0" w:type="dxa"/>
              <w:right w:w="108" w:type="dxa"/>
            </w:tcMar>
          </w:tcPr>
          <w:p w14:paraId="6393CD5A" w14:textId="77777777" w:rsidR="004E406B" w:rsidRPr="006672F5" w:rsidRDefault="004E406B" w:rsidP="002D38BD">
            <w:pPr>
              <w:pStyle w:val="Body"/>
              <w:rPr>
                <w:rFonts w:ascii="Arial" w:hAnsi="Arial" w:cs="Arial"/>
                <w:b/>
                <w:bCs/>
                <w:lang w:val="en-IN"/>
              </w:rPr>
            </w:pPr>
            <w:r w:rsidRPr="006672F5">
              <w:rPr>
                <w:rFonts w:ascii="Arial" w:hAnsi="Arial" w:cs="Arial"/>
                <w:b/>
                <w:bCs/>
                <w:lang w:val="en-IN"/>
              </w:rPr>
              <w:t>Source</w:t>
            </w:r>
          </w:p>
        </w:tc>
        <w:tc>
          <w:tcPr>
            <w:tcW w:w="2340" w:type="dxa"/>
            <w:tcMar>
              <w:top w:w="15" w:type="dxa"/>
              <w:left w:w="15" w:type="dxa"/>
              <w:bottom w:w="15" w:type="dxa"/>
              <w:right w:w="15" w:type="dxa"/>
            </w:tcMar>
          </w:tcPr>
          <w:p w14:paraId="3839E2A4" w14:textId="77777777" w:rsidR="004E406B" w:rsidRPr="006672F5" w:rsidRDefault="004E406B" w:rsidP="002D38BD">
            <w:pPr>
              <w:pStyle w:val="Body"/>
              <w:rPr>
                <w:rFonts w:ascii="Arial" w:hAnsi="Arial" w:cs="Arial"/>
                <w:b/>
                <w:bCs/>
                <w:lang w:val="en-IN"/>
              </w:rPr>
            </w:pPr>
            <w:r w:rsidRPr="006672F5">
              <w:rPr>
                <w:rFonts w:ascii="Arial" w:hAnsi="Arial" w:cs="Arial"/>
                <w:b/>
                <w:bCs/>
                <w:lang w:val="en-IN"/>
              </w:rPr>
              <w:t>Male (tester)</w:t>
            </w:r>
          </w:p>
        </w:tc>
        <w:tc>
          <w:tcPr>
            <w:tcW w:w="1530" w:type="dxa"/>
            <w:tcMar>
              <w:top w:w="15" w:type="dxa"/>
              <w:left w:w="15" w:type="dxa"/>
              <w:bottom w:w="15" w:type="dxa"/>
              <w:right w:w="15" w:type="dxa"/>
            </w:tcMar>
          </w:tcPr>
          <w:p w14:paraId="1FB88B77" w14:textId="77777777" w:rsidR="004E406B" w:rsidRPr="006672F5" w:rsidRDefault="004E406B" w:rsidP="002D38BD">
            <w:pPr>
              <w:pStyle w:val="Body"/>
              <w:rPr>
                <w:rFonts w:ascii="Arial" w:hAnsi="Arial" w:cs="Arial"/>
                <w:b/>
                <w:bCs/>
                <w:lang w:val="en-IN"/>
              </w:rPr>
            </w:pPr>
            <w:r w:rsidRPr="006672F5">
              <w:rPr>
                <w:rFonts w:ascii="Arial" w:hAnsi="Arial" w:cs="Arial"/>
                <w:b/>
                <w:bCs/>
                <w:lang w:val="en-IN"/>
              </w:rPr>
              <w:t>Source</w:t>
            </w:r>
          </w:p>
        </w:tc>
      </w:tr>
      <w:tr w:rsidR="004E406B" w:rsidRPr="006672F5" w14:paraId="47D999E8" w14:textId="77777777" w:rsidTr="002D38BD">
        <w:trPr>
          <w:trHeight w:val="281"/>
          <w:jc w:val="center"/>
        </w:trPr>
        <w:tc>
          <w:tcPr>
            <w:tcW w:w="2821" w:type="dxa"/>
            <w:tcMar>
              <w:top w:w="0" w:type="dxa"/>
              <w:left w:w="108" w:type="dxa"/>
              <w:bottom w:w="0" w:type="dxa"/>
              <w:right w:w="108" w:type="dxa"/>
            </w:tcMar>
          </w:tcPr>
          <w:p w14:paraId="5C6034FB" w14:textId="77777777" w:rsidR="004E406B" w:rsidRPr="006672F5" w:rsidRDefault="004E406B" w:rsidP="002D38BD">
            <w:pPr>
              <w:pStyle w:val="Body"/>
              <w:rPr>
                <w:rFonts w:ascii="Arial" w:hAnsi="Arial" w:cs="Arial"/>
                <w:lang w:val="en-IN"/>
              </w:rPr>
            </w:pPr>
            <w:bookmarkStart w:id="1" w:name="_Hlk135413660"/>
            <w:r w:rsidRPr="006672F5">
              <w:rPr>
                <w:rFonts w:ascii="Arial" w:hAnsi="Arial" w:cs="Arial"/>
                <w:lang w:val="en-IN"/>
              </w:rPr>
              <w:lastRenderedPageBreak/>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(TCGS 1157)</w:t>
            </w:r>
          </w:p>
        </w:tc>
        <w:tc>
          <w:tcPr>
            <w:tcW w:w="1710" w:type="dxa"/>
            <w:tcMar>
              <w:top w:w="0" w:type="dxa"/>
              <w:left w:w="108" w:type="dxa"/>
              <w:bottom w:w="0" w:type="dxa"/>
              <w:right w:w="108" w:type="dxa"/>
            </w:tcMar>
          </w:tcPr>
          <w:p w14:paraId="71DD63A3" w14:textId="77777777" w:rsidR="004E406B" w:rsidRPr="006672F5" w:rsidRDefault="004E406B" w:rsidP="002D38BD">
            <w:pPr>
              <w:pStyle w:val="Body"/>
              <w:rPr>
                <w:rFonts w:ascii="Arial" w:hAnsi="Arial" w:cs="Arial"/>
                <w:lang w:val="en-IN"/>
              </w:rPr>
            </w:pPr>
            <w:r w:rsidRPr="006672F5">
              <w:rPr>
                <w:rFonts w:ascii="Arial" w:hAnsi="Arial" w:cs="Arial"/>
                <w:lang w:val="en-IN"/>
              </w:rPr>
              <w:t>RARS, Tirupati</w:t>
            </w:r>
          </w:p>
        </w:tc>
        <w:tc>
          <w:tcPr>
            <w:tcW w:w="2340" w:type="dxa"/>
            <w:tcMar>
              <w:top w:w="15" w:type="dxa"/>
              <w:left w:w="15" w:type="dxa"/>
              <w:bottom w:w="15" w:type="dxa"/>
              <w:right w:w="15" w:type="dxa"/>
            </w:tcMar>
          </w:tcPr>
          <w:p w14:paraId="554457FA" w14:textId="77777777" w:rsidR="004E406B" w:rsidRPr="006672F5" w:rsidRDefault="004E406B" w:rsidP="002D38BD">
            <w:pPr>
              <w:pStyle w:val="Body"/>
              <w:rPr>
                <w:rFonts w:ascii="Arial" w:hAnsi="Arial" w:cs="Arial"/>
                <w:lang w:val="en-IN"/>
              </w:rPr>
            </w:pPr>
            <w:r w:rsidRPr="006672F5">
              <w:rPr>
                <w:rFonts w:ascii="Arial" w:hAnsi="Arial" w:cs="Arial"/>
                <w:lang w:val="en-IN"/>
              </w:rPr>
              <w:t>TG-37A</w:t>
            </w:r>
          </w:p>
        </w:tc>
        <w:tc>
          <w:tcPr>
            <w:tcW w:w="1530" w:type="dxa"/>
            <w:tcMar>
              <w:top w:w="15" w:type="dxa"/>
              <w:left w:w="15" w:type="dxa"/>
              <w:bottom w:w="15" w:type="dxa"/>
              <w:right w:w="15" w:type="dxa"/>
            </w:tcMar>
          </w:tcPr>
          <w:p w14:paraId="39F00416" w14:textId="77777777" w:rsidR="004E406B" w:rsidRPr="006672F5" w:rsidRDefault="004E406B" w:rsidP="002D38BD">
            <w:pPr>
              <w:pStyle w:val="Body"/>
              <w:rPr>
                <w:rFonts w:ascii="Arial" w:hAnsi="Arial" w:cs="Arial"/>
                <w:lang w:val="en-IN"/>
              </w:rPr>
            </w:pPr>
            <w:r w:rsidRPr="006672F5">
              <w:rPr>
                <w:rFonts w:ascii="Arial" w:hAnsi="Arial" w:cs="Arial"/>
                <w:lang w:val="en-IN"/>
              </w:rPr>
              <w:t>BARC, Trombay</w:t>
            </w:r>
          </w:p>
        </w:tc>
      </w:tr>
      <w:tr w:rsidR="004E406B" w:rsidRPr="006672F5" w14:paraId="1E668667" w14:textId="77777777" w:rsidTr="002D38BD">
        <w:trPr>
          <w:trHeight w:val="281"/>
          <w:jc w:val="center"/>
        </w:trPr>
        <w:tc>
          <w:tcPr>
            <w:tcW w:w="2821" w:type="dxa"/>
            <w:tcMar>
              <w:top w:w="0" w:type="dxa"/>
              <w:left w:w="108" w:type="dxa"/>
              <w:bottom w:w="0" w:type="dxa"/>
              <w:right w:w="108" w:type="dxa"/>
            </w:tcMar>
          </w:tcPr>
          <w:p w14:paraId="01F231ED" w14:textId="77777777" w:rsidR="004E406B" w:rsidRPr="006672F5" w:rsidRDefault="004E406B" w:rsidP="002D38BD">
            <w:pPr>
              <w:pStyle w:val="Body"/>
              <w:rPr>
                <w:rFonts w:ascii="Arial" w:hAnsi="Arial" w:cs="Arial"/>
                <w:lang w:val="en-IN"/>
              </w:rPr>
            </w:pPr>
            <w:r w:rsidRPr="006672F5">
              <w:rPr>
                <w:rFonts w:ascii="Arial" w:hAnsi="Arial" w:cs="Arial"/>
                <w:lang w:val="en-IN"/>
              </w:rPr>
              <w:t>TG-86</w:t>
            </w:r>
          </w:p>
        </w:tc>
        <w:tc>
          <w:tcPr>
            <w:tcW w:w="1710" w:type="dxa"/>
            <w:tcMar>
              <w:top w:w="0" w:type="dxa"/>
              <w:left w:w="108" w:type="dxa"/>
              <w:bottom w:w="0" w:type="dxa"/>
              <w:right w:w="108" w:type="dxa"/>
            </w:tcMar>
          </w:tcPr>
          <w:p w14:paraId="43720001" w14:textId="77777777" w:rsidR="004E406B" w:rsidRPr="006672F5" w:rsidRDefault="004E406B" w:rsidP="002D38BD">
            <w:pPr>
              <w:pStyle w:val="Body"/>
              <w:rPr>
                <w:rFonts w:ascii="Arial" w:hAnsi="Arial" w:cs="Arial"/>
                <w:lang w:val="en-IN"/>
              </w:rPr>
            </w:pPr>
            <w:r w:rsidRPr="006672F5">
              <w:rPr>
                <w:rFonts w:ascii="Arial" w:hAnsi="Arial" w:cs="Arial"/>
                <w:lang w:val="en-IN"/>
              </w:rPr>
              <w:t>BARC, Trombay</w:t>
            </w:r>
          </w:p>
        </w:tc>
        <w:tc>
          <w:tcPr>
            <w:tcW w:w="2340" w:type="dxa"/>
            <w:tcMar>
              <w:top w:w="15" w:type="dxa"/>
              <w:left w:w="15" w:type="dxa"/>
              <w:bottom w:w="15" w:type="dxa"/>
              <w:right w:w="15" w:type="dxa"/>
            </w:tcMar>
          </w:tcPr>
          <w:p w14:paraId="0776F4F8" w14:textId="77777777" w:rsidR="004E406B" w:rsidRPr="006672F5" w:rsidRDefault="004E406B" w:rsidP="002D38BD">
            <w:pPr>
              <w:pStyle w:val="Body"/>
              <w:rPr>
                <w:rFonts w:ascii="Arial" w:hAnsi="Arial" w:cs="Arial"/>
                <w:lang w:val="en-IN"/>
              </w:rPr>
            </w:pPr>
            <w:r w:rsidRPr="006672F5">
              <w:rPr>
                <w:rFonts w:ascii="Arial" w:hAnsi="Arial" w:cs="Arial"/>
                <w:lang w:val="en-IN"/>
              </w:rPr>
              <w:t>SunOleic-95R</w:t>
            </w:r>
          </w:p>
        </w:tc>
        <w:tc>
          <w:tcPr>
            <w:tcW w:w="1530" w:type="dxa"/>
            <w:tcMar>
              <w:top w:w="15" w:type="dxa"/>
              <w:left w:w="15" w:type="dxa"/>
              <w:bottom w:w="15" w:type="dxa"/>
              <w:right w:w="15" w:type="dxa"/>
            </w:tcMar>
          </w:tcPr>
          <w:p w14:paraId="79A086F6" w14:textId="77777777" w:rsidR="004E406B" w:rsidRPr="006672F5" w:rsidRDefault="004E406B" w:rsidP="002D38BD">
            <w:pPr>
              <w:pStyle w:val="Body"/>
              <w:rPr>
                <w:rFonts w:ascii="Arial" w:hAnsi="Arial" w:cs="Arial"/>
                <w:lang w:val="en-IN"/>
              </w:rPr>
            </w:pPr>
            <w:r w:rsidRPr="006672F5">
              <w:rPr>
                <w:rFonts w:ascii="Arial" w:hAnsi="Arial" w:cs="Arial"/>
                <w:lang w:val="en-IN"/>
              </w:rPr>
              <w:t>DGR, Junagarh</w:t>
            </w:r>
          </w:p>
        </w:tc>
      </w:tr>
      <w:tr w:rsidR="004E406B" w:rsidRPr="006672F5" w14:paraId="49B8095D" w14:textId="77777777" w:rsidTr="002D38BD">
        <w:trPr>
          <w:trHeight w:val="281"/>
          <w:jc w:val="center"/>
        </w:trPr>
        <w:tc>
          <w:tcPr>
            <w:tcW w:w="2821" w:type="dxa"/>
            <w:tcMar>
              <w:top w:w="0" w:type="dxa"/>
              <w:left w:w="108" w:type="dxa"/>
              <w:bottom w:w="0" w:type="dxa"/>
              <w:right w:w="108" w:type="dxa"/>
            </w:tcMar>
          </w:tcPr>
          <w:p w14:paraId="5E3EDAC8" w14:textId="77777777" w:rsidR="004E406B" w:rsidRPr="006672F5" w:rsidRDefault="004E406B" w:rsidP="002D38BD">
            <w:pPr>
              <w:pStyle w:val="Body"/>
              <w:rPr>
                <w:rFonts w:ascii="Arial" w:hAnsi="Arial" w:cs="Arial"/>
                <w:lang w:val="en-IN"/>
              </w:rPr>
            </w:pPr>
            <w:r w:rsidRPr="006672F5">
              <w:rPr>
                <w:rFonts w:ascii="Arial" w:hAnsi="Arial" w:cs="Arial"/>
                <w:lang w:val="en-IN"/>
              </w:rPr>
              <w:t>TG-87</w:t>
            </w:r>
          </w:p>
        </w:tc>
        <w:tc>
          <w:tcPr>
            <w:tcW w:w="1710" w:type="dxa"/>
            <w:tcMar>
              <w:top w:w="0" w:type="dxa"/>
              <w:left w:w="108" w:type="dxa"/>
              <w:bottom w:w="0" w:type="dxa"/>
              <w:right w:w="108" w:type="dxa"/>
            </w:tcMar>
          </w:tcPr>
          <w:p w14:paraId="2C5C21CB" w14:textId="77777777" w:rsidR="004E406B" w:rsidRPr="006672F5" w:rsidRDefault="004E406B" w:rsidP="002D38BD">
            <w:pPr>
              <w:pStyle w:val="Body"/>
              <w:rPr>
                <w:rFonts w:ascii="Arial" w:hAnsi="Arial" w:cs="Arial"/>
                <w:lang w:val="en-IN"/>
              </w:rPr>
            </w:pPr>
            <w:r w:rsidRPr="006672F5">
              <w:rPr>
                <w:rFonts w:ascii="Arial" w:hAnsi="Arial" w:cs="Arial"/>
                <w:lang w:val="en-IN"/>
              </w:rPr>
              <w:t>BARC, Trombay</w:t>
            </w:r>
          </w:p>
        </w:tc>
        <w:tc>
          <w:tcPr>
            <w:tcW w:w="2340" w:type="dxa"/>
            <w:tcMar>
              <w:top w:w="15" w:type="dxa"/>
              <w:left w:w="15" w:type="dxa"/>
              <w:bottom w:w="15" w:type="dxa"/>
              <w:right w:w="15" w:type="dxa"/>
            </w:tcMar>
          </w:tcPr>
          <w:p w14:paraId="65893B3D" w14:textId="77777777" w:rsidR="004E406B" w:rsidRPr="006672F5" w:rsidRDefault="004E406B" w:rsidP="002D38BD">
            <w:pPr>
              <w:pStyle w:val="Body"/>
              <w:rPr>
                <w:rFonts w:ascii="Arial" w:hAnsi="Arial" w:cs="Arial"/>
                <w:lang w:val="en-IN"/>
              </w:rPr>
            </w:pPr>
            <w:r w:rsidRPr="006672F5">
              <w:rPr>
                <w:rFonts w:ascii="Arial" w:hAnsi="Arial" w:cs="Arial"/>
                <w:lang w:val="en-IN"/>
              </w:rPr>
              <w:t>GPBD-4 (Vikas)</w:t>
            </w:r>
          </w:p>
        </w:tc>
        <w:tc>
          <w:tcPr>
            <w:tcW w:w="1530" w:type="dxa"/>
            <w:tcMar>
              <w:top w:w="15" w:type="dxa"/>
              <w:left w:w="15" w:type="dxa"/>
              <w:bottom w:w="15" w:type="dxa"/>
              <w:right w:w="15" w:type="dxa"/>
            </w:tcMar>
          </w:tcPr>
          <w:p w14:paraId="5CB292D6" w14:textId="77777777" w:rsidR="004E406B" w:rsidRPr="006672F5" w:rsidRDefault="004E406B" w:rsidP="002D38BD">
            <w:pPr>
              <w:pStyle w:val="Body"/>
              <w:rPr>
                <w:rFonts w:ascii="Arial" w:hAnsi="Arial" w:cs="Arial"/>
                <w:lang w:val="en-IN"/>
              </w:rPr>
            </w:pPr>
            <w:r w:rsidRPr="006672F5">
              <w:rPr>
                <w:rFonts w:ascii="Arial" w:hAnsi="Arial" w:cs="Arial"/>
                <w:lang w:val="en-IN"/>
              </w:rPr>
              <w:t>DGR, Junagarh</w:t>
            </w:r>
          </w:p>
        </w:tc>
      </w:tr>
      <w:tr w:rsidR="004E406B" w:rsidRPr="006672F5" w14:paraId="1EBEBB40" w14:textId="77777777" w:rsidTr="002D38BD">
        <w:trPr>
          <w:trHeight w:val="281"/>
          <w:jc w:val="center"/>
        </w:trPr>
        <w:tc>
          <w:tcPr>
            <w:tcW w:w="2821" w:type="dxa"/>
            <w:tcMar>
              <w:top w:w="0" w:type="dxa"/>
              <w:left w:w="108" w:type="dxa"/>
              <w:bottom w:w="0" w:type="dxa"/>
              <w:right w:w="108" w:type="dxa"/>
            </w:tcMar>
          </w:tcPr>
          <w:p w14:paraId="344C04A9" w14:textId="77777777" w:rsidR="004E406B" w:rsidRPr="006672F5" w:rsidRDefault="004E406B" w:rsidP="002D38BD">
            <w:pPr>
              <w:pStyle w:val="Body"/>
              <w:rPr>
                <w:rFonts w:ascii="Arial" w:hAnsi="Arial" w:cs="Arial"/>
                <w:lang w:val="en-IN"/>
              </w:rPr>
            </w:pPr>
            <w:r w:rsidRPr="006672F5">
              <w:rPr>
                <w:rFonts w:ascii="Arial" w:hAnsi="Arial" w:cs="Arial"/>
                <w:lang w:val="en-IN"/>
              </w:rPr>
              <w:t>TG-88</w:t>
            </w:r>
          </w:p>
        </w:tc>
        <w:tc>
          <w:tcPr>
            <w:tcW w:w="1710" w:type="dxa"/>
            <w:tcMar>
              <w:top w:w="0" w:type="dxa"/>
              <w:left w:w="108" w:type="dxa"/>
              <w:bottom w:w="0" w:type="dxa"/>
              <w:right w:w="108" w:type="dxa"/>
            </w:tcMar>
          </w:tcPr>
          <w:p w14:paraId="635B92FF" w14:textId="77777777" w:rsidR="004E406B" w:rsidRPr="006672F5" w:rsidRDefault="004E406B" w:rsidP="002D38BD">
            <w:pPr>
              <w:pStyle w:val="Body"/>
              <w:rPr>
                <w:rFonts w:ascii="Arial" w:hAnsi="Arial" w:cs="Arial"/>
                <w:lang w:val="en-IN"/>
              </w:rPr>
            </w:pPr>
            <w:r w:rsidRPr="006672F5">
              <w:rPr>
                <w:rFonts w:ascii="Arial" w:hAnsi="Arial" w:cs="Arial"/>
                <w:lang w:val="en-IN"/>
              </w:rPr>
              <w:t>BARC, Trombay</w:t>
            </w:r>
          </w:p>
        </w:tc>
        <w:tc>
          <w:tcPr>
            <w:tcW w:w="2340" w:type="dxa"/>
            <w:tcMar>
              <w:top w:w="15" w:type="dxa"/>
              <w:left w:w="15" w:type="dxa"/>
              <w:bottom w:w="15" w:type="dxa"/>
              <w:right w:w="15" w:type="dxa"/>
            </w:tcMar>
          </w:tcPr>
          <w:p w14:paraId="4B23250A" w14:textId="77777777" w:rsidR="004E406B" w:rsidRPr="006672F5" w:rsidRDefault="004E406B" w:rsidP="002D38BD">
            <w:pPr>
              <w:pStyle w:val="Body"/>
              <w:rPr>
                <w:rFonts w:ascii="Arial" w:hAnsi="Arial" w:cs="Arial"/>
                <w:lang w:val="en-IN"/>
              </w:rPr>
            </w:pPr>
            <w:r w:rsidRPr="006672F5">
              <w:rPr>
                <w:rFonts w:ascii="Arial" w:hAnsi="Arial" w:cs="Arial"/>
                <w:lang w:val="en-IN"/>
              </w:rPr>
              <w:t>KDG-128 (Phule Warna)</w:t>
            </w:r>
          </w:p>
        </w:tc>
        <w:tc>
          <w:tcPr>
            <w:tcW w:w="1530" w:type="dxa"/>
            <w:tcMar>
              <w:top w:w="15" w:type="dxa"/>
              <w:left w:w="15" w:type="dxa"/>
              <w:bottom w:w="15" w:type="dxa"/>
              <w:right w:w="15" w:type="dxa"/>
            </w:tcMar>
          </w:tcPr>
          <w:p w14:paraId="1E50D9C2" w14:textId="77777777" w:rsidR="004E406B" w:rsidRPr="006672F5" w:rsidRDefault="004E406B" w:rsidP="002D38BD">
            <w:pPr>
              <w:pStyle w:val="Body"/>
              <w:rPr>
                <w:rFonts w:ascii="Arial" w:hAnsi="Arial" w:cs="Arial"/>
                <w:lang w:val="en-IN"/>
              </w:rPr>
            </w:pPr>
            <w:r w:rsidRPr="006672F5">
              <w:rPr>
                <w:rFonts w:ascii="Arial" w:hAnsi="Arial" w:cs="Arial"/>
                <w:lang w:val="en-IN"/>
              </w:rPr>
              <w:t>DGR, Junagarh</w:t>
            </w:r>
          </w:p>
        </w:tc>
      </w:tr>
      <w:tr w:rsidR="004E406B" w:rsidRPr="006672F5" w14:paraId="779F3D91" w14:textId="77777777" w:rsidTr="002D38BD">
        <w:trPr>
          <w:trHeight w:val="267"/>
          <w:jc w:val="center"/>
        </w:trPr>
        <w:tc>
          <w:tcPr>
            <w:tcW w:w="2821" w:type="dxa"/>
            <w:tcMar>
              <w:top w:w="0" w:type="dxa"/>
              <w:left w:w="108" w:type="dxa"/>
              <w:bottom w:w="0" w:type="dxa"/>
              <w:right w:w="108" w:type="dxa"/>
            </w:tcMar>
          </w:tcPr>
          <w:p w14:paraId="16223C93" w14:textId="77777777" w:rsidR="004E406B" w:rsidRPr="006672F5" w:rsidRDefault="004E406B" w:rsidP="002D38BD">
            <w:pPr>
              <w:pStyle w:val="Body"/>
              <w:rPr>
                <w:rFonts w:ascii="Arial" w:hAnsi="Arial" w:cs="Arial"/>
                <w:lang w:val="en-IN"/>
              </w:rPr>
            </w:pPr>
            <w:r w:rsidRPr="006672F5">
              <w:rPr>
                <w:rFonts w:ascii="Arial" w:hAnsi="Arial" w:cs="Arial"/>
                <w:lang w:val="en-IN"/>
              </w:rPr>
              <w:t>Mallika (ICGH 00440)</w:t>
            </w:r>
          </w:p>
        </w:tc>
        <w:tc>
          <w:tcPr>
            <w:tcW w:w="1710" w:type="dxa"/>
            <w:tcMar>
              <w:top w:w="0" w:type="dxa"/>
              <w:left w:w="108" w:type="dxa"/>
              <w:bottom w:w="0" w:type="dxa"/>
              <w:right w:w="108" w:type="dxa"/>
            </w:tcMar>
          </w:tcPr>
          <w:p w14:paraId="3A7AA154" w14:textId="77777777" w:rsidR="004E406B" w:rsidRPr="006672F5" w:rsidRDefault="004E406B" w:rsidP="002D38BD">
            <w:pPr>
              <w:pStyle w:val="Body"/>
              <w:rPr>
                <w:rFonts w:ascii="Arial" w:hAnsi="Arial" w:cs="Arial"/>
                <w:lang w:val="en-IN"/>
              </w:rPr>
            </w:pPr>
            <w:r w:rsidRPr="006672F5">
              <w:rPr>
                <w:rFonts w:ascii="Arial" w:hAnsi="Arial" w:cs="Arial"/>
                <w:lang w:val="en-IN"/>
              </w:rPr>
              <w:t>Bikaner</w:t>
            </w:r>
          </w:p>
        </w:tc>
        <w:tc>
          <w:tcPr>
            <w:tcW w:w="2340" w:type="dxa"/>
            <w:tcMar>
              <w:top w:w="15" w:type="dxa"/>
              <w:left w:w="15" w:type="dxa"/>
              <w:bottom w:w="15" w:type="dxa"/>
              <w:right w:w="15" w:type="dxa"/>
            </w:tcMar>
          </w:tcPr>
          <w:p w14:paraId="0D8BE9C3" w14:textId="77777777" w:rsidR="004E406B" w:rsidRPr="006672F5" w:rsidRDefault="004E406B" w:rsidP="002D38BD">
            <w:pPr>
              <w:pStyle w:val="Body"/>
              <w:rPr>
                <w:rFonts w:ascii="Arial" w:hAnsi="Arial" w:cs="Arial"/>
                <w:lang w:val="en-IN"/>
              </w:rPr>
            </w:pPr>
          </w:p>
        </w:tc>
        <w:tc>
          <w:tcPr>
            <w:tcW w:w="1530" w:type="dxa"/>
            <w:tcMar>
              <w:top w:w="15" w:type="dxa"/>
              <w:left w:w="15" w:type="dxa"/>
              <w:bottom w:w="15" w:type="dxa"/>
              <w:right w:w="15" w:type="dxa"/>
            </w:tcMar>
          </w:tcPr>
          <w:p w14:paraId="4B9393F0" w14:textId="77777777" w:rsidR="004E406B" w:rsidRPr="006672F5" w:rsidRDefault="004E406B" w:rsidP="002D38BD">
            <w:pPr>
              <w:pStyle w:val="Body"/>
              <w:rPr>
                <w:rFonts w:ascii="Arial" w:hAnsi="Arial" w:cs="Arial"/>
                <w:lang w:val="en-IN"/>
              </w:rPr>
            </w:pPr>
          </w:p>
        </w:tc>
      </w:tr>
      <w:tr w:rsidR="004E406B" w:rsidRPr="006672F5" w14:paraId="52394E90" w14:textId="77777777" w:rsidTr="002D38BD">
        <w:trPr>
          <w:trHeight w:val="739"/>
          <w:jc w:val="center"/>
        </w:trPr>
        <w:tc>
          <w:tcPr>
            <w:tcW w:w="2821" w:type="dxa"/>
            <w:tcMar>
              <w:top w:w="0" w:type="dxa"/>
              <w:left w:w="108" w:type="dxa"/>
              <w:bottom w:w="0" w:type="dxa"/>
              <w:right w:w="108" w:type="dxa"/>
            </w:tcMar>
          </w:tcPr>
          <w:p w14:paraId="3309ECA5" w14:textId="77777777" w:rsidR="004E406B" w:rsidRPr="006672F5" w:rsidRDefault="004E406B" w:rsidP="002D38BD">
            <w:pPr>
              <w:pStyle w:val="Body"/>
              <w:rPr>
                <w:rFonts w:ascii="Arial" w:hAnsi="Arial" w:cs="Arial"/>
                <w:lang w:val="en-IN"/>
              </w:rPr>
            </w:pPr>
            <w:proofErr w:type="spellStart"/>
            <w:r w:rsidRPr="006672F5">
              <w:rPr>
                <w:rFonts w:ascii="Arial" w:hAnsi="Arial" w:cs="Arial"/>
                <w:lang w:val="en-IN"/>
              </w:rPr>
              <w:t>Gangapuri</w:t>
            </w:r>
            <w:proofErr w:type="spellEnd"/>
          </w:p>
        </w:tc>
        <w:tc>
          <w:tcPr>
            <w:tcW w:w="1710" w:type="dxa"/>
            <w:tcMar>
              <w:top w:w="0" w:type="dxa"/>
              <w:left w:w="108" w:type="dxa"/>
              <w:bottom w:w="0" w:type="dxa"/>
              <w:right w:w="108" w:type="dxa"/>
            </w:tcMar>
          </w:tcPr>
          <w:p w14:paraId="1EC85148" w14:textId="77777777" w:rsidR="004E406B" w:rsidRPr="006672F5" w:rsidRDefault="004E406B" w:rsidP="002D38BD">
            <w:pPr>
              <w:pStyle w:val="Body"/>
              <w:rPr>
                <w:rFonts w:ascii="Arial" w:hAnsi="Arial" w:cs="Arial"/>
                <w:lang w:val="en-IN"/>
              </w:rPr>
            </w:pPr>
            <w:r w:rsidRPr="006672F5">
              <w:rPr>
                <w:rFonts w:ascii="Arial" w:hAnsi="Arial" w:cs="Arial"/>
                <w:lang w:val="en-IN"/>
              </w:rPr>
              <w:t>Own (R.V.S.K.V.V, Gwalior)</w:t>
            </w:r>
          </w:p>
        </w:tc>
        <w:tc>
          <w:tcPr>
            <w:tcW w:w="2340" w:type="dxa"/>
            <w:tcMar>
              <w:top w:w="15" w:type="dxa"/>
              <w:left w:w="15" w:type="dxa"/>
              <w:bottom w:w="15" w:type="dxa"/>
              <w:right w:w="15" w:type="dxa"/>
            </w:tcMar>
          </w:tcPr>
          <w:p w14:paraId="05E2FABF" w14:textId="77777777" w:rsidR="004E406B" w:rsidRPr="006672F5" w:rsidRDefault="004E406B" w:rsidP="002D38BD">
            <w:pPr>
              <w:pStyle w:val="Body"/>
              <w:rPr>
                <w:rFonts w:ascii="Arial" w:hAnsi="Arial" w:cs="Arial"/>
                <w:lang w:val="en-IN"/>
              </w:rPr>
            </w:pPr>
          </w:p>
        </w:tc>
        <w:bookmarkEnd w:id="1"/>
        <w:tc>
          <w:tcPr>
            <w:tcW w:w="1530" w:type="dxa"/>
            <w:tcMar>
              <w:top w:w="15" w:type="dxa"/>
              <w:left w:w="15" w:type="dxa"/>
              <w:bottom w:w="15" w:type="dxa"/>
              <w:right w:w="15" w:type="dxa"/>
            </w:tcMar>
          </w:tcPr>
          <w:p w14:paraId="6FBA1EB7" w14:textId="77777777" w:rsidR="004E406B" w:rsidRPr="006672F5" w:rsidRDefault="004E406B" w:rsidP="002D38BD">
            <w:pPr>
              <w:pStyle w:val="Body"/>
              <w:rPr>
                <w:rFonts w:ascii="Arial" w:hAnsi="Arial" w:cs="Arial"/>
                <w:lang w:val="en-IN"/>
              </w:rPr>
            </w:pPr>
          </w:p>
        </w:tc>
      </w:tr>
      <w:bookmarkEnd w:id="0"/>
    </w:tbl>
    <w:p w14:paraId="7B87BC5B" w14:textId="77777777" w:rsidR="004E406B" w:rsidRPr="006672F5" w:rsidRDefault="004E406B" w:rsidP="004E406B">
      <w:pPr>
        <w:pStyle w:val="Body"/>
        <w:rPr>
          <w:rFonts w:ascii="Arial" w:hAnsi="Arial" w:cs="Arial"/>
          <w:b/>
          <w:bCs/>
          <w:lang w:val="en-IN"/>
        </w:rPr>
      </w:pPr>
    </w:p>
    <w:p w14:paraId="2151EB4B" w14:textId="77777777" w:rsidR="004E406B" w:rsidRPr="006672F5" w:rsidRDefault="004E406B" w:rsidP="004E406B">
      <w:pPr>
        <w:pStyle w:val="Body"/>
        <w:rPr>
          <w:rFonts w:ascii="Arial" w:hAnsi="Arial" w:cs="Arial"/>
          <w:b/>
          <w:bCs/>
          <w:lang w:val="en-IN"/>
        </w:rPr>
      </w:pPr>
      <w:r w:rsidRPr="006672F5">
        <w:rPr>
          <w:rFonts w:ascii="Arial" w:hAnsi="Arial" w:cs="Arial"/>
          <w:b/>
          <w:bCs/>
          <w:lang w:val="en-IN"/>
        </w:rPr>
        <w:t>Table 2. List of hybrids used in the present study.</w:t>
      </w:r>
    </w:p>
    <w:tbl>
      <w:tblPr>
        <w:tblW w:w="68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53"/>
        <w:gridCol w:w="3070"/>
        <w:gridCol w:w="632"/>
        <w:gridCol w:w="2619"/>
      </w:tblGrid>
      <w:tr w:rsidR="004E406B" w:rsidRPr="006672F5" w14:paraId="148E5E9A" w14:textId="77777777" w:rsidTr="002D38BD">
        <w:trPr>
          <w:trHeight w:val="13"/>
          <w:jc w:val="center"/>
        </w:trPr>
        <w:tc>
          <w:tcPr>
            <w:tcW w:w="553" w:type="dxa"/>
            <w:tcMar>
              <w:top w:w="15" w:type="dxa"/>
              <w:left w:w="15" w:type="dxa"/>
              <w:bottom w:w="15" w:type="dxa"/>
              <w:right w:w="15" w:type="dxa"/>
            </w:tcMar>
          </w:tcPr>
          <w:p w14:paraId="5EBC5604" w14:textId="77777777" w:rsidR="004E406B" w:rsidRPr="006672F5" w:rsidRDefault="004E406B" w:rsidP="002D38BD">
            <w:pPr>
              <w:pStyle w:val="Body"/>
              <w:rPr>
                <w:rFonts w:ascii="Arial" w:hAnsi="Arial" w:cs="Arial"/>
                <w:b/>
                <w:bCs/>
                <w:lang w:val="en-IN"/>
              </w:rPr>
            </w:pPr>
            <w:proofErr w:type="spellStart"/>
            <w:r w:rsidRPr="006672F5">
              <w:rPr>
                <w:rFonts w:ascii="Arial" w:hAnsi="Arial" w:cs="Arial"/>
                <w:b/>
                <w:bCs/>
                <w:lang w:val="en-IN"/>
              </w:rPr>
              <w:t>S.No</w:t>
            </w:r>
            <w:proofErr w:type="spellEnd"/>
            <w:r w:rsidRPr="006672F5">
              <w:rPr>
                <w:rFonts w:ascii="Arial" w:hAnsi="Arial" w:cs="Arial"/>
                <w:b/>
                <w:bCs/>
                <w:lang w:val="en-IN"/>
              </w:rPr>
              <w:t>.</w:t>
            </w:r>
          </w:p>
        </w:tc>
        <w:tc>
          <w:tcPr>
            <w:tcW w:w="3070" w:type="dxa"/>
            <w:tcMar>
              <w:top w:w="100" w:type="dxa"/>
              <w:left w:w="100" w:type="dxa"/>
              <w:bottom w:w="100" w:type="dxa"/>
              <w:right w:w="100" w:type="dxa"/>
            </w:tcMar>
          </w:tcPr>
          <w:p w14:paraId="7A3CB303" w14:textId="77777777" w:rsidR="004E406B" w:rsidRPr="006672F5" w:rsidRDefault="004E406B" w:rsidP="002D38BD">
            <w:pPr>
              <w:pStyle w:val="Body"/>
              <w:rPr>
                <w:rFonts w:ascii="Arial" w:hAnsi="Arial" w:cs="Arial"/>
                <w:b/>
                <w:bCs/>
                <w:lang w:val="en-IN"/>
              </w:rPr>
            </w:pPr>
            <w:r w:rsidRPr="006672F5">
              <w:rPr>
                <w:rFonts w:ascii="Arial" w:hAnsi="Arial" w:cs="Arial"/>
                <w:b/>
                <w:bCs/>
                <w:lang w:val="en-IN"/>
              </w:rPr>
              <w:t>F</w:t>
            </w:r>
            <w:r w:rsidRPr="00BE66AA">
              <w:rPr>
                <w:rFonts w:ascii="Arial" w:hAnsi="Arial" w:cs="Arial"/>
                <w:b/>
                <w:bCs/>
                <w:vertAlign w:val="subscript"/>
                <w:lang w:val="en-IN"/>
              </w:rPr>
              <w:t>1</w:t>
            </w:r>
            <w:r w:rsidRPr="006672F5">
              <w:rPr>
                <w:rFonts w:ascii="Arial" w:hAnsi="Arial" w:cs="Arial"/>
                <w:b/>
                <w:bCs/>
                <w:lang w:val="en-IN"/>
              </w:rPr>
              <w:t xml:space="preserve"> HYBRIDS</w:t>
            </w:r>
          </w:p>
        </w:tc>
        <w:tc>
          <w:tcPr>
            <w:tcW w:w="632" w:type="dxa"/>
            <w:tcMar>
              <w:top w:w="15" w:type="dxa"/>
              <w:left w:w="15" w:type="dxa"/>
              <w:bottom w:w="15" w:type="dxa"/>
              <w:right w:w="15" w:type="dxa"/>
            </w:tcMar>
          </w:tcPr>
          <w:p w14:paraId="05AC78F3" w14:textId="77777777" w:rsidR="004E406B" w:rsidRPr="006672F5" w:rsidRDefault="004E406B" w:rsidP="002D38BD">
            <w:pPr>
              <w:pStyle w:val="Body"/>
              <w:rPr>
                <w:rFonts w:ascii="Arial" w:hAnsi="Arial" w:cs="Arial"/>
                <w:b/>
                <w:bCs/>
                <w:lang w:val="en-IN"/>
              </w:rPr>
            </w:pPr>
            <w:proofErr w:type="spellStart"/>
            <w:r w:rsidRPr="006672F5">
              <w:rPr>
                <w:rFonts w:ascii="Arial" w:hAnsi="Arial" w:cs="Arial"/>
                <w:b/>
                <w:bCs/>
                <w:lang w:val="en-IN"/>
              </w:rPr>
              <w:t>S.No</w:t>
            </w:r>
            <w:proofErr w:type="spellEnd"/>
            <w:r w:rsidRPr="006672F5">
              <w:rPr>
                <w:rFonts w:ascii="Arial" w:hAnsi="Arial" w:cs="Arial"/>
                <w:b/>
                <w:bCs/>
                <w:lang w:val="en-IN"/>
              </w:rPr>
              <w:t>.</w:t>
            </w:r>
          </w:p>
        </w:tc>
        <w:tc>
          <w:tcPr>
            <w:tcW w:w="2619" w:type="dxa"/>
            <w:tcMar>
              <w:top w:w="15" w:type="dxa"/>
              <w:left w:w="15" w:type="dxa"/>
              <w:bottom w:w="15" w:type="dxa"/>
              <w:right w:w="15" w:type="dxa"/>
            </w:tcMar>
          </w:tcPr>
          <w:p w14:paraId="44A8A352" w14:textId="77777777" w:rsidR="004E406B" w:rsidRPr="006672F5" w:rsidRDefault="004E406B" w:rsidP="002D38BD">
            <w:pPr>
              <w:pStyle w:val="Body"/>
              <w:rPr>
                <w:rFonts w:ascii="Arial" w:hAnsi="Arial" w:cs="Arial"/>
                <w:b/>
                <w:bCs/>
                <w:lang w:val="en-IN"/>
              </w:rPr>
            </w:pPr>
            <w:r w:rsidRPr="006672F5">
              <w:rPr>
                <w:rFonts w:ascii="Arial" w:hAnsi="Arial" w:cs="Arial"/>
                <w:b/>
                <w:bCs/>
                <w:lang w:val="en-IN"/>
              </w:rPr>
              <w:t>F</w:t>
            </w:r>
            <w:r w:rsidRPr="00BE66AA">
              <w:rPr>
                <w:rFonts w:ascii="Arial" w:hAnsi="Arial" w:cs="Arial"/>
                <w:b/>
                <w:bCs/>
                <w:vertAlign w:val="subscript"/>
                <w:lang w:val="en-IN"/>
              </w:rPr>
              <w:t>1</w:t>
            </w:r>
            <w:r w:rsidRPr="006672F5">
              <w:rPr>
                <w:rFonts w:ascii="Arial" w:hAnsi="Arial" w:cs="Arial"/>
                <w:b/>
                <w:bCs/>
                <w:lang w:val="en-IN"/>
              </w:rPr>
              <w:t xml:space="preserve"> HYBRIDS</w:t>
            </w:r>
          </w:p>
        </w:tc>
      </w:tr>
      <w:tr w:rsidR="004E406B" w:rsidRPr="006672F5" w14:paraId="674DF218" w14:textId="77777777" w:rsidTr="002D38BD">
        <w:trPr>
          <w:trHeight w:val="291"/>
          <w:jc w:val="center"/>
        </w:trPr>
        <w:tc>
          <w:tcPr>
            <w:tcW w:w="553" w:type="dxa"/>
            <w:tcMar>
              <w:top w:w="15" w:type="dxa"/>
              <w:left w:w="15" w:type="dxa"/>
              <w:bottom w:w="15" w:type="dxa"/>
              <w:right w:w="15" w:type="dxa"/>
            </w:tcMar>
          </w:tcPr>
          <w:p w14:paraId="34CFFD4F" w14:textId="77777777" w:rsidR="004E406B" w:rsidRPr="006672F5" w:rsidRDefault="004E406B" w:rsidP="002D38BD">
            <w:pPr>
              <w:pStyle w:val="Body"/>
              <w:rPr>
                <w:rFonts w:ascii="Arial" w:hAnsi="Arial" w:cs="Arial"/>
                <w:lang w:val="en-IN"/>
              </w:rPr>
            </w:pPr>
            <w:r w:rsidRPr="006672F5">
              <w:rPr>
                <w:rFonts w:ascii="Arial" w:hAnsi="Arial" w:cs="Arial"/>
                <w:lang w:val="en-IN"/>
              </w:rPr>
              <w:t>1.</w:t>
            </w:r>
          </w:p>
        </w:tc>
        <w:tc>
          <w:tcPr>
            <w:tcW w:w="3070" w:type="dxa"/>
            <w:tcMar>
              <w:top w:w="0" w:type="dxa"/>
              <w:left w:w="108" w:type="dxa"/>
              <w:bottom w:w="0" w:type="dxa"/>
              <w:right w:w="108" w:type="dxa"/>
            </w:tcMar>
          </w:tcPr>
          <w:p w14:paraId="2A357E7E" w14:textId="77777777" w:rsidR="004E406B" w:rsidRPr="006672F5" w:rsidRDefault="004E406B" w:rsidP="002D38BD">
            <w:pPr>
              <w:pStyle w:val="Body"/>
              <w:rPr>
                <w:rFonts w:ascii="Arial" w:hAnsi="Arial" w:cs="Arial"/>
                <w:lang w:val="en-IN"/>
              </w:rPr>
            </w:pPr>
            <w:r w:rsidRPr="006672F5">
              <w:rPr>
                <w:rFonts w:ascii="Arial" w:hAnsi="Arial" w:cs="Arial"/>
                <w:lang w:val="en-IN"/>
              </w:rPr>
              <w:t>TG-87 x TG-37 A</w:t>
            </w:r>
          </w:p>
        </w:tc>
        <w:tc>
          <w:tcPr>
            <w:tcW w:w="632" w:type="dxa"/>
            <w:tcMar>
              <w:top w:w="15" w:type="dxa"/>
              <w:left w:w="15" w:type="dxa"/>
              <w:bottom w:w="15" w:type="dxa"/>
              <w:right w:w="15" w:type="dxa"/>
            </w:tcMar>
          </w:tcPr>
          <w:p w14:paraId="6142637D" w14:textId="77777777" w:rsidR="004E406B" w:rsidRPr="006672F5" w:rsidRDefault="004E406B" w:rsidP="002D38BD">
            <w:pPr>
              <w:pStyle w:val="Body"/>
              <w:rPr>
                <w:rFonts w:ascii="Arial" w:hAnsi="Arial" w:cs="Arial"/>
                <w:lang w:val="en-IN"/>
              </w:rPr>
            </w:pPr>
            <w:r w:rsidRPr="006672F5">
              <w:rPr>
                <w:rFonts w:ascii="Arial" w:hAnsi="Arial" w:cs="Arial"/>
                <w:lang w:val="en-IN"/>
              </w:rPr>
              <w:t>13.</w:t>
            </w:r>
          </w:p>
        </w:tc>
        <w:tc>
          <w:tcPr>
            <w:tcW w:w="2619" w:type="dxa"/>
            <w:tcMar>
              <w:top w:w="15" w:type="dxa"/>
              <w:left w:w="15" w:type="dxa"/>
              <w:bottom w:w="15" w:type="dxa"/>
              <w:right w:w="15" w:type="dxa"/>
            </w:tcMar>
          </w:tcPr>
          <w:p w14:paraId="4AEFA9B2" w14:textId="77777777" w:rsidR="004E406B" w:rsidRPr="006672F5" w:rsidRDefault="004E406B" w:rsidP="002D38BD">
            <w:pPr>
              <w:pStyle w:val="Body"/>
              <w:rPr>
                <w:rFonts w:ascii="Arial" w:hAnsi="Arial" w:cs="Arial"/>
                <w:lang w:val="en-IN"/>
              </w:rPr>
            </w:pPr>
            <w:proofErr w:type="spellStart"/>
            <w:r w:rsidRPr="006672F5">
              <w:rPr>
                <w:rFonts w:ascii="Arial" w:hAnsi="Arial" w:cs="Arial"/>
                <w:lang w:val="en-IN"/>
              </w:rPr>
              <w:t>Gangapuri</w:t>
            </w:r>
            <w:proofErr w:type="spellEnd"/>
            <w:r w:rsidRPr="006672F5">
              <w:rPr>
                <w:rFonts w:ascii="Arial" w:hAnsi="Arial" w:cs="Arial"/>
                <w:lang w:val="en-IN"/>
              </w:rPr>
              <w:t xml:space="preserve"> x TG 37A</w:t>
            </w:r>
          </w:p>
        </w:tc>
      </w:tr>
      <w:tr w:rsidR="004E406B" w:rsidRPr="006672F5" w14:paraId="6F46B732" w14:textId="77777777" w:rsidTr="002D38BD">
        <w:trPr>
          <w:trHeight w:val="296"/>
          <w:jc w:val="center"/>
        </w:trPr>
        <w:tc>
          <w:tcPr>
            <w:tcW w:w="553" w:type="dxa"/>
            <w:tcMar>
              <w:top w:w="15" w:type="dxa"/>
              <w:left w:w="15" w:type="dxa"/>
              <w:bottom w:w="15" w:type="dxa"/>
              <w:right w:w="15" w:type="dxa"/>
            </w:tcMar>
          </w:tcPr>
          <w:p w14:paraId="344D7A28" w14:textId="77777777" w:rsidR="004E406B" w:rsidRPr="006672F5" w:rsidRDefault="004E406B" w:rsidP="002D38BD">
            <w:pPr>
              <w:pStyle w:val="Body"/>
              <w:rPr>
                <w:rFonts w:ascii="Arial" w:hAnsi="Arial" w:cs="Arial"/>
                <w:lang w:val="en-IN"/>
              </w:rPr>
            </w:pPr>
            <w:r w:rsidRPr="006672F5">
              <w:rPr>
                <w:rFonts w:ascii="Arial" w:hAnsi="Arial" w:cs="Arial"/>
                <w:lang w:val="en-IN"/>
              </w:rPr>
              <w:t>2.</w:t>
            </w:r>
          </w:p>
        </w:tc>
        <w:tc>
          <w:tcPr>
            <w:tcW w:w="3070" w:type="dxa"/>
            <w:tcMar>
              <w:top w:w="0" w:type="dxa"/>
              <w:left w:w="108" w:type="dxa"/>
              <w:bottom w:w="0" w:type="dxa"/>
              <w:right w:w="108" w:type="dxa"/>
            </w:tcMar>
          </w:tcPr>
          <w:p w14:paraId="1B54188A" w14:textId="77777777" w:rsidR="004E406B" w:rsidRPr="006672F5" w:rsidRDefault="004E406B" w:rsidP="002D38BD">
            <w:pPr>
              <w:pStyle w:val="Body"/>
              <w:rPr>
                <w:rFonts w:ascii="Arial" w:hAnsi="Arial" w:cs="Arial"/>
                <w:lang w:val="en-IN"/>
              </w:rPr>
            </w:pPr>
            <w:r w:rsidRPr="006672F5">
              <w:rPr>
                <w:rFonts w:ascii="Arial" w:hAnsi="Arial" w:cs="Arial"/>
                <w:lang w:val="en-IN"/>
              </w:rPr>
              <w:t>TG-87 x SunOleic-95R</w:t>
            </w:r>
          </w:p>
        </w:tc>
        <w:tc>
          <w:tcPr>
            <w:tcW w:w="632" w:type="dxa"/>
            <w:tcMar>
              <w:top w:w="15" w:type="dxa"/>
              <w:left w:w="15" w:type="dxa"/>
              <w:bottom w:w="15" w:type="dxa"/>
              <w:right w:w="15" w:type="dxa"/>
            </w:tcMar>
          </w:tcPr>
          <w:p w14:paraId="043E2EF8" w14:textId="77777777" w:rsidR="004E406B" w:rsidRPr="006672F5" w:rsidRDefault="004E406B" w:rsidP="002D38BD">
            <w:pPr>
              <w:pStyle w:val="Body"/>
              <w:rPr>
                <w:rFonts w:ascii="Arial" w:hAnsi="Arial" w:cs="Arial"/>
                <w:lang w:val="en-IN"/>
              </w:rPr>
            </w:pPr>
            <w:r w:rsidRPr="006672F5">
              <w:rPr>
                <w:rFonts w:ascii="Arial" w:hAnsi="Arial" w:cs="Arial"/>
                <w:lang w:val="en-IN"/>
              </w:rPr>
              <w:t>14.</w:t>
            </w:r>
          </w:p>
        </w:tc>
        <w:tc>
          <w:tcPr>
            <w:tcW w:w="2619" w:type="dxa"/>
            <w:tcMar>
              <w:top w:w="15" w:type="dxa"/>
              <w:left w:w="15" w:type="dxa"/>
              <w:bottom w:w="15" w:type="dxa"/>
              <w:right w:w="15" w:type="dxa"/>
            </w:tcMar>
          </w:tcPr>
          <w:p w14:paraId="609C827C" w14:textId="77777777" w:rsidR="004E406B" w:rsidRPr="006672F5" w:rsidRDefault="004E406B" w:rsidP="002D38BD">
            <w:pPr>
              <w:pStyle w:val="Body"/>
              <w:rPr>
                <w:rFonts w:ascii="Arial" w:hAnsi="Arial" w:cs="Arial"/>
                <w:lang w:val="en-IN"/>
              </w:rPr>
            </w:pPr>
            <w:proofErr w:type="spellStart"/>
            <w:r w:rsidRPr="006672F5">
              <w:rPr>
                <w:rFonts w:ascii="Arial" w:hAnsi="Arial" w:cs="Arial"/>
                <w:lang w:val="en-IN"/>
              </w:rPr>
              <w:t>Gangapuri</w:t>
            </w:r>
            <w:proofErr w:type="spellEnd"/>
            <w:r w:rsidRPr="006672F5">
              <w:rPr>
                <w:rFonts w:ascii="Arial" w:hAnsi="Arial" w:cs="Arial"/>
                <w:lang w:val="en-IN"/>
              </w:rPr>
              <w:t xml:space="preserve"> x SunOleic-95R</w:t>
            </w:r>
          </w:p>
        </w:tc>
      </w:tr>
      <w:tr w:rsidR="004E406B" w:rsidRPr="006672F5" w14:paraId="3AAF3E7E" w14:textId="77777777" w:rsidTr="002D38BD">
        <w:trPr>
          <w:trHeight w:val="291"/>
          <w:jc w:val="center"/>
        </w:trPr>
        <w:tc>
          <w:tcPr>
            <w:tcW w:w="553" w:type="dxa"/>
            <w:tcMar>
              <w:top w:w="15" w:type="dxa"/>
              <w:left w:w="15" w:type="dxa"/>
              <w:bottom w:w="15" w:type="dxa"/>
              <w:right w:w="15" w:type="dxa"/>
            </w:tcMar>
          </w:tcPr>
          <w:p w14:paraId="06EEE570" w14:textId="77777777" w:rsidR="004E406B" w:rsidRPr="006672F5" w:rsidRDefault="004E406B" w:rsidP="002D38BD">
            <w:pPr>
              <w:pStyle w:val="Body"/>
              <w:rPr>
                <w:rFonts w:ascii="Arial" w:hAnsi="Arial" w:cs="Arial"/>
                <w:lang w:val="en-IN"/>
              </w:rPr>
            </w:pPr>
            <w:r w:rsidRPr="006672F5">
              <w:rPr>
                <w:rFonts w:ascii="Arial" w:hAnsi="Arial" w:cs="Arial"/>
                <w:lang w:val="en-IN"/>
              </w:rPr>
              <w:t>3.</w:t>
            </w:r>
          </w:p>
        </w:tc>
        <w:tc>
          <w:tcPr>
            <w:tcW w:w="3070" w:type="dxa"/>
            <w:tcMar>
              <w:top w:w="0" w:type="dxa"/>
              <w:left w:w="108" w:type="dxa"/>
              <w:bottom w:w="0" w:type="dxa"/>
              <w:right w:w="108" w:type="dxa"/>
            </w:tcMar>
          </w:tcPr>
          <w:p w14:paraId="15E4BF4C" w14:textId="77777777" w:rsidR="004E406B" w:rsidRPr="006672F5" w:rsidRDefault="004E406B" w:rsidP="002D38BD">
            <w:pPr>
              <w:pStyle w:val="Body"/>
              <w:rPr>
                <w:rFonts w:ascii="Arial" w:hAnsi="Arial" w:cs="Arial"/>
                <w:lang w:val="en-IN"/>
              </w:rPr>
            </w:pPr>
            <w:r w:rsidRPr="006672F5">
              <w:rPr>
                <w:rFonts w:ascii="Arial" w:hAnsi="Arial" w:cs="Arial"/>
                <w:lang w:val="en-IN"/>
              </w:rPr>
              <w:t>TG-87 x GPBD-4</w:t>
            </w:r>
          </w:p>
        </w:tc>
        <w:tc>
          <w:tcPr>
            <w:tcW w:w="632" w:type="dxa"/>
            <w:tcMar>
              <w:top w:w="15" w:type="dxa"/>
              <w:left w:w="15" w:type="dxa"/>
              <w:bottom w:w="15" w:type="dxa"/>
              <w:right w:w="15" w:type="dxa"/>
            </w:tcMar>
          </w:tcPr>
          <w:p w14:paraId="038B96A3" w14:textId="77777777" w:rsidR="004E406B" w:rsidRPr="006672F5" w:rsidRDefault="004E406B" w:rsidP="002D38BD">
            <w:pPr>
              <w:pStyle w:val="Body"/>
              <w:rPr>
                <w:rFonts w:ascii="Arial" w:hAnsi="Arial" w:cs="Arial"/>
                <w:lang w:val="en-IN"/>
              </w:rPr>
            </w:pPr>
            <w:r w:rsidRPr="006672F5">
              <w:rPr>
                <w:rFonts w:ascii="Arial" w:hAnsi="Arial" w:cs="Arial"/>
                <w:lang w:val="en-IN"/>
              </w:rPr>
              <w:t>15.</w:t>
            </w:r>
          </w:p>
        </w:tc>
        <w:tc>
          <w:tcPr>
            <w:tcW w:w="2619" w:type="dxa"/>
            <w:tcMar>
              <w:top w:w="15" w:type="dxa"/>
              <w:left w:w="15" w:type="dxa"/>
              <w:bottom w:w="15" w:type="dxa"/>
              <w:right w:w="15" w:type="dxa"/>
            </w:tcMar>
          </w:tcPr>
          <w:p w14:paraId="1D1E9E65" w14:textId="77777777" w:rsidR="004E406B" w:rsidRPr="006672F5" w:rsidRDefault="004E406B" w:rsidP="002D38BD">
            <w:pPr>
              <w:pStyle w:val="Body"/>
              <w:rPr>
                <w:rFonts w:ascii="Arial" w:hAnsi="Arial" w:cs="Arial"/>
                <w:lang w:val="en-IN"/>
              </w:rPr>
            </w:pPr>
            <w:proofErr w:type="spellStart"/>
            <w:r w:rsidRPr="006672F5">
              <w:rPr>
                <w:rFonts w:ascii="Arial" w:hAnsi="Arial" w:cs="Arial"/>
                <w:lang w:val="en-IN"/>
              </w:rPr>
              <w:t>Gangapuri</w:t>
            </w:r>
            <w:proofErr w:type="spellEnd"/>
            <w:r w:rsidRPr="006672F5">
              <w:rPr>
                <w:rFonts w:ascii="Arial" w:hAnsi="Arial" w:cs="Arial"/>
                <w:lang w:val="en-IN"/>
              </w:rPr>
              <w:t xml:space="preserve"> x GPBD-4</w:t>
            </w:r>
          </w:p>
        </w:tc>
      </w:tr>
      <w:tr w:rsidR="004E406B" w:rsidRPr="006672F5" w14:paraId="766256E9" w14:textId="77777777" w:rsidTr="002D38BD">
        <w:trPr>
          <w:trHeight w:val="296"/>
          <w:jc w:val="center"/>
        </w:trPr>
        <w:tc>
          <w:tcPr>
            <w:tcW w:w="553" w:type="dxa"/>
            <w:tcMar>
              <w:top w:w="15" w:type="dxa"/>
              <w:left w:w="15" w:type="dxa"/>
              <w:bottom w:w="15" w:type="dxa"/>
              <w:right w:w="15" w:type="dxa"/>
            </w:tcMar>
          </w:tcPr>
          <w:p w14:paraId="6FFD2B48" w14:textId="77777777" w:rsidR="004E406B" w:rsidRPr="006672F5" w:rsidRDefault="004E406B" w:rsidP="002D38BD">
            <w:pPr>
              <w:pStyle w:val="Body"/>
              <w:rPr>
                <w:rFonts w:ascii="Arial" w:hAnsi="Arial" w:cs="Arial"/>
                <w:lang w:val="en-IN"/>
              </w:rPr>
            </w:pPr>
            <w:r w:rsidRPr="006672F5">
              <w:rPr>
                <w:rFonts w:ascii="Arial" w:hAnsi="Arial" w:cs="Arial"/>
                <w:lang w:val="en-IN"/>
              </w:rPr>
              <w:t>4.</w:t>
            </w:r>
          </w:p>
        </w:tc>
        <w:tc>
          <w:tcPr>
            <w:tcW w:w="3070" w:type="dxa"/>
            <w:tcMar>
              <w:top w:w="0" w:type="dxa"/>
              <w:left w:w="108" w:type="dxa"/>
              <w:bottom w:w="0" w:type="dxa"/>
              <w:right w:w="108" w:type="dxa"/>
            </w:tcMar>
          </w:tcPr>
          <w:p w14:paraId="5E725C3F" w14:textId="77777777" w:rsidR="004E406B" w:rsidRPr="006672F5" w:rsidRDefault="004E406B" w:rsidP="002D38BD">
            <w:pPr>
              <w:pStyle w:val="Body"/>
              <w:rPr>
                <w:rFonts w:ascii="Arial" w:hAnsi="Arial" w:cs="Arial"/>
                <w:lang w:val="en-IN"/>
              </w:rPr>
            </w:pPr>
            <w:r w:rsidRPr="006672F5">
              <w:rPr>
                <w:rFonts w:ascii="Arial" w:hAnsi="Arial" w:cs="Arial"/>
                <w:lang w:val="en-IN"/>
              </w:rPr>
              <w:t>TG-87 x KDG-128</w:t>
            </w:r>
          </w:p>
        </w:tc>
        <w:tc>
          <w:tcPr>
            <w:tcW w:w="632" w:type="dxa"/>
            <w:tcMar>
              <w:top w:w="15" w:type="dxa"/>
              <w:left w:w="15" w:type="dxa"/>
              <w:bottom w:w="15" w:type="dxa"/>
              <w:right w:w="15" w:type="dxa"/>
            </w:tcMar>
          </w:tcPr>
          <w:p w14:paraId="6449B6B9" w14:textId="77777777" w:rsidR="004E406B" w:rsidRPr="006672F5" w:rsidRDefault="004E406B" w:rsidP="002D38BD">
            <w:pPr>
              <w:pStyle w:val="Body"/>
              <w:rPr>
                <w:rFonts w:ascii="Arial" w:hAnsi="Arial" w:cs="Arial"/>
                <w:lang w:val="en-IN"/>
              </w:rPr>
            </w:pPr>
            <w:r w:rsidRPr="006672F5">
              <w:rPr>
                <w:rFonts w:ascii="Arial" w:hAnsi="Arial" w:cs="Arial"/>
                <w:lang w:val="en-IN"/>
              </w:rPr>
              <w:t>16.</w:t>
            </w:r>
          </w:p>
        </w:tc>
        <w:tc>
          <w:tcPr>
            <w:tcW w:w="2619" w:type="dxa"/>
            <w:tcMar>
              <w:top w:w="15" w:type="dxa"/>
              <w:left w:w="15" w:type="dxa"/>
              <w:bottom w:w="15" w:type="dxa"/>
              <w:right w:w="15" w:type="dxa"/>
            </w:tcMar>
          </w:tcPr>
          <w:p w14:paraId="7AF3CF3D" w14:textId="77777777" w:rsidR="004E406B" w:rsidRPr="006672F5" w:rsidRDefault="004E406B" w:rsidP="002D38BD">
            <w:pPr>
              <w:pStyle w:val="Body"/>
              <w:rPr>
                <w:rFonts w:ascii="Arial" w:hAnsi="Arial" w:cs="Arial"/>
                <w:lang w:val="en-IN"/>
              </w:rPr>
            </w:pPr>
            <w:proofErr w:type="spellStart"/>
            <w:r w:rsidRPr="006672F5">
              <w:rPr>
                <w:rFonts w:ascii="Arial" w:hAnsi="Arial" w:cs="Arial"/>
                <w:lang w:val="en-IN"/>
              </w:rPr>
              <w:t>Gangapuri</w:t>
            </w:r>
            <w:proofErr w:type="spellEnd"/>
            <w:r w:rsidRPr="006672F5">
              <w:rPr>
                <w:rFonts w:ascii="Arial" w:hAnsi="Arial" w:cs="Arial"/>
                <w:lang w:val="en-IN"/>
              </w:rPr>
              <w:t xml:space="preserve"> x KDG-128</w:t>
            </w:r>
          </w:p>
        </w:tc>
      </w:tr>
      <w:tr w:rsidR="004E406B" w:rsidRPr="006672F5" w14:paraId="044CB83D" w14:textId="77777777" w:rsidTr="002D38BD">
        <w:trPr>
          <w:trHeight w:val="296"/>
          <w:jc w:val="center"/>
        </w:trPr>
        <w:tc>
          <w:tcPr>
            <w:tcW w:w="553" w:type="dxa"/>
            <w:tcMar>
              <w:top w:w="15" w:type="dxa"/>
              <w:left w:w="15" w:type="dxa"/>
              <w:bottom w:w="15" w:type="dxa"/>
              <w:right w:w="15" w:type="dxa"/>
            </w:tcMar>
          </w:tcPr>
          <w:p w14:paraId="35AD1D4F" w14:textId="77777777" w:rsidR="004E406B" w:rsidRPr="006672F5" w:rsidRDefault="004E406B" w:rsidP="002D38BD">
            <w:pPr>
              <w:pStyle w:val="Body"/>
              <w:rPr>
                <w:rFonts w:ascii="Arial" w:hAnsi="Arial" w:cs="Arial"/>
                <w:lang w:val="en-IN"/>
              </w:rPr>
            </w:pPr>
            <w:r w:rsidRPr="006672F5">
              <w:rPr>
                <w:rFonts w:ascii="Arial" w:hAnsi="Arial" w:cs="Arial"/>
                <w:lang w:val="en-IN"/>
              </w:rPr>
              <w:t>5.</w:t>
            </w:r>
          </w:p>
        </w:tc>
        <w:tc>
          <w:tcPr>
            <w:tcW w:w="3070" w:type="dxa"/>
            <w:tcMar>
              <w:top w:w="0" w:type="dxa"/>
              <w:left w:w="108" w:type="dxa"/>
              <w:bottom w:w="0" w:type="dxa"/>
              <w:right w:w="108" w:type="dxa"/>
            </w:tcMar>
          </w:tcPr>
          <w:p w14:paraId="4D4A327F" w14:textId="77777777" w:rsidR="004E406B" w:rsidRPr="006672F5" w:rsidRDefault="004E406B" w:rsidP="002D38BD">
            <w:pPr>
              <w:pStyle w:val="Body"/>
              <w:rPr>
                <w:rFonts w:ascii="Arial" w:hAnsi="Arial" w:cs="Arial"/>
                <w:lang w:val="en-IN"/>
              </w:rPr>
            </w:pPr>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x TG- 37A</w:t>
            </w:r>
          </w:p>
        </w:tc>
        <w:tc>
          <w:tcPr>
            <w:tcW w:w="632" w:type="dxa"/>
            <w:tcMar>
              <w:top w:w="15" w:type="dxa"/>
              <w:left w:w="15" w:type="dxa"/>
              <w:bottom w:w="15" w:type="dxa"/>
              <w:right w:w="15" w:type="dxa"/>
            </w:tcMar>
          </w:tcPr>
          <w:p w14:paraId="328000F6" w14:textId="77777777" w:rsidR="004E406B" w:rsidRPr="006672F5" w:rsidRDefault="004E406B" w:rsidP="002D38BD">
            <w:pPr>
              <w:pStyle w:val="Body"/>
              <w:rPr>
                <w:rFonts w:ascii="Arial" w:hAnsi="Arial" w:cs="Arial"/>
                <w:lang w:val="en-IN"/>
              </w:rPr>
            </w:pPr>
            <w:r w:rsidRPr="006672F5">
              <w:rPr>
                <w:rFonts w:ascii="Arial" w:hAnsi="Arial" w:cs="Arial"/>
                <w:lang w:val="en-IN"/>
              </w:rPr>
              <w:t>17.</w:t>
            </w:r>
          </w:p>
        </w:tc>
        <w:tc>
          <w:tcPr>
            <w:tcW w:w="2619" w:type="dxa"/>
            <w:tcMar>
              <w:top w:w="15" w:type="dxa"/>
              <w:left w:w="15" w:type="dxa"/>
              <w:bottom w:w="15" w:type="dxa"/>
              <w:right w:w="15" w:type="dxa"/>
            </w:tcMar>
          </w:tcPr>
          <w:p w14:paraId="73B1BA80" w14:textId="77777777" w:rsidR="004E406B" w:rsidRPr="006672F5" w:rsidRDefault="004E406B" w:rsidP="002D38BD">
            <w:pPr>
              <w:pStyle w:val="Body"/>
              <w:rPr>
                <w:rFonts w:ascii="Arial" w:hAnsi="Arial" w:cs="Arial"/>
                <w:lang w:val="en-IN"/>
              </w:rPr>
            </w:pPr>
            <w:r w:rsidRPr="006672F5">
              <w:rPr>
                <w:rFonts w:ascii="Arial" w:hAnsi="Arial" w:cs="Arial"/>
                <w:lang w:val="en-IN"/>
              </w:rPr>
              <w:t>TG-86 x TG 37 A</w:t>
            </w:r>
          </w:p>
        </w:tc>
      </w:tr>
      <w:tr w:rsidR="004E406B" w:rsidRPr="006672F5" w14:paraId="7C6791D3" w14:textId="77777777" w:rsidTr="002D38BD">
        <w:trPr>
          <w:trHeight w:val="291"/>
          <w:jc w:val="center"/>
        </w:trPr>
        <w:tc>
          <w:tcPr>
            <w:tcW w:w="553" w:type="dxa"/>
            <w:tcMar>
              <w:top w:w="15" w:type="dxa"/>
              <w:left w:w="15" w:type="dxa"/>
              <w:bottom w:w="15" w:type="dxa"/>
              <w:right w:w="15" w:type="dxa"/>
            </w:tcMar>
          </w:tcPr>
          <w:p w14:paraId="0E44B9D4" w14:textId="77777777" w:rsidR="004E406B" w:rsidRPr="006672F5" w:rsidRDefault="004E406B" w:rsidP="002D38BD">
            <w:pPr>
              <w:pStyle w:val="Body"/>
              <w:rPr>
                <w:rFonts w:ascii="Arial" w:hAnsi="Arial" w:cs="Arial"/>
                <w:lang w:val="en-IN"/>
              </w:rPr>
            </w:pPr>
            <w:r w:rsidRPr="006672F5">
              <w:rPr>
                <w:rFonts w:ascii="Arial" w:hAnsi="Arial" w:cs="Arial"/>
                <w:lang w:val="en-IN"/>
              </w:rPr>
              <w:t>6.</w:t>
            </w:r>
          </w:p>
        </w:tc>
        <w:tc>
          <w:tcPr>
            <w:tcW w:w="3070" w:type="dxa"/>
            <w:tcMar>
              <w:top w:w="0" w:type="dxa"/>
              <w:left w:w="108" w:type="dxa"/>
              <w:bottom w:w="0" w:type="dxa"/>
              <w:right w:w="108" w:type="dxa"/>
            </w:tcMar>
          </w:tcPr>
          <w:p w14:paraId="7D99C04C" w14:textId="77777777" w:rsidR="004E406B" w:rsidRPr="006672F5" w:rsidRDefault="004E406B" w:rsidP="002D38BD">
            <w:pPr>
              <w:pStyle w:val="Body"/>
              <w:rPr>
                <w:rFonts w:ascii="Arial" w:hAnsi="Arial" w:cs="Arial"/>
                <w:lang w:val="en-IN"/>
              </w:rPr>
            </w:pPr>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x SunOleic-95R</w:t>
            </w:r>
          </w:p>
        </w:tc>
        <w:tc>
          <w:tcPr>
            <w:tcW w:w="632" w:type="dxa"/>
            <w:tcMar>
              <w:top w:w="15" w:type="dxa"/>
              <w:left w:w="15" w:type="dxa"/>
              <w:bottom w:w="15" w:type="dxa"/>
              <w:right w:w="15" w:type="dxa"/>
            </w:tcMar>
          </w:tcPr>
          <w:p w14:paraId="0E730BFD" w14:textId="77777777" w:rsidR="004E406B" w:rsidRPr="006672F5" w:rsidRDefault="004E406B" w:rsidP="002D38BD">
            <w:pPr>
              <w:pStyle w:val="Body"/>
              <w:rPr>
                <w:rFonts w:ascii="Arial" w:hAnsi="Arial" w:cs="Arial"/>
                <w:lang w:val="en-IN"/>
              </w:rPr>
            </w:pPr>
            <w:r w:rsidRPr="006672F5">
              <w:rPr>
                <w:rFonts w:ascii="Arial" w:hAnsi="Arial" w:cs="Arial"/>
                <w:lang w:val="en-IN"/>
              </w:rPr>
              <w:t>18.</w:t>
            </w:r>
          </w:p>
        </w:tc>
        <w:tc>
          <w:tcPr>
            <w:tcW w:w="2619" w:type="dxa"/>
            <w:tcMar>
              <w:top w:w="15" w:type="dxa"/>
              <w:left w:w="15" w:type="dxa"/>
              <w:bottom w:w="15" w:type="dxa"/>
              <w:right w:w="15" w:type="dxa"/>
            </w:tcMar>
          </w:tcPr>
          <w:p w14:paraId="6E9F9D6F" w14:textId="77777777" w:rsidR="004E406B" w:rsidRPr="006672F5" w:rsidRDefault="004E406B" w:rsidP="002D38BD">
            <w:pPr>
              <w:pStyle w:val="Body"/>
              <w:rPr>
                <w:rFonts w:ascii="Arial" w:hAnsi="Arial" w:cs="Arial"/>
                <w:lang w:val="en-IN"/>
              </w:rPr>
            </w:pPr>
            <w:r w:rsidRPr="006672F5">
              <w:rPr>
                <w:rFonts w:ascii="Arial" w:hAnsi="Arial" w:cs="Arial"/>
                <w:lang w:val="en-IN"/>
              </w:rPr>
              <w:t>TG-86 x SunOleic-95R</w:t>
            </w:r>
          </w:p>
        </w:tc>
      </w:tr>
      <w:tr w:rsidR="004E406B" w:rsidRPr="006672F5" w14:paraId="0A579048" w14:textId="77777777" w:rsidTr="002D38BD">
        <w:trPr>
          <w:trHeight w:val="296"/>
          <w:jc w:val="center"/>
        </w:trPr>
        <w:tc>
          <w:tcPr>
            <w:tcW w:w="553" w:type="dxa"/>
            <w:tcMar>
              <w:top w:w="15" w:type="dxa"/>
              <w:left w:w="15" w:type="dxa"/>
              <w:bottom w:w="15" w:type="dxa"/>
              <w:right w:w="15" w:type="dxa"/>
            </w:tcMar>
          </w:tcPr>
          <w:p w14:paraId="2C523813" w14:textId="77777777" w:rsidR="004E406B" w:rsidRPr="006672F5" w:rsidRDefault="004E406B" w:rsidP="002D38BD">
            <w:pPr>
              <w:pStyle w:val="Body"/>
              <w:rPr>
                <w:rFonts w:ascii="Arial" w:hAnsi="Arial" w:cs="Arial"/>
                <w:lang w:val="en-IN"/>
              </w:rPr>
            </w:pPr>
            <w:r w:rsidRPr="006672F5">
              <w:rPr>
                <w:rFonts w:ascii="Arial" w:hAnsi="Arial" w:cs="Arial"/>
                <w:lang w:val="en-IN"/>
              </w:rPr>
              <w:t>7.</w:t>
            </w:r>
          </w:p>
        </w:tc>
        <w:tc>
          <w:tcPr>
            <w:tcW w:w="3070" w:type="dxa"/>
            <w:tcMar>
              <w:top w:w="0" w:type="dxa"/>
              <w:left w:w="108" w:type="dxa"/>
              <w:bottom w:w="0" w:type="dxa"/>
              <w:right w:w="108" w:type="dxa"/>
            </w:tcMar>
          </w:tcPr>
          <w:p w14:paraId="693E0472" w14:textId="77777777" w:rsidR="004E406B" w:rsidRPr="006672F5" w:rsidRDefault="004E406B" w:rsidP="002D38BD">
            <w:pPr>
              <w:pStyle w:val="Body"/>
              <w:rPr>
                <w:rFonts w:ascii="Arial" w:hAnsi="Arial" w:cs="Arial"/>
                <w:lang w:val="en-IN"/>
              </w:rPr>
            </w:pPr>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x GPBD-4</w:t>
            </w:r>
          </w:p>
        </w:tc>
        <w:tc>
          <w:tcPr>
            <w:tcW w:w="632" w:type="dxa"/>
            <w:tcMar>
              <w:top w:w="15" w:type="dxa"/>
              <w:left w:w="15" w:type="dxa"/>
              <w:bottom w:w="15" w:type="dxa"/>
              <w:right w:w="15" w:type="dxa"/>
            </w:tcMar>
          </w:tcPr>
          <w:p w14:paraId="0B3D7790" w14:textId="77777777" w:rsidR="004E406B" w:rsidRPr="006672F5" w:rsidRDefault="004E406B" w:rsidP="002D38BD">
            <w:pPr>
              <w:pStyle w:val="Body"/>
              <w:rPr>
                <w:rFonts w:ascii="Arial" w:hAnsi="Arial" w:cs="Arial"/>
                <w:lang w:val="en-IN"/>
              </w:rPr>
            </w:pPr>
            <w:r w:rsidRPr="006672F5">
              <w:rPr>
                <w:rFonts w:ascii="Arial" w:hAnsi="Arial" w:cs="Arial"/>
                <w:lang w:val="en-IN"/>
              </w:rPr>
              <w:t>19.</w:t>
            </w:r>
          </w:p>
        </w:tc>
        <w:tc>
          <w:tcPr>
            <w:tcW w:w="2619" w:type="dxa"/>
            <w:tcMar>
              <w:top w:w="15" w:type="dxa"/>
              <w:left w:w="15" w:type="dxa"/>
              <w:bottom w:w="15" w:type="dxa"/>
              <w:right w:w="15" w:type="dxa"/>
            </w:tcMar>
          </w:tcPr>
          <w:p w14:paraId="5020833D" w14:textId="77777777" w:rsidR="004E406B" w:rsidRPr="006672F5" w:rsidRDefault="004E406B" w:rsidP="002D38BD">
            <w:pPr>
              <w:pStyle w:val="Body"/>
              <w:rPr>
                <w:rFonts w:ascii="Arial" w:hAnsi="Arial" w:cs="Arial"/>
                <w:lang w:val="en-IN"/>
              </w:rPr>
            </w:pPr>
            <w:r w:rsidRPr="006672F5">
              <w:rPr>
                <w:rFonts w:ascii="Arial" w:hAnsi="Arial" w:cs="Arial"/>
                <w:lang w:val="en-IN"/>
              </w:rPr>
              <w:t>TG-86 x GPBD-4</w:t>
            </w:r>
          </w:p>
        </w:tc>
      </w:tr>
      <w:tr w:rsidR="004E406B" w:rsidRPr="006672F5" w14:paraId="36B26EE6" w14:textId="77777777" w:rsidTr="002D38BD">
        <w:trPr>
          <w:trHeight w:val="291"/>
          <w:jc w:val="center"/>
        </w:trPr>
        <w:tc>
          <w:tcPr>
            <w:tcW w:w="553" w:type="dxa"/>
            <w:tcMar>
              <w:top w:w="15" w:type="dxa"/>
              <w:left w:w="15" w:type="dxa"/>
              <w:bottom w:w="15" w:type="dxa"/>
              <w:right w:w="15" w:type="dxa"/>
            </w:tcMar>
          </w:tcPr>
          <w:p w14:paraId="5C46DAD1" w14:textId="77777777" w:rsidR="004E406B" w:rsidRPr="006672F5" w:rsidRDefault="004E406B" w:rsidP="002D38BD">
            <w:pPr>
              <w:pStyle w:val="Body"/>
              <w:rPr>
                <w:rFonts w:ascii="Arial" w:hAnsi="Arial" w:cs="Arial"/>
                <w:lang w:val="en-IN"/>
              </w:rPr>
            </w:pPr>
            <w:r w:rsidRPr="006672F5">
              <w:rPr>
                <w:rFonts w:ascii="Arial" w:hAnsi="Arial" w:cs="Arial"/>
                <w:lang w:val="en-IN"/>
              </w:rPr>
              <w:t>8.</w:t>
            </w:r>
          </w:p>
        </w:tc>
        <w:tc>
          <w:tcPr>
            <w:tcW w:w="3070" w:type="dxa"/>
            <w:tcMar>
              <w:top w:w="0" w:type="dxa"/>
              <w:left w:w="108" w:type="dxa"/>
              <w:bottom w:w="0" w:type="dxa"/>
              <w:right w:w="108" w:type="dxa"/>
            </w:tcMar>
          </w:tcPr>
          <w:p w14:paraId="25457AC4" w14:textId="77777777" w:rsidR="004E406B" w:rsidRPr="006672F5" w:rsidRDefault="004E406B" w:rsidP="002D38BD">
            <w:pPr>
              <w:pStyle w:val="Body"/>
              <w:rPr>
                <w:rFonts w:ascii="Arial" w:hAnsi="Arial" w:cs="Arial"/>
                <w:lang w:val="en-IN"/>
              </w:rPr>
            </w:pPr>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x KDG-128</w:t>
            </w:r>
          </w:p>
        </w:tc>
        <w:tc>
          <w:tcPr>
            <w:tcW w:w="632" w:type="dxa"/>
            <w:tcMar>
              <w:top w:w="15" w:type="dxa"/>
              <w:left w:w="15" w:type="dxa"/>
              <w:bottom w:w="15" w:type="dxa"/>
              <w:right w:w="15" w:type="dxa"/>
            </w:tcMar>
          </w:tcPr>
          <w:p w14:paraId="758367D3" w14:textId="77777777" w:rsidR="004E406B" w:rsidRPr="006672F5" w:rsidRDefault="004E406B" w:rsidP="002D38BD">
            <w:pPr>
              <w:pStyle w:val="Body"/>
              <w:rPr>
                <w:rFonts w:ascii="Arial" w:hAnsi="Arial" w:cs="Arial"/>
                <w:lang w:val="en-IN"/>
              </w:rPr>
            </w:pPr>
            <w:r w:rsidRPr="006672F5">
              <w:rPr>
                <w:rFonts w:ascii="Arial" w:hAnsi="Arial" w:cs="Arial"/>
                <w:lang w:val="en-IN"/>
              </w:rPr>
              <w:t>20.</w:t>
            </w:r>
          </w:p>
        </w:tc>
        <w:tc>
          <w:tcPr>
            <w:tcW w:w="2619" w:type="dxa"/>
            <w:tcMar>
              <w:top w:w="15" w:type="dxa"/>
              <w:left w:w="15" w:type="dxa"/>
              <w:bottom w:w="15" w:type="dxa"/>
              <w:right w:w="15" w:type="dxa"/>
            </w:tcMar>
          </w:tcPr>
          <w:p w14:paraId="4D32F373" w14:textId="77777777" w:rsidR="004E406B" w:rsidRPr="006672F5" w:rsidRDefault="004E406B" w:rsidP="002D38BD">
            <w:pPr>
              <w:pStyle w:val="Body"/>
              <w:rPr>
                <w:rFonts w:ascii="Arial" w:hAnsi="Arial" w:cs="Arial"/>
                <w:lang w:val="en-IN"/>
              </w:rPr>
            </w:pPr>
            <w:r w:rsidRPr="006672F5">
              <w:rPr>
                <w:rFonts w:ascii="Arial" w:hAnsi="Arial" w:cs="Arial"/>
                <w:lang w:val="en-IN"/>
              </w:rPr>
              <w:t>TG-86 x KDG-128</w:t>
            </w:r>
          </w:p>
        </w:tc>
      </w:tr>
      <w:tr w:rsidR="004E406B" w:rsidRPr="006672F5" w14:paraId="7DA1EA56" w14:textId="77777777" w:rsidTr="002D38BD">
        <w:trPr>
          <w:trHeight w:val="270"/>
          <w:jc w:val="center"/>
        </w:trPr>
        <w:tc>
          <w:tcPr>
            <w:tcW w:w="553" w:type="dxa"/>
            <w:tcMar>
              <w:top w:w="15" w:type="dxa"/>
              <w:left w:w="15" w:type="dxa"/>
              <w:bottom w:w="15" w:type="dxa"/>
              <w:right w:w="15" w:type="dxa"/>
            </w:tcMar>
          </w:tcPr>
          <w:p w14:paraId="76554B83" w14:textId="77777777" w:rsidR="004E406B" w:rsidRPr="006672F5" w:rsidRDefault="004E406B" w:rsidP="002D38BD">
            <w:pPr>
              <w:pStyle w:val="Body"/>
              <w:rPr>
                <w:rFonts w:ascii="Arial" w:hAnsi="Arial" w:cs="Arial"/>
                <w:lang w:val="en-IN"/>
              </w:rPr>
            </w:pPr>
            <w:r w:rsidRPr="006672F5">
              <w:rPr>
                <w:rFonts w:ascii="Arial" w:hAnsi="Arial" w:cs="Arial"/>
                <w:lang w:val="en-IN"/>
              </w:rPr>
              <w:t>9.</w:t>
            </w:r>
          </w:p>
        </w:tc>
        <w:tc>
          <w:tcPr>
            <w:tcW w:w="3070" w:type="dxa"/>
            <w:tcMar>
              <w:top w:w="0" w:type="dxa"/>
              <w:left w:w="108" w:type="dxa"/>
              <w:bottom w:w="0" w:type="dxa"/>
              <w:right w:w="108" w:type="dxa"/>
            </w:tcMar>
          </w:tcPr>
          <w:p w14:paraId="413ED840" w14:textId="77777777" w:rsidR="004E406B" w:rsidRPr="006672F5" w:rsidRDefault="004E406B" w:rsidP="002D38BD">
            <w:pPr>
              <w:pStyle w:val="Body"/>
              <w:rPr>
                <w:rFonts w:ascii="Arial" w:hAnsi="Arial" w:cs="Arial"/>
                <w:lang w:val="en-IN"/>
              </w:rPr>
            </w:pPr>
            <w:r w:rsidRPr="006672F5">
              <w:rPr>
                <w:rFonts w:ascii="Arial" w:hAnsi="Arial" w:cs="Arial"/>
                <w:lang w:val="en-IN"/>
              </w:rPr>
              <w:t>Mallika x TG-37A</w:t>
            </w:r>
          </w:p>
        </w:tc>
        <w:tc>
          <w:tcPr>
            <w:tcW w:w="632" w:type="dxa"/>
            <w:tcMar>
              <w:top w:w="15" w:type="dxa"/>
              <w:left w:w="15" w:type="dxa"/>
              <w:bottom w:w="15" w:type="dxa"/>
              <w:right w:w="15" w:type="dxa"/>
            </w:tcMar>
          </w:tcPr>
          <w:p w14:paraId="22FAEC3D" w14:textId="77777777" w:rsidR="004E406B" w:rsidRPr="006672F5" w:rsidRDefault="004E406B" w:rsidP="002D38BD">
            <w:pPr>
              <w:pStyle w:val="Body"/>
              <w:rPr>
                <w:rFonts w:ascii="Arial" w:hAnsi="Arial" w:cs="Arial"/>
                <w:lang w:val="en-IN"/>
              </w:rPr>
            </w:pPr>
            <w:r w:rsidRPr="006672F5">
              <w:rPr>
                <w:rFonts w:ascii="Arial" w:hAnsi="Arial" w:cs="Arial"/>
                <w:lang w:val="en-IN"/>
              </w:rPr>
              <w:t>21.</w:t>
            </w:r>
          </w:p>
        </w:tc>
        <w:tc>
          <w:tcPr>
            <w:tcW w:w="2619" w:type="dxa"/>
            <w:tcMar>
              <w:top w:w="15" w:type="dxa"/>
              <w:left w:w="15" w:type="dxa"/>
              <w:bottom w:w="15" w:type="dxa"/>
              <w:right w:w="15" w:type="dxa"/>
            </w:tcMar>
          </w:tcPr>
          <w:p w14:paraId="0F45A399" w14:textId="77777777" w:rsidR="004E406B" w:rsidRPr="006672F5" w:rsidRDefault="004E406B" w:rsidP="002D38BD">
            <w:pPr>
              <w:pStyle w:val="Body"/>
              <w:rPr>
                <w:rFonts w:ascii="Arial" w:hAnsi="Arial" w:cs="Arial"/>
                <w:lang w:val="en-IN"/>
              </w:rPr>
            </w:pPr>
            <w:r w:rsidRPr="006672F5">
              <w:rPr>
                <w:rFonts w:ascii="Arial" w:hAnsi="Arial" w:cs="Arial"/>
                <w:lang w:val="en-IN"/>
              </w:rPr>
              <w:t>TG-88 x TG- 37A</w:t>
            </w:r>
          </w:p>
        </w:tc>
      </w:tr>
      <w:tr w:rsidR="004E406B" w:rsidRPr="006672F5" w14:paraId="381E6478" w14:textId="77777777" w:rsidTr="002D38BD">
        <w:trPr>
          <w:trHeight w:val="291"/>
          <w:jc w:val="center"/>
        </w:trPr>
        <w:tc>
          <w:tcPr>
            <w:tcW w:w="553" w:type="dxa"/>
            <w:tcMar>
              <w:top w:w="15" w:type="dxa"/>
              <w:left w:w="15" w:type="dxa"/>
              <w:bottom w:w="15" w:type="dxa"/>
              <w:right w:w="15" w:type="dxa"/>
            </w:tcMar>
          </w:tcPr>
          <w:p w14:paraId="47A7E991" w14:textId="77777777" w:rsidR="004E406B" w:rsidRPr="006672F5" w:rsidRDefault="004E406B" w:rsidP="002D38BD">
            <w:pPr>
              <w:pStyle w:val="Body"/>
              <w:rPr>
                <w:rFonts w:ascii="Arial" w:hAnsi="Arial" w:cs="Arial"/>
                <w:lang w:val="en-IN"/>
              </w:rPr>
            </w:pPr>
            <w:r w:rsidRPr="006672F5">
              <w:rPr>
                <w:rFonts w:ascii="Arial" w:hAnsi="Arial" w:cs="Arial"/>
                <w:lang w:val="en-IN"/>
              </w:rPr>
              <w:t>10.</w:t>
            </w:r>
          </w:p>
        </w:tc>
        <w:tc>
          <w:tcPr>
            <w:tcW w:w="3070" w:type="dxa"/>
            <w:tcMar>
              <w:top w:w="0" w:type="dxa"/>
              <w:left w:w="108" w:type="dxa"/>
              <w:bottom w:w="0" w:type="dxa"/>
              <w:right w:w="108" w:type="dxa"/>
            </w:tcMar>
          </w:tcPr>
          <w:p w14:paraId="0FB83120" w14:textId="77777777" w:rsidR="004E406B" w:rsidRPr="006672F5" w:rsidRDefault="004E406B" w:rsidP="002D38BD">
            <w:pPr>
              <w:pStyle w:val="Body"/>
              <w:rPr>
                <w:rFonts w:ascii="Arial" w:hAnsi="Arial" w:cs="Arial"/>
                <w:lang w:val="en-IN"/>
              </w:rPr>
            </w:pPr>
            <w:r w:rsidRPr="006672F5">
              <w:rPr>
                <w:rFonts w:ascii="Arial" w:hAnsi="Arial" w:cs="Arial"/>
                <w:lang w:val="en-IN"/>
              </w:rPr>
              <w:t>Mallika x SunOleic-95R</w:t>
            </w:r>
          </w:p>
        </w:tc>
        <w:tc>
          <w:tcPr>
            <w:tcW w:w="632" w:type="dxa"/>
            <w:tcMar>
              <w:top w:w="15" w:type="dxa"/>
              <w:left w:w="15" w:type="dxa"/>
              <w:bottom w:w="15" w:type="dxa"/>
              <w:right w:w="15" w:type="dxa"/>
            </w:tcMar>
          </w:tcPr>
          <w:p w14:paraId="28415D1C" w14:textId="77777777" w:rsidR="004E406B" w:rsidRPr="006672F5" w:rsidRDefault="004E406B" w:rsidP="002D38BD">
            <w:pPr>
              <w:pStyle w:val="Body"/>
              <w:rPr>
                <w:rFonts w:ascii="Arial" w:hAnsi="Arial" w:cs="Arial"/>
                <w:lang w:val="en-IN"/>
              </w:rPr>
            </w:pPr>
            <w:r w:rsidRPr="006672F5">
              <w:rPr>
                <w:rFonts w:ascii="Arial" w:hAnsi="Arial" w:cs="Arial"/>
                <w:lang w:val="en-IN"/>
              </w:rPr>
              <w:t>22.</w:t>
            </w:r>
          </w:p>
        </w:tc>
        <w:tc>
          <w:tcPr>
            <w:tcW w:w="2619" w:type="dxa"/>
            <w:tcMar>
              <w:top w:w="15" w:type="dxa"/>
              <w:left w:w="15" w:type="dxa"/>
              <w:bottom w:w="15" w:type="dxa"/>
              <w:right w:w="15" w:type="dxa"/>
            </w:tcMar>
          </w:tcPr>
          <w:p w14:paraId="6E9DD5C2" w14:textId="77777777" w:rsidR="004E406B" w:rsidRPr="006672F5" w:rsidRDefault="004E406B" w:rsidP="002D38BD">
            <w:pPr>
              <w:pStyle w:val="Body"/>
              <w:rPr>
                <w:rFonts w:ascii="Arial" w:hAnsi="Arial" w:cs="Arial"/>
                <w:lang w:val="en-IN"/>
              </w:rPr>
            </w:pPr>
            <w:r w:rsidRPr="006672F5">
              <w:rPr>
                <w:rFonts w:ascii="Arial" w:hAnsi="Arial" w:cs="Arial"/>
                <w:lang w:val="en-IN"/>
              </w:rPr>
              <w:t>TG-88 x SunOleic-95R</w:t>
            </w:r>
          </w:p>
        </w:tc>
      </w:tr>
      <w:tr w:rsidR="004E406B" w:rsidRPr="006672F5" w14:paraId="1567033C" w14:textId="77777777" w:rsidTr="002D38BD">
        <w:trPr>
          <w:trHeight w:val="291"/>
          <w:jc w:val="center"/>
        </w:trPr>
        <w:tc>
          <w:tcPr>
            <w:tcW w:w="553" w:type="dxa"/>
            <w:tcMar>
              <w:top w:w="15" w:type="dxa"/>
              <w:left w:w="15" w:type="dxa"/>
              <w:bottom w:w="15" w:type="dxa"/>
              <w:right w:w="15" w:type="dxa"/>
            </w:tcMar>
          </w:tcPr>
          <w:p w14:paraId="01012624" w14:textId="77777777" w:rsidR="004E406B" w:rsidRPr="006672F5" w:rsidRDefault="004E406B" w:rsidP="002D38BD">
            <w:pPr>
              <w:pStyle w:val="Body"/>
              <w:rPr>
                <w:rFonts w:ascii="Arial" w:hAnsi="Arial" w:cs="Arial"/>
                <w:lang w:val="en-IN"/>
              </w:rPr>
            </w:pPr>
            <w:r w:rsidRPr="006672F5">
              <w:rPr>
                <w:rFonts w:ascii="Arial" w:hAnsi="Arial" w:cs="Arial"/>
                <w:lang w:val="en-IN"/>
              </w:rPr>
              <w:t>11.</w:t>
            </w:r>
          </w:p>
        </w:tc>
        <w:tc>
          <w:tcPr>
            <w:tcW w:w="3070" w:type="dxa"/>
            <w:tcMar>
              <w:top w:w="0" w:type="dxa"/>
              <w:left w:w="108" w:type="dxa"/>
              <w:bottom w:w="0" w:type="dxa"/>
              <w:right w:w="108" w:type="dxa"/>
            </w:tcMar>
          </w:tcPr>
          <w:p w14:paraId="2420DEB0" w14:textId="77777777" w:rsidR="004E406B" w:rsidRPr="006672F5" w:rsidRDefault="004E406B" w:rsidP="002D38BD">
            <w:pPr>
              <w:pStyle w:val="Body"/>
              <w:rPr>
                <w:rFonts w:ascii="Arial" w:hAnsi="Arial" w:cs="Arial"/>
                <w:lang w:val="en-IN"/>
              </w:rPr>
            </w:pPr>
            <w:r w:rsidRPr="006672F5">
              <w:rPr>
                <w:rFonts w:ascii="Arial" w:hAnsi="Arial" w:cs="Arial"/>
                <w:lang w:val="en-IN"/>
              </w:rPr>
              <w:t>Mallika x GPBD-4</w:t>
            </w:r>
          </w:p>
        </w:tc>
        <w:tc>
          <w:tcPr>
            <w:tcW w:w="632" w:type="dxa"/>
            <w:tcMar>
              <w:top w:w="15" w:type="dxa"/>
              <w:left w:w="15" w:type="dxa"/>
              <w:bottom w:w="15" w:type="dxa"/>
              <w:right w:w="15" w:type="dxa"/>
            </w:tcMar>
          </w:tcPr>
          <w:p w14:paraId="1C0BD4D7" w14:textId="77777777" w:rsidR="004E406B" w:rsidRPr="006672F5" w:rsidRDefault="004E406B" w:rsidP="002D38BD">
            <w:pPr>
              <w:pStyle w:val="Body"/>
              <w:rPr>
                <w:rFonts w:ascii="Arial" w:hAnsi="Arial" w:cs="Arial"/>
                <w:lang w:val="en-IN"/>
              </w:rPr>
            </w:pPr>
            <w:r w:rsidRPr="006672F5">
              <w:rPr>
                <w:rFonts w:ascii="Arial" w:hAnsi="Arial" w:cs="Arial"/>
                <w:lang w:val="en-IN"/>
              </w:rPr>
              <w:t>23.</w:t>
            </w:r>
          </w:p>
        </w:tc>
        <w:tc>
          <w:tcPr>
            <w:tcW w:w="2619" w:type="dxa"/>
            <w:tcMar>
              <w:top w:w="15" w:type="dxa"/>
              <w:left w:w="15" w:type="dxa"/>
              <w:bottom w:w="15" w:type="dxa"/>
              <w:right w:w="15" w:type="dxa"/>
            </w:tcMar>
          </w:tcPr>
          <w:p w14:paraId="0CF1055A" w14:textId="77777777" w:rsidR="004E406B" w:rsidRPr="006672F5" w:rsidRDefault="004E406B" w:rsidP="002D38BD">
            <w:pPr>
              <w:pStyle w:val="Body"/>
              <w:rPr>
                <w:rFonts w:ascii="Arial" w:hAnsi="Arial" w:cs="Arial"/>
                <w:lang w:val="en-IN"/>
              </w:rPr>
            </w:pPr>
            <w:r w:rsidRPr="006672F5">
              <w:rPr>
                <w:rFonts w:ascii="Arial" w:hAnsi="Arial" w:cs="Arial"/>
                <w:lang w:val="en-IN"/>
              </w:rPr>
              <w:t>TG-88 x GPBD-4</w:t>
            </w:r>
          </w:p>
        </w:tc>
      </w:tr>
      <w:tr w:rsidR="004E406B" w:rsidRPr="006672F5" w14:paraId="11771ABC" w14:textId="77777777" w:rsidTr="002D38BD">
        <w:trPr>
          <w:trHeight w:val="291"/>
          <w:jc w:val="center"/>
        </w:trPr>
        <w:tc>
          <w:tcPr>
            <w:tcW w:w="553" w:type="dxa"/>
            <w:tcMar>
              <w:top w:w="15" w:type="dxa"/>
              <w:left w:w="15" w:type="dxa"/>
              <w:bottom w:w="15" w:type="dxa"/>
              <w:right w:w="15" w:type="dxa"/>
            </w:tcMar>
          </w:tcPr>
          <w:p w14:paraId="2BF3D31A" w14:textId="77777777" w:rsidR="004E406B" w:rsidRPr="006672F5" w:rsidRDefault="004E406B" w:rsidP="002D38BD">
            <w:pPr>
              <w:pStyle w:val="Body"/>
              <w:rPr>
                <w:rFonts w:ascii="Arial" w:hAnsi="Arial" w:cs="Arial"/>
                <w:lang w:val="en-IN"/>
              </w:rPr>
            </w:pPr>
            <w:r w:rsidRPr="006672F5">
              <w:rPr>
                <w:rFonts w:ascii="Arial" w:hAnsi="Arial" w:cs="Arial"/>
                <w:lang w:val="en-IN"/>
              </w:rPr>
              <w:t>12.</w:t>
            </w:r>
          </w:p>
        </w:tc>
        <w:tc>
          <w:tcPr>
            <w:tcW w:w="3070" w:type="dxa"/>
            <w:tcMar>
              <w:top w:w="0" w:type="dxa"/>
              <w:left w:w="108" w:type="dxa"/>
              <w:bottom w:w="0" w:type="dxa"/>
              <w:right w:w="108" w:type="dxa"/>
            </w:tcMar>
          </w:tcPr>
          <w:p w14:paraId="43F6546A" w14:textId="77777777" w:rsidR="004E406B" w:rsidRPr="006672F5" w:rsidRDefault="004E406B" w:rsidP="002D38BD">
            <w:pPr>
              <w:pStyle w:val="Body"/>
              <w:rPr>
                <w:rFonts w:ascii="Arial" w:hAnsi="Arial" w:cs="Arial"/>
                <w:lang w:val="en-IN"/>
              </w:rPr>
            </w:pPr>
            <w:r w:rsidRPr="006672F5">
              <w:rPr>
                <w:rFonts w:ascii="Arial" w:hAnsi="Arial" w:cs="Arial"/>
                <w:lang w:val="en-IN"/>
              </w:rPr>
              <w:t>Mallika x KDG-128</w:t>
            </w:r>
          </w:p>
        </w:tc>
        <w:tc>
          <w:tcPr>
            <w:tcW w:w="632" w:type="dxa"/>
            <w:tcMar>
              <w:top w:w="15" w:type="dxa"/>
              <w:left w:w="15" w:type="dxa"/>
              <w:bottom w:w="15" w:type="dxa"/>
              <w:right w:w="15" w:type="dxa"/>
            </w:tcMar>
          </w:tcPr>
          <w:p w14:paraId="5C113F09" w14:textId="77777777" w:rsidR="004E406B" w:rsidRPr="006672F5" w:rsidRDefault="004E406B" w:rsidP="002D38BD">
            <w:pPr>
              <w:pStyle w:val="Body"/>
              <w:rPr>
                <w:rFonts w:ascii="Arial" w:hAnsi="Arial" w:cs="Arial"/>
                <w:lang w:val="en-IN"/>
              </w:rPr>
            </w:pPr>
            <w:r w:rsidRPr="006672F5">
              <w:rPr>
                <w:rFonts w:ascii="Arial" w:hAnsi="Arial" w:cs="Arial"/>
                <w:lang w:val="en-IN"/>
              </w:rPr>
              <w:t>24.</w:t>
            </w:r>
          </w:p>
        </w:tc>
        <w:tc>
          <w:tcPr>
            <w:tcW w:w="2619" w:type="dxa"/>
            <w:tcMar>
              <w:top w:w="15" w:type="dxa"/>
              <w:left w:w="15" w:type="dxa"/>
              <w:bottom w:w="15" w:type="dxa"/>
              <w:right w:w="15" w:type="dxa"/>
            </w:tcMar>
          </w:tcPr>
          <w:p w14:paraId="1CAC1A3B" w14:textId="77777777" w:rsidR="004E406B" w:rsidRPr="006672F5" w:rsidRDefault="004E406B" w:rsidP="002D38BD">
            <w:pPr>
              <w:pStyle w:val="Body"/>
              <w:rPr>
                <w:rFonts w:ascii="Arial" w:hAnsi="Arial" w:cs="Arial"/>
                <w:lang w:val="en-IN"/>
              </w:rPr>
            </w:pPr>
            <w:r w:rsidRPr="006672F5">
              <w:rPr>
                <w:rFonts w:ascii="Arial" w:hAnsi="Arial" w:cs="Arial"/>
                <w:lang w:val="en-IN"/>
              </w:rPr>
              <w:t>TG-88 x KDG-128</w:t>
            </w:r>
          </w:p>
        </w:tc>
      </w:tr>
    </w:tbl>
    <w:p w14:paraId="6E47DE4E" w14:textId="77777777" w:rsidR="004E406B" w:rsidRDefault="004E406B" w:rsidP="00FE0282">
      <w:pPr>
        <w:pStyle w:val="Body"/>
        <w:rPr>
          <w:rFonts w:ascii="Arial" w:hAnsi="Arial" w:cs="Arial"/>
          <w:lang w:val="en-IN"/>
        </w:rPr>
      </w:pPr>
    </w:p>
    <w:p w14:paraId="2EF78C2D" w14:textId="683EE371" w:rsidR="004E406B" w:rsidRPr="004E406B" w:rsidRDefault="004E406B" w:rsidP="004E406B">
      <w:pPr>
        <w:pStyle w:val="AbstHead"/>
        <w:rPr>
          <w:rFonts w:ascii="Arial" w:hAnsi="Arial" w:cs="Arial"/>
        </w:rPr>
      </w:pPr>
      <w:r w:rsidRPr="004E406B">
        <w:rPr>
          <w:rFonts w:ascii="Arial" w:hAnsi="Arial" w:cs="Arial"/>
        </w:rPr>
        <w:lastRenderedPageBreak/>
        <w:t>2.3 Biochemical estimation for nutritional and stress-related parameters</w:t>
      </w:r>
      <w:r>
        <w:rPr>
          <w:rFonts w:ascii="Arial" w:hAnsi="Arial" w:cs="Arial"/>
        </w:rPr>
        <w:t xml:space="preserve"> </w:t>
      </w:r>
    </w:p>
    <w:p w14:paraId="6246968D" w14:textId="69C95D8E" w:rsidR="00592E28" w:rsidRPr="004E406B" w:rsidRDefault="00592E28" w:rsidP="004E406B">
      <w:pPr>
        <w:pStyle w:val="AbstHead"/>
        <w:rPr>
          <w:rFonts w:ascii="Arial" w:hAnsi="Arial" w:cs="Arial"/>
        </w:rPr>
      </w:pPr>
    </w:p>
    <w:p w14:paraId="3E416634" w14:textId="74BBC377" w:rsidR="00FE0282" w:rsidRPr="00D957A4" w:rsidRDefault="00FE0282" w:rsidP="00FE0282">
      <w:pPr>
        <w:jc w:val="both"/>
        <w:rPr>
          <w:rFonts w:ascii="Arial" w:hAnsi="Arial" w:cs="Arial"/>
          <w:sz w:val="22"/>
          <w:szCs w:val="22"/>
        </w:rPr>
      </w:pPr>
      <w:r w:rsidRPr="00D957A4">
        <w:rPr>
          <w:rFonts w:ascii="Arial" w:hAnsi="Arial" w:cs="Arial"/>
          <w:sz w:val="22"/>
          <w:szCs w:val="22"/>
        </w:rPr>
        <w:t xml:space="preserve">Biochemical analysis was done for four biochemical parameters: total sugar, protein, proline and lipid peroxidation. Total sugar was estimated as </w:t>
      </w:r>
      <w:r w:rsidRPr="0047394B">
        <w:rPr>
          <w:rFonts w:ascii="Arial" w:hAnsi="Arial" w:cs="Arial"/>
          <w:sz w:val="22"/>
          <w:szCs w:val="22"/>
        </w:rPr>
        <w:t>per protocol of Dubois et al. (1956), proline as per Bates et al. (1973), Lipid peroxidation by the method given by Hodges et al. (1999). The protein estimation was carried out by using Lowry et al. (1951) method</w:t>
      </w:r>
      <w:r w:rsidRPr="00D957A4">
        <w:rPr>
          <w:rFonts w:ascii="Arial" w:hAnsi="Arial" w:cs="Arial"/>
          <w:sz w:val="22"/>
          <w:szCs w:val="22"/>
        </w:rPr>
        <w:t>.</w:t>
      </w:r>
    </w:p>
    <w:p w14:paraId="65948EAF" w14:textId="77777777" w:rsidR="00592E28" w:rsidRDefault="00592E28" w:rsidP="00FE0282">
      <w:pPr>
        <w:jc w:val="both"/>
        <w:rPr>
          <w:rFonts w:ascii="Arial" w:hAnsi="Arial" w:cs="Arial"/>
          <w:sz w:val="22"/>
          <w:szCs w:val="22"/>
        </w:rPr>
      </w:pPr>
    </w:p>
    <w:p w14:paraId="7C9D7A22" w14:textId="6CEA6804" w:rsidR="004E406B" w:rsidRDefault="004E406B" w:rsidP="00FE0282">
      <w:pPr>
        <w:jc w:val="both"/>
        <w:rPr>
          <w:rFonts w:ascii="Arial" w:hAnsi="Arial" w:cs="Arial"/>
          <w:sz w:val="22"/>
          <w:szCs w:val="22"/>
        </w:rPr>
      </w:pPr>
      <w:r w:rsidRPr="004E406B">
        <w:rPr>
          <w:rFonts w:ascii="Arial" w:hAnsi="Arial" w:cs="Arial"/>
          <w:b/>
          <w:caps/>
          <w:sz w:val="22"/>
        </w:rPr>
        <w:t>2.3.1 Total Sugar Estimation</w:t>
      </w:r>
    </w:p>
    <w:p w14:paraId="74B88900" w14:textId="77777777" w:rsidR="004E406B" w:rsidRDefault="004E406B" w:rsidP="00FE0282">
      <w:pPr>
        <w:jc w:val="both"/>
        <w:rPr>
          <w:rFonts w:ascii="Arial" w:hAnsi="Arial" w:cs="Arial"/>
          <w:sz w:val="22"/>
          <w:szCs w:val="22"/>
        </w:rPr>
      </w:pPr>
    </w:p>
    <w:p w14:paraId="4576A3CE" w14:textId="7EAE0310" w:rsidR="00FE0282" w:rsidRPr="00D957A4" w:rsidRDefault="00FE0282" w:rsidP="00FE0282">
      <w:pPr>
        <w:jc w:val="both"/>
        <w:rPr>
          <w:rFonts w:ascii="Arial" w:hAnsi="Arial" w:cs="Arial"/>
          <w:sz w:val="22"/>
          <w:szCs w:val="22"/>
        </w:rPr>
      </w:pPr>
      <w:r w:rsidRPr="00D957A4">
        <w:rPr>
          <w:rFonts w:ascii="Arial" w:hAnsi="Arial" w:cs="Arial"/>
          <w:sz w:val="22"/>
          <w:szCs w:val="22"/>
        </w:rPr>
        <w:t xml:space="preserve">The total sugar content of the samples was determined using the colorimetric method with </w:t>
      </w:r>
      <w:proofErr w:type="spellStart"/>
      <w:r w:rsidRPr="00D957A4">
        <w:rPr>
          <w:rFonts w:ascii="Arial" w:hAnsi="Arial" w:cs="Arial"/>
          <w:sz w:val="22"/>
          <w:szCs w:val="22"/>
        </w:rPr>
        <w:t>anthrone</w:t>
      </w:r>
      <w:proofErr w:type="spellEnd"/>
      <w:r w:rsidRPr="00D957A4">
        <w:rPr>
          <w:rFonts w:ascii="Arial" w:hAnsi="Arial" w:cs="Arial"/>
          <w:sz w:val="22"/>
          <w:szCs w:val="22"/>
        </w:rPr>
        <w:t xml:space="preserve"> reagent, as described by Dubois et al. (1956). The reagents used in this method included </w:t>
      </w:r>
      <w:proofErr w:type="spellStart"/>
      <w:r w:rsidRPr="00D957A4">
        <w:rPr>
          <w:rFonts w:ascii="Arial" w:hAnsi="Arial" w:cs="Arial"/>
          <w:sz w:val="22"/>
          <w:szCs w:val="22"/>
        </w:rPr>
        <w:t>anthrone</w:t>
      </w:r>
      <w:proofErr w:type="spellEnd"/>
      <w:r w:rsidRPr="00D957A4">
        <w:rPr>
          <w:rFonts w:ascii="Arial" w:hAnsi="Arial" w:cs="Arial"/>
          <w:sz w:val="22"/>
          <w:szCs w:val="22"/>
        </w:rPr>
        <w:t xml:space="preserve"> reagent (2 mg/mL in concentrated sulfuric acid), a standard glucose solution (1 mg/mL; prepared by dissolving 100 mg glucose in 100 mL distilled water), and a working standard solution (100 µg/mL; prepared by diluting 10 mL of the standard solution to 100 mL with distilled water and 5 N HCl).</w:t>
      </w:r>
    </w:p>
    <w:p w14:paraId="7376E8A1" w14:textId="77777777" w:rsidR="00FE0282" w:rsidRPr="00D957A4" w:rsidRDefault="00FE0282" w:rsidP="00FE0282">
      <w:pPr>
        <w:jc w:val="both"/>
        <w:rPr>
          <w:rFonts w:ascii="Arial" w:hAnsi="Arial" w:cs="Arial"/>
          <w:sz w:val="22"/>
          <w:szCs w:val="22"/>
        </w:rPr>
      </w:pPr>
      <w:r w:rsidRPr="00D957A4">
        <w:rPr>
          <w:rFonts w:ascii="Arial" w:hAnsi="Arial" w:cs="Arial"/>
          <w:sz w:val="22"/>
          <w:szCs w:val="22"/>
        </w:rPr>
        <w:t xml:space="preserve">Approximately 100 mg of fresh sample was placed in a boiling tube and hydrolyzed in a boiling water bath for 3 hours with 5 mL of 2.5 N HCl. After cooling to room temperature, the hydrolysate was neutralized with solid sodium carbonate until effervescence ceased, and the volume was adjusted to 100 </w:t>
      </w:r>
      <w:proofErr w:type="spellStart"/>
      <w:r w:rsidRPr="00D957A4">
        <w:rPr>
          <w:rFonts w:ascii="Arial" w:hAnsi="Arial" w:cs="Arial"/>
          <w:sz w:val="22"/>
          <w:szCs w:val="22"/>
        </w:rPr>
        <w:t>mL.</w:t>
      </w:r>
      <w:proofErr w:type="spellEnd"/>
      <w:r w:rsidRPr="00D957A4">
        <w:rPr>
          <w:rFonts w:ascii="Arial" w:hAnsi="Arial" w:cs="Arial"/>
          <w:sz w:val="22"/>
          <w:szCs w:val="22"/>
        </w:rPr>
        <w:t xml:space="preserve"> The mixture was then centrifuged, and the supernatant was collected. Aliquots of 0.5 and 1 mL were taken from the supernatant for analysis.</w:t>
      </w:r>
    </w:p>
    <w:p w14:paraId="33C75DAD" w14:textId="77777777" w:rsidR="00FE0282" w:rsidRPr="00D957A4" w:rsidRDefault="00FE0282" w:rsidP="00FE0282">
      <w:pPr>
        <w:jc w:val="both"/>
        <w:rPr>
          <w:rFonts w:ascii="Arial" w:hAnsi="Arial" w:cs="Arial"/>
          <w:sz w:val="22"/>
          <w:szCs w:val="22"/>
        </w:rPr>
      </w:pPr>
      <w:r w:rsidRPr="00D957A4">
        <w:rPr>
          <w:rFonts w:ascii="Arial" w:hAnsi="Arial" w:cs="Arial"/>
          <w:sz w:val="22"/>
          <w:szCs w:val="22"/>
        </w:rPr>
        <w:t xml:space="preserve">For the preparation of standards, 0, 0.2, 0.4, 0.6, 0.8, and 1 mL of the working standard were taken in separate test tubes, and the volume in each tube, including the sample tubes, was adjusted to 1 mL with distilled water. Subsequently, 4 mL of </w:t>
      </w:r>
      <w:proofErr w:type="spellStart"/>
      <w:r w:rsidRPr="00D957A4">
        <w:rPr>
          <w:rFonts w:ascii="Arial" w:hAnsi="Arial" w:cs="Arial"/>
          <w:sz w:val="22"/>
          <w:szCs w:val="22"/>
        </w:rPr>
        <w:t>anthrone</w:t>
      </w:r>
      <w:proofErr w:type="spellEnd"/>
      <w:r w:rsidRPr="00D957A4">
        <w:rPr>
          <w:rFonts w:ascii="Arial" w:hAnsi="Arial" w:cs="Arial"/>
          <w:sz w:val="22"/>
          <w:szCs w:val="22"/>
        </w:rPr>
        <w:t xml:space="preserve"> reagent was added to each tube, and the mixtures were heated in a boiling water bath for 8 minutes, followed by rapid cooling. The resulting green to dark green color was measured at 630 nm against a reagent blank. The sugar content in the samples was calculated from a standard curve prepared using glucose and expressed as mg</w:t>
      </w:r>
      <w:r>
        <w:rPr>
          <w:rFonts w:ascii="Arial" w:hAnsi="Arial" w:cs="Arial"/>
          <w:sz w:val="22"/>
          <w:szCs w:val="22"/>
        </w:rPr>
        <w:t>/</w:t>
      </w:r>
      <w:r w:rsidRPr="00D957A4">
        <w:rPr>
          <w:rFonts w:ascii="Arial" w:hAnsi="Arial" w:cs="Arial"/>
          <w:sz w:val="22"/>
          <w:szCs w:val="22"/>
        </w:rPr>
        <w:t>g.</w:t>
      </w:r>
    </w:p>
    <w:p w14:paraId="56F525F5" w14:textId="77777777" w:rsidR="004E406B" w:rsidRDefault="004E406B" w:rsidP="00FE0282">
      <w:pPr>
        <w:jc w:val="both"/>
        <w:rPr>
          <w:rFonts w:ascii="Arial" w:hAnsi="Arial" w:cs="Arial"/>
          <w:sz w:val="22"/>
          <w:szCs w:val="22"/>
        </w:rPr>
      </w:pPr>
    </w:p>
    <w:p w14:paraId="7D6F017C" w14:textId="4E1807BB" w:rsidR="004E406B" w:rsidRPr="004E406B" w:rsidRDefault="004E406B" w:rsidP="004E406B">
      <w:pPr>
        <w:pStyle w:val="AbstHead"/>
        <w:rPr>
          <w:rFonts w:ascii="Arial" w:hAnsi="Arial" w:cs="Arial"/>
        </w:rPr>
      </w:pPr>
      <w:r w:rsidRPr="004E406B">
        <w:rPr>
          <w:rFonts w:ascii="Arial" w:hAnsi="Arial" w:cs="Arial"/>
        </w:rPr>
        <w:t>2.3.2 Soluble Protein Content Estimation</w:t>
      </w:r>
    </w:p>
    <w:p w14:paraId="7DA26D5C" w14:textId="77777777" w:rsidR="004E406B" w:rsidRDefault="004E406B" w:rsidP="00FE0282">
      <w:pPr>
        <w:jc w:val="both"/>
        <w:rPr>
          <w:rFonts w:ascii="Arial" w:hAnsi="Arial" w:cs="Arial"/>
          <w:sz w:val="22"/>
          <w:szCs w:val="22"/>
        </w:rPr>
      </w:pPr>
    </w:p>
    <w:p w14:paraId="74509EEB" w14:textId="37421813" w:rsidR="00FE0282" w:rsidRPr="00D957A4" w:rsidRDefault="00FE0282" w:rsidP="00FE0282">
      <w:pPr>
        <w:jc w:val="both"/>
        <w:rPr>
          <w:rFonts w:ascii="Arial" w:hAnsi="Arial" w:cs="Arial"/>
          <w:sz w:val="22"/>
          <w:szCs w:val="22"/>
        </w:rPr>
      </w:pPr>
      <w:r w:rsidRPr="00D957A4">
        <w:rPr>
          <w:rFonts w:ascii="Arial" w:hAnsi="Arial" w:cs="Arial"/>
          <w:sz w:val="22"/>
          <w:szCs w:val="22"/>
        </w:rPr>
        <w:t>The soluble protein content of the samples was determined following the method of Lowry et al. (1951). Approximately 1 g of fresh leaf tissue was macerated in a mortar with 5 mL of 0.1 M sodium phosphate buffer (pH 7.0). The homogenate was centrifuged at 16,000 rpm for 20 minutes, and the resulting supernatant was used for protein estimation.</w:t>
      </w:r>
    </w:p>
    <w:p w14:paraId="53ED8141" w14:textId="77777777" w:rsidR="00FE0282" w:rsidRPr="00D957A4" w:rsidRDefault="00FE0282" w:rsidP="00FE0282">
      <w:pPr>
        <w:jc w:val="both"/>
        <w:rPr>
          <w:rFonts w:ascii="Arial" w:hAnsi="Arial" w:cs="Arial"/>
          <w:sz w:val="22"/>
          <w:szCs w:val="22"/>
        </w:rPr>
      </w:pPr>
      <w:r w:rsidRPr="00D957A4">
        <w:rPr>
          <w:rFonts w:ascii="Arial" w:hAnsi="Arial" w:cs="Arial"/>
          <w:sz w:val="22"/>
          <w:szCs w:val="22"/>
        </w:rPr>
        <w:t>For the assay, solution A was prepared by dissolving 2% anhydrous sodium carbonate in 0.1 N NaOH, and solution B was freshly prepared by dissolving 0.5% copper sulfate pentahydrate (CuSO4·5H2O) in 1% sodium potassium tartrate. Immediately before use, solution C (alkaline copper reagent) was prepared by mixing 50 mL of solution A with 1 mL of solution B.</w:t>
      </w:r>
    </w:p>
    <w:p w14:paraId="598469F6" w14:textId="77777777" w:rsidR="00FE0282" w:rsidRPr="00D957A4" w:rsidRDefault="00FE0282" w:rsidP="00FE0282">
      <w:pPr>
        <w:jc w:val="both"/>
        <w:rPr>
          <w:rFonts w:ascii="Arial" w:hAnsi="Arial" w:cs="Arial"/>
          <w:sz w:val="22"/>
          <w:szCs w:val="22"/>
        </w:rPr>
      </w:pPr>
      <w:r w:rsidRPr="00D957A4">
        <w:rPr>
          <w:rFonts w:ascii="Arial" w:hAnsi="Arial" w:cs="Arial"/>
          <w:sz w:val="22"/>
          <w:szCs w:val="22"/>
        </w:rPr>
        <w:t xml:space="preserve">An aliquot of 0.1 mL of the supernatant was taken in a test tube, and the volume was adjusted to 1 mL with distilled water. Subsequently, 5 mL of solution C was added, </w:t>
      </w:r>
      <w:r w:rsidRPr="00D957A4">
        <w:rPr>
          <w:rFonts w:ascii="Arial" w:hAnsi="Arial" w:cs="Arial"/>
          <w:sz w:val="22"/>
          <w:szCs w:val="22"/>
        </w:rPr>
        <w:lastRenderedPageBreak/>
        <w:t xml:space="preserve">mixed thoroughly, and incubated at room temperature for 10 minutes. Then, 0.5 mL of </w:t>
      </w:r>
      <w:proofErr w:type="spellStart"/>
      <w:r w:rsidRPr="00D957A4">
        <w:rPr>
          <w:rFonts w:ascii="Arial" w:hAnsi="Arial" w:cs="Arial"/>
          <w:sz w:val="22"/>
          <w:szCs w:val="22"/>
        </w:rPr>
        <w:t>Folin</w:t>
      </w:r>
      <w:proofErr w:type="spellEnd"/>
      <w:r w:rsidRPr="00D957A4">
        <w:rPr>
          <w:rFonts w:ascii="Arial" w:hAnsi="Arial" w:cs="Arial"/>
          <w:sz w:val="22"/>
          <w:szCs w:val="22"/>
        </w:rPr>
        <w:t>–</w:t>
      </w:r>
      <w:proofErr w:type="spellStart"/>
      <w:r w:rsidRPr="00D957A4">
        <w:rPr>
          <w:rFonts w:ascii="Arial" w:hAnsi="Arial" w:cs="Arial"/>
          <w:sz w:val="22"/>
          <w:szCs w:val="22"/>
        </w:rPr>
        <w:t>Ciocalteu</w:t>
      </w:r>
      <w:proofErr w:type="spellEnd"/>
      <w:r w:rsidRPr="00D957A4">
        <w:rPr>
          <w:rFonts w:ascii="Arial" w:hAnsi="Arial" w:cs="Arial"/>
          <w:sz w:val="22"/>
          <w:szCs w:val="22"/>
        </w:rPr>
        <w:t xml:space="preserve"> reagent (diluted to 1N) was added, mixed well, and incubated in the dark at room temperature for 30 minutes. The absorbance of the resulting blue </w:t>
      </w:r>
      <w:proofErr w:type="spellStart"/>
      <w:r w:rsidRPr="00D957A4">
        <w:rPr>
          <w:rFonts w:ascii="Arial" w:hAnsi="Arial" w:cs="Arial"/>
          <w:sz w:val="22"/>
          <w:szCs w:val="22"/>
        </w:rPr>
        <w:t>colour</w:t>
      </w:r>
      <w:proofErr w:type="spellEnd"/>
      <w:r w:rsidRPr="00D957A4">
        <w:rPr>
          <w:rFonts w:ascii="Arial" w:hAnsi="Arial" w:cs="Arial"/>
          <w:sz w:val="22"/>
          <w:szCs w:val="22"/>
        </w:rPr>
        <w:t xml:space="preserve"> was measured at 660 nm against a reagent blank. The protein content in the sample was calculated using a standard curve prepared with bovine serum albumin (BSA) and expressed as parts per million (ppm).</w:t>
      </w:r>
    </w:p>
    <w:p w14:paraId="75BF94BB" w14:textId="77777777" w:rsidR="004E406B" w:rsidRDefault="004E406B" w:rsidP="00FE0282">
      <w:pPr>
        <w:jc w:val="both"/>
        <w:rPr>
          <w:rFonts w:ascii="Arial" w:hAnsi="Arial" w:cs="Arial"/>
          <w:sz w:val="22"/>
          <w:szCs w:val="22"/>
        </w:rPr>
      </w:pPr>
    </w:p>
    <w:p w14:paraId="0C83565C" w14:textId="7C2D7A82" w:rsidR="004E406B" w:rsidRDefault="004E406B" w:rsidP="00FE0282">
      <w:pPr>
        <w:jc w:val="both"/>
        <w:rPr>
          <w:rFonts w:ascii="Arial" w:hAnsi="Arial" w:cs="Arial"/>
          <w:b/>
          <w:caps/>
          <w:sz w:val="22"/>
        </w:rPr>
      </w:pPr>
      <w:r w:rsidRPr="004E406B">
        <w:rPr>
          <w:rFonts w:ascii="Arial" w:hAnsi="Arial" w:cs="Arial"/>
          <w:b/>
          <w:caps/>
          <w:sz w:val="22"/>
        </w:rPr>
        <w:t>2.3.3 Estimation of proline content</w:t>
      </w:r>
    </w:p>
    <w:p w14:paraId="603398AE" w14:textId="77777777" w:rsidR="004E406B" w:rsidRDefault="004E406B" w:rsidP="00FE0282">
      <w:pPr>
        <w:jc w:val="both"/>
        <w:rPr>
          <w:rFonts w:ascii="Arial" w:hAnsi="Arial" w:cs="Arial"/>
          <w:sz w:val="22"/>
          <w:szCs w:val="22"/>
        </w:rPr>
      </w:pPr>
    </w:p>
    <w:p w14:paraId="40D7B742" w14:textId="6B301AB3" w:rsidR="00FE0282" w:rsidRPr="00D957A4" w:rsidRDefault="00FE0282" w:rsidP="00FE0282">
      <w:pPr>
        <w:jc w:val="both"/>
        <w:rPr>
          <w:rFonts w:ascii="Arial" w:hAnsi="Arial" w:cs="Arial"/>
          <w:sz w:val="22"/>
          <w:szCs w:val="22"/>
        </w:rPr>
      </w:pPr>
      <w:r w:rsidRPr="00D957A4">
        <w:rPr>
          <w:rFonts w:ascii="Arial" w:hAnsi="Arial" w:cs="Arial"/>
          <w:sz w:val="22"/>
          <w:szCs w:val="22"/>
        </w:rPr>
        <w:t>The proline content was estimated following the method of Bates et al. (1973)</w:t>
      </w:r>
      <w:r w:rsidR="00973251">
        <w:rPr>
          <w:rFonts w:ascii="Arial" w:hAnsi="Arial" w:cs="Arial"/>
          <w:sz w:val="22"/>
          <w:szCs w:val="22"/>
        </w:rPr>
        <w:t xml:space="preserve">. </w:t>
      </w:r>
      <w:r w:rsidRPr="00D957A4">
        <w:rPr>
          <w:rFonts w:ascii="Arial" w:hAnsi="Arial" w:cs="Arial"/>
          <w:sz w:val="22"/>
          <w:szCs w:val="22"/>
        </w:rPr>
        <w:t xml:space="preserve">Approximately 0.5 g of groundnut </w:t>
      </w:r>
      <w:r w:rsidR="00973251">
        <w:rPr>
          <w:rFonts w:ascii="Arial" w:hAnsi="Arial" w:cs="Arial"/>
          <w:sz w:val="22"/>
          <w:szCs w:val="22"/>
        </w:rPr>
        <w:t>tissue</w:t>
      </w:r>
      <w:r w:rsidRPr="00D957A4">
        <w:rPr>
          <w:rFonts w:ascii="Arial" w:hAnsi="Arial" w:cs="Arial"/>
          <w:sz w:val="22"/>
          <w:szCs w:val="22"/>
        </w:rPr>
        <w:t xml:space="preserve"> was crushed in a mortar and pestle with 10 mL of 3% aqueous sulfosalicylic acid, and the homogenate was filtered through Whatman No. 2 filter paper. The extraction was repeated, and the combined filtrates were used for analysis. To 2 mL of the filtrate, 2 mL of acid ninhydrin reagent and 2 mL of glacial acetic acid were added and mixed thoroughly. The reaction mixture was incubated in a boiling water bath for 1 hour and then rapidly cooled in an ice bath to stop the reaction. Subsequently, 4 mL of toluene was added, and the mixture was shaken vigorously for 20–30 seconds. The toluene layer containing the red-colored chromophore was separated and allowed to reach room temperature. The absorbance of this layer was recorded at 520 nm against a reagent blank using a spectrophotometer. The proline concentration was determined from a standard curve prepared with pure proline and expressed as µmol</w:t>
      </w:r>
      <w:r>
        <w:rPr>
          <w:rFonts w:ascii="Arial" w:hAnsi="Arial" w:cs="Arial"/>
          <w:sz w:val="22"/>
          <w:szCs w:val="22"/>
        </w:rPr>
        <w:t>/</w:t>
      </w:r>
      <w:r w:rsidRPr="00D957A4">
        <w:rPr>
          <w:rFonts w:ascii="Arial" w:hAnsi="Arial" w:cs="Arial"/>
          <w:sz w:val="22"/>
          <w:szCs w:val="22"/>
        </w:rPr>
        <w:t>g fresh weight of the sample.</w:t>
      </w:r>
    </w:p>
    <w:p w14:paraId="06AA5434" w14:textId="77777777" w:rsidR="004E406B" w:rsidRDefault="004E406B" w:rsidP="00FE0282">
      <w:pPr>
        <w:jc w:val="both"/>
        <w:rPr>
          <w:rFonts w:ascii="Arial" w:hAnsi="Arial" w:cs="Arial"/>
          <w:sz w:val="22"/>
          <w:szCs w:val="22"/>
        </w:rPr>
      </w:pPr>
    </w:p>
    <w:p w14:paraId="2E5F904D" w14:textId="4DD5038C" w:rsidR="004E406B" w:rsidRDefault="004E406B" w:rsidP="004E406B">
      <w:pPr>
        <w:pStyle w:val="AbstHead"/>
        <w:rPr>
          <w:rFonts w:ascii="Arial" w:hAnsi="Arial" w:cs="Arial"/>
        </w:rPr>
      </w:pPr>
      <w:r w:rsidRPr="004E406B">
        <w:rPr>
          <w:rFonts w:ascii="Arial" w:hAnsi="Arial" w:cs="Arial"/>
        </w:rPr>
        <w:t>2.3.4 Lipid peroxidation Estimation</w:t>
      </w:r>
    </w:p>
    <w:p w14:paraId="08DC45BF" w14:textId="7D091187" w:rsidR="00FE0282" w:rsidRPr="00D957A4" w:rsidRDefault="00FE0282" w:rsidP="00FE0282">
      <w:pPr>
        <w:jc w:val="both"/>
        <w:rPr>
          <w:rFonts w:ascii="Arial" w:hAnsi="Arial" w:cs="Arial"/>
          <w:sz w:val="22"/>
          <w:szCs w:val="22"/>
        </w:rPr>
      </w:pPr>
      <w:r w:rsidRPr="00D957A4">
        <w:rPr>
          <w:rFonts w:ascii="Arial" w:hAnsi="Arial" w:cs="Arial"/>
          <w:sz w:val="22"/>
          <w:szCs w:val="22"/>
        </w:rPr>
        <w:t>Lipid peroxidation (MDA content) was estimated following the method of Hodges et al. (1999)</w:t>
      </w:r>
      <w:r w:rsidR="00973251">
        <w:rPr>
          <w:rFonts w:ascii="Arial" w:hAnsi="Arial" w:cs="Arial"/>
          <w:sz w:val="22"/>
          <w:szCs w:val="22"/>
        </w:rPr>
        <w:t xml:space="preserve">. </w:t>
      </w:r>
      <w:r w:rsidRPr="00D957A4">
        <w:rPr>
          <w:rFonts w:ascii="Arial" w:hAnsi="Arial" w:cs="Arial"/>
          <w:sz w:val="22"/>
          <w:szCs w:val="22"/>
        </w:rPr>
        <w:t xml:space="preserve">Approximately 25 mg of groundnut </w:t>
      </w:r>
      <w:r w:rsidR="00973251">
        <w:rPr>
          <w:rFonts w:ascii="Arial" w:hAnsi="Arial" w:cs="Arial"/>
          <w:sz w:val="22"/>
          <w:szCs w:val="22"/>
        </w:rPr>
        <w:t>tissue</w:t>
      </w:r>
      <w:r w:rsidRPr="00D957A4">
        <w:rPr>
          <w:rFonts w:ascii="Arial" w:hAnsi="Arial" w:cs="Arial"/>
          <w:sz w:val="22"/>
          <w:szCs w:val="22"/>
        </w:rPr>
        <w:t xml:space="preserve"> was weighed and homogenized in a mortar and pestle using 500 µL of 0.1% trichloroacetic acid (TCA). The homogenate was vortexed thoroughly and centrifuged at 10,000 rpm for 10 minutes. From the resulting supernatant, 100 µL was transferred to a microcentrifuge tube, and 200 µL of 0.5% </w:t>
      </w:r>
      <w:proofErr w:type="spellStart"/>
      <w:r w:rsidRPr="00D957A4">
        <w:rPr>
          <w:rFonts w:ascii="Arial" w:hAnsi="Arial" w:cs="Arial"/>
          <w:sz w:val="22"/>
          <w:szCs w:val="22"/>
        </w:rPr>
        <w:t>thiobarbituric</w:t>
      </w:r>
      <w:proofErr w:type="spellEnd"/>
      <w:r w:rsidRPr="00D957A4">
        <w:rPr>
          <w:rFonts w:ascii="Arial" w:hAnsi="Arial" w:cs="Arial"/>
          <w:sz w:val="22"/>
          <w:szCs w:val="22"/>
        </w:rPr>
        <w:t xml:space="preserve"> acid (TBA) was added. The reaction mixture was incubated in a water bath at 95 °C for 30 minutes, followed by rapid cooling at –80 °C for 2 minutes to stop the reaction. The tubes were then allowed to reach room temperature and centrifuged again at 10,000 rpm for 10 minutes. The absorbance of the clear supernatant was recorded at 532 nm, with a correction reading at 600 nm to account for non-specific turbidity.</w:t>
      </w:r>
    </w:p>
    <w:p w14:paraId="0E990210" w14:textId="77777777" w:rsidR="00FE0282" w:rsidRPr="00FE0282" w:rsidRDefault="00FE0282" w:rsidP="00FE0282">
      <w:pPr>
        <w:pStyle w:val="Body"/>
        <w:rPr>
          <w:rFonts w:ascii="Arial" w:hAnsi="Arial" w:cs="Arial"/>
          <w:lang w:val="en-IN"/>
        </w:rPr>
      </w:pPr>
    </w:p>
    <w:p w14:paraId="1048EEB9" w14:textId="6E762173" w:rsidR="00FE0282" w:rsidRPr="00FE0282" w:rsidRDefault="00FE0282" w:rsidP="00FE0282">
      <w:pPr>
        <w:pStyle w:val="Body"/>
        <w:spacing w:after="0"/>
        <w:rPr>
          <w:rFonts w:ascii="Arial" w:hAnsi="Arial" w:cs="Arial"/>
          <w:lang w:val="en-IN"/>
        </w:rPr>
      </w:pPr>
      <w:r w:rsidRPr="00FE0282">
        <w:rPr>
          <w:rFonts w:ascii="Arial" w:hAnsi="Arial" w:cs="Arial"/>
          <w:lang w:val="en-IN"/>
        </w:rPr>
        <w:t xml:space="preserve"> </w:t>
      </w:r>
    </w:p>
    <w:p w14:paraId="7568A5E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B2359C" w14:textId="77777777" w:rsidR="00790ADA" w:rsidRPr="00FB3A86" w:rsidRDefault="00790ADA" w:rsidP="00441B6F">
      <w:pPr>
        <w:pStyle w:val="Head1"/>
        <w:spacing w:after="0"/>
        <w:jc w:val="both"/>
        <w:rPr>
          <w:rFonts w:ascii="Arial" w:hAnsi="Arial" w:cs="Arial"/>
        </w:rPr>
      </w:pPr>
    </w:p>
    <w:p w14:paraId="49FA7062" w14:textId="29FE5898" w:rsidR="00FE0282" w:rsidRPr="00FE0282" w:rsidRDefault="00FE0282" w:rsidP="00FE0282">
      <w:pPr>
        <w:pStyle w:val="Body"/>
        <w:spacing w:after="0"/>
        <w:rPr>
          <w:rFonts w:ascii="Arial" w:hAnsi="Arial" w:cs="Arial"/>
          <w:lang w:val="en-IN"/>
        </w:rPr>
      </w:pPr>
      <w:r w:rsidRPr="00FE0282">
        <w:rPr>
          <w:rFonts w:ascii="Arial" w:hAnsi="Arial" w:cs="Arial"/>
          <w:lang w:val="en-IN"/>
        </w:rPr>
        <w:t xml:space="preserve">The 34 groundnut lines were subjected to four different biochemical parameters, including total sugar, proline, lipid peroxidation, and protein. The experimental findings are depicted in table 3. The findings were Similar to previous experiment conducted by Ingale et al. (2011), </w:t>
      </w:r>
      <w:proofErr w:type="spellStart"/>
      <w:r w:rsidRPr="00FE0282">
        <w:rPr>
          <w:rFonts w:ascii="Arial" w:hAnsi="Arial" w:cs="Arial"/>
          <w:lang w:val="en-IN"/>
        </w:rPr>
        <w:t>Muniappan</w:t>
      </w:r>
      <w:proofErr w:type="spellEnd"/>
      <w:r w:rsidRPr="00FE0282">
        <w:rPr>
          <w:rFonts w:ascii="Arial" w:hAnsi="Arial" w:cs="Arial"/>
          <w:lang w:val="en-IN"/>
        </w:rPr>
        <w:t xml:space="preserve"> et al. (2016) and Shinde et al. (201</w:t>
      </w:r>
      <w:r w:rsidR="00334159">
        <w:rPr>
          <w:rFonts w:ascii="Arial" w:hAnsi="Arial" w:cs="Arial"/>
          <w:lang w:val="en-IN"/>
        </w:rPr>
        <w:t>8</w:t>
      </w:r>
      <w:r w:rsidRPr="00FE0282">
        <w:rPr>
          <w:rFonts w:ascii="Arial" w:hAnsi="Arial" w:cs="Arial"/>
          <w:lang w:val="en-IN"/>
        </w:rPr>
        <w:t>).</w:t>
      </w:r>
    </w:p>
    <w:p w14:paraId="3251D3DC" w14:textId="77777777" w:rsidR="00863BD3" w:rsidRPr="00FB3A86" w:rsidRDefault="00863BD3" w:rsidP="00441B6F">
      <w:pPr>
        <w:pStyle w:val="Body"/>
        <w:spacing w:after="0"/>
        <w:rPr>
          <w:rFonts w:ascii="Arial" w:hAnsi="Arial" w:cs="Arial"/>
        </w:rPr>
      </w:pPr>
    </w:p>
    <w:p w14:paraId="139624D3" w14:textId="725DB784" w:rsidR="00D30F3C" w:rsidRPr="00D30F3C" w:rsidRDefault="00D30F3C" w:rsidP="00D30F3C">
      <w:pPr>
        <w:pStyle w:val="Body"/>
        <w:rPr>
          <w:rFonts w:ascii="Arial" w:hAnsi="Arial" w:cs="Arial"/>
          <w:b/>
          <w:caps/>
          <w:sz w:val="22"/>
          <w:lang w:val="en-IN"/>
        </w:rPr>
      </w:pPr>
      <w:r w:rsidRPr="00D30F3C">
        <w:rPr>
          <w:rFonts w:ascii="Arial" w:hAnsi="Arial" w:cs="Arial"/>
          <w:b/>
          <w:caps/>
          <w:sz w:val="22"/>
          <w:lang w:val="en-IN"/>
        </w:rPr>
        <w:t>3.1 Total Sugar</w:t>
      </w:r>
      <w:bookmarkStart w:id="2" w:name="_Hlk218855218"/>
      <w:r>
        <w:rPr>
          <w:rFonts w:ascii="Arial" w:hAnsi="Arial" w:cs="Arial"/>
          <w:b/>
          <w:caps/>
          <w:sz w:val="22"/>
          <w:lang w:val="en-IN"/>
        </w:rPr>
        <w:t xml:space="preserve"> </w:t>
      </w:r>
    </w:p>
    <w:bookmarkEnd w:id="2"/>
    <w:p w14:paraId="599FB490" w14:textId="020F665B" w:rsidR="00D30F3C" w:rsidRPr="00D30F3C" w:rsidRDefault="00D30F3C" w:rsidP="00D30F3C">
      <w:pPr>
        <w:pStyle w:val="Body"/>
        <w:spacing w:after="0"/>
        <w:rPr>
          <w:rFonts w:ascii="Arial" w:hAnsi="Arial" w:cs="Arial"/>
          <w:b/>
          <w:caps/>
          <w:sz w:val="22"/>
          <w:lang w:val="en-IN"/>
        </w:rPr>
      </w:pPr>
    </w:p>
    <w:p w14:paraId="3F38B9FA" w14:textId="77777777" w:rsidR="00D30F3C" w:rsidRDefault="00D30F3C" w:rsidP="00D30F3C">
      <w:pPr>
        <w:pStyle w:val="Body"/>
        <w:spacing w:after="0"/>
        <w:rPr>
          <w:rFonts w:ascii="Arial" w:hAnsi="Arial" w:cs="Arial"/>
          <w:lang w:val="en-IN"/>
        </w:rPr>
      </w:pPr>
      <w:r w:rsidRPr="00D30F3C">
        <w:rPr>
          <w:rFonts w:ascii="Arial" w:hAnsi="Arial" w:cs="Arial"/>
          <w:lang w:val="en-IN"/>
        </w:rPr>
        <w:lastRenderedPageBreak/>
        <w:t xml:space="preserve">The highest amount of total sugar was observed in TG-87 x KDG-128 (19.90 mg/g), followed by </w:t>
      </w:r>
      <w:proofErr w:type="spellStart"/>
      <w:r w:rsidRPr="00D30F3C">
        <w:rPr>
          <w:rFonts w:ascii="Arial" w:hAnsi="Arial" w:cs="Arial"/>
          <w:lang w:val="en-IN"/>
        </w:rPr>
        <w:t>Gangapuri</w:t>
      </w:r>
      <w:proofErr w:type="spellEnd"/>
      <w:r w:rsidRPr="00D30F3C">
        <w:rPr>
          <w:rFonts w:ascii="Arial" w:hAnsi="Arial" w:cs="Arial"/>
          <w:lang w:val="en-IN"/>
        </w:rPr>
        <w:t xml:space="preserve"> x KDG-128 (16.70 mg/g), </w:t>
      </w:r>
      <w:proofErr w:type="spellStart"/>
      <w:r w:rsidRPr="00D30F3C">
        <w:rPr>
          <w:rFonts w:ascii="Arial" w:hAnsi="Arial" w:cs="Arial"/>
          <w:lang w:val="en-IN"/>
        </w:rPr>
        <w:t>Gangapuri</w:t>
      </w:r>
      <w:proofErr w:type="spellEnd"/>
      <w:r w:rsidRPr="00D30F3C">
        <w:rPr>
          <w:rFonts w:ascii="Arial" w:hAnsi="Arial" w:cs="Arial"/>
          <w:lang w:val="en-IN"/>
        </w:rPr>
        <w:t xml:space="preserve"> x GPBD-4 (16.50 mg/g), TG-86 x TG 37 A (16.40 mg/g) and </w:t>
      </w:r>
      <w:proofErr w:type="spellStart"/>
      <w:r w:rsidRPr="00D30F3C">
        <w:rPr>
          <w:rFonts w:ascii="Arial" w:hAnsi="Arial" w:cs="Arial"/>
          <w:lang w:val="en-IN"/>
        </w:rPr>
        <w:t>Gangapuri</w:t>
      </w:r>
      <w:proofErr w:type="spellEnd"/>
      <w:r w:rsidRPr="00D30F3C">
        <w:rPr>
          <w:rFonts w:ascii="Arial" w:hAnsi="Arial" w:cs="Arial"/>
          <w:lang w:val="en-IN"/>
        </w:rPr>
        <w:t xml:space="preserve"> x SunOleic-95R (16.20 mg/g). And the lowest value for total sugar was observed in </w:t>
      </w:r>
      <w:proofErr w:type="spellStart"/>
      <w:r w:rsidRPr="00D30F3C">
        <w:rPr>
          <w:rFonts w:ascii="Arial" w:hAnsi="Arial" w:cs="Arial"/>
          <w:lang w:val="en-IN"/>
        </w:rPr>
        <w:t>Gangapuri</w:t>
      </w:r>
      <w:proofErr w:type="spellEnd"/>
      <w:r w:rsidRPr="00D30F3C">
        <w:rPr>
          <w:rFonts w:ascii="Arial" w:hAnsi="Arial" w:cs="Arial"/>
          <w:lang w:val="en-IN"/>
        </w:rPr>
        <w:t xml:space="preserve"> (10.10 mg/g). Genotypes exhibiting higher total sugar content may possess enhanced carbohydrate metabolism and energy reserves, which can contribute to better seed </w:t>
      </w:r>
      <w:proofErr w:type="spellStart"/>
      <w:r w:rsidRPr="00D30F3C">
        <w:rPr>
          <w:rFonts w:ascii="Arial" w:hAnsi="Arial" w:cs="Arial"/>
          <w:lang w:val="en-IN"/>
        </w:rPr>
        <w:t>vigor</w:t>
      </w:r>
      <w:proofErr w:type="spellEnd"/>
      <w:r w:rsidRPr="00D30F3C">
        <w:rPr>
          <w:rFonts w:ascii="Arial" w:hAnsi="Arial" w:cs="Arial"/>
          <w:lang w:val="en-IN"/>
        </w:rPr>
        <w:t xml:space="preserve"> and improved tolerance to stress during early growth. Similar associations between sugar accumulation and stress adaptation were also reported in groundnut by Sharma et al. (2023).</w:t>
      </w:r>
    </w:p>
    <w:p w14:paraId="3ADB1429" w14:textId="77777777" w:rsidR="00D30F3C" w:rsidRDefault="00D30F3C" w:rsidP="00D30F3C">
      <w:pPr>
        <w:pStyle w:val="Body"/>
        <w:spacing w:after="0"/>
        <w:rPr>
          <w:rFonts w:ascii="Arial" w:hAnsi="Arial" w:cs="Arial"/>
          <w:lang w:val="en-IN"/>
        </w:rPr>
      </w:pPr>
    </w:p>
    <w:p w14:paraId="10F67E68" w14:textId="4596A6C6" w:rsidR="00D30F3C" w:rsidRPr="00D957A4" w:rsidRDefault="00D30F3C" w:rsidP="00D30F3C">
      <w:pPr>
        <w:jc w:val="both"/>
        <w:rPr>
          <w:rFonts w:ascii="Arial" w:hAnsi="Arial" w:cs="Arial"/>
          <w:sz w:val="22"/>
          <w:szCs w:val="22"/>
        </w:rPr>
      </w:pPr>
      <w:r w:rsidRPr="00D30F3C">
        <w:rPr>
          <w:rFonts w:ascii="Arial" w:hAnsi="Arial" w:cs="Arial"/>
          <w:b/>
          <w:caps/>
          <w:sz w:val="22"/>
          <w:lang w:val="en-IN"/>
        </w:rPr>
        <w:t>3.2 Protein</w:t>
      </w:r>
      <w:r>
        <w:rPr>
          <w:rFonts w:ascii="Arial" w:hAnsi="Arial" w:cs="Arial"/>
          <w:b/>
          <w:caps/>
          <w:sz w:val="22"/>
          <w:lang w:val="en-IN"/>
        </w:rPr>
        <w:t xml:space="preserve"> </w:t>
      </w:r>
    </w:p>
    <w:p w14:paraId="11BEEFF4" w14:textId="77777777" w:rsidR="00D30F3C" w:rsidRDefault="00D30F3C" w:rsidP="00D30F3C">
      <w:pPr>
        <w:pStyle w:val="Body"/>
        <w:spacing w:after="0"/>
        <w:rPr>
          <w:rFonts w:ascii="Arial" w:hAnsi="Arial" w:cs="Arial"/>
          <w:lang w:val="en-IN"/>
        </w:rPr>
      </w:pPr>
    </w:p>
    <w:p w14:paraId="10DA224D" w14:textId="37BA9D09" w:rsidR="00D30F3C" w:rsidRPr="00D30F3C" w:rsidRDefault="00D30F3C" w:rsidP="00D30F3C">
      <w:pPr>
        <w:pStyle w:val="Body"/>
        <w:spacing w:after="0"/>
        <w:rPr>
          <w:rFonts w:ascii="Arial" w:hAnsi="Arial" w:cs="Arial"/>
          <w:lang w:val="en-IN"/>
        </w:rPr>
      </w:pPr>
      <w:r w:rsidRPr="00D30F3C">
        <w:rPr>
          <w:rFonts w:ascii="Arial" w:hAnsi="Arial" w:cs="Arial"/>
          <w:lang w:val="en-IN"/>
        </w:rPr>
        <w:t xml:space="preserve">In case of protein, the highest value was that of Malika x GPBD-4 (26.90 mg/g), followed by TG-88 x TG- 37A (26.10 mg/g), Mallika x SunOleic-95R (25.40 mg/g) and TG-88 x SunOleic-95R (25.40 mg/g). The lowest amount of protein was found in Nithya </w:t>
      </w:r>
      <w:proofErr w:type="spellStart"/>
      <w:r w:rsidRPr="00D30F3C">
        <w:rPr>
          <w:rFonts w:ascii="Arial" w:hAnsi="Arial" w:cs="Arial"/>
          <w:lang w:val="en-IN"/>
        </w:rPr>
        <w:t>haritha</w:t>
      </w:r>
      <w:proofErr w:type="spellEnd"/>
      <w:r w:rsidRPr="00D30F3C">
        <w:rPr>
          <w:rFonts w:ascii="Arial" w:hAnsi="Arial" w:cs="Arial"/>
          <w:lang w:val="en-IN"/>
        </w:rPr>
        <w:t xml:space="preserve"> x SunOleic-95R (19.50 mg/g). Elevated protein levels indicate higher synthesis of storage and structural proteins, which are essential for seed quality and nutritional value. The variation among genotypes reflects underlying genetic diversity that can be utilized in breeding programs targeting nutritional improvement in groundnut.</w:t>
      </w:r>
    </w:p>
    <w:p w14:paraId="1C934847" w14:textId="77777777" w:rsidR="00505F06" w:rsidRDefault="00505F06" w:rsidP="00441B6F">
      <w:pPr>
        <w:pStyle w:val="Body"/>
        <w:spacing w:after="0"/>
        <w:rPr>
          <w:rFonts w:ascii="Arial" w:hAnsi="Arial" w:cs="Arial"/>
        </w:rPr>
      </w:pPr>
    </w:p>
    <w:p w14:paraId="152514D4" w14:textId="0EAC5194" w:rsidR="00D30F3C" w:rsidRPr="00D30F3C" w:rsidRDefault="00D30F3C" w:rsidP="00D30F3C">
      <w:pPr>
        <w:pStyle w:val="Body"/>
        <w:rPr>
          <w:rFonts w:ascii="Arial" w:hAnsi="Arial" w:cs="Arial"/>
          <w:b/>
          <w:caps/>
          <w:sz w:val="22"/>
          <w:lang w:val="en-IN"/>
        </w:rPr>
      </w:pPr>
      <w:r w:rsidRPr="00D30F3C">
        <w:rPr>
          <w:rFonts w:ascii="Arial" w:hAnsi="Arial" w:cs="Arial"/>
          <w:b/>
          <w:caps/>
          <w:sz w:val="22"/>
        </w:rPr>
        <w:t xml:space="preserve">3.3 Proline </w:t>
      </w:r>
    </w:p>
    <w:p w14:paraId="25644F7F" w14:textId="77777777" w:rsidR="00D30F3C" w:rsidRDefault="00D30F3C" w:rsidP="00441B6F">
      <w:pPr>
        <w:pStyle w:val="Body"/>
        <w:spacing w:after="0"/>
        <w:rPr>
          <w:rFonts w:ascii="Arial" w:hAnsi="Arial" w:cs="Arial"/>
          <w:b/>
          <w:caps/>
          <w:sz w:val="22"/>
        </w:rPr>
      </w:pPr>
    </w:p>
    <w:p w14:paraId="5C4EA3C7" w14:textId="65D3539F" w:rsidR="00D30F3C" w:rsidRPr="00D30F3C" w:rsidRDefault="00D30F3C" w:rsidP="00D30F3C">
      <w:pPr>
        <w:pStyle w:val="Body"/>
        <w:rPr>
          <w:rFonts w:ascii="Arial" w:hAnsi="Arial" w:cs="Arial"/>
          <w:lang w:val="en-IN"/>
        </w:rPr>
      </w:pPr>
      <w:r w:rsidRPr="00D30F3C">
        <w:rPr>
          <w:rFonts w:ascii="Arial" w:hAnsi="Arial" w:cs="Arial"/>
          <w:lang w:val="en-IN"/>
        </w:rPr>
        <w:t xml:space="preserve">The maximum amount of proline was found in TG-88 x TG- 37A (16.43 µmoles/g), TG-86 x GPBD-4 (16.13 µmoles/g), </w:t>
      </w:r>
      <w:proofErr w:type="spellStart"/>
      <w:r w:rsidRPr="00D30F3C">
        <w:rPr>
          <w:rFonts w:ascii="Arial" w:hAnsi="Arial" w:cs="Arial"/>
          <w:lang w:val="en-IN"/>
        </w:rPr>
        <w:t>Gangapuri</w:t>
      </w:r>
      <w:proofErr w:type="spellEnd"/>
      <w:r w:rsidRPr="00D30F3C">
        <w:rPr>
          <w:rFonts w:ascii="Arial" w:hAnsi="Arial" w:cs="Arial"/>
          <w:lang w:val="en-IN"/>
        </w:rPr>
        <w:t xml:space="preserve"> x TG 37A (16.20 µmoles/g), TG-86 x KDG-128 (16.05 µmoles/g) and Mallika x GPBD-4 (16.04 µmoles/g). Whereas the lowest was found to be in SunOleic-95R (13.40 µmoles/g). Higher proline content reflects better osmotic adjustment under stress conditions, as proline acts as an Osmo protectant and stabilizes proteins and membranes. Genotypes with elevated proline may therefore exhibit greater resilience to drought and oxidative stress, as previously reported by Shinde et al. (2017). Drought and water deficit conditions have been shown to increase proline and other protective metabolites in groundnut kernels, reflecting metabolic adjustments to stress (Solanki</w:t>
      </w:r>
      <w:r w:rsidR="00E00A7C">
        <w:rPr>
          <w:rFonts w:ascii="Arial" w:hAnsi="Arial" w:cs="Arial"/>
          <w:lang w:val="en-IN"/>
        </w:rPr>
        <w:t xml:space="preserve"> et al.</w:t>
      </w:r>
      <w:r w:rsidRPr="00D30F3C">
        <w:rPr>
          <w:rFonts w:ascii="Arial" w:hAnsi="Arial" w:cs="Arial"/>
          <w:lang w:val="en-IN"/>
        </w:rPr>
        <w:t>, 2024). Such findings align with our results on proline accumulation among genotypes, suggesting that biochemical responses are influenced both by genotype and environmental conditions.</w:t>
      </w:r>
      <w:r w:rsidRPr="00D30F3C">
        <w:rPr>
          <w:rFonts w:ascii="Arial" w:eastAsiaTheme="minorHAnsi" w:hAnsi="Arial" w:cs="Arial"/>
          <w:kern w:val="2"/>
          <w:sz w:val="22"/>
          <w:szCs w:val="22"/>
          <w:lang w:val="en-IN" w:bidi="hi-IN"/>
          <w14:ligatures w14:val="standardContextual"/>
        </w:rPr>
        <w:t xml:space="preserve"> </w:t>
      </w:r>
    </w:p>
    <w:p w14:paraId="0B4457F6" w14:textId="77777777" w:rsidR="00D30F3C" w:rsidRPr="00D30F3C" w:rsidRDefault="00D30F3C" w:rsidP="00441B6F">
      <w:pPr>
        <w:pStyle w:val="Body"/>
        <w:spacing w:after="0"/>
        <w:rPr>
          <w:rFonts w:ascii="Arial" w:hAnsi="Arial" w:cs="Arial"/>
          <w:lang w:val="en-IN"/>
        </w:rPr>
      </w:pPr>
    </w:p>
    <w:p w14:paraId="314358E7" w14:textId="13B18CE7" w:rsidR="00D30F3C" w:rsidRDefault="00D30F3C" w:rsidP="00441B6F">
      <w:pPr>
        <w:pStyle w:val="Body"/>
        <w:spacing w:after="0"/>
        <w:rPr>
          <w:rFonts w:ascii="Arial" w:hAnsi="Arial" w:cs="Arial"/>
          <w:b/>
          <w:caps/>
          <w:sz w:val="22"/>
          <w:lang w:val="en-IN"/>
        </w:rPr>
      </w:pPr>
      <w:r w:rsidRPr="00D30F3C">
        <w:rPr>
          <w:rFonts w:ascii="Arial" w:hAnsi="Arial" w:cs="Arial"/>
          <w:b/>
          <w:caps/>
          <w:sz w:val="22"/>
          <w:lang w:val="en-IN"/>
        </w:rPr>
        <w:t>3.4 Lipid Peroxidation</w:t>
      </w:r>
    </w:p>
    <w:p w14:paraId="69D2FA46" w14:textId="77777777" w:rsidR="00D30F3C" w:rsidRDefault="00D30F3C" w:rsidP="00441B6F">
      <w:pPr>
        <w:pStyle w:val="Body"/>
        <w:spacing w:after="0"/>
        <w:rPr>
          <w:rFonts w:ascii="Arial" w:hAnsi="Arial" w:cs="Arial"/>
          <w:b/>
          <w:caps/>
          <w:sz w:val="22"/>
          <w:lang w:val="en-IN"/>
        </w:rPr>
      </w:pPr>
    </w:p>
    <w:p w14:paraId="1D19F233" w14:textId="77777777" w:rsidR="00D30F3C" w:rsidRPr="00D30F3C" w:rsidRDefault="00D30F3C" w:rsidP="00D30F3C">
      <w:pPr>
        <w:pStyle w:val="Body"/>
        <w:rPr>
          <w:rFonts w:ascii="Arial" w:hAnsi="Arial" w:cs="Arial"/>
          <w:lang w:val="en-IN"/>
        </w:rPr>
      </w:pPr>
      <w:r w:rsidRPr="00D30F3C">
        <w:rPr>
          <w:rFonts w:ascii="Arial" w:hAnsi="Arial" w:cs="Arial"/>
          <w:lang w:val="en-IN"/>
        </w:rPr>
        <w:t xml:space="preserve">The highest value of lipid peroxidation was estimated in Nithya </w:t>
      </w:r>
      <w:proofErr w:type="spellStart"/>
      <w:r w:rsidRPr="00D30F3C">
        <w:rPr>
          <w:rFonts w:ascii="Arial" w:hAnsi="Arial" w:cs="Arial"/>
          <w:lang w:val="en-IN"/>
        </w:rPr>
        <w:t>haritha</w:t>
      </w:r>
      <w:proofErr w:type="spellEnd"/>
      <w:r w:rsidRPr="00D30F3C">
        <w:rPr>
          <w:rFonts w:ascii="Arial" w:hAnsi="Arial" w:cs="Arial"/>
          <w:lang w:val="en-IN"/>
        </w:rPr>
        <w:t xml:space="preserve"> x SunOleic-95R (0.48 µmoles/g), followed by TG-37A (0.47 µmoles/g), TG-88 x TG- 37A (0.46 µmoles/g) and Mallika x KDG-128 (0.45 µmoles/g). The least value for lipid peroxidation was observed in Nithya </w:t>
      </w:r>
      <w:proofErr w:type="spellStart"/>
      <w:r w:rsidRPr="00D30F3C">
        <w:rPr>
          <w:rFonts w:ascii="Arial" w:hAnsi="Arial" w:cs="Arial"/>
          <w:lang w:val="en-IN"/>
        </w:rPr>
        <w:t>haritha</w:t>
      </w:r>
      <w:proofErr w:type="spellEnd"/>
      <w:r w:rsidRPr="00D30F3C">
        <w:rPr>
          <w:rFonts w:ascii="Arial" w:hAnsi="Arial" w:cs="Arial"/>
          <w:lang w:val="en-IN"/>
        </w:rPr>
        <w:t xml:space="preserve"> (0.20 µmoles/g). Lipid peroxidation, indicated by MDA content, represents oxidative damage in cellular membranes. Lower MDA values in certain genotypes suggest stronger antioxidant defence systems, while higher values indicate susceptibility to oxidative stress. This parameter, therefore, helps identify genotypes with better oxidative stability and stress tolerance.</w:t>
      </w:r>
    </w:p>
    <w:p w14:paraId="1E18B244" w14:textId="77777777" w:rsidR="00D30F3C" w:rsidRDefault="00D30F3C" w:rsidP="00441B6F">
      <w:pPr>
        <w:pStyle w:val="Body"/>
        <w:spacing w:after="0"/>
        <w:rPr>
          <w:rFonts w:ascii="Arial" w:hAnsi="Arial" w:cs="Arial"/>
          <w:b/>
          <w:caps/>
          <w:sz w:val="22"/>
          <w:lang w:val="en-IN"/>
        </w:rPr>
      </w:pPr>
    </w:p>
    <w:p w14:paraId="3476D809" w14:textId="77777777" w:rsidR="00886E22" w:rsidRDefault="00886E22" w:rsidP="00D30F3C">
      <w:pPr>
        <w:pStyle w:val="BodyText3"/>
        <w:tabs>
          <w:tab w:val="left" w:pos="1080"/>
        </w:tabs>
        <w:spacing w:after="0"/>
        <w:ind w:left="1080" w:hanging="1080"/>
        <w:rPr>
          <w:rFonts w:ascii="Arial" w:hAnsi="Arial"/>
          <w:b/>
          <w:lang w:val="en-IN"/>
        </w:rPr>
      </w:pPr>
    </w:p>
    <w:p w14:paraId="418A04DB" w14:textId="6F0292DF"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6E92218" w14:textId="77777777" w:rsidR="00790ADA" w:rsidRPr="00FB3A86" w:rsidRDefault="00790ADA" w:rsidP="00441B6F">
      <w:pPr>
        <w:pStyle w:val="ConcHead"/>
        <w:spacing w:after="0"/>
        <w:jc w:val="both"/>
        <w:rPr>
          <w:rFonts w:ascii="Arial" w:hAnsi="Arial" w:cs="Arial"/>
        </w:rPr>
      </w:pPr>
    </w:p>
    <w:p w14:paraId="75E6C7A4" w14:textId="77777777" w:rsidR="00D30F3C" w:rsidRDefault="00D30F3C" w:rsidP="00D30F3C">
      <w:pPr>
        <w:jc w:val="both"/>
        <w:rPr>
          <w:rFonts w:ascii="Arial" w:hAnsi="Arial" w:cs="Arial"/>
          <w:sz w:val="22"/>
          <w:szCs w:val="22"/>
        </w:rPr>
      </w:pPr>
      <w:r w:rsidRPr="00E0538B">
        <w:rPr>
          <w:rFonts w:ascii="Arial" w:hAnsi="Arial" w:cs="Arial"/>
          <w:sz w:val="22"/>
          <w:szCs w:val="22"/>
        </w:rPr>
        <w:t xml:space="preserve">Significant variation was observed among the groundnut genotypes for biochemical traits such as total sugar, protein, proline, and lipid peroxidation. Genotypes TG-87 × </w:t>
      </w:r>
      <w:r w:rsidRPr="00E0538B">
        <w:rPr>
          <w:rFonts w:ascii="Arial" w:hAnsi="Arial" w:cs="Arial"/>
          <w:sz w:val="22"/>
          <w:szCs w:val="22"/>
        </w:rPr>
        <w:lastRenderedPageBreak/>
        <w:t>KDG-128 and Malika × GPBD-4 exhibited superior nutritional quality, whereas TG-88 × TG-37A showed higher proline accumulation, indicating potential stress tolerance. These findings highlight the genetic diversity available for improving both nutritional and physiological resilience in groundnut breeding programs.</w:t>
      </w:r>
    </w:p>
    <w:p w14:paraId="683237DA" w14:textId="77777777" w:rsidR="00301BD9" w:rsidRDefault="00301BD9" w:rsidP="00D30F3C">
      <w:pPr>
        <w:jc w:val="both"/>
        <w:rPr>
          <w:rFonts w:ascii="Arial" w:hAnsi="Arial" w:cs="Arial"/>
          <w:sz w:val="22"/>
          <w:szCs w:val="22"/>
        </w:rPr>
      </w:pPr>
    </w:p>
    <w:p w14:paraId="71412192" w14:textId="77777777" w:rsidR="00301BD9"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Table 3. Estimation of Biochemical parameters</w:t>
      </w:r>
    </w:p>
    <w:p w14:paraId="16512994" w14:textId="77777777" w:rsidR="00301BD9" w:rsidRPr="00E0538B" w:rsidRDefault="00301BD9" w:rsidP="00D30F3C">
      <w:pPr>
        <w:jc w:val="both"/>
        <w:rPr>
          <w:rFonts w:ascii="Arial" w:hAnsi="Arial" w:cs="Arial"/>
          <w:sz w:val="22"/>
          <w:szCs w:val="22"/>
        </w:rPr>
      </w:pPr>
      <w:bookmarkStart w:id="3" w:name="_GoBack"/>
    </w:p>
    <w:bookmarkEnd w:id="3"/>
    <w:p w14:paraId="1AF3EDE3" w14:textId="77777777" w:rsidR="00D30F3C" w:rsidRDefault="00D30F3C" w:rsidP="00441B6F">
      <w:pPr>
        <w:pStyle w:val="AcknHead"/>
        <w:spacing w:after="0"/>
        <w:jc w:val="both"/>
        <w:rPr>
          <w:rFonts w:ascii="Arial" w:hAnsi="Arial" w:cs="Arial"/>
        </w:rPr>
      </w:pPr>
    </w:p>
    <w:tbl>
      <w:tblPr>
        <w:tblpPr w:leftFromText="180" w:rightFromText="180" w:vertAnchor="text" w:horzAnchor="margin" w:tblpY="-25"/>
        <w:tblW w:w="4663" w:type="pct"/>
        <w:tblLayout w:type="fixed"/>
        <w:tblCellMar>
          <w:left w:w="10" w:type="dxa"/>
          <w:right w:w="10" w:type="dxa"/>
        </w:tblCellMar>
        <w:tblLook w:val="0000" w:firstRow="0" w:lastRow="0" w:firstColumn="0" w:lastColumn="0" w:noHBand="0" w:noVBand="0"/>
      </w:tblPr>
      <w:tblGrid>
        <w:gridCol w:w="2519"/>
        <w:gridCol w:w="1079"/>
        <w:gridCol w:w="1258"/>
        <w:gridCol w:w="1148"/>
        <w:gridCol w:w="1641"/>
      </w:tblGrid>
      <w:tr w:rsidR="00301BD9" w:rsidRPr="00D30F3C" w14:paraId="30262FA2" w14:textId="77777777" w:rsidTr="00301BD9">
        <w:trPr>
          <w:trHeight w:val="606"/>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2674BBD" w14:textId="77777777" w:rsidR="00301BD9" w:rsidRPr="00D30F3C" w:rsidRDefault="00301BD9" w:rsidP="00301BD9">
            <w:pPr>
              <w:pStyle w:val="BodyText3"/>
              <w:tabs>
                <w:tab w:val="left" w:pos="1080"/>
              </w:tabs>
              <w:spacing w:after="0"/>
              <w:ind w:left="1080" w:hanging="1080"/>
              <w:rPr>
                <w:rFonts w:ascii="Arial" w:hAnsi="Arial"/>
                <w:b/>
                <w:lang w:val="en-IN"/>
              </w:rPr>
            </w:pPr>
            <w:bookmarkStart w:id="4" w:name="_Hlk217309114"/>
            <w:r w:rsidRPr="00D30F3C">
              <w:rPr>
                <w:rFonts w:ascii="Arial" w:hAnsi="Arial"/>
                <w:b/>
                <w:lang w:val="en-IN"/>
              </w:rPr>
              <w:t>Genotypes</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FD175B1" w14:textId="77777777" w:rsidR="00301BD9"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Total</w:t>
            </w:r>
            <w:r>
              <w:rPr>
                <w:rFonts w:ascii="Arial" w:hAnsi="Arial"/>
                <w:b/>
                <w:lang w:val="en-IN"/>
              </w:rPr>
              <w:t xml:space="preserve"> Sugar</w:t>
            </w:r>
          </w:p>
          <w:p w14:paraId="719CCD95"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(mg/g)</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787B581" w14:textId="77777777" w:rsidR="00301BD9"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 xml:space="preserve">Protein </w:t>
            </w:r>
          </w:p>
          <w:p w14:paraId="1C4AF0C1"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(mg/g)</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202DC42" w14:textId="77777777" w:rsidR="00301BD9"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Proline</w:t>
            </w:r>
          </w:p>
          <w:p w14:paraId="42C86FAC"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 xml:space="preserve"> (µmoles/g)</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E70ECF6" w14:textId="77777777" w:rsidR="00301BD9"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Lipid peroxidation</w:t>
            </w:r>
          </w:p>
          <w:p w14:paraId="6D3F4AD1"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(µmoles/g)</w:t>
            </w:r>
          </w:p>
        </w:tc>
      </w:tr>
      <w:bookmarkEnd w:id="4"/>
      <w:tr w:rsidR="00301BD9" w:rsidRPr="00D30F3C" w14:paraId="3A97292F"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3FE2F7F"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TG-37A</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970E638"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12.10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B3CA5F8"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23.30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0B7FAB3"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14.20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D199C89"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0.47</w:t>
            </w:r>
          </w:p>
        </w:tc>
      </w:tr>
      <w:tr w:rsidR="00301BD9" w:rsidRPr="00D30F3C" w14:paraId="6F825551"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413BBC0"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SunOleic-95R</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416A020"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10.80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309AA44"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22.50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4D5C6D8" w14:textId="77777777" w:rsidR="00301BD9" w:rsidRPr="00582E5E" w:rsidRDefault="00301BD9" w:rsidP="00301BD9">
            <w:pPr>
              <w:pStyle w:val="BodyText3"/>
              <w:tabs>
                <w:tab w:val="left" w:pos="1080"/>
              </w:tabs>
              <w:spacing w:after="0"/>
              <w:ind w:left="1080" w:hanging="1080"/>
              <w:rPr>
                <w:rFonts w:ascii="Arial" w:hAnsi="Arial"/>
                <w:b/>
                <w:lang w:val="en-IN"/>
              </w:rPr>
            </w:pPr>
            <w:r w:rsidRPr="00582E5E">
              <w:rPr>
                <w:rFonts w:ascii="Arial" w:hAnsi="Arial"/>
                <w:b/>
                <w:lang w:val="en-IN"/>
              </w:rPr>
              <w:t>13.40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83A4BFE"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0.40</w:t>
            </w:r>
          </w:p>
        </w:tc>
      </w:tr>
      <w:tr w:rsidR="00301BD9" w:rsidRPr="00D30F3C" w14:paraId="4527E1AF"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61002FA"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GPBD-4</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F4F2914"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10.60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AE7D2A2"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22.60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A88800C"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15.80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1A5151D"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0.38</w:t>
            </w:r>
          </w:p>
        </w:tc>
      </w:tr>
      <w:tr w:rsidR="00301BD9" w:rsidRPr="00D30F3C" w14:paraId="6DD5C9DC"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609E2D9"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KDG – 128</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450645D"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13.40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B273333"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25.30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9E42F8D"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14.12</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2011029"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0.32</w:t>
            </w:r>
          </w:p>
        </w:tc>
      </w:tr>
      <w:tr w:rsidR="00301BD9" w:rsidRPr="00D30F3C" w14:paraId="1BB505F0"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DADFC60"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Nithya Haritha</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6B7C7AA"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10.80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373A7F6"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23.00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6FF7516"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15.07</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13BBC55" w14:textId="77777777" w:rsidR="00301BD9" w:rsidRPr="00301BD9" w:rsidRDefault="00301BD9" w:rsidP="00301BD9">
            <w:pPr>
              <w:pStyle w:val="BodyText3"/>
              <w:tabs>
                <w:tab w:val="left" w:pos="1080"/>
              </w:tabs>
              <w:spacing w:after="0"/>
              <w:ind w:left="1080" w:hanging="1080"/>
              <w:rPr>
                <w:rFonts w:ascii="Arial" w:hAnsi="Arial"/>
                <w:b/>
                <w:lang w:val="en-IN"/>
              </w:rPr>
            </w:pPr>
            <w:r w:rsidRPr="00301BD9">
              <w:rPr>
                <w:rFonts w:ascii="Arial" w:hAnsi="Arial"/>
                <w:b/>
                <w:lang w:val="en-IN"/>
              </w:rPr>
              <w:t>0.20</w:t>
            </w:r>
          </w:p>
        </w:tc>
      </w:tr>
      <w:tr w:rsidR="00301BD9" w:rsidRPr="00D30F3C" w14:paraId="02C9B7B8"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AB181D0"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TG-86</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6CDAFD3"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10.90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BDF1263"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24.50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7D1268D"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13.99</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DC0A6BF"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0.28</w:t>
            </w:r>
          </w:p>
        </w:tc>
      </w:tr>
      <w:tr w:rsidR="00301BD9" w:rsidRPr="00D30F3C" w14:paraId="0B456B31"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F99C884"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TG-87</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9AE2C0D"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10.30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9DCACC3"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21.11</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1DC9DF7"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14.80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7A4E07F"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0.38</w:t>
            </w:r>
          </w:p>
        </w:tc>
      </w:tr>
      <w:tr w:rsidR="00301BD9" w:rsidRPr="00D30F3C" w14:paraId="2923FACA"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12DDE71"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TG-88</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7BB4BE6"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10.70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75B8EE5"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22.80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E85D26B"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14.20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EE60394"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0.25</w:t>
            </w:r>
          </w:p>
        </w:tc>
      </w:tr>
      <w:tr w:rsidR="00301BD9" w:rsidRPr="00D30F3C" w14:paraId="23002B8E"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458EFCC"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Mallika</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2F44BD6"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11.90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10E2BB5"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22.70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7AF85DD"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13.77</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3AF3138"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0.24</w:t>
            </w:r>
          </w:p>
        </w:tc>
      </w:tr>
      <w:tr w:rsidR="00301BD9" w:rsidRPr="00D30F3C" w14:paraId="5EBFD577"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893A3F3" w14:textId="77777777" w:rsidR="00301BD9" w:rsidRPr="00D30F3C" w:rsidRDefault="00301BD9" w:rsidP="00301BD9">
            <w:pPr>
              <w:pStyle w:val="BodyText3"/>
              <w:tabs>
                <w:tab w:val="left" w:pos="1080"/>
              </w:tabs>
              <w:spacing w:after="0"/>
              <w:ind w:left="1080" w:hanging="1080"/>
              <w:rPr>
                <w:rFonts w:ascii="Arial" w:hAnsi="Arial"/>
                <w:b/>
                <w:lang w:val="en-IN"/>
              </w:rPr>
            </w:pPr>
            <w:proofErr w:type="spellStart"/>
            <w:r w:rsidRPr="00D30F3C">
              <w:rPr>
                <w:rFonts w:ascii="Arial" w:hAnsi="Arial"/>
                <w:b/>
                <w:lang w:val="en-IN"/>
              </w:rPr>
              <w:t>Gangapuri</w:t>
            </w:r>
            <w:proofErr w:type="spellEnd"/>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305986A" w14:textId="77777777" w:rsidR="00301BD9" w:rsidRPr="00301BD9" w:rsidRDefault="00301BD9" w:rsidP="00301BD9">
            <w:pPr>
              <w:pStyle w:val="BodyText3"/>
              <w:tabs>
                <w:tab w:val="left" w:pos="1080"/>
              </w:tabs>
              <w:spacing w:after="0"/>
              <w:ind w:left="1080" w:hanging="1080"/>
              <w:rPr>
                <w:rFonts w:ascii="Arial" w:hAnsi="Arial"/>
                <w:b/>
                <w:lang w:val="en-IN"/>
              </w:rPr>
            </w:pPr>
            <w:r w:rsidRPr="00301BD9">
              <w:rPr>
                <w:rFonts w:ascii="Arial" w:hAnsi="Arial"/>
                <w:b/>
                <w:lang w:val="en-IN"/>
              </w:rPr>
              <w:t>10.10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8B4ED00"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24.70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FF518AD"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15.00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8C09279"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0.30</w:t>
            </w:r>
          </w:p>
        </w:tc>
      </w:tr>
      <w:tr w:rsidR="00301BD9" w:rsidRPr="00D30F3C" w14:paraId="2D9F5299"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06D2833"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TG-87 x TG 37 A</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6ABEA91"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13.00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C52A5CD"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24.30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9AF88DB"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14.90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E221C29"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0.21</w:t>
            </w:r>
          </w:p>
        </w:tc>
      </w:tr>
      <w:tr w:rsidR="00301BD9" w:rsidRPr="00D30F3C" w14:paraId="064889B0"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4307B3E"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TG-87 x SunOleic-95R</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2F4D42F"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12.70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57D0708"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24.10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883B6B2"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13.53</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00476A6"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0.42</w:t>
            </w:r>
          </w:p>
        </w:tc>
      </w:tr>
      <w:tr w:rsidR="00301BD9" w:rsidRPr="00D30F3C" w14:paraId="6F627FF0"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7D6CE13"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TG-87 x GPBD-4</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6AC7E06"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13.10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26BA530"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22.00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6AD09C4"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14.42</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75C6A30"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0.40</w:t>
            </w:r>
          </w:p>
        </w:tc>
      </w:tr>
      <w:tr w:rsidR="00301BD9" w:rsidRPr="00D30F3C" w14:paraId="04B4C88F"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0D3057C"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TG-87 x KDG-128</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A864415" w14:textId="77777777" w:rsidR="00301BD9" w:rsidRPr="00301BD9" w:rsidRDefault="00301BD9" w:rsidP="00301BD9">
            <w:pPr>
              <w:pStyle w:val="BodyText3"/>
              <w:tabs>
                <w:tab w:val="left" w:pos="1080"/>
              </w:tabs>
              <w:spacing w:after="0"/>
              <w:ind w:left="1080" w:hanging="1080"/>
              <w:rPr>
                <w:rFonts w:ascii="Arial" w:hAnsi="Arial"/>
                <w:b/>
                <w:lang w:val="en-IN"/>
              </w:rPr>
            </w:pPr>
            <w:r w:rsidRPr="00301BD9">
              <w:rPr>
                <w:rFonts w:ascii="Arial" w:hAnsi="Arial"/>
                <w:b/>
                <w:lang w:val="en-IN"/>
              </w:rPr>
              <w:t>19.90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BEEB1E4"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23.00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F2B76FC"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13.80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1805E77"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0.44</w:t>
            </w:r>
          </w:p>
        </w:tc>
      </w:tr>
      <w:tr w:rsidR="00301BD9" w:rsidRPr="00D30F3C" w14:paraId="3CB19E1A"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67EDACF"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 xml:space="preserve">Nithya </w:t>
            </w:r>
            <w:proofErr w:type="spellStart"/>
            <w:r w:rsidRPr="00D30F3C">
              <w:rPr>
                <w:rFonts w:ascii="Arial" w:hAnsi="Arial"/>
                <w:b/>
                <w:lang w:val="en-IN"/>
              </w:rPr>
              <w:t>haritha</w:t>
            </w:r>
            <w:proofErr w:type="spellEnd"/>
            <w:r w:rsidRPr="00D30F3C">
              <w:rPr>
                <w:rFonts w:ascii="Arial" w:hAnsi="Arial"/>
                <w:b/>
                <w:lang w:val="en-IN"/>
              </w:rPr>
              <w:t xml:space="preserve"> x TG- 37A</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B9D0E43"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11.10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3392318"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20.70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20401D9"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15.70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EC7A92B"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0.37</w:t>
            </w:r>
          </w:p>
        </w:tc>
      </w:tr>
      <w:tr w:rsidR="00301BD9" w:rsidRPr="00D30F3C" w14:paraId="62FF3DED"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50B303A"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 xml:space="preserve">Nithya </w:t>
            </w:r>
            <w:proofErr w:type="spellStart"/>
            <w:r w:rsidRPr="00D30F3C">
              <w:rPr>
                <w:rFonts w:ascii="Arial" w:hAnsi="Arial"/>
                <w:b/>
                <w:lang w:val="en-IN"/>
              </w:rPr>
              <w:t>haritha</w:t>
            </w:r>
            <w:proofErr w:type="spellEnd"/>
            <w:r w:rsidRPr="00D30F3C">
              <w:rPr>
                <w:rFonts w:ascii="Arial" w:hAnsi="Arial"/>
                <w:b/>
                <w:lang w:val="en-IN"/>
              </w:rPr>
              <w:t xml:space="preserve"> x SunOleic</w:t>
            </w:r>
            <w:r>
              <w:rPr>
                <w:rFonts w:ascii="Arial" w:hAnsi="Arial"/>
                <w:b/>
                <w:lang w:val="en-IN"/>
              </w:rPr>
              <w:t>-</w:t>
            </w:r>
            <w:r w:rsidRPr="00D30F3C">
              <w:rPr>
                <w:rFonts w:ascii="Arial" w:hAnsi="Arial"/>
                <w:b/>
                <w:lang w:val="en-IN"/>
              </w:rPr>
              <w:t>95R</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945E050"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10.90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8BB1C3B" w14:textId="77777777" w:rsidR="00301BD9" w:rsidRPr="00301BD9" w:rsidRDefault="00301BD9" w:rsidP="00301BD9">
            <w:pPr>
              <w:pStyle w:val="BodyText3"/>
              <w:tabs>
                <w:tab w:val="left" w:pos="1080"/>
              </w:tabs>
              <w:spacing w:after="0"/>
              <w:ind w:left="1080" w:hanging="1080"/>
              <w:rPr>
                <w:rFonts w:ascii="Arial" w:hAnsi="Arial"/>
                <w:b/>
                <w:lang w:val="en-IN"/>
              </w:rPr>
            </w:pPr>
            <w:r w:rsidRPr="00301BD9">
              <w:rPr>
                <w:rFonts w:ascii="Arial" w:hAnsi="Arial"/>
                <w:b/>
                <w:lang w:val="en-IN"/>
              </w:rPr>
              <w:t>19.50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D36BBA2"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15.40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7C8F22C" w14:textId="77777777" w:rsidR="00301BD9" w:rsidRPr="00301BD9" w:rsidRDefault="00301BD9" w:rsidP="00301BD9">
            <w:pPr>
              <w:pStyle w:val="BodyText3"/>
              <w:tabs>
                <w:tab w:val="left" w:pos="1080"/>
              </w:tabs>
              <w:spacing w:after="0"/>
              <w:ind w:left="1080" w:hanging="1080"/>
              <w:rPr>
                <w:rFonts w:ascii="Arial" w:hAnsi="Arial"/>
                <w:b/>
                <w:lang w:val="en-IN"/>
              </w:rPr>
            </w:pPr>
            <w:r w:rsidRPr="00301BD9">
              <w:rPr>
                <w:rFonts w:ascii="Arial" w:hAnsi="Arial"/>
                <w:b/>
                <w:lang w:val="en-IN"/>
              </w:rPr>
              <w:t>0.48</w:t>
            </w:r>
          </w:p>
        </w:tc>
      </w:tr>
      <w:tr w:rsidR="00301BD9" w:rsidRPr="00D30F3C" w14:paraId="5B3E92A0"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4F792EC"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 xml:space="preserve">Nithya </w:t>
            </w:r>
            <w:proofErr w:type="spellStart"/>
            <w:r w:rsidRPr="00D30F3C">
              <w:rPr>
                <w:rFonts w:ascii="Arial" w:hAnsi="Arial"/>
                <w:b/>
                <w:lang w:val="en-IN"/>
              </w:rPr>
              <w:t>haritha</w:t>
            </w:r>
            <w:proofErr w:type="spellEnd"/>
            <w:r w:rsidRPr="00D30F3C">
              <w:rPr>
                <w:rFonts w:ascii="Arial" w:hAnsi="Arial"/>
                <w:b/>
                <w:lang w:val="en-IN"/>
              </w:rPr>
              <w:t xml:space="preserve"> x GPBD-4</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8CC622B"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12.40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3DEDDF8"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22.30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7F63E7A"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13.45</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CC77776"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0.23</w:t>
            </w:r>
          </w:p>
        </w:tc>
      </w:tr>
      <w:tr w:rsidR="00301BD9" w:rsidRPr="00D30F3C" w14:paraId="12E89B42"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A8BFD23"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 xml:space="preserve">Nithya </w:t>
            </w:r>
            <w:proofErr w:type="spellStart"/>
            <w:r w:rsidRPr="00D30F3C">
              <w:rPr>
                <w:rFonts w:ascii="Arial" w:hAnsi="Arial"/>
                <w:b/>
                <w:lang w:val="en-IN"/>
              </w:rPr>
              <w:t>haritha</w:t>
            </w:r>
            <w:proofErr w:type="spellEnd"/>
            <w:r w:rsidRPr="00D30F3C">
              <w:rPr>
                <w:rFonts w:ascii="Arial" w:hAnsi="Arial"/>
                <w:b/>
                <w:lang w:val="en-IN"/>
              </w:rPr>
              <w:t xml:space="preserve"> x KDG-128</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77AE89B"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12.20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13A4154"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24.50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2E8DDC7"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13.63</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A90DFDB"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0.32</w:t>
            </w:r>
          </w:p>
        </w:tc>
      </w:tr>
      <w:tr w:rsidR="00301BD9" w:rsidRPr="00D30F3C" w14:paraId="365D963D"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098E1C6"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Mallika x TG-37A</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41A19E6"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12.70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86047C9"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20.70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0AED2B1"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14.12</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DD5990E"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0.23</w:t>
            </w:r>
          </w:p>
        </w:tc>
      </w:tr>
      <w:tr w:rsidR="00301BD9" w:rsidRPr="00D30F3C" w14:paraId="58CEC1B4"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F596838" w14:textId="77777777" w:rsidR="00301BD9" w:rsidRPr="00D30F3C" w:rsidRDefault="00301BD9" w:rsidP="00301BD9">
            <w:pPr>
              <w:pStyle w:val="BodyText3"/>
              <w:tabs>
                <w:tab w:val="left" w:pos="1080"/>
              </w:tabs>
              <w:spacing w:after="0"/>
              <w:ind w:left="1080" w:hanging="1080"/>
              <w:rPr>
                <w:rFonts w:ascii="Arial" w:hAnsi="Arial"/>
                <w:b/>
                <w:lang w:val="en-IN"/>
              </w:rPr>
            </w:pPr>
            <w:bookmarkStart w:id="5" w:name="_Hlk217328882"/>
            <w:r w:rsidRPr="00D30F3C">
              <w:rPr>
                <w:rFonts w:ascii="Arial" w:hAnsi="Arial"/>
                <w:b/>
                <w:lang w:val="en-IN"/>
              </w:rPr>
              <w:t>Mallika x SunOleic-95R</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3FFFFD0"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11.70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F05B5BC"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25.40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919F212"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15.89</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3687149"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0.41</w:t>
            </w:r>
          </w:p>
        </w:tc>
      </w:tr>
      <w:bookmarkEnd w:id="5"/>
      <w:tr w:rsidR="00301BD9" w:rsidRPr="00D30F3C" w14:paraId="275FE398"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EE9FB79"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Mallika x GPBD-4</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16105B5"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10.30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224C5CC" w14:textId="77777777" w:rsidR="00301BD9" w:rsidRPr="00301BD9" w:rsidRDefault="00301BD9" w:rsidP="00301BD9">
            <w:pPr>
              <w:pStyle w:val="BodyText3"/>
              <w:tabs>
                <w:tab w:val="left" w:pos="1080"/>
              </w:tabs>
              <w:spacing w:after="0"/>
              <w:ind w:left="1080" w:hanging="1080"/>
              <w:rPr>
                <w:rFonts w:ascii="Arial" w:hAnsi="Arial"/>
                <w:b/>
                <w:lang w:val="en-IN"/>
              </w:rPr>
            </w:pPr>
            <w:r w:rsidRPr="00301BD9">
              <w:rPr>
                <w:rFonts w:ascii="Arial" w:hAnsi="Arial"/>
                <w:b/>
                <w:lang w:val="en-IN"/>
              </w:rPr>
              <w:t>26.90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7C5032C"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16.04</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C175D36"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0.36</w:t>
            </w:r>
          </w:p>
        </w:tc>
      </w:tr>
      <w:tr w:rsidR="00301BD9" w:rsidRPr="00D30F3C" w14:paraId="59F46278"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4AB052E"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Mallika x KDG-128</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FF269B6"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11.80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1CE4735"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24.10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18E78CD"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14.72</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1BCFAF5"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0.45</w:t>
            </w:r>
          </w:p>
        </w:tc>
      </w:tr>
      <w:tr w:rsidR="00301BD9" w:rsidRPr="00D30F3C" w14:paraId="5CF14B1F"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F727641" w14:textId="77777777" w:rsidR="00301BD9" w:rsidRPr="00D30F3C" w:rsidRDefault="00301BD9" w:rsidP="00301BD9">
            <w:pPr>
              <w:pStyle w:val="BodyText3"/>
              <w:tabs>
                <w:tab w:val="left" w:pos="1080"/>
              </w:tabs>
              <w:spacing w:after="0"/>
              <w:ind w:left="1080" w:hanging="1080"/>
              <w:rPr>
                <w:rFonts w:ascii="Arial" w:hAnsi="Arial"/>
                <w:b/>
                <w:lang w:val="en-IN"/>
              </w:rPr>
            </w:pPr>
            <w:proofErr w:type="spellStart"/>
            <w:r w:rsidRPr="00D30F3C">
              <w:rPr>
                <w:rFonts w:ascii="Arial" w:hAnsi="Arial"/>
                <w:b/>
                <w:lang w:val="en-IN"/>
              </w:rPr>
              <w:t>Gangapuri</w:t>
            </w:r>
            <w:proofErr w:type="spellEnd"/>
            <w:r w:rsidRPr="00D30F3C">
              <w:rPr>
                <w:rFonts w:ascii="Arial" w:hAnsi="Arial"/>
                <w:b/>
                <w:lang w:val="en-IN"/>
              </w:rPr>
              <w:t xml:space="preserve"> x TG 37A</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52F5B3A"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10.90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4CBA213"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23.70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315A338"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16.20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0237FF9"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0.43</w:t>
            </w:r>
          </w:p>
        </w:tc>
      </w:tr>
      <w:tr w:rsidR="00301BD9" w:rsidRPr="00D30F3C" w14:paraId="15539031"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FDBD208" w14:textId="77777777" w:rsidR="00301BD9" w:rsidRPr="00D30F3C" w:rsidRDefault="00301BD9" w:rsidP="00301BD9">
            <w:pPr>
              <w:pStyle w:val="BodyText3"/>
              <w:tabs>
                <w:tab w:val="left" w:pos="1080"/>
              </w:tabs>
              <w:spacing w:after="0"/>
              <w:ind w:left="1080" w:hanging="1080"/>
              <w:rPr>
                <w:rFonts w:ascii="Arial" w:hAnsi="Arial"/>
                <w:b/>
                <w:lang w:val="en-IN"/>
              </w:rPr>
            </w:pPr>
            <w:proofErr w:type="spellStart"/>
            <w:r w:rsidRPr="00D30F3C">
              <w:rPr>
                <w:rFonts w:ascii="Arial" w:hAnsi="Arial"/>
                <w:b/>
                <w:lang w:val="en-IN"/>
              </w:rPr>
              <w:t>Gangapuri</w:t>
            </w:r>
            <w:proofErr w:type="spellEnd"/>
            <w:r w:rsidRPr="00D30F3C">
              <w:rPr>
                <w:rFonts w:ascii="Arial" w:hAnsi="Arial"/>
                <w:b/>
                <w:lang w:val="en-IN"/>
              </w:rPr>
              <w:t xml:space="preserve"> x SunOleic-95R</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F155AB8"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16.20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1460835"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22.10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6B5980B"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15.70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F96C014"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0.36</w:t>
            </w:r>
          </w:p>
        </w:tc>
      </w:tr>
      <w:tr w:rsidR="00301BD9" w:rsidRPr="00D30F3C" w14:paraId="05C49981"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1CF61DF" w14:textId="4961E644" w:rsidR="00301BD9" w:rsidRPr="00D30F3C" w:rsidRDefault="00301BD9" w:rsidP="00626433">
            <w:pPr>
              <w:pStyle w:val="BodyText3"/>
              <w:tabs>
                <w:tab w:val="left" w:pos="1080"/>
                <w:tab w:val="right" w:pos="2365"/>
              </w:tabs>
              <w:spacing w:after="0"/>
              <w:ind w:left="1080" w:hanging="1080"/>
              <w:rPr>
                <w:rFonts w:ascii="Arial" w:hAnsi="Arial"/>
                <w:b/>
                <w:lang w:val="en-IN"/>
              </w:rPr>
            </w:pPr>
            <w:proofErr w:type="spellStart"/>
            <w:r w:rsidRPr="00D30F3C">
              <w:rPr>
                <w:rFonts w:ascii="Arial" w:hAnsi="Arial"/>
                <w:b/>
                <w:lang w:val="en-IN"/>
              </w:rPr>
              <w:t>Gangapuri</w:t>
            </w:r>
            <w:proofErr w:type="spellEnd"/>
            <w:r w:rsidRPr="00D30F3C">
              <w:rPr>
                <w:rFonts w:ascii="Arial" w:hAnsi="Arial"/>
                <w:b/>
                <w:lang w:val="en-IN"/>
              </w:rPr>
              <w:t xml:space="preserve"> x GPBD-4</w:t>
            </w:r>
            <w:r w:rsidR="00626433">
              <w:rPr>
                <w:rFonts w:ascii="Arial" w:hAnsi="Arial"/>
                <w:b/>
                <w:lang w:val="en-IN"/>
              </w:rPr>
              <w:tab/>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BEA7915"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16.50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D3408FF"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20.99</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04A0DD4"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14.10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4016D22"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0.34</w:t>
            </w:r>
          </w:p>
        </w:tc>
      </w:tr>
      <w:tr w:rsidR="00301BD9" w:rsidRPr="00D30F3C" w14:paraId="1E128D5A"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241AFC5" w14:textId="77777777" w:rsidR="00301BD9" w:rsidRPr="00D30F3C" w:rsidRDefault="00301BD9" w:rsidP="00301BD9">
            <w:pPr>
              <w:pStyle w:val="BodyText3"/>
              <w:tabs>
                <w:tab w:val="left" w:pos="1080"/>
              </w:tabs>
              <w:spacing w:after="0"/>
              <w:ind w:left="1080" w:hanging="1080"/>
              <w:rPr>
                <w:rFonts w:ascii="Arial" w:hAnsi="Arial"/>
                <w:b/>
                <w:lang w:val="en-IN"/>
              </w:rPr>
            </w:pPr>
            <w:proofErr w:type="spellStart"/>
            <w:r w:rsidRPr="00D30F3C">
              <w:rPr>
                <w:rFonts w:ascii="Arial" w:hAnsi="Arial"/>
                <w:b/>
                <w:lang w:val="en-IN"/>
              </w:rPr>
              <w:t>Gangapuri</w:t>
            </w:r>
            <w:proofErr w:type="spellEnd"/>
            <w:r w:rsidRPr="00D30F3C">
              <w:rPr>
                <w:rFonts w:ascii="Arial" w:hAnsi="Arial"/>
                <w:b/>
                <w:lang w:val="en-IN"/>
              </w:rPr>
              <w:t xml:space="preserve"> x KDG-128</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D010477"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16.70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B151248"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19.80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26B582D"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15.22</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B22B8A7"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0.39</w:t>
            </w:r>
          </w:p>
        </w:tc>
      </w:tr>
      <w:tr w:rsidR="00301BD9" w:rsidRPr="00D30F3C" w14:paraId="566A53F9"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8C56F64"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TG-86 x TG 37 A</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94F23EC"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16.40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C21F158"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23.40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D34AA4A"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15.40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875B33E"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0.37</w:t>
            </w:r>
          </w:p>
        </w:tc>
      </w:tr>
      <w:tr w:rsidR="00301BD9" w:rsidRPr="00D30F3C" w14:paraId="6118AAB0"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8245A70"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TG-86 x SunOleic-95R</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5AE5281"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10.4</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B9FF434"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21.40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2686AD2"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15.24</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AD6E4EA"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0.44</w:t>
            </w:r>
          </w:p>
        </w:tc>
      </w:tr>
      <w:tr w:rsidR="00301BD9" w:rsidRPr="00D30F3C" w14:paraId="003D11E5"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A591F4C"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TG-86 x GPBD-4</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81255AB"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11.00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26D374C"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21.80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2EF1E9A"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16.13</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A75B211"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0.41</w:t>
            </w:r>
          </w:p>
        </w:tc>
      </w:tr>
      <w:tr w:rsidR="00301BD9" w:rsidRPr="00D30F3C" w14:paraId="21C60D58"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1E42EE5"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TG-86 x KDG-128</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9E7E394"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10.50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0128B92"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22.50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2811B9B"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16.05</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E0CF2AA"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0.42</w:t>
            </w:r>
          </w:p>
        </w:tc>
      </w:tr>
      <w:tr w:rsidR="00301BD9" w:rsidRPr="00D30F3C" w14:paraId="5684F8B7"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5FABB8A"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TG-88 x TG- 37A</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EF97D6B"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12.00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44D3503"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26.10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0F75DFA" w14:textId="77777777" w:rsidR="00301BD9" w:rsidRPr="00AE696C" w:rsidRDefault="00301BD9" w:rsidP="00301BD9">
            <w:pPr>
              <w:pStyle w:val="BodyText3"/>
              <w:tabs>
                <w:tab w:val="left" w:pos="1080"/>
              </w:tabs>
              <w:spacing w:after="0"/>
              <w:ind w:left="1080" w:hanging="1080"/>
              <w:rPr>
                <w:rFonts w:ascii="Arial" w:hAnsi="Arial"/>
                <w:b/>
                <w:lang w:val="en-IN"/>
              </w:rPr>
            </w:pPr>
            <w:r w:rsidRPr="00AE696C">
              <w:rPr>
                <w:rFonts w:ascii="Arial" w:hAnsi="Arial"/>
                <w:b/>
                <w:lang w:val="en-IN"/>
              </w:rPr>
              <w:t>16.43</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CDD07E7"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0.46</w:t>
            </w:r>
          </w:p>
        </w:tc>
      </w:tr>
      <w:tr w:rsidR="00301BD9" w:rsidRPr="00D30F3C" w14:paraId="4AFB587E"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6466F7A" w14:textId="77777777" w:rsidR="00301BD9" w:rsidRPr="00D30F3C" w:rsidRDefault="00301BD9" w:rsidP="00301BD9">
            <w:pPr>
              <w:pStyle w:val="BodyText3"/>
              <w:tabs>
                <w:tab w:val="left" w:pos="1080"/>
              </w:tabs>
              <w:spacing w:after="0"/>
              <w:ind w:left="1080" w:hanging="1080"/>
              <w:rPr>
                <w:rFonts w:ascii="Arial" w:hAnsi="Arial"/>
                <w:b/>
                <w:lang w:val="en-IN"/>
              </w:rPr>
            </w:pPr>
            <w:bookmarkStart w:id="6" w:name="_Hlk217328935"/>
            <w:r w:rsidRPr="00D30F3C">
              <w:rPr>
                <w:rFonts w:ascii="Arial" w:hAnsi="Arial"/>
                <w:b/>
                <w:lang w:val="en-IN"/>
              </w:rPr>
              <w:t>TG-88 x SunOleic-95R</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72F83D9"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10.80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4E1DE39"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25.40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816E1A3"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15.80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0DAF524"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0.40</w:t>
            </w:r>
          </w:p>
        </w:tc>
      </w:tr>
      <w:bookmarkEnd w:id="6"/>
      <w:tr w:rsidR="00301BD9" w:rsidRPr="00D30F3C" w14:paraId="4DF868DB"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77EC1A0"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TG-88 x GPBD-4</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4D6E786"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10.90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37CD5B4"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22.30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71EFB95"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14.49</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AA66EE1"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0.31</w:t>
            </w:r>
          </w:p>
        </w:tc>
      </w:tr>
      <w:tr w:rsidR="00301BD9" w:rsidRPr="00D30F3C" w14:paraId="54787A06"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DDB7F76" w14:textId="77777777" w:rsidR="00301BD9" w:rsidRPr="00D30F3C" w:rsidRDefault="00301BD9" w:rsidP="00301BD9">
            <w:pPr>
              <w:pStyle w:val="BodyText3"/>
              <w:tabs>
                <w:tab w:val="left" w:pos="1080"/>
              </w:tabs>
              <w:spacing w:after="0"/>
              <w:ind w:left="1080" w:hanging="1080"/>
              <w:rPr>
                <w:rFonts w:ascii="Arial" w:hAnsi="Arial"/>
                <w:b/>
                <w:lang w:val="en-IN"/>
              </w:rPr>
            </w:pPr>
            <w:r w:rsidRPr="00D30F3C">
              <w:rPr>
                <w:rFonts w:ascii="Arial" w:hAnsi="Arial"/>
                <w:b/>
                <w:lang w:val="en-IN"/>
              </w:rPr>
              <w:t>TG-88 x KDG-128</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8B5ACE7"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11.50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CB70E5B"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22.10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5AE9D63"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13.59</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6D8C132" w14:textId="77777777" w:rsidR="00301BD9" w:rsidRPr="00A713EC" w:rsidRDefault="00301BD9" w:rsidP="00301BD9">
            <w:pPr>
              <w:pStyle w:val="BodyText3"/>
              <w:tabs>
                <w:tab w:val="left" w:pos="1080"/>
              </w:tabs>
              <w:spacing w:after="0"/>
              <w:ind w:left="1080" w:hanging="1080"/>
              <w:rPr>
                <w:rFonts w:ascii="Arial" w:hAnsi="Arial"/>
                <w:bCs/>
                <w:lang w:val="en-IN"/>
              </w:rPr>
            </w:pPr>
            <w:r w:rsidRPr="00A713EC">
              <w:rPr>
                <w:rFonts w:ascii="Arial" w:hAnsi="Arial"/>
                <w:bCs/>
                <w:lang w:val="en-IN"/>
              </w:rPr>
              <w:t>0.38</w:t>
            </w:r>
          </w:p>
        </w:tc>
      </w:tr>
      <w:tr w:rsidR="00727FCA" w:rsidRPr="00661869" w14:paraId="5F81C2F1" w14:textId="77777777" w:rsidTr="000C0B61">
        <w:trPr>
          <w:trHeight w:val="197"/>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1D90C51" w14:textId="355D8B34" w:rsidR="00727FCA" w:rsidRPr="00661869" w:rsidRDefault="00727FCA" w:rsidP="00661869">
            <w:pPr>
              <w:pStyle w:val="BodyText3"/>
              <w:tabs>
                <w:tab w:val="left" w:pos="1080"/>
              </w:tabs>
              <w:spacing w:after="0"/>
              <w:ind w:left="1080" w:hanging="1080"/>
              <w:rPr>
                <w:rFonts w:ascii="Arial" w:hAnsi="Arial" w:cs="Arial"/>
                <w:b/>
                <w:lang w:val="en-IN"/>
              </w:rPr>
            </w:pPr>
            <w:r w:rsidRPr="00661869">
              <w:rPr>
                <w:rFonts w:ascii="Arial" w:hAnsi="Arial" w:cs="Arial"/>
                <w:b/>
                <w:lang w:val="en-IN"/>
              </w:rPr>
              <w:t>Mean</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EBA34FF" w14:textId="4D398F2D" w:rsidR="00727FCA" w:rsidRPr="00661869" w:rsidRDefault="00661869" w:rsidP="00661869">
            <w:pPr>
              <w:pStyle w:val="BodyText3"/>
              <w:tabs>
                <w:tab w:val="left" w:pos="1080"/>
              </w:tabs>
              <w:spacing w:after="0"/>
              <w:ind w:left="1080" w:hanging="1080"/>
              <w:rPr>
                <w:rFonts w:ascii="Arial" w:hAnsi="Arial" w:cs="Arial"/>
                <w:bCs/>
                <w:lang w:val="en-IN"/>
              </w:rPr>
            </w:pPr>
            <w:r>
              <w:rPr>
                <w:rFonts w:ascii="Arial" w:hAnsi="Arial" w:cs="Arial"/>
                <w:bCs/>
                <w:lang w:val="en-IN"/>
              </w:rPr>
              <w:t>12.27</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89015F9" w14:textId="10CB5898" w:rsidR="00727FCA" w:rsidRPr="00661869" w:rsidRDefault="000C0B61" w:rsidP="00661869">
            <w:pPr>
              <w:pStyle w:val="BodyText3"/>
              <w:tabs>
                <w:tab w:val="left" w:pos="1080"/>
              </w:tabs>
              <w:spacing w:after="0"/>
              <w:ind w:left="1080" w:hanging="1080"/>
              <w:rPr>
                <w:rFonts w:ascii="Arial" w:hAnsi="Arial" w:cs="Arial"/>
                <w:bCs/>
                <w:lang w:val="en-IN"/>
              </w:rPr>
            </w:pPr>
            <w:r w:rsidRPr="00661869">
              <w:rPr>
                <w:rFonts w:ascii="Arial" w:hAnsi="Arial" w:cs="Arial"/>
                <w:bCs/>
                <w:lang w:val="en-IN"/>
              </w:rPr>
              <w:t>22.9</w:t>
            </w:r>
            <w:r w:rsidR="005A3E4E">
              <w:rPr>
                <w:rFonts w:ascii="Arial" w:hAnsi="Arial" w:cs="Arial"/>
                <w:bCs/>
                <w:lang w:val="en-IN"/>
              </w:rPr>
              <w:t>9</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AA7BB43" w14:textId="63F8FB9B" w:rsidR="00727FCA" w:rsidRPr="00661869" w:rsidRDefault="000C0B61" w:rsidP="00661869">
            <w:pPr>
              <w:pStyle w:val="BodyText3"/>
              <w:tabs>
                <w:tab w:val="left" w:pos="1080"/>
              </w:tabs>
              <w:spacing w:after="0"/>
              <w:ind w:left="1080" w:hanging="1080"/>
              <w:rPr>
                <w:rFonts w:ascii="Arial" w:hAnsi="Arial" w:cs="Arial"/>
                <w:bCs/>
                <w:lang w:val="en-IN"/>
              </w:rPr>
            </w:pPr>
            <w:r w:rsidRPr="00661869">
              <w:rPr>
                <w:rFonts w:ascii="Arial" w:hAnsi="Arial" w:cs="Arial"/>
                <w:bCs/>
                <w:lang w:val="en-IN"/>
              </w:rPr>
              <w:t>14.83</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FC7CFF4" w14:textId="5198767E" w:rsidR="00727FCA" w:rsidRPr="00661869" w:rsidRDefault="000C0B61" w:rsidP="00661869">
            <w:pPr>
              <w:pStyle w:val="BodyText3"/>
              <w:tabs>
                <w:tab w:val="left" w:pos="1080"/>
              </w:tabs>
              <w:spacing w:after="0"/>
              <w:ind w:left="1080" w:hanging="1080"/>
              <w:rPr>
                <w:rFonts w:ascii="Arial" w:hAnsi="Arial" w:cs="Arial"/>
                <w:bCs/>
                <w:lang w:val="en-IN"/>
              </w:rPr>
            </w:pPr>
            <w:r w:rsidRPr="00661869">
              <w:rPr>
                <w:rFonts w:ascii="Arial" w:hAnsi="Arial" w:cs="Arial"/>
                <w:bCs/>
                <w:lang w:val="en-IN"/>
              </w:rPr>
              <w:t>0.36</w:t>
            </w:r>
          </w:p>
        </w:tc>
      </w:tr>
      <w:tr w:rsidR="00727FCA" w:rsidRPr="00661869" w14:paraId="220505DE"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B6D7877" w14:textId="4B381A7A" w:rsidR="00727FCA" w:rsidRPr="00661869" w:rsidRDefault="00727FCA" w:rsidP="00661869">
            <w:pPr>
              <w:pStyle w:val="BodyText3"/>
              <w:tabs>
                <w:tab w:val="left" w:pos="1080"/>
              </w:tabs>
              <w:spacing w:after="0"/>
              <w:ind w:left="1080" w:hanging="1080"/>
              <w:rPr>
                <w:rFonts w:ascii="Arial" w:hAnsi="Arial" w:cs="Arial"/>
                <w:b/>
                <w:lang w:val="en-IN"/>
              </w:rPr>
            </w:pPr>
            <w:r w:rsidRPr="00661869">
              <w:rPr>
                <w:rFonts w:ascii="Arial" w:hAnsi="Arial" w:cs="Arial"/>
                <w:b/>
                <w:lang w:val="en-IN"/>
              </w:rPr>
              <w:t>Maximum</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1B36604" w14:textId="5531679C" w:rsidR="00727FCA" w:rsidRPr="00661869" w:rsidRDefault="000C0B61" w:rsidP="00661869">
            <w:pPr>
              <w:pStyle w:val="BodyText3"/>
              <w:tabs>
                <w:tab w:val="left" w:pos="1080"/>
              </w:tabs>
              <w:spacing w:after="0"/>
              <w:ind w:left="1080" w:hanging="1080"/>
              <w:rPr>
                <w:rFonts w:ascii="Arial" w:hAnsi="Arial" w:cs="Arial"/>
                <w:bCs/>
                <w:lang w:val="en-IN"/>
              </w:rPr>
            </w:pPr>
            <w:r w:rsidRPr="00661869">
              <w:rPr>
                <w:rFonts w:ascii="Arial" w:hAnsi="Arial" w:cs="Arial"/>
                <w:bCs/>
                <w:lang w:val="en-IN"/>
              </w:rPr>
              <w:t>19.90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A5D79CD" w14:textId="4EF0D20B" w:rsidR="00727FCA" w:rsidRPr="00661869" w:rsidRDefault="000C0B61" w:rsidP="00661869">
            <w:pPr>
              <w:pStyle w:val="BodyText3"/>
              <w:tabs>
                <w:tab w:val="left" w:pos="1080"/>
              </w:tabs>
              <w:spacing w:after="0"/>
              <w:ind w:left="1080" w:hanging="1080"/>
              <w:rPr>
                <w:rFonts w:ascii="Arial" w:hAnsi="Arial" w:cs="Arial"/>
                <w:bCs/>
                <w:lang w:val="en-IN"/>
              </w:rPr>
            </w:pPr>
            <w:r w:rsidRPr="00661869">
              <w:rPr>
                <w:rFonts w:ascii="Arial" w:hAnsi="Arial" w:cs="Arial"/>
                <w:bCs/>
                <w:lang w:val="en-IN"/>
              </w:rPr>
              <w:t>26.90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F1678D9" w14:textId="083D73FE" w:rsidR="00727FCA" w:rsidRPr="00661869" w:rsidRDefault="000C0B61" w:rsidP="00661869">
            <w:pPr>
              <w:pStyle w:val="BodyText3"/>
              <w:tabs>
                <w:tab w:val="left" w:pos="1080"/>
              </w:tabs>
              <w:spacing w:after="0"/>
              <w:ind w:left="1080" w:hanging="1080"/>
              <w:rPr>
                <w:rFonts w:ascii="Arial" w:hAnsi="Arial" w:cs="Arial"/>
                <w:bCs/>
                <w:lang w:val="en-IN"/>
              </w:rPr>
            </w:pPr>
            <w:r w:rsidRPr="00661869">
              <w:rPr>
                <w:rFonts w:ascii="Arial" w:hAnsi="Arial" w:cs="Arial"/>
                <w:bCs/>
                <w:lang w:val="en-IN"/>
              </w:rPr>
              <w:t>16.43</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C2712B2" w14:textId="62013493" w:rsidR="00727FCA" w:rsidRPr="00661869" w:rsidRDefault="000C0B61" w:rsidP="00661869">
            <w:pPr>
              <w:pStyle w:val="BodyText3"/>
              <w:tabs>
                <w:tab w:val="left" w:pos="1080"/>
              </w:tabs>
              <w:spacing w:after="0"/>
              <w:ind w:left="1080" w:hanging="1080"/>
              <w:rPr>
                <w:rFonts w:ascii="Arial" w:hAnsi="Arial" w:cs="Arial"/>
                <w:bCs/>
                <w:lang w:val="en-IN"/>
              </w:rPr>
            </w:pPr>
            <w:r w:rsidRPr="00661869">
              <w:rPr>
                <w:rFonts w:ascii="Arial" w:hAnsi="Arial" w:cs="Arial"/>
                <w:bCs/>
                <w:lang w:val="en-IN"/>
              </w:rPr>
              <w:t>0.48</w:t>
            </w:r>
          </w:p>
        </w:tc>
      </w:tr>
      <w:tr w:rsidR="00727FCA" w:rsidRPr="00661869" w14:paraId="090E6586"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ECAD3B7" w14:textId="1DE6992C" w:rsidR="00727FCA" w:rsidRPr="00661869" w:rsidRDefault="00727FCA" w:rsidP="00661869">
            <w:pPr>
              <w:pStyle w:val="BodyText3"/>
              <w:tabs>
                <w:tab w:val="left" w:pos="1080"/>
              </w:tabs>
              <w:spacing w:after="0"/>
              <w:ind w:left="1080" w:hanging="1080"/>
              <w:rPr>
                <w:rFonts w:ascii="Arial" w:hAnsi="Arial" w:cs="Arial"/>
                <w:b/>
                <w:lang w:val="en-IN"/>
              </w:rPr>
            </w:pPr>
            <w:r w:rsidRPr="00661869">
              <w:rPr>
                <w:rFonts w:ascii="Arial" w:hAnsi="Arial" w:cs="Arial"/>
                <w:b/>
                <w:lang w:val="en-IN"/>
              </w:rPr>
              <w:t>Minimum</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628F329" w14:textId="09854CD2" w:rsidR="00727FCA" w:rsidRPr="00661869" w:rsidRDefault="00661869" w:rsidP="00661869">
            <w:pPr>
              <w:pStyle w:val="BodyText3"/>
              <w:tabs>
                <w:tab w:val="left" w:pos="1080"/>
              </w:tabs>
              <w:spacing w:after="0"/>
              <w:ind w:left="1080" w:hanging="1080"/>
              <w:rPr>
                <w:rFonts w:ascii="Arial" w:hAnsi="Arial" w:cs="Arial"/>
                <w:bCs/>
                <w:lang w:val="en-IN"/>
              </w:rPr>
            </w:pPr>
            <w:r>
              <w:rPr>
                <w:rFonts w:ascii="Arial" w:hAnsi="Arial" w:cs="Arial"/>
                <w:bCs/>
                <w:lang w:val="en-IN"/>
              </w:rPr>
              <w:t>10.10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C056A73" w14:textId="28A686A6" w:rsidR="00727FCA" w:rsidRPr="00661869" w:rsidRDefault="000C0B61" w:rsidP="00661869">
            <w:pPr>
              <w:pStyle w:val="BodyText3"/>
              <w:tabs>
                <w:tab w:val="left" w:pos="1080"/>
              </w:tabs>
              <w:spacing w:after="0"/>
              <w:ind w:left="1080" w:hanging="1080"/>
              <w:rPr>
                <w:rFonts w:ascii="Arial" w:hAnsi="Arial" w:cs="Arial"/>
                <w:bCs/>
                <w:lang w:val="en-IN"/>
              </w:rPr>
            </w:pPr>
            <w:r w:rsidRPr="00661869">
              <w:rPr>
                <w:rFonts w:ascii="Arial" w:hAnsi="Arial" w:cs="Arial"/>
                <w:bCs/>
                <w:lang w:val="en-IN"/>
              </w:rPr>
              <w:t>19.50</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6D18FAD" w14:textId="1821022B" w:rsidR="00727FCA" w:rsidRPr="00661869" w:rsidRDefault="000C0B61" w:rsidP="00661869">
            <w:pPr>
              <w:pStyle w:val="BodyText3"/>
              <w:tabs>
                <w:tab w:val="left" w:pos="1080"/>
              </w:tabs>
              <w:spacing w:after="0"/>
              <w:ind w:left="1080" w:hanging="1080"/>
              <w:rPr>
                <w:rFonts w:ascii="Arial" w:hAnsi="Arial" w:cs="Arial"/>
                <w:bCs/>
                <w:lang w:val="en-IN"/>
              </w:rPr>
            </w:pPr>
            <w:r w:rsidRPr="00661869">
              <w:rPr>
                <w:rFonts w:ascii="Arial" w:hAnsi="Arial" w:cs="Arial"/>
                <w:bCs/>
                <w:lang w:val="en-IN"/>
              </w:rPr>
              <w:t>13.40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081A7C8" w14:textId="645DD74E" w:rsidR="00727FCA" w:rsidRPr="00661869" w:rsidRDefault="000C0B61" w:rsidP="00661869">
            <w:pPr>
              <w:pStyle w:val="BodyText3"/>
              <w:tabs>
                <w:tab w:val="left" w:pos="1080"/>
              </w:tabs>
              <w:spacing w:after="0"/>
              <w:ind w:left="1080" w:hanging="1080"/>
              <w:rPr>
                <w:rFonts w:ascii="Arial" w:hAnsi="Arial" w:cs="Arial"/>
                <w:bCs/>
                <w:lang w:val="en-IN"/>
              </w:rPr>
            </w:pPr>
            <w:r w:rsidRPr="00661869">
              <w:rPr>
                <w:rFonts w:ascii="Arial" w:hAnsi="Arial" w:cs="Arial"/>
                <w:bCs/>
                <w:lang w:val="en-IN"/>
              </w:rPr>
              <w:t>0.20</w:t>
            </w:r>
          </w:p>
        </w:tc>
      </w:tr>
      <w:tr w:rsidR="00727FCA" w:rsidRPr="00661869" w14:paraId="29459624"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72DB4A3" w14:textId="5724AF9A" w:rsidR="00727FCA" w:rsidRPr="00661869" w:rsidRDefault="00727FCA" w:rsidP="00661869">
            <w:pPr>
              <w:pStyle w:val="BodyText3"/>
              <w:tabs>
                <w:tab w:val="left" w:pos="1080"/>
              </w:tabs>
              <w:spacing w:after="0"/>
              <w:ind w:left="1080" w:hanging="1080"/>
              <w:rPr>
                <w:rFonts w:ascii="Arial" w:hAnsi="Arial" w:cs="Arial"/>
                <w:b/>
                <w:lang w:val="en-IN"/>
              </w:rPr>
            </w:pPr>
            <w:r w:rsidRPr="00661869">
              <w:rPr>
                <w:rFonts w:ascii="Arial" w:hAnsi="Arial" w:cs="Arial"/>
                <w:b/>
                <w:lang w:val="en-IN"/>
              </w:rPr>
              <w:t>C.V.</w:t>
            </w:r>
            <w:r w:rsidR="00C14ACE">
              <w:rPr>
                <w:rFonts w:ascii="Arial" w:hAnsi="Arial" w:cs="Arial"/>
                <w:b/>
                <w:lang w:val="en-IN"/>
              </w:rPr>
              <w:t xml:space="preserve"> (%)</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F77982D" w14:textId="4CD59831" w:rsidR="00727FCA" w:rsidRPr="00661869" w:rsidRDefault="00C14ACE" w:rsidP="00661869">
            <w:pPr>
              <w:pStyle w:val="BodyText3"/>
              <w:tabs>
                <w:tab w:val="left" w:pos="1080"/>
              </w:tabs>
              <w:spacing w:after="0"/>
              <w:rPr>
                <w:rFonts w:ascii="Arial" w:hAnsi="Arial" w:cs="Arial"/>
                <w:bCs/>
                <w:lang w:val="en-IN"/>
              </w:rPr>
            </w:pPr>
            <w:r>
              <w:rPr>
                <w:rFonts w:ascii="Arial" w:hAnsi="Arial" w:cs="Arial"/>
                <w:bCs/>
                <w:lang w:val="en-IN"/>
              </w:rPr>
              <w:t>18.70</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A15AA59" w14:textId="3ECB4ACE" w:rsidR="00727FCA" w:rsidRPr="00661869" w:rsidRDefault="00C14ACE" w:rsidP="00661869">
            <w:pPr>
              <w:pStyle w:val="BodyText3"/>
              <w:tabs>
                <w:tab w:val="left" w:pos="1080"/>
              </w:tabs>
              <w:spacing w:after="0"/>
              <w:ind w:left="1080" w:hanging="1080"/>
              <w:rPr>
                <w:rFonts w:ascii="Arial" w:hAnsi="Arial" w:cs="Arial"/>
                <w:bCs/>
                <w:lang w:val="en-IN"/>
              </w:rPr>
            </w:pPr>
            <w:r>
              <w:rPr>
                <w:rFonts w:ascii="Arial" w:hAnsi="Arial" w:cs="Arial"/>
                <w:bCs/>
                <w:lang w:val="en-IN"/>
              </w:rPr>
              <w:t>7.68</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3C34F46B" w14:textId="7F7E0EC1" w:rsidR="00727FCA" w:rsidRPr="00661869" w:rsidRDefault="005A3E4E" w:rsidP="00661869">
            <w:pPr>
              <w:pStyle w:val="BodyText3"/>
              <w:tabs>
                <w:tab w:val="left" w:pos="1080"/>
              </w:tabs>
              <w:spacing w:after="0"/>
              <w:ind w:left="1080" w:hanging="1080"/>
              <w:rPr>
                <w:rFonts w:ascii="Arial" w:hAnsi="Arial" w:cs="Arial"/>
                <w:bCs/>
                <w:lang w:val="en-IN"/>
              </w:rPr>
            </w:pPr>
            <w:r>
              <w:rPr>
                <w:rFonts w:ascii="Arial" w:hAnsi="Arial" w:cs="Arial"/>
                <w:bCs/>
                <w:lang w:val="en-IN"/>
              </w:rPr>
              <w:t xml:space="preserve"> </w:t>
            </w:r>
            <w:r w:rsidR="00C14ACE">
              <w:rPr>
                <w:rFonts w:ascii="Arial" w:hAnsi="Arial" w:cs="Arial"/>
                <w:bCs/>
                <w:lang w:val="en-IN"/>
              </w:rPr>
              <w:t>6.</w:t>
            </w:r>
            <w:r>
              <w:rPr>
                <w:rFonts w:ascii="Arial" w:hAnsi="Arial" w:cs="Arial"/>
                <w:bCs/>
                <w:lang w:val="en-IN"/>
              </w:rPr>
              <w:t>30</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6918FC6" w14:textId="56406561" w:rsidR="00727FCA" w:rsidRPr="00661869" w:rsidRDefault="005A3E4E" w:rsidP="00661869">
            <w:pPr>
              <w:pStyle w:val="BodyText3"/>
              <w:tabs>
                <w:tab w:val="left" w:pos="1080"/>
              </w:tabs>
              <w:spacing w:after="0"/>
              <w:ind w:left="1080" w:hanging="1080"/>
              <w:rPr>
                <w:rFonts w:ascii="Arial" w:hAnsi="Arial" w:cs="Arial"/>
                <w:bCs/>
                <w:lang w:val="en-IN"/>
              </w:rPr>
            </w:pPr>
            <w:r>
              <w:rPr>
                <w:rFonts w:ascii="Arial" w:hAnsi="Arial" w:cs="Arial"/>
                <w:bCs/>
                <w:lang w:val="en-IN"/>
              </w:rPr>
              <w:t>21.93</w:t>
            </w:r>
          </w:p>
        </w:tc>
      </w:tr>
      <w:tr w:rsidR="00727FCA" w:rsidRPr="00661869" w14:paraId="275BBE27"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5CF36E7" w14:textId="57F1AD7D" w:rsidR="00727FCA" w:rsidRPr="00661869" w:rsidRDefault="00727FCA" w:rsidP="00661869">
            <w:pPr>
              <w:pStyle w:val="BodyText3"/>
              <w:tabs>
                <w:tab w:val="left" w:pos="1080"/>
              </w:tabs>
              <w:spacing w:after="0"/>
              <w:ind w:left="1080" w:hanging="1080"/>
              <w:rPr>
                <w:rFonts w:ascii="Arial" w:hAnsi="Arial" w:cs="Arial"/>
                <w:b/>
                <w:lang w:val="en-IN"/>
              </w:rPr>
            </w:pPr>
            <w:r w:rsidRPr="00661869">
              <w:rPr>
                <w:rFonts w:ascii="Arial" w:hAnsi="Arial" w:cs="Arial"/>
                <w:b/>
                <w:lang w:val="en-IN"/>
              </w:rPr>
              <w:t>S.E.</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97A06C6" w14:textId="2208FE1F" w:rsidR="00727FCA" w:rsidRPr="00661869" w:rsidRDefault="005A3E4E" w:rsidP="00661869">
            <w:pPr>
              <w:pStyle w:val="BodyText3"/>
              <w:tabs>
                <w:tab w:val="left" w:pos="1080"/>
              </w:tabs>
              <w:spacing w:after="0"/>
              <w:ind w:left="1080" w:hanging="1080"/>
              <w:rPr>
                <w:rFonts w:ascii="Arial" w:hAnsi="Arial" w:cs="Arial"/>
                <w:bCs/>
                <w:lang w:val="en-IN"/>
              </w:rPr>
            </w:pPr>
            <w:r>
              <w:rPr>
                <w:rFonts w:ascii="Arial" w:hAnsi="Arial" w:cs="Arial"/>
                <w:bCs/>
                <w:lang w:val="en-IN"/>
              </w:rPr>
              <w:t xml:space="preserve"> </w:t>
            </w:r>
            <w:r w:rsidR="00661869">
              <w:rPr>
                <w:rFonts w:ascii="Arial" w:hAnsi="Arial" w:cs="Arial"/>
                <w:bCs/>
                <w:lang w:val="en-IN"/>
              </w:rPr>
              <w:t>0.38</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79629F03" w14:textId="079028D0" w:rsidR="00727FCA" w:rsidRPr="00661869" w:rsidRDefault="000C0B61" w:rsidP="00661869">
            <w:pPr>
              <w:pStyle w:val="BodyText3"/>
              <w:tabs>
                <w:tab w:val="left" w:pos="1080"/>
              </w:tabs>
              <w:spacing w:after="0"/>
              <w:ind w:left="1080" w:hanging="1080"/>
              <w:rPr>
                <w:rFonts w:ascii="Arial" w:hAnsi="Arial" w:cs="Arial"/>
                <w:bCs/>
                <w:lang w:val="en-IN"/>
              </w:rPr>
            </w:pPr>
            <w:r w:rsidRPr="00661869">
              <w:rPr>
                <w:rFonts w:ascii="Arial" w:hAnsi="Arial" w:cs="Arial"/>
                <w:bCs/>
                <w:lang w:val="en-IN"/>
              </w:rPr>
              <w:t>0.29</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577B220F" w14:textId="74816DB7" w:rsidR="00727FCA" w:rsidRPr="00661869" w:rsidRDefault="005A3E4E" w:rsidP="00661869">
            <w:pPr>
              <w:pStyle w:val="BodyText3"/>
              <w:tabs>
                <w:tab w:val="left" w:pos="1080"/>
              </w:tabs>
              <w:spacing w:after="0"/>
              <w:ind w:left="1080" w:hanging="1080"/>
              <w:rPr>
                <w:rFonts w:ascii="Arial" w:hAnsi="Arial" w:cs="Arial"/>
                <w:bCs/>
                <w:lang w:val="en-IN"/>
              </w:rPr>
            </w:pPr>
            <w:r>
              <w:rPr>
                <w:rFonts w:ascii="Arial" w:hAnsi="Arial" w:cs="Arial"/>
                <w:bCs/>
                <w:lang w:val="en-IN"/>
              </w:rPr>
              <w:t xml:space="preserve"> </w:t>
            </w:r>
            <w:r w:rsidR="000C0B61" w:rsidRPr="00661869">
              <w:rPr>
                <w:rFonts w:ascii="Arial" w:hAnsi="Arial" w:cs="Arial"/>
                <w:bCs/>
                <w:lang w:val="en-IN"/>
              </w:rPr>
              <w:t>0.16</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29D68FEA" w14:textId="5FA25E9D" w:rsidR="00727FCA" w:rsidRPr="00661869" w:rsidRDefault="000C0B61" w:rsidP="00661869">
            <w:pPr>
              <w:pStyle w:val="BodyText3"/>
              <w:tabs>
                <w:tab w:val="left" w:pos="1080"/>
              </w:tabs>
              <w:spacing w:after="0"/>
              <w:ind w:left="1080" w:hanging="1080"/>
              <w:rPr>
                <w:rFonts w:ascii="Arial" w:hAnsi="Arial" w:cs="Arial"/>
                <w:bCs/>
                <w:lang w:val="en-IN"/>
              </w:rPr>
            </w:pPr>
            <w:r w:rsidRPr="00661869">
              <w:rPr>
                <w:rFonts w:ascii="Arial" w:hAnsi="Arial" w:cs="Arial"/>
                <w:bCs/>
                <w:lang w:val="en-IN"/>
              </w:rPr>
              <w:t>0.01</w:t>
            </w:r>
          </w:p>
        </w:tc>
      </w:tr>
      <w:tr w:rsidR="00727FCA" w:rsidRPr="00661869" w14:paraId="6C1D8F9A" w14:textId="77777777" w:rsidTr="00301BD9">
        <w:trPr>
          <w:trHeight w:val="184"/>
        </w:trPr>
        <w:tc>
          <w:tcPr>
            <w:tcW w:w="1647"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4BD5ECE8" w14:textId="74072F69" w:rsidR="00727FCA" w:rsidRPr="00661869" w:rsidRDefault="00727FCA" w:rsidP="00661869">
            <w:pPr>
              <w:pStyle w:val="BodyText3"/>
              <w:tabs>
                <w:tab w:val="left" w:pos="1080"/>
              </w:tabs>
              <w:spacing w:after="0"/>
              <w:ind w:left="1080" w:hanging="1080"/>
              <w:rPr>
                <w:rFonts w:ascii="Arial" w:hAnsi="Arial" w:cs="Arial"/>
                <w:b/>
                <w:lang w:val="en-IN"/>
              </w:rPr>
            </w:pPr>
            <w:r w:rsidRPr="00661869">
              <w:rPr>
                <w:rFonts w:ascii="Arial" w:hAnsi="Arial" w:cs="Arial"/>
                <w:b/>
                <w:lang w:val="en-IN"/>
              </w:rPr>
              <w:t>CD</w:t>
            </w:r>
            <w:r w:rsidRPr="00661869">
              <w:rPr>
                <w:rFonts w:ascii="Arial" w:hAnsi="Arial" w:cs="Arial"/>
                <w:b/>
                <w:vertAlign w:val="subscript"/>
                <w:lang w:val="en-IN"/>
              </w:rPr>
              <w:t>0.05</w:t>
            </w:r>
          </w:p>
        </w:tc>
        <w:tc>
          <w:tcPr>
            <w:tcW w:w="706"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68EE55C6" w14:textId="4E09B66A" w:rsidR="00727FCA" w:rsidRPr="00661869" w:rsidRDefault="005A3E4E" w:rsidP="00661869">
            <w:pPr>
              <w:pStyle w:val="BodyText3"/>
              <w:tabs>
                <w:tab w:val="left" w:pos="1080"/>
              </w:tabs>
              <w:spacing w:after="0"/>
              <w:ind w:left="1080" w:hanging="1080"/>
              <w:rPr>
                <w:rFonts w:ascii="Arial" w:hAnsi="Arial" w:cs="Arial"/>
                <w:bCs/>
                <w:lang w:val="en-IN"/>
              </w:rPr>
            </w:pPr>
            <w:r>
              <w:rPr>
                <w:rFonts w:ascii="Arial" w:hAnsi="Arial" w:cs="Arial"/>
                <w:bCs/>
                <w:lang w:val="en-IN"/>
              </w:rPr>
              <w:t xml:space="preserve"> </w:t>
            </w:r>
            <w:r w:rsidR="00C14ACE">
              <w:rPr>
                <w:rFonts w:ascii="Arial" w:hAnsi="Arial" w:cs="Arial"/>
                <w:bCs/>
                <w:lang w:val="en-IN"/>
              </w:rPr>
              <w:t>1.07</w:t>
            </w:r>
          </w:p>
        </w:tc>
        <w:tc>
          <w:tcPr>
            <w:tcW w:w="82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A5D7070" w14:textId="3F764E4F" w:rsidR="00727FCA" w:rsidRPr="00661869" w:rsidRDefault="00C14ACE" w:rsidP="00661869">
            <w:pPr>
              <w:pStyle w:val="BodyText3"/>
              <w:tabs>
                <w:tab w:val="left" w:pos="1080"/>
              </w:tabs>
              <w:spacing w:after="0"/>
              <w:ind w:left="1080" w:hanging="1080"/>
              <w:rPr>
                <w:rFonts w:ascii="Arial" w:hAnsi="Arial" w:cs="Arial"/>
                <w:bCs/>
                <w:lang w:val="en-IN"/>
              </w:rPr>
            </w:pPr>
            <w:r>
              <w:rPr>
                <w:rFonts w:ascii="Arial" w:hAnsi="Arial" w:cs="Arial"/>
                <w:bCs/>
                <w:lang w:val="en-IN"/>
              </w:rPr>
              <w:t>0.82</w:t>
            </w:r>
          </w:p>
        </w:tc>
        <w:tc>
          <w:tcPr>
            <w:tcW w:w="751"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0DAF348F" w14:textId="245AFD5E" w:rsidR="00727FCA" w:rsidRPr="00661869" w:rsidRDefault="005A3E4E" w:rsidP="00661869">
            <w:pPr>
              <w:pStyle w:val="BodyText3"/>
              <w:tabs>
                <w:tab w:val="left" w:pos="1080"/>
              </w:tabs>
              <w:spacing w:after="0"/>
              <w:ind w:left="1080" w:hanging="1080"/>
              <w:rPr>
                <w:rFonts w:ascii="Arial" w:hAnsi="Arial" w:cs="Arial"/>
                <w:bCs/>
                <w:lang w:val="en-IN"/>
              </w:rPr>
            </w:pPr>
            <w:r>
              <w:rPr>
                <w:rFonts w:ascii="Arial" w:hAnsi="Arial" w:cs="Arial"/>
                <w:bCs/>
                <w:lang w:val="en-IN"/>
              </w:rPr>
              <w:t xml:space="preserve"> </w:t>
            </w:r>
            <w:r w:rsidR="00C14ACE">
              <w:rPr>
                <w:rFonts w:ascii="Arial" w:hAnsi="Arial" w:cs="Arial"/>
                <w:bCs/>
                <w:lang w:val="en-IN"/>
              </w:rPr>
              <w:t>0.45</w:t>
            </w:r>
          </w:p>
        </w:tc>
        <w:tc>
          <w:tcPr>
            <w:tcW w:w="1073" w:type="pct"/>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tcPr>
          <w:p w14:paraId="15800A73" w14:textId="0FE99430" w:rsidR="00727FCA" w:rsidRPr="00661869" w:rsidRDefault="00C14ACE" w:rsidP="00661869">
            <w:pPr>
              <w:pStyle w:val="BodyText3"/>
              <w:tabs>
                <w:tab w:val="left" w:pos="1080"/>
              </w:tabs>
              <w:spacing w:after="0"/>
              <w:ind w:left="1080" w:hanging="1080"/>
              <w:rPr>
                <w:rFonts w:ascii="Arial" w:hAnsi="Arial" w:cs="Arial"/>
                <w:bCs/>
                <w:lang w:val="en-IN"/>
              </w:rPr>
            </w:pPr>
            <w:r>
              <w:rPr>
                <w:rFonts w:ascii="Arial" w:hAnsi="Arial" w:cs="Arial"/>
                <w:bCs/>
                <w:lang w:val="en-IN"/>
              </w:rPr>
              <w:t>0.03</w:t>
            </w:r>
          </w:p>
        </w:tc>
      </w:tr>
    </w:tbl>
    <w:p w14:paraId="0CB2D66E" w14:textId="77777777" w:rsidR="00626433" w:rsidRPr="006672F5" w:rsidRDefault="00626433" w:rsidP="004E406B">
      <w:pPr>
        <w:pStyle w:val="ReferHead"/>
        <w:spacing w:after="0"/>
        <w:jc w:val="both"/>
        <w:rPr>
          <w:rFonts w:ascii="Arial" w:hAnsi="Arial" w:cs="Arial"/>
          <w:b w:val="0"/>
          <w:caps w:val="0"/>
          <w:sz w:val="20"/>
          <w:u w:val="single"/>
        </w:rPr>
      </w:pPr>
    </w:p>
    <w:p w14:paraId="4A77E584" w14:textId="77777777" w:rsidR="004E406B" w:rsidRPr="006672F5" w:rsidRDefault="004E406B" w:rsidP="004E406B">
      <w:pPr>
        <w:pStyle w:val="ReferHead"/>
        <w:spacing w:after="0"/>
        <w:jc w:val="both"/>
        <w:rPr>
          <w:rFonts w:ascii="Arial" w:hAnsi="Arial" w:cs="Arial"/>
        </w:rPr>
      </w:pPr>
    </w:p>
    <w:p w14:paraId="58DC26C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C5371AA" w14:textId="77777777" w:rsidR="004E406B" w:rsidRDefault="004E406B" w:rsidP="00441B6F">
      <w:pPr>
        <w:pStyle w:val="ReferHead"/>
        <w:spacing w:after="0"/>
        <w:jc w:val="both"/>
        <w:rPr>
          <w:rFonts w:ascii="Arial" w:hAnsi="Arial" w:cs="Arial"/>
        </w:rPr>
      </w:pPr>
    </w:p>
    <w:p w14:paraId="1E66C5A7" w14:textId="77777777" w:rsidR="004E406B" w:rsidRPr="006672F5" w:rsidRDefault="004E406B" w:rsidP="004E406B">
      <w:pPr>
        <w:ind w:left="720" w:hanging="720"/>
        <w:jc w:val="both"/>
        <w:rPr>
          <w:rFonts w:ascii="Arial" w:hAnsi="Arial" w:cs="Arial"/>
          <w:lang w:eastAsia="zh-CN"/>
        </w:rPr>
      </w:pPr>
      <w:r w:rsidRPr="006672F5">
        <w:rPr>
          <w:rFonts w:ascii="Arial" w:hAnsi="Arial" w:cs="Arial"/>
          <w:lang w:eastAsia="zh-CN"/>
        </w:rPr>
        <w:t>El-Saady, A. M., El-</w:t>
      </w:r>
      <w:proofErr w:type="spellStart"/>
      <w:r w:rsidRPr="006672F5">
        <w:rPr>
          <w:rFonts w:ascii="Arial" w:hAnsi="Arial" w:cs="Arial"/>
          <w:lang w:eastAsia="zh-CN"/>
        </w:rPr>
        <w:t>Fouly</w:t>
      </w:r>
      <w:proofErr w:type="spellEnd"/>
      <w:r w:rsidRPr="006672F5">
        <w:rPr>
          <w:rFonts w:ascii="Arial" w:hAnsi="Arial" w:cs="Arial"/>
          <w:lang w:eastAsia="zh-CN"/>
        </w:rPr>
        <w:t>, M. M., &amp; El-Nour, E. A. A. A. (2014). Soil testing as a base for modifying fertilizer recommendations of groundnut. International Journal of Agriscience, 4, 313-320.</w:t>
      </w:r>
    </w:p>
    <w:p w14:paraId="67B963B8" w14:textId="77777777" w:rsidR="004E406B" w:rsidRPr="006672F5" w:rsidRDefault="004E406B" w:rsidP="004E406B">
      <w:pPr>
        <w:ind w:left="720" w:hanging="720"/>
        <w:jc w:val="both"/>
        <w:rPr>
          <w:rFonts w:ascii="Arial" w:hAnsi="Arial" w:cs="Arial"/>
          <w:lang w:eastAsia="zh-CN"/>
        </w:rPr>
      </w:pPr>
      <w:r w:rsidRPr="006672F5">
        <w:rPr>
          <w:rFonts w:ascii="Arial" w:hAnsi="Arial" w:cs="Arial"/>
          <w:lang w:eastAsia="zh-CN"/>
        </w:rPr>
        <w:lastRenderedPageBreak/>
        <w:t>Jain, S., Singh, P. B. &amp; Sharma, P. P. (2016). Correlation and path analysis in groundnut. International Journal of Current Research, 8(8), 35811-35813.</w:t>
      </w:r>
    </w:p>
    <w:p w14:paraId="4E3371B2" w14:textId="77777777" w:rsidR="004E406B" w:rsidRDefault="004E406B" w:rsidP="004E406B">
      <w:pPr>
        <w:ind w:left="720" w:hanging="720"/>
        <w:jc w:val="both"/>
        <w:rPr>
          <w:rFonts w:ascii="Arial" w:hAnsi="Arial" w:cs="Arial"/>
          <w:lang w:eastAsia="zh-CN"/>
        </w:rPr>
      </w:pPr>
      <w:r w:rsidRPr="006672F5">
        <w:rPr>
          <w:rFonts w:ascii="Arial" w:hAnsi="Arial" w:cs="Arial"/>
          <w:lang w:eastAsia="zh-CN"/>
        </w:rPr>
        <w:t>Johonson, H. W., Robinson, H. F., &amp; Comostock, R. E. (1955). Estimates of Genetics and Environmental Variability in Soybeans. Agronomy Journal, </w:t>
      </w:r>
      <w:r w:rsidRPr="006672F5">
        <w:rPr>
          <w:rFonts w:ascii="Arial" w:hAnsi="Arial" w:cs="Arial"/>
          <w:i/>
          <w:iCs/>
          <w:lang w:eastAsia="zh-CN"/>
        </w:rPr>
        <w:t>47</w:t>
      </w:r>
      <w:r w:rsidRPr="006672F5">
        <w:rPr>
          <w:rFonts w:ascii="Arial" w:hAnsi="Arial" w:cs="Arial"/>
          <w:lang w:eastAsia="zh-CN"/>
        </w:rPr>
        <w:t>(7), 314-318.</w:t>
      </w:r>
    </w:p>
    <w:p w14:paraId="2E096051" w14:textId="55AEEB0A" w:rsidR="002D45C5" w:rsidRPr="006672F5" w:rsidRDefault="002D45C5" w:rsidP="002D45C5">
      <w:pPr>
        <w:ind w:left="720" w:hanging="720"/>
        <w:jc w:val="both"/>
        <w:rPr>
          <w:rFonts w:ascii="Arial" w:hAnsi="Arial" w:cs="Arial"/>
        </w:rPr>
      </w:pPr>
      <w:r w:rsidRPr="006672F5">
        <w:rPr>
          <w:rFonts w:ascii="Arial" w:hAnsi="Arial" w:cs="Arial"/>
        </w:rPr>
        <w:t>Nwokolo, E. (1996). Peanut (</w:t>
      </w:r>
      <w:r w:rsidRPr="006672F5">
        <w:rPr>
          <w:rFonts w:ascii="Arial" w:hAnsi="Arial" w:cs="Arial"/>
          <w:i/>
          <w:iCs/>
        </w:rPr>
        <w:t>Arachis hypogaea</w:t>
      </w:r>
      <w:r w:rsidRPr="006672F5">
        <w:rPr>
          <w:rFonts w:ascii="Arial" w:hAnsi="Arial" w:cs="Arial"/>
        </w:rPr>
        <w:t xml:space="preserve"> L.). In E. Nwokolo &amp; J. Smartt (Eds.), Food and feed from legumes and oilseeds (pp. 49–63). Boston, MA: Springer US.</w:t>
      </w:r>
    </w:p>
    <w:p w14:paraId="269D8A10" w14:textId="77777777" w:rsidR="004E406B" w:rsidRPr="006672F5" w:rsidRDefault="004E406B" w:rsidP="004E406B">
      <w:pPr>
        <w:ind w:left="720" w:hanging="720"/>
        <w:jc w:val="both"/>
        <w:rPr>
          <w:rFonts w:ascii="Arial" w:hAnsi="Arial" w:cs="Arial"/>
        </w:rPr>
      </w:pPr>
      <w:r w:rsidRPr="006672F5">
        <w:rPr>
          <w:rFonts w:ascii="Arial" w:hAnsi="Arial" w:cs="Arial"/>
        </w:rPr>
        <w:t>Higgins, B. B. (1951). Origin and early history of the peanut. In The peanut: The unpredictable legume (pp. 118–127). Washington, DC: The National Fertilizer Association.</w:t>
      </w:r>
    </w:p>
    <w:p w14:paraId="52DDAC61" w14:textId="77777777" w:rsidR="004E406B" w:rsidRPr="006672F5" w:rsidRDefault="004E406B" w:rsidP="004E406B">
      <w:pPr>
        <w:ind w:left="720" w:hanging="720"/>
        <w:jc w:val="both"/>
        <w:rPr>
          <w:rFonts w:ascii="Arial" w:hAnsi="Arial" w:cs="Arial"/>
        </w:rPr>
      </w:pPr>
      <w:r w:rsidRPr="006672F5">
        <w:rPr>
          <w:rFonts w:ascii="Arial" w:hAnsi="Arial" w:cs="Arial"/>
        </w:rPr>
        <w:t>Pramanik, A., Tiwari, S., Tomar, R. S., Tripathi, M. K.  &amp; Singh, A. K.  (2019).    Molecular characterization of groundnut (</w:t>
      </w:r>
      <w:r w:rsidRPr="006672F5">
        <w:rPr>
          <w:rFonts w:ascii="Arial" w:hAnsi="Arial" w:cs="Arial"/>
          <w:i/>
          <w:iCs/>
        </w:rPr>
        <w:t>Arachis hypogaea</w:t>
      </w:r>
      <w:r w:rsidRPr="006672F5">
        <w:rPr>
          <w:rFonts w:ascii="Arial" w:hAnsi="Arial" w:cs="Arial"/>
        </w:rPr>
        <w:t xml:space="preserve"> L.) germplasm lines and varietal set for yield and yield attributing traits. Indian Journal of Genetics and Plant Breeding, 79 (01), 56-65.</w:t>
      </w:r>
    </w:p>
    <w:p w14:paraId="1D2AF9AE" w14:textId="77777777" w:rsidR="004E406B" w:rsidRPr="006672F5" w:rsidRDefault="004E406B" w:rsidP="004E406B">
      <w:pPr>
        <w:ind w:left="720" w:hanging="720"/>
        <w:jc w:val="both"/>
        <w:rPr>
          <w:rFonts w:ascii="Arial" w:eastAsia="Calibri" w:hAnsi="Arial" w:cs="Arial"/>
          <w:kern w:val="3"/>
        </w:rPr>
      </w:pPr>
      <w:r w:rsidRPr="006672F5">
        <w:rPr>
          <w:rFonts w:ascii="Arial" w:eastAsia="Calibri" w:hAnsi="Arial" w:cs="Arial"/>
          <w:kern w:val="3"/>
        </w:rPr>
        <w:t>Tomar, Y. S., Tiwari, S., Tripathi, M. K. &amp;   Singh, R. (2022). Genetic diversity assessment and cluster analysis of morphological yield attributing traits of groundnut (</w:t>
      </w:r>
      <w:r w:rsidRPr="006672F5">
        <w:rPr>
          <w:rFonts w:ascii="Arial" w:eastAsia="Calibri" w:hAnsi="Arial" w:cs="Arial"/>
          <w:i/>
          <w:iCs/>
          <w:kern w:val="3"/>
        </w:rPr>
        <w:t>Arachis hypogaea</w:t>
      </w:r>
      <w:r w:rsidRPr="006672F5">
        <w:rPr>
          <w:rFonts w:ascii="Arial" w:eastAsia="Calibri" w:hAnsi="Arial" w:cs="Arial"/>
          <w:kern w:val="3"/>
        </w:rPr>
        <w:t xml:space="preserve"> L.). The Pharma Innovation, 11(6), 1444-1450. </w:t>
      </w:r>
    </w:p>
    <w:p w14:paraId="14B94608" w14:textId="5E892292" w:rsidR="004E406B" w:rsidRDefault="004E406B" w:rsidP="004E406B">
      <w:pPr>
        <w:ind w:left="720" w:hanging="720"/>
        <w:jc w:val="both"/>
      </w:pPr>
      <w:r w:rsidRPr="006672F5">
        <w:rPr>
          <w:rFonts w:ascii="Arial" w:eastAsia="Calibri" w:hAnsi="Arial" w:cs="Arial"/>
          <w:kern w:val="3"/>
        </w:rPr>
        <w:t xml:space="preserve">Sharma, N., Tiwari, S., Tripathi, M. K., Gupta, N., Singh, S. &amp; Sikarwar, R. S.  (2023). Selection of groundnut germplasm lines based on yield, nutritional, antinutritional </w:t>
      </w:r>
      <w:r w:rsidRPr="006672F5">
        <w:rPr>
          <w:rFonts w:ascii="Arial" w:hAnsi="Arial" w:cs="Arial"/>
        </w:rPr>
        <w:t>and antioxidant parameters. Scientist</w:t>
      </w:r>
      <w:r w:rsidR="00584114">
        <w:rPr>
          <w:rFonts w:ascii="Arial" w:hAnsi="Arial" w:cs="Arial"/>
        </w:rPr>
        <w:t>,</w:t>
      </w:r>
      <w:r w:rsidRPr="006672F5">
        <w:rPr>
          <w:rFonts w:ascii="Arial" w:hAnsi="Arial" w:cs="Arial"/>
        </w:rPr>
        <w:t xml:space="preserve"> 2(1), 96-105. DOI:  </w:t>
      </w:r>
      <w:hyperlink r:id="rId14" w:history="1">
        <w:r w:rsidRPr="006672F5">
          <w:rPr>
            <w:rStyle w:val="Hyperlink"/>
            <w:rFonts w:ascii="Arial" w:hAnsi="Arial" w:cs="Arial"/>
            <w:color w:val="auto"/>
            <w:u w:val="none"/>
          </w:rPr>
          <w:t>https://doi.org/10.5281/zenodo. 7536324</w:t>
        </w:r>
      </w:hyperlink>
    </w:p>
    <w:p w14:paraId="18046AE6" w14:textId="35223E41" w:rsidR="002D45C5" w:rsidRPr="00C511DF" w:rsidRDefault="002D45C5" w:rsidP="002D45C5">
      <w:pPr>
        <w:ind w:left="720" w:hanging="720"/>
        <w:jc w:val="both"/>
        <w:rPr>
          <w:rFonts w:ascii="Arial" w:hAnsi="Arial" w:cs="Arial"/>
        </w:rPr>
      </w:pPr>
      <w:r w:rsidRPr="00C511DF">
        <w:rPr>
          <w:rFonts w:ascii="Arial" w:eastAsia="NSimSun" w:hAnsi="Arial" w:cs="Arial"/>
          <w:kern w:val="3"/>
          <w:lang w:eastAsia="zh-CN"/>
        </w:rPr>
        <w:t>Ingale, S. &amp; Shrivastava, S. K. (2011). Nutritional study of new variety of groundnut (</w:t>
      </w:r>
      <w:r w:rsidRPr="00C511DF">
        <w:rPr>
          <w:rFonts w:ascii="Arial" w:eastAsia="NSimSun" w:hAnsi="Arial" w:cs="Arial"/>
          <w:i/>
          <w:iCs/>
          <w:kern w:val="3"/>
          <w:lang w:eastAsia="zh-CN"/>
        </w:rPr>
        <w:t xml:space="preserve">Arachis hypogaea </w:t>
      </w:r>
      <w:r w:rsidRPr="00C511DF">
        <w:rPr>
          <w:rFonts w:ascii="Arial" w:eastAsia="NSimSun" w:hAnsi="Arial" w:cs="Arial"/>
          <w:kern w:val="3"/>
          <w:lang w:eastAsia="zh-CN"/>
        </w:rPr>
        <w:t>L.) JL-24 seeds. African Journal of Food Science. 5(8), 490 – 498.</w:t>
      </w:r>
    </w:p>
    <w:p w14:paraId="345EA65C" w14:textId="2CCF1746" w:rsidR="00584114" w:rsidRPr="00584114" w:rsidRDefault="00584114" w:rsidP="002D45C5">
      <w:pPr>
        <w:ind w:left="720" w:hanging="720"/>
        <w:jc w:val="both"/>
        <w:rPr>
          <w:rFonts w:ascii="Arial" w:eastAsia="NSimSun" w:hAnsi="Arial" w:cs="Arial"/>
          <w:kern w:val="3"/>
          <w:lang w:eastAsia="zh-CN"/>
        </w:rPr>
      </w:pPr>
      <w:proofErr w:type="spellStart"/>
      <w:r w:rsidRPr="00584114">
        <w:rPr>
          <w:rFonts w:ascii="Arial" w:eastAsia="NSimSun" w:hAnsi="Arial" w:cs="Arial"/>
          <w:kern w:val="3"/>
          <w:lang w:eastAsia="zh-CN"/>
        </w:rPr>
        <w:t>Muniappan</w:t>
      </w:r>
      <w:proofErr w:type="spellEnd"/>
      <w:r w:rsidRPr="00584114">
        <w:rPr>
          <w:rFonts w:ascii="Arial" w:eastAsia="NSimSun" w:hAnsi="Arial" w:cs="Arial"/>
          <w:kern w:val="3"/>
          <w:lang w:eastAsia="zh-CN"/>
        </w:rPr>
        <w:t>, V., Palanivel, S., Parvathi, S., Viswanathan, M. B., &amp; Rajesh, R. (2016). Analysis of Seed Proteins in Groundnut Cultivars (</w:t>
      </w:r>
      <w:r w:rsidRPr="00584114">
        <w:rPr>
          <w:rFonts w:ascii="Arial" w:eastAsia="NSimSun" w:hAnsi="Arial" w:cs="Arial"/>
          <w:i/>
          <w:iCs/>
          <w:kern w:val="3"/>
          <w:lang w:eastAsia="zh-CN"/>
        </w:rPr>
        <w:t>Arachis hypogaea</w:t>
      </w:r>
      <w:r w:rsidRPr="00584114">
        <w:rPr>
          <w:rFonts w:ascii="Arial" w:eastAsia="NSimSun" w:hAnsi="Arial" w:cs="Arial"/>
          <w:kern w:val="3"/>
          <w:lang w:eastAsia="zh-CN"/>
        </w:rPr>
        <w:t xml:space="preserve"> L.). International Journal of Engineering Research and Applications, 6(7), 06-10.</w:t>
      </w:r>
    </w:p>
    <w:p w14:paraId="1FA4E962" w14:textId="77777777" w:rsidR="00334159" w:rsidRPr="00BB13E6" w:rsidRDefault="00334159" w:rsidP="002D45C5">
      <w:pPr>
        <w:ind w:left="720" w:hanging="720"/>
        <w:jc w:val="both"/>
        <w:rPr>
          <w:rFonts w:ascii="Arial" w:eastAsia="NSimSun" w:hAnsi="Arial" w:cs="Arial"/>
          <w:kern w:val="3"/>
          <w:lang w:eastAsia="zh-CN"/>
        </w:rPr>
      </w:pPr>
      <w:r w:rsidRPr="00BB13E6">
        <w:rPr>
          <w:rFonts w:ascii="Arial" w:eastAsia="NSimSun" w:hAnsi="Arial" w:cs="Arial"/>
          <w:kern w:val="3"/>
          <w:lang w:eastAsia="zh-CN"/>
        </w:rPr>
        <w:t xml:space="preserve">Shinde, S. S., </w:t>
      </w:r>
      <w:proofErr w:type="spellStart"/>
      <w:r w:rsidRPr="00BB13E6">
        <w:rPr>
          <w:rFonts w:ascii="Arial" w:eastAsia="NSimSun" w:hAnsi="Arial" w:cs="Arial"/>
          <w:kern w:val="3"/>
          <w:lang w:eastAsia="zh-CN"/>
        </w:rPr>
        <w:t>Kachare</w:t>
      </w:r>
      <w:proofErr w:type="spellEnd"/>
      <w:r w:rsidRPr="00BB13E6">
        <w:rPr>
          <w:rFonts w:ascii="Arial" w:eastAsia="NSimSun" w:hAnsi="Arial" w:cs="Arial"/>
          <w:kern w:val="3"/>
          <w:lang w:eastAsia="zh-CN"/>
        </w:rPr>
        <w:t>, D. P., Satbhai, R. D., &amp; Naik, R. M. (2018). Water stress induced proline accumulation and antioxidative enzymes in groundnut (</w:t>
      </w:r>
      <w:r w:rsidRPr="00BB13E6">
        <w:rPr>
          <w:rFonts w:ascii="Arial" w:eastAsia="NSimSun" w:hAnsi="Arial" w:cs="Arial"/>
          <w:i/>
          <w:iCs/>
          <w:kern w:val="3"/>
          <w:lang w:eastAsia="zh-CN"/>
        </w:rPr>
        <w:t>Arachis hypogaea</w:t>
      </w:r>
      <w:r w:rsidRPr="00BB13E6">
        <w:rPr>
          <w:rFonts w:ascii="Arial" w:eastAsia="NSimSun" w:hAnsi="Arial" w:cs="Arial"/>
          <w:kern w:val="3"/>
          <w:lang w:eastAsia="zh-CN"/>
        </w:rPr>
        <w:t xml:space="preserve"> L.). Legume Research-An International Journal, 41(1), 67-72.</w:t>
      </w:r>
    </w:p>
    <w:p w14:paraId="5ABEC2C3" w14:textId="4EC967EE" w:rsidR="002D45C5" w:rsidRPr="00BB13E6" w:rsidRDefault="002D45C5" w:rsidP="002D45C5">
      <w:pPr>
        <w:ind w:left="720" w:hanging="720"/>
        <w:jc w:val="both"/>
        <w:rPr>
          <w:rFonts w:ascii="Arial" w:hAnsi="Arial" w:cs="Arial"/>
        </w:rPr>
      </w:pPr>
      <w:r w:rsidRPr="00BB13E6">
        <w:rPr>
          <w:rFonts w:ascii="Arial" w:eastAsia="Calibri" w:hAnsi="Arial" w:cs="Arial"/>
          <w:kern w:val="3"/>
        </w:rPr>
        <w:t>Bakayoko, Y., Fofana, I. J., Irie, B. A., &amp; Bamba, B. S. B. (2025). Evaluation of the biochemical and nutritional characteristics of 16 groundnut (</w:t>
      </w:r>
      <w:r w:rsidRPr="00BB13E6">
        <w:rPr>
          <w:rFonts w:ascii="Arial" w:eastAsia="Calibri" w:hAnsi="Arial" w:cs="Arial"/>
          <w:i/>
          <w:iCs/>
          <w:kern w:val="3"/>
        </w:rPr>
        <w:t>Arachis hypogaea</w:t>
      </w:r>
      <w:r w:rsidRPr="00BB13E6">
        <w:rPr>
          <w:rFonts w:ascii="Arial" w:eastAsia="Calibri" w:hAnsi="Arial" w:cs="Arial"/>
          <w:kern w:val="3"/>
        </w:rPr>
        <w:t xml:space="preserve"> L.) accessions in the Poro region of Côte d’Ivoire. European Journal of Agriculture and Food Sciences, 7(4), 15–22. </w:t>
      </w:r>
      <w:hyperlink r:id="rId15" w:history="1">
        <w:r w:rsidRPr="00BB13E6">
          <w:rPr>
            <w:rStyle w:val="Hyperlink"/>
            <w:rFonts w:ascii="Arial" w:eastAsia="Calibri" w:hAnsi="Arial" w:cs="Arial"/>
            <w:color w:val="auto"/>
            <w:kern w:val="3"/>
            <w:u w:val="none"/>
          </w:rPr>
          <w:t>https://doi.org/10.24018/ejfood.2025.7.4.925</w:t>
        </w:r>
      </w:hyperlink>
    </w:p>
    <w:p w14:paraId="516315B1" w14:textId="77777777" w:rsidR="00334159" w:rsidRPr="00BB13E6" w:rsidRDefault="00334159" w:rsidP="002D45C5">
      <w:pPr>
        <w:ind w:left="720" w:hanging="720"/>
        <w:jc w:val="both"/>
        <w:rPr>
          <w:rFonts w:ascii="Arial" w:eastAsia="NSimSun" w:hAnsi="Arial" w:cs="Arial"/>
          <w:kern w:val="3"/>
          <w:lang w:eastAsia="zh-CN"/>
        </w:rPr>
      </w:pPr>
      <w:r w:rsidRPr="00BB13E6">
        <w:rPr>
          <w:rFonts w:ascii="Arial" w:eastAsia="NSimSun" w:hAnsi="Arial" w:cs="Arial"/>
          <w:kern w:val="3"/>
          <w:lang w:eastAsia="zh-CN"/>
        </w:rPr>
        <w:t xml:space="preserve">DuBois, M., Gilles, K. A., Hamilton, J. K., </w:t>
      </w:r>
      <w:proofErr w:type="spellStart"/>
      <w:r w:rsidRPr="00BB13E6">
        <w:rPr>
          <w:rFonts w:ascii="Arial" w:eastAsia="NSimSun" w:hAnsi="Arial" w:cs="Arial"/>
          <w:kern w:val="3"/>
          <w:lang w:eastAsia="zh-CN"/>
        </w:rPr>
        <w:t>Rebers</w:t>
      </w:r>
      <w:proofErr w:type="spellEnd"/>
      <w:r w:rsidRPr="00BB13E6">
        <w:rPr>
          <w:rFonts w:ascii="Arial" w:eastAsia="NSimSun" w:hAnsi="Arial" w:cs="Arial"/>
          <w:kern w:val="3"/>
          <w:lang w:eastAsia="zh-CN"/>
        </w:rPr>
        <w:t>, P. A., &amp; Smith, F. (1956). Colorimetric method for determination of sugars and related substances. Analytical chemistry, 28(3), 350-356.</w:t>
      </w:r>
    </w:p>
    <w:p w14:paraId="75C0D7A3" w14:textId="77777777" w:rsidR="00334159" w:rsidRPr="00BB13E6" w:rsidRDefault="00334159" w:rsidP="002D45C5">
      <w:pPr>
        <w:ind w:left="720" w:hanging="720"/>
        <w:jc w:val="both"/>
        <w:rPr>
          <w:rFonts w:ascii="Arial" w:hAnsi="Arial" w:cs="Arial"/>
        </w:rPr>
      </w:pPr>
      <w:r w:rsidRPr="00BB13E6">
        <w:rPr>
          <w:rFonts w:ascii="Arial" w:hAnsi="Arial" w:cs="Arial"/>
        </w:rPr>
        <w:t>Bates, L. S., Waldren, R. P. A., &amp; Teare, I. D. (1973). Rapid determination of free proline for water-stress studies. Plant and soil, 39(1), 205-207.</w:t>
      </w:r>
    </w:p>
    <w:p w14:paraId="3C31FD7A" w14:textId="08AECF7F" w:rsidR="002D45C5" w:rsidRPr="00BB13E6" w:rsidRDefault="002D45C5" w:rsidP="002D45C5">
      <w:pPr>
        <w:ind w:left="720" w:hanging="720"/>
        <w:jc w:val="both"/>
        <w:rPr>
          <w:rFonts w:ascii="Arial" w:eastAsia="NSimSun" w:hAnsi="Arial" w:cs="Arial"/>
          <w:kern w:val="3"/>
          <w:lang w:eastAsia="zh-CN"/>
        </w:rPr>
      </w:pPr>
      <w:r w:rsidRPr="00BB13E6">
        <w:rPr>
          <w:rFonts w:ascii="Arial" w:eastAsia="NSimSun" w:hAnsi="Arial" w:cs="Arial"/>
          <w:kern w:val="3"/>
          <w:lang w:eastAsia="zh-CN"/>
        </w:rPr>
        <w:t>Lowry, O. H.</w:t>
      </w:r>
      <w:r w:rsidR="00334159" w:rsidRPr="00BB13E6">
        <w:rPr>
          <w:rFonts w:ascii="Arial" w:eastAsia="NSimSun" w:hAnsi="Arial" w:cs="Arial"/>
          <w:kern w:val="3"/>
          <w:lang w:eastAsia="zh-CN"/>
        </w:rPr>
        <w:t xml:space="preserve">, </w:t>
      </w:r>
      <w:r w:rsidRPr="00BB13E6">
        <w:rPr>
          <w:rFonts w:ascii="Arial" w:eastAsia="NSimSun" w:hAnsi="Arial" w:cs="Arial"/>
          <w:kern w:val="3"/>
          <w:lang w:eastAsia="zh-CN"/>
        </w:rPr>
        <w:t>Rosebrough, N. J.</w:t>
      </w:r>
      <w:r w:rsidR="00334159" w:rsidRPr="00BB13E6">
        <w:rPr>
          <w:rFonts w:ascii="Arial" w:eastAsia="NSimSun" w:hAnsi="Arial" w:cs="Arial"/>
          <w:kern w:val="3"/>
          <w:lang w:eastAsia="zh-CN"/>
        </w:rPr>
        <w:t>,</w:t>
      </w:r>
      <w:r w:rsidRPr="00BB13E6">
        <w:rPr>
          <w:rFonts w:ascii="Arial" w:eastAsia="NSimSun" w:hAnsi="Arial" w:cs="Arial"/>
          <w:kern w:val="3"/>
          <w:lang w:eastAsia="zh-CN"/>
        </w:rPr>
        <w:t xml:space="preserve"> Farr, A. L.</w:t>
      </w:r>
      <w:r w:rsidR="00334159" w:rsidRPr="00BB13E6">
        <w:rPr>
          <w:rFonts w:ascii="Arial" w:eastAsia="NSimSun" w:hAnsi="Arial" w:cs="Arial"/>
          <w:kern w:val="3"/>
          <w:lang w:eastAsia="zh-CN"/>
        </w:rPr>
        <w:t xml:space="preserve"> &amp; </w:t>
      </w:r>
      <w:r w:rsidRPr="00BB13E6">
        <w:rPr>
          <w:rFonts w:ascii="Arial" w:eastAsia="NSimSun" w:hAnsi="Arial" w:cs="Arial"/>
          <w:kern w:val="3"/>
          <w:lang w:eastAsia="zh-CN"/>
        </w:rPr>
        <w:t xml:space="preserve">Randall, R. J. (1951). Protein measurement with the Folin phenol reagent. </w:t>
      </w:r>
      <w:r w:rsidR="00334159" w:rsidRPr="00BB13E6">
        <w:rPr>
          <w:rFonts w:ascii="Arial" w:eastAsia="NSimSun" w:hAnsi="Arial" w:cs="Arial"/>
          <w:kern w:val="3"/>
          <w:lang w:eastAsia="zh-CN"/>
        </w:rPr>
        <w:t xml:space="preserve">Journal of Biological Chemistry, </w:t>
      </w:r>
      <w:r w:rsidRPr="00BB13E6">
        <w:rPr>
          <w:rFonts w:ascii="Arial" w:eastAsia="NSimSun" w:hAnsi="Arial" w:cs="Arial"/>
          <w:kern w:val="3"/>
          <w:lang w:eastAsia="zh-CN"/>
        </w:rPr>
        <w:t>193(1)</w:t>
      </w:r>
      <w:r w:rsidR="00334159" w:rsidRPr="00BB13E6">
        <w:rPr>
          <w:rFonts w:ascii="Arial" w:eastAsia="NSimSun" w:hAnsi="Arial" w:cs="Arial"/>
          <w:kern w:val="3"/>
          <w:lang w:eastAsia="zh-CN"/>
        </w:rPr>
        <w:t>,</w:t>
      </w:r>
      <w:r w:rsidRPr="00BB13E6">
        <w:rPr>
          <w:rFonts w:ascii="Arial" w:eastAsia="NSimSun" w:hAnsi="Arial" w:cs="Arial"/>
          <w:kern w:val="3"/>
          <w:lang w:eastAsia="zh-CN"/>
        </w:rPr>
        <w:t xml:space="preserve"> 265-275.</w:t>
      </w:r>
    </w:p>
    <w:p w14:paraId="704C3A37" w14:textId="14D0480A" w:rsidR="002D45C5" w:rsidRPr="00BB13E6" w:rsidRDefault="002D45C5" w:rsidP="002D45C5">
      <w:pPr>
        <w:ind w:left="720" w:hanging="720"/>
        <w:jc w:val="both"/>
        <w:rPr>
          <w:rFonts w:ascii="Arial" w:eastAsia="Calibri" w:hAnsi="Arial" w:cs="Arial"/>
          <w:kern w:val="3"/>
        </w:rPr>
      </w:pPr>
      <w:r w:rsidRPr="00BB13E6">
        <w:rPr>
          <w:rFonts w:ascii="Arial" w:eastAsia="Calibri" w:hAnsi="Arial" w:cs="Arial"/>
          <w:kern w:val="3"/>
        </w:rPr>
        <w:t xml:space="preserve">Hodges, D. M., DeLong, J. M., Forney, C. F., &amp; Prange, R. K. (1999). Improving the </w:t>
      </w:r>
      <w:proofErr w:type="spellStart"/>
      <w:r w:rsidRPr="00BB13E6">
        <w:rPr>
          <w:rFonts w:ascii="Arial" w:eastAsia="Calibri" w:hAnsi="Arial" w:cs="Arial"/>
          <w:kern w:val="3"/>
        </w:rPr>
        <w:t>thiobarbituric</w:t>
      </w:r>
      <w:proofErr w:type="spellEnd"/>
      <w:r w:rsidRPr="00BB13E6">
        <w:rPr>
          <w:rFonts w:ascii="Arial" w:eastAsia="Calibri" w:hAnsi="Arial" w:cs="Arial"/>
          <w:kern w:val="3"/>
        </w:rPr>
        <w:t xml:space="preserve"> acid-reactive-substances assay for estimating lipid peroxidation in plant tissues containing anthocyanin and other interfering compounds. Planta, 207(4), 604-611.</w:t>
      </w:r>
    </w:p>
    <w:p w14:paraId="67A65578" w14:textId="4EEA8302" w:rsidR="002D45C5" w:rsidRPr="00EC6D29" w:rsidRDefault="00EC6D29" w:rsidP="002D45C5">
      <w:pPr>
        <w:ind w:left="720" w:hanging="720"/>
        <w:jc w:val="both"/>
        <w:rPr>
          <w:rFonts w:ascii="Arial" w:eastAsia="Calibri" w:hAnsi="Arial" w:cs="Arial"/>
          <w:kern w:val="3"/>
        </w:rPr>
      </w:pPr>
      <w:r w:rsidRPr="00EC6D29">
        <w:rPr>
          <w:rFonts w:ascii="Arial" w:eastAsia="Calibri" w:hAnsi="Arial" w:cs="Arial"/>
          <w:kern w:val="3"/>
        </w:rPr>
        <w:t xml:space="preserve">Solanki, M. V., Mahatma, M. K., Varma, A., </w:t>
      </w:r>
      <w:proofErr w:type="spellStart"/>
      <w:r w:rsidRPr="00EC6D29">
        <w:rPr>
          <w:rFonts w:ascii="Arial" w:eastAsia="Calibri" w:hAnsi="Arial" w:cs="Arial"/>
          <w:kern w:val="3"/>
        </w:rPr>
        <w:t>Thawait</w:t>
      </w:r>
      <w:proofErr w:type="spellEnd"/>
      <w:r w:rsidRPr="00EC6D29">
        <w:rPr>
          <w:rFonts w:ascii="Arial" w:eastAsia="Calibri" w:hAnsi="Arial" w:cs="Arial"/>
          <w:kern w:val="3"/>
        </w:rPr>
        <w:t>, L. K., Singh, S., Jangir, C. K., et al. (2024). Water deficit stress enhances the bioactive compounds of groundnut (</w:t>
      </w:r>
      <w:r w:rsidRPr="00EC6D29">
        <w:rPr>
          <w:rFonts w:ascii="Arial" w:eastAsia="Calibri" w:hAnsi="Arial" w:cs="Arial"/>
          <w:i/>
          <w:iCs/>
          <w:kern w:val="3"/>
        </w:rPr>
        <w:t>Arachis hypogaea</w:t>
      </w:r>
      <w:r w:rsidRPr="00EC6D29">
        <w:rPr>
          <w:rFonts w:ascii="Arial" w:eastAsia="Calibri" w:hAnsi="Arial" w:cs="Arial"/>
          <w:kern w:val="3"/>
        </w:rPr>
        <w:t xml:space="preserve"> L.) kernels at the expense of primary metabolites. Food Bioscience, 58, 103670. </w:t>
      </w:r>
      <w:hyperlink r:id="rId16" w:history="1">
        <w:r w:rsidRPr="00EC6D29">
          <w:rPr>
            <w:rStyle w:val="Hyperlink"/>
            <w:rFonts w:ascii="Arial" w:eastAsia="Calibri" w:hAnsi="Arial" w:cs="Arial"/>
            <w:color w:val="auto"/>
            <w:kern w:val="3"/>
            <w:u w:val="none"/>
          </w:rPr>
          <w:t>https://doi.org/10.1016/j.fbio.2024.103670</w:t>
        </w:r>
      </w:hyperlink>
    </w:p>
    <w:p w14:paraId="0C1A893C" w14:textId="77777777" w:rsidR="00EC6D29" w:rsidRPr="002D45C5" w:rsidRDefault="00EC6D29" w:rsidP="002D45C5">
      <w:pPr>
        <w:ind w:left="720" w:hanging="720"/>
        <w:jc w:val="both"/>
        <w:rPr>
          <w:rFonts w:ascii="Arial" w:hAnsi="Arial" w:cs="Arial"/>
          <w:color w:val="FF0000"/>
          <w:sz w:val="22"/>
          <w:szCs w:val="22"/>
        </w:rPr>
      </w:pPr>
    </w:p>
    <w:p w14:paraId="2E5D7F36"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2A4B7555" w14:textId="77777777" w:rsidR="004E406B" w:rsidRDefault="004E406B" w:rsidP="004E406B">
      <w:pPr>
        <w:pStyle w:val="Body"/>
        <w:spacing w:after="0"/>
        <w:rPr>
          <w:rFonts w:ascii="Arial" w:hAnsi="Arial" w:cs="Arial"/>
        </w:rPr>
      </w:pPr>
      <w:r>
        <w:rPr>
          <w:rFonts w:ascii="Arial" w:hAnsi="Arial" w:cs="Arial"/>
        </w:rPr>
        <w:t>RKB: Ravleen Kaur Badwal</w:t>
      </w:r>
    </w:p>
    <w:p w14:paraId="2BE0F45A" w14:textId="2E6B9B18" w:rsidR="004E406B" w:rsidRDefault="004E406B" w:rsidP="004E406B">
      <w:pPr>
        <w:pStyle w:val="Body"/>
        <w:spacing w:after="0"/>
        <w:rPr>
          <w:rFonts w:ascii="Arial" w:hAnsi="Arial" w:cs="Arial"/>
        </w:rPr>
      </w:pPr>
      <w:r>
        <w:rPr>
          <w:rFonts w:ascii="Arial" w:hAnsi="Arial" w:cs="Arial"/>
        </w:rPr>
        <w:t>RSS: Dr. R</w:t>
      </w:r>
      <w:r w:rsidR="003B4BE4">
        <w:rPr>
          <w:rFonts w:ascii="Arial" w:hAnsi="Arial" w:cs="Arial"/>
        </w:rPr>
        <w:t xml:space="preserve">. </w:t>
      </w:r>
      <w:r>
        <w:rPr>
          <w:rFonts w:ascii="Arial" w:hAnsi="Arial" w:cs="Arial"/>
        </w:rPr>
        <w:t>S</w:t>
      </w:r>
      <w:r w:rsidR="003B4BE4">
        <w:rPr>
          <w:rFonts w:ascii="Arial" w:hAnsi="Arial" w:cs="Arial"/>
        </w:rPr>
        <w:t xml:space="preserve">. </w:t>
      </w:r>
      <w:r>
        <w:rPr>
          <w:rFonts w:ascii="Arial" w:hAnsi="Arial" w:cs="Arial"/>
        </w:rPr>
        <w:t>Sikarwar</w:t>
      </w:r>
    </w:p>
    <w:p w14:paraId="700AFC8E" w14:textId="77777777" w:rsidR="004E406B" w:rsidRDefault="004E406B" w:rsidP="004E406B">
      <w:pPr>
        <w:pStyle w:val="Body"/>
        <w:spacing w:after="0"/>
        <w:rPr>
          <w:rFonts w:ascii="Arial" w:hAnsi="Arial" w:cs="Arial"/>
        </w:rPr>
      </w:pPr>
      <w:r>
        <w:rPr>
          <w:rFonts w:ascii="Arial" w:hAnsi="Arial" w:cs="Arial"/>
        </w:rPr>
        <w:t>R: Rohit</w:t>
      </w:r>
    </w:p>
    <w:p w14:paraId="7087C7F2" w14:textId="77777777" w:rsidR="004E406B" w:rsidRDefault="004E406B" w:rsidP="004E406B">
      <w:pPr>
        <w:pStyle w:val="Body"/>
        <w:spacing w:after="0"/>
        <w:rPr>
          <w:rFonts w:ascii="Arial" w:hAnsi="Arial" w:cs="Arial"/>
        </w:rPr>
      </w:pPr>
      <w:r>
        <w:rPr>
          <w:rFonts w:ascii="Arial" w:hAnsi="Arial" w:cs="Arial"/>
        </w:rPr>
        <w:t>PC:</w:t>
      </w:r>
      <w:r w:rsidRPr="00732F42">
        <w:rPr>
          <w:rFonts w:ascii="Arial" w:hAnsi="Arial" w:cs="Arial"/>
          <w:lang w:val="en-IN"/>
        </w:rPr>
        <w:t xml:space="preserve"> </w:t>
      </w:r>
      <w:r w:rsidRPr="006672F5">
        <w:rPr>
          <w:rFonts w:ascii="Arial" w:hAnsi="Arial" w:cs="Arial"/>
          <w:lang w:val="en-IN"/>
        </w:rPr>
        <w:t xml:space="preserve">Pavan </w:t>
      </w:r>
      <w:proofErr w:type="spellStart"/>
      <w:r w:rsidRPr="006672F5">
        <w:rPr>
          <w:rFonts w:ascii="Arial" w:hAnsi="Arial" w:cs="Arial"/>
          <w:lang w:val="en-IN"/>
        </w:rPr>
        <w:t>Chouksey</w:t>
      </w:r>
      <w:proofErr w:type="spellEnd"/>
    </w:p>
    <w:p w14:paraId="240E9291" w14:textId="77777777" w:rsidR="004E406B" w:rsidRPr="003D4CAE" w:rsidRDefault="004E406B" w:rsidP="004E406B">
      <w:pPr>
        <w:pStyle w:val="Body"/>
        <w:spacing w:after="0"/>
        <w:rPr>
          <w:rFonts w:ascii="Arial" w:hAnsi="Arial" w:cs="Arial"/>
          <w:iCs/>
        </w:rPr>
      </w:pPr>
      <w:r>
        <w:rPr>
          <w:rFonts w:ascii="Arial" w:hAnsi="Arial" w:cs="Arial"/>
        </w:rPr>
        <w:t xml:space="preserve">BY: </w:t>
      </w:r>
      <w:proofErr w:type="spellStart"/>
      <w:r w:rsidRPr="006672F5">
        <w:rPr>
          <w:rFonts w:ascii="Arial" w:hAnsi="Arial" w:cs="Arial"/>
          <w:lang w:val="en-IN"/>
        </w:rPr>
        <w:t>Bakeshwar</w:t>
      </w:r>
      <w:proofErr w:type="spellEnd"/>
      <w:r w:rsidRPr="006672F5">
        <w:rPr>
          <w:rFonts w:ascii="Arial" w:hAnsi="Arial" w:cs="Arial"/>
          <w:lang w:val="en-IN"/>
        </w:rPr>
        <w:t xml:space="preserve"> Yadav</w:t>
      </w:r>
      <w:r>
        <w:rPr>
          <w:rFonts w:ascii="Arial" w:hAnsi="Arial" w:cs="Arial"/>
          <w:lang w:val="en-IN"/>
        </w:rPr>
        <w:t xml:space="preserve"> </w:t>
      </w:r>
    </w:p>
    <w:p w14:paraId="5E197DB2" w14:textId="77777777" w:rsidR="004E406B" w:rsidRDefault="004E406B" w:rsidP="004E406B">
      <w:pPr>
        <w:pStyle w:val="Body"/>
        <w:spacing w:after="0"/>
        <w:rPr>
          <w:rFonts w:ascii="Arial" w:hAnsi="Arial" w:cs="Arial"/>
          <w:iCs/>
          <w:lang w:val="en-IN"/>
        </w:rPr>
      </w:pPr>
      <w:r w:rsidRPr="003D4CAE">
        <w:rPr>
          <w:rFonts w:ascii="Arial" w:hAnsi="Arial" w:cs="Arial"/>
        </w:rPr>
        <w:lastRenderedPageBreak/>
        <w:t xml:space="preserve">R.V.S.K.V.V.: </w:t>
      </w:r>
      <w:r w:rsidRPr="003D4CAE">
        <w:rPr>
          <w:rFonts w:ascii="Arial" w:hAnsi="Arial" w:cs="Arial"/>
          <w:iCs/>
          <w:lang w:val="en-IN"/>
        </w:rPr>
        <w:t xml:space="preserve">Rajmata </w:t>
      </w:r>
      <w:proofErr w:type="spellStart"/>
      <w:r w:rsidRPr="003D4CAE">
        <w:rPr>
          <w:rFonts w:ascii="Arial" w:hAnsi="Arial" w:cs="Arial"/>
          <w:iCs/>
          <w:lang w:val="en-IN"/>
        </w:rPr>
        <w:t>Vijayaraje</w:t>
      </w:r>
      <w:proofErr w:type="spellEnd"/>
      <w:r w:rsidRPr="003D4CAE">
        <w:rPr>
          <w:rFonts w:ascii="Arial" w:hAnsi="Arial" w:cs="Arial"/>
          <w:iCs/>
          <w:lang w:val="en-IN"/>
        </w:rPr>
        <w:t xml:space="preserve"> </w:t>
      </w:r>
      <w:proofErr w:type="spellStart"/>
      <w:r w:rsidRPr="003D4CAE">
        <w:rPr>
          <w:rFonts w:ascii="Arial" w:hAnsi="Arial" w:cs="Arial"/>
          <w:iCs/>
          <w:lang w:val="en-IN"/>
        </w:rPr>
        <w:t>Scindia</w:t>
      </w:r>
      <w:proofErr w:type="spellEnd"/>
      <w:r w:rsidRPr="003D4CAE">
        <w:rPr>
          <w:rFonts w:ascii="Arial" w:hAnsi="Arial" w:cs="Arial"/>
          <w:iCs/>
          <w:lang w:val="en-IN"/>
        </w:rPr>
        <w:t xml:space="preserve"> Krishi Vishwa Vidyalaya</w:t>
      </w:r>
    </w:p>
    <w:p w14:paraId="12F7F846" w14:textId="77777777" w:rsidR="004E406B" w:rsidRDefault="004E406B" w:rsidP="004E406B">
      <w:pPr>
        <w:pStyle w:val="Body"/>
        <w:spacing w:after="0"/>
        <w:rPr>
          <w:rFonts w:ascii="Arial" w:eastAsia="Calibri" w:hAnsi="Arial" w:cs="Arial"/>
          <w:szCs w:val="22"/>
          <w:lang w:val="en-IN"/>
        </w:rPr>
      </w:pPr>
      <w:r>
        <w:rPr>
          <w:rFonts w:ascii="Arial" w:hAnsi="Arial" w:cs="Arial"/>
          <w:iCs/>
          <w:lang w:val="en-IN"/>
        </w:rPr>
        <w:t xml:space="preserve">RBD: </w:t>
      </w:r>
      <w:r w:rsidRPr="006672F5">
        <w:rPr>
          <w:rFonts w:ascii="Arial" w:eastAsia="Calibri" w:hAnsi="Arial" w:cs="Arial"/>
          <w:szCs w:val="22"/>
        </w:rPr>
        <w:t>Randomized</w:t>
      </w:r>
      <w:r w:rsidRPr="006672F5">
        <w:rPr>
          <w:rFonts w:ascii="Arial" w:eastAsia="Calibri" w:hAnsi="Arial" w:cs="Arial"/>
          <w:szCs w:val="22"/>
          <w:lang w:val="en-IN"/>
        </w:rPr>
        <w:t xml:space="preserve"> Block Design</w:t>
      </w:r>
    </w:p>
    <w:p w14:paraId="4DFC4A67" w14:textId="77777777" w:rsidR="004E406B" w:rsidRPr="003D4CAE" w:rsidRDefault="004E406B" w:rsidP="004E406B">
      <w:pPr>
        <w:pStyle w:val="Body"/>
        <w:spacing w:after="0"/>
        <w:rPr>
          <w:rFonts w:ascii="Arial" w:hAnsi="Arial" w:cs="Arial"/>
          <w:iCs/>
        </w:rPr>
      </w:pPr>
    </w:p>
    <w:p w14:paraId="45259E12" w14:textId="424283E4" w:rsidR="004D4277" w:rsidRPr="00FB3A86" w:rsidRDefault="004D4277" w:rsidP="00441B6F">
      <w:pPr>
        <w:pStyle w:val="Appendix"/>
        <w:spacing w:after="0"/>
        <w:jc w:val="both"/>
        <w:rPr>
          <w:rFonts w:ascii="Arial" w:hAnsi="Arial" w:cs="Arial"/>
          <w:b w:val="0"/>
        </w:rPr>
        <w:sectPr w:rsidR="004D4277" w:rsidRPr="00FB3A86" w:rsidSect="00E560B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F2DE75D" w14:textId="77777777" w:rsidR="00B01FCD" w:rsidRPr="00FB3A86" w:rsidRDefault="00B01FCD" w:rsidP="00441B6F">
      <w:pPr>
        <w:pStyle w:val="Appendix"/>
        <w:spacing w:after="0"/>
        <w:jc w:val="both"/>
        <w:rPr>
          <w:rFonts w:ascii="Arial" w:hAnsi="Arial" w:cs="Arial"/>
          <w:b w:val="0"/>
        </w:rPr>
      </w:pPr>
    </w:p>
    <w:sectPr w:rsidR="00B01FCD" w:rsidRPr="00FB3A86" w:rsidSect="00E560B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91D3A" w14:textId="77777777" w:rsidR="00B61B50" w:rsidRDefault="00B61B50" w:rsidP="00C37E61">
      <w:r>
        <w:separator/>
      </w:r>
    </w:p>
  </w:endnote>
  <w:endnote w:type="continuationSeparator" w:id="0">
    <w:p w14:paraId="66B81D91" w14:textId="77777777" w:rsidR="00B61B50" w:rsidRDefault="00B61B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AB1BD" w14:textId="77777777" w:rsidR="00FF080A" w:rsidRDefault="00FF0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520BC" w14:textId="77777777" w:rsidR="00FF080A" w:rsidRDefault="00FF0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B611E" w14:textId="77777777" w:rsidR="009E048A" w:rsidRDefault="009E048A">
    <w:pPr>
      <w:pStyle w:val="Footer"/>
      <w:rPr>
        <w:rFonts w:ascii="Arial" w:hAnsi="Arial" w:cs="Arial"/>
        <w:sz w:val="16"/>
      </w:rPr>
    </w:pPr>
  </w:p>
  <w:p w14:paraId="1779910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DBD2D7B" w14:textId="77777777" w:rsidR="009E048A" w:rsidRDefault="009E048A">
    <w:pPr>
      <w:pStyle w:val="Footer"/>
      <w:rPr>
        <w:rFonts w:ascii="Arial" w:hAnsi="Arial" w:cs="Arial"/>
        <w:sz w:val="16"/>
      </w:rPr>
    </w:pPr>
  </w:p>
  <w:p w14:paraId="4D869828" w14:textId="3848D79F"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98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D3478" w14:textId="77777777" w:rsidR="00B61B50" w:rsidRDefault="00B61B50" w:rsidP="00C37E61">
      <w:r>
        <w:separator/>
      </w:r>
    </w:p>
  </w:footnote>
  <w:footnote w:type="continuationSeparator" w:id="0">
    <w:p w14:paraId="01F20795" w14:textId="77777777" w:rsidR="00B61B50" w:rsidRDefault="00B61B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AD7CE" w14:textId="01AD2071" w:rsidR="00FF080A" w:rsidRDefault="00FF080A">
    <w:pPr>
      <w:pStyle w:val="Header"/>
    </w:pPr>
    <w:r>
      <w:rPr>
        <w:noProof/>
      </w:rPr>
      <w:pict w14:anchorId="785F7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375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1E05" w14:textId="78E7305D" w:rsidR="00FF080A" w:rsidRDefault="00FF080A">
    <w:pPr>
      <w:pStyle w:val="Header"/>
    </w:pPr>
    <w:r>
      <w:rPr>
        <w:noProof/>
      </w:rPr>
      <w:pict w14:anchorId="1377E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375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EA91" w14:textId="1C9B4495" w:rsidR="00296529" w:rsidRPr="00296529" w:rsidRDefault="00FF080A" w:rsidP="00296529">
    <w:pPr>
      <w:ind w:left="2160"/>
      <w:jc w:val="center"/>
      <w:rPr>
        <w:rFonts w:ascii="Times New Roman" w:eastAsia="Calibri" w:hAnsi="Times New Roman"/>
        <w:i/>
        <w:sz w:val="18"/>
        <w:szCs w:val="22"/>
      </w:rPr>
    </w:pPr>
    <w:r>
      <w:rPr>
        <w:noProof/>
      </w:rPr>
      <w:pict w14:anchorId="510A8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375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82BCB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8F15B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4202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6B7D7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B9AA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DC5ED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60F4" w14:textId="0E65FCA9" w:rsidR="00FF080A" w:rsidRDefault="00FF080A">
    <w:pPr>
      <w:pStyle w:val="Header"/>
    </w:pPr>
    <w:r>
      <w:rPr>
        <w:noProof/>
      </w:rPr>
      <w:pict w14:anchorId="51283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375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77CA7" w14:textId="44C176BC" w:rsidR="00FF080A" w:rsidRDefault="00FF080A">
    <w:pPr>
      <w:pStyle w:val="Header"/>
    </w:pPr>
    <w:r>
      <w:rPr>
        <w:noProof/>
      </w:rPr>
      <w:pict w14:anchorId="4DB8C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375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F4A1" w14:textId="33AD58C2" w:rsidR="00FF080A" w:rsidRDefault="00FF080A">
    <w:pPr>
      <w:pStyle w:val="Header"/>
    </w:pPr>
    <w:r>
      <w:rPr>
        <w:noProof/>
      </w:rPr>
      <w:pict w14:anchorId="05A8B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375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3F7"/>
    <w:rsid w:val="000260A5"/>
    <w:rsid w:val="00030174"/>
    <w:rsid w:val="0004579C"/>
    <w:rsid w:val="000A47FA"/>
    <w:rsid w:val="000A65D3"/>
    <w:rsid w:val="000B1E33"/>
    <w:rsid w:val="000C0B61"/>
    <w:rsid w:val="000D689F"/>
    <w:rsid w:val="000E7B7B"/>
    <w:rsid w:val="000E7D62"/>
    <w:rsid w:val="000F4A24"/>
    <w:rsid w:val="000F62C7"/>
    <w:rsid w:val="00103357"/>
    <w:rsid w:val="00123C9F"/>
    <w:rsid w:val="00126190"/>
    <w:rsid w:val="00130F17"/>
    <w:rsid w:val="001320BF"/>
    <w:rsid w:val="00163BC4"/>
    <w:rsid w:val="00191062"/>
    <w:rsid w:val="00192B72"/>
    <w:rsid w:val="001A29D8"/>
    <w:rsid w:val="001A5CAA"/>
    <w:rsid w:val="001B0427"/>
    <w:rsid w:val="001B601D"/>
    <w:rsid w:val="001D3A51"/>
    <w:rsid w:val="001E10D2"/>
    <w:rsid w:val="001E25B4"/>
    <w:rsid w:val="001E44FE"/>
    <w:rsid w:val="001E46C0"/>
    <w:rsid w:val="00200595"/>
    <w:rsid w:val="00204835"/>
    <w:rsid w:val="0023031F"/>
    <w:rsid w:val="00230E22"/>
    <w:rsid w:val="00231920"/>
    <w:rsid w:val="0023195C"/>
    <w:rsid w:val="0024282C"/>
    <w:rsid w:val="002460DC"/>
    <w:rsid w:val="00250985"/>
    <w:rsid w:val="002556F6"/>
    <w:rsid w:val="00283105"/>
    <w:rsid w:val="00284C4C"/>
    <w:rsid w:val="00287E68"/>
    <w:rsid w:val="00296529"/>
    <w:rsid w:val="002B27FB"/>
    <w:rsid w:val="002B685A"/>
    <w:rsid w:val="002C57D2"/>
    <w:rsid w:val="002D45C5"/>
    <w:rsid w:val="002D7A94"/>
    <w:rsid w:val="002E0D56"/>
    <w:rsid w:val="00301BD9"/>
    <w:rsid w:val="00315186"/>
    <w:rsid w:val="0033343E"/>
    <w:rsid w:val="00334159"/>
    <w:rsid w:val="003512C2"/>
    <w:rsid w:val="00354A20"/>
    <w:rsid w:val="00360A42"/>
    <w:rsid w:val="00371FB6"/>
    <w:rsid w:val="003763C1"/>
    <w:rsid w:val="00376BBE"/>
    <w:rsid w:val="00380398"/>
    <w:rsid w:val="0039224F"/>
    <w:rsid w:val="003A43A4"/>
    <w:rsid w:val="003A7E18"/>
    <w:rsid w:val="003B20AC"/>
    <w:rsid w:val="003B4BE4"/>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3DDC"/>
    <w:rsid w:val="004E406B"/>
    <w:rsid w:val="00502516"/>
    <w:rsid w:val="00505F06"/>
    <w:rsid w:val="00506828"/>
    <w:rsid w:val="005204AB"/>
    <w:rsid w:val="0053056E"/>
    <w:rsid w:val="00554FDA"/>
    <w:rsid w:val="00582E5E"/>
    <w:rsid w:val="00584114"/>
    <w:rsid w:val="00592E28"/>
    <w:rsid w:val="005A3E4E"/>
    <w:rsid w:val="005C784C"/>
    <w:rsid w:val="005D17F6"/>
    <w:rsid w:val="005E0EF5"/>
    <w:rsid w:val="005E4F60"/>
    <w:rsid w:val="005E5539"/>
    <w:rsid w:val="00602BF5"/>
    <w:rsid w:val="00617FDD"/>
    <w:rsid w:val="00626433"/>
    <w:rsid w:val="00633614"/>
    <w:rsid w:val="00633F68"/>
    <w:rsid w:val="00636EB2"/>
    <w:rsid w:val="006375B8"/>
    <w:rsid w:val="00661869"/>
    <w:rsid w:val="0066510A"/>
    <w:rsid w:val="00673F9F"/>
    <w:rsid w:val="00686953"/>
    <w:rsid w:val="00687DEA"/>
    <w:rsid w:val="00687E67"/>
    <w:rsid w:val="006967F7"/>
    <w:rsid w:val="006A250C"/>
    <w:rsid w:val="006B21D3"/>
    <w:rsid w:val="006B57D0"/>
    <w:rsid w:val="006D30FF"/>
    <w:rsid w:val="006D6940"/>
    <w:rsid w:val="006F11EC"/>
    <w:rsid w:val="0070082C"/>
    <w:rsid w:val="00727FCA"/>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6E22"/>
    <w:rsid w:val="008B459E"/>
    <w:rsid w:val="008E13AE"/>
    <w:rsid w:val="008E1506"/>
    <w:rsid w:val="008E710C"/>
    <w:rsid w:val="008F69D6"/>
    <w:rsid w:val="00902823"/>
    <w:rsid w:val="00904F1F"/>
    <w:rsid w:val="009132E3"/>
    <w:rsid w:val="00915CA6"/>
    <w:rsid w:val="00927834"/>
    <w:rsid w:val="009500A6"/>
    <w:rsid w:val="00957C18"/>
    <w:rsid w:val="009659BA"/>
    <w:rsid w:val="00973251"/>
    <w:rsid w:val="00983040"/>
    <w:rsid w:val="009B3FB9"/>
    <w:rsid w:val="009C2465"/>
    <w:rsid w:val="009D35A0"/>
    <w:rsid w:val="009D7EB7"/>
    <w:rsid w:val="009E048A"/>
    <w:rsid w:val="009E08E9"/>
    <w:rsid w:val="009E3DB9"/>
    <w:rsid w:val="009E6E35"/>
    <w:rsid w:val="009F0EDA"/>
    <w:rsid w:val="00A03B96"/>
    <w:rsid w:val="00A05B19"/>
    <w:rsid w:val="00A1134E"/>
    <w:rsid w:val="00A12B12"/>
    <w:rsid w:val="00A24E7E"/>
    <w:rsid w:val="00A258C3"/>
    <w:rsid w:val="00A347C0"/>
    <w:rsid w:val="00A51431"/>
    <w:rsid w:val="00A539AD"/>
    <w:rsid w:val="00A713EC"/>
    <w:rsid w:val="00A94063"/>
    <w:rsid w:val="00AA6219"/>
    <w:rsid w:val="00AA74E0"/>
    <w:rsid w:val="00AB703F"/>
    <w:rsid w:val="00AC1CD7"/>
    <w:rsid w:val="00AC6BB8"/>
    <w:rsid w:val="00AE008F"/>
    <w:rsid w:val="00AE696C"/>
    <w:rsid w:val="00AF5EB3"/>
    <w:rsid w:val="00B01FCD"/>
    <w:rsid w:val="00B1776C"/>
    <w:rsid w:val="00B52583"/>
    <w:rsid w:val="00B52896"/>
    <w:rsid w:val="00B61B50"/>
    <w:rsid w:val="00B704E0"/>
    <w:rsid w:val="00B95236"/>
    <w:rsid w:val="00B96BD9"/>
    <w:rsid w:val="00BA1B01"/>
    <w:rsid w:val="00BA2641"/>
    <w:rsid w:val="00BB13E6"/>
    <w:rsid w:val="00BB37AA"/>
    <w:rsid w:val="00BC53A0"/>
    <w:rsid w:val="00BE62AD"/>
    <w:rsid w:val="00BF121F"/>
    <w:rsid w:val="00BF1F80"/>
    <w:rsid w:val="00C14ACE"/>
    <w:rsid w:val="00C166EF"/>
    <w:rsid w:val="00C17EB0"/>
    <w:rsid w:val="00C27F5F"/>
    <w:rsid w:val="00C30A0F"/>
    <w:rsid w:val="00C37E61"/>
    <w:rsid w:val="00C511DF"/>
    <w:rsid w:val="00C70F1B"/>
    <w:rsid w:val="00C71A47"/>
    <w:rsid w:val="00C7464C"/>
    <w:rsid w:val="00C85588"/>
    <w:rsid w:val="00CA72EB"/>
    <w:rsid w:val="00CD6755"/>
    <w:rsid w:val="00CD6856"/>
    <w:rsid w:val="00CE0089"/>
    <w:rsid w:val="00CE793C"/>
    <w:rsid w:val="00CF193C"/>
    <w:rsid w:val="00D173F1"/>
    <w:rsid w:val="00D30F3C"/>
    <w:rsid w:val="00D74CB0"/>
    <w:rsid w:val="00D8295D"/>
    <w:rsid w:val="00DC2A65"/>
    <w:rsid w:val="00DD759D"/>
    <w:rsid w:val="00DE15F0"/>
    <w:rsid w:val="00DE5663"/>
    <w:rsid w:val="00DE78AA"/>
    <w:rsid w:val="00E00A7C"/>
    <w:rsid w:val="00E053D0"/>
    <w:rsid w:val="00E15994"/>
    <w:rsid w:val="00E3114E"/>
    <w:rsid w:val="00E31A70"/>
    <w:rsid w:val="00E35B02"/>
    <w:rsid w:val="00E560BC"/>
    <w:rsid w:val="00E66496"/>
    <w:rsid w:val="00E66B35"/>
    <w:rsid w:val="00E66E10"/>
    <w:rsid w:val="00E769F6"/>
    <w:rsid w:val="00E8407C"/>
    <w:rsid w:val="00E84F3C"/>
    <w:rsid w:val="00EA012C"/>
    <w:rsid w:val="00EB411D"/>
    <w:rsid w:val="00EC6A55"/>
    <w:rsid w:val="00EC6D29"/>
    <w:rsid w:val="00ED0288"/>
    <w:rsid w:val="00EE10E0"/>
    <w:rsid w:val="00EE52CB"/>
    <w:rsid w:val="00EF581D"/>
    <w:rsid w:val="00EF7FD8"/>
    <w:rsid w:val="00F06F59"/>
    <w:rsid w:val="00F17988"/>
    <w:rsid w:val="00F469F0"/>
    <w:rsid w:val="00F53273"/>
    <w:rsid w:val="00F755E4"/>
    <w:rsid w:val="00F77D02"/>
    <w:rsid w:val="00FB3A86"/>
    <w:rsid w:val="00FD315A"/>
    <w:rsid w:val="00FD36C8"/>
    <w:rsid w:val="00FE0282"/>
    <w:rsid w:val="00FF080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B1DB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92E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592E28"/>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727F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16/j.fbio.2024.10367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4018/ejfood.2025.7.4.925"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281/zenodo.%207536324"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7A748-B485-4009-8F1F-CD52FFC3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9</Pages>
  <Words>3174</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39</cp:revision>
  <cp:lastPrinted>1999-07-06T11:00:00Z</cp:lastPrinted>
  <dcterms:created xsi:type="dcterms:W3CDTF">2026-01-09T09:12:00Z</dcterms:created>
  <dcterms:modified xsi:type="dcterms:W3CDTF">2026-01-10T11:56:00Z</dcterms:modified>
</cp:coreProperties>
</file>