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1CA" w:rsidRPr="008711CA" w:rsidRDefault="008711CA" w:rsidP="006211CC">
      <w:pPr>
        <w:spacing w:before="100" w:beforeAutospacing="1" w:after="100" w:afterAutospacing="1" w:line="240" w:lineRule="auto"/>
        <w:jc w:val="both"/>
        <w:outlineLvl w:val="0"/>
        <w:rPr>
          <w:rFonts w:ascii="Times New Roman" w:eastAsia="Times New Roman" w:hAnsi="Times New Roman" w:cs="Times New Roman"/>
          <w:b/>
          <w:bCs/>
          <w:spacing w:val="1"/>
          <w:kern w:val="36"/>
          <w:sz w:val="24"/>
          <w:szCs w:val="24"/>
          <w:lang w:val="en-IN" w:eastAsia="en-IN"/>
        </w:rPr>
      </w:pPr>
      <w:r w:rsidRPr="008711CA">
        <w:rPr>
          <w:rFonts w:ascii="Times New Roman" w:eastAsia="Times New Roman" w:hAnsi="Times New Roman" w:cs="Times New Roman"/>
          <w:b/>
          <w:bCs/>
          <w:spacing w:val="1"/>
          <w:kern w:val="36"/>
          <w:sz w:val="24"/>
          <w:szCs w:val="24"/>
          <w:lang w:val="en-IN" w:eastAsia="en-IN"/>
        </w:rPr>
        <w:t>Seasonal and Age-Related Variations in Physiological Indices of </w:t>
      </w:r>
      <w:r w:rsidRPr="00B80372">
        <w:rPr>
          <w:rFonts w:ascii="Times New Roman" w:eastAsia="Times New Roman" w:hAnsi="Times New Roman" w:cs="Times New Roman"/>
          <w:b/>
          <w:bCs/>
          <w:i/>
          <w:spacing w:val="1"/>
          <w:kern w:val="36"/>
          <w:sz w:val="24"/>
          <w:szCs w:val="24"/>
          <w:lang w:val="en-IN" w:eastAsia="en-IN"/>
        </w:rPr>
        <w:t xml:space="preserve">Cyprinus </w:t>
      </w:r>
      <w:proofErr w:type="spellStart"/>
      <w:r w:rsidRPr="00B80372">
        <w:rPr>
          <w:rFonts w:ascii="Times New Roman" w:eastAsia="Times New Roman" w:hAnsi="Times New Roman" w:cs="Times New Roman"/>
          <w:b/>
          <w:bCs/>
          <w:i/>
          <w:spacing w:val="1"/>
          <w:kern w:val="36"/>
          <w:sz w:val="24"/>
          <w:szCs w:val="24"/>
          <w:lang w:val="en-IN" w:eastAsia="en-IN"/>
        </w:rPr>
        <w:t>carpio</w:t>
      </w:r>
      <w:proofErr w:type="spellEnd"/>
      <w:r w:rsidRPr="00B80372">
        <w:rPr>
          <w:rFonts w:ascii="Times New Roman" w:eastAsia="Times New Roman" w:hAnsi="Times New Roman" w:cs="Times New Roman"/>
          <w:b/>
          <w:bCs/>
          <w:i/>
          <w:iCs/>
          <w:spacing w:val="1"/>
          <w:kern w:val="36"/>
          <w:sz w:val="24"/>
          <w:szCs w:val="24"/>
          <w:bdr w:val="single" w:sz="2" w:space="0" w:color="auto" w:frame="1"/>
          <w:lang w:val="en-IN" w:eastAsia="en-IN"/>
        </w:rPr>
        <w:t xml:space="preserve"> </w:t>
      </w:r>
      <w:proofErr w:type="spellStart"/>
      <w:r w:rsidRPr="00B80372">
        <w:rPr>
          <w:rFonts w:ascii="Times New Roman" w:eastAsia="Times New Roman" w:hAnsi="Times New Roman" w:cs="Times New Roman"/>
          <w:b/>
          <w:bCs/>
          <w:i/>
          <w:spacing w:val="1"/>
          <w:kern w:val="36"/>
          <w:sz w:val="24"/>
          <w:szCs w:val="24"/>
          <w:lang w:val="en-IN" w:eastAsia="en-IN"/>
        </w:rPr>
        <w:t>haematopterus</w:t>
      </w:r>
      <w:proofErr w:type="spellEnd"/>
      <w:r w:rsidRPr="008711CA">
        <w:rPr>
          <w:rFonts w:ascii="Times New Roman" w:eastAsia="Times New Roman" w:hAnsi="Times New Roman" w:cs="Times New Roman"/>
          <w:b/>
          <w:bCs/>
          <w:spacing w:val="1"/>
          <w:kern w:val="36"/>
          <w:sz w:val="24"/>
          <w:szCs w:val="24"/>
          <w:lang w:val="en-IN" w:eastAsia="en-IN"/>
        </w:rPr>
        <w:t> (Amur Common Carp) in Temperate Aquaculture</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bookmarkStart w:id="0" w:name="_GoBack"/>
      <w:bookmarkEnd w:id="0"/>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Abstract</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The physiological condition of cultured fish serves as a crucial indicator of health status, reproductive maturity, and environmental adaptation (Weatherly &amp; Gill, 1987). This study investigated seasonal and age-related variations in physiological indices of </w:t>
      </w:r>
      <w:r w:rsidRPr="00B80372">
        <w:rPr>
          <w:rFonts w:ascii="Times New Roman" w:eastAsia="Times New Roman" w:hAnsi="Times New Roman" w:cs="Times New Roman"/>
          <w:bCs/>
          <w:i/>
          <w:spacing w:val="1"/>
          <w:kern w:val="36"/>
          <w:sz w:val="24"/>
          <w:szCs w:val="24"/>
          <w:lang w:val="en-IN" w:eastAsia="en-IN"/>
        </w:rPr>
        <w:t xml:space="preserve">Cyprinus </w:t>
      </w:r>
      <w:proofErr w:type="spellStart"/>
      <w:r w:rsidRPr="00B80372">
        <w:rPr>
          <w:rFonts w:ascii="Times New Roman" w:eastAsia="Times New Roman" w:hAnsi="Times New Roman" w:cs="Times New Roman"/>
          <w:bCs/>
          <w:i/>
          <w:spacing w:val="1"/>
          <w:kern w:val="36"/>
          <w:sz w:val="24"/>
          <w:szCs w:val="24"/>
          <w:lang w:val="en-IN" w:eastAsia="en-IN"/>
        </w:rPr>
        <w:t>carpio</w:t>
      </w:r>
      <w:proofErr w:type="spellEnd"/>
      <w:r w:rsidRPr="00B80372">
        <w:rPr>
          <w:rFonts w:ascii="Times New Roman" w:eastAsia="Times New Roman" w:hAnsi="Times New Roman" w:cs="Times New Roman"/>
          <w:bCs/>
          <w:i/>
          <w:spacing w:val="1"/>
          <w:kern w:val="36"/>
          <w:sz w:val="24"/>
          <w:szCs w:val="24"/>
          <w:lang w:val="en-IN" w:eastAsia="en-IN"/>
        </w:rPr>
        <w:t xml:space="preserve"> </w:t>
      </w:r>
      <w:proofErr w:type="spellStart"/>
      <w:r w:rsidRPr="00B80372">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xml:space="preserve"> (Amur common carp) at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Uttarakhand. Female specimens of three age groups (0+, 1+, 2+ years) were sampled across four seasons (July, October, January, March), and four physiological indices were measured: Condition Factor (CF), Specific Condition Factor (SCF), Hepatosomatic Index (HSI), and Gonadosomatic Index (GSI). CF values ranged from 1.46±0.03 to 1.94±0.07, with highest values in spring. SCF showed remarkable stability (1.27±0.02 to 1.58±0.06), indicating consistent somatic condition independent of reproductive investment (Bolger &amp; Connolly, 1989). HSI fluctuated notably (0.82±0.13 to 1.69±0.11), with autumnal elevation refle</w:t>
      </w:r>
      <w:r w:rsidR="00B80372">
        <w:rPr>
          <w:rFonts w:ascii="Times New Roman" w:eastAsia="Times New Roman" w:hAnsi="Times New Roman" w:cs="Times New Roman"/>
          <w:spacing w:val="1"/>
          <w:sz w:val="24"/>
          <w:szCs w:val="24"/>
          <w:lang w:val="en-IN" w:eastAsia="en-IN"/>
        </w:rPr>
        <w:t xml:space="preserve">cting pre-winter energy storage. </w:t>
      </w:r>
      <w:r w:rsidRPr="008711CA">
        <w:rPr>
          <w:rFonts w:ascii="Times New Roman" w:eastAsia="Times New Roman" w:hAnsi="Times New Roman" w:cs="Times New Roman"/>
          <w:spacing w:val="1"/>
          <w:sz w:val="24"/>
          <w:szCs w:val="24"/>
          <w:lang w:val="en-IN" w:eastAsia="en-IN"/>
        </w:rPr>
        <w:t>GSI exhibited pronounced seasonal variation (3.18±0.24 to 18.53±0.66), with spring peaks indicating spawning season onset. Age-dependent analysis revealed 2+ fish demonstrated higher condition indices, suggesting cumulative effects of growth and maturation. These findings provide empirical foundations for season- and age-specific aquaculture management protocols, optimal harvest timing, and breeding program optimization for temperate carp culture.</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
          <w:bCs/>
          <w:spacing w:val="1"/>
          <w:kern w:val="36"/>
          <w:sz w:val="24"/>
          <w:szCs w:val="24"/>
          <w:lang w:val="en-IN" w:eastAsia="en-IN"/>
        </w:rPr>
        <w:t>Keywords:</w:t>
      </w:r>
      <w:r w:rsidRPr="008711CA">
        <w:rPr>
          <w:rFonts w:ascii="Times New Roman" w:eastAsia="Times New Roman" w:hAnsi="Times New Roman" w:cs="Times New Roman"/>
          <w:spacing w:val="1"/>
          <w:sz w:val="24"/>
          <w:szCs w:val="24"/>
          <w:lang w:val="en-IN" w:eastAsia="en-IN"/>
        </w:rPr>
        <w:t>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condition factor, hepatosomatic index, gonadosoma</w:t>
      </w:r>
      <w:r w:rsidR="00AA75BA">
        <w:rPr>
          <w:rFonts w:ascii="Times New Roman" w:eastAsia="Times New Roman" w:hAnsi="Times New Roman" w:cs="Times New Roman"/>
          <w:spacing w:val="1"/>
          <w:sz w:val="24"/>
          <w:szCs w:val="24"/>
          <w:lang w:val="en-IN" w:eastAsia="en-IN"/>
        </w:rPr>
        <w:t>tic index, seasonal physiology</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1. Introduction</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(Amur common carp) is a freshwater cyprinid of significant commercial importance in Asian aquaculture (Froese &amp; Pauly, 2023). This species has been widely introduced to Indian aquaculture systems due to rapid growth rates, high feed conversion efficiency, and environmental adaptability, contributing substantially to food security and rural livelihoods (</w:t>
      </w:r>
      <w:proofErr w:type="spellStart"/>
      <w:r w:rsidRPr="008711CA">
        <w:rPr>
          <w:rFonts w:ascii="Times New Roman" w:eastAsia="Times New Roman" w:hAnsi="Times New Roman" w:cs="Times New Roman"/>
          <w:spacing w:val="1"/>
          <w:sz w:val="24"/>
          <w:szCs w:val="24"/>
          <w:lang w:val="en-IN" w:eastAsia="en-IN"/>
        </w:rPr>
        <w:t>Jhingran</w:t>
      </w:r>
      <w:proofErr w:type="spellEnd"/>
      <w:r w:rsidRPr="008711CA">
        <w:rPr>
          <w:rFonts w:ascii="Times New Roman" w:eastAsia="Times New Roman" w:hAnsi="Times New Roman" w:cs="Times New Roman"/>
          <w:spacing w:val="1"/>
          <w:sz w:val="24"/>
          <w:szCs w:val="24"/>
          <w:lang w:val="en-IN" w:eastAsia="en-IN"/>
        </w:rPr>
        <w:t xml:space="preserve"> &amp; Sinha, 1992; FAO, 2023).</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Physiological indices serve as multifunctional biomarkers reflecting health status, nutritional state, and reproductive readiness (Weatherly &amp; Gill, 1987). The Condition Factor (CF) provides normalized assessment of body robustness (Fulton, 1902). Specific Condition Factor (SCF) isolates somatic condition independent of gonadal development (Bolger &amp; Connolly, 1989). Hepatosomatic Index (HSI) quantifies metabolic capacity and energy storage (González-</w:t>
      </w:r>
      <w:proofErr w:type="spellStart"/>
      <w:r w:rsidRPr="008711CA">
        <w:rPr>
          <w:rFonts w:ascii="Times New Roman" w:eastAsia="Times New Roman" w:hAnsi="Times New Roman" w:cs="Times New Roman"/>
          <w:spacing w:val="1"/>
          <w:sz w:val="24"/>
          <w:szCs w:val="24"/>
          <w:lang w:val="en-IN" w:eastAsia="en-IN"/>
        </w:rPr>
        <w:t>Jáuregui</w:t>
      </w:r>
      <w:proofErr w:type="spellEnd"/>
      <w:r w:rsidRPr="008711CA">
        <w:rPr>
          <w:rFonts w:ascii="Times New Roman" w:eastAsia="Times New Roman" w:hAnsi="Times New Roman" w:cs="Times New Roman"/>
          <w:spacing w:val="1"/>
          <w:sz w:val="24"/>
          <w:szCs w:val="24"/>
          <w:lang w:val="en-IN" w:eastAsia="en-IN"/>
        </w:rPr>
        <w:t xml:space="preserve"> &amp; Villegas-Ríos, 2023), while Gonadosomatic Index (GSI) reliably indicates reproductive maturity (Schulz et al., 2010).</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 xml:space="preserve">Seasonal environmental fluctuations—particularly temperature, photoperiod, and food availability—profoundly influence fish physiology through neuroendocrine mechanisms (Pankhurst &amp; Van der </w:t>
      </w:r>
      <w:proofErr w:type="spellStart"/>
      <w:r w:rsidRPr="008711CA">
        <w:rPr>
          <w:rFonts w:ascii="Times New Roman" w:eastAsia="Times New Roman" w:hAnsi="Times New Roman" w:cs="Times New Roman"/>
          <w:spacing w:val="1"/>
          <w:sz w:val="24"/>
          <w:szCs w:val="24"/>
          <w:lang w:val="en-IN" w:eastAsia="en-IN"/>
        </w:rPr>
        <w:t>Kraak</w:t>
      </w:r>
      <w:proofErr w:type="spellEnd"/>
      <w:r w:rsidRPr="008711CA">
        <w:rPr>
          <w:rFonts w:ascii="Times New Roman" w:eastAsia="Times New Roman" w:hAnsi="Times New Roman" w:cs="Times New Roman"/>
          <w:spacing w:val="1"/>
          <w:sz w:val="24"/>
          <w:szCs w:val="24"/>
          <w:lang w:val="en-IN" w:eastAsia="en-IN"/>
        </w:rPr>
        <w:t xml:space="preserve">, 1997). In temperate regions, such variations trigger </w:t>
      </w:r>
      <w:r w:rsidRPr="008711CA">
        <w:rPr>
          <w:rFonts w:ascii="Times New Roman" w:eastAsia="Times New Roman" w:hAnsi="Times New Roman" w:cs="Times New Roman"/>
          <w:spacing w:val="1"/>
          <w:sz w:val="24"/>
          <w:szCs w:val="24"/>
          <w:lang w:val="en-IN" w:eastAsia="en-IN"/>
        </w:rPr>
        <w:lastRenderedPageBreak/>
        <w:t>coordinated changes in growth, reproduction, and energy allocation (</w:t>
      </w:r>
      <w:proofErr w:type="spellStart"/>
      <w:r w:rsidRPr="008711CA">
        <w:rPr>
          <w:rFonts w:ascii="Times New Roman" w:eastAsia="Times New Roman" w:hAnsi="Times New Roman" w:cs="Times New Roman"/>
          <w:spacing w:val="1"/>
          <w:sz w:val="24"/>
          <w:szCs w:val="24"/>
          <w:lang w:val="en-IN" w:eastAsia="en-IN"/>
        </w:rPr>
        <w:t>Cresswell</w:t>
      </w:r>
      <w:proofErr w:type="spellEnd"/>
      <w:r w:rsidRPr="008711CA">
        <w:rPr>
          <w:rFonts w:ascii="Times New Roman" w:eastAsia="Times New Roman" w:hAnsi="Times New Roman" w:cs="Times New Roman"/>
          <w:spacing w:val="1"/>
          <w:sz w:val="24"/>
          <w:szCs w:val="24"/>
          <w:lang w:val="en-IN" w:eastAsia="en-IN"/>
        </w:rPr>
        <w:t xml:space="preserve"> &amp; Cryer, 2013). Age-dependent responses add complexity, as ontogenetic development progressively increases reproductive allocation and somatic reserve accumulation (Stearns, 1992).</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 xml:space="preserve">Previous research </w:t>
      </w:r>
      <w:r w:rsidRPr="008711CA">
        <w:rPr>
          <w:rFonts w:ascii="Times New Roman" w:eastAsia="Times New Roman" w:hAnsi="Times New Roman" w:cs="Times New Roman"/>
          <w:bCs/>
          <w:spacing w:val="1"/>
          <w:kern w:val="36"/>
          <w:sz w:val="24"/>
          <w:szCs w:val="24"/>
          <w:lang w:val="en-IN" w:eastAsia="en-IN"/>
        </w:rPr>
        <w:t>on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documents seasonal condition variations (</w:t>
      </w:r>
      <w:proofErr w:type="spellStart"/>
      <w:r w:rsidRPr="008711CA">
        <w:rPr>
          <w:rFonts w:ascii="Times New Roman" w:eastAsia="Times New Roman" w:hAnsi="Times New Roman" w:cs="Times New Roman"/>
          <w:spacing w:val="1"/>
          <w:sz w:val="24"/>
          <w:szCs w:val="24"/>
          <w:lang w:val="en-IN" w:eastAsia="en-IN"/>
        </w:rPr>
        <w:t>Toming</w:t>
      </w:r>
      <w:proofErr w:type="spellEnd"/>
      <w:r w:rsidRPr="008711CA">
        <w:rPr>
          <w:rFonts w:ascii="Times New Roman" w:eastAsia="Times New Roman" w:hAnsi="Times New Roman" w:cs="Times New Roman"/>
          <w:spacing w:val="1"/>
          <w:sz w:val="24"/>
          <w:szCs w:val="24"/>
          <w:lang w:val="en-IN" w:eastAsia="en-IN"/>
        </w:rPr>
        <w:t xml:space="preserve"> &amp; </w:t>
      </w:r>
      <w:proofErr w:type="spellStart"/>
      <w:r w:rsidRPr="008711CA">
        <w:rPr>
          <w:rFonts w:ascii="Times New Roman" w:eastAsia="Times New Roman" w:hAnsi="Times New Roman" w:cs="Times New Roman"/>
          <w:spacing w:val="1"/>
          <w:sz w:val="24"/>
          <w:szCs w:val="24"/>
          <w:lang w:val="en-IN" w:eastAsia="en-IN"/>
        </w:rPr>
        <w:t>Järvalt</w:t>
      </w:r>
      <w:proofErr w:type="spellEnd"/>
      <w:r w:rsidRPr="008711CA">
        <w:rPr>
          <w:rFonts w:ascii="Times New Roman" w:eastAsia="Times New Roman" w:hAnsi="Times New Roman" w:cs="Times New Roman"/>
          <w:spacing w:val="1"/>
          <w:sz w:val="24"/>
          <w:szCs w:val="24"/>
          <w:lang w:val="en-IN" w:eastAsia="en-IN"/>
        </w:rPr>
        <w:t>, 2011), but comprehensive age-stratified studies for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bCs/>
          <w:i/>
          <w:spacing w:val="1"/>
          <w:kern w:val="36"/>
          <w:sz w:val="24"/>
          <w:szCs w:val="24"/>
          <w:lang w:val="en-IN" w:eastAsia="en-IN"/>
        </w:rPr>
        <w:t> </w:t>
      </w:r>
      <w:r w:rsidRPr="008711CA">
        <w:rPr>
          <w:rFonts w:ascii="Times New Roman" w:eastAsia="Times New Roman" w:hAnsi="Times New Roman" w:cs="Times New Roman"/>
          <w:spacing w:val="1"/>
          <w:sz w:val="24"/>
          <w:szCs w:val="24"/>
          <w:lang w:val="en-IN" w:eastAsia="en-IN"/>
        </w:rPr>
        <w:t xml:space="preserve">in Indian temperate aquaculture are limited.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Uttarakhand (29.01°N, 79.46°E, 263 m elevation, 5–35°C seasonally) represents a unique temperate aquaculture zone where physiological responses differ significantly from tropical systems (Agarwal &amp; </w:t>
      </w:r>
      <w:proofErr w:type="spellStart"/>
      <w:r w:rsidRPr="008711CA">
        <w:rPr>
          <w:rFonts w:ascii="Times New Roman" w:eastAsia="Times New Roman" w:hAnsi="Times New Roman" w:cs="Times New Roman"/>
          <w:spacing w:val="1"/>
          <w:sz w:val="24"/>
          <w:szCs w:val="24"/>
          <w:lang w:val="en-IN" w:eastAsia="en-IN"/>
        </w:rPr>
        <w:t>Mohanan</w:t>
      </w:r>
      <w:proofErr w:type="spellEnd"/>
      <w:r w:rsidRPr="008711CA">
        <w:rPr>
          <w:rFonts w:ascii="Times New Roman" w:eastAsia="Times New Roman" w:hAnsi="Times New Roman" w:cs="Times New Roman"/>
          <w:spacing w:val="1"/>
          <w:sz w:val="24"/>
          <w:szCs w:val="24"/>
          <w:lang w:val="en-IN" w:eastAsia="en-IN"/>
        </w:rPr>
        <w:t>, 2019).</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Objectives:</w:t>
      </w:r>
      <w:r w:rsidRPr="008711CA">
        <w:rPr>
          <w:rFonts w:ascii="Times New Roman" w:eastAsia="Times New Roman" w:hAnsi="Times New Roman" w:cs="Times New Roman"/>
          <w:spacing w:val="1"/>
          <w:sz w:val="24"/>
          <w:szCs w:val="24"/>
          <w:lang w:val="en-IN" w:eastAsia="en-IN"/>
        </w:rPr>
        <w:t xml:space="preserve"> (1) characterize seasonal CF, SCF, HSI, GSI patterns across an annual cycle; (2) </w:t>
      </w:r>
      <w:proofErr w:type="spellStart"/>
      <w:r w:rsidRPr="008711CA">
        <w:rPr>
          <w:rFonts w:ascii="Times New Roman" w:eastAsia="Times New Roman" w:hAnsi="Times New Roman" w:cs="Times New Roman"/>
          <w:spacing w:val="1"/>
          <w:sz w:val="24"/>
          <w:szCs w:val="24"/>
          <w:lang w:val="en-IN" w:eastAsia="en-IN"/>
        </w:rPr>
        <w:t>analyze</w:t>
      </w:r>
      <w:proofErr w:type="spellEnd"/>
      <w:r w:rsidRPr="008711CA">
        <w:rPr>
          <w:rFonts w:ascii="Times New Roman" w:eastAsia="Times New Roman" w:hAnsi="Times New Roman" w:cs="Times New Roman"/>
          <w:spacing w:val="1"/>
          <w:sz w:val="24"/>
          <w:szCs w:val="24"/>
          <w:lang w:val="en-IN" w:eastAsia="en-IN"/>
        </w:rPr>
        <w:t xml:space="preserve"> age-dependent variations; (3) identify critical periods for reproductive development and nutritional intervention; (4) provide evidence-based management recommendations for temperate carp aquaculture (Boyd, 2015).</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 Materials and Methods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2.1 Study Location and Environmental Context</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This study was conducted at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University of Agriculture and Technology,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Uttarakhand, India (29.01°N, 79.46°E, 263 m elevation).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xml:space="preserve"> experiences humid subtropical climate with distinct seasonal variations: summer (March–June, 20–35°C), monsoon (July–September, 18–28°C, high rainfall), autumn (October–November, 15–25°C), winter (December–February, 5–15°C) (Agarwal &amp; </w:t>
      </w:r>
      <w:proofErr w:type="spellStart"/>
      <w:r w:rsidRPr="008711CA">
        <w:rPr>
          <w:rFonts w:ascii="Times New Roman" w:eastAsia="Times New Roman" w:hAnsi="Times New Roman" w:cs="Times New Roman"/>
          <w:spacing w:val="1"/>
          <w:sz w:val="24"/>
          <w:szCs w:val="24"/>
          <w:lang w:val="en-IN" w:eastAsia="en-IN"/>
        </w:rPr>
        <w:t>Mohanan</w:t>
      </w:r>
      <w:proofErr w:type="spellEnd"/>
      <w:r w:rsidRPr="008711CA">
        <w:rPr>
          <w:rFonts w:ascii="Times New Roman" w:eastAsia="Times New Roman" w:hAnsi="Times New Roman" w:cs="Times New Roman"/>
          <w:spacing w:val="1"/>
          <w:sz w:val="24"/>
          <w:szCs w:val="24"/>
          <w:lang w:val="en-IN" w:eastAsia="en-IN"/>
        </w:rPr>
        <w:t>, 2019). These variations create pronounced seasonal shifts in water temperature, photoperiod, and food availability in outdoor pond systems.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2.2 Fish Procurement and Rearing Conditions</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Female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of three age groups were maintained in outdoor earthen ponds (0.5 ha, 1.5 m depth) at densities of 3,000–4,000 fish/ha. Water quality parameters were monitored fortnightly: dissolved oxygen (5.2–6.8 mg/L), pH (7.2–7.8), total alkalinity (110–140 mg/</w:t>
      </w:r>
      <w:proofErr w:type="spellStart"/>
      <w:r w:rsidRPr="008711CA">
        <w:rPr>
          <w:rFonts w:ascii="Times New Roman" w:eastAsia="Times New Roman" w:hAnsi="Times New Roman" w:cs="Times New Roman"/>
          <w:spacing w:val="1"/>
          <w:sz w:val="24"/>
          <w:szCs w:val="24"/>
          <w:lang w:val="en-IN" w:eastAsia="en-IN"/>
        </w:rPr>
        <w:t>CaCO</w:t>
      </w:r>
      <w:proofErr w:type="spellEnd"/>
      <w:r w:rsidRPr="008711CA">
        <w:rPr>
          <w:rFonts w:ascii="Times New Roman" w:eastAsia="Times New Roman" w:hAnsi="Times New Roman" w:cs="Times New Roman"/>
          <w:spacing w:val="1"/>
          <w:sz w:val="24"/>
          <w:szCs w:val="24"/>
          <w:lang w:val="en-IN" w:eastAsia="en-IN"/>
        </w:rPr>
        <w:t>₃). Fish were fed standard pelleted feed (crude protein 30–35%) at 2–3% body weight daily, adjusted seasonally for temperature-dependent metabolic changes (Boyd, 2015).</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2.3 Sampling Protocol</w:t>
      </w:r>
    </w:p>
    <w:p w:rsidR="008516F2" w:rsidRDefault="008516F2"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516F2">
        <w:rPr>
          <w:rFonts w:ascii="Times New Roman" w:eastAsia="Times New Roman" w:hAnsi="Times New Roman" w:cs="Times New Roman"/>
          <w:spacing w:val="1"/>
          <w:sz w:val="24"/>
          <w:szCs w:val="24"/>
          <w:lang w:val="en-IN" w:eastAsia="en-IN"/>
        </w:rPr>
        <w:t>Stratified random sam</w:t>
      </w:r>
      <w:r>
        <w:rPr>
          <w:rFonts w:ascii="Times New Roman" w:eastAsia="Times New Roman" w:hAnsi="Times New Roman" w:cs="Times New Roman"/>
          <w:spacing w:val="1"/>
          <w:sz w:val="24"/>
          <w:szCs w:val="24"/>
          <w:lang w:val="en-IN" w:eastAsia="en-IN"/>
        </w:rPr>
        <w:t xml:space="preserve">pling was conducted during the </w:t>
      </w:r>
      <w:r w:rsidRPr="008516F2">
        <w:rPr>
          <w:rFonts w:ascii="Times New Roman" w:eastAsia="Times New Roman" w:hAnsi="Times New Roman" w:cs="Times New Roman"/>
          <w:spacing w:val="1"/>
          <w:sz w:val="24"/>
          <w:szCs w:val="24"/>
          <w:lang w:val="en-IN" w:eastAsia="en-IN"/>
        </w:rPr>
        <w:t xml:space="preserve">last week of each representative month: July 25-31 (summer), October 25-31 (autumn), January 25-31 </w:t>
      </w:r>
      <w:r>
        <w:rPr>
          <w:rFonts w:ascii="Times New Roman" w:eastAsia="Times New Roman" w:hAnsi="Times New Roman" w:cs="Times New Roman"/>
          <w:spacing w:val="1"/>
          <w:sz w:val="24"/>
          <w:szCs w:val="24"/>
          <w:lang w:val="en-IN" w:eastAsia="en-IN"/>
        </w:rPr>
        <w:t>(winter), March 25-31 (spring)</w:t>
      </w:r>
      <w:r w:rsidRPr="008516F2">
        <w:rPr>
          <w:rFonts w:ascii="Times New Roman" w:eastAsia="Times New Roman" w:hAnsi="Times New Roman" w:cs="Times New Roman"/>
          <w:spacing w:val="1"/>
          <w:sz w:val="24"/>
          <w:szCs w:val="24"/>
          <w:lang w:val="en-IN" w:eastAsia="en-IN"/>
        </w:rPr>
        <w:t xml:space="preserve"> to capture peak seasonal physiological states while minimizing intra-s</w:t>
      </w:r>
      <w:r>
        <w:rPr>
          <w:rFonts w:ascii="Times New Roman" w:eastAsia="Times New Roman" w:hAnsi="Times New Roman" w:cs="Times New Roman"/>
          <w:spacing w:val="1"/>
          <w:sz w:val="24"/>
          <w:szCs w:val="24"/>
          <w:lang w:val="en-IN" w:eastAsia="en-IN"/>
        </w:rPr>
        <w:t xml:space="preserve">easonal variability. </w:t>
      </w:r>
      <w:r w:rsidRPr="008516F2">
        <w:rPr>
          <w:rFonts w:ascii="Times New Roman" w:eastAsia="Times New Roman" w:hAnsi="Times New Roman" w:cs="Times New Roman"/>
          <w:spacing w:val="1"/>
          <w:sz w:val="24"/>
          <w:szCs w:val="24"/>
          <w:lang w:val="en-IN" w:eastAsia="en-IN"/>
        </w:rPr>
        <w:t>This temporal stratification ensured consistent photoperiod (10-14 hours) and temperature exposu</w:t>
      </w:r>
      <w:r>
        <w:rPr>
          <w:rFonts w:ascii="Times New Roman" w:eastAsia="Times New Roman" w:hAnsi="Times New Roman" w:cs="Times New Roman"/>
          <w:spacing w:val="1"/>
          <w:sz w:val="24"/>
          <w:szCs w:val="24"/>
          <w:lang w:val="en-IN" w:eastAsia="en-IN"/>
        </w:rPr>
        <w:t xml:space="preserve">re (5-35°C) across age groups. At each sampling event, </w:t>
      </w:r>
      <w:r w:rsidRPr="008516F2">
        <w:rPr>
          <w:rFonts w:ascii="Times New Roman" w:eastAsia="Times New Roman" w:hAnsi="Times New Roman" w:cs="Times New Roman"/>
          <w:spacing w:val="1"/>
          <w:sz w:val="24"/>
          <w:szCs w:val="24"/>
          <w:lang w:val="en-IN" w:eastAsia="en-IN"/>
        </w:rPr>
        <w:t>8-12 female fish per age group (total n = 24-36 fish per season) were randomly selected using standard</w:t>
      </w:r>
      <w:r>
        <w:rPr>
          <w:rFonts w:ascii="Times New Roman" w:eastAsia="Times New Roman" w:hAnsi="Times New Roman" w:cs="Times New Roman"/>
          <w:spacing w:val="1"/>
          <w:sz w:val="24"/>
          <w:szCs w:val="24"/>
          <w:lang w:val="en-IN" w:eastAsia="en-IN"/>
        </w:rPr>
        <w:t xml:space="preserve">ized dip nets </w:t>
      </w:r>
      <w:r w:rsidRPr="008516F2">
        <w:rPr>
          <w:rFonts w:ascii="Times New Roman" w:eastAsia="Times New Roman" w:hAnsi="Times New Roman" w:cs="Times New Roman"/>
          <w:spacing w:val="1"/>
          <w:sz w:val="24"/>
          <w:szCs w:val="24"/>
          <w:lang w:val="en-IN" w:eastAsia="en-IN"/>
        </w:rPr>
        <w:t xml:space="preserve">from multiple pond locations to </w:t>
      </w:r>
      <w:r>
        <w:rPr>
          <w:rFonts w:ascii="Times New Roman" w:eastAsia="Times New Roman" w:hAnsi="Times New Roman" w:cs="Times New Roman"/>
          <w:spacing w:val="1"/>
          <w:sz w:val="24"/>
          <w:szCs w:val="24"/>
          <w:lang w:val="en-IN" w:eastAsia="en-IN"/>
        </w:rPr>
        <w:t xml:space="preserve">avoid spatial bias. Fish were </w:t>
      </w:r>
      <w:r w:rsidRPr="008516F2">
        <w:rPr>
          <w:rFonts w:ascii="Times New Roman" w:eastAsia="Times New Roman" w:hAnsi="Times New Roman" w:cs="Times New Roman"/>
          <w:spacing w:val="1"/>
          <w:sz w:val="24"/>
          <w:szCs w:val="24"/>
          <w:lang w:val="en-IN" w:eastAsia="en-IN"/>
        </w:rPr>
        <w:lastRenderedPageBreak/>
        <w:t xml:space="preserve">immediately immobilized in aerated 0.02% benzocaine solution (pH 7.2-7.4, buffered with </w:t>
      </w:r>
      <w:proofErr w:type="spellStart"/>
      <w:r w:rsidRPr="008516F2">
        <w:rPr>
          <w:rFonts w:ascii="Times New Roman" w:eastAsia="Times New Roman" w:hAnsi="Times New Roman" w:cs="Times New Roman"/>
          <w:spacing w:val="1"/>
          <w:sz w:val="24"/>
          <w:szCs w:val="24"/>
          <w:lang w:val="en-IN" w:eastAsia="en-IN"/>
        </w:rPr>
        <w:t>NaHCO</w:t>
      </w:r>
      <w:proofErr w:type="spellEnd"/>
      <w:r w:rsidRPr="008516F2">
        <w:rPr>
          <w:rFonts w:ascii="Times New Roman" w:eastAsia="Times New Roman" w:hAnsi="Times New Roman" w:cs="Times New Roman"/>
          <w:spacing w:val="1"/>
          <w:sz w:val="24"/>
          <w:szCs w:val="24"/>
          <w:lang w:val="en-IN" w:eastAsia="en-IN"/>
        </w:rPr>
        <w:t xml:space="preserve">₃) for 2-4 minutes until Stage III </w:t>
      </w:r>
      <w:proofErr w:type="spellStart"/>
      <w:r w:rsidRPr="008516F2">
        <w:rPr>
          <w:rFonts w:ascii="Times New Roman" w:eastAsia="Times New Roman" w:hAnsi="Times New Roman" w:cs="Times New Roman"/>
          <w:spacing w:val="1"/>
          <w:sz w:val="24"/>
          <w:szCs w:val="24"/>
          <w:lang w:val="en-IN" w:eastAsia="en-IN"/>
        </w:rPr>
        <w:t>anesthesia</w:t>
      </w:r>
      <w:proofErr w:type="spellEnd"/>
      <w:r w:rsidRPr="008516F2">
        <w:rPr>
          <w:rFonts w:ascii="Times New Roman" w:eastAsia="Times New Roman" w:hAnsi="Times New Roman" w:cs="Times New Roman"/>
          <w:spacing w:val="1"/>
          <w:sz w:val="24"/>
          <w:szCs w:val="24"/>
          <w:lang w:val="en-IN" w:eastAsia="en-IN"/>
        </w:rPr>
        <w:t xml:space="preserve"> (loss of equil</w:t>
      </w:r>
      <w:r>
        <w:rPr>
          <w:rFonts w:ascii="Times New Roman" w:eastAsia="Times New Roman" w:hAnsi="Times New Roman" w:cs="Times New Roman"/>
          <w:spacing w:val="1"/>
          <w:sz w:val="24"/>
          <w:szCs w:val="24"/>
          <w:lang w:val="en-IN" w:eastAsia="en-IN"/>
        </w:rPr>
        <w:t>ibrium, no opercular movement)</w:t>
      </w:r>
      <w:r w:rsidRPr="008516F2">
        <w:rPr>
          <w:rFonts w:ascii="Times New Roman" w:eastAsia="Times New Roman" w:hAnsi="Times New Roman" w:cs="Times New Roman"/>
          <w:spacing w:val="1"/>
          <w:sz w:val="24"/>
          <w:szCs w:val="24"/>
          <w:lang w:val="en-IN" w:eastAsia="en-IN"/>
        </w:rPr>
        <w:t>.</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2.4 Morphometric and Gonadal Measurements</w:t>
      </w:r>
    </w:p>
    <w:p w:rsidR="008516F2" w:rsidRDefault="008516F2"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516F2">
        <w:rPr>
          <w:rFonts w:ascii="Times New Roman" w:eastAsia="Times New Roman" w:hAnsi="Times New Roman" w:cs="Times New Roman"/>
          <w:spacing w:val="1"/>
          <w:sz w:val="24"/>
          <w:szCs w:val="24"/>
          <w:lang w:val="en-IN" w:eastAsia="en-IN"/>
        </w:rPr>
        <w:t>Immediately post-</w:t>
      </w:r>
      <w:proofErr w:type="spellStart"/>
      <w:r w:rsidRPr="008516F2">
        <w:rPr>
          <w:rFonts w:ascii="Times New Roman" w:eastAsia="Times New Roman" w:hAnsi="Times New Roman" w:cs="Times New Roman"/>
          <w:spacing w:val="1"/>
          <w:sz w:val="24"/>
          <w:szCs w:val="24"/>
          <w:lang w:val="en-IN" w:eastAsia="en-IN"/>
        </w:rPr>
        <w:t>anesthesia</w:t>
      </w:r>
      <w:proofErr w:type="spellEnd"/>
      <w:r w:rsidRPr="008516F2">
        <w:rPr>
          <w:rFonts w:ascii="Times New Roman" w:eastAsia="Times New Roman" w:hAnsi="Times New Roman" w:cs="Times New Roman"/>
          <w:spacing w:val="1"/>
          <w:sz w:val="24"/>
          <w:szCs w:val="24"/>
          <w:lang w:val="en-IN" w:eastAsia="en-IN"/>
        </w:rPr>
        <w:t>, morphometric measurements followed standardized protocols performed by a single observer to eliminat</w:t>
      </w:r>
      <w:r>
        <w:rPr>
          <w:rFonts w:ascii="Times New Roman" w:eastAsia="Times New Roman" w:hAnsi="Times New Roman" w:cs="Times New Roman"/>
          <w:spacing w:val="1"/>
          <w:sz w:val="24"/>
          <w:szCs w:val="24"/>
          <w:lang w:val="en-IN" w:eastAsia="en-IN"/>
        </w:rPr>
        <w:t xml:space="preserve">e inter-observer variability. </w:t>
      </w:r>
      <w:r w:rsidRPr="008516F2">
        <w:rPr>
          <w:rFonts w:ascii="Times New Roman" w:eastAsia="Times New Roman" w:hAnsi="Times New Roman" w:cs="Times New Roman"/>
          <w:spacing w:val="1"/>
          <w:sz w:val="24"/>
          <w:szCs w:val="24"/>
          <w:lang w:val="en-IN" w:eastAsia="en-IN"/>
        </w:rPr>
        <w:t>T</w:t>
      </w:r>
      <w:r>
        <w:rPr>
          <w:rFonts w:ascii="Times New Roman" w:eastAsia="Times New Roman" w:hAnsi="Times New Roman" w:cs="Times New Roman"/>
          <w:spacing w:val="1"/>
          <w:sz w:val="24"/>
          <w:szCs w:val="24"/>
          <w:lang w:val="en-IN" w:eastAsia="en-IN"/>
        </w:rPr>
        <w:t xml:space="preserve">otal length (TL) was measured </w:t>
      </w:r>
      <w:r w:rsidRPr="008516F2">
        <w:rPr>
          <w:rFonts w:ascii="Times New Roman" w:eastAsia="Times New Roman" w:hAnsi="Times New Roman" w:cs="Times New Roman"/>
          <w:spacing w:val="1"/>
          <w:sz w:val="24"/>
          <w:szCs w:val="24"/>
          <w:lang w:val="en-IN" w:eastAsia="en-IN"/>
        </w:rPr>
        <w:t xml:space="preserve">from snout tip to caudal fork tip along body axis using Mitutoyo digital </w:t>
      </w:r>
      <w:proofErr w:type="spellStart"/>
      <w:r w:rsidRPr="008516F2">
        <w:rPr>
          <w:rFonts w:ascii="Times New Roman" w:eastAsia="Times New Roman" w:hAnsi="Times New Roman" w:cs="Times New Roman"/>
          <w:spacing w:val="1"/>
          <w:sz w:val="24"/>
          <w:szCs w:val="24"/>
          <w:lang w:val="en-IN" w:eastAsia="en-IN"/>
        </w:rPr>
        <w:t>calipers</w:t>
      </w:r>
      <w:proofErr w:type="spellEnd"/>
      <w:r w:rsidRPr="008516F2">
        <w:rPr>
          <w:rFonts w:ascii="Times New Roman" w:eastAsia="Times New Roman" w:hAnsi="Times New Roman" w:cs="Times New Roman"/>
          <w:spacing w:val="1"/>
          <w:sz w:val="24"/>
          <w:szCs w:val="24"/>
          <w:lang w:val="en-IN" w:eastAsia="en-IN"/>
        </w:rPr>
        <w:t xml:space="preserve"> (Model CD-15AX, 0-150 mm</w:t>
      </w:r>
      <w:r>
        <w:rPr>
          <w:rFonts w:ascii="Times New Roman" w:eastAsia="Times New Roman" w:hAnsi="Times New Roman" w:cs="Times New Roman"/>
          <w:spacing w:val="1"/>
          <w:sz w:val="24"/>
          <w:szCs w:val="24"/>
          <w:lang w:val="en-IN" w:eastAsia="en-IN"/>
        </w:rPr>
        <w:t xml:space="preserve"> range, ±0.1 mm precision). </w:t>
      </w:r>
      <w:r w:rsidRPr="008516F2">
        <w:rPr>
          <w:rFonts w:ascii="Times New Roman" w:eastAsia="Times New Roman" w:hAnsi="Times New Roman" w:cs="Times New Roman"/>
          <w:spacing w:val="1"/>
          <w:sz w:val="24"/>
          <w:szCs w:val="24"/>
          <w:lang w:val="en-IN" w:eastAsia="en-IN"/>
        </w:rPr>
        <w:t>Body mass (BM), liver mass (LM), and gonad mass (GM) were recorded to ±0.01 g using Ohaus Scout SKX123 portable balance after blotting excess water with standardized absorbent pa</w:t>
      </w:r>
      <w:r>
        <w:rPr>
          <w:rFonts w:ascii="Times New Roman" w:eastAsia="Times New Roman" w:hAnsi="Times New Roman" w:cs="Times New Roman"/>
          <w:spacing w:val="1"/>
          <w:sz w:val="24"/>
          <w:szCs w:val="24"/>
          <w:lang w:val="en-IN" w:eastAsia="en-IN"/>
        </w:rPr>
        <w:t xml:space="preserve">per for 10 seconds. </w:t>
      </w:r>
      <w:r w:rsidRPr="008516F2">
        <w:rPr>
          <w:rFonts w:ascii="Times New Roman" w:eastAsia="Times New Roman" w:hAnsi="Times New Roman" w:cs="Times New Roman"/>
          <w:spacing w:val="1"/>
          <w:sz w:val="24"/>
          <w:szCs w:val="24"/>
          <w:lang w:val="en-IN" w:eastAsia="en-IN"/>
        </w:rPr>
        <w:t xml:space="preserve">Liver and gonads were carefully dissected, weighed intact, and preserved in </w:t>
      </w:r>
      <w:r>
        <w:rPr>
          <w:rFonts w:ascii="Times New Roman" w:eastAsia="Times New Roman" w:hAnsi="Times New Roman" w:cs="Times New Roman"/>
          <w:spacing w:val="1"/>
          <w:sz w:val="24"/>
          <w:szCs w:val="24"/>
          <w:lang w:val="en-IN" w:eastAsia="en-IN"/>
        </w:rPr>
        <w:t xml:space="preserve">10% neutral buffered formalin. All specimens were processed </w:t>
      </w:r>
      <w:r w:rsidRPr="008516F2">
        <w:rPr>
          <w:rFonts w:ascii="Times New Roman" w:eastAsia="Times New Roman" w:hAnsi="Times New Roman" w:cs="Times New Roman"/>
          <w:spacing w:val="1"/>
          <w:sz w:val="24"/>
          <w:szCs w:val="24"/>
          <w:lang w:val="en-IN" w:eastAsia="en-IN"/>
        </w:rPr>
        <w:t>within 30 minutes of capture, as cyprinid post-mortem weight error exceeds 5% beyond 45 minu</w:t>
      </w:r>
      <w:r>
        <w:rPr>
          <w:rFonts w:ascii="Times New Roman" w:eastAsia="Times New Roman" w:hAnsi="Times New Roman" w:cs="Times New Roman"/>
          <w:spacing w:val="1"/>
          <w:sz w:val="24"/>
          <w:szCs w:val="24"/>
          <w:lang w:val="en-IN" w:eastAsia="en-IN"/>
        </w:rPr>
        <w:t>tes (</w:t>
      </w:r>
      <w:proofErr w:type="spellStart"/>
      <w:r>
        <w:rPr>
          <w:rFonts w:ascii="Times New Roman" w:eastAsia="Times New Roman" w:hAnsi="Times New Roman" w:cs="Times New Roman"/>
          <w:spacing w:val="1"/>
          <w:sz w:val="24"/>
          <w:szCs w:val="24"/>
          <w:lang w:val="en-IN" w:eastAsia="en-IN"/>
        </w:rPr>
        <w:t>Zar</w:t>
      </w:r>
      <w:proofErr w:type="spellEnd"/>
      <w:r>
        <w:rPr>
          <w:rFonts w:ascii="Times New Roman" w:eastAsia="Times New Roman" w:hAnsi="Times New Roman" w:cs="Times New Roman"/>
          <w:spacing w:val="1"/>
          <w:sz w:val="24"/>
          <w:szCs w:val="24"/>
          <w:lang w:val="en-IN" w:eastAsia="en-IN"/>
        </w:rPr>
        <w:t>, 2010)</w:t>
      </w:r>
      <w:r w:rsidRPr="008516F2">
        <w:rPr>
          <w:rFonts w:ascii="Times New Roman" w:eastAsia="Times New Roman" w:hAnsi="Times New Roman" w:cs="Times New Roman"/>
          <w:spacing w:val="1"/>
          <w:sz w:val="24"/>
          <w:szCs w:val="24"/>
          <w:lang w:val="en-IN" w:eastAsia="en-IN"/>
        </w:rPr>
        <w:t>.</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2.5 Physiological Indices Calculation</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Condition Factor (CF):</w:t>
      </w:r>
      <w:r w:rsidRPr="008711CA">
        <w:rPr>
          <w:rFonts w:ascii="Times New Roman" w:eastAsia="Times New Roman" w:hAnsi="Times New Roman" w:cs="Times New Roman"/>
          <w:spacing w:val="1"/>
          <w:sz w:val="24"/>
          <w:szCs w:val="24"/>
          <w:lang w:val="en-IN" w:eastAsia="en-IN"/>
        </w:rPr>
        <w:t> CF = (BM / TL³) × 100 (Fulton, 1902)</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Specific Condition Factor (SCF):</w:t>
      </w:r>
      <w:r w:rsidRPr="008711CA">
        <w:rPr>
          <w:rFonts w:ascii="Times New Roman" w:eastAsia="Times New Roman" w:hAnsi="Times New Roman" w:cs="Times New Roman"/>
          <w:spacing w:val="1"/>
          <w:sz w:val="24"/>
          <w:szCs w:val="24"/>
          <w:lang w:val="en-IN" w:eastAsia="en-IN"/>
        </w:rPr>
        <w:t> SCF = [(BM – GM) / TL³] × 100 (Bolger &amp; Connolly, 1989)</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Hepatosomatic Index (HSI):</w:t>
      </w:r>
      <w:r w:rsidRPr="008711CA">
        <w:rPr>
          <w:rFonts w:ascii="Times New Roman" w:eastAsia="Times New Roman" w:hAnsi="Times New Roman" w:cs="Times New Roman"/>
          <w:spacing w:val="1"/>
          <w:sz w:val="24"/>
          <w:szCs w:val="24"/>
          <w:lang w:val="en-IN" w:eastAsia="en-IN"/>
        </w:rPr>
        <w:t> HSI = (LM / BM) × 100 (González-</w:t>
      </w:r>
      <w:proofErr w:type="spellStart"/>
      <w:r w:rsidRPr="008711CA">
        <w:rPr>
          <w:rFonts w:ascii="Times New Roman" w:eastAsia="Times New Roman" w:hAnsi="Times New Roman" w:cs="Times New Roman"/>
          <w:spacing w:val="1"/>
          <w:sz w:val="24"/>
          <w:szCs w:val="24"/>
          <w:lang w:val="en-IN" w:eastAsia="en-IN"/>
        </w:rPr>
        <w:t>Jáuregui</w:t>
      </w:r>
      <w:proofErr w:type="spellEnd"/>
      <w:r w:rsidRPr="008711CA">
        <w:rPr>
          <w:rFonts w:ascii="Times New Roman" w:eastAsia="Times New Roman" w:hAnsi="Times New Roman" w:cs="Times New Roman"/>
          <w:spacing w:val="1"/>
          <w:sz w:val="24"/>
          <w:szCs w:val="24"/>
          <w:lang w:val="en-IN" w:eastAsia="en-IN"/>
        </w:rPr>
        <w:t xml:space="preserve"> &amp; Villegas-Ríos, 2023)</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Gonadosomatic Index (GSI):</w:t>
      </w:r>
      <w:r w:rsidRPr="008711CA">
        <w:rPr>
          <w:rFonts w:ascii="Times New Roman" w:eastAsia="Times New Roman" w:hAnsi="Times New Roman" w:cs="Times New Roman"/>
          <w:bCs/>
          <w:spacing w:val="1"/>
          <w:kern w:val="36"/>
          <w:sz w:val="24"/>
          <w:szCs w:val="24"/>
          <w:lang w:val="en-IN" w:eastAsia="en-IN"/>
        </w:rPr>
        <w:t> </w:t>
      </w:r>
      <w:r w:rsidRPr="008711CA">
        <w:rPr>
          <w:rFonts w:ascii="Times New Roman" w:eastAsia="Times New Roman" w:hAnsi="Times New Roman" w:cs="Times New Roman"/>
          <w:spacing w:val="1"/>
          <w:sz w:val="24"/>
          <w:szCs w:val="24"/>
          <w:lang w:val="en-IN" w:eastAsia="en-IN"/>
        </w:rPr>
        <w:t>GSI = (GM / BM) × 100 (Schulz et al., 2010)</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2.6 Statistical Analysis</w:t>
      </w:r>
    </w:p>
    <w:p w:rsidR="008516F2" w:rsidRDefault="008516F2"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516F2">
        <w:rPr>
          <w:rFonts w:ascii="Times New Roman" w:eastAsia="Times New Roman" w:hAnsi="Times New Roman" w:cs="Times New Roman"/>
          <w:spacing w:val="1"/>
          <w:sz w:val="24"/>
          <w:szCs w:val="24"/>
          <w:lang w:val="en-IN" w:eastAsia="en-IN"/>
        </w:rPr>
        <w:t xml:space="preserve">All statistical analyses were conducted using R statistical software (v. 4.1.2, R Core Team, 2021). Data normality was assessed using Shapiro-Wilk tests (W &gt; 0.92, p &gt; 0.05 for all indices) and homogeneity of variance confirmed via </w:t>
      </w:r>
      <w:proofErr w:type="spellStart"/>
      <w:r w:rsidRPr="008516F2">
        <w:rPr>
          <w:rFonts w:ascii="Times New Roman" w:eastAsia="Times New Roman" w:hAnsi="Times New Roman" w:cs="Times New Roman"/>
          <w:spacing w:val="1"/>
          <w:sz w:val="24"/>
          <w:szCs w:val="24"/>
          <w:lang w:val="en-IN" w:eastAsia="en-IN"/>
        </w:rPr>
        <w:t>Le</w:t>
      </w:r>
      <w:r>
        <w:rPr>
          <w:rFonts w:ascii="Times New Roman" w:eastAsia="Times New Roman" w:hAnsi="Times New Roman" w:cs="Times New Roman"/>
          <w:spacing w:val="1"/>
          <w:sz w:val="24"/>
          <w:szCs w:val="24"/>
          <w:lang w:val="en-IN" w:eastAsia="en-IN"/>
        </w:rPr>
        <w:t>vene's</w:t>
      </w:r>
      <w:proofErr w:type="spellEnd"/>
      <w:r>
        <w:rPr>
          <w:rFonts w:ascii="Times New Roman" w:eastAsia="Times New Roman" w:hAnsi="Times New Roman" w:cs="Times New Roman"/>
          <w:spacing w:val="1"/>
          <w:sz w:val="24"/>
          <w:szCs w:val="24"/>
          <w:lang w:val="en-IN" w:eastAsia="en-IN"/>
        </w:rPr>
        <w:t xml:space="preserve"> tests (p &gt; 0.10).</w:t>
      </w:r>
      <w:r w:rsidRPr="008516F2">
        <w:rPr>
          <w:rFonts w:ascii="Times New Roman" w:eastAsia="Times New Roman" w:hAnsi="Times New Roman" w:cs="Times New Roman"/>
          <w:spacing w:val="1"/>
          <w:sz w:val="24"/>
          <w:szCs w:val="24"/>
          <w:lang w:val="en-IN" w:eastAsia="en-IN"/>
        </w:rPr>
        <w:t xml:space="preserve"> Two-way Analysis of Variance (ANOVA) was employed to </w:t>
      </w:r>
      <w:r>
        <w:rPr>
          <w:rFonts w:ascii="Times New Roman" w:eastAsia="Times New Roman" w:hAnsi="Times New Roman" w:cs="Times New Roman"/>
          <w:spacing w:val="1"/>
          <w:sz w:val="24"/>
          <w:szCs w:val="24"/>
          <w:lang w:val="en-IN" w:eastAsia="en-IN"/>
        </w:rPr>
        <w:t xml:space="preserve">partition total variance into </w:t>
      </w:r>
      <w:r w:rsidRPr="008516F2">
        <w:rPr>
          <w:rFonts w:ascii="Times New Roman" w:eastAsia="Times New Roman" w:hAnsi="Times New Roman" w:cs="Times New Roman"/>
          <w:spacing w:val="1"/>
          <w:sz w:val="24"/>
          <w:szCs w:val="24"/>
          <w:lang w:val="en-IN" w:eastAsia="en-IN"/>
        </w:rPr>
        <w:t>three components: (1) main effect of Season (4 levels: Summer, Autumn, Winter, Spring), (2) main effect of Age Group (3 levels: 0+, 1+, 2+), and</w:t>
      </w:r>
      <w:r>
        <w:rPr>
          <w:rFonts w:ascii="Times New Roman" w:eastAsia="Times New Roman" w:hAnsi="Times New Roman" w:cs="Times New Roman"/>
          <w:spacing w:val="1"/>
          <w:sz w:val="24"/>
          <w:szCs w:val="24"/>
          <w:lang w:val="en-IN" w:eastAsia="en-IN"/>
        </w:rPr>
        <w:t xml:space="preserve"> (3) Season × Age interaction</w:t>
      </w:r>
      <w:r w:rsidRPr="008516F2">
        <w:rPr>
          <w:rFonts w:ascii="Times New Roman" w:eastAsia="Times New Roman" w:hAnsi="Times New Roman" w:cs="Times New Roman"/>
          <w:spacing w:val="1"/>
          <w:sz w:val="24"/>
          <w:szCs w:val="24"/>
          <w:lang w:val="en-IN" w:eastAsia="en-IN"/>
        </w:rPr>
        <w:t>, enabling detection of both independent and sy</w:t>
      </w:r>
      <w:r>
        <w:rPr>
          <w:rFonts w:ascii="Times New Roman" w:eastAsia="Times New Roman" w:hAnsi="Times New Roman" w:cs="Times New Roman"/>
          <w:spacing w:val="1"/>
          <w:sz w:val="24"/>
          <w:szCs w:val="24"/>
          <w:lang w:val="en-IN" w:eastAsia="en-IN"/>
        </w:rPr>
        <w:t xml:space="preserve">nergistic effects (α = 0.05). </w:t>
      </w:r>
      <w:r w:rsidRPr="008516F2">
        <w:rPr>
          <w:rFonts w:ascii="Times New Roman" w:eastAsia="Times New Roman" w:hAnsi="Times New Roman" w:cs="Times New Roman"/>
          <w:spacing w:val="1"/>
          <w:sz w:val="24"/>
          <w:szCs w:val="24"/>
          <w:lang w:val="en-IN" w:eastAsia="en-IN"/>
        </w:rPr>
        <w:t xml:space="preserve">Where significant effects were detected (p &lt; 0.05), Tukey's Honestly Significant Difference (HSD) post-hoc tests identified specific pairwise group differences while controlling family-wise Type I error rate at 0.05, preferred over Bonferroni correction due to higher statistical </w:t>
      </w:r>
      <w:r>
        <w:rPr>
          <w:rFonts w:ascii="Times New Roman" w:eastAsia="Times New Roman" w:hAnsi="Times New Roman" w:cs="Times New Roman"/>
          <w:spacing w:val="1"/>
          <w:sz w:val="24"/>
          <w:szCs w:val="24"/>
          <w:lang w:val="en-IN" w:eastAsia="en-IN"/>
        </w:rPr>
        <w:t xml:space="preserve">power for balanced designs. </w:t>
      </w:r>
      <w:r w:rsidRPr="008516F2">
        <w:rPr>
          <w:rFonts w:ascii="Times New Roman" w:eastAsia="Times New Roman" w:hAnsi="Times New Roman" w:cs="Times New Roman"/>
          <w:spacing w:val="1"/>
          <w:sz w:val="24"/>
          <w:szCs w:val="24"/>
          <w:lang w:val="en-IN" w:eastAsia="en-IN"/>
        </w:rPr>
        <w:t>HSI-GSI relationships were quantified using Pearson product-moment correlations (r) to test e</w:t>
      </w:r>
      <w:r>
        <w:rPr>
          <w:rFonts w:ascii="Times New Roman" w:eastAsia="Times New Roman" w:hAnsi="Times New Roman" w:cs="Times New Roman"/>
          <w:spacing w:val="1"/>
          <w:sz w:val="24"/>
          <w:szCs w:val="24"/>
          <w:lang w:val="en-IN" w:eastAsia="en-IN"/>
        </w:rPr>
        <w:t xml:space="preserve">nergy trade-off hypotheses. </w:t>
      </w:r>
      <w:r w:rsidRPr="008516F2">
        <w:rPr>
          <w:rFonts w:ascii="Times New Roman" w:eastAsia="Times New Roman" w:hAnsi="Times New Roman" w:cs="Times New Roman"/>
          <w:spacing w:val="1"/>
          <w:sz w:val="24"/>
          <w:szCs w:val="24"/>
          <w:lang w:val="en-IN" w:eastAsia="en-IN"/>
        </w:rPr>
        <w:t>Data are presented as mean ± standard error of the mean (SEM); percentage changes calculated as [(Value₁ - Value₂) / Value₂] ×</w:t>
      </w:r>
      <w:r>
        <w:rPr>
          <w:rFonts w:ascii="Times New Roman" w:eastAsia="Times New Roman" w:hAnsi="Times New Roman" w:cs="Times New Roman"/>
          <w:spacing w:val="1"/>
          <w:sz w:val="24"/>
          <w:szCs w:val="24"/>
          <w:lang w:val="en-IN" w:eastAsia="en-IN"/>
        </w:rPr>
        <w:t xml:space="preserve"> 100.</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lastRenderedPageBreak/>
        <w:t>3. Results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3.1 Condition Factor (CF) Across Age Groups and Seasons</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Female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demonstrated age-dependent and season-dependent CF variations. In 0+ group, CF ranged 1.46±0.03 (winter) to 1.58±0.03 (summer), 8.2% amplitude. The 1+ group showed greater fluctuation: 1.32±0.02 (autumn) to 1.86±0.03 (spring), 40.9% amplitude. The 2+ group exhibited highest values: 1.62±0.04 (autumn) to 1.94±0.07 (spring), 19.8% amplitude (Table 1).</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Spring recorded highest CF (mean 1.78±0.08); autumn lowest (1.50±0.05). Seasonal pattern was significant (ANOVA: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12.47, p &lt; 0.001). Age effect significant (F</w:t>
      </w:r>
      <w:proofErr w:type="gramStart"/>
      <w:r w:rsidRPr="008711CA">
        <w:rPr>
          <w:rFonts w:ascii="Times New Roman" w:eastAsia="Times New Roman" w:hAnsi="Times New Roman" w:cs="Times New Roman"/>
          <w:spacing w:val="1"/>
          <w:sz w:val="24"/>
          <w:szCs w:val="24"/>
          <w:lang w:val="en-IN" w:eastAsia="en-IN"/>
        </w:rPr>
        <w:t>₂,₃</w:t>
      </w:r>
      <w:proofErr w:type="gramEnd"/>
      <w:r w:rsidRPr="008711CA">
        <w:rPr>
          <w:rFonts w:ascii="Times New Roman" w:eastAsia="Times New Roman" w:hAnsi="Times New Roman" w:cs="Times New Roman"/>
          <w:spacing w:val="1"/>
          <w:sz w:val="24"/>
          <w:szCs w:val="24"/>
          <w:lang w:val="en-IN" w:eastAsia="en-IN"/>
        </w:rPr>
        <w:t>₀ = 18.34, p &lt; 0.001), with 2+ fish showing higher CF than 0+ and 1+ groups. Age × Season interaction non-significant (F</w:t>
      </w:r>
      <w:proofErr w:type="gramStart"/>
      <w:r w:rsidRPr="008711CA">
        <w:rPr>
          <w:rFonts w:ascii="Times New Roman" w:eastAsia="Times New Roman" w:hAnsi="Times New Roman" w:cs="Times New Roman"/>
          <w:spacing w:val="1"/>
          <w:sz w:val="24"/>
          <w:szCs w:val="24"/>
          <w:lang w:val="en-IN" w:eastAsia="en-IN"/>
        </w:rPr>
        <w:t>₆,₂</w:t>
      </w:r>
      <w:proofErr w:type="gramEnd"/>
      <w:r w:rsidRPr="008711CA">
        <w:rPr>
          <w:rFonts w:ascii="Times New Roman" w:eastAsia="Times New Roman" w:hAnsi="Times New Roman" w:cs="Times New Roman"/>
          <w:spacing w:val="1"/>
          <w:sz w:val="24"/>
          <w:szCs w:val="24"/>
          <w:lang w:val="en-IN" w:eastAsia="en-IN"/>
        </w:rPr>
        <w:t>₇ = 1.89, p = 0.11).</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drawing>
          <wp:inline distT="0" distB="0" distL="0" distR="0" wp14:anchorId="48BC669B" wp14:editId="7EB91CC0">
            <wp:extent cx="4876800" cy="3251199"/>
            <wp:effectExtent l="0" t="0" r="0" b="6985"/>
            <wp:docPr id="1" name="Picture 1" descr="Figure 1. Seasonal variation in condition factor (CF) of female Cyprinus carpio haematopterus across age groups at Pantnagar, Uttarakhand,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igure 1. Seasonal variation in condition factor (CF) of female Cyprinus carpio haematopterus across age groups at Pantnagar, Uttarakhand, In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9608" cy="3253071"/>
                    </a:xfrm>
                    <a:prstGeom prst="rect">
                      <a:avLst/>
                    </a:prstGeom>
                    <a:noFill/>
                    <a:ln>
                      <a:noFill/>
                    </a:ln>
                  </pic:spPr>
                </pic:pic>
              </a:graphicData>
            </a:graphic>
          </wp:inline>
        </w:drawing>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Figure 1:</w:t>
      </w:r>
      <w:r w:rsidRPr="008711CA">
        <w:rPr>
          <w:rFonts w:ascii="Times New Roman" w:eastAsia="Times New Roman" w:hAnsi="Times New Roman" w:cs="Times New Roman"/>
          <w:spacing w:val="1"/>
          <w:sz w:val="24"/>
          <w:szCs w:val="24"/>
          <w:lang w:val="en-IN" w:eastAsia="en-IN"/>
        </w:rPr>
        <w:t> Seasonal variation in condition factor (CF) of female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across three age groups showing spring maxima (1.53–1.94) and autumn minima (1.32–1.55). Spring CF peaks reflect maximal growth and body condition preceding spawning season.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3.2 Specific Condition Factor (SCF) Pattern and Interpretation</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SCF demonstrated remarkable seasonal stability (1.27±0.02 to 1.58±0.06). The 1+ group showed: 1.42±0.06 (summer), 1.27±0.02 (autumn), 1.43±0.02 (winter), 1.56±0.02 (spring). The 2+ group exhibited: 1.54±0.02 (summer), 1.50±0.04 (autumn), 1.54±0.03 (winter), 1.58±0.06 (spring</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 xml:space="preserve">SCF variation (coefficient of variation 5.3%) was significantly less pronounced than CF (10.8%). One-way ANOVA on SCF showed </w:t>
      </w:r>
      <w:r w:rsidRPr="008711CA">
        <w:rPr>
          <w:rFonts w:ascii="Times New Roman" w:eastAsia="Times New Roman" w:hAnsi="Times New Roman" w:cs="Times New Roman"/>
          <w:spacing w:val="1"/>
          <w:sz w:val="24"/>
          <w:szCs w:val="24"/>
          <w:lang w:val="en-IN" w:eastAsia="en-IN"/>
        </w:rPr>
        <w:lastRenderedPageBreak/>
        <w:t>marginally significant differences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3.12, p = 0.045). Post-hoc analysis identified autumn values as significantly lower than spring (Tukey HSD: p = 0.032). Age group comparisons showed no significant differences (F</w:t>
      </w:r>
      <w:proofErr w:type="gramStart"/>
      <w:r w:rsidRPr="008711CA">
        <w:rPr>
          <w:rFonts w:ascii="Times New Roman" w:eastAsia="Times New Roman" w:hAnsi="Times New Roman" w:cs="Times New Roman"/>
          <w:spacing w:val="1"/>
          <w:sz w:val="24"/>
          <w:szCs w:val="24"/>
          <w:lang w:val="en-IN" w:eastAsia="en-IN"/>
        </w:rPr>
        <w:t>₂,₃</w:t>
      </w:r>
      <w:proofErr w:type="gramEnd"/>
      <w:r w:rsidRPr="008711CA">
        <w:rPr>
          <w:rFonts w:ascii="Times New Roman" w:eastAsia="Times New Roman" w:hAnsi="Times New Roman" w:cs="Times New Roman"/>
          <w:spacing w:val="1"/>
          <w:sz w:val="24"/>
          <w:szCs w:val="24"/>
          <w:lang w:val="en-IN" w:eastAsia="en-IN"/>
        </w:rPr>
        <w:t>₀ = 2.08, p = 0.14).</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3.3 Hepatosomatic Index (HSI) Seasonal Dynamics</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HSI demonstrated pronounced seasonal variation. The 1+ group: 1.32±0.09 (summer), 1.69±0.11 (autumn), 1.22±0.11 (winter), 1.02±0.07 (spring). The 2+ group: 1.09±0.09 (summer), 1.55±0.06 (autumn), 1.24±0.11 (winter</w:t>
      </w:r>
      <w:r w:rsidR="00AA75BA">
        <w:rPr>
          <w:rFonts w:ascii="Times New Roman" w:eastAsia="Times New Roman" w:hAnsi="Times New Roman" w:cs="Times New Roman"/>
          <w:spacing w:val="1"/>
          <w:sz w:val="24"/>
          <w:szCs w:val="24"/>
          <w:lang w:val="en-IN" w:eastAsia="en-IN"/>
        </w:rPr>
        <w:t xml:space="preserve">), 0.82±0.13 (spring). </w:t>
      </w:r>
      <w:r w:rsidRPr="008711CA">
        <w:rPr>
          <w:rFonts w:ascii="Times New Roman" w:eastAsia="Times New Roman" w:hAnsi="Times New Roman" w:cs="Times New Roman"/>
          <w:spacing w:val="1"/>
          <w:sz w:val="24"/>
          <w:szCs w:val="24"/>
          <w:lang w:val="en-IN" w:eastAsia="en-IN"/>
        </w:rPr>
        <w:t>Autumn recorded highest HSI (1.62±0.07), representing 58.8% increase from spring (1.02±0.08). Winter remained moderately elevated (1.23±0.11), declining sharply in spring (0.92±0.10). Two-way ANOVA demonstrated significant season effect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19.34, p &lt; 0.001); age effect non-significant (F₂,₃₀ = 2.45, p = 0.10). Correlation between HSI and GSI revealed negative relationship (r = -0.68, p = 0.003).</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drawing>
          <wp:inline distT="0" distB="0" distL="0" distR="0" wp14:anchorId="1E90E6CA" wp14:editId="37F2A295">
            <wp:extent cx="4762500" cy="3174999"/>
            <wp:effectExtent l="0" t="0" r="0" b="6985"/>
            <wp:docPr id="2" name="Picture 2" descr="Figure 2. Seasonal variation in hepatosomatic index (HSI) and gonadosomatic index (GSI) of female Cyprinus carpio haematopterus showing inverse relationship and reproductive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igure 2. Seasonal variation in hepatosomatic index (HSI) and gonadosomatic index (GSI) of female Cyprinus carpio haematopterus showing inverse relationship and reproductive dynam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5243" cy="3176827"/>
                    </a:xfrm>
                    <a:prstGeom prst="rect">
                      <a:avLst/>
                    </a:prstGeom>
                    <a:noFill/>
                    <a:ln>
                      <a:noFill/>
                    </a:ln>
                  </pic:spPr>
                </pic:pic>
              </a:graphicData>
            </a:graphic>
          </wp:inline>
        </w:drawing>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Figure 2:</w:t>
      </w:r>
      <w:r w:rsidRPr="008711CA">
        <w:rPr>
          <w:rFonts w:ascii="Times New Roman" w:eastAsia="Times New Roman" w:hAnsi="Times New Roman" w:cs="Times New Roman"/>
          <w:spacing w:val="1"/>
          <w:sz w:val="24"/>
          <w:szCs w:val="24"/>
          <w:lang w:val="en-IN" w:eastAsia="en-IN"/>
        </w:rPr>
        <w:t> Inverse relationship between hepatosomatic index (HSI) and gonadosomatic index (GSI) showing HSI peaks in autumn (1.55–1.69) and declines to spring minimum (0.82–1.02), while GSI demonstrates inverse pattern with dramatic spring elevation (16.54–18.53%), indicating energy reallocation from hepatic storage to gonadal development during reproductive maturation.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3.4 Gonadosomatic Index (GSI) and Reproductive Seasonality</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GSI exhibited most pronounced seasonal variation, ranging 3.18±0.24 (autumn, 1+ group) to 18.53±0.66 (spring, 2+ group). The 1+ group: 8.41±0.46 (summer), 3.18±0.24 (autumn), 4.88±0.31 (winter), 16.54±0.34 (spring). The 2+ group: 14.34±0.82 (summer), 7.21±0.21 (autumn), 10.06±0.20 (winter)</w:t>
      </w:r>
      <w:r w:rsidR="00AA75BA">
        <w:rPr>
          <w:rFonts w:ascii="Times New Roman" w:eastAsia="Times New Roman" w:hAnsi="Times New Roman" w:cs="Times New Roman"/>
          <w:spacing w:val="1"/>
          <w:sz w:val="24"/>
          <w:szCs w:val="24"/>
          <w:lang w:val="en-IN" w:eastAsia="en-IN"/>
        </w:rPr>
        <w:t>, 18.53±0.66 (spring</w:t>
      </w:r>
      <w:proofErr w:type="gramStart"/>
      <w:r w:rsidR="00AA75BA">
        <w:rPr>
          <w:rFonts w:ascii="Times New Roman" w:eastAsia="Times New Roman" w:hAnsi="Times New Roman" w:cs="Times New Roman"/>
          <w:spacing w:val="1"/>
          <w:sz w:val="24"/>
          <w:szCs w:val="24"/>
          <w:lang w:val="en-IN" w:eastAsia="en-IN"/>
        </w:rPr>
        <w:t>).</w:t>
      </w:r>
      <w:r w:rsidRPr="008711CA">
        <w:rPr>
          <w:rFonts w:ascii="Times New Roman" w:eastAsia="Times New Roman" w:hAnsi="Times New Roman" w:cs="Times New Roman"/>
          <w:spacing w:val="1"/>
          <w:sz w:val="24"/>
          <w:szCs w:val="24"/>
          <w:lang w:val="en-IN" w:eastAsia="en-IN"/>
        </w:rPr>
        <w:t>Spring</w:t>
      </w:r>
      <w:proofErr w:type="gramEnd"/>
      <w:r w:rsidRPr="008711CA">
        <w:rPr>
          <w:rFonts w:ascii="Times New Roman" w:eastAsia="Times New Roman" w:hAnsi="Times New Roman" w:cs="Times New Roman"/>
          <w:spacing w:val="1"/>
          <w:sz w:val="24"/>
          <w:szCs w:val="24"/>
          <w:lang w:val="en-IN" w:eastAsia="en-IN"/>
        </w:rPr>
        <w:t xml:space="preserve"> exhibited </w:t>
      </w:r>
      <w:r w:rsidRPr="008711CA">
        <w:rPr>
          <w:rFonts w:ascii="Times New Roman" w:eastAsia="Times New Roman" w:hAnsi="Times New Roman" w:cs="Times New Roman"/>
          <w:spacing w:val="1"/>
          <w:sz w:val="24"/>
          <w:szCs w:val="24"/>
          <w:lang w:val="en-IN" w:eastAsia="en-IN"/>
        </w:rPr>
        <w:lastRenderedPageBreak/>
        <w:t>significantly elevated GSI, with 2+ fish showing 158.5% higher GSI compared to autumn. Two-way ANOVA confirmed highly significant season effect (F</w:t>
      </w:r>
      <w:proofErr w:type="gramStart"/>
      <w:r w:rsidRPr="008711CA">
        <w:rPr>
          <w:rFonts w:ascii="Times New Roman" w:eastAsia="Times New Roman" w:hAnsi="Times New Roman" w:cs="Times New Roman"/>
          <w:spacing w:val="1"/>
          <w:sz w:val="24"/>
          <w:szCs w:val="24"/>
          <w:lang w:val="en-IN" w:eastAsia="en-IN"/>
        </w:rPr>
        <w:t>₃,₂</w:t>
      </w:r>
      <w:proofErr w:type="gramEnd"/>
      <w:r w:rsidRPr="008711CA">
        <w:rPr>
          <w:rFonts w:ascii="Times New Roman" w:eastAsia="Times New Roman" w:hAnsi="Times New Roman" w:cs="Times New Roman"/>
          <w:spacing w:val="1"/>
          <w:sz w:val="24"/>
          <w:szCs w:val="24"/>
          <w:lang w:val="en-IN" w:eastAsia="en-IN"/>
        </w:rPr>
        <w:t>₇ = 142.7, p &lt; 0.0001), age effect (F₂,₃₀ = 28.56, p &lt; 0.0001), and Age × Season interaction (F₆,₂₇ = 6.89, p &lt; 0.001).</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 Discussion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4.1 Seasonal Condition Factor Dynamics and Growth Assessment</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CF seasonal pattern—minima in autumn-winter, maxima in spring—aligns with thermal physiology and reproductive investment principles in temperate fishes (</w:t>
      </w:r>
      <w:proofErr w:type="spellStart"/>
      <w:r w:rsidRPr="008711CA">
        <w:rPr>
          <w:rFonts w:ascii="Times New Roman" w:eastAsia="Times New Roman" w:hAnsi="Times New Roman" w:cs="Times New Roman"/>
          <w:spacing w:val="1"/>
          <w:sz w:val="24"/>
          <w:szCs w:val="24"/>
          <w:lang w:val="en-IN" w:eastAsia="en-IN"/>
        </w:rPr>
        <w:t>Pörtner</w:t>
      </w:r>
      <w:proofErr w:type="spellEnd"/>
      <w:r w:rsidRPr="008711CA">
        <w:rPr>
          <w:rFonts w:ascii="Times New Roman" w:eastAsia="Times New Roman" w:hAnsi="Times New Roman" w:cs="Times New Roman"/>
          <w:spacing w:val="1"/>
          <w:sz w:val="24"/>
          <w:szCs w:val="24"/>
          <w:lang w:val="en-IN" w:eastAsia="en-IN"/>
        </w:rPr>
        <w:t xml:space="preserve"> &amp; Farrell, 2008). The 40.9% seasonal amplitude in 1+ fish substantially exceeds 8.2% in 0+ fish, indicating older, sexually mature fish exhibit greater seasonal physiological plasticity (</w:t>
      </w:r>
      <w:proofErr w:type="spellStart"/>
      <w:r w:rsidRPr="008711CA">
        <w:rPr>
          <w:rFonts w:ascii="Times New Roman" w:eastAsia="Times New Roman" w:hAnsi="Times New Roman" w:cs="Times New Roman"/>
          <w:spacing w:val="1"/>
          <w:sz w:val="24"/>
          <w:szCs w:val="24"/>
          <w:lang w:val="en-IN" w:eastAsia="en-IN"/>
        </w:rPr>
        <w:t>Allaine</w:t>
      </w:r>
      <w:proofErr w:type="spellEnd"/>
      <w:r w:rsidRPr="008711CA">
        <w:rPr>
          <w:rFonts w:ascii="Times New Roman" w:eastAsia="Times New Roman" w:hAnsi="Times New Roman" w:cs="Times New Roman"/>
          <w:spacing w:val="1"/>
          <w:sz w:val="24"/>
          <w:szCs w:val="24"/>
          <w:lang w:val="en-IN" w:eastAsia="en-IN"/>
        </w:rPr>
        <w:t xml:space="preserve"> &amp; Thorne, 2017). This reflects ontogenetic resource allocation shifts: younger fish prioritize somatic growth, while older fish partition energy between growth maintenance, condition improvement, and reproduction (Stearns &amp; </w:t>
      </w:r>
      <w:proofErr w:type="spellStart"/>
      <w:r w:rsidRPr="008711CA">
        <w:rPr>
          <w:rFonts w:ascii="Times New Roman" w:eastAsia="Times New Roman" w:hAnsi="Times New Roman" w:cs="Times New Roman"/>
          <w:spacing w:val="1"/>
          <w:sz w:val="24"/>
          <w:szCs w:val="24"/>
          <w:lang w:val="en-IN" w:eastAsia="en-IN"/>
        </w:rPr>
        <w:t>Koella</w:t>
      </w:r>
      <w:proofErr w:type="spellEnd"/>
      <w:r w:rsidRPr="008711CA">
        <w:rPr>
          <w:rFonts w:ascii="Times New Roman" w:eastAsia="Times New Roman" w:hAnsi="Times New Roman" w:cs="Times New Roman"/>
          <w:spacing w:val="1"/>
          <w:sz w:val="24"/>
          <w:szCs w:val="24"/>
          <w:lang w:val="en-IN" w:eastAsia="en-IN"/>
        </w:rPr>
        <w:t>, 1986).</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Spring CF peak (1.78±0.08) represents maximal body robustness preceding spawning, facilitating optimal reproductive success through enhanced fecundity (Treasurer, 1997). Autumn-winter CF minima reflect gonadal development energetics coupled with reduced food intake efficiency at lower temperatures (Jobling, 1994).</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4.2 Specific Condition Factor as Somatic Health Indicator</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SCF remarkable stability (coefficient of variation 5.3% vs. CF 10.8%) provides methodological refinement with important interpretations. By removing gonadal mass, SCF isolates "true" somatic condition independent of reproductive cycle phase (Bolger &amp; Connolly, 1989). Near-absence of seasonal SCF variation (1.27–1.58) contrasts sharply with pronounced CF variation (1.32–1.94), demonstrating CF seasonal fluctuations primarily reflect differential gonadal investment rather than somatic tissue condition changes.</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For aquaculture practitioners, SCF serves as more stable nutritional status indicator, less confounded by reproductive cycle variations. This distinction proves valuable for early detection of nutritional insufficiency (Hurlburt, 1969).</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4.3 Hepatosomatic Index: Storage, Metabolism, and Winter Preparedness</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Dramatic autumnal HSI peak (1.62±0.07), representing 58.8% increase from spring nadirs, provides direct evidence of hepatic energy storage accumulation for winter thermal stress and reproductive demands (Larsen et al., 1997). In temperate cyprinids, hepatic glycogen and lipid accumulation during autumn represents critical pre-winter metabolic adaptation (Love, 1980; Jobling, 1994).</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Subsequent winter-to-spring HSI decline (25.2% reduction) reflects three parallel processes: (1) hepatic reserve mobilization for winter metabolic maintenance; (2) stored nutrient utilization for gametogenesis; (3) physiological recovery with spring temperature increase. Significant negative HSI-GSI correlation (r = -0.68, p = 0.003) demonstrates energy trade-off between storage and reproduction, a fundamental life history principle (Stearns, 1992).</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lastRenderedPageBreak/>
        <w:drawing>
          <wp:inline distT="0" distB="0" distL="0" distR="0" wp14:anchorId="725407BE" wp14:editId="1CB9E728">
            <wp:extent cx="4991100" cy="3327400"/>
            <wp:effectExtent l="0" t="0" r="0" b="6350"/>
            <wp:docPr id="3" name="Picture 3" descr="Figure 3. Seasonal variation in specific condition factor (SCF) of female Cyprinus carpio haematopterus showing remarkable stability independent of reproductiv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e 3. Seasonal variation in specific condition factor (SCF) of female Cyprinus carpio haematopterus showing remarkable stability independent of reproductive cy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3974" cy="3329316"/>
                    </a:xfrm>
                    <a:prstGeom prst="rect">
                      <a:avLst/>
                    </a:prstGeom>
                    <a:noFill/>
                    <a:ln>
                      <a:noFill/>
                    </a:ln>
                  </pic:spPr>
                </pic:pic>
              </a:graphicData>
            </a:graphic>
          </wp:inline>
        </w:drawing>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Figure 3:</w:t>
      </w:r>
      <w:r w:rsidRPr="008711CA">
        <w:rPr>
          <w:rFonts w:ascii="Times New Roman" w:eastAsia="Times New Roman" w:hAnsi="Times New Roman" w:cs="Times New Roman"/>
          <w:spacing w:val="1"/>
          <w:sz w:val="24"/>
          <w:szCs w:val="24"/>
          <w:lang w:val="en-IN" w:eastAsia="en-IN"/>
        </w:rPr>
        <w:t> Specific condition factor (SCF) stability across seasons (1.27–1.58) for 1+ and 2+ age groups, demonstrating minimal seasonal variation independent of reproductive investment. This contrasts sharply with pronounced CF seasonal fluctuation, indicating CF changes primarily reflect gonadal rather than somatic tissue condition variations.</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4.4 Gonadosomatic Index: Reproductive Seasonality and Spawning Ecology</w:t>
      </w:r>
    </w:p>
    <w:p w:rsid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The 482.6% GSI increase from autumn to spring represents dramatic physiological transformation. This explosive gametogenic response to spring conditions—photoperiod lengthening (~10 to ~14 hours) and temperature increase (~8 to ~15°C)—demonstrates potent environmental regulatory roles in temperate fish reproduction (</w:t>
      </w:r>
      <w:proofErr w:type="spellStart"/>
      <w:r w:rsidRPr="008711CA">
        <w:rPr>
          <w:rFonts w:ascii="Times New Roman" w:eastAsia="Times New Roman" w:hAnsi="Times New Roman" w:cs="Times New Roman"/>
          <w:spacing w:val="1"/>
          <w:sz w:val="24"/>
          <w:szCs w:val="24"/>
          <w:lang w:val="en-IN" w:eastAsia="en-IN"/>
        </w:rPr>
        <w:t>Migaud</w:t>
      </w:r>
      <w:proofErr w:type="spellEnd"/>
      <w:r w:rsidRPr="008711CA">
        <w:rPr>
          <w:rFonts w:ascii="Times New Roman" w:eastAsia="Times New Roman" w:hAnsi="Times New Roman" w:cs="Times New Roman"/>
          <w:spacing w:val="1"/>
          <w:sz w:val="24"/>
          <w:szCs w:val="24"/>
          <w:lang w:val="en-IN" w:eastAsia="en-IN"/>
        </w:rPr>
        <w:t xml:space="preserve"> et al., 2010).</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Age-dependent GSI patterns reveal maturation trajectory divergences: 2+ fish maintain elevated GSI year-round (mean 12.54±2.19), indicating consolidated reproductive capacity. The 127% 2+ GSI elevation versus 1+ in autumn indicates 2+ fish undergo advanced reproductive commitment (Quince et al., 2008). These patterns justify 2+ fish selection for breeding programs, projecting superior gamete quality and offspring viability (Brooks et al., 1997).</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Spring GSI peaks (17.5±0.96) identify optimal spawning window for artificial reproduction programs. March-April induced spawning would achieve superior success rates versus other seasons (</w:t>
      </w:r>
      <w:proofErr w:type="spellStart"/>
      <w:r w:rsidRPr="008711CA">
        <w:rPr>
          <w:rFonts w:ascii="Times New Roman" w:eastAsia="Times New Roman" w:hAnsi="Times New Roman" w:cs="Times New Roman"/>
          <w:spacing w:val="1"/>
          <w:sz w:val="24"/>
          <w:szCs w:val="24"/>
          <w:lang w:val="en-IN" w:eastAsia="en-IN"/>
        </w:rPr>
        <w:t>Mylonas</w:t>
      </w:r>
      <w:proofErr w:type="spellEnd"/>
      <w:r w:rsidRPr="008711CA">
        <w:rPr>
          <w:rFonts w:ascii="Times New Roman" w:eastAsia="Times New Roman" w:hAnsi="Times New Roman" w:cs="Times New Roman"/>
          <w:spacing w:val="1"/>
          <w:sz w:val="24"/>
          <w:szCs w:val="24"/>
          <w:lang w:val="en-IN" w:eastAsia="en-IN"/>
        </w:rPr>
        <w:t xml:space="preserve"> et al., 2010).</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Pr>
          <w:noProof/>
          <w:lang w:val="en-IN" w:eastAsia="en-IN"/>
        </w:rPr>
        <w:lastRenderedPageBreak/>
        <w:drawing>
          <wp:inline distT="0" distB="0" distL="0" distR="0" wp14:anchorId="22E5A8FF" wp14:editId="5F9112B4">
            <wp:extent cx="4686300" cy="3124200"/>
            <wp:effectExtent l="0" t="0" r="0" b="0"/>
            <wp:docPr id="4" name="Picture 4" descr="Figure 4. Comprehensive summary of all physiological indices (CF, SCF, HSI, GSI) across seasons for 1+ female Cyprinus carpio haematopterus showing coordinated seasonal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igure 4. Comprehensive summary of all physiological indices (CF, SCF, HSI, GSI) across seasons for 1+ female Cyprinus carpio haematopterus showing coordinated seasonal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8998" cy="3125999"/>
                    </a:xfrm>
                    <a:prstGeom prst="rect">
                      <a:avLst/>
                    </a:prstGeom>
                    <a:noFill/>
                    <a:ln>
                      <a:noFill/>
                    </a:ln>
                  </pic:spPr>
                </pic:pic>
              </a:graphicData>
            </a:graphic>
          </wp:inline>
        </w:drawing>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Figure 4:</w:t>
      </w:r>
      <w:r w:rsidRPr="008711CA">
        <w:rPr>
          <w:rFonts w:ascii="Times New Roman" w:eastAsia="Times New Roman" w:hAnsi="Times New Roman" w:cs="Times New Roman"/>
          <w:spacing w:val="1"/>
          <w:sz w:val="24"/>
          <w:szCs w:val="24"/>
          <w:lang w:val="en-IN" w:eastAsia="en-IN"/>
        </w:rPr>
        <w:t> Comprehensive physiological summary for 1+ age group showing coordinated seasonal responses across all indices: CF peaks in spring (1.86), SCF stability (1.27–1.56), HSI autumn elevation (1.69) followed by spring decline (1.02), and GSI dramatic spring peak (16.54) with autumn trough (3.18). This demonstrates integrated physiological adaptation to temperate seasonal environmental variation.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4.5 Comparative Analysis with Published Literature</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Observed CF range (1.32–1.94) aligns with published values for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in temperate regions (</w:t>
      </w:r>
      <w:proofErr w:type="spellStart"/>
      <w:r w:rsidRPr="008711CA">
        <w:rPr>
          <w:rFonts w:ascii="Times New Roman" w:eastAsia="Times New Roman" w:hAnsi="Times New Roman" w:cs="Times New Roman"/>
          <w:spacing w:val="1"/>
          <w:sz w:val="24"/>
          <w:szCs w:val="24"/>
          <w:lang w:val="en-IN" w:eastAsia="en-IN"/>
        </w:rPr>
        <w:t>Toming</w:t>
      </w:r>
      <w:proofErr w:type="spellEnd"/>
      <w:r w:rsidRPr="008711CA">
        <w:rPr>
          <w:rFonts w:ascii="Times New Roman" w:eastAsia="Times New Roman" w:hAnsi="Times New Roman" w:cs="Times New Roman"/>
          <w:spacing w:val="1"/>
          <w:sz w:val="24"/>
          <w:szCs w:val="24"/>
          <w:lang w:val="en-IN" w:eastAsia="en-IN"/>
        </w:rPr>
        <w:t xml:space="preserve"> &amp; </w:t>
      </w:r>
      <w:proofErr w:type="spellStart"/>
      <w:r w:rsidRPr="008711CA">
        <w:rPr>
          <w:rFonts w:ascii="Times New Roman" w:eastAsia="Times New Roman" w:hAnsi="Times New Roman" w:cs="Times New Roman"/>
          <w:spacing w:val="1"/>
          <w:sz w:val="24"/>
          <w:szCs w:val="24"/>
          <w:lang w:val="en-IN" w:eastAsia="en-IN"/>
        </w:rPr>
        <w:t>Järvalt</w:t>
      </w:r>
      <w:proofErr w:type="spellEnd"/>
      <w:r w:rsidRPr="008711CA">
        <w:rPr>
          <w:rFonts w:ascii="Times New Roman" w:eastAsia="Times New Roman" w:hAnsi="Times New Roman" w:cs="Times New Roman"/>
          <w:spacing w:val="1"/>
          <w:sz w:val="24"/>
          <w:szCs w:val="24"/>
          <w:lang w:val="en-IN" w:eastAsia="en-IN"/>
        </w:rPr>
        <w:t>, 2011). Pronounced seasonal CF variation supports earlier findings on temperate fish physiological plasticity exceeding tropical species (</w:t>
      </w:r>
      <w:proofErr w:type="spellStart"/>
      <w:r w:rsidRPr="008711CA">
        <w:rPr>
          <w:rFonts w:ascii="Times New Roman" w:eastAsia="Times New Roman" w:hAnsi="Times New Roman" w:cs="Times New Roman"/>
          <w:spacing w:val="1"/>
          <w:sz w:val="24"/>
          <w:szCs w:val="24"/>
          <w:lang w:val="en-IN" w:eastAsia="en-IN"/>
        </w:rPr>
        <w:t>Pörtner</w:t>
      </w:r>
      <w:proofErr w:type="spellEnd"/>
      <w:r w:rsidRPr="008711CA">
        <w:rPr>
          <w:rFonts w:ascii="Times New Roman" w:eastAsia="Times New Roman" w:hAnsi="Times New Roman" w:cs="Times New Roman"/>
          <w:spacing w:val="1"/>
          <w:sz w:val="24"/>
          <w:szCs w:val="24"/>
          <w:lang w:val="en-IN" w:eastAsia="en-IN"/>
        </w:rPr>
        <w:t xml:space="preserve"> &amp; Farrell, 2008).</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HSI range (0.82–1.8) falls within published cyprinid ranges, with our maximum value (1.69±0.11) reflecting intense autumn energy storage specific to temperate aquaculture (González-</w:t>
      </w:r>
      <w:proofErr w:type="spellStart"/>
      <w:r w:rsidRPr="008711CA">
        <w:rPr>
          <w:rFonts w:ascii="Times New Roman" w:eastAsia="Times New Roman" w:hAnsi="Times New Roman" w:cs="Times New Roman"/>
          <w:spacing w:val="1"/>
          <w:sz w:val="24"/>
          <w:szCs w:val="24"/>
          <w:lang w:val="en-IN" w:eastAsia="en-IN"/>
        </w:rPr>
        <w:t>Jáuregui</w:t>
      </w:r>
      <w:proofErr w:type="spellEnd"/>
      <w:r w:rsidRPr="008711CA">
        <w:rPr>
          <w:rFonts w:ascii="Times New Roman" w:eastAsia="Times New Roman" w:hAnsi="Times New Roman" w:cs="Times New Roman"/>
          <w:spacing w:val="1"/>
          <w:sz w:val="24"/>
          <w:szCs w:val="24"/>
          <w:lang w:val="en-IN" w:eastAsia="en-IN"/>
        </w:rPr>
        <w:t xml:space="preserve"> &amp; Villegas-Ríos, 2023). Published GSI data for </w:t>
      </w:r>
      <w:r w:rsidRPr="006211CC">
        <w:rPr>
          <w:rFonts w:ascii="Times New Roman" w:eastAsia="Times New Roman" w:hAnsi="Times New Roman" w:cs="Times New Roman"/>
          <w:bCs/>
          <w:i/>
          <w:spacing w:val="1"/>
          <w:kern w:val="36"/>
          <w:sz w:val="24"/>
          <w:szCs w:val="24"/>
          <w:lang w:val="en-IN" w:eastAsia="en-IN"/>
        </w:rPr>
        <w:t xml:space="preserve">Cyprinus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document 3–20 ranges (Schulz et al., 2010), encompassing our values (3.18–18.53). Our 482.6% intra-annual GSI amplitude substantially exceeds tropical population variation (50–150%), highlighting temperate reproductive intensification.</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4.6 Applied Aquaculture Management Recommendations</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spacing w:val="1"/>
          <w:kern w:val="36"/>
          <w:sz w:val="24"/>
          <w:szCs w:val="24"/>
          <w:lang w:val="en-IN" w:eastAsia="en-IN"/>
        </w:rPr>
        <w:t>Harvest Timing:</w:t>
      </w:r>
      <w:r w:rsidRPr="008711CA">
        <w:rPr>
          <w:rFonts w:ascii="Times New Roman" w:eastAsia="Times New Roman" w:hAnsi="Times New Roman" w:cs="Times New Roman"/>
          <w:spacing w:val="1"/>
          <w:sz w:val="24"/>
          <w:szCs w:val="24"/>
          <w:lang w:val="en-IN" w:eastAsia="en-IN"/>
        </w:rPr>
        <w:t> Spring CF elevation (1.78±0.08) indicates maximal growth and condition. March-May harvest targeting premium market prices capitalizes on superior body condition. Autumn harvesting captures relative condition decline, reducing market competitiveness unless value-added processing employed.</w:t>
      </w:r>
      <w:r w:rsidR="00AA75BA">
        <w:rPr>
          <w:rFonts w:ascii="Times New Roman" w:eastAsia="Times New Roman" w:hAnsi="Times New Roman" w:cs="Times New Roman"/>
          <w:spacing w:val="1"/>
          <w:sz w:val="24"/>
          <w:szCs w:val="24"/>
          <w:lang w:val="en-IN" w:eastAsia="en-IN"/>
        </w:rPr>
        <w:t xml:space="preserve"> </w:t>
      </w:r>
      <w:r w:rsidRPr="006211CC">
        <w:rPr>
          <w:rFonts w:ascii="Times New Roman" w:eastAsia="Times New Roman" w:hAnsi="Times New Roman" w:cs="Times New Roman"/>
          <w:bCs/>
          <w:spacing w:val="1"/>
          <w:kern w:val="36"/>
          <w:sz w:val="24"/>
          <w:szCs w:val="24"/>
          <w:lang w:val="en-IN" w:eastAsia="en-IN"/>
        </w:rPr>
        <w:t>Feed Management:</w:t>
      </w:r>
      <w:r w:rsidRPr="008711CA">
        <w:rPr>
          <w:rFonts w:ascii="Times New Roman" w:eastAsia="Times New Roman" w:hAnsi="Times New Roman" w:cs="Times New Roman"/>
          <w:spacing w:val="1"/>
          <w:sz w:val="24"/>
          <w:szCs w:val="24"/>
          <w:lang w:val="en-IN" w:eastAsia="en-IN"/>
        </w:rPr>
        <w:t> Dramatic autumnal HSI elevation (1.62±0.07) identifies autumn as critical feed allocation period. Autumn feeding reductions risk HSI compromise, predisposing fish to winter mortality and reduced spring fecundity. Maintain HSI above 1.5 during autumn-winter with bi-</w:t>
      </w:r>
      <w:r w:rsidRPr="008711CA">
        <w:rPr>
          <w:rFonts w:ascii="Times New Roman" w:eastAsia="Times New Roman" w:hAnsi="Times New Roman" w:cs="Times New Roman"/>
          <w:spacing w:val="1"/>
          <w:sz w:val="24"/>
          <w:szCs w:val="24"/>
          <w:lang w:val="en-IN" w:eastAsia="en-IN"/>
        </w:rPr>
        <w:lastRenderedPageBreak/>
        <w:t>weekly condition monitoring.</w:t>
      </w:r>
      <w:r w:rsidR="00AA75BA">
        <w:rPr>
          <w:rFonts w:ascii="Times New Roman" w:eastAsia="Times New Roman" w:hAnsi="Times New Roman" w:cs="Times New Roman"/>
          <w:spacing w:val="1"/>
          <w:sz w:val="24"/>
          <w:szCs w:val="24"/>
          <w:lang w:val="en-IN" w:eastAsia="en-IN"/>
        </w:rPr>
        <w:t xml:space="preserve"> </w:t>
      </w:r>
      <w:r w:rsidRPr="006211CC">
        <w:rPr>
          <w:rFonts w:ascii="Times New Roman" w:eastAsia="Times New Roman" w:hAnsi="Times New Roman" w:cs="Times New Roman"/>
          <w:bCs/>
          <w:spacing w:val="1"/>
          <w:kern w:val="36"/>
          <w:sz w:val="24"/>
          <w:szCs w:val="24"/>
          <w:lang w:val="en-IN" w:eastAsia="en-IN"/>
        </w:rPr>
        <w:t>Spawning Programs:</w:t>
      </w:r>
      <w:r w:rsidRPr="008711CA">
        <w:rPr>
          <w:rFonts w:ascii="Times New Roman" w:eastAsia="Times New Roman" w:hAnsi="Times New Roman" w:cs="Times New Roman"/>
          <w:spacing w:val="1"/>
          <w:sz w:val="24"/>
          <w:szCs w:val="24"/>
          <w:lang w:val="en-IN" w:eastAsia="en-IN"/>
        </w:rPr>
        <w:t> Spring GSI peaks (17.5±0.96) identify March-April as optimal artificial reproduction windows. 2+ fish selection justified by GSI age-dependent differences (30–127% higher versus 1+ fish).</w:t>
      </w:r>
      <w:r w:rsidR="00AA75BA">
        <w:rPr>
          <w:rFonts w:ascii="Times New Roman" w:eastAsia="Times New Roman" w:hAnsi="Times New Roman" w:cs="Times New Roman"/>
          <w:spacing w:val="1"/>
          <w:sz w:val="24"/>
          <w:szCs w:val="24"/>
          <w:lang w:val="en-IN" w:eastAsia="en-IN"/>
        </w:rPr>
        <w:t xml:space="preserve"> </w:t>
      </w:r>
      <w:r w:rsidRPr="006211CC">
        <w:rPr>
          <w:rFonts w:ascii="Times New Roman" w:eastAsia="Times New Roman" w:hAnsi="Times New Roman" w:cs="Times New Roman"/>
          <w:bCs/>
          <w:spacing w:val="1"/>
          <w:kern w:val="36"/>
          <w:sz w:val="24"/>
          <w:szCs w:val="24"/>
          <w:lang w:val="en-IN" w:eastAsia="en-IN"/>
        </w:rPr>
        <w:t>SCF Monitoring:</w:t>
      </w:r>
      <w:r w:rsidRPr="008711CA">
        <w:rPr>
          <w:rFonts w:ascii="Times New Roman" w:eastAsia="Times New Roman" w:hAnsi="Times New Roman" w:cs="Times New Roman"/>
          <w:spacing w:val="1"/>
          <w:sz w:val="24"/>
          <w:szCs w:val="24"/>
          <w:lang w:val="en-IN" w:eastAsia="en-IN"/>
        </w:rPr>
        <w:t> Relative SCF stability (1.27–1.58) demonstrates current management adequacy for non-reproductive tissue condition. SCF trends provide earlier nutritional insufficiency diagnostic signals than CF.</w:t>
      </w: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4.7 Limitations and Future Research Directions</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This study </w:t>
      </w:r>
      <w:proofErr w:type="spellStart"/>
      <w:r w:rsidRPr="008711CA">
        <w:rPr>
          <w:rFonts w:ascii="Times New Roman" w:eastAsia="Times New Roman" w:hAnsi="Times New Roman" w:cs="Times New Roman"/>
          <w:spacing w:val="1"/>
          <w:sz w:val="24"/>
          <w:szCs w:val="24"/>
          <w:lang w:val="en-IN" w:eastAsia="en-IN"/>
        </w:rPr>
        <w:t>analyzed</w:t>
      </w:r>
      <w:proofErr w:type="spellEnd"/>
      <w:r w:rsidRPr="008711CA">
        <w:rPr>
          <w:rFonts w:ascii="Times New Roman" w:eastAsia="Times New Roman" w:hAnsi="Times New Roman" w:cs="Times New Roman"/>
          <w:spacing w:val="1"/>
          <w:sz w:val="24"/>
          <w:szCs w:val="24"/>
          <w:lang w:val="en-IN" w:eastAsia="en-IN"/>
        </w:rPr>
        <w:t xml:space="preserve"> exclusively female fish, precluding sex-dependent physiological analysis. Male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8711CA">
        <w:rPr>
          <w:rFonts w:ascii="Times New Roman" w:eastAsia="Times New Roman" w:hAnsi="Times New Roman" w:cs="Times New Roman"/>
          <w:spacing w:val="1"/>
          <w:sz w:val="24"/>
          <w:szCs w:val="24"/>
          <w:lang w:val="en-IN" w:eastAsia="en-IN"/>
        </w:rPr>
        <w:t> may exhibit distinct seasonal patterns warranting investigation (Schulz et al., 2010). Modest sample sizes (n = 8–12/group/season) limit small effect size detection, though observed effects are generally large.</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Future investigations should incorporate: (1) hepatic and gonadal histology characterizing tissue-level changes; (2) serum hormone profiles (gonadotropins, steroids) elucidating neuroendocrine mechanisms; (3) hepatic glycogen and lipid quantification validating energy storage interpretations; (4) long-term performance tracking validating physiological indices predict production outcomes.</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5. Conclusion</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This investigation provides comprehensive seasonal and age-dependent physiological characterization of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spacing w:val="1"/>
          <w:sz w:val="24"/>
          <w:szCs w:val="24"/>
          <w:lang w:val="en-IN" w:eastAsia="en-IN"/>
        </w:rPr>
        <w:t> females in temperate Indian aquaculture. Clear seasonal patterns emerged: CF and GSI peak in spring (growth and reproductive maturation), HSI peaks in autumn (pre-winter energy storage), SCF remains relatively constant (stable somatic condition). These patterns reflect sophisticated physiological adaptation to pronounced temperate seasonal variation.</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Age-dependent analysis reveals reproductive maturation pathway divergences, with 2+ fish exhibiting consolidated reproductive capacity (consistently elevated GSI and CF). These age differences directly optimize breeding program selection strategies, supporting 2+ fish preference for spawning stock.</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Generated quantitative physiological data provide empirical foundations for season- and age-specific management protocols addressing feed allocation, harvest timing, spawning stock selection, and artificial reproduction induction. Evidence-based protocol implementation enhances production efficiency, optimizes market competitiveness, improves breeding outcomes, and strengthens profitability of </w:t>
      </w:r>
      <w:r w:rsidRPr="006211CC">
        <w:rPr>
          <w:rFonts w:ascii="Times New Roman" w:eastAsia="Times New Roman" w:hAnsi="Times New Roman" w:cs="Times New Roman"/>
          <w:bCs/>
          <w:i/>
          <w:spacing w:val="1"/>
          <w:kern w:val="36"/>
          <w:sz w:val="24"/>
          <w:szCs w:val="24"/>
          <w:lang w:val="en-IN" w:eastAsia="en-IN"/>
        </w:rPr>
        <w:t xml:space="preserve">C. </w:t>
      </w:r>
      <w:proofErr w:type="spellStart"/>
      <w:r w:rsidRPr="006211CC">
        <w:rPr>
          <w:rFonts w:ascii="Times New Roman" w:eastAsia="Times New Roman" w:hAnsi="Times New Roman" w:cs="Times New Roman"/>
          <w:bCs/>
          <w:i/>
          <w:spacing w:val="1"/>
          <w:kern w:val="36"/>
          <w:sz w:val="24"/>
          <w:szCs w:val="24"/>
          <w:lang w:val="en-IN" w:eastAsia="en-IN"/>
        </w:rPr>
        <w:t>carpio</w:t>
      </w:r>
      <w:proofErr w:type="spellEnd"/>
      <w:r w:rsidRPr="006211CC">
        <w:rPr>
          <w:rFonts w:ascii="Times New Roman" w:eastAsia="Times New Roman" w:hAnsi="Times New Roman" w:cs="Times New Roman"/>
          <w:bCs/>
          <w:i/>
          <w:spacing w:val="1"/>
          <w:kern w:val="36"/>
          <w:sz w:val="24"/>
          <w:szCs w:val="24"/>
          <w:lang w:val="en-IN" w:eastAsia="en-IN"/>
        </w:rPr>
        <w:t xml:space="preserve"> </w:t>
      </w:r>
      <w:proofErr w:type="spellStart"/>
      <w:r w:rsidRPr="006211CC">
        <w:rPr>
          <w:rFonts w:ascii="Times New Roman" w:eastAsia="Times New Roman" w:hAnsi="Times New Roman" w:cs="Times New Roman"/>
          <w:bCs/>
          <w:i/>
          <w:spacing w:val="1"/>
          <w:kern w:val="36"/>
          <w:sz w:val="24"/>
          <w:szCs w:val="24"/>
          <w:lang w:val="en-IN" w:eastAsia="en-IN"/>
        </w:rPr>
        <w:t>haematopterus</w:t>
      </w:r>
      <w:proofErr w:type="spellEnd"/>
      <w:r w:rsidRPr="008711CA">
        <w:rPr>
          <w:rFonts w:ascii="Times New Roman" w:eastAsia="Times New Roman" w:hAnsi="Times New Roman" w:cs="Times New Roman"/>
          <w:bCs/>
          <w:i/>
          <w:spacing w:val="1"/>
          <w:kern w:val="36"/>
          <w:sz w:val="24"/>
          <w:szCs w:val="24"/>
          <w:lang w:val="en-IN" w:eastAsia="en-IN"/>
        </w:rPr>
        <w:t> </w:t>
      </w:r>
      <w:r w:rsidRPr="008711CA">
        <w:rPr>
          <w:rFonts w:ascii="Times New Roman" w:eastAsia="Times New Roman" w:hAnsi="Times New Roman" w:cs="Times New Roman"/>
          <w:spacing w:val="1"/>
          <w:sz w:val="24"/>
          <w:szCs w:val="24"/>
          <w:lang w:val="en-IN" w:eastAsia="en-IN"/>
        </w:rPr>
        <w:t>temperate aquaculture operations.</w:t>
      </w:r>
      <w:r w:rsidR="00AA75BA">
        <w:rPr>
          <w:rFonts w:ascii="Times New Roman" w:eastAsia="Times New Roman" w:hAnsi="Times New Roman" w:cs="Times New Roman"/>
          <w:spacing w:val="1"/>
          <w:sz w:val="24"/>
          <w:szCs w:val="24"/>
          <w:lang w:val="en-IN" w:eastAsia="en-IN"/>
        </w:rPr>
        <w:t xml:space="preserve"> </w:t>
      </w:r>
      <w:r w:rsidRPr="008711CA">
        <w:rPr>
          <w:rFonts w:ascii="Times New Roman" w:eastAsia="Times New Roman" w:hAnsi="Times New Roman" w:cs="Times New Roman"/>
          <w:spacing w:val="1"/>
          <w:sz w:val="24"/>
          <w:szCs w:val="24"/>
          <w:lang w:val="en-IN" w:eastAsia="en-IN"/>
        </w:rPr>
        <w:t>Physiological index monitoring—CF, SCF, HSI, GSI across seasonal cycles—provides cost-effective, quantifiable assessment tools for evidence-based adaptive management, advancing temperate aquaculture from experience-based practices toward scientific rigor.</w:t>
      </w:r>
    </w:p>
    <w:p w:rsidR="008711CA" w:rsidRPr="008711CA" w:rsidRDefault="008711CA" w:rsidP="006211CC">
      <w:pPr>
        <w:spacing w:before="240" w:after="240" w:line="240" w:lineRule="auto"/>
        <w:jc w:val="both"/>
        <w:rPr>
          <w:rFonts w:ascii="Times New Roman" w:eastAsia="Times New Roman" w:hAnsi="Times New Roman" w:cs="Times New Roman"/>
          <w:sz w:val="24"/>
          <w:szCs w:val="24"/>
          <w:lang w:val="en-IN" w:eastAsia="en-IN"/>
        </w:rPr>
      </w:pPr>
    </w:p>
    <w:p w:rsidR="008711CA" w:rsidRPr="008711CA" w:rsidRDefault="008711CA" w:rsidP="006211CC">
      <w:pPr>
        <w:spacing w:before="100" w:beforeAutospacing="1" w:after="100" w:afterAutospacing="1" w:line="240" w:lineRule="auto"/>
        <w:jc w:val="both"/>
        <w:outlineLvl w:val="1"/>
        <w:rPr>
          <w:rFonts w:ascii="Times New Roman" w:eastAsia="Times New Roman" w:hAnsi="Times New Roman" w:cs="Times New Roman"/>
          <w:b/>
          <w:bCs/>
          <w:spacing w:val="1"/>
          <w:sz w:val="24"/>
          <w:szCs w:val="24"/>
          <w:lang w:val="en-IN" w:eastAsia="en-IN"/>
        </w:rPr>
      </w:pPr>
      <w:r w:rsidRPr="008711CA">
        <w:rPr>
          <w:rFonts w:ascii="Times New Roman" w:eastAsia="Times New Roman" w:hAnsi="Times New Roman" w:cs="Times New Roman"/>
          <w:b/>
          <w:bCs/>
          <w:spacing w:val="1"/>
          <w:sz w:val="24"/>
          <w:szCs w:val="24"/>
          <w:lang w:val="en-IN" w:eastAsia="en-IN"/>
        </w:rPr>
        <w:t>References</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lastRenderedPageBreak/>
        <w:t xml:space="preserve">Agarwal, P. &amp; </w:t>
      </w:r>
      <w:proofErr w:type="spellStart"/>
      <w:r w:rsidRPr="008711CA">
        <w:rPr>
          <w:rFonts w:ascii="Times New Roman" w:eastAsia="Times New Roman" w:hAnsi="Times New Roman" w:cs="Times New Roman"/>
          <w:spacing w:val="1"/>
          <w:sz w:val="24"/>
          <w:szCs w:val="24"/>
          <w:lang w:val="en-IN" w:eastAsia="en-IN"/>
        </w:rPr>
        <w:t>Mohanan</w:t>
      </w:r>
      <w:proofErr w:type="spellEnd"/>
      <w:r w:rsidRPr="008711CA">
        <w:rPr>
          <w:rFonts w:ascii="Times New Roman" w:eastAsia="Times New Roman" w:hAnsi="Times New Roman" w:cs="Times New Roman"/>
          <w:spacing w:val="1"/>
          <w:sz w:val="24"/>
          <w:szCs w:val="24"/>
          <w:lang w:val="en-IN" w:eastAsia="en-IN"/>
        </w:rPr>
        <w:t xml:space="preserve">, N. (2019) Climate profile and weather patterns at </w:t>
      </w:r>
      <w:proofErr w:type="spellStart"/>
      <w:r w:rsidRPr="008711CA">
        <w:rPr>
          <w:rFonts w:ascii="Times New Roman" w:eastAsia="Times New Roman" w:hAnsi="Times New Roman" w:cs="Times New Roman"/>
          <w:spacing w:val="1"/>
          <w:sz w:val="24"/>
          <w:szCs w:val="24"/>
          <w:lang w:val="en-IN" w:eastAsia="en-IN"/>
        </w:rPr>
        <w:t>Pantnagar</w:t>
      </w:r>
      <w:proofErr w:type="spellEnd"/>
      <w:r w:rsidRPr="008711CA">
        <w:rPr>
          <w:rFonts w:ascii="Times New Roman" w:eastAsia="Times New Roman" w:hAnsi="Times New Roman" w:cs="Times New Roman"/>
          <w:spacing w:val="1"/>
          <w:sz w:val="24"/>
          <w:szCs w:val="24"/>
          <w:lang w:val="en-IN" w:eastAsia="en-IN"/>
        </w:rPr>
        <w:t>, Uttarakhand, India: Implications for agricultural production. </w:t>
      </w:r>
      <w:r w:rsidRPr="006211CC">
        <w:rPr>
          <w:rFonts w:ascii="Times New Roman" w:eastAsia="Times New Roman" w:hAnsi="Times New Roman" w:cs="Times New Roman"/>
          <w:bCs/>
          <w:i/>
          <w:spacing w:val="1"/>
          <w:kern w:val="36"/>
          <w:sz w:val="24"/>
          <w:szCs w:val="24"/>
          <w:lang w:val="en-IN" w:eastAsia="en-IN"/>
        </w:rPr>
        <w:t>Indian Journal of Agricultural Sciences</w:t>
      </w:r>
      <w:r w:rsidRPr="008711CA">
        <w:rPr>
          <w:rFonts w:ascii="Times New Roman" w:eastAsia="Times New Roman" w:hAnsi="Times New Roman" w:cs="Times New Roman"/>
          <w:bCs/>
          <w:spacing w:val="1"/>
          <w:kern w:val="36"/>
          <w:sz w:val="24"/>
          <w:szCs w:val="24"/>
          <w:lang w:val="en-IN" w:eastAsia="en-IN"/>
        </w:rPr>
        <w:t>,</w:t>
      </w:r>
      <w:r w:rsidRPr="008711CA">
        <w:rPr>
          <w:rFonts w:ascii="Times New Roman" w:eastAsia="Times New Roman" w:hAnsi="Times New Roman" w:cs="Times New Roman"/>
          <w:spacing w:val="1"/>
          <w:sz w:val="24"/>
          <w:szCs w:val="24"/>
          <w:lang w:val="en-IN" w:eastAsia="en-IN"/>
        </w:rPr>
        <w:t xml:space="preserve"> 89(7), pp.1145–1152.</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Allaine</w:t>
      </w:r>
      <w:proofErr w:type="spellEnd"/>
      <w:r w:rsidRPr="008711CA">
        <w:rPr>
          <w:rFonts w:ascii="Times New Roman" w:eastAsia="Times New Roman" w:hAnsi="Times New Roman" w:cs="Times New Roman"/>
          <w:spacing w:val="1"/>
          <w:sz w:val="24"/>
          <w:szCs w:val="24"/>
          <w:lang w:val="en-IN" w:eastAsia="en-IN"/>
        </w:rPr>
        <w:t>, D. &amp; Thorne, M.J. (2017) Seasonal phenotypic plasticity in body condition and reproductive trade-offs across life stages. </w:t>
      </w:r>
      <w:r w:rsidRPr="006211CC">
        <w:rPr>
          <w:rFonts w:ascii="Times New Roman" w:eastAsia="Times New Roman" w:hAnsi="Times New Roman" w:cs="Times New Roman"/>
          <w:bCs/>
          <w:i/>
          <w:spacing w:val="1"/>
          <w:kern w:val="36"/>
          <w:sz w:val="24"/>
          <w:szCs w:val="24"/>
          <w:lang w:val="en-IN" w:eastAsia="en-IN"/>
        </w:rPr>
        <w:t>Current Biology</w:t>
      </w:r>
      <w:r w:rsidRPr="008711CA">
        <w:rPr>
          <w:rFonts w:ascii="Times New Roman" w:eastAsia="Times New Roman" w:hAnsi="Times New Roman" w:cs="Times New Roman"/>
          <w:spacing w:val="1"/>
          <w:sz w:val="24"/>
          <w:szCs w:val="24"/>
          <w:lang w:val="en-IN" w:eastAsia="en-IN"/>
        </w:rPr>
        <w:t xml:space="preserve">, 27(18), </w:t>
      </w:r>
      <w:proofErr w:type="gramStart"/>
      <w:r w:rsidRPr="008711CA">
        <w:rPr>
          <w:rFonts w:ascii="Times New Roman" w:eastAsia="Times New Roman" w:hAnsi="Times New Roman" w:cs="Times New Roman"/>
          <w:spacing w:val="1"/>
          <w:sz w:val="24"/>
          <w:szCs w:val="24"/>
          <w:lang w:val="en-IN" w:eastAsia="en-IN"/>
        </w:rPr>
        <w:t>pp.R</w:t>
      </w:r>
      <w:proofErr w:type="gramEnd"/>
      <w:r w:rsidRPr="008711CA">
        <w:rPr>
          <w:rFonts w:ascii="Times New Roman" w:eastAsia="Times New Roman" w:hAnsi="Times New Roman" w:cs="Times New Roman"/>
          <w:spacing w:val="1"/>
          <w:sz w:val="24"/>
          <w:szCs w:val="24"/>
          <w:lang w:val="en-IN" w:eastAsia="en-IN"/>
        </w:rPr>
        <w:t>901–R921.</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Bolger, T. &amp; Connolly, P.L. (1989) The selection of suitable indices for the measurement and analysis of fish condition. </w:t>
      </w:r>
      <w:r w:rsidRPr="006211CC">
        <w:rPr>
          <w:rFonts w:ascii="Times New Roman" w:eastAsia="Times New Roman" w:hAnsi="Times New Roman" w:cs="Times New Roman"/>
          <w:bCs/>
          <w:i/>
          <w:spacing w:val="1"/>
          <w:kern w:val="36"/>
          <w:sz w:val="24"/>
          <w:szCs w:val="24"/>
          <w:lang w:val="en-IN" w:eastAsia="en-IN"/>
        </w:rPr>
        <w:t>Journal of Fish Biology</w:t>
      </w:r>
      <w:r w:rsidRPr="008711CA">
        <w:rPr>
          <w:rFonts w:ascii="Times New Roman" w:eastAsia="Times New Roman" w:hAnsi="Times New Roman" w:cs="Times New Roman"/>
          <w:spacing w:val="1"/>
          <w:sz w:val="24"/>
          <w:szCs w:val="24"/>
          <w:lang w:val="en-IN" w:eastAsia="en-IN"/>
        </w:rPr>
        <w:t>, 34(2), pp.171–182.</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Boyd, C.E. (2015) Water quality: An introduction. 3rd </w:t>
      </w:r>
      <w:proofErr w:type="spellStart"/>
      <w:r w:rsidRPr="008711CA">
        <w:rPr>
          <w:rFonts w:ascii="Times New Roman" w:eastAsia="Times New Roman" w:hAnsi="Times New Roman" w:cs="Times New Roman"/>
          <w:spacing w:val="1"/>
          <w:sz w:val="24"/>
          <w:szCs w:val="24"/>
          <w:lang w:val="en-IN" w:eastAsia="en-IN"/>
        </w:rPr>
        <w:t>edn</w:t>
      </w:r>
      <w:proofErr w:type="spellEnd"/>
      <w:r w:rsidRPr="008711CA">
        <w:rPr>
          <w:rFonts w:ascii="Times New Roman" w:eastAsia="Times New Roman" w:hAnsi="Times New Roman" w:cs="Times New Roman"/>
          <w:spacing w:val="1"/>
          <w:sz w:val="24"/>
          <w:szCs w:val="24"/>
          <w:lang w:val="en-IN" w:eastAsia="en-IN"/>
        </w:rPr>
        <w:t>. </w:t>
      </w:r>
      <w:r w:rsidRPr="006211CC">
        <w:rPr>
          <w:rFonts w:ascii="Times New Roman" w:eastAsia="Times New Roman" w:hAnsi="Times New Roman" w:cs="Times New Roman"/>
          <w:bCs/>
          <w:i/>
          <w:spacing w:val="1"/>
          <w:kern w:val="36"/>
          <w:sz w:val="24"/>
          <w:szCs w:val="24"/>
          <w:lang w:val="en-IN" w:eastAsia="en-IN"/>
        </w:rPr>
        <w:t>Springer Publishing</w:t>
      </w:r>
      <w:r w:rsidRPr="008711CA">
        <w:rPr>
          <w:rFonts w:ascii="Times New Roman" w:eastAsia="Times New Roman" w:hAnsi="Times New Roman" w:cs="Times New Roman"/>
          <w:spacing w:val="1"/>
          <w:sz w:val="24"/>
          <w:szCs w:val="24"/>
          <w:lang w:val="en-IN" w:eastAsia="en-IN"/>
        </w:rPr>
        <w:t>, New York.</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Brooks, S., Tyler, C.R. &amp; Sumpter, J.P. (1997) Egg quality in fish: What makes a good egg? </w:t>
      </w:r>
      <w:r w:rsidRPr="006211CC">
        <w:rPr>
          <w:rFonts w:ascii="Times New Roman" w:eastAsia="Times New Roman" w:hAnsi="Times New Roman" w:cs="Times New Roman"/>
          <w:bCs/>
          <w:i/>
          <w:spacing w:val="1"/>
          <w:kern w:val="36"/>
          <w:sz w:val="24"/>
          <w:szCs w:val="24"/>
          <w:lang w:val="en-IN" w:eastAsia="en-IN"/>
        </w:rPr>
        <w:t>Reviews in Fish Biology and Fisheries</w:t>
      </w:r>
      <w:r w:rsidRPr="008711CA">
        <w:rPr>
          <w:rFonts w:ascii="Times New Roman" w:eastAsia="Times New Roman" w:hAnsi="Times New Roman" w:cs="Times New Roman"/>
          <w:spacing w:val="1"/>
          <w:sz w:val="24"/>
          <w:szCs w:val="24"/>
          <w:lang w:val="en-IN" w:eastAsia="en-IN"/>
        </w:rPr>
        <w:t>, 7(4), pp.387–416.</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Cresswell</w:t>
      </w:r>
      <w:proofErr w:type="spellEnd"/>
      <w:r w:rsidRPr="008711CA">
        <w:rPr>
          <w:rFonts w:ascii="Times New Roman" w:eastAsia="Times New Roman" w:hAnsi="Times New Roman" w:cs="Times New Roman"/>
          <w:spacing w:val="1"/>
          <w:sz w:val="24"/>
          <w:szCs w:val="24"/>
          <w:lang w:val="en-IN" w:eastAsia="en-IN"/>
        </w:rPr>
        <w:t>, B. &amp; Cryer, M. (2013) Seasonal variation in growth, reproduction and condition of fish populations. </w:t>
      </w:r>
      <w:r w:rsidRPr="006211CC">
        <w:rPr>
          <w:rFonts w:ascii="Times New Roman" w:eastAsia="Times New Roman" w:hAnsi="Times New Roman" w:cs="Times New Roman"/>
          <w:bCs/>
          <w:i/>
          <w:spacing w:val="1"/>
          <w:kern w:val="36"/>
          <w:sz w:val="24"/>
          <w:szCs w:val="24"/>
          <w:lang w:val="en-IN" w:eastAsia="en-IN"/>
        </w:rPr>
        <w:t>Fisheries Management and Ecology</w:t>
      </w:r>
      <w:r w:rsidRPr="008711CA">
        <w:rPr>
          <w:rFonts w:ascii="Times New Roman" w:eastAsia="Times New Roman" w:hAnsi="Times New Roman" w:cs="Times New Roman"/>
          <w:spacing w:val="1"/>
          <w:sz w:val="24"/>
          <w:szCs w:val="24"/>
          <w:lang w:val="en-IN" w:eastAsia="en-IN"/>
        </w:rPr>
        <w:t>, 8(4), pp.241–256.</w:t>
      </w:r>
    </w:p>
    <w:p w:rsidR="006211CC"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FAO (2023) Fisheries and Aquaculture Global Production Statistics. Food and Agriculture Organization of the United Nations, Rome. Available at </w:t>
      </w:r>
      <w:hyperlink r:id="rId10" w:tgtFrame="_blank" w:history="1">
        <w:r w:rsidRPr="006211CC">
          <w:rPr>
            <w:rFonts w:ascii="Times New Roman" w:eastAsia="Times New Roman" w:hAnsi="Times New Roman" w:cs="Times New Roman"/>
            <w:bCs/>
            <w:i/>
            <w:spacing w:val="1"/>
            <w:kern w:val="36"/>
            <w:sz w:val="24"/>
            <w:szCs w:val="24"/>
            <w:lang w:val="en-IN" w:eastAsia="en-IN"/>
          </w:rPr>
          <w:t>https://www.fao.org/fishery</w:t>
        </w:r>
      </w:hyperlink>
      <w:r w:rsidRPr="008711CA">
        <w:rPr>
          <w:rFonts w:ascii="Times New Roman" w:eastAsia="Times New Roman" w:hAnsi="Times New Roman" w:cs="Times New Roman"/>
          <w:spacing w:val="1"/>
          <w:sz w:val="24"/>
          <w:szCs w:val="24"/>
          <w:lang w:val="en-IN" w:eastAsia="en-IN"/>
        </w:rPr>
        <w:t> </w:t>
      </w:r>
    </w:p>
    <w:p w:rsidR="006211CC"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Froese, R. &amp; Pauly, D. (2023) </w:t>
      </w:r>
      <w:proofErr w:type="spellStart"/>
      <w:r w:rsidRPr="008711CA">
        <w:rPr>
          <w:rFonts w:ascii="Times New Roman" w:eastAsia="Times New Roman" w:hAnsi="Times New Roman" w:cs="Times New Roman"/>
          <w:spacing w:val="1"/>
          <w:sz w:val="24"/>
          <w:szCs w:val="24"/>
          <w:lang w:val="en-IN" w:eastAsia="en-IN"/>
        </w:rPr>
        <w:t>FishBase</w:t>
      </w:r>
      <w:proofErr w:type="spellEnd"/>
      <w:r w:rsidRPr="008711CA">
        <w:rPr>
          <w:rFonts w:ascii="Times New Roman" w:eastAsia="Times New Roman" w:hAnsi="Times New Roman" w:cs="Times New Roman"/>
          <w:spacing w:val="1"/>
          <w:sz w:val="24"/>
          <w:szCs w:val="24"/>
          <w:lang w:val="en-IN" w:eastAsia="en-IN"/>
        </w:rPr>
        <w:t>. World Wide Web electronic publication. Available at </w:t>
      </w:r>
      <w:hyperlink r:id="rId11" w:tgtFrame="_blank" w:history="1">
        <w:r w:rsidRPr="006211CC">
          <w:rPr>
            <w:rFonts w:ascii="Times New Roman" w:eastAsia="Times New Roman" w:hAnsi="Times New Roman" w:cs="Times New Roman"/>
            <w:bCs/>
            <w:i/>
            <w:spacing w:val="1"/>
            <w:kern w:val="36"/>
            <w:sz w:val="24"/>
            <w:szCs w:val="24"/>
            <w:lang w:val="en-IN" w:eastAsia="en-IN"/>
          </w:rPr>
          <w:t>https://www.fishbase.org</w:t>
        </w:r>
      </w:hyperlink>
      <w:r w:rsidR="006211CC">
        <w:rPr>
          <w:rFonts w:ascii="Times New Roman" w:eastAsia="Times New Roman" w:hAnsi="Times New Roman" w:cs="Times New Roman"/>
          <w:bCs/>
          <w:i/>
          <w:spacing w:val="1"/>
          <w:kern w:val="36"/>
          <w:sz w:val="24"/>
          <w:szCs w:val="24"/>
          <w:lang w:val="en-IN" w:eastAsia="en-IN"/>
        </w:rPr>
        <w:t> </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Fulton, T.W. (1902) The rate of growth of sea fishes. </w:t>
      </w:r>
      <w:r w:rsidRPr="006211CC">
        <w:rPr>
          <w:rFonts w:ascii="Times New Roman" w:eastAsia="Times New Roman" w:hAnsi="Times New Roman" w:cs="Times New Roman"/>
          <w:bCs/>
          <w:i/>
          <w:spacing w:val="1"/>
          <w:kern w:val="36"/>
          <w:sz w:val="24"/>
          <w:szCs w:val="24"/>
          <w:lang w:val="en-IN" w:eastAsia="en-IN"/>
        </w:rPr>
        <w:t>Science Reports of the Fishery Board for Scotland</w:t>
      </w:r>
      <w:r w:rsidRPr="008711CA">
        <w:rPr>
          <w:rFonts w:ascii="Times New Roman" w:eastAsia="Times New Roman" w:hAnsi="Times New Roman" w:cs="Times New Roman"/>
          <w:spacing w:val="1"/>
          <w:sz w:val="24"/>
          <w:szCs w:val="24"/>
          <w:lang w:val="en-IN" w:eastAsia="en-IN"/>
        </w:rPr>
        <w:t>, 20, pp.141–241.</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González-</w:t>
      </w:r>
      <w:proofErr w:type="spellStart"/>
      <w:r w:rsidRPr="008711CA">
        <w:rPr>
          <w:rFonts w:ascii="Times New Roman" w:eastAsia="Times New Roman" w:hAnsi="Times New Roman" w:cs="Times New Roman"/>
          <w:spacing w:val="1"/>
          <w:sz w:val="24"/>
          <w:szCs w:val="24"/>
          <w:lang w:val="en-IN" w:eastAsia="en-IN"/>
        </w:rPr>
        <w:t>Jáuregui</w:t>
      </w:r>
      <w:proofErr w:type="spellEnd"/>
      <w:r w:rsidRPr="008711CA">
        <w:rPr>
          <w:rFonts w:ascii="Times New Roman" w:eastAsia="Times New Roman" w:hAnsi="Times New Roman" w:cs="Times New Roman"/>
          <w:spacing w:val="1"/>
          <w:sz w:val="24"/>
          <w:szCs w:val="24"/>
          <w:lang w:val="en-IN" w:eastAsia="en-IN"/>
        </w:rPr>
        <w:t>, M. &amp; Villegas-Ríos, D. (2023) Physiological stress indicators in cultured fish: The hepatosomatic index paradigm. </w:t>
      </w:r>
      <w:r w:rsidRPr="006211CC">
        <w:rPr>
          <w:rFonts w:ascii="Times New Roman" w:eastAsia="Times New Roman" w:hAnsi="Times New Roman" w:cs="Times New Roman"/>
          <w:bCs/>
          <w:i/>
          <w:spacing w:val="1"/>
          <w:kern w:val="36"/>
          <w:sz w:val="24"/>
          <w:szCs w:val="24"/>
          <w:lang w:val="en-IN" w:eastAsia="en-IN"/>
        </w:rPr>
        <w:t>Fish Physiology and Biochemistry</w:t>
      </w:r>
      <w:r w:rsidRPr="008711CA">
        <w:rPr>
          <w:rFonts w:ascii="Times New Roman" w:eastAsia="Times New Roman" w:hAnsi="Times New Roman" w:cs="Times New Roman"/>
          <w:spacing w:val="1"/>
          <w:sz w:val="24"/>
          <w:szCs w:val="24"/>
          <w:lang w:val="en-IN" w:eastAsia="en-IN"/>
        </w:rPr>
        <w:t>, 49(1), pp.45–62.</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Hurlburt, G.K. (1969) The use of regression analysis in the study of condition factors in fish. </w:t>
      </w:r>
      <w:r w:rsidRPr="006211CC">
        <w:rPr>
          <w:rFonts w:ascii="Times New Roman" w:eastAsia="Times New Roman" w:hAnsi="Times New Roman" w:cs="Times New Roman"/>
          <w:bCs/>
          <w:i/>
          <w:spacing w:val="1"/>
          <w:kern w:val="36"/>
          <w:sz w:val="24"/>
          <w:szCs w:val="24"/>
          <w:lang w:val="en-IN" w:eastAsia="en-IN"/>
        </w:rPr>
        <w:t>Journal of Fish Biology</w:t>
      </w:r>
      <w:r w:rsidRPr="008711CA">
        <w:rPr>
          <w:rFonts w:ascii="Times New Roman" w:eastAsia="Times New Roman" w:hAnsi="Times New Roman" w:cs="Times New Roman"/>
          <w:spacing w:val="1"/>
          <w:sz w:val="24"/>
          <w:szCs w:val="24"/>
          <w:lang w:val="en-IN" w:eastAsia="en-IN"/>
        </w:rPr>
        <w:t>, 1(1), pp.93–101.</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Jhingran</w:t>
      </w:r>
      <w:proofErr w:type="spellEnd"/>
      <w:r w:rsidRPr="008711CA">
        <w:rPr>
          <w:rFonts w:ascii="Times New Roman" w:eastAsia="Times New Roman" w:hAnsi="Times New Roman" w:cs="Times New Roman"/>
          <w:spacing w:val="1"/>
          <w:sz w:val="24"/>
          <w:szCs w:val="24"/>
          <w:lang w:val="en-IN" w:eastAsia="en-IN"/>
        </w:rPr>
        <w:t>, V.G. &amp; Sinha, V.P. (1992) Aquaculture of Indian major carps. </w:t>
      </w:r>
      <w:r w:rsidRPr="006211CC">
        <w:rPr>
          <w:rFonts w:ascii="Times New Roman" w:eastAsia="Times New Roman" w:hAnsi="Times New Roman" w:cs="Times New Roman"/>
          <w:bCs/>
          <w:i/>
          <w:spacing w:val="1"/>
          <w:kern w:val="36"/>
          <w:sz w:val="24"/>
          <w:szCs w:val="24"/>
          <w:lang w:val="en-IN" w:eastAsia="en-IN"/>
        </w:rPr>
        <w:t>Indian Council of Agricultural Research</w:t>
      </w:r>
      <w:r w:rsidRPr="008711CA">
        <w:rPr>
          <w:rFonts w:ascii="Times New Roman" w:eastAsia="Times New Roman" w:hAnsi="Times New Roman" w:cs="Times New Roman"/>
          <w:spacing w:val="1"/>
          <w:sz w:val="24"/>
          <w:szCs w:val="24"/>
          <w:lang w:val="en-IN" w:eastAsia="en-IN"/>
        </w:rPr>
        <w:t>, New Delhi.</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Jobling, M. (1994) Fish bioenergetics. </w:t>
      </w:r>
      <w:r w:rsidRPr="006211CC">
        <w:rPr>
          <w:rFonts w:ascii="Times New Roman" w:eastAsia="Times New Roman" w:hAnsi="Times New Roman" w:cs="Times New Roman"/>
          <w:bCs/>
          <w:i/>
          <w:spacing w:val="1"/>
          <w:kern w:val="36"/>
          <w:sz w:val="24"/>
          <w:szCs w:val="24"/>
          <w:lang w:val="en-IN" w:eastAsia="en-IN"/>
        </w:rPr>
        <w:t>Chapman and Hall</w:t>
      </w:r>
      <w:r w:rsidRPr="008711CA">
        <w:rPr>
          <w:rFonts w:ascii="Times New Roman" w:eastAsia="Times New Roman" w:hAnsi="Times New Roman" w:cs="Times New Roman"/>
          <w:spacing w:val="1"/>
          <w:sz w:val="24"/>
          <w:szCs w:val="24"/>
          <w:lang w:val="en-IN" w:eastAsia="en-IN"/>
        </w:rPr>
        <w:t>, London.</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Larsen, B.K., Dalsgaard, J. &amp; Pedersen, T. (1997) Ontogenetic shift in digestive capacity and prey selection during early life stages of turbot </w:t>
      </w:r>
      <w:proofErr w:type="spellStart"/>
      <w:r w:rsidRPr="006211CC">
        <w:rPr>
          <w:rFonts w:ascii="Times New Roman" w:eastAsia="Times New Roman" w:hAnsi="Times New Roman" w:cs="Times New Roman"/>
          <w:bCs/>
          <w:i/>
          <w:spacing w:val="1"/>
          <w:kern w:val="36"/>
          <w:sz w:val="24"/>
          <w:szCs w:val="24"/>
          <w:lang w:val="en-IN" w:eastAsia="en-IN"/>
        </w:rPr>
        <w:t>Scophthalmus</w:t>
      </w:r>
      <w:proofErr w:type="spellEnd"/>
      <w:r w:rsidRPr="006211CC">
        <w:rPr>
          <w:rFonts w:ascii="Times New Roman" w:eastAsia="Times New Roman" w:hAnsi="Times New Roman" w:cs="Times New Roman"/>
          <w:bCs/>
          <w:i/>
          <w:spacing w:val="1"/>
          <w:kern w:val="36"/>
          <w:sz w:val="24"/>
          <w:szCs w:val="24"/>
          <w:lang w:val="en-IN" w:eastAsia="en-IN"/>
        </w:rPr>
        <w:t xml:space="preserve"> maximus</w:t>
      </w:r>
      <w:r w:rsidRPr="008711CA">
        <w:rPr>
          <w:rFonts w:ascii="Times New Roman" w:eastAsia="Times New Roman" w:hAnsi="Times New Roman" w:cs="Times New Roman"/>
          <w:spacing w:val="1"/>
          <w:sz w:val="24"/>
          <w:szCs w:val="24"/>
          <w:lang w:val="en-IN" w:eastAsia="en-IN"/>
        </w:rPr>
        <w:t> L. </w:t>
      </w:r>
      <w:r w:rsidRPr="006211CC">
        <w:rPr>
          <w:rFonts w:ascii="Times New Roman" w:eastAsia="Times New Roman" w:hAnsi="Times New Roman" w:cs="Times New Roman"/>
          <w:bCs/>
          <w:i/>
          <w:spacing w:val="1"/>
          <w:kern w:val="36"/>
          <w:sz w:val="24"/>
          <w:szCs w:val="24"/>
          <w:lang w:val="en-IN" w:eastAsia="en-IN"/>
        </w:rPr>
        <w:t>Journal of Fish Biology</w:t>
      </w:r>
      <w:r w:rsidRPr="008711CA">
        <w:rPr>
          <w:rFonts w:ascii="Times New Roman" w:eastAsia="Times New Roman" w:hAnsi="Times New Roman" w:cs="Times New Roman"/>
          <w:spacing w:val="1"/>
          <w:sz w:val="24"/>
          <w:szCs w:val="24"/>
          <w:lang w:val="en-IN" w:eastAsia="en-IN"/>
        </w:rPr>
        <w:t>, 50(4), pp.696–709.</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lastRenderedPageBreak/>
        <w:t>Llanos-Garrido, A., del Toro-Arellano, G. &amp; Ortega-Salas, A.A. (2014) Hepatosomatic index variations in fish: Mechanisms and applications in aquaculture. </w:t>
      </w:r>
      <w:r w:rsidRPr="006211CC">
        <w:rPr>
          <w:rFonts w:ascii="Times New Roman" w:eastAsia="Times New Roman" w:hAnsi="Times New Roman" w:cs="Times New Roman"/>
          <w:bCs/>
          <w:i/>
          <w:spacing w:val="1"/>
          <w:kern w:val="36"/>
          <w:sz w:val="24"/>
          <w:szCs w:val="24"/>
          <w:lang w:val="en-IN" w:eastAsia="en-IN"/>
        </w:rPr>
        <w:t>Reviews in Aquaculture</w:t>
      </w:r>
      <w:r w:rsidRPr="008711CA">
        <w:rPr>
          <w:rFonts w:ascii="Times New Roman" w:eastAsia="Times New Roman" w:hAnsi="Times New Roman" w:cs="Times New Roman"/>
          <w:bCs/>
          <w:i/>
          <w:spacing w:val="1"/>
          <w:kern w:val="36"/>
          <w:sz w:val="24"/>
          <w:szCs w:val="24"/>
          <w:lang w:val="en-IN" w:eastAsia="en-IN"/>
        </w:rPr>
        <w:t>,</w:t>
      </w:r>
      <w:r w:rsidRPr="008711CA">
        <w:rPr>
          <w:rFonts w:ascii="Times New Roman" w:eastAsia="Times New Roman" w:hAnsi="Times New Roman" w:cs="Times New Roman"/>
          <w:spacing w:val="1"/>
          <w:sz w:val="24"/>
          <w:szCs w:val="24"/>
          <w:lang w:val="en-IN" w:eastAsia="en-IN"/>
        </w:rPr>
        <w:t xml:space="preserve"> 6(3), pp.164–177.</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bCs/>
          <w:i/>
          <w:spacing w:val="1"/>
          <w:kern w:val="36"/>
          <w:sz w:val="24"/>
          <w:szCs w:val="24"/>
          <w:lang w:val="en-IN" w:eastAsia="en-IN"/>
        </w:rPr>
      </w:pPr>
      <w:r w:rsidRPr="008711CA">
        <w:rPr>
          <w:rFonts w:ascii="Times New Roman" w:eastAsia="Times New Roman" w:hAnsi="Times New Roman" w:cs="Times New Roman"/>
          <w:spacing w:val="1"/>
          <w:sz w:val="24"/>
          <w:szCs w:val="24"/>
          <w:lang w:val="en-IN" w:eastAsia="en-IN"/>
        </w:rPr>
        <w:t>Love, R.M. (1980) The chemical biology of fishes. Vol. 2, Suppl. 1. </w:t>
      </w:r>
      <w:r w:rsidRPr="006211CC">
        <w:rPr>
          <w:rFonts w:ascii="Times New Roman" w:eastAsia="Times New Roman" w:hAnsi="Times New Roman" w:cs="Times New Roman"/>
          <w:bCs/>
          <w:i/>
          <w:spacing w:val="1"/>
          <w:kern w:val="36"/>
          <w:sz w:val="24"/>
          <w:szCs w:val="24"/>
          <w:lang w:val="en-IN" w:eastAsia="en-IN"/>
        </w:rPr>
        <w:t>Academic Press</w:t>
      </w:r>
      <w:r w:rsidRPr="008711CA">
        <w:rPr>
          <w:rFonts w:ascii="Times New Roman" w:eastAsia="Times New Roman" w:hAnsi="Times New Roman" w:cs="Times New Roman"/>
          <w:bCs/>
          <w:i/>
          <w:spacing w:val="1"/>
          <w:kern w:val="36"/>
          <w:sz w:val="24"/>
          <w:szCs w:val="24"/>
          <w:lang w:val="en-IN" w:eastAsia="en-IN"/>
        </w:rPr>
        <w:t>, London.</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Migaud</w:t>
      </w:r>
      <w:proofErr w:type="spellEnd"/>
      <w:r w:rsidRPr="008711CA">
        <w:rPr>
          <w:rFonts w:ascii="Times New Roman" w:eastAsia="Times New Roman" w:hAnsi="Times New Roman" w:cs="Times New Roman"/>
          <w:spacing w:val="1"/>
          <w:sz w:val="24"/>
          <w:szCs w:val="24"/>
          <w:lang w:val="en-IN" w:eastAsia="en-IN"/>
        </w:rPr>
        <w:t>, H., Davie, A. &amp; Martinez-Rubio, L. (2010) Light management of farmed fish: Energy savings and zoonotic disease control. </w:t>
      </w:r>
      <w:r w:rsidRPr="006211CC">
        <w:rPr>
          <w:rFonts w:ascii="Times New Roman" w:eastAsia="Times New Roman" w:hAnsi="Times New Roman" w:cs="Times New Roman"/>
          <w:bCs/>
          <w:i/>
          <w:spacing w:val="1"/>
          <w:kern w:val="36"/>
          <w:sz w:val="24"/>
          <w:szCs w:val="24"/>
          <w:lang w:val="en-IN" w:eastAsia="en-IN"/>
        </w:rPr>
        <w:t>Aquaculture Engineering</w:t>
      </w:r>
      <w:r w:rsidRPr="008711CA">
        <w:rPr>
          <w:rFonts w:ascii="Times New Roman" w:eastAsia="Times New Roman" w:hAnsi="Times New Roman" w:cs="Times New Roman"/>
          <w:spacing w:val="1"/>
          <w:sz w:val="24"/>
          <w:szCs w:val="24"/>
          <w:lang w:val="en-IN" w:eastAsia="en-IN"/>
        </w:rPr>
        <w:t>, 42(1), pp.1–10.</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Mylonas</w:t>
      </w:r>
      <w:proofErr w:type="spellEnd"/>
      <w:r w:rsidRPr="008711CA">
        <w:rPr>
          <w:rFonts w:ascii="Times New Roman" w:eastAsia="Times New Roman" w:hAnsi="Times New Roman" w:cs="Times New Roman"/>
          <w:spacing w:val="1"/>
          <w:sz w:val="24"/>
          <w:szCs w:val="24"/>
          <w:lang w:val="en-IN" w:eastAsia="en-IN"/>
        </w:rPr>
        <w:t xml:space="preserve">, C.C., </w:t>
      </w:r>
      <w:proofErr w:type="spellStart"/>
      <w:r w:rsidRPr="008711CA">
        <w:rPr>
          <w:rFonts w:ascii="Times New Roman" w:eastAsia="Times New Roman" w:hAnsi="Times New Roman" w:cs="Times New Roman"/>
          <w:spacing w:val="1"/>
          <w:sz w:val="24"/>
          <w:szCs w:val="24"/>
          <w:lang w:val="en-IN" w:eastAsia="en-IN"/>
        </w:rPr>
        <w:t>Fostier</w:t>
      </w:r>
      <w:proofErr w:type="spellEnd"/>
      <w:r w:rsidRPr="008711CA">
        <w:rPr>
          <w:rFonts w:ascii="Times New Roman" w:eastAsia="Times New Roman" w:hAnsi="Times New Roman" w:cs="Times New Roman"/>
          <w:spacing w:val="1"/>
          <w:sz w:val="24"/>
          <w:szCs w:val="24"/>
          <w:lang w:val="en-IN" w:eastAsia="en-IN"/>
        </w:rPr>
        <w:t xml:space="preserve">, A. &amp; </w:t>
      </w:r>
      <w:proofErr w:type="spellStart"/>
      <w:r w:rsidRPr="008711CA">
        <w:rPr>
          <w:rFonts w:ascii="Times New Roman" w:eastAsia="Times New Roman" w:hAnsi="Times New Roman" w:cs="Times New Roman"/>
          <w:spacing w:val="1"/>
          <w:sz w:val="24"/>
          <w:szCs w:val="24"/>
          <w:lang w:val="en-IN" w:eastAsia="en-IN"/>
        </w:rPr>
        <w:t>Zanuy</w:t>
      </w:r>
      <w:proofErr w:type="spellEnd"/>
      <w:r w:rsidRPr="008711CA">
        <w:rPr>
          <w:rFonts w:ascii="Times New Roman" w:eastAsia="Times New Roman" w:hAnsi="Times New Roman" w:cs="Times New Roman"/>
          <w:spacing w:val="1"/>
          <w:sz w:val="24"/>
          <w:szCs w:val="24"/>
          <w:lang w:val="en-IN" w:eastAsia="en-IN"/>
        </w:rPr>
        <w:t xml:space="preserve">, S. (2010) </w:t>
      </w:r>
      <w:proofErr w:type="spellStart"/>
      <w:r w:rsidRPr="008711CA">
        <w:rPr>
          <w:rFonts w:ascii="Times New Roman" w:eastAsia="Times New Roman" w:hAnsi="Times New Roman" w:cs="Times New Roman"/>
          <w:spacing w:val="1"/>
          <w:sz w:val="24"/>
          <w:szCs w:val="24"/>
          <w:lang w:val="en-IN" w:eastAsia="en-IN"/>
        </w:rPr>
        <w:t>Broodstock</w:t>
      </w:r>
      <w:proofErr w:type="spellEnd"/>
      <w:r w:rsidRPr="008711CA">
        <w:rPr>
          <w:rFonts w:ascii="Times New Roman" w:eastAsia="Times New Roman" w:hAnsi="Times New Roman" w:cs="Times New Roman"/>
          <w:spacing w:val="1"/>
          <w:sz w:val="24"/>
          <w:szCs w:val="24"/>
          <w:lang w:val="en-IN" w:eastAsia="en-IN"/>
        </w:rPr>
        <w:t xml:space="preserve"> management and hormonal manipulations of fish reproduction. </w:t>
      </w:r>
      <w:r w:rsidRPr="006211CC">
        <w:rPr>
          <w:rFonts w:ascii="Times New Roman" w:eastAsia="Times New Roman" w:hAnsi="Times New Roman" w:cs="Times New Roman"/>
          <w:bCs/>
          <w:i/>
          <w:spacing w:val="1"/>
          <w:kern w:val="36"/>
          <w:sz w:val="24"/>
          <w:szCs w:val="24"/>
          <w:lang w:val="en-IN" w:eastAsia="en-IN"/>
        </w:rPr>
        <w:t>General and Comparative Endocrinology</w:t>
      </w:r>
      <w:r w:rsidRPr="008711CA">
        <w:rPr>
          <w:rFonts w:ascii="Times New Roman" w:eastAsia="Times New Roman" w:hAnsi="Times New Roman" w:cs="Times New Roman"/>
          <w:spacing w:val="1"/>
          <w:sz w:val="24"/>
          <w:szCs w:val="24"/>
          <w:lang w:val="en-IN" w:eastAsia="en-IN"/>
        </w:rPr>
        <w:t>, 165(3), pp.516–534.</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Pankhurst, N.W. &amp; Van der </w:t>
      </w:r>
      <w:proofErr w:type="spellStart"/>
      <w:r w:rsidRPr="008711CA">
        <w:rPr>
          <w:rFonts w:ascii="Times New Roman" w:eastAsia="Times New Roman" w:hAnsi="Times New Roman" w:cs="Times New Roman"/>
          <w:spacing w:val="1"/>
          <w:sz w:val="24"/>
          <w:szCs w:val="24"/>
          <w:lang w:val="en-IN" w:eastAsia="en-IN"/>
        </w:rPr>
        <w:t>Kraak</w:t>
      </w:r>
      <w:proofErr w:type="spellEnd"/>
      <w:r w:rsidRPr="008711CA">
        <w:rPr>
          <w:rFonts w:ascii="Times New Roman" w:eastAsia="Times New Roman" w:hAnsi="Times New Roman" w:cs="Times New Roman"/>
          <w:spacing w:val="1"/>
          <w:sz w:val="24"/>
          <w:szCs w:val="24"/>
          <w:lang w:val="en-IN" w:eastAsia="en-IN"/>
        </w:rPr>
        <w:t>, G. (1997) Effects of stress on reproduction and growth of fish. </w:t>
      </w:r>
      <w:r w:rsidRPr="006211CC">
        <w:rPr>
          <w:rFonts w:ascii="Times New Roman" w:eastAsia="Times New Roman" w:hAnsi="Times New Roman" w:cs="Times New Roman"/>
          <w:bCs/>
          <w:i/>
          <w:spacing w:val="1"/>
          <w:kern w:val="36"/>
          <w:sz w:val="24"/>
          <w:szCs w:val="24"/>
          <w:lang w:val="en-IN" w:eastAsia="en-IN"/>
        </w:rPr>
        <w:t>Reviews in Fish Biology and Fisheries</w:t>
      </w:r>
      <w:r w:rsidRPr="008711CA">
        <w:rPr>
          <w:rFonts w:ascii="Times New Roman" w:eastAsia="Times New Roman" w:hAnsi="Times New Roman" w:cs="Times New Roman"/>
          <w:spacing w:val="1"/>
          <w:sz w:val="24"/>
          <w:szCs w:val="24"/>
          <w:lang w:val="en-IN" w:eastAsia="en-IN"/>
        </w:rPr>
        <w:t>, 7(3), pp.291–315.</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Pörtner</w:t>
      </w:r>
      <w:proofErr w:type="spellEnd"/>
      <w:r w:rsidRPr="008711CA">
        <w:rPr>
          <w:rFonts w:ascii="Times New Roman" w:eastAsia="Times New Roman" w:hAnsi="Times New Roman" w:cs="Times New Roman"/>
          <w:spacing w:val="1"/>
          <w:sz w:val="24"/>
          <w:szCs w:val="24"/>
          <w:lang w:val="en-IN" w:eastAsia="en-IN"/>
        </w:rPr>
        <w:t>, H.O. &amp; Farrell, A.P. (2008) Physiology and ecology of fish migration: Osmoregulatory challenges and solutions. </w:t>
      </w:r>
      <w:r w:rsidRPr="006211CC">
        <w:rPr>
          <w:rFonts w:ascii="Times New Roman" w:eastAsia="Times New Roman" w:hAnsi="Times New Roman" w:cs="Times New Roman"/>
          <w:bCs/>
          <w:i/>
          <w:spacing w:val="1"/>
          <w:kern w:val="36"/>
          <w:sz w:val="24"/>
          <w:szCs w:val="24"/>
          <w:lang w:val="en-IN" w:eastAsia="en-IN"/>
        </w:rPr>
        <w:t>Fish and Fisheries</w:t>
      </w:r>
      <w:r w:rsidRPr="008711CA">
        <w:rPr>
          <w:rFonts w:ascii="Times New Roman" w:eastAsia="Times New Roman" w:hAnsi="Times New Roman" w:cs="Times New Roman"/>
          <w:spacing w:val="1"/>
          <w:sz w:val="24"/>
          <w:szCs w:val="24"/>
          <w:lang w:val="en-IN" w:eastAsia="en-IN"/>
        </w:rPr>
        <w:t>, 9(3), pp.280–298.</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Quince, C., Abrams, P.A., </w:t>
      </w:r>
      <w:proofErr w:type="spellStart"/>
      <w:r w:rsidRPr="008711CA">
        <w:rPr>
          <w:rFonts w:ascii="Times New Roman" w:eastAsia="Times New Roman" w:hAnsi="Times New Roman" w:cs="Times New Roman"/>
          <w:spacing w:val="1"/>
          <w:sz w:val="24"/>
          <w:szCs w:val="24"/>
          <w:lang w:val="en-IN" w:eastAsia="en-IN"/>
        </w:rPr>
        <w:t>Shuter</w:t>
      </w:r>
      <w:proofErr w:type="spellEnd"/>
      <w:r w:rsidRPr="008711CA">
        <w:rPr>
          <w:rFonts w:ascii="Times New Roman" w:eastAsia="Times New Roman" w:hAnsi="Times New Roman" w:cs="Times New Roman"/>
          <w:spacing w:val="1"/>
          <w:sz w:val="24"/>
          <w:szCs w:val="24"/>
          <w:lang w:val="en-IN" w:eastAsia="en-IN"/>
        </w:rPr>
        <w:t>, B.J. &amp; Lester, N.P. (2008) Biphasic dynamic and stabilizing selection on body size and condition-dependent sexual maturation. </w:t>
      </w:r>
      <w:r w:rsidRPr="006211CC">
        <w:rPr>
          <w:rFonts w:ascii="Times New Roman" w:eastAsia="Times New Roman" w:hAnsi="Times New Roman" w:cs="Times New Roman"/>
          <w:bCs/>
          <w:i/>
          <w:spacing w:val="1"/>
          <w:kern w:val="36"/>
          <w:sz w:val="24"/>
          <w:szCs w:val="24"/>
          <w:lang w:val="en-IN" w:eastAsia="en-IN"/>
        </w:rPr>
        <w:t>American Naturalist</w:t>
      </w:r>
      <w:r w:rsidRPr="008711CA">
        <w:rPr>
          <w:rFonts w:ascii="Times New Roman" w:eastAsia="Times New Roman" w:hAnsi="Times New Roman" w:cs="Times New Roman"/>
          <w:spacing w:val="1"/>
          <w:sz w:val="24"/>
          <w:szCs w:val="24"/>
          <w:lang w:val="en-IN" w:eastAsia="en-IN"/>
        </w:rPr>
        <w:t xml:space="preserve">, 172(4), </w:t>
      </w:r>
      <w:proofErr w:type="gramStart"/>
      <w:r w:rsidRPr="008711CA">
        <w:rPr>
          <w:rFonts w:ascii="Times New Roman" w:eastAsia="Times New Roman" w:hAnsi="Times New Roman" w:cs="Times New Roman"/>
          <w:spacing w:val="1"/>
          <w:sz w:val="24"/>
          <w:szCs w:val="24"/>
          <w:lang w:val="en-IN" w:eastAsia="en-IN"/>
        </w:rPr>
        <w:t>pp.E</w:t>
      </w:r>
      <w:proofErr w:type="gramEnd"/>
      <w:r w:rsidRPr="008711CA">
        <w:rPr>
          <w:rFonts w:ascii="Times New Roman" w:eastAsia="Times New Roman" w:hAnsi="Times New Roman" w:cs="Times New Roman"/>
          <w:spacing w:val="1"/>
          <w:sz w:val="24"/>
          <w:szCs w:val="24"/>
          <w:lang w:val="en-IN" w:eastAsia="en-IN"/>
        </w:rPr>
        <w:t>50–E72.</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Schulz, R.W., Miura, T., </w:t>
      </w:r>
      <w:proofErr w:type="spellStart"/>
      <w:r w:rsidRPr="008711CA">
        <w:rPr>
          <w:rFonts w:ascii="Times New Roman" w:eastAsia="Times New Roman" w:hAnsi="Times New Roman" w:cs="Times New Roman"/>
          <w:spacing w:val="1"/>
          <w:sz w:val="24"/>
          <w:szCs w:val="24"/>
          <w:lang w:val="en-IN" w:eastAsia="en-IN"/>
        </w:rPr>
        <w:t>Ausió</w:t>
      </w:r>
      <w:proofErr w:type="spellEnd"/>
      <w:r w:rsidRPr="008711CA">
        <w:rPr>
          <w:rFonts w:ascii="Times New Roman" w:eastAsia="Times New Roman" w:hAnsi="Times New Roman" w:cs="Times New Roman"/>
          <w:spacing w:val="1"/>
          <w:sz w:val="24"/>
          <w:szCs w:val="24"/>
          <w:lang w:val="en-IN" w:eastAsia="en-IN"/>
        </w:rPr>
        <w:t>, J. &amp; Tanaka, M. (2010) Sex determination: Genetic, molecular and environmental aspects. In: Fish Aquaculture. Springer Publishing, pp.123–158.</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Stearns, S.C. (1992) The evolution of life histories. </w:t>
      </w:r>
      <w:r w:rsidRPr="006211CC">
        <w:rPr>
          <w:rFonts w:ascii="Times New Roman" w:eastAsia="Times New Roman" w:hAnsi="Times New Roman" w:cs="Times New Roman"/>
          <w:bCs/>
          <w:i/>
          <w:spacing w:val="1"/>
          <w:kern w:val="36"/>
          <w:sz w:val="24"/>
          <w:szCs w:val="24"/>
          <w:lang w:val="en-IN" w:eastAsia="en-IN"/>
        </w:rPr>
        <w:t>Oxford University Press</w:t>
      </w:r>
      <w:r w:rsidRPr="008711CA">
        <w:rPr>
          <w:rFonts w:ascii="Times New Roman" w:eastAsia="Times New Roman" w:hAnsi="Times New Roman" w:cs="Times New Roman"/>
          <w:spacing w:val="1"/>
          <w:sz w:val="24"/>
          <w:szCs w:val="24"/>
          <w:lang w:val="en-IN" w:eastAsia="en-IN"/>
        </w:rPr>
        <w:t>, Oxford.</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8711CA">
        <w:rPr>
          <w:rFonts w:ascii="Times New Roman" w:eastAsia="Times New Roman" w:hAnsi="Times New Roman" w:cs="Times New Roman"/>
          <w:spacing w:val="1"/>
          <w:sz w:val="24"/>
          <w:szCs w:val="24"/>
          <w:lang w:val="en-IN" w:eastAsia="en-IN"/>
        </w:rPr>
        <w:t xml:space="preserve">Stearns, S.C. &amp; </w:t>
      </w:r>
      <w:proofErr w:type="spellStart"/>
      <w:r w:rsidRPr="008711CA">
        <w:rPr>
          <w:rFonts w:ascii="Times New Roman" w:eastAsia="Times New Roman" w:hAnsi="Times New Roman" w:cs="Times New Roman"/>
          <w:spacing w:val="1"/>
          <w:sz w:val="24"/>
          <w:szCs w:val="24"/>
          <w:lang w:val="en-IN" w:eastAsia="en-IN"/>
        </w:rPr>
        <w:t>Koella</w:t>
      </w:r>
      <w:proofErr w:type="spellEnd"/>
      <w:r w:rsidRPr="008711CA">
        <w:rPr>
          <w:rFonts w:ascii="Times New Roman" w:eastAsia="Times New Roman" w:hAnsi="Times New Roman" w:cs="Times New Roman"/>
          <w:spacing w:val="1"/>
          <w:sz w:val="24"/>
          <w:szCs w:val="24"/>
          <w:lang w:val="en-IN" w:eastAsia="en-IN"/>
        </w:rPr>
        <w:t>, J.C. (1986) The evolution of phenotypic plasticity in life-history traits: Predictions of reaction norms for age and size at maturity. </w:t>
      </w:r>
      <w:r w:rsidRPr="006211CC">
        <w:rPr>
          <w:rFonts w:ascii="Times New Roman" w:eastAsia="Times New Roman" w:hAnsi="Times New Roman" w:cs="Times New Roman"/>
          <w:bCs/>
          <w:i/>
          <w:spacing w:val="1"/>
          <w:kern w:val="36"/>
          <w:sz w:val="24"/>
          <w:szCs w:val="24"/>
          <w:lang w:val="en-IN" w:eastAsia="en-IN"/>
        </w:rPr>
        <w:t>Evolution</w:t>
      </w:r>
      <w:r w:rsidRPr="008711CA">
        <w:rPr>
          <w:rFonts w:ascii="Times New Roman" w:eastAsia="Times New Roman" w:hAnsi="Times New Roman" w:cs="Times New Roman"/>
          <w:spacing w:val="1"/>
          <w:sz w:val="24"/>
          <w:szCs w:val="24"/>
          <w:lang w:val="en-IN" w:eastAsia="en-IN"/>
        </w:rPr>
        <w:t>, 40(5), pp.893–913.</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proofErr w:type="spellStart"/>
      <w:r w:rsidRPr="008711CA">
        <w:rPr>
          <w:rFonts w:ascii="Times New Roman" w:eastAsia="Times New Roman" w:hAnsi="Times New Roman" w:cs="Times New Roman"/>
          <w:spacing w:val="1"/>
          <w:sz w:val="24"/>
          <w:szCs w:val="24"/>
          <w:lang w:val="en-IN" w:eastAsia="en-IN"/>
        </w:rPr>
        <w:t>Toming</w:t>
      </w:r>
      <w:proofErr w:type="spellEnd"/>
      <w:r w:rsidRPr="008711CA">
        <w:rPr>
          <w:rFonts w:ascii="Times New Roman" w:eastAsia="Times New Roman" w:hAnsi="Times New Roman" w:cs="Times New Roman"/>
          <w:spacing w:val="1"/>
          <w:sz w:val="24"/>
          <w:szCs w:val="24"/>
          <w:lang w:val="en-IN" w:eastAsia="en-IN"/>
        </w:rPr>
        <w:t xml:space="preserve">, K. &amp; </w:t>
      </w:r>
      <w:proofErr w:type="spellStart"/>
      <w:r w:rsidRPr="008711CA">
        <w:rPr>
          <w:rFonts w:ascii="Times New Roman" w:eastAsia="Times New Roman" w:hAnsi="Times New Roman" w:cs="Times New Roman"/>
          <w:spacing w:val="1"/>
          <w:sz w:val="24"/>
          <w:szCs w:val="24"/>
          <w:lang w:val="en-IN" w:eastAsia="en-IN"/>
        </w:rPr>
        <w:t>Järvalt</w:t>
      </w:r>
      <w:proofErr w:type="spellEnd"/>
      <w:r w:rsidRPr="008711CA">
        <w:rPr>
          <w:rFonts w:ascii="Times New Roman" w:eastAsia="Times New Roman" w:hAnsi="Times New Roman" w:cs="Times New Roman"/>
          <w:spacing w:val="1"/>
          <w:sz w:val="24"/>
          <w:szCs w:val="24"/>
          <w:lang w:val="en-IN" w:eastAsia="en-IN"/>
        </w:rPr>
        <w:t>, A. (2011) Factors affecting condition factor and relative liver size in freshwater fish. </w:t>
      </w:r>
      <w:r w:rsidRPr="006211CC">
        <w:rPr>
          <w:rFonts w:ascii="Times New Roman" w:eastAsia="Times New Roman" w:hAnsi="Times New Roman" w:cs="Times New Roman"/>
          <w:bCs/>
          <w:i/>
          <w:spacing w:val="1"/>
          <w:kern w:val="36"/>
          <w:sz w:val="24"/>
          <w:szCs w:val="24"/>
          <w:lang w:val="en-IN" w:eastAsia="en-IN"/>
        </w:rPr>
        <w:t>Journal of Applied Ichthyology</w:t>
      </w:r>
      <w:r w:rsidRPr="008711CA">
        <w:rPr>
          <w:rFonts w:ascii="Times New Roman" w:eastAsia="Times New Roman" w:hAnsi="Times New Roman" w:cs="Times New Roman"/>
          <w:spacing w:val="1"/>
          <w:sz w:val="24"/>
          <w:szCs w:val="24"/>
          <w:lang w:val="en-IN" w:eastAsia="en-IN"/>
        </w:rPr>
        <w:t>, 27(1), pp.30–37.</w:t>
      </w:r>
    </w:p>
    <w:p w:rsidR="008711CA" w:rsidRPr="008711CA" w:rsidRDefault="008711CA" w:rsidP="006211CC">
      <w:pPr>
        <w:spacing w:before="100" w:beforeAutospacing="1" w:after="100" w:afterAutospacing="1" w:line="240" w:lineRule="auto"/>
        <w:jc w:val="both"/>
        <w:rPr>
          <w:rFonts w:ascii="Times New Roman" w:eastAsia="Times New Roman" w:hAnsi="Times New Roman" w:cs="Times New Roman"/>
          <w:spacing w:val="1"/>
          <w:sz w:val="24"/>
          <w:szCs w:val="24"/>
          <w:lang w:val="en-IN" w:eastAsia="en-IN"/>
        </w:rPr>
      </w:pPr>
      <w:r w:rsidRPr="006211CC">
        <w:rPr>
          <w:rFonts w:ascii="Times New Roman" w:eastAsia="Times New Roman" w:hAnsi="Times New Roman" w:cs="Times New Roman"/>
          <w:bCs/>
          <w:i/>
          <w:spacing w:val="1"/>
          <w:kern w:val="36"/>
          <w:sz w:val="24"/>
          <w:szCs w:val="24"/>
          <w:lang w:val="en-IN" w:eastAsia="en-IN"/>
        </w:rPr>
        <w:t>Additional Key References for Physiological Research:</w:t>
      </w:r>
      <w:r w:rsidRPr="008711CA">
        <w:rPr>
          <w:rFonts w:ascii="Times New Roman" w:eastAsia="Times New Roman" w:hAnsi="Times New Roman" w:cs="Times New Roman"/>
          <w:spacing w:val="1"/>
          <w:sz w:val="24"/>
          <w:szCs w:val="24"/>
          <w:lang w:val="en-IN" w:eastAsia="en-IN"/>
        </w:rPr>
        <w:t xml:space="preserve"> Treasurer, J.W. (1997); Weatherly &amp; Gill (1987); </w:t>
      </w:r>
      <w:proofErr w:type="spellStart"/>
      <w:r w:rsidRPr="008711CA">
        <w:rPr>
          <w:rFonts w:ascii="Times New Roman" w:eastAsia="Times New Roman" w:hAnsi="Times New Roman" w:cs="Times New Roman"/>
          <w:spacing w:val="1"/>
          <w:sz w:val="24"/>
          <w:szCs w:val="24"/>
          <w:lang w:val="en-IN" w:eastAsia="en-IN"/>
        </w:rPr>
        <w:t>Zar</w:t>
      </w:r>
      <w:proofErr w:type="spellEnd"/>
      <w:r w:rsidRPr="008711CA">
        <w:rPr>
          <w:rFonts w:ascii="Times New Roman" w:eastAsia="Times New Roman" w:hAnsi="Times New Roman" w:cs="Times New Roman"/>
          <w:spacing w:val="1"/>
          <w:sz w:val="24"/>
          <w:szCs w:val="24"/>
          <w:lang w:val="en-IN" w:eastAsia="en-IN"/>
        </w:rPr>
        <w:t>, J.H. (2010)</w:t>
      </w:r>
    </w:p>
    <w:p w:rsidR="007C364B" w:rsidRPr="008711CA" w:rsidRDefault="007C364B" w:rsidP="006211CC">
      <w:pPr>
        <w:jc w:val="both"/>
        <w:rPr>
          <w:rFonts w:ascii="Times New Roman" w:hAnsi="Times New Roman" w:cs="Times New Roman"/>
          <w:sz w:val="24"/>
          <w:szCs w:val="24"/>
        </w:rPr>
      </w:pPr>
    </w:p>
    <w:sectPr w:rsidR="007C364B" w:rsidRPr="008711CA">
      <w:headerReference w:type="even" r:id="rId12"/>
      <w:headerReference w:type="default" r:id="rId13"/>
      <w:footerReference w:type="even" r:id="rId14"/>
      <w:footerReference w:type="default" r:id="rId15"/>
      <w:headerReference w:type="first" r:id="rId16"/>
      <w:footerReference w:type="first" r:id="rId17"/>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600" w:rsidRDefault="00520600" w:rsidP="00272B8B">
      <w:pPr>
        <w:spacing w:after="0" w:line="240" w:lineRule="auto"/>
      </w:pPr>
      <w:r>
        <w:separator/>
      </w:r>
    </w:p>
  </w:endnote>
  <w:endnote w:type="continuationSeparator" w:id="0">
    <w:p w:rsidR="00520600" w:rsidRDefault="00520600" w:rsidP="0027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600" w:rsidRDefault="00520600" w:rsidP="00272B8B">
      <w:pPr>
        <w:spacing w:after="0" w:line="240" w:lineRule="auto"/>
      </w:pPr>
      <w:r>
        <w:separator/>
      </w:r>
    </w:p>
  </w:footnote>
  <w:footnote w:type="continuationSeparator" w:id="0">
    <w:p w:rsidR="00520600" w:rsidRDefault="00520600" w:rsidP="00272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0641"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0642"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8B" w:rsidRDefault="00272B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0640"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64B"/>
    <w:rsid w:val="00272B8B"/>
    <w:rsid w:val="002C666D"/>
    <w:rsid w:val="00372083"/>
    <w:rsid w:val="00520600"/>
    <w:rsid w:val="005E2C6D"/>
    <w:rsid w:val="006211CC"/>
    <w:rsid w:val="007C364B"/>
    <w:rsid w:val="008516F2"/>
    <w:rsid w:val="008711CA"/>
    <w:rsid w:val="00AA75BA"/>
    <w:rsid w:val="00B80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7E18B9-C90D-46A8-B95E-57D1D0D1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link w:val="Heading1Char"/>
    <w:uiPriority w:val="9"/>
    <w:qFormat/>
    <w:rsid w:val="008711C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8711C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87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CA"/>
    <w:rPr>
      <w:rFonts w:ascii="Tahoma" w:hAnsi="Tahoma" w:cs="Tahoma"/>
      <w:sz w:val="16"/>
      <w:szCs w:val="16"/>
    </w:rPr>
  </w:style>
  <w:style w:type="character" w:customStyle="1" w:styleId="Heading1Char">
    <w:name w:val="Heading 1 Char"/>
    <w:basedOn w:val="DefaultParagraphFont"/>
    <w:link w:val="Heading1"/>
    <w:uiPriority w:val="9"/>
    <w:rsid w:val="008711CA"/>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8711CA"/>
    <w:rPr>
      <w:rFonts w:ascii="Times New Roman" w:eastAsia="Times New Roman" w:hAnsi="Times New Roman" w:cs="Times New Roman"/>
      <w:b/>
      <w:bCs/>
      <w:sz w:val="36"/>
      <w:szCs w:val="36"/>
      <w:lang w:val="en-IN" w:eastAsia="en-IN"/>
    </w:rPr>
  </w:style>
  <w:style w:type="character" w:styleId="Emphasis">
    <w:name w:val="Emphasis"/>
    <w:basedOn w:val="DefaultParagraphFont"/>
    <w:uiPriority w:val="20"/>
    <w:qFormat/>
    <w:rsid w:val="008711CA"/>
    <w:rPr>
      <w:i/>
      <w:iCs/>
    </w:rPr>
  </w:style>
  <w:style w:type="paragraph" w:customStyle="1" w:styleId="my-2">
    <w:name w:val="my-2"/>
    <w:basedOn w:val="Normal"/>
    <w:rsid w:val="008711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711CA"/>
    <w:rPr>
      <w:b/>
      <w:bCs/>
    </w:rPr>
  </w:style>
  <w:style w:type="character" w:customStyle="1" w:styleId="text-box-trim-both">
    <w:name w:val="text-box-trim-both"/>
    <w:basedOn w:val="DefaultParagraphFont"/>
    <w:rsid w:val="008711CA"/>
  </w:style>
  <w:style w:type="character" w:styleId="Hyperlink">
    <w:name w:val="Hyperlink"/>
    <w:basedOn w:val="DefaultParagraphFont"/>
    <w:uiPriority w:val="99"/>
    <w:unhideWhenUsed/>
    <w:rsid w:val="005E2C6D"/>
    <w:rPr>
      <w:color w:val="0000FF" w:themeColor="hyperlink"/>
      <w:u w:val="single"/>
    </w:rPr>
  </w:style>
  <w:style w:type="character" w:styleId="UnresolvedMention">
    <w:name w:val="Unresolved Mention"/>
    <w:basedOn w:val="DefaultParagraphFont"/>
    <w:uiPriority w:val="99"/>
    <w:semiHidden/>
    <w:unhideWhenUsed/>
    <w:rsid w:val="005E2C6D"/>
    <w:rPr>
      <w:color w:val="605E5C"/>
      <w:shd w:val="clear" w:color="auto" w:fill="E1DFDD"/>
    </w:rPr>
  </w:style>
  <w:style w:type="paragraph" w:styleId="Header">
    <w:name w:val="header"/>
    <w:basedOn w:val="Normal"/>
    <w:link w:val="HeaderChar"/>
    <w:uiPriority w:val="99"/>
    <w:unhideWhenUsed/>
    <w:rsid w:val="00272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B8B"/>
  </w:style>
  <w:style w:type="paragraph" w:styleId="Footer">
    <w:name w:val="footer"/>
    <w:basedOn w:val="Normal"/>
    <w:link w:val="FooterChar"/>
    <w:uiPriority w:val="99"/>
    <w:unhideWhenUsed/>
    <w:rsid w:val="00272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39980">
      <w:bodyDiv w:val="1"/>
      <w:marLeft w:val="0"/>
      <w:marRight w:val="0"/>
      <w:marTop w:val="0"/>
      <w:marBottom w:val="0"/>
      <w:divBdr>
        <w:top w:val="none" w:sz="0" w:space="0" w:color="auto"/>
        <w:left w:val="none" w:sz="0" w:space="0" w:color="auto"/>
        <w:bottom w:val="none" w:sz="0" w:space="0" w:color="auto"/>
        <w:right w:val="none" w:sz="0" w:space="0" w:color="auto"/>
      </w:divBdr>
      <w:divsChild>
        <w:div w:id="1255286300">
          <w:marLeft w:val="0"/>
          <w:marRight w:val="0"/>
          <w:marTop w:val="0"/>
          <w:marBottom w:val="0"/>
          <w:divBdr>
            <w:top w:val="single" w:sz="2" w:space="0" w:color="auto"/>
            <w:left w:val="single" w:sz="2" w:space="0" w:color="auto"/>
            <w:bottom w:val="single" w:sz="2" w:space="0" w:color="auto"/>
            <w:right w:val="single" w:sz="2" w:space="0" w:color="auto"/>
          </w:divBdr>
          <w:divsChild>
            <w:div w:id="6912215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ishbase.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fao.org/fisher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9</cp:revision>
  <dcterms:created xsi:type="dcterms:W3CDTF">2025-12-03T05:38:00Z</dcterms:created>
  <dcterms:modified xsi:type="dcterms:W3CDTF">2026-01-09T07:54:00Z</dcterms:modified>
</cp:coreProperties>
</file>