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5D4EE" w14:textId="77777777" w:rsidR="00754C9A" w:rsidRDefault="00754C9A" w:rsidP="00441B6F">
      <w:pPr>
        <w:pStyle w:val="Title"/>
        <w:spacing w:after="0"/>
        <w:jc w:val="both"/>
        <w:rPr>
          <w:rFonts w:ascii="Arial" w:hAnsi="Arial" w:cs="Arial"/>
        </w:rPr>
      </w:pPr>
    </w:p>
    <w:p w14:paraId="2EA7D497" w14:textId="77777777" w:rsidR="002A0AC9" w:rsidRPr="002A0AC9" w:rsidRDefault="002A0AC9" w:rsidP="002A0AC9">
      <w:pPr>
        <w:pStyle w:val="Author"/>
        <w:rPr>
          <w:rFonts w:ascii="Arial" w:hAnsi="Arial" w:cs="Arial"/>
          <w:bCs/>
          <w:i/>
          <w:iCs/>
          <w:kern w:val="28"/>
          <w:sz w:val="18"/>
          <w:szCs w:val="18"/>
          <w:u w:val="single"/>
        </w:rPr>
      </w:pPr>
      <w:r w:rsidRPr="002A0AC9">
        <w:rPr>
          <w:rFonts w:ascii="Arial" w:hAnsi="Arial" w:cs="Arial"/>
          <w:bCs/>
          <w:i/>
          <w:iCs/>
          <w:kern w:val="28"/>
          <w:sz w:val="18"/>
          <w:szCs w:val="18"/>
          <w:u w:val="single"/>
        </w:rPr>
        <w:t>Original Research Article</w:t>
      </w:r>
    </w:p>
    <w:p w14:paraId="45968A53" w14:textId="3DA5D94D" w:rsidR="00163BC4" w:rsidRPr="00163BC4" w:rsidRDefault="006F01BD" w:rsidP="00441B6F">
      <w:pPr>
        <w:pStyle w:val="Author"/>
        <w:spacing w:line="240" w:lineRule="auto"/>
        <w:rPr>
          <w:rFonts w:ascii="Arial" w:hAnsi="Arial" w:cs="Arial"/>
          <w:bCs/>
          <w:iCs/>
          <w:kern w:val="28"/>
          <w:sz w:val="36"/>
        </w:rPr>
      </w:pPr>
      <w:r>
        <w:rPr>
          <w:rFonts w:ascii="Arial" w:hAnsi="Arial" w:cs="Arial"/>
          <w:bCs/>
          <w:iCs/>
          <w:kern w:val="28"/>
          <w:sz w:val="36"/>
        </w:rPr>
        <w:t xml:space="preserve">Genetic variability and character association analysis </w:t>
      </w:r>
      <w:r w:rsidR="002A7F6D">
        <w:rPr>
          <w:rFonts w:ascii="Arial" w:hAnsi="Arial" w:cs="Arial"/>
          <w:bCs/>
          <w:iCs/>
          <w:kern w:val="28"/>
          <w:sz w:val="36"/>
        </w:rPr>
        <w:t xml:space="preserve">in selected </w:t>
      </w:r>
      <w:r w:rsidR="00A4326B" w:rsidRPr="00A4326B">
        <w:rPr>
          <w:rFonts w:ascii="Arial" w:hAnsi="Arial" w:cs="Arial"/>
          <w:bCs/>
          <w:iCs/>
          <w:kern w:val="28"/>
          <w:sz w:val="36"/>
        </w:rPr>
        <w:t>recombinant inbred lines of bread wheat</w:t>
      </w:r>
      <w:r w:rsidR="00231920">
        <w:rPr>
          <w:rFonts w:ascii="Arial" w:hAnsi="Arial" w:cs="Arial"/>
          <w:bCs/>
          <w:iCs/>
          <w:kern w:val="28"/>
          <w:sz w:val="36"/>
        </w:rPr>
        <w:t xml:space="preserve"> </w:t>
      </w:r>
    </w:p>
    <w:p w14:paraId="3B457728" w14:textId="77777777" w:rsidR="00A258C3" w:rsidRPr="00790ADA" w:rsidRDefault="00A258C3" w:rsidP="00441B6F">
      <w:pPr>
        <w:pStyle w:val="Author"/>
        <w:spacing w:line="240" w:lineRule="auto"/>
        <w:jc w:val="both"/>
        <w:rPr>
          <w:rFonts w:ascii="Arial" w:hAnsi="Arial" w:cs="Arial"/>
          <w:sz w:val="36"/>
        </w:rPr>
      </w:pPr>
    </w:p>
    <w:p w14:paraId="092A2DB7" w14:textId="77777777" w:rsidR="002A0AC9" w:rsidRPr="00FB3A86" w:rsidRDefault="002A0AC9" w:rsidP="00441B6F">
      <w:pPr>
        <w:pStyle w:val="Affiliation"/>
        <w:spacing w:after="0" w:line="240" w:lineRule="auto"/>
        <w:jc w:val="both"/>
        <w:rPr>
          <w:rFonts w:ascii="Arial" w:hAnsi="Arial" w:cs="Arial"/>
        </w:rPr>
      </w:pPr>
    </w:p>
    <w:p w14:paraId="53FE44DB" w14:textId="1B61A542" w:rsidR="00B01FCD" w:rsidRPr="00FB3A86" w:rsidRDefault="00FD0494" w:rsidP="00441B6F">
      <w:pPr>
        <w:pStyle w:val="Copyright"/>
        <w:spacing w:after="0" w:line="240" w:lineRule="auto"/>
        <w:jc w:val="both"/>
        <w:rPr>
          <w:rFonts w:ascii="Arial" w:hAnsi="Arial" w:cs="Arial"/>
        </w:rPr>
        <w:sectPr w:rsidR="00B01FCD" w:rsidRPr="00FB3A86" w:rsidSect="006F01B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C98CE8" wp14:editId="2380B30C">
                <wp:extent cx="5303520" cy="635"/>
                <wp:effectExtent l="11430" t="13335" r="9525" b="15240"/>
                <wp:docPr id="903493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6C404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CA462D8" w14:textId="5EA2D3B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970D7C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0FE86801" w14:textId="77777777" w:rsidTr="001E44FE">
        <w:tc>
          <w:tcPr>
            <w:tcW w:w="9576" w:type="dxa"/>
            <w:shd w:val="clear" w:color="auto" w:fill="F2F2F2"/>
          </w:tcPr>
          <w:p w14:paraId="6C7963FC" w14:textId="23E21BC7" w:rsidR="0034086C" w:rsidRPr="0034086C" w:rsidRDefault="0034086C" w:rsidP="0034086C">
            <w:pPr>
              <w:pStyle w:val="Body"/>
              <w:spacing w:after="0"/>
              <w:rPr>
                <w:rFonts w:ascii="Arial" w:eastAsia="Calibri" w:hAnsi="Arial" w:cs="Arial"/>
                <w:szCs w:val="22"/>
                <w:lang w:val="en-IN"/>
              </w:rPr>
            </w:pPr>
            <w:r w:rsidRPr="0034086C">
              <w:rPr>
                <w:rFonts w:ascii="Arial" w:eastAsia="Calibri" w:hAnsi="Arial" w:cs="Arial"/>
                <w:szCs w:val="22"/>
                <w:lang w:val="en-IN"/>
              </w:rPr>
              <w:t>Wheat (</w:t>
            </w:r>
            <w:r w:rsidRPr="0034086C">
              <w:rPr>
                <w:rFonts w:ascii="Arial" w:eastAsia="Calibri" w:hAnsi="Arial" w:cs="Arial"/>
                <w:i/>
                <w:iCs/>
                <w:szCs w:val="22"/>
                <w:lang w:val="en-IN"/>
              </w:rPr>
              <w:t>Triticum aestivum</w:t>
            </w:r>
            <w:r w:rsidRPr="0034086C">
              <w:rPr>
                <w:rFonts w:ascii="Arial" w:eastAsia="Calibri" w:hAnsi="Arial" w:cs="Arial"/>
                <w:szCs w:val="22"/>
                <w:lang w:val="en-IN"/>
              </w:rPr>
              <w:t xml:space="preserve"> L.) improvement relies on the availability of genetic variation and an understanding of the inheritance of yield-related traits. The present investigation assessed genetic variability, heritability, genetic advance, and inter-trait relationships in 136 recombinant inbred lines derived from a </w:t>
            </w:r>
            <w:bookmarkStart w:id="0" w:name="_Hlk217499663"/>
            <w:r w:rsidRPr="0034086C">
              <w:rPr>
                <w:rFonts w:ascii="Arial" w:eastAsia="Calibri" w:hAnsi="Arial" w:cs="Arial"/>
                <w:szCs w:val="22"/>
                <w:lang w:val="en-IN"/>
              </w:rPr>
              <w:t xml:space="preserve">WH711 × PBW698 </w:t>
            </w:r>
            <w:bookmarkEnd w:id="0"/>
            <w:r w:rsidRPr="0034086C">
              <w:rPr>
                <w:rFonts w:ascii="Arial" w:eastAsia="Calibri" w:hAnsi="Arial" w:cs="Arial"/>
                <w:szCs w:val="22"/>
                <w:lang w:val="en-IN"/>
              </w:rPr>
              <w:t xml:space="preserve">cross. The experiment was conducted during </w:t>
            </w:r>
            <w:r w:rsidRPr="0034086C">
              <w:rPr>
                <w:rFonts w:ascii="Arial" w:eastAsia="Calibri" w:hAnsi="Arial" w:cs="Arial"/>
                <w:i/>
                <w:iCs/>
                <w:szCs w:val="22"/>
                <w:lang w:val="en-IN"/>
              </w:rPr>
              <w:t>Rabi</w:t>
            </w:r>
            <w:r w:rsidRPr="0034086C">
              <w:rPr>
                <w:rFonts w:ascii="Arial" w:eastAsia="Calibri" w:hAnsi="Arial" w:cs="Arial"/>
                <w:szCs w:val="22"/>
                <w:lang w:val="en-IN"/>
              </w:rPr>
              <w:t xml:space="preserve"> 2022–23 using an augmented design, and data were recorded for eight morphological </w:t>
            </w:r>
            <w:r w:rsidR="00CF5805">
              <w:rPr>
                <w:rFonts w:ascii="Arial" w:eastAsia="Calibri" w:hAnsi="Arial" w:cs="Arial"/>
                <w:szCs w:val="22"/>
                <w:lang w:val="en-IN"/>
              </w:rPr>
              <w:t>yield and yield associated traits</w:t>
            </w:r>
            <w:r w:rsidRPr="0034086C">
              <w:rPr>
                <w:rFonts w:ascii="Arial" w:eastAsia="Calibri" w:hAnsi="Arial" w:cs="Arial"/>
                <w:szCs w:val="22"/>
                <w:lang w:val="en-IN"/>
              </w:rPr>
              <w:t xml:space="preserve">. Significant differences among genotypes were observed for most traits, indicating the presence of considerable genetic diversity within the population. Estimates of genotypic </w:t>
            </w:r>
            <w:r w:rsidR="006C1ECF" w:rsidRPr="006C1ECF">
              <w:rPr>
                <w:rFonts w:ascii="Arial" w:eastAsia="Calibri" w:hAnsi="Arial" w:cs="Arial"/>
                <w:szCs w:val="22"/>
              </w:rPr>
              <w:t>coefficients of variation</w:t>
            </w:r>
            <w:r w:rsidR="006C1ECF">
              <w:rPr>
                <w:rFonts w:ascii="Arial" w:eastAsia="Calibri" w:hAnsi="Arial" w:cs="Arial"/>
                <w:szCs w:val="22"/>
              </w:rPr>
              <w:t xml:space="preserve"> (GCV)</w:t>
            </w:r>
            <w:r w:rsidRPr="0034086C">
              <w:rPr>
                <w:rFonts w:ascii="Arial" w:eastAsia="Calibri" w:hAnsi="Arial" w:cs="Arial"/>
                <w:szCs w:val="22"/>
                <w:lang w:val="en-IN"/>
              </w:rPr>
              <w:t xml:space="preserve"> were lower than phenotypic </w:t>
            </w:r>
            <w:r w:rsidR="006C1ECF" w:rsidRPr="006C1ECF">
              <w:rPr>
                <w:rFonts w:ascii="Arial" w:eastAsia="Calibri" w:hAnsi="Arial" w:cs="Arial"/>
                <w:szCs w:val="22"/>
              </w:rPr>
              <w:t>coefficients of variation</w:t>
            </w:r>
            <w:r w:rsidR="006C1ECF">
              <w:rPr>
                <w:rFonts w:ascii="Arial" w:eastAsia="Calibri" w:hAnsi="Arial" w:cs="Arial"/>
                <w:szCs w:val="22"/>
              </w:rPr>
              <w:t xml:space="preserve"> (PCV)</w:t>
            </w:r>
            <w:r w:rsidRPr="0034086C">
              <w:rPr>
                <w:rFonts w:ascii="Arial" w:eastAsia="Calibri" w:hAnsi="Arial" w:cs="Arial"/>
                <w:szCs w:val="22"/>
                <w:lang w:val="en-IN"/>
              </w:rPr>
              <w:t xml:space="preserve">; however, </w:t>
            </w:r>
            <w:r w:rsidR="00002BA0" w:rsidRPr="00002BA0">
              <w:rPr>
                <w:rFonts w:ascii="Arial" w:eastAsia="Calibri" w:hAnsi="Arial" w:cs="Arial"/>
                <w:szCs w:val="22"/>
                <w:lang w:val="en-IN"/>
              </w:rPr>
              <w:t xml:space="preserve">grain yield per plot (g) (25.52%), biological yield per plot (g) (24.01%) and number of tillers per meter (20.74%) </w:t>
            </w:r>
            <w:r w:rsidRPr="0034086C">
              <w:rPr>
                <w:rFonts w:ascii="Arial" w:eastAsia="Calibri" w:hAnsi="Arial" w:cs="Arial"/>
                <w:szCs w:val="22"/>
                <w:lang w:val="en-IN"/>
              </w:rPr>
              <w:t xml:space="preserve">exhibited relatively higher </w:t>
            </w:r>
            <w:r w:rsidR="006C1ECF">
              <w:rPr>
                <w:rFonts w:ascii="Arial" w:eastAsia="Calibri" w:hAnsi="Arial" w:cs="Arial"/>
                <w:szCs w:val="22"/>
                <w:lang w:val="en-IN"/>
              </w:rPr>
              <w:t>GCV</w:t>
            </w:r>
            <w:r w:rsidRPr="0034086C">
              <w:rPr>
                <w:rFonts w:ascii="Arial" w:eastAsia="Calibri" w:hAnsi="Arial" w:cs="Arial"/>
                <w:szCs w:val="22"/>
                <w:lang w:val="en-IN"/>
              </w:rPr>
              <w:t xml:space="preserve">, suggesting reduced environmental influence. High heritability accompanied by high genetic advance as a percentage of the mean was recorded for biological yield per plot, number of tillers per meter, number of grains per spike, number of </w:t>
            </w:r>
            <w:proofErr w:type="spellStart"/>
            <w:r w:rsidRPr="0034086C">
              <w:rPr>
                <w:rFonts w:ascii="Arial" w:eastAsia="Calibri" w:hAnsi="Arial" w:cs="Arial"/>
                <w:szCs w:val="22"/>
                <w:lang w:val="en-IN"/>
              </w:rPr>
              <w:t>spikelets</w:t>
            </w:r>
            <w:proofErr w:type="spellEnd"/>
            <w:r w:rsidRPr="0034086C">
              <w:rPr>
                <w:rFonts w:ascii="Arial" w:eastAsia="Calibri" w:hAnsi="Arial" w:cs="Arial"/>
                <w:szCs w:val="22"/>
                <w:lang w:val="en-IN"/>
              </w:rPr>
              <w:t xml:space="preserve"> per spike and thousand-grain weight, </w:t>
            </w:r>
            <w:r w:rsidR="0037198D">
              <w:rPr>
                <w:rFonts w:ascii="Arial" w:eastAsia="Calibri" w:hAnsi="Arial" w:cs="Arial"/>
                <w:szCs w:val="22"/>
                <w:lang w:val="en-IN"/>
              </w:rPr>
              <w:t>indica</w:t>
            </w:r>
            <w:r w:rsidRPr="0034086C">
              <w:rPr>
                <w:rFonts w:ascii="Arial" w:eastAsia="Calibri" w:hAnsi="Arial" w:cs="Arial"/>
                <w:szCs w:val="22"/>
                <w:lang w:val="en-IN"/>
              </w:rPr>
              <w:t xml:space="preserve">ting the predominance of additive genetic effects and greater selection efficiency. Correlation analysis revealed strong and positive associations of these traits with grain yield, </w:t>
            </w:r>
            <w:r w:rsidR="0037198D">
              <w:rPr>
                <w:rFonts w:ascii="Arial" w:eastAsia="Calibri" w:hAnsi="Arial" w:cs="Arial"/>
                <w:szCs w:val="22"/>
                <w:lang w:val="en-IN"/>
              </w:rPr>
              <w:t>depic</w:t>
            </w:r>
            <w:r w:rsidRPr="0034086C">
              <w:rPr>
                <w:rFonts w:ascii="Arial" w:eastAsia="Calibri" w:hAnsi="Arial" w:cs="Arial"/>
                <w:szCs w:val="22"/>
                <w:lang w:val="en-IN"/>
              </w:rPr>
              <w:t xml:space="preserve">ting their potential utility in simultaneous improvement strategies. In conclusion, the studied RILs possess adequate genetic variability for effective selection. Traits expressing high heritability, substantial genetic advance and </w:t>
            </w:r>
            <w:r w:rsidR="0037198D">
              <w:rPr>
                <w:rFonts w:ascii="Arial" w:eastAsia="Calibri" w:hAnsi="Arial" w:cs="Arial"/>
                <w:szCs w:val="22"/>
                <w:lang w:val="en-IN"/>
              </w:rPr>
              <w:t xml:space="preserve">positive </w:t>
            </w:r>
            <w:r w:rsidRPr="0034086C">
              <w:rPr>
                <w:rFonts w:ascii="Arial" w:eastAsia="Calibri" w:hAnsi="Arial" w:cs="Arial"/>
                <w:szCs w:val="22"/>
                <w:lang w:val="en-IN"/>
              </w:rPr>
              <w:t>correlations with grain yield may serve as dependable selection indices for yield enhancement in wheat breeding programs.</w:t>
            </w:r>
          </w:p>
          <w:p w14:paraId="1DF660B3" w14:textId="7CD8CB33" w:rsidR="00505F06" w:rsidRPr="00BA1B01" w:rsidRDefault="00505F06" w:rsidP="00441B6F">
            <w:pPr>
              <w:pStyle w:val="Body"/>
              <w:spacing w:after="0"/>
              <w:rPr>
                <w:rFonts w:ascii="Arial" w:eastAsia="Calibri" w:hAnsi="Arial" w:cs="Arial"/>
                <w:szCs w:val="22"/>
              </w:rPr>
            </w:pPr>
          </w:p>
        </w:tc>
      </w:tr>
    </w:tbl>
    <w:p w14:paraId="61EAB1F2" w14:textId="77777777" w:rsidR="00636EB2" w:rsidRDefault="00636EB2" w:rsidP="00441B6F">
      <w:pPr>
        <w:pStyle w:val="Body"/>
        <w:spacing w:after="0"/>
        <w:rPr>
          <w:rFonts w:ascii="Arial" w:hAnsi="Arial" w:cs="Arial"/>
          <w:i/>
        </w:rPr>
      </w:pPr>
    </w:p>
    <w:p w14:paraId="03B98AFA" w14:textId="3AFB3792" w:rsidR="00A24E7E" w:rsidRDefault="00A24E7E" w:rsidP="00441B6F">
      <w:pPr>
        <w:pStyle w:val="Body"/>
        <w:spacing w:after="0"/>
        <w:rPr>
          <w:rFonts w:ascii="Arial" w:hAnsi="Arial" w:cs="Arial"/>
          <w:i/>
        </w:rPr>
      </w:pPr>
      <w:r>
        <w:rPr>
          <w:rFonts w:ascii="Arial" w:hAnsi="Arial" w:cs="Arial"/>
          <w:i/>
        </w:rPr>
        <w:t xml:space="preserve">Keywords: </w:t>
      </w:r>
      <w:r w:rsidR="0034086C" w:rsidRPr="0034086C">
        <w:rPr>
          <w:rFonts w:ascii="Arial" w:hAnsi="Arial" w:cs="Arial"/>
          <w:i/>
          <w:lang w:val="en-IN"/>
        </w:rPr>
        <w:t>RILs, heritability, genetic advance, correlation.</w:t>
      </w:r>
    </w:p>
    <w:p w14:paraId="0015482E" w14:textId="77777777" w:rsidR="00790ADA" w:rsidRDefault="00790ADA" w:rsidP="00441B6F">
      <w:pPr>
        <w:pStyle w:val="Body"/>
        <w:spacing w:after="0"/>
        <w:rPr>
          <w:rFonts w:ascii="Arial" w:hAnsi="Arial" w:cs="Arial"/>
          <w:i/>
        </w:rPr>
      </w:pPr>
    </w:p>
    <w:p w14:paraId="14DA4F9D" w14:textId="77777777" w:rsidR="00505F06" w:rsidRPr="00A24E7E" w:rsidRDefault="00505F06" w:rsidP="00441B6F">
      <w:pPr>
        <w:pStyle w:val="Body"/>
        <w:spacing w:after="0"/>
        <w:rPr>
          <w:rFonts w:ascii="Arial" w:hAnsi="Arial" w:cs="Arial"/>
          <w:i/>
        </w:rPr>
      </w:pPr>
    </w:p>
    <w:p w14:paraId="162CF814" w14:textId="4F79FEB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635DA07" w14:textId="77777777" w:rsidR="00790ADA" w:rsidRPr="00FB3A86" w:rsidRDefault="00790ADA" w:rsidP="00441B6F">
      <w:pPr>
        <w:pStyle w:val="AbstHead"/>
        <w:spacing w:after="0"/>
        <w:jc w:val="both"/>
        <w:rPr>
          <w:rFonts w:ascii="Arial" w:hAnsi="Arial" w:cs="Arial"/>
        </w:rPr>
      </w:pPr>
    </w:p>
    <w:p w14:paraId="0B8E762C" w14:textId="327A7AB4" w:rsidR="00DC6BEE" w:rsidRPr="00DC6BEE" w:rsidRDefault="00DC6BEE" w:rsidP="00DC6BEE">
      <w:pPr>
        <w:pStyle w:val="Body"/>
        <w:spacing w:after="0"/>
        <w:rPr>
          <w:rFonts w:ascii="Arial" w:hAnsi="Arial" w:cs="Arial"/>
          <w:lang w:val="en-IN"/>
        </w:rPr>
      </w:pPr>
      <w:r w:rsidRPr="00DC6BEE">
        <w:rPr>
          <w:rFonts w:ascii="Arial" w:hAnsi="Arial" w:cs="Arial"/>
        </w:rPr>
        <w:t>Wheat (</w:t>
      </w:r>
      <w:r w:rsidRPr="00DC6BEE">
        <w:rPr>
          <w:rFonts w:ascii="Arial" w:hAnsi="Arial" w:cs="Arial"/>
          <w:i/>
          <w:iCs/>
        </w:rPr>
        <w:t>Triticum aestivum</w:t>
      </w:r>
      <w:r w:rsidRPr="00DC6BEE">
        <w:rPr>
          <w:rFonts w:ascii="Arial" w:hAnsi="Arial" w:cs="Arial"/>
        </w:rPr>
        <w:t xml:space="preserve"> L.) is a major cereal crop, integral for sustaining global food security </w:t>
      </w:r>
      <w:r w:rsidRPr="00DC6BEE">
        <w:rPr>
          <w:rFonts w:ascii="Arial" w:hAnsi="Arial" w:cs="Arial"/>
          <w:lang w:val="en-IN"/>
        </w:rPr>
        <w:t xml:space="preserve">(Kumar </w:t>
      </w:r>
      <w:r w:rsidRPr="00DC6BEE">
        <w:rPr>
          <w:rFonts w:ascii="Arial" w:hAnsi="Arial" w:cs="Arial"/>
          <w:i/>
          <w:iCs/>
          <w:lang w:val="en-IN"/>
        </w:rPr>
        <w:t>et al.</w:t>
      </w:r>
      <w:r w:rsidRPr="00DC6BEE">
        <w:rPr>
          <w:rFonts w:ascii="Arial" w:hAnsi="Arial" w:cs="Arial"/>
          <w:lang w:val="en-IN"/>
        </w:rPr>
        <w:t>, 2019). Wheat contributes substantial amounts of protein, dietary fibre, vitamins and minerals to the human diet</w:t>
      </w:r>
      <w:r w:rsidR="0037198D">
        <w:rPr>
          <w:rFonts w:ascii="Arial" w:hAnsi="Arial" w:cs="Arial"/>
          <w:lang w:val="en-IN"/>
        </w:rPr>
        <w:t xml:space="preserve">. It </w:t>
      </w:r>
      <w:r w:rsidRPr="00DC6BEE">
        <w:rPr>
          <w:rFonts w:ascii="Arial" w:hAnsi="Arial" w:cs="Arial"/>
          <w:lang w:val="en-IN"/>
        </w:rPr>
        <w:t xml:space="preserve">is a principal source of food energy and nutrients globally, underscoring its crucial role in global food and nutritional security (Khalid </w:t>
      </w:r>
      <w:r w:rsidRPr="00DC6BEE">
        <w:rPr>
          <w:rFonts w:ascii="Arial" w:hAnsi="Arial" w:cs="Arial"/>
          <w:i/>
          <w:iCs/>
          <w:lang w:val="en-IN"/>
        </w:rPr>
        <w:t>et al.</w:t>
      </w:r>
      <w:r w:rsidRPr="00DC6BEE">
        <w:rPr>
          <w:rFonts w:ascii="Arial" w:hAnsi="Arial" w:cs="Arial"/>
          <w:lang w:val="en-IN"/>
        </w:rPr>
        <w:t xml:space="preserve">, 2023). In India, wheat covers around 32.7 million hectares with a total production of 117.51 million tonnes (ICAR-IIWBR, 2024–25). However, with the global population projected to reach 9.7 billion by 2050, ensuring adequate wheat production to meet rising nutritional demands poses a significant challenge. This concern is further intensified by the adverse impacts of climate change, limited natural resources and biotic and abiotic stresses that threaten crop productivity (Abid </w:t>
      </w:r>
      <w:r w:rsidRPr="00DC6BEE">
        <w:rPr>
          <w:rFonts w:ascii="Arial" w:hAnsi="Arial" w:cs="Arial"/>
          <w:i/>
          <w:iCs/>
          <w:lang w:val="en-IN"/>
        </w:rPr>
        <w:t>et al.,</w:t>
      </w:r>
      <w:r w:rsidRPr="00DC6BEE">
        <w:rPr>
          <w:rFonts w:ascii="Arial" w:hAnsi="Arial" w:cs="Arial"/>
          <w:lang w:val="en-IN"/>
        </w:rPr>
        <w:t xml:space="preserve"> 2018; Ullah </w:t>
      </w:r>
      <w:r w:rsidRPr="00DC6BEE">
        <w:rPr>
          <w:rFonts w:ascii="Arial" w:hAnsi="Arial" w:cs="Arial"/>
          <w:i/>
          <w:iCs/>
          <w:lang w:val="en-IN"/>
        </w:rPr>
        <w:t>et al.,</w:t>
      </w:r>
      <w:r w:rsidRPr="00DC6BEE">
        <w:rPr>
          <w:rFonts w:ascii="Arial" w:hAnsi="Arial" w:cs="Arial"/>
          <w:lang w:val="en-IN"/>
        </w:rPr>
        <w:t xml:space="preserve"> 2021).</w:t>
      </w:r>
    </w:p>
    <w:p w14:paraId="73583825" w14:textId="2F2BCF27" w:rsidR="00DC6BEE" w:rsidRPr="00DC6BEE" w:rsidRDefault="00DC6BEE" w:rsidP="00DC6BEE">
      <w:pPr>
        <w:pStyle w:val="Body"/>
        <w:spacing w:after="0"/>
        <w:rPr>
          <w:rFonts w:ascii="Arial" w:hAnsi="Arial" w:cs="Arial"/>
          <w:lang w:val="en-IN"/>
        </w:rPr>
      </w:pPr>
      <w:r w:rsidRPr="00DC6BEE">
        <w:rPr>
          <w:rFonts w:ascii="Arial" w:hAnsi="Arial" w:cs="Arial"/>
          <w:lang w:val="en-IN"/>
        </w:rPr>
        <w:lastRenderedPageBreak/>
        <w:t xml:space="preserve">Genetic improvement of wheat depends on the exploitation and creation of genetic variation and extensive multi-environment evaluation of breeding lines to identify genotypes with wide adaptability and stable performance for desirable morphological traits (Meena </w:t>
      </w:r>
      <w:r w:rsidRPr="006C1ECF">
        <w:rPr>
          <w:rFonts w:ascii="Arial" w:hAnsi="Arial" w:cs="Arial"/>
          <w:i/>
          <w:iCs/>
          <w:lang w:val="en-IN"/>
        </w:rPr>
        <w:t>et al.,</w:t>
      </w:r>
      <w:r w:rsidRPr="00DC6BEE">
        <w:rPr>
          <w:rFonts w:ascii="Arial" w:hAnsi="Arial" w:cs="Arial"/>
          <w:lang w:val="en-IN"/>
        </w:rPr>
        <w:t xml:space="preserve"> 2025). </w:t>
      </w:r>
      <w:r w:rsidR="00AA623F" w:rsidRPr="00DC6BEE">
        <w:rPr>
          <w:rFonts w:ascii="Arial" w:hAnsi="Arial" w:cs="Arial"/>
          <w:lang w:val="en-IN"/>
        </w:rPr>
        <w:t>The success of a breeding program depends not only on the genetic variability present but also on the heritability of target traits. However, heritability alone does not guarantee effective selection outcomes. When considered alongside genetic advance, it offers a more reliable prediction of selection response. In particular, traits showing high heritability (&gt;60%) coupled with high genetic advance (&gt;20%) are generally governed by additive gene action and thus are highly responsive to selection (</w:t>
      </w:r>
      <w:proofErr w:type="spellStart"/>
      <w:r w:rsidR="00AA623F" w:rsidRPr="00DC6BEE">
        <w:rPr>
          <w:rFonts w:ascii="Arial" w:hAnsi="Arial" w:cs="Arial"/>
          <w:lang w:val="en-IN"/>
        </w:rPr>
        <w:t>Tareque</w:t>
      </w:r>
      <w:proofErr w:type="spellEnd"/>
      <w:r w:rsidR="00AA623F" w:rsidRPr="00DC6BEE">
        <w:rPr>
          <w:rFonts w:ascii="Arial" w:hAnsi="Arial" w:cs="Arial"/>
          <w:lang w:val="en-IN"/>
        </w:rPr>
        <w:t xml:space="preserve"> </w:t>
      </w:r>
      <w:r w:rsidR="00AA623F" w:rsidRPr="006C1ECF">
        <w:rPr>
          <w:rFonts w:ascii="Arial" w:hAnsi="Arial" w:cs="Arial"/>
          <w:i/>
          <w:iCs/>
          <w:lang w:val="en-IN"/>
        </w:rPr>
        <w:t xml:space="preserve">et al., </w:t>
      </w:r>
      <w:r w:rsidR="00AA623F" w:rsidRPr="00DC6BEE">
        <w:rPr>
          <w:rFonts w:ascii="Arial" w:hAnsi="Arial" w:cs="Arial"/>
          <w:lang w:val="en-IN"/>
        </w:rPr>
        <w:t>2025).</w:t>
      </w:r>
      <w:r w:rsidR="00AA623F">
        <w:rPr>
          <w:rFonts w:ascii="Arial" w:hAnsi="Arial" w:cs="Arial"/>
          <w:lang w:val="en-IN"/>
        </w:rPr>
        <w:t xml:space="preserve"> </w:t>
      </w:r>
      <w:r w:rsidRPr="00DC6BEE">
        <w:rPr>
          <w:rFonts w:ascii="Arial" w:hAnsi="Arial" w:cs="Arial"/>
          <w:lang w:val="en-IN"/>
        </w:rPr>
        <w:t xml:space="preserve">Since grain yield is a complex quantitative trait governed by multiple genes and strongly influenced by environmental interactions, understanding the genetic architecture and trait associations underlying yield is essential for effective selection of superior and stable genotypes (Rigatti </w:t>
      </w:r>
      <w:r w:rsidRPr="006C1ECF">
        <w:rPr>
          <w:rFonts w:ascii="Arial" w:hAnsi="Arial" w:cs="Arial"/>
          <w:i/>
          <w:iCs/>
          <w:lang w:val="en-IN"/>
        </w:rPr>
        <w:t>et al.,</w:t>
      </w:r>
      <w:r w:rsidRPr="00DC6BEE">
        <w:rPr>
          <w:rFonts w:ascii="Arial" w:hAnsi="Arial" w:cs="Arial"/>
          <w:lang w:val="en-IN"/>
        </w:rPr>
        <w:t xml:space="preserve"> 2018). The selection for desirable genotypes should not only be based on yield alone, rather during selection the other yield contributing characters should also be considered. Therefore, it is necessary to know the correlation of various component characters with yield and among themselves (Pandey </w:t>
      </w:r>
      <w:r w:rsidRPr="006C1ECF">
        <w:rPr>
          <w:rFonts w:ascii="Arial" w:hAnsi="Arial" w:cs="Arial"/>
          <w:i/>
          <w:iCs/>
          <w:lang w:val="en-IN"/>
        </w:rPr>
        <w:t>et al.,</w:t>
      </w:r>
      <w:r w:rsidRPr="00DC6BEE">
        <w:rPr>
          <w:rFonts w:ascii="Arial" w:hAnsi="Arial" w:cs="Arial"/>
          <w:lang w:val="en-IN"/>
        </w:rPr>
        <w:t xml:space="preserve"> 2025). Thus, correlation coefficients provide the complex interrelationships between yield and its contributing traits. </w:t>
      </w:r>
    </w:p>
    <w:p w14:paraId="132AA64F" w14:textId="77777777" w:rsidR="002A7F6D" w:rsidRDefault="002A7F6D" w:rsidP="00441B6F">
      <w:pPr>
        <w:pStyle w:val="AbstHead"/>
        <w:spacing w:after="0"/>
        <w:jc w:val="both"/>
        <w:rPr>
          <w:rFonts w:ascii="Arial" w:hAnsi="Arial" w:cs="Arial"/>
          <w:b w:val="0"/>
          <w:caps w:val="0"/>
          <w:sz w:val="20"/>
        </w:rPr>
      </w:pPr>
      <w:r w:rsidRPr="002A7F6D">
        <w:rPr>
          <w:rFonts w:ascii="Arial" w:hAnsi="Arial" w:cs="Arial"/>
          <w:b w:val="0"/>
          <w:caps w:val="0"/>
          <w:sz w:val="20"/>
        </w:rPr>
        <w:t xml:space="preserve">The present study aimed to assess genetic variation in morphological traits among recombinant inbred lines (RILs) derived from the cross WH711 × PBW698. Key genetic parameters, including phenotypic and genotypic coefficients of variation, heritability, genetic advance, and genetic advance as a percentage of the mean, were estimated to determine the extent of genetic control over these traits. Correlation analysis was performed to examine associations among yield and its component traits, thereby supporting the scope for indirect selection. Thus, the investigation was undertaken to elucidate genetic variability and interrelationships among yield-related traits, with the objective of identifying key traits for effective selection in wheat improvement </w:t>
      </w:r>
      <w:proofErr w:type="spellStart"/>
      <w:r w:rsidRPr="002A7F6D">
        <w:rPr>
          <w:rFonts w:ascii="Arial" w:hAnsi="Arial" w:cs="Arial"/>
          <w:b w:val="0"/>
          <w:caps w:val="0"/>
          <w:sz w:val="20"/>
        </w:rPr>
        <w:t>programmes</w:t>
      </w:r>
      <w:proofErr w:type="spellEnd"/>
      <w:r w:rsidRPr="002A7F6D">
        <w:rPr>
          <w:rFonts w:ascii="Arial" w:hAnsi="Arial" w:cs="Arial"/>
          <w:b w:val="0"/>
          <w:caps w:val="0"/>
          <w:sz w:val="20"/>
        </w:rPr>
        <w:t>.</w:t>
      </w:r>
    </w:p>
    <w:p w14:paraId="2059A497" w14:textId="4BF50E19" w:rsidR="00790ADA" w:rsidRDefault="00902823" w:rsidP="002A7F6D">
      <w:pPr>
        <w:pStyle w:val="AbstHead"/>
        <w:spacing w:before="240" w:after="0"/>
        <w:jc w:val="both"/>
        <w:rPr>
          <w:rFonts w:ascii="Arial" w:hAnsi="Arial" w:cs="Arial"/>
        </w:rPr>
      </w:pPr>
      <w:r>
        <w:rPr>
          <w:rFonts w:ascii="Arial" w:hAnsi="Arial" w:cs="Arial"/>
        </w:rPr>
        <w:t>2. material and method</w:t>
      </w:r>
      <w:r w:rsidR="00000F8F">
        <w:rPr>
          <w:rFonts w:ascii="Arial" w:hAnsi="Arial" w:cs="Arial"/>
        </w:rPr>
        <w:t xml:space="preserve">s </w:t>
      </w:r>
    </w:p>
    <w:p w14:paraId="4540DA21" w14:textId="77777777" w:rsidR="000946B9" w:rsidRPr="00FB3A86" w:rsidRDefault="000946B9" w:rsidP="00441B6F">
      <w:pPr>
        <w:pStyle w:val="AbstHead"/>
        <w:spacing w:after="0"/>
        <w:jc w:val="both"/>
        <w:rPr>
          <w:rFonts w:ascii="Arial" w:hAnsi="Arial" w:cs="Arial"/>
        </w:rPr>
      </w:pPr>
    </w:p>
    <w:p w14:paraId="6027ED3F" w14:textId="44A28536" w:rsidR="000946B9" w:rsidRPr="000946B9" w:rsidRDefault="000946B9" w:rsidP="000946B9">
      <w:pPr>
        <w:pStyle w:val="Body"/>
        <w:spacing w:after="0"/>
        <w:rPr>
          <w:rFonts w:ascii="Arial" w:hAnsi="Arial" w:cs="Arial"/>
          <w:lang w:val="en-IN"/>
        </w:rPr>
      </w:pPr>
      <w:r w:rsidRPr="000946B9">
        <w:rPr>
          <w:rFonts w:ascii="Arial" w:hAnsi="Arial" w:cs="Arial"/>
          <w:lang w:val="en-IN"/>
        </w:rPr>
        <w:t>The field experiment was conducted at the Research Area of Wheat and Barley section, Department of Genetics &amp; Plant Breeding, CCS Haryana Agricultural University, Hisar. The planting material used in the investigation consisted of 136 recombinant inbred lines of bread wheat which were selected from population developed by crossing two parents, a yellow rust resistant genotype (</w:t>
      </w:r>
      <w:r w:rsidRPr="000946B9">
        <w:rPr>
          <w:rFonts w:ascii="Arial" w:hAnsi="Arial" w:cs="Arial"/>
          <w:lang w:val="en-GB"/>
        </w:rPr>
        <w:t>PBW 698</w:t>
      </w:r>
      <w:r w:rsidRPr="000946B9">
        <w:rPr>
          <w:rFonts w:ascii="Arial" w:hAnsi="Arial" w:cs="Arial"/>
          <w:lang w:val="en-IN"/>
        </w:rPr>
        <w:t xml:space="preserve">) with a susceptible genotype (WH 711) during the </w:t>
      </w:r>
      <w:r w:rsidRPr="000946B9">
        <w:rPr>
          <w:rFonts w:ascii="Arial" w:hAnsi="Arial" w:cs="Arial"/>
          <w:i/>
          <w:iCs/>
          <w:lang w:val="en-IN"/>
        </w:rPr>
        <w:t>Rabi</w:t>
      </w:r>
      <w:r w:rsidRPr="000946B9">
        <w:rPr>
          <w:rFonts w:ascii="Arial" w:hAnsi="Arial" w:cs="Arial"/>
          <w:lang w:val="en-IN"/>
        </w:rPr>
        <w:t xml:space="preserve"> cropping season of 2022-23.</w:t>
      </w:r>
      <w:r w:rsidRPr="000946B9">
        <w:rPr>
          <w:rFonts w:ascii="Arial" w:hAnsi="Arial" w:cs="Arial"/>
          <w:lang w:val="en-GB"/>
        </w:rPr>
        <w:t xml:space="preserve"> These RILs were used for evaluation along with parents and 2 checks (WH1105 and HD3086) </w:t>
      </w:r>
      <w:r w:rsidRPr="000946B9">
        <w:rPr>
          <w:rFonts w:ascii="Arial" w:hAnsi="Arial" w:cs="Arial"/>
          <w:lang w:val="en-IN"/>
        </w:rPr>
        <w:t>in two rows, with each row measuring 2.5 meters in length in an augmented design. A row-to-row distance of 20 cm and a plant-to-plant distance of 10 cm was maintained for sowing.</w:t>
      </w:r>
    </w:p>
    <w:p w14:paraId="27B16179" w14:textId="77777777" w:rsidR="00790ADA" w:rsidRPr="000946B9" w:rsidRDefault="00790ADA" w:rsidP="00441B6F">
      <w:pPr>
        <w:pStyle w:val="Body"/>
        <w:spacing w:after="0"/>
        <w:rPr>
          <w:rFonts w:ascii="Arial" w:hAnsi="Arial" w:cs="Arial"/>
          <w:lang w:val="en-IN"/>
        </w:rPr>
      </w:pPr>
    </w:p>
    <w:p w14:paraId="1132B1E5" w14:textId="4DFF20EC" w:rsidR="000946B9" w:rsidRPr="000946B9" w:rsidRDefault="000946B9" w:rsidP="000946B9">
      <w:pPr>
        <w:pStyle w:val="Body"/>
        <w:rPr>
          <w:rFonts w:ascii="Arial" w:hAnsi="Arial" w:cs="Arial"/>
          <w:lang w:val="en-IN"/>
        </w:rPr>
      </w:pPr>
      <w:r w:rsidRPr="000946B9">
        <w:rPr>
          <w:rFonts w:ascii="Arial" w:hAnsi="Arial" w:cs="Arial"/>
          <w:lang w:val="en-IN"/>
        </w:rPr>
        <w:t>Morphological data w</w:t>
      </w:r>
      <w:r w:rsidR="00434AF2">
        <w:rPr>
          <w:rFonts w:ascii="Arial" w:hAnsi="Arial" w:cs="Arial"/>
          <w:lang w:val="en-IN"/>
        </w:rPr>
        <w:t>ere</w:t>
      </w:r>
      <w:r w:rsidRPr="000946B9">
        <w:rPr>
          <w:rFonts w:ascii="Arial" w:hAnsi="Arial" w:cs="Arial"/>
          <w:lang w:val="en-IN"/>
        </w:rPr>
        <w:t xml:space="preserve"> recorded</w:t>
      </w:r>
      <w:r w:rsidR="00434AF2">
        <w:rPr>
          <w:rFonts w:ascii="Arial" w:hAnsi="Arial" w:cs="Arial"/>
          <w:lang w:val="en-IN"/>
        </w:rPr>
        <w:t xml:space="preserve"> on traits such as</w:t>
      </w:r>
      <w:r w:rsidR="00AA623F">
        <w:rPr>
          <w:rFonts w:ascii="Arial" w:hAnsi="Arial" w:cs="Arial"/>
          <w:lang w:val="en-IN"/>
        </w:rPr>
        <w:t xml:space="preserve"> </w:t>
      </w:r>
      <w:r w:rsidRPr="000946B9">
        <w:rPr>
          <w:rFonts w:ascii="Arial" w:hAnsi="Arial" w:cs="Arial"/>
          <w:lang w:val="en-IN"/>
        </w:rPr>
        <w:t xml:space="preserve">plant height (PH), number of tillers per meter (NTM), number of </w:t>
      </w:r>
      <w:proofErr w:type="spellStart"/>
      <w:r w:rsidRPr="000946B9">
        <w:rPr>
          <w:rFonts w:ascii="Arial" w:hAnsi="Arial" w:cs="Arial"/>
          <w:lang w:val="en-IN"/>
        </w:rPr>
        <w:t>spikelets</w:t>
      </w:r>
      <w:proofErr w:type="spellEnd"/>
      <w:r w:rsidRPr="000946B9">
        <w:rPr>
          <w:rFonts w:ascii="Arial" w:hAnsi="Arial" w:cs="Arial"/>
          <w:lang w:val="en-IN"/>
        </w:rPr>
        <w:t xml:space="preserve"> per spike (NSS), number of grains per spike (NGS), thousand grain weight (TGW), biological yield per plot (BYP), grain yield per plot (GYP) and harvest index (HI). The analysis of variance has been carried out for different characters by the method given by (Fisher, 1925) using the software R studio. Correlation coefficients were calculated to determine the degree and direction of association of yield with its contributing traits. Coefficients of correlation were determined by using the variance and covariance components as suggested by Al-</w:t>
      </w:r>
      <w:proofErr w:type="spellStart"/>
      <w:r w:rsidRPr="000946B9">
        <w:rPr>
          <w:rFonts w:ascii="Arial" w:hAnsi="Arial" w:cs="Arial"/>
          <w:lang w:val="en-IN"/>
        </w:rPr>
        <w:t>jibouri</w:t>
      </w:r>
      <w:proofErr w:type="spellEnd"/>
      <w:r w:rsidRPr="000946B9">
        <w:rPr>
          <w:rFonts w:ascii="Arial" w:hAnsi="Arial" w:cs="Arial"/>
          <w:lang w:val="en-IN"/>
        </w:rPr>
        <w:t xml:space="preserve"> </w:t>
      </w:r>
      <w:r w:rsidRPr="006C1ECF">
        <w:rPr>
          <w:rFonts w:ascii="Arial" w:hAnsi="Arial" w:cs="Arial"/>
          <w:i/>
          <w:iCs/>
          <w:lang w:val="en-IN"/>
        </w:rPr>
        <w:t>et al</w:t>
      </w:r>
      <w:r w:rsidR="006C1ECF" w:rsidRPr="006C1ECF">
        <w:rPr>
          <w:rFonts w:ascii="Arial" w:hAnsi="Arial" w:cs="Arial"/>
          <w:i/>
          <w:iCs/>
          <w:lang w:val="en-IN"/>
        </w:rPr>
        <w:t>.</w:t>
      </w:r>
      <w:r w:rsidR="006C1ECF">
        <w:rPr>
          <w:rFonts w:ascii="Arial" w:hAnsi="Arial" w:cs="Arial"/>
          <w:lang w:val="en-IN"/>
        </w:rPr>
        <w:t xml:space="preserve"> </w:t>
      </w:r>
      <w:r w:rsidRPr="000946B9">
        <w:rPr>
          <w:rFonts w:ascii="Arial" w:hAnsi="Arial" w:cs="Arial"/>
          <w:lang w:val="en-IN"/>
        </w:rPr>
        <w:fldChar w:fldCharType="begin" w:fldLock="1"/>
      </w:r>
      <w:r w:rsidRPr="000946B9">
        <w:rPr>
          <w:rFonts w:ascii="Arial" w:hAnsi="Arial" w:cs="Arial"/>
          <w:lang w:val="en-IN"/>
        </w:rPr>
        <w:instrText>ADDIN CSL_CITATION {"citationItems":[{"id":"ITEM-1","itemData":{"author":[{"dropping-particle":"","family":"Al-jibouri","given":"H_A","non-dropping-particle":"","parse-names":false,"suffix":""},{"dropping-particle":"","family":"Miller","given":"P A","non-dropping-particle":"","parse-names":false,"suffix":""},{"dropping-particle":"","family":"Robinson","given":"H F","non-dropping-particle":"","parse-names":false,"suffix":""}],"container-title":"Agronomy Journal","id":"ITEM-1","issue":"10","issued":{"date-parts":[["1958"]]},"page":"633-636","publisher":"American Society of Agronomy","title":"Genotypic and environmental variances and covariances in an upland cotton cross of interspecific origin","type":"article-journal","volume":"50"},"uris":["http://www.mendeley.com/documents/?uuid=69b2ca7a-6b04-4239-941f-5c8d6e1d3de8"]}],"mendeley":{"formattedCitation":"(Al-jibouri &lt;i&gt;et al.&lt;/i&gt;, 1958)","plainTextFormattedCitation":"(Al-jibouri et al., 1958)","previouslyFormattedCitation":"(Al-jibouri &lt;i&gt;et al.&lt;/i&gt;, 1958)"},"properties":{"noteIndex":0},"schema":"https://github.com/citation-style-language/schema/raw/master/csl-citation.json"}</w:instrText>
      </w:r>
      <w:r w:rsidRPr="000946B9">
        <w:rPr>
          <w:rFonts w:ascii="Arial" w:hAnsi="Arial" w:cs="Arial"/>
          <w:lang w:val="en-IN"/>
        </w:rPr>
        <w:fldChar w:fldCharType="separate"/>
      </w:r>
      <w:r w:rsidRPr="000946B9">
        <w:rPr>
          <w:rFonts w:ascii="Arial" w:hAnsi="Arial" w:cs="Arial"/>
          <w:lang w:val="en-IN"/>
        </w:rPr>
        <w:t xml:space="preserve"> (1958)</w:t>
      </w:r>
      <w:r w:rsidRPr="000946B9">
        <w:rPr>
          <w:rFonts w:ascii="Arial" w:hAnsi="Arial" w:cs="Arial"/>
        </w:rPr>
        <w:fldChar w:fldCharType="end"/>
      </w:r>
      <w:r w:rsidRPr="000946B9">
        <w:rPr>
          <w:rFonts w:ascii="Arial" w:hAnsi="Arial" w:cs="Arial"/>
          <w:lang w:val="en-IN"/>
        </w:rPr>
        <w:t>.</w:t>
      </w:r>
    </w:p>
    <w:p w14:paraId="0C1791D9" w14:textId="77777777" w:rsidR="00A03B96" w:rsidRDefault="00A03B96" w:rsidP="00441B6F">
      <w:pPr>
        <w:pStyle w:val="Body"/>
        <w:spacing w:after="0"/>
        <w:rPr>
          <w:rFonts w:ascii="Arial" w:hAnsi="Arial" w:cs="Arial"/>
        </w:rPr>
      </w:pPr>
    </w:p>
    <w:p w14:paraId="75B2C10C" w14:textId="6660C26D" w:rsidR="00902823" w:rsidRDefault="00000F8F" w:rsidP="00FD0494">
      <w:pPr>
        <w:pStyle w:val="Head1"/>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 xml:space="preserve">results </w:t>
      </w:r>
    </w:p>
    <w:p w14:paraId="0B4FF500" w14:textId="77777777" w:rsidR="000946B9" w:rsidRPr="000946B9" w:rsidRDefault="000946B9" w:rsidP="000946B9">
      <w:pPr>
        <w:jc w:val="both"/>
        <w:rPr>
          <w:rFonts w:ascii="Arial" w:hAnsi="Arial" w:cs="Arial"/>
          <w:b/>
          <w:sz w:val="22"/>
          <w:szCs w:val="22"/>
          <w:lang w:val="en-IN"/>
        </w:rPr>
      </w:pPr>
      <w:r w:rsidRPr="000946B9">
        <w:rPr>
          <w:rFonts w:ascii="Arial" w:hAnsi="Arial" w:cs="Arial"/>
          <w:b/>
          <w:bCs/>
          <w:sz w:val="22"/>
          <w:szCs w:val="22"/>
          <w:lang w:val="en-IN"/>
        </w:rPr>
        <w:t>3.1 Estimation of variability</w:t>
      </w:r>
      <w:r w:rsidRPr="000946B9">
        <w:rPr>
          <w:rFonts w:ascii="Arial" w:hAnsi="Arial" w:cs="Arial"/>
          <w:b/>
          <w:sz w:val="22"/>
          <w:szCs w:val="22"/>
          <w:lang w:val="en-IN"/>
        </w:rPr>
        <w:t xml:space="preserve"> </w:t>
      </w:r>
    </w:p>
    <w:p w14:paraId="1576CA36" w14:textId="5E7A4AEA" w:rsidR="000946B9" w:rsidRPr="000946B9" w:rsidRDefault="000946B9" w:rsidP="000946B9">
      <w:pPr>
        <w:jc w:val="both"/>
        <w:rPr>
          <w:rFonts w:ascii="Arial" w:hAnsi="Arial" w:cs="Arial"/>
          <w:lang w:val="en-IN"/>
        </w:rPr>
      </w:pPr>
      <w:r w:rsidRPr="000946B9">
        <w:rPr>
          <w:rFonts w:ascii="Arial" w:hAnsi="Arial" w:cs="Arial"/>
          <w:lang w:val="en-IN"/>
        </w:rPr>
        <w:lastRenderedPageBreak/>
        <w:t>Existence of genetic variation is a crucial step in crop breeding programs aimed at producing new varieties with improved yield potential and consistency of yield under diverse climatic conditions. The analysis of variance revealed that the mean sum of squares for the treatments and due to test vs check was significant for all the traits. The mean sum of square due to check was significant for all the characters except harvest index, indicating sufficient amount of genetic variability among the RILs and both the parents for other morphological traits.</w:t>
      </w:r>
    </w:p>
    <w:p w14:paraId="6A4497D4" w14:textId="77777777" w:rsidR="00D00F87" w:rsidRDefault="00D00F87" w:rsidP="00441B6F">
      <w:pPr>
        <w:pStyle w:val="BodyText3"/>
        <w:tabs>
          <w:tab w:val="left" w:pos="1080"/>
        </w:tabs>
        <w:spacing w:after="0"/>
        <w:ind w:left="1080" w:hanging="1080"/>
        <w:jc w:val="both"/>
        <w:rPr>
          <w:rFonts w:ascii="Arial" w:hAnsi="Arial"/>
          <w:b/>
          <w:sz w:val="20"/>
          <w:szCs w:val="20"/>
        </w:rPr>
      </w:pPr>
    </w:p>
    <w:p w14:paraId="571BE044" w14:textId="77777777" w:rsidR="00D00F87" w:rsidRPr="00D00F87" w:rsidRDefault="00D00F87" w:rsidP="00D00F87">
      <w:pPr>
        <w:pStyle w:val="Body"/>
        <w:rPr>
          <w:rFonts w:ascii="Arial" w:hAnsi="Arial" w:cs="Arial"/>
          <w:b/>
          <w:bCs/>
          <w:sz w:val="22"/>
          <w:szCs w:val="22"/>
        </w:rPr>
      </w:pPr>
      <w:r w:rsidRPr="00D00F87">
        <w:rPr>
          <w:rFonts w:ascii="Arial" w:hAnsi="Arial" w:cs="Arial"/>
          <w:b/>
          <w:bCs/>
          <w:sz w:val="22"/>
          <w:szCs w:val="22"/>
        </w:rPr>
        <w:t xml:space="preserve">3.2 Estimation of genetic parameters </w:t>
      </w:r>
    </w:p>
    <w:p w14:paraId="68487191" w14:textId="77777777" w:rsidR="000B231D" w:rsidRDefault="00D00F87" w:rsidP="00D00F87">
      <w:pPr>
        <w:pStyle w:val="Body"/>
        <w:rPr>
          <w:rFonts w:ascii="Arial" w:hAnsi="Arial" w:cs="Arial"/>
        </w:rPr>
      </w:pPr>
      <w:r w:rsidRPr="00D00F87">
        <w:rPr>
          <w:rFonts w:ascii="Arial" w:hAnsi="Arial" w:cs="Arial"/>
        </w:rPr>
        <w:t>Variability is essential for any breeding program, as selection can only be effective when variation exists. For successful hybridization, it is important that the selected parents possess adequate variability to produce a promising segregating progeny. Genotypic and phenotypic coefficients of varia</w:t>
      </w:r>
      <w:r w:rsidR="006C1ECF">
        <w:rPr>
          <w:rFonts w:ascii="Arial" w:hAnsi="Arial" w:cs="Arial"/>
        </w:rPr>
        <w:t>tion</w:t>
      </w:r>
      <w:r w:rsidRPr="00D00F87">
        <w:rPr>
          <w:rFonts w:ascii="Arial" w:hAnsi="Arial" w:cs="Arial"/>
        </w:rPr>
        <w:t xml:space="preserve"> are essential for assessing the level of variability present in the germplasm. The narrow differences in PCV and GCV values indicate that the trait is under genetic control with minimal environmental influence (Shiferaw </w:t>
      </w:r>
      <w:r w:rsidRPr="006C1ECF">
        <w:rPr>
          <w:rFonts w:ascii="Arial" w:hAnsi="Arial" w:cs="Arial"/>
          <w:i/>
          <w:iCs/>
        </w:rPr>
        <w:t>et al.,</w:t>
      </w:r>
      <w:r w:rsidRPr="00D00F87">
        <w:rPr>
          <w:rFonts w:ascii="Arial" w:hAnsi="Arial" w:cs="Arial"/>
        </w:rPr>
        <w:t xml:space="preserve"> 2025). GCV includes the variation due to genotype whereas PCV includes variation due to genotype as well as environment. </w:t>
      </w:r>
    </w:p>
    <w:p w14:paraId="7813DE98" w14:textId="5B2CFF3B" w:rsidR="00D00F87" w:rsidRPr="00D00F87" w:rsidRDefault="00D00F87" w:rsidP="00D00F87">
      <w:pPr>
        <w:pStyle w:val="Body"/>
        <w:rPr>
          <w:rFonts w:ascii="Arial" w:hAnsi="Arial" w:cs="Arial"/>
        </w:rPr>
      </w:pPr>
      <w:r w:rsidRPr="00D00F87">
        <w:rPr>
          <w:rFonts w:ascii="Arial" w:hAnsi="Arial" w:cs="Arial"/>
        </w:rPr>
        <w:t>The estimates of PCV were higher than the corresponding GCV for all traits under study. Higher magnitude of PCV and GCV was observed for grain yield per plot (g) (25.91 and 25.52%), biological yield per plot (g) (24.05 and 24.01%) and number of tillers per meter (20.80 and 20.74%) (Table 2), suggesting that these traits were under the influence of genetic control.</w:t>
      </w:r>
    </w:p>
    <w:p w14:paraId="30C27D08" w14:textId="077389D3" w:rsidR="00376BBE" w:rsidRDefault="00D00F87" w:rsidP="00D00F87">
      <w:pPr>
        <w:pStyle w:val="Body"/>
        <w:spacing w:after="0"/>
        <w:rPr>
          <w:rFonts w:ascii="Arial" w:hAnsi="Arial" w:cs="Arial"/>
        </w:rPr>
      </w:pPr>
      <w:r w:rsidRPr="00D00F87">
        <w:rPr>
          <w:rFonts w:ascii="Arial" w:hAnsi="Arial" w:cs="Arial"/>
        </w:rPr>
        <w:t xml:space="preserve">Estimates for heritability and genetic advance for parents and selected recombinant inbred lines in bread wheat </w:t>
      </w:r>
      <w:proofErr w:type="spellStart"/>
      <w:r w:rsidRPr="00D00F87">
        <w:rPr>
          <w:rFonts w:ascii="Arial" w:hAnsi="Arial" w:cs="Arial"/>
        </w:rPr>
        <w:t>w.r.t.</w:t>
      </w:r>
      <w:proofErr w:type="spellEnd"/>
      <w:r w:rsidRPr="00D00F87">
        <w:rPr>
          <w:rFonts w:ascii="Arial" w:hAnsi="Arial" w:cs="Arial"/>
        </w:rPr>
        <w:t xml:space="preserve"> 8 morphological traits are presented in Table 2. For all the traits, high heritability (&gt;60%) was obtained. Among the morphological traits, highest values of heritability were recorded for the trait </w:t>
      </w:r>
      <w:r w:rsidRPr="00434AF2">
        <w:rPr>
          <w:rFonts w:ascii="Arial" w:hAnsi="Arial" w:cs="Arial"/>
          <w:i/>
          <w:iCs/>
        </w:rPr>
        <w:t>viz.</w:t>
      </w:r>
      <w:r w:rsidRPr="00D00F87">
        <w:rPr>
          <w:rFonts w:ascii="Arial" w:hAnsi="Arial" w:cs="Arial"/>
        </w:rPr>
        <w:t xml:space="preserve"> number of tillers per meter (99.46%) followed by biological yield per plot (98.65%), thousand grain weight (98.25%), grain yield per plot (96.94%), while the lowest values of heritability were recorded </w:t>
      </w:r>
      <w:r w:rsidR="00434AF2">
        <w:rPr>
          <w:rFonts w:ascii="Arial" w:hAnsi="Arial" w:cs="Arial"/>
        </w:rPr>
        <w:t xml:space="preserve">for </w:t>
      </w:r>
      <w:r w:rsidRPr="00D00F87">
        <w:rPr>
          <w:rFonts w:ascii="Arial" w:hAnsi="Arial" w:cs="Arial"/>
        </w:rPr>
        <w:t>number of grains per spike (71.92%).</w:t>
      </w:r>
    </w:p>
    <w:p w14:paraId="73F8DA5A" w14:textId="41B75AAC" w:rsidR="00686F66" w:rsidRDefault="00686F66" w:rsidP="00D00F87">
      <w:pPr>
        <w:pStyle w:val="Body"/>
        <w:spacing w:after="0"/>
        <w:rPr>
          <w:rFonts w:ascii="Arial" w:hAnsi="Arial" w:cs="Arial"/>
        </w:rPr>
      </w:pPr>
      <w:r w:rsidRPr="00686F66">
        <w:rPr>
          <w:rFonts w:ascii="Arial" w:hAnsi="Arial" w:cs="Arial"/>
        </w:rPr>
        <w:t xml:space="preserve">High genetic advance as percent mean coupled with high heritability was observed for grain yield per plot (51.83%) followed by biological yield per plot (49.45%), number of tillers per meter (42.68%), number of grains per spike (27.97%), thousand grain weight (23.38%) and number of </w:t>
      </w:r>
      <w:proofErr w:type="spellStart"/>
      <w:r w:rsidRPr="00686F66">
        <w:rPr>
          <w:rFonts w:ascii="Arial" w:hAnsi="Arial" w:cs="Arial"/>
        </w:rPr>
        <w:t>spikelets</w:t>
      </w:r>
      <w:proofErr w:type="spellEnd"/>
      <w:r w:rsidRPr="00686F66">
        <w:rPr>
          <w:rFonts w:ascii="Arial" w:hAnsi="Arial" w:cs="Arial"/>
        </w:rPr>
        <w:t xml:space="preserve"> per spike (20.20%) as shown in Table 2. Presence of high genetic advance as percent mean along with high heritability confirms the presence of additive gene action behind the expression of these traits. Higher heritability coupled with higher genetic advance enhances the opportunity for genetic improvement through selection that will lead to higher genetic gain upon selection.</w:t>
      </w:r>
    </w:p>
    <w:p w14:paraId="24A15EC8" w14:textId="77777777" w:rsidR="00383160" w:rsidRDefault="00383160" w:rsidP="00D00F87">
      <w:pPr>
        <w:pStyle w:val="Body"/>
        <w:spacing w:after="0"/>
        <w:rPr>
          <w:rFonts w:ascii="Arial" w:hAnsi="Arial" w:cs="Arial"/>
        </w:rPr>
      </w:pPr>
    </w:p>
    <w:p w14:paraId="7C8C9544" w14:textId="77777777" w:rsidR="00383160" w:rsidRDefault="00383160" w:rsidP="00D00F87">
      <w:pPr>
        <w:pStyle w:val="Body"/>
        <w:spacing w:after="0"/>
        <w:rPr>
          <w:rFonts w:ascii="Arial" w:hAnsi="Arial" w:cs="Arial"/>
        </w:rPr>
      </w:pPr>
      <w:bookmarkStart w:id="1" w:name="_Hlk217502141"/>
    </w:p>
    <w:bookmarkEnd w:id="1"/>
    <w:p w14:paraId="039CF0D3" w14:textId="77777777" w:rsidR="00383160" w:rsidRDefault="00383160" w:rsidP="00D00F87">
      <w:pPr>
        <w:pStyle w:val="Body"/>
        <w:spacing w:after="0"/>
        <w:rPr>
          <w:rFonts w:ascii="Arial" w:hAnsi="Arial" w:cs="Arial"/>
        </w:rPr>
      </w:pPr>
    </w:p>
    <w:p w14:paraId="4E253F37" w14:textId="0CB4F2D0" w:rsidR="00686F66" w:rsidRPr="00686F66" w:rsidRDefault="00686F66" w:rsidP="00686F66">
      <w:pPr>
        <w:widowControl w:val="0"/>
        <w:tabs>
          <w:tab w:val="left" w:pos="709"/>
        </w:tabs>
        <w:autoSpaceDE w:val="0"/>
        <w:autoSpaceDN w:val="0"/>
        <w:jc w:val="both"/>
        <w:rPr>
          <w:rFonts w:ascii="Arial" w:hAnsi="Arial" w:cs="Arial"/>
          <w:b/>
          <w:lang w:bidi="en-US"/>
        </w:rPr>
      </w:pPr>
    </w:p>
    <w:p w14:paraId="38B88D0B" w14:textId="77777777" w:rsidR="00383160" w:rsidRDefault="00383160" w:rsidP="00D00F87">
      <w:pPr>
        <w:pStyle w:val="Body"/>
        <w:spacing w:after="0"/>
        <w:rPr>
          <w:rFonts w:ascii="Arial" w:hAnsi="Arial" w:cs="Arial"/>
        </w:rPr>
      </w:pPr>
    </w:p>
    <w:p w14:paraId="728B41DC" w14:textId="77777777" w:rsidR="00383160" w:rsidRDefault="00383160" w:rsidP="00D00F87">
      <w:pPr>
        <w:pStyle w:val="Body"/>
        <w:spacing w:after="0"/>
        <w:rPr>
          <w:rFonts w:ascii="Arial" w:hAnsi="Arial" w:cs="Arial"/>
        </w:rPr>
        <w:sectPr w:rsidR="00383160" w:rsidSect="006F01BD">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314CA81A" w14:textId="77777777" w:rsidR="00383160" w:rsidRPr="00DC3180" w:rsidRDefault="00383160" w:rsidP="00383160">
      <w:pPr>
        <w:tabs>
          <w:tab w:val="left" w:pos="1080"/>
        </w:tabs>
        <w:jc w:val="both"/>
        <w:rPr>
          <w:rFonts w:ascii="Arial" w:hAnsi="Arial"/>
          <w:b/>
        </w:rPr>
      </w:pPr>
      <w:r>
        <w:rPr>
          <w:rFonts w:ascii="Arial" w:hAnsi="Arial"/>
          <w:b/>
        </w:rPr>
        <w:lastRenderedPageBreak/>
        <w:t xml:space="preserve">Table 1. </w:t>
      </w:r>
      <w:r w:rsidRPr="00D00F87">
        <w:rPr>
          <w:rFonts w:ascii="Arial" w:hAnsi="Arial"/>
          <w:b/>
        </w:rPr>
        <w:t>Analysis of variance (ANOVA) for the various morphological traits under study</w:t>
      </w:r>
    </w:p>
    <w:tbl>
      <w:tblPr>
        <w:tblW w:w="5000" w:type="pct"/>
        <w:tblBorders>
          <w:top w:val="single" w:sz="4" w:space="0" w:color="auto"/>
          <w:bottom w:val="single" w:sz="4" w:space="0" w:color="auto"/>
          <w:insideH w:val="single" w:sz="4" w:space="0" w:color="auto"/>
        </w:tblBorders>
        <w:tblLook w:val="01E0" w:firstRow="1" w:lastRow="1" w:firstColumn="1" w:lastColumn="1" w:noHBand="0" w:noVBand="0"/>
      </w:tblPr>
      <w:tblGrid>
        <w:gridCol w:w="1514"/>
        <w:gridCol w:w="1207"/>
        <w:gridCol w:w="1207"/>
        <w:gridCol w:w="1209"/>
        <w:gridCol w:w="1207"/>
        <w:gridCol w:w="1209"/>
        <w:gridCol w:w="1206"/>
        <w:gridCol w:w="1208"/>
        <w:gridCol w:w="1206"/>
        <w:gridCol w:w="1208"/>
      </w:tblGrid>
      <w:tr w:rsidR="00383160" w:rsidRPr="00383160" w14:paraId="22D91C8C" w14:textId="77777777" w:rsidTr="002A0AC9">
        <w:tc>
          <w:tcPr>
            <w:tcW w:w="611" w:type="pct"/>
            <w:tcBorders>
              <w:bottom w:val="single" w:sz="4" w:space="0" w:color="auto"/>
            </w:tcBorders>
          </w:tcPr>
          <w:p w14:paraId="64D9C46F" w14:textId="77777777" w:rsidR="00383160" w:rsidRPr="00383160" w:rsidRDefault="00383160" w:rsidP="009F22A4">
            <w:pPr>
              <w:jc w:val="both"/>
              <w:rPr>
                <w:rFonts w:ascii="Arial" w:hAnsi="Arial" w:cs="Arial"/>
                <w:b/>
                <w:bCs/>
              </w:rPr>
            </w:pPr>
            <w:r w:rsidRPr="00383160">
              <w:rPr>
                <w:rFonts w:ascii="Arial" w:hAnsi="Arial" w:cs="Arial"/>
                <w:b/>
                <w:bCs/>
                <w:lang w:bidi="en-US"/>
              </w:rPr>
              <w:t>Source</w:t>
            </w:r>
          </w:p>
        </w:tc>
        <w:tc>
          <w:tcPr>
            <w:tcW w:w="487" w:type="pct"/>
            <w:tcBorders>
              <w:bottom w:val="single" w:sz="4" w:space="0" w:color="auto"/>
            </w:tcBorders>
          </w:tcPr>
          <w:p w14:paraId="1151D21C" w14:textId="77777777" w:rsidR="00383160" w:rsidRPr="00383160" w:rsidRDefault="00383160" w:rsidP="009F22A4">
            <w:pPr>
              <w:jc w:val="both"/>
              <w:rPr>
                <w:rFonts w:ascii="Arial" w:hAnsi="Arial" w:cs="Arial"/>
                <w:b/>
                <w:bCs/>
              </w:rPr>
            </w:pPr>
            <w:proofErr w:type="spellStart"/>
            <w:r w:rsidRPr="00383160">
              <w:rPr>
                <w:rFonts w:ascii="Arial" w:hAnsi="Arial" w:cs="Arial"/>
                <w:b/>
                <w:bCs/>
                <w:lang w:bidi="en-US"/>
              </w:rPr>
              <w:t>d.f.</w:t>
            </w:r>
            <w:proofErr w:type="spellEnd"/>
          </w:p>
        </w:tc>
        <w:tc>
          <w:tcPr>
            <w:tcW w:w="487" w:type="pct"/>
            <w:tcBorders>
              <w:bottom w:val="single" w:sz="4" w:space="0" w:color="auto"/>
            </w:tcBorders>
          </w:tcPr>
          <w:p w14:paraId="0AF63259" w14:textId="77777777" w:rsidR="00383160" w:rsidRPr="00383160" w:rsidRDefault="00383160" w:rsidP="009F22A4">
            <w:pPr>
              <w:jc w:val="both"/>
              <w:rPr>
                <w:rFonts w:ascii="Arial" w:hAnsi="Arial" w:cs="Arial"/>
                <w:b/>
                <w:bCs/>
              </w:rPr>
            </w:pPr>
            <w:r w:rsidRPr="00383160">
              <w:rPr>
                <w:rFonts w:ascii="Arial" w:hAnsi="Arial" w:cs="Arial"/>
                <w:b/>
                <w:bCs/>
                <w:lang w:bidi="en-US"/>
              </w:rPr>
              <w:t>PH</w:t>
            </w:r>
          </w:p>
        </w:tc>
        <w:tc>
          <w:tcPr>
            <w:tcW w:w="488" w:type="pct"/>
            <w:tcBorders>
              <w:bottom w:val="single" w:sz="4" w:space="0" w:color="auto"/>
            </w:tcBorders>
          </w:tcPr>
          <w:p w14:paraId="21F64053" w14:textId="77777777" w:rsidR="00383160" w:rsidRPr="00383160" w:rsidRDefault="00383160" w:rsidP="009F22A4">
            <w:pPr>
              <w:jc w:val="both"/>
              <w:rPr>
                <w:rFonts w:ascii="Arial" w:hAnsi="Arial" w:cs="Arial"/>
                <w:b/>
                <w:bCs/>
              </w:rPr>
            </w:pPr>
            <w:r w:rsidRPr="00383160">
              <w:rPr>
                <w:rFonts w:ascii="Arial" w:hAnsi="Arial" w:cs="Arial"/>
                <w:b/>
                <w:bCs/>
                <w:lang w:bidi="en-US"/>
              </w:rPr>
              <w:t>NTM</w:t>
            </w:r>
          </w:p>
        </w:tc>
        <w:tc>
          <w:tcPr>
            <w:tcW w:w="487" w:type="pct"/>
            <w:tcBorders>
              <w:bottom w:val="single" w:sz="4" w:space="0" w:color="auto"/>
            </w:tcBorders>
          </w:tcPr>
          <w:p w14:paraId="7F0E6845" w14:textId="77777777" w:rsidR="00383160" w:rsidRPr="00383160" w:rsidRDefault="00383160" w:rsidP="009F22A4">
            <w:pPr>
              <w:jc w:val="both"/>
              <w:rPr>
                <w:rFonts w:ascii="Arial" w:hAnsi="Arial" w:cs="Arial"/>
                <w:b/>
                <w:bCs/>
              </w:rPr>
            </w:pPr>
            <w:r w:rsidRPr="00383160">
              <w:rPr>
                <w:rFonts w:ascii="Arial" w:hAnsi="Arial" w:cs="Arial"/>
                <w:b/>
                <w:bCs/>
                <w:lang w:bidi="en-US"/>
              </w:rPr>
              <w:t>NSS</w:t>
            </w:r>
          </w:p>
        </w:tc>
        <w:tc>
          <w:tcPr>
            <w:tcW w:w="488" w:type="pct"/>
            <w:tcBorders>
              <w:bottom w:val="single" w:sz="4" w:space="0" w:color="auto"/>
            </w:tcBorders>
          </w:tcPr>
          <w:p w14:paraId="66C32124" w14:textId="77777777" w:rsidR="00383160" w:rsidRPr="00383160" w:rsidRDefault="00383160" w:rsidP="009F22A4">
            <w:pPr>
              <w:jc w:val="both"/>
              <w:rPr>
                <w:rFonts w:ascii="Arial" w:hAnsi="Arial" w:cs="Arial"/>
                <w:b/>
                <w:bCs/>
              </w:rPr>
            </w:pPr>
            <w:r w:rsidRPr="00383160">
              <w:rPr>
                <w:rFonts w:ascii="Arial" w:hAnsi="Arial" w:cs="Arial"/>
                <w:b/>
                <w:bCs/>
                <w:lang w:bidi="en-US"/>
              </w:rPr>
              <w:t>NGS</w:t>
            </w:r>
          </w:p>
        </w:tc>
        <w:tc>
          <w:tcPr>
            <w:tcW w:w="487" w:type="pct"/>
            <w:tcBorders>
              <w:bottom w:val="single" w:sz="4" w:space="0" w:color="auto"/>
            </w:tcBorders>
          </w:tcPr>
          <w:p w14:paraId="66DB4881" w14:textId="77777777" w:rsidR="00383160" w:rsidRPr="00686F66" w:rsidRDefault="00383160" w:rsidP="009F22A4">
            <w:pPr>
              <w:jc w:val="both"/>
              <w:rPr>
                <w:rFonts w:ascii="Arial" w:hAnsi="Arial" w:cs="Arial"/>
                <w:b/>
                <w:bCs/>
                <w:lang w:bidi="en-US"/>
              </w:rPr>
            </w:pPr>
            <w:r w:rsidRPr="00686F66">
              <w:rPr>
                <w:rFonts w:ascii="Arial" w:hAnsi="Arial" w:cs="Arial"/>
                <w:b/>
                <w:bCs/>
              </w:rPr>
              <w:t>TGW</w:t>
            </w:r>
          </w:p>
        </w:tc>
        <w:tc>
          <w:tcPr>
            <w:tcW w:w="488" w:type="pct"/>
            <w:tcBorders>
              <w:bottom w:val="single" w:sz="4" w:space="0" w:color="auto"/>
            </w:tcBorders>
          </w:tcPr>
          <w:p w14:paraId="05796252" w14:textId="77777777" w:rsidR="00383160" w:rsidRPr="00686F66" w:rsidRDefault="00383160" w:rsidP="009F22A4">
            <w:pPr>
              <w:jc w:val="both"/>
              <w:rPr>
                <w:rFonts w:ascii="Arial" w:hAnsi="Arial" w:cs="Arial"/>
                <w:b/>
                <w:bCs/>
                <w:lang w:bidi="en-US"/>
              </w:rPr>
            </w:pPr>
            <w:r w:rsidRPr="00686F66">
              <w:rPr>
                <w:rFonts w:ascii="Arial" w:hAnsi="Arial" w:cs="Arial"/>
                <w:b/>
                <w:bCs/>
              </w:rPr>
              <w:t>HI</w:t>
            </w:r>
          </w:p>
        </w:tc>
        <w:tc>
          <w:tcPr>
            <w:tcW w:w="487" w:type="pct"/>
            <w:tcBorders>
              <w:bottom w:val="single" w:sz="4" w:space="0" w:color="auto"/>
            </w:tcBorders>
          </w:tcPr>
          <w:p w14:paraId="1CBD9505" w14:textId="77777777" w:rsidR="00383160" w:rsidRPr="00686F66" w:rsidRDefault="00383160" w:rsidP="009F22A4">
            <w:pPr>
              <w:jc w:val="both"/>
              <w:rPr>
                <w:rFonts w:ascii="Arial" w:hAnsi="Arial" w:cs="Arial"/>
                <w:b/>
                <w:bCs/>
                <w:lang w:bidi="en-US"/>
              </w:rPr>
            </w:pPr>
            <w:r w:rsidRPr="00686F66">
              <w:rPr>
                <w:rFonts w:ascii="Arial" w:hAnsi="Arial" w:cs="Arial"/>
                <w:b/>
                <w:bCs/>
              </w:rPr>
              <w:t>BYP</w:t>
            </w:r>
          </w:p>
        </w:tc>
        <w:tc>
          <w:tcPr>
            <w:tcW w:w="488" w:type="pct"/>
            <w:tcBorders>
              <w:bottom w:val="single" w:sz="4" w:space="0" w:color="auto"/>
            </w:tcBorders>
          </w:tcPr>
          <w:p w14:paraId="300AA142" w14:textId="77777777" w:rsidR="00383160" w:rsidRPr="00686F66" w:rsidRDefault="00383160" w:rsidP="009F22A4">
            <w:pPr>
              <w:jc w:val="both"/>
              <w:rPr>
                <w:rFonts w:ascii="Arial" w:hAnsi="Arial" w:cs="Arial"/>
                <w:b/>
                <w:bCs/>
                <w:lang w:bidi="en-US"/>
              </w:rPr>
            </w:pPr>
            <w:r w:rsidRPr="00686F66">
              <w:rPr>
                <w:rFonts w:ascii="Arial" w:hAnsi="Arial" w:cs="Arial"/>
                <w:b/>
                <w:bCs/>
              </w:rPr>
              <w:t>GYP</w:t>
            </w:r>
          </w:p>
        </w:tc>
      </w:tr>
      <w:tr w:rsidR="00383160" w:rsidRPr="00383160" w14:paraId="52BF317D" w14:textId="77777777" w:rsidTr="002A0AC9">
        <w:trPr>
          <w:trHeight w:val="773"/>
        </w:trPr>
        <w:tc>
          <w:tcPr>
            <w:tcW w:w="611" w:type="pct"/>
            <w:tcBorders>
              <w:bottom w:val="nil"/>
            </w:tcBorders>
          </w:tcPr>
          <w:p w14:paraId="7E28E9D8" w14:textId="77777777" w:rsidR="00383160" w:rsidRPr="00383160" w:rsidRDefault="00383160" w:rsidP="009F22A4">
            <w:pPr>
              <w:jc w:val="both"/>
              <w:rPr>
                <w:rFonts w:ascii="Arial" w:hAnsi="Arial" w:cs="Arial"/>
                <w:b/>
                <w:bCs/>
              </w:rPr>
            </w:pPr>
            <w:r w:rsidRPr="00383160">
              <w:rPr>
                <w:rFonts w:ascii="Arial" w:hAnsi="Arial" w:cs="Arial"/>
              </w:rPr>
              <w:t>Block (ignoring Treatments)</w:t>
            </w:r>
          </w:p>
        </w:tc>
        <w:tc>
          <w:tcPr>
            <w:tcW w:w="487" w:type="pct"/>
            <w:tcBorders>
              <w:bottom w:val="nil"/>
            </w:tcBorders>
          </w:tcPr>
          <w:p w14:paraId="029FEC26" w14:textId="77777777" w:rsidR="00383160" w:rsidRPr="00383160" w:rsidRDefault="00383160" w:rsidP="009F22A4">
            <w:pPr>
              <w:jc w:val="both"/>
              <w:rPr>
                <w:rFonts w:ascii="Arial" w:hAnsi="Arial" w:cs="Arial"/>
                <w:b/>
                <w:bCs/>
              </w:rPr>
            </w:pPr>
            <w:r w:rsidRPr="00383160">
              <w:rPr>
                <w:rFonts w:ascii="Arial" w:hAnsi="Arial" w:cs="Arial"/>
              </w:rPr>
              <w:t>5</w:t>
            </w:r>
          </w:p>
        </w:tc>
        <w:tc>
          <w:tcPr>
            <w:tcW w:w="487" w:type="pct"/>
            <w:tcBorders>
              <w:bottom w:val="nil"/>
            </w:tcBorders>
          </w:tcPr>
          <w:p w14:paraId="4C3317D7" w14:textId="77777777" w:rsidR="00383160" w:rsidRPr="00383160" w:rsidRDefault="00383160" w:rsidP="009F22A4">
            <w:pPr>
              <w:jc w:val="both"/>
              <w:rPr>
                <w:rFonts w:ascii="Arial" w:hAnsi="Arial" w:cs="Arial"/>
                <w:b/>
                <w:bCs/>
              </w:rPr>
            </w:pPr>
            <w:r w:rsidRPr="00383160">
              <w:rPr>
                <w:rFonts w:ascii="Arial" w:hAnsi="Arial" w:cs="Arial"/>
              </w:rPr>
              <w:t>118.1**</w:t>
            </w:r>
          </w:p>
        </w:tc>
        <w:tc>
          <w:tcPr>
            <w:tcW w:w="488" w:type="pct"/>
            <w:tcBorders>
              <w:top w:val="single" w:sz="4" w:space="0" w:color="auto"/>
              <w:bottom w:val="nil"/>
            </w:tcBorders>
          </w:tcPr>
          <w:p w14:paraId="5F266920" w14:textId="77777777" w:rsidR="00383160" w:rsidRPr="00383160" w:rsidRDefault="00383160" w:rsidP="009F22A4">
            <w:pPr>
              <w:jc w:val="both"/>
              <w:rPr>
                <w:rFonts w:ascii="Arial" w:hAnsi="Arial" w:cs="Arial"/>
              </w:rPr>
            </w:pPr>
            <w:r w:rsidRPr="00383160">
              <w:rPr>
                <w:rFonts w:ascii="Arial" w:hAnsi="Arial" w:cs="Arial"/>
              </w:rPr>
              <w:t>1283.6**</w:t>
            </w:r>
          </w:p>
        </w:tc>
        <w:tc>
          <w:tcPr>
            <w:tcW w:w="487" w:type="pct"/>
            <w:tcBorders>
              <w:top w:val="single" w:sz="4" w:space="0" w:color="auto"/>
              <w:bottom w:val="nil"/>
            </w:tcBorders>
          </w:tcPr>
          <w:p w14:paraId="5F9BCF2F" w14:textId="77777777" w:rsidR="00383160" w:rsidRPr="00383160" w:rsidRDefault="00383160" w:rsidP="009F22A4">
            <w:pPr>
              <w:jc w:val="both"/>
              <w:rPr>
                <w:rFonts w:ascii="Arial" w:hAnsi="Arial" w:cs="Arial"/>
              </w:rPr>
            </w:pPr>
            <w:r w:rsidRPr="00383160">
              <w:rPr>
                <w:rFonts w:ascii="Arial" w:hAnsi="Arial" w:cs="Arial"/>
              </w:rPr>
              <w:t>8.54**</w:t>
            </w:r>
          </w:p>
        </w:tc>
        <w:tc>
          <w:tcPr>
            <w:tcW w:w="488" w:type="pct"/>
            <w:tcBorders>
              <w:top w:val="single" w:sz="4" w:space="0" w:color="auto"/>
              <w:bottom w:val="nil"/>
            </w:tcBorders>
          </w:tcPr>
          <w:p w14:paraId="776820C0" w14:textId="77777777" w:rsidR="00383160" w:rsidRPr="00383160" w:rsidRDefault="00383160" w:rsidP="009F22A4">
            <w:pPr>
              <w:jc w:val="both"/>
              <w:rPr>
                <w:rFonts w:ascii="Arial" w:hAnsi="Arial" w:cs="Arial"/>
              </w:rPr>
            </w:pPr>
            <w:r w:rsidRPr="00383160">
              <w:rPr>
                <w:rFonts w:ascii="Arial" w:hAnsi="Arial" w:cs="Arial"/>
              </w:rPr>
              <w:t>95.94*</w:t>
            </w:r>
          </w:p>
        </w:tc>
        <w:tc>
          <w:tcPr>
            <w:tcW w:w="487" w:type="pct"/>
            <w:tcBorders>
              <w:top w:val="single" w:sz="4" w:space="0" w:color="auto"/>
              <w:bottom w:val="nil"/>
            </w:tcBorders>
          </w:tcPr>
          <w:p w14:paraId="70BD6E6B" w14:textId="77777777" w:rsidR="00383160" w:rsidRPr="00383160" w:rsidRDefault="00383160" w:rsidP="009F22A4">
            <w:pPr>
              <w:jc w:val="both"/>
              <w:rPr>
                <w:rFonts w:ascii="Arial" w:hAnsi="Arial" w:cs="Arial"/>
              </w:rPr>
            </w:pPr>
            <w:r w:rsidRPr="00383160">
              <w:rPr>
                <w:rFonts w:ascii="Arial" w:hAnsi="Arial" w:cs="Arial"/>
              </w:rPr>
              <w:t>14.46**</w:t>
            </w:r>
          </w:p>
        </w:tc>
        <w:tc>
          <w:tcPr>
            <w:tcW w:w="488" w:type="pct"/>
            <w:tcBorders>
              <w:top w:val="single" w:sz="4" w:space="0" w:color="auto"/>
              <w:bottom w:val="nil"/>
            </w:tcBorders>
          </w:tcPr>
          <w:p w14:paraId="2E41E4B3" w14:textId="77777777" w:rsidR="00383160" w:rsidRPr="00383160" w:rsidRDefault="00383160" w:rsidP="009F22A4">
            <w:pPr>
              <w:jc w:val="both"/>
              <w:rPr>
                <w:rFonts w:ascii="Arial" w:hAnsi="Arial" w:cs="Arial"/>
              </w:rPr>
            </w:pPr>
            <w:r w:rsidRPr="00383160">
              <w:rPr>
                <w:rFonts w:ascii="Arial" w:hAnsi="Arial" w:cs="Arial"/>
              </w:rPr>
              <w:t>52.05**</w:t>
            </w:r>
          </w:p>
        </w:tc>
        <w:tc>
          <w:tcPr>
            <w:tcW w:w="487" w:type="pct"/>
            <w:tcBorders>
              <w:top w:val="single" w:sz="4" w:space="0" w:color="auto"/>
              <w:bottom w:val="nil"/>
            </w:tcBorders>
          </w:tcPr>
          <w:p w14:paraId="30EF7B2C" w14:textId="77777777" w:rsidR="00383160" w:rsidRPr="00383160" w:rsidRDefault="00383160" w:rsidP="009F22A4">
            <w:pPr>
              <w:jc w:val="both"/>
              <w:rPr>
                <w:rFonts w:ascii="Arial" w:hAnsi="Arial" w:cs="Arial"/>
              </w:rPr>
            </w:pPr>
            <w:r w:rsidRPr="00383160">
              <w:rPr>
                <w:rFonts w:ascii="Arial" w:hAnsi="Arial" w:cs="Arial"/>
              </w:rPr>
              <w:t>392184**</w:t>
            </w:r>
          </w:p>
        </w:tc>
        <w:tc>
          <w:tcPr>
            <w:tcW w:w="488" w:type="pct"/>
            <w:tcBorders>
              <w:top w:val="single" w:sz="4" w:space="0" w:color="auto"/>
              <w:bottom w:val="nil"/>
            </w:tcBorders>
          </w:tcPr>
          <w:p w14:paraId="6E552026" w14:textId="77777777" w:rsidR="00383160" w:rsidRPr="00383160" w:rsidRDefault="00383160" w:rsidP="009F22A4">
            <w:pPr>
              <w:jc w:val="both"/>
              <w:rPr>
                <w:rFonts w:ascii="Arial" w:hAnsi="Arial" w:cs="Arial"/>
              </w:rPr>
            </w:pPr>
            <w:r w:rsidRPr="00383160">
              <w:rPr>
                <w:rFonts w:ascii="Arial" w:hAnsi="Arial" w:cs="Arial"/>
              </w:rPr>
              <w:t>20868**</w:t>
            </w:r>
          </w:p>
        </w:tc>
      </w:tr>
      <w:tr w:rsidR="00383160" w:rsidRPr="00383160" w14:paraId="0B2AA1F6" w14:textId="77777777" w:rsidTr="002A0AC9">
        <w:tc>
          <w:tcPr>
            <w:tcW w:w="611" w:type="pct"/>
            <w:tcBorders>
              <w:top w:val="nil"/>
              <w:bottom w:val="nil"/>
            </w:tcBorders>
          </w:tcPr>
          <w:p w14:paraId="0BDA609B" w14:textId="77777777" w:rsidR="00383160" w:rsidRPr="00383160" w:rsidRDefault="00383160" w:rsidP="009F22A4">
            <w:pPr>
              <w:jc w:val="both"/>
              <w:rPr>
                <w:rFonts w:ascii="Arial" w:hAnsi="Arial" w:cs="Arial"/>
              </w:rPr>
            </w:pPr>
            <w:r w:rsidRPr="00383160">
              <w:rPr>
                <w:rFonts w:ascii="Arial" w:hAnsi="Arial" w:cs="Arial"/>
              </w:rPr>
              <w:t>Treatment (eliminating Blocks)</w:t>
            </w:r>
          </w:p>
        </w:tc>
        <w:tc>
          <w:tcPr>
            <w:tcW w:w="487" w:type="pct"/>
            <w:tcBorders>
              <w:top w:val="nil"/>
              <w:bottom w:val="nil"/>
            </w:tcBorders>
          </w:tcPr>
          <w:p w14:paraId="53B8C5C4" w14:textId="77777777" w:rsidR="00383160" w:rsidRPr="00383160" w:rsidRDefault="00383160" w:rsidP="009F22A4">
            <w:pPr>
              <w:jc w:val="both"/>
              <w:rPr>
                <w:rFonts w:ascii="Arial" w:hAnsi="Arial" w:cs="Arial"/>
              </w:rPr>
            </w:pPr>
            <w:r w:rsidRPr="00383160">
              <w:rPr>
                <w:rFonts w:ascii="Arial" w:hAnsi="Arial" w:cs="Arial"/>
              </w:rPr>
              <w:t>139</w:t>
            </w:r>
          </w:p>
        </w:tc>
        <w:tc>
          <w:tcPr>
            <w:tcW w:w="487" w:type="pct"/>
            <w:tcBorders>
              <w:top w:val="nil"/>
              <w:bottom w:val="nil"/>
            </w:tcBorders>
          </w:tcPr>
          <w:p w14:paraId="7287D787" w14:textId="77777777" w:rsidR="00383160" w:rsidRPr="00383160" w:rsidRDefault="00383160" w:rsidP="009F22A4">
            <w:pPr>
              <w:jc w:val="both"/>
              <w:rPr>
                <w:rFonts w:ascii="Arial" w:hAnsi="Arial" w:cs="Arial"/>
              </w:rPr>
            </w:pPr>
            <w:r w:rsidRPr="00383160">
              <w:rPr>
                <w:rFonts w:ascii="Arial" w:hAnsi="Arial" w:cs="Arial"/>
              </w:rPr>
              <w:t>38.65**</w:t>
            </w:r>
          </w:p>
        </w:tc>
        <w:tc>
          <w:tcPr>
            <w:tcW w:w="488" w:type="pct"/>
            <w:tcBorders>
              <w:top w:val="nil"/>
              <w:bottom w:val="nil"/>
            </w:tcBorders>
          </w:tcPr>
          <w:p w14:paraId="60644263" w14:textId="77777777" w:rsidR="00383160" w:rsidRPr="00383160" w:rsidRDefault="00383160" w:rsidP="009F22A4">
            <w:pPr>
              <w:jc w:val="both"/>
              <w:rPr>
                <w:rFonts w:ascii="Arial" w:hAnsi="Arial" w:cs="Arial"/>
              </w:rPr>
            </w:pPr>
            <w:r w:rsidRPr="00383160">
              <w:rPr>
                <w:rFonts w:ascii="Arial" w:hAnsi="Arial" w:cs="Arial"/>
              </w:rPr>
              <w:t>463.86*</w:t>
            </w:r>
          </w:p>
        </w:tc>
        <w:tc>
          <w:tcPr>
            <w:tcW w:w="487" w:type="pct"/>
            <w:tcBorders>
              <w:top w:val="nil"/>
              <w:bottom w:val="nil"/>
            </w:tcBorders>
          </w:tcPr>
          <w:p w14:paraId="0153C2FC" w14:textId="77777777" w:rsidR="00383160" w:rsidRPr="00383160" w:rsidRDefault="00383160" w:rsidP="009F22A4">
            <w:pPr>
              <w:jc w:val="both"/>
              <w:rPr>
                <w:rFonts w:ascii="Arial" w:hAnsi="Arial" w:cs="Arial"/>
              </w:rPr>
            </w:pPr>
            <w:r w:rsidRPr="00383160">
              <w:rPr>
                <w:rFonts w:ascii="Arial" w:hAnsi="Arial" w:cs="Arial"/>
              </w:rPr>
              <w:t>3.51*</w:t>
            </w:r>
          </w:p>
        </w:tc>
        <w:tc>
          <w:tcPr>
            <w:tcW w:w="488" w:type="pct"/>
            <w:tcBorders>
              <w:top w:val="nil"/>
              <w:bottom w:val="nil"/>
            </w:tcBorders>
          </w:tcPr>
          <w:p w14:paraId="056BEA0F" w14:textId="77777777" w:rsidR="00383160" w:rsidRPr="00383160" w:rsidRDefault="00383160" w:rsidP="009F22A4">
            <w:pPr>
              <w:jc w:val="both"/>
              <w:rPr>
                <w:rFonts w:ascii="Arial" w:hAnsi="Arial" w:cs="Arial"/>
              </w:rPr>
            </w:pPr>
            <w:r w:rsidRPr="00383160">
              <w:rPr>
                <w:rFonts w:ascii="Arial" w:hAnsi="Arial" w:cs="Arial"/>
              </w:rPr>
              <w:t>51.75*</w:t>
            </w:r>
          </w:p>
        </w:tc>
        <w:tc>
          <w:tcPr>
            <w:tcW w:w="487" w:type="pct"/>
            <w:tcBorders>
              <w:top w:val="nil"/>
              <w:bottom w:val="nil"/>
            </w:tcBorders>
          </w:tcPr>
          <w:p w14:paraId="17FEF0E2" w14:textId="77777777" w:rsidR="00383160" w:rsidRPr="00383160" w:rsidRDefault="00383160" w:rsidP="009F22A4">
            <w:pPr>
              <w:jc w:val="both"/>
              <w:rPr>
                <w:rFonts w:ascii="Arial" w:hAnsi="Arial" w:cs="Arial"/>
              </w:rPr>
            </w:pPr>
            <w:r w:rsidRPr="00383160">
              <w:rPr>
                <w:rFonts w:ascii="Arial" w:hAnsi="Arial" w:cs="Arial"/>
              </w:rPr>
              <w:t>24.87**</w:t>
            </w:r>
          </w:p>
        </w:tc>
        <w:tc>
          <w:tcPr>
            <w:tcW w:w="488" w:type="pct"/>
            <w:tcBorders>
              <w:top w:val="nil"/>
              <w:bottom w:val="nil"/>
            </w:tcBorders>
          </w:tcPr>
          <w:p w14:paraId="2A6BCC40" w14:textId="77777777" w:rsidR="00383160" w:rsidRPr="00383160" w:rsidRDefault="00383160" w:rsidP="009F22A4">
            <w:pPr>
              <w:jc w:val="both"/>
              <w:rPr>
                <w:rFonts w:ascii="Arial" w:hAnsi="Arial" w:cs="Arial"/>
              </w:rPr>
            </w:pPr>
            <w:r w:rsidRPr="00383160">
              <w:rPr>
                <w:rFonts w:ascii="Arial" w:hAnsi="Arial" w:cs="Arial"/>
              </w:rPr>
              <w:t>7.93**</w:t>
            </w:r>
          </w:p>
        </w:tc>
        <w:tc>
          <w:tcPr>
            <w:tcW w:w="487" w:type="pct"/>
            <w:tcBorders>
              <w:top w:val="nil"/>
              <w:bottom w:val="nil"/>
            </w:tcBorders>
          </w:tcPr>
          <w:p w14:paraId="04878C06" w14:textId="77777777" w:rsidR="00383160" w:rsidRPr="00383160" w:rsidRDefault="00383160" w:rsidP="009F22A4">
            <w:pPr>
              <w:jc w:val="both"/>
              <w:rPr>
                <w:rFonts w:ascii="Arial" w:hAnsi="Arial" w:cs="Arial"/>
              </w:rPr>
            </w:pPr>
            <w:r w:rsidRPr="00383160">
              <w:rPr>
                <w:rFonts w:ascii="Arial" w:hAnsi="Arial" w:cs="Arial"/>
              </w:rPr>
              <w:t>95372**</w:t>
            </w:r>
          </w:p>
        </w:tc>
        <w:tc>
          <w:tcPr>
            <w:tcW w:w="488" w:type="pct"/>
            <w:tcBorders>
              <w:top w:val="nil"/>
              <w:bottom w:val="nil"/>
            </w:tcBorders>
          </w:tcPr>
          <w:p w14:paraId="5F1386E3" w14:textId="77777777" w:rsidR="00383160" w:rsidRPr="00383160" w:rsidRDefault="00383160" w:rsidP="009F22A4">
            <w:pPr>
              <w:jc w:val="both"/>
              <w:rPr>
                <w:rFonts w:ascii="Arial" w:hAnsi="Arial" w:cs="Arial"/>
              </w:rPr>
            </w:pPr>
            <w:r w:rsidRPr="00383160">
              <w:rPr>
                <w:rFonts w:ascii="Arial" w:hAnsi="Arial" w:cs="Arial"/>
              </w:rPr>
              <w:t>13197**</w:t>
            </w:r>
          </w:p>
        </w:tc>
      </w:tr>
      <w:tr w:rsidR="00383160" w:rsidRPr="00383160" w14:paraId="455CDCE9" w14:textId="77777777" w:rsidTr="002A0AC9">
        <w:tc>
          <w:tcPr>
            <w:tcW w:w="611" w:type="pct"/>
            <w:tcBorders>
              <w:top w:val="nil"/>
              <w:bottom w:val="nil"/>
            </w:tcBorders>
          </w:tcPr>
          <w:p w14:paraId="7D9418A1" w14:textId="77777777" w:rsidR="00383160" w:rsidRPr="00383160" w:rsidRDefault="00383160" w:rsidP="009F22A4">
            <w:pPr>
              <w:jc w:val="both"/>
              <w:rPr>
                <w:rFonts w:ascii="Arial" w:hAnsi="Arial" w:cs="Arial"/>
              </w:rPr>
            </w:pPr>
            <w:r w:rsidRPr="00383160">
              <w:rPr>
                <w:rFonts w:ascii="Arial" w:hAnsi="Arial" w:cs="Arial"/>
              </w:rPr>
              <w:t>Treatment: Check</w:t>
            </w:r>
          </w:p>
        </w:tc>
        <w:tc>
          <w:tcPr>
            <w:tcW w:w="487" w:type="pct"/>
            <w:tcBorders>
              <w:top w:val="nil"/>
              <w:bottom w:val="nil"/>
            </w:tcBorders>
          </w:tcPr>
          <w:p w14:paraId="3581D685" w14:textId="77777777" w:rsidR="00383160" w:rsidRPr="00383160" w:rsidRDefault="00383160" w:rsidP="009F22A4">
            <w:pPr>
              <w:jc w:val="both"/>
              <w:rPr>
                <w:rFonts w:ascii="Arial" w:hAnsi="Arial" w:cs="Arial"/>
              </w:rPr>
            </w:pPr>
            <w:r w:rsidRPr="00383160">
              <w:rPr>
                <w:rFonts w:ascii="Arial" w:hAnsi="Arial" w:cs="Arial"/>
              </w:rPr>
              <w:t>1</w:t>
            </w:r>
          </w:p>
        </w:tc>
        <w:tc>
          <w:tcPr>
            <w:tcW w:w="487" w:type="pct"/>
            <w:tcBorders>
              <w:top w:val="nil"/>
              <w:bottom w:val="nil"/>
            </w:tcBorders>
          </w:tcPr>
          <w:p w14:paraId="510F73DF" w14:textId="77777777" w:rsidR="00383160" w:rsidRPr="00383160" w:rsidRDefault="00383160" w:rsidP="009F22A4">
            <w:pPr>
              <w:jc w:val="both"/>
              <w:rPr>
                <w:rFonts w:ascii="Arial" w:hAnsi="Arial" w:cs="Arial"/>
              </w:rPr>
            </w:pPr>
            <w:r w:rsidRPr="00383160">
              <w:rPr>
                <w:rFonts w:ascii="Arial" w:hAnsi="Arial" w:cs="Arial"/>
              </w:rPr>
              <w:t>70.08**</w:t>
            </w:r>
          </w:p>
        </w:tc>
        <w:tc>
          <w:tcPr>
            <w:tcW w:w="488" w:type="pct"/>
            <w:tcBorders>
              <w:top w:val="nil"/>
              <w:bottom w:val="nil"/>
            </w:tcBorders>
          </w:tcPr>
          <w:p w14:paraId="58DD1DC2" w14:textId="77777777" w:rsidR="00383160" w:rsidRPr="00383160" w:rsidRDefault="00383160" w:rsidP="009F22A4">
            <w:pPr>
              <w:jc w:val="both"/>
              <w:rPr>
                <w:rFonts w:ascii="Arial" w:hAnsi="Arial" w:cs="Arial"/>
              </w:rPr>
            </w:pPr>
            <w:r w:rsidRPr="00383160">
              <w:rPr>
                <w:rFonts w:ascii="Arial" w:hAnsi="Arial" w:cs="Arial"/>
              </w:rPr>
              <w:t>320.33**</w:t>
            </w:r>
          </w:p>
        </w:tc>
        <w:tc>
          <w:tcPr>
            <w:tcW w:w="487" w:type="pct"/>
            <w:tcBorders>
              <w:top w:val="nil"/>
              <w:bottom w:val="nil"/>
            </w:tcBorders>
          </w:tcPr>
          <w:p w14:paraId="35CB7CF6" w14:textId="77777777" w:rsidR="00383160" w:rsidRPr="00383160" w:rsidRDefault="00383160" w:rsidP="009F22A4">
            <w:pPr>
              <w:jc w:val="both"/>
              <w:rPr>
                <w:rFonts w:ascii="Arial" w:hAnsi="Arial" w:cs="Arial"/>
              </w:rPr>
            </w:pPr>
            <w:r w:rsidRPr="00383160">
              <w:rPr>
                <w:rFonts w:ascii="Arial" w:hAnsi="Arial" w:cs="Arial"/>
              </w:rPr>
              <w:t>21.33**</w:t>
            </w:r>
          </w:p>
        </w:tc>
        <w:tc>
          <w:tcPr>
            <w:tcW w:w="488" w:type="pct"/>
            <w:tcBorders>
              <w:top w:val="nil"/>
              <w:bottom w:val="nil"/>
            </w:tcBorders>
          </w:tcPr>
          <w:p w14:paraId="5A85A8E8" w14:textId="77777777" w:rsidR="00383160" w:rsidRPr="00383160" w:rsidRDefault="00383160" w:rsidP="009F22A4">
            <w:pPr>
              <w:jc w:val="both"/>
              <w:rPr>
                <w:rFonts w:ascii="Arial" w:hAnsi="Arial" w:cs="Arial"/>
              </w:rPr>
            </w:pPr>
            <w:r w:rsidRPr="00383160">
              <w:rPr>
                <w:rFonts w:ascii="Arial" w:hAnsi="Arial" w:cs="Arial"/>
              </w:rPr>
              <w:t>1026.70**</w:t>
            </w:r>
          </w:p>
        </w:tc>
        <w:tc>
          <w:tcPr>
            <w:tcW w:w="487" w:type="pct"/>
            <w:tcBorders>
              <w:top w:val="nil"/>
              <w:bottom w:val="nil"/>
            </w:tcBorders>
          </w:tcPr>
          <w:p w14:paraId="54ADA751" w14:textId="77777777" w:rsidR="00383160" w:rsidRPr="00383160" w:rsidRDefault="00383160" w:rsidP="009F22A4">
            <w:pPr>
              <w:jc w:val="both"/>
              <w:rPr>
                <w:rFonts w:ascii="Arial" w:hAnsi="Arial" w:cs="Arial"/>
              </w:rPr>
            </w:pPr>
            <w:r w:rsidRPr="00383160">
              <w:rPr>
                <w:rFonts w:ascii="Arial" w:hAnsi="Arial" w:cs="Arial"/>
              </w:rPr>
              <w:t>25.81**</w:t>
            </w:r>
          </w:p>
        </w:tc>
        <w:tc>
          <w:tcPr>
            <w:tcW w:w="488" w:type="pct"/>
            <w:tcBorders>
              <w:top w:val="nil"/>
              <w:bottom w:val="nil"/>
            </w:tcBorders>
          </w:tcPr>
          <w:p w14:paraId="24F8C2DE" w14:textId="77777777" w:rsidR="00383160" w:rsidRPr="00383160" w:rsidRDefault="00383160" w:rsidP="009F22A4">
            <w:pPr>
              <w:jc w:val="both"/>
              <w:rPr>
                <w:rFonts w:ascii="Arial" w:hAnsi="Arial" w:cs="Arial"/>
              </w:rPr>
            </w:pPr>
            <w:r w:rsidRPr="00383160">
              <w:rPr>
                <w:rFonts w:ascii="Arial" w:hAnsi="Arial" w:cs="Arial"/>
              </w:rPr>
              <w:t>0.00</w:t>
            </w:r>
          </w:p>
        </w:tc>
        <w:tc>
          <w:tcPr>
            <w:tcW w:w="487" w:type="pct"/>
            <w:tcBorders>
              <w:top w:val="nil"/>
              <w:bottom w:val="nil"/>
            </w:tcBorders>
          </w:tcPr>
          <w:p w14:paraId="76587C76" w14:textId="77777777" w:rsidR="00383160" w:rsidRPr="00383160" w:rsidRDefault="00383160" w:rsidP="009F22A4">
            <w:pPr>
              <w:jc w:val="both"/>
              <w:rPr>
                <w:rFonts w:ascii="Arial" w:hAnsi="Arial" w:cs="Arial"/>
              </w:rPr>
            </w:pPr>
            <w:r w:rsidRPr="00383160">
              <w:rPr>
                <w:rFonts w:ascii="Arial" w:hAnsi="Arial" w:cs="Arial"/>
              </w:rPr>
              <w:t>21084**</w:t>
            </w:r>
          </w:p>
        </w:tc>
        <w:tc>
          <w:tcPr>
            <w:tcW w:w="488" w:type="pct"/>
            <w:tcBorders>
              <w:top w:val="nil"/>
              <w:bottom w:val="nil"/>
            </w:tcBorders>
          </w:tcPr>
          <w:p w14:paraId="3BABB573" w14:textId="77777777" w:rsidR="00383160" w:rsidRPr="00383160" w:rsidRDefault="00383160" w:rsidP="009F22A4">
            <w:pPr>
              <w:jc w:val="both"/>
              <w:rPr>
                <w:rFonts w:ascii="Arial" w:hAnsi="Arial" w:cs="Arial"/>
              </w:rPr>
            </w:pPr>
            <w:r w:rsidRPr="00383160">
              <w:rPr>
                <w:rFonts w:ascii="Arial" w:hAnsi="Arial" w:cs="Arial"/>
              </w:rPr>
              <w:t>2945*</w:t>
            </w:r>
          </w:p>
        </w:tc>
      </w:tr>
      <w:tr w:rsidR="00383160" w:rsidRPr="00383160" w14:paraId="22A516CD" w14:textId="77777777" w:rsidTr="002A0AC9">
        <w:tc>
          <w:tcPr>
            <w:tcW w:w="611" w:type="pct"/>
            <w:tcBorders>
              <w:top w:val="nil"/>
              <w:bottom w:val="nil"/>
            </w:tcBorders>
            <w:vAlign w:val="center"/>
          </w:tcPr>
          <w:p w14:paraId="1693B236" w14:textId="77777777" w:rsidR="00383160" w:rsidRPr="00383160" w:rsidRDefault="00383160" w:rsidP="009F22A4">
            <w:pPr>
              <w:jc w:val="both"/>
              <w:rPr>
                <w:rFonts w:ascii="Arial" w:hAnsi="Arial" w:cs="Arial"/>
              </w:rPr>
            </w:pPr>
            <w:r w:rsidRPr="00383160">
              <w:rPr>
                <w:rFonts w:ascii="Arial" w:hAnsi="Arial" w:cs="Arial"/>
                <w:lang w:eastAsia="en-IN"/>
              </w:rPr>
              <w:t>Treatment: Test and Test vs Check</w:t>
            </w:r>
          </w:p>
        </w:tc>
        <w:tc>
          <w:tcPr>
            <w:tcW w:w="487" w:type="pct"/>
            <w:tcBorders>
              <w:top w:val="nil"/>
              <w:bottom w:val="nil"/>
            </w:tcBorders>
            <w:vAlign w:val="center"/>
          </w:tcPr>
          <w:p w14:paraId="3B2873BF" w14:textId="77777777" w:rsidR="00383160" w:rsidRPr="00383160" w:rsidRDefault="00383160" w:rsidP="009F22A4">
            <w:pPr>
              <w:jc w:val="both"/>
              <w:rPr>
                <w:rFonts w:ascii="Arial" w:hAnsi="Arial" w:cs="Arial"/>
              </w:rPr>
            </w:pPr>
            <w:r w:rsidRPr="00383160">
              <w:rPr>
                <w:rFonts w:ascii="Arial" w:hAnsi="Arial" w:cs="Arial"/>
                <w:lang w:eastAsia="en-IN"/>
              </w:rPr>
              <w:t>138</w:t>
            </w:r>
          </w:p>
        </w:tc>
        <w:tc>
          <w:tcPr>
            <w:tcW w:w="487" w:type="pct"/>
            <w:tcBorders>
              <w:top w:val="nil"/>
              <w:bottom w:val="nil"/>
            </w:tcBorders>
            <w:vAlign w:val="center"/>
          </w:tcPr>
          <w:p w14:paraId="19ED2DB9" w14:textId="77777777" w:rsidR="00383160" w:rsidRPr="00383160" w:rsidRDefault="00383160" w:rsidP="009F22A4">
            <w:pPr>
              <w:jc w:val="both"/>
              <w:rPr>
                <w:rFonts w:ascii="Arial" w:hAnsi="Arial" w:cs="Arial"/>
              </w:rPr>
            </w:pPr>
            <w:r w:rsidRPr="00383160">
              <w:rPr>
                <w:rFonts w:ascii="Arial" w:hAnsi="Arial" w:cs="Arial"/>
                <w:lang w:eastAsia="en-IN"/>
              </w:rPr>
              <w:t>38.42**</w:t>
            </w:r>
          </w:p>
        </w:tc>
        <w:tc>
          <w:tcPr>
            <w:tcW w:w="488" w:type="pct"/>
            <w:tcBorders>
              <w:top w:val="nil"/>
              <w:bottom w:val="nil"/>
            </w:tcBorders>
            <w:vAlign w:val="center"/>
          </w:tcPr>
          <w:p w14:paraId="3AFFC2B0" w14:textId="77777777" w:rsidR="00383160" w:rsidRPr="00383160" w:rsidRDefault="00383160" w:rsidP="009F22A4">
            <w:pPr>
              <w:jc w:val="both"/>
              <w:rPr>
                <w:rFonts w:ascii="Arial" w:hAnsi="Arial" w:cs="Arial"/>
              </w:rPr>
            </w:pPr>
            <w:r w:rsidRPr="00383160">
              <w:rPr>
                <w:rFonts w:ascii="Arial" w:hAnsi="Arial" w:cs="Arial"/>
                <w:lang w:eastAsia="en-IN"/>
              </w:rPr>
              <w:t>464.90**</w:t>
            </w:r>
          </w:p>
        </w:tc>
        <w:tc>
          <w:tcPr>
            <w:tcW w:w="487" w:type="pct"/>
            <w:tcBorders>
              <w:top w:val="nil"/>
              <w:bottom w:val="nil"/>
            </w:tcBorders>
            <w:vAlign w:val="center"/>
          </w:tcPr>
          <w:p w14:paraId="00DCA16C" w14:textId="77777777" w:rsidR="00383160" w:rsidRPr="00383160" w:rsidRDefault="00383160" w:rsidP="009F22A4">
            <w:pPr>
              <w:jc w:val="both"/>
              <w:rPr>
                <w:rFonts w:ascii="Arial" w:hAnsi="Arial" w:cs="Arial"/>
              </w:rPr>
            </w:pPr>
            <w:r w:rsidRPr="00383160">
              <w:rPr>
                <w:rFonts w:ascii="Arial" w:hAnsi="Arial" w:cs="Arial"/>
                <w:lang w:eastAsia="en-IN"/>
              </w:rPr>
              <w:t>3.39*</w:t>
            </w:r>
          </w:p>
        </w:tc>
        <w:tc>
          <w:tcPr>
            <w:tcW w:w="488" w:type="pct"/>
            <w:tcBorders>
              <w:top w:val="nil"/>
              <w:bottom w:val="nil"/>
            </w:tcBorders>
            <w:vAlign w:val="center"/>
          </w:tcPr>
          <w:p w14:paraId="2B296AA7" w14:textId="77777777" w:rsidR="00383160" w:rsidRPr="00383160" w:rsidRDefault="00383160" w:rsidP="009F22A4">
            <w:pPr>
              <w:jc w:val="both"/>
              <w:rPr>
                <w:rFonts w:ascii="Arial" w:hAnsi="Arial" w:cs="Arial"/>
              </w:rPr>
            </w:pPr>
            <w:r w:rsidRPr="00383160">
              <w:rPr>
                <w:rFonts w:ascii="Arial" w:hAnsi="Arial" w:cs="Arial"/>
                <w:lang w:eastAsia="en-IN"/>
              </w:rPr>
              <w:t>44.68</w:t>
            </w:r>
          </w:p>
        </w:tc>
        <w:tc>
          <w:tcPr>
            <w:tcW w:w="487" w:type="pct"/>
            <w:tcBorders>
              <w:top w:val="nil"/>
              <w:bottom w:val="nil"/>
            </w:tcBorders>
          </w:tcPr>
          <w:p w14:paraId="6EED47E8" w14:textId="77777777" w:rsidR="00383160" w:rsidRPr="00383160" w:rsidRDefault="00383160" w:rsidP="009F22A4">
            <w:pPr>
              <w:jc w:val="both"/>
              <w:rPr>
                <w:rFonts w:ascii="Arial" w:hAnsi="Arial" w:cs="Arial"/>
                <w:lang w:eastAsia="en-IN"/>
              </w:rPr>
            </w:pPr>
            <w:r w:rsidRPr="00383160">
              <w:rPr>
                <w:rFonts w:ascii="Arial" w:hAnsi="Arial" w:cs="Arial"/>
              </w:rPr>
              <w:t>24.86**</w:t>
            </w:r>
          </w:p>
        </w:tc>
        <w:tc>
          <w:tcPr>
            <w:tcW w:w="488" w:type="pct"/>
            <w:tcBorders>
              <w:top w:val="nil"/>
              <w:bottom w:val="nil"/>
            </w:tcBorders>
          </w:tcPr>
          <w:p w14:paraId="1FEC8050" w14:textId="77777777" w:rsidR="00383160" w:rsidRPr="00383160" w:rsidRDefault="00383160" w:rsidP="009F22A4">
            <w:pPr>
              <w:jc w:val="both"/>
              <w:rPr>
                <w:rFonts w:ascii="Arial" w:hAnsi="Arial" w:cs="Arial"/>
                <w:lang w:eastAsia="en-IN"/>
              </w:rPr>
            </w:pPr>
            <w:r w:rsidRPr="00383160">
              <w:rPr>
                <w:rFonts w:ascii="Arial" w:hAnsi="Arial" w:cs="Arial"/>
              </w:rPr>
              <w:t>7.98**</w:t>
            </w:r>
          </w:p>
        </w:tc>
        <w:tc>
          <w:tcPr>
            <w:tcW w:w="487" w:type="pct"/>
            <w:tcBorders>
              <w:top w:val="nil"/>
              <w:bottom w:val="nil"/>
            </w:tcBorders>
          </w:tcPr>
          <w:p w14:paraId="4F034405" w14:textId="77777777" w:rsidR="00383160" w:rsidRPr="00383160" w:rsidRDefault="00383160" w:rsidP="009F22A4">
            <w:pPr>
              <w:jc w:val="both"/>
              <w:rPr>
                <w:rFonts w:ascii="Arial" w:hAnsi="Arial" w:cs="Arial"/>
                <w:lang w:eastAsia="en-IN"/>
              </w:rPr>
            </w:pPr>
            <w:r w:rsidRPr="00383160">
              <w:rPr>
                <w:rFonts w:ascii="Arial" w:hAnsi="Arial" w:cs="Arial"/>
              </w:rPr>
              <w:t>95910**</w:t>
            </w:r>
          </w:p>
        </w:tc>
        <w:tc>
          <w:tcPr>
            <w:tcW w:w="488" w:type="pct"/>
            <w:tcBorders>
              <w:top w:val="nil"/>
              <w:bottom w:val="nil"/>
            </w:tcBorders>
          </w:tcPr>
          <w:p w14:paraId="4B554E2E" w14:textId="77777777" w:rsidR="00383160" w:rsidRPr="00383160" w:rsidRDefault="00383160" w:rsidP="009F22A4">
            <w:pPr>
              <w:jc w:val="both"/>
              <w:rPr>
                <w:rFonts w:ascii="Arial" w:hAnsi="Arial" w:cs="Arial"/>
                <w:lang w:eastAsia="en-IN"/>
              </w:rPr>
            </w:pPr>
            <w:r w:rsidRPr="00383160">
              <w:rPr>
                <w:rFonts w:ascii="Arial" w:hAnsi="Arial" w:cs="Arial"/>
              </w:rPr>
              <w:t>13271**</w:t>
            </w:r>
          </w:p>
        </w:tc>
      </w:tr>
      <w:tr w:rsidR="00383160" w:rsidRPr="00383160" w14:paraId="4F6AF4BC" w14:textId="77777777" w:rsidTr="002A0AC9">
        <w:tc>
          <w:tcPr>
            <w:tcW w:w="611" w:type="pct"/>
            <w:tcBorders>
              <w:top w:val="nil"/>
              <w:bottom w:val="single" w:sz="4" w:space="0" w:color="auto"/>
            </w:tcBorders>
            <w:vAlign w:val="center"/>
          </w:tcPr>
          <w:p w14:paraId="32687304" w14:textId="77777777" w:rsidR="00383160" w:rsidRPr="00383160" w:rsidRDefault="00383160" w:rsidP="009F22A4">
            <w:pPr>
              <w:jc w:val="both"/>
              <w:rPr>
                <w:rFonts w:ascii="Arial" w:hAnsi="Arial" w:cs="Arial"/>
              </w:rPr>
            </w:pPr>
            <w:r w:rsidRPr="00383160">
              <w:rPr>
                <w:rFonts w:ascii="Arial" w:hAnsi="Arial" w:cs="Arial"/>
                <w:lang w:eastAsia="en-IN"/>
              </w:rPr>
              <w:t>Residuals</w:t>
            </w:r>
          </w:p>
        </w:tc>
        <w:tc>
          <w:tcPr>
            <w:tcW w:w="487" w:type="pct"/>
            <w:tcBorders>
              <w:top w:val="nil"/>
              <w:bottom w:val="single" w:sz="4" w:space="0" w:color="auto"/>
            </w:tcBorders>
            <w:vAlign w:val="center"/>
          </w:tcPr>
          <w:p w14:paraId="6C11314C" w14:textId="77777777" w:rsidR="00383160" w:rsidRPr="00383160" w:rsidRDefault="00383160" w:rsidP="009F22A4">
            <w:pPr>
              <w:jc w:val="both"/>
              <w:rPr>
                <w:rFonts w:ascii="Arial" w:hAnsi="Arial" w:cs="Arial"/>
              </w:rPr>
            </w:pPr>
            <w:r w:rsidRPr="00383160">
              <w:rPr>
                <w:rFonts w:ascii="Arial" w:hAnsi="Arial" w:cs="Arial"/>
                <w:lang w:eastAsia="en-IN"/>
              </w:rPr>
              <w:t>5</w:t>
            </w:r>
          </w:p>
        </w:tc>
        <w:tc>
          <w:tcPr>
            <w:tcW w:w="487" w:type="pct"/>
            <w:tcBorders>
              <w:top w:val="nil"/>
              <w:bottom w:val="single" w:sz="4" w:space="0" w:color="auto"/>
            </w:tcBorders>
            <w:vAlign w:val="center"/>
          </w:tcPr>
          <w:p w14:paraId="6A9D306F" w14:textId="77777777" w:rsidR="00383160" w:rsidRPr="00383160" w:rsidRDefault="00383160" w:rsidP="009F22A4">
            <w:pPr>
              <w:jc w:val="both"/>
              <w:rPr>
                <w:rFonts w:ascii="Arial" w:hAnsi="Arial" w:cs="Arial"/>
              </w:rPr>
            </w:pPr>
            <w:r w:rsidRPr="00383160">
              <w:rPr>
                <w:rFonts w:ascii="Arial" w:hAnsi="Arial" w:cs="Arial"/>
                <w:lang w:eastAsia="en-IN"/>
              </w:rPr>
              <w:t>1.88</w:t>
            </w:r>
          </w:p>
        </w:tc>
        <w:tc>
          <w:tcPr>
            <w:tcW w:w="488" w:type="pct"/>
            <w:tcBorders>
              <w:top w:val="nil"/>
            </w:tcBorders>
            <w:vAlign w:val="center"/>
          </w:tcPr>
          <w:p w14:paraId="2B580E08" w14:textId="77777777" w:rsidR="00383160" w:rsidRPr="00383160" w:rsidRDefault="00383160" w:rsidP="009F22A4">
            <w:pPr>
              <w:jc w:val="both"/>
              <w:rPr>
                <w:rFonts w:ascii="Arial" w:hAnsi="Arial" w:cs="Arial"/>
              </w:rPr>
            </w:pPr>
            <w:r w:rsidRPr="00383160">
              <w:rPr>
                <w:rFonts w:ascii="Arial" w:hAnsi="Arial" w:cs="Arial"/>
                <w:lang w:eastAsia="en-IN"/>
              </w:rPr>
              <w:t>2.73</w:t>
            </w:r>
          </w:p>
        </w:tc>
        <w:tc>
          <w:tcPr>
            <w:tcW w:w="487" w:type="pct"/>
            <w:tcBorders>
              <w:top w:val="nil"/>
            </w:tcBorders>
            <w:vAlign w:val="center"/>
          </w:tcPr>
          <w:p w14:paraId="6C1F1E79" w14:textId="77777777" w:rsidR="00383160" w:rsidRPr="00383160" w:rsidRDefault="00383160" w:rsidP="009F22A4">
            <w:pPr>
              <w:jc w:val="both"/>
              <w:rPr>
                <w:rFonts w:ascii="Arial" w:hAnsi="Arial" w:cs="Arial"/>
              </w:rPr>
            </w:pPr>
            <w:r w:rsidRPr="00383160">
              <w:rPr>
                <w:rFonts w:ascii="Arial" w:hAnsi="Arial" w:cs="Arial"/>
                <w:lang w:eastAsia="en-IN"/>
              </w:rPr>
              <w:t>0.53</w:t>
            </w:r>
          </w:p>
        </w:tc>
        <w:tc>
          <w:tcPr>
            <w:tcW w:w="488" w:type="pct"/>
            <w:tcBorders>
              <w:top w:val="nil"/>
            </w:tcBorders>
            <w:vAlign w:val="center"/>
          </w:tcPr>
          <w:p w14:paraId="00E0F26F" w14:textId="77777777" w:rsidR="00383160" w:rsidRPr="00383160" w:rsidRDefault="00383160" w:rsidP="009F22A4">
            <w:pPr>
              <w:jc w:val="both"/>
              <w:rPr>
                <w:rFonts w:ascii="Arial" w:hAnsi="Arial" w:cs="Arial"/>
              </w:rPr>
            </w:pPr>
            <w:r w:rsidRPr="00383160">
              <w:rPr>
                <w:rFonts w:ascii="Arial" w:hAnsi="Arial" w:cs="Arial"/>
                <w:lang w:eastAsia="en-IN"/>
              </w:rPr>
              <w:t>13.35</w:t>
            </w:r>
          </w:p>
        </w:tc>
        <w:tc>
          <w:tcPr>
            <w:tcW w:w="487" w:type="pct"/>
            <w:tcBorders>
              <w:top w:val="nil"/>
            </w:tcBorders>
          </w:tcPr>
          <w:p w14:paraId="50C14425" w14:textId="77777777" w:rsidR="00383160" w:rsidRPr="00383160" w:rsidRDefault="00383160" w:rsidP="009F22A4">
            <w:pPr>
              <w:jc w:val="both"/>
              <w:rPr>
                <w:rFonts w:ascii="Arial" w:hAnsi="Arial" w:cs="Arial"/>
                <w:lang w:eastAsia="en-IN"/>
              </w:rPr>
            </w:pPr>
            <w:r w:rsidRPr="00383160">
              <w:rPr>
                <w:rFonts w:ascii="Arial" w:hAnsi="Arial" w:cs="Arial"/>
              </w:rPr>
              <w:t>0.45</w:t>
            </w:r>
          </w:p>
        </w:tc>
        <w:tc>
          <w:tcPr>
            <w:tcW w:w="488" w:type="pct"/>
            <w:tcBorders>
              <w:top w:val="nil"/>
            </w:tcBorders>
          </w:tcPr>
          <w:p w14:paraId="216025A6" w14:textId="77777777" w:rsidR="00383160" w:rsidRPr="00383160" w:rsidRDefault="00383160" w:rsidP="009F22A4">
            <w:pPr>
              <w:jc w:val="both"/>
              <w:rPr>
                <w:rFonts w:ascii="Arial" w:hAnsi="Arial" w:cs="Arial"/>
                <w:lang w:eastAsia="en-IN"/>
              </w:rPr>
            </w:pPr>
            <w:r w:rsidRPr="00383160">
              <w:rPr>
                <w:rFonts w:ascii="Arial" w:hAnsi="Arial" w:cs="Arial"/>
              </w:rPr>
              <w:t>0.73</w:t>
            </w:r>
          </w:p>
        </w:tc>
        <w:tc>
          <w:tcPr>
            <w:tcW w:w="487" w:type="pct"/>
            <w:tcBorders>
              <w:top w:val="nil"/>
            </w:tcBorders>
          </w:tcPr>
          <w:p w14:paraId="009106F5" w14:textId="77777777" w:rsidR="00383160" w:rsidRPr="00383160" w:rsidRDefault="00383160" w:rsidP="009F22A4">
            <w:pPr>
              <w:jc w:val="both"/>
              <w:rPr>
                <w:rFonts w:ascii="Arial" w:hAnsi="Arial" w:cs="Arial"/>
                <w:lang w:eastAsia="en-IN"/>
              </w:rPr>
            </w:pPr>
            <w:r w:rsidRPr="00383160">
              <w:rPr>
                <w:rFonts w:ascii="Arial" w:hAnsi="Arial" w:cs="Arial"/>
              </w:rPr>
              <w:t>382.68</w:t>
            </w:r>
          </w:p>
        </w:tc>
        <w:tc>
          <w:tcPr>
            <w:tcW w:w="488" w:type="pct"/>
            <w:tcBorders>
              <w:top w:val="nil"/>
            </w:tcBorders>
          </w:tcPr>
          <w:p w14:paraId="56C49A94" w14:textId="77777777" w:rsidR="00383160" w:rsidRPr="00383160" w:rsidRDefault="00383160" w:rsidP="009F22A4">
            <w:pPr>
              <w:jc w:val="both"/>
              <w:rPr>
                <w:rFonts w:ascii="Arial" w:hAnsi="Arial" w:cs="Arial"/>
                <w:lang w:eastAsia="en-IN"/>
              </w:rPr>
            </w:pPr>
            <w:r w:rsidRPr="00383160">
              <w:rPr>
                <w:rFonts w:ascii="Arial" w:hAnsi="Arial" w:cs="Arial"/>
              </w:rPr>
              <w:t>379.33</w:t>
            </w:r>
          </w:p>
        </w:tc>
      </w:tr>
    </w:tbl>
    <w:p w14:paraId="553BB4DA" w14:textId="77777777" w:rsidR="00383160" w:rsidRDefault="00383160" w:rsidP="00383160">
      <w:pPr>
        <w:pStyle w:val="BodyText3"/>
        <w:tabs>
          <w:tab w:val="left" w:pos="1080"/>
        </w:tabs>
        <w:spacing w:after="0"/>
        <w:ind w:left="1080" w:hanging="1080"/>
        <w:jc w:val="both"/>
        <w:rPr>
          <w:rFonts w:ascii="Arial" w:hAnsi="Arial"/>
          <w:bCs/>
          <w:i/>
          <w:sz w:val="18"/>
        </w:rPr>
      </w:pPr>
      <w:r w:rsidRPr="00D00F87">
        <w:rPr>
          <w:rFonts w:ascii="Arial" w:hAnsi="Arial"/>
          <w:bCs/>
          <w:i/>
          <w:sz w:val="18"/>
        </w:rPr>
        <w:t>** Significant at 1% level, * Significant at 5% level</w:t>
      </w:r>
    </w:p>
    <w:p w14:paraId="531E625B" w14:textId="5FD1E37F" w:rsidR="00D00F87" w:rsidRPr="00D00F87" w:rsidRDefault="00D00F87" w:rsidP="00D00F87">
      <w:pPr>
        <w:widowControl w:val="0"/>
        <w:tabs>
          <w:tab w:val="left" w:pos="360"/>
        </w:tabs>
        <w:autoSpaceDE w:val="0"/>
        <w:autoSpaceDN w:val="0"/>
        <w:spacing w:after="60"/>
        <w:jc w:val="both"/>
        <w:rPr>
          <w:rFonts w:ascii="Arial" w:hAnsi="Arial" w:cs="Arial"/>
          <w:bCs/>
          <w:lang w:bidi="en-US"/>
        </w:rPr>
      </w:pPr>
      <w:r w:rsidRPr="00D00F87">
        <w:rPr>
          <w:rFonts w:ascii="Arial" w:hAnsi="Arial" w:cs="Arial"/>
          <w:b/>
          <w:lang w:bidi="en-US"/>
        </w:rPr>
        <w:t>Table 2: Estimates of genetic parameters in parents and selected RILs for morphological traits</w:t>
      </w:r>
    </w:p>
    <w:tbl>
      <w:tblPr>
        <w:tblW w:w="5000" w:type="pct"/>
        <w:jc w:val="center"/>
        <w:tblLook w:val="0420" w:firstRow="1" w:lastRow="0" w:firstColumn="0" w:lastColumn="0" w:noHBand="0" w:noVBand="1"/>
      </w:tblPr>
      <w:tblGrid>
        <w:gridCol w:w="1500"/>
        <w:gridCol w:w="1501"/>
        <w:gridCol w:w="1501"/>
        <w:gridCol w:w="1377"/>
        <w:gridCol w:w="1582"/>
        <w:gridCol w:w="1379"/>
        <w:gridCol w:w="1964"/>
        <w:gridCol w:w="1577"/>
      </w:tblGrid>
      <w:tr w:rsidR="00D00F87" w:rsidRPr="00D00F87" w14:paraId="78A316F9" w14:textId="77777777" w:rsidTr="00D00F87">
        <w:trPr>
          <w:trHeight w:val="397"/>
          <w:jc w:val="center"/>
        </w:trPr>
        <w:tc>
          <w:tcPr>
            <w:tcW w:w="606" w:type="pct"/>
            <w:tcBorders>
              <w:top w:val="single" w:sz="4" w:space="0" w:color="auto"/>
              <w:bottom w:val="single" w:sz="4" w:space="0" w:color="auto"/>
            </w:tcBorders>
            <w:vAlign w:val="center"/>
            <w:hideMark/>
          </w:tcPr>
          <w:p w14:paraId="0B542112"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Trait</w:t>
            </w:r>
          </w:p>
        </w:tc>
        <w:tc>
          <w:tcPr>
            <w:tcW w:w="606" w:type="pct"/>
            <w:tcBorders>
              <w:top w:val="single" w:sz="4" w:space="0" w:color="auto"/>
              <w:bottom w:val="single" w:sz="4" w:space="0" w:color="auto"/>
            </w:tcBorders>
            <w:vAlign w:val="center"/>
            <w:hideMark/>
          </w:tcPr>
          <w:p w14:paraId="358563C4"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Mean</w:t>
            </w:r>
          </w:p>
        </w:tc>
        <w:tc>
          <w:tcPr>
            <w:tcW w:w="606" w:type="pct"/>
            <w:tcBorders>
              <w:top w:val="single" w:sz="4" w:space="0" w:color="auto"/>
              <w:bottom w:val="single" w:sz="4" w:space="0" w:color="auto"/>
            </w:tcBorders>
            <w:vAlign w:val="center"/>
            <w:hideMark/>
          </w:tcPr>
          <w:p w14:paraId="595120D5"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Std. Error</w:t>
            </w:r>
          </w:p>
        </w:tc>
        <w:tc>
          <w:tcPr>
            <w:tcW w:w="556" w:type="pct"/>
            <w:tcBorders>
              <w:top w:val="single" w:sz="4" w:space="0" w:color="auto"/>
              <w:bottom w:val="single" w:sz="4" w:space="0" w:color="auto"/>
            </w:tcBorders>
            <w:vAlign w:val="center"/>
            <w:hideMark/>
          </w:tcPr>
          <w:p w14:paraId="186561EC"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PCV</w:t>
            </w:r>
          </w:p>
          <w:p w14:paraId="046A6CB6"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639" w:type="pct"/>
            <w:tcBorders>
              <w:top w:val="single" w:sz="4" w:space="0" w:color="auto"/>
              <w:bottom w:val="single" w:sz="4" w:space="0" w:color="auto"/>
            </w:tcBorders>
            <w:vAlign w:val="center"/>
            <w:hideMark/>
          </w:tcPr>
          <w:p w14:paraId="01D92AA8"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GCV</w:t>
            </w:r>
          </w:p>
          <w:p w14:paraId="03462CC7"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557" w:type="pct"/>
            <w:tcBorders>
              <w:top w:val="single" w:sz="4" w:space="0" w:color="auto"/>
              <w:bottom w:val="single" w:sz="4" w:space="0" w:color="auto"/>
            </w:tcBorders>
            <w:vAlign w:val="center"/>
            <w:hideMark/>
          </w:tcPr>
          <w:p w14:paraId="3630752F"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ECV</w:t>
            </w:r>
          </w:p>
          <w:p w14:paraId="7C0C60F6"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793" w:type="pct"/>
            <w:tcBorders>
              <w:top w:val="single" w:sz="4" w:space="0" w:color="auto"/>
              <w:bottom w:val="single" w:sz="4" w:space="0" w:color="auto"/>
            </w:tcBorders>
            <w:vAlign w:val="center"/>
            <w:hideMark/>
          </w:tcPr>
          <w:p w14:paraId="01F0AE37"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Heritability</w:t>
            </w:r>
          </w:p>
          <w:p w14:paraId="09581660"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(bs)</w:t>
            </w:r>
          </w:p>
          <w:p w14:paraId="135F22AB"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w:t>
            </w:r>
          </w:p>
        </w:tc>
        <w:tc>
          <w:tcPr>
            <w:tcW w:w="637" w:type="pct"/>
            <w:tcBorders>
              <w:top w:val="single" w:sz="4" w:space="0" w:color="auto"/>
              <w:bottom w:val="single" w:sz="4" w:space="0" w:color="auto"/>
            </w:tcBorders>
            <w:vAlign w:val="center"/>
            <w:hideMark/>
          </w:tcPr>
          <w:p w14:paraId="43C1B0A9"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Genetic advance as % of mean</w:t>
            </w:r>
          </w:p>
        </w:tc>
      </w:tr>
      <w:tr w:rsidR="00D00F87" w:rsidRPr="00D00F87" w14:paraId="12C0F390" w14:textId="77777777" w:rsidTr="00D00F87">
        <w:trPr>
          <w:trHeight w:val="397"/>
          <w:jc w:val="center"/>
        </w:trPr>
        <w:tc>
          <w:tcPr>
            <w:tcW w:w="606" w:type="pct"/>
            <w:tcBorders>
              <w:top w:val="single" w:sz="4" w:space="0" w:color="auto"/>
            </w:tcBorders>
            <w:vAlign w:val="center"/>
            <w:hideMark/>
          </w:tcPr>
          <w:p w14:paraId="23B5533B"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PH</w:t>
            </w:r>
          </w:p>
        </w:tc>
        <w:tc>
          <w:tcPr>
            <w:tcW w:w="606" w:type="pct"/>
            <w:tcBorders>
              <w:top w:val="single" w:sz="4" w:space="0" w:color="auto"/>
            </w:tcBorders>
            <w:vAlign w:val="center"/>
            <w:hideMark/>
          </w:tcPr>
          <w:p w14:paraId="7E46D32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85.32</w:t>
            </w:r>
          </w:p>
        </w:tc>
        <w:tc>
          <w:tcPr>
            <w:tcW w:w="606" w:type="pct"/>
            <w:tcBorders>
              <w:top w:val="single" w:sz="4" w:space="0" w:color="auto"/>
            </w:tcBorders>
            <w:vAlign w:val="center"/>
            <w:hideMark/>
          </w:tcPr>
          <w:p w14:paraId="7E204FE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0.54</w:t>
            </w:r>
          </w:p>
        </w:tc>
        <w:tc>
          <w:tcPr>
            <w:tcW w:w="556" w:type="pct"/>
            <w:tcBorders>
              <w:top w:val="single" w:sz="4" w:space="0" w:color="auto"/>
            </w:tcBorders>
            <w:vAlign w:val="center"/>
            <w:hideMark/>
          </w:tcPr>
          <w:p w14:paraId="38A5E96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7.57</w:t>
            </w:r>
          </w:p>
        </w:tc>
        <w:tc>
          <w:tcPr>
            <w:tcW w:w="639" w:type="pct"/>
            <w:tcBorders>
              <w:top w:val="single" w:sz="4" w:space="0" w:color="auto"/>
            </w:tcBorders>
            <w:vAlign w:val="center"/>
            <w:hideMark/>
          </w:tcPr>
          <w:p w14:paraId="4FF896FF"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7.40</w:t>
            </w:r>
          </w:p>
        </w:tc>
        <w:tc>
          <w:tcPr>
            <w:tcW w:w="557" w:type="pct"/>
            <w:tcBorders>
              <w:top w:val="single" w:sz="4" w:space="0" w:color="auto"/>
            </w:tcBorders>
            <w:vAlign w:val="center"/>
            <w:hideMark/>
          </w:tcPr>
          <w:p w14:paraId="0EC58869"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1.61</w:t>
            </w:r>
          </w:p>
        </w:tc>
        <w:tc>
          <w:tcPr>
            <w:tcW w:w="793" w:type="pct"/>
            <w:tcBorders>
              <w:top w:val="single" w:sz="4" w:space="0" w:color="auto"/>
            </w:tcBorders>
            <w:vAlign w:val="center"/>
            <w:hideMark/>
          </w:tcPr>
          <w:p w14:paraId="4B0EDA7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95.48</w:t>
            </w:r>
          </w:p>
        </w:tc>
        <w:tc>
          <w:tcPr>
            <w:tcW w:w="637" w:type="pct"/>
            <w:tcBorders>
              <w:top w:val="single" w:sz="4" w:space="0" w:color="auto"/>
            </w:tcBorders>
            <w:vAlign w:val="center"/>
            <w:hideMark/>
          </w:tcPr>
          <w:p w14:paraId="13DFFB8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14.91</w:t>
            </w:r>
          </w:p>
        </w:tc>
      </w:tr>
      <w:tr w:rsidR="00D00F87" w:rsidRPr="00D00F87" w14:paraId="1CF6CFB7" w14:textId="77777777" w:rsidTr="009F22A4">
        <w:trPr>
          <w:trHeight w:val="397"/>
          <w:jc w:val="center"/>
        </w:trPr>
        <w:tc>
          <w:tcPr>
            <w:tcW w:w="606" w:type="pct"/>
            <w:vAlign w:val="center"/>
            <w:hideMark/>
          </w:tcPr>
          <w:p w14:paraId="0F4C916A"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NTM</w:t>
            </w:r>
          </w:p>
        </w:tc>
        <w:tc>
          <w:tcPr>
            <w:tcW w:w="606" w:type="pct"/>
            <w:vAlign w:val="center"/>
            <w:hideMark/>
          </w:tcPr>
          <w:p w14:paraId="0773488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108.00</w:t>
            </w:r>
          </w:p>
        </w:tc>
        <w:tc>
          <w:tcPr>
            <w:tcW w:w="606" w:type="pct"/>
            <w:vAlign w:val="center"/>
            <w:hideMark/>
          </w:tcPr>
          <w:p w14:paraId="6CB245A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1.90</w:t>
            </w:r>
          </w:p>
        </w:tc>
        <w:tc>
          <w:tcPr>
            <w:tcW w:w="556" w:type="pct"/>
            <w:vAlign w:val="center"/>
            <w:hideMark/>
          </w:tcPr>
          <w:p w14:paraId="0E26CCA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20.80</w:t>
            </w:r>
          </w:p>
        </w:tc>
        <w:tc>
          <w:tcPr>
            <w:tcW w:w="639" w:type="pct"/>
            <w:vAlign w:val="center"/>
            <w:hideMark/>
          </w:tcPr>
          <w:p w14:paraId="0185999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20.74</w:t>
            </w:r>
          </w:p>
        </w:tc>
        <w:tc>
          <w:tcPr>
            <w:tcW w:w="557" w:type="pct"/>
            <w:vAlign w:val="center"/>
            <w:hideMark/>
          </w:tcPr>
          <w:p w14:paraId="7D62839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1.53</w:t>
            </w:r>
          </w:p>
        </w:tc>
        <w:tc>
          <w:tcPr>
            <w:tcW w:w="793" w:type="pct"/>
            <w:vAlign w:val="center"/>
            <w:hideMark/>
          </w:tcPr>
          <w:p w14:paraId="475FC94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99.46</w:t>
            </w:r>
          </w:p>
        </w:tc>
        <w:tc>
          <w:tcPr>
            <w:tcW w:w="637" w:type="pct"/>
            <w:vAlign w:val="center"/>
            <w:hideMark/>
          </w:tcPr>
          <w:p w14:paraId="40B93A1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42.68</w:t>
            </w:r>
          </w:p>
        </w:tc>
      </w:tr>
      <w:tr w:rsidR="00D00F87" w:rsidRPr="00D00F87" w14:paraId="23C11757" w14:textId="77777777" w:rsidTr="009F22A4">
        <w:trPr>
          <w:trHeight w:val="397"/>
          <w:jc w:val="center"/>
        </w:trPr>
        <w:tc>
          <w:tcPr>
            <w:tcW w:w="606" w:type="pct"/>
            <w:vAlign w:val="center"/>
            <w:hideMark/>
          </w:tcPr>
          <w:p w14:paraId="438B51E8"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NSS</w:t>
            </w:r>
          </w:p>
        </w:tc>
        <w:tc>
          <w:tcPr>
            <w:tcW w:w="606" w:type="pct"/>
            <w:vAlign w:val="center"/>
            <w:hideMark/>
          </w:tcPr>
          <w:p w14:paraId="52D2147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16.67</w:t>
            </w:r>
          </w:p>
        </w:tc>
        <w:tc>
          <w:tcPr>
            <w:tcW w:w="606" w:type="pct"/>
            <w:vAlign w:val="center"/>
            <w:hideMark/>
          </w:tcPr>
          <w:p w14:paraId="6068C5C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0.18</w:t>
            </w:r>
          </w:p>
        </w:tc>
        <w:tc>
          <w:tcPr>
            <w:tcW w:w="556" w:type="pct"/>
            <w:vAlign w:val="center"/>
            <w:hideMark/>
          </w:tcPr>
          <w:p w14:paraId="2E77DF8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11.47</w:t>
            </w:r>
          </w:p>
        </w:tc>
        <w:tc>
          <w:tcPr>
            <w:tcW w:w="639" w:type="pct"/>
            <w:vAlign w:val="center"/>
            <w:hideMark/>
          </w:tcPr>
          <w:p w14:paraId="47C7D48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10.60</w:t>
            </w:r>
          </w:p>
        </w:tc>
        <w:tc>
          <w:tcPr>
            <w:tcW w:w="557" w:type="pct"/>
            <w:vAlign w:val="center"/>
            <w:hideMark/>
          </w:tcPr>
          <w:p w14:paraId="5832052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4.38</w:t>
            </w:r>
          </w:p>
        </w:tc>
        <w:tc>
          <w:tcPr>
            <w:tcW w:w="793" w:type="pct"/>
            <w:vAlign w:val="center"/>
            <w:hideMark/>
          </w:tcPr>
          <w:p w14:paraId="11FBB003"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85.41</w:t>
            </w:r>
          </w:p>
        </w:tc>
        <w:tc>
          <w:tcPr>
            <w:tcW w:w="637" w:type="pct"/>
            <w:vAlign w:val="center"/>
            <w:hideMark/>
          </w:tcPr>
          <w:p w14:paraId="7F9C219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20.20</w:t>
            </w:r>
          </w:p>
        </w:tc>
      </w:tr>
      <w:tr w:rsidR="00D00F87" w:rsidRPr="00D00F87" w14:paraId="05053104" w14:textId="77777777" w:rsidTr="009F22A4">
        <w:trPr>
          <w:trHeight w:val="397"/>
          <w:jc w:val="center"/>
        </w:trPr>
        <w:tc>
          <w:tcPr>
            <w:tcW w:w="606" w:type="pct"/>
            <w:vAlign w:val="center"/>
            <w:hideMark/>
          </w:tcPr>
          <w:p w14:paraId="41A91FB9"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NGS</w:t>
            </w:r>
          </w:p>
        </w:tc>
        <w:tc>
          <w:tcPr>
            <w:tcW w:w="606" w:type="pct"/>
            <w:vAlign w:val="center"/>
            <w:hideMark/>
          </w:tcPr>
          <w:p w14:paraId="1032E21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36.57</w:t>
            </w:r>
          </w:p>
        </w:tc>
        <w:tc>
          <w:tcPr>
            <w:tcW w:w="606" w:type="pct"/>
            <w:vAlign w:val="center"/>
            <w:hideMark/>
          </w:tcPr>
          <w:p w14:paraId="0B192737"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0.60</w:t>
            </w:r>
          </w:p>
        </w:tc>
        <w:tc>
          <w:tcPr>
            <w:tcW w:w="556" w:type="pct"/>
            <w:vAlign w:val="center"/>
            <w:hideMark/>
          </w:tcPr>
          <w:p w14:paraId="5F0210B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18.85</w:t>
            </w:r>
          </w:p>
        </w:tc>
        <w:tc>
          <w:tcPr>
            <w:tcW w:w="639" w:type="pct"/>
            <w:vAlign w:val="center"/>
            <w:hideMark/>
          </w:tcPr>
          <w:p w14:paraId="6D473A7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15.99</w:t>
            </w:r>
          </w:p>
        </w:tc>
        <w:tc>
          <w:tcPr>
            <w:tcW w:w="557" w:type="pct"/>
            <w:vAlign w:val="center"/>
            <w:hideMark/>
          </w:tcPr>
          <w:p w14:paraId="609B54E7"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9.99</w:t>
            </w:r>
          </w:p>
        </w:tc>
        <w:tc>
          <w:tcPr>
            <w:tcW w:w="793" w:type="pct"/>
            <w:vAlign w:val="center"/>
            <w:hideMark/>
          </w:tcPr>
          <w:p w14:paraId="4215020D"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71.92</w:t>
            </w:r>
          </w:p>
        </w:tc>
        <w:tc>
          <w:tcPr>
            <w:tcW w:w="637" w:type="pct"/>
            <w:vAlign w:val="center"/>
            <w:hideMark/>
          </w:tcPr>
          <w:p w14:paraId="3AFC8849"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27.97</w:t>
            </w:r>
          </w:p>
        </w:tc>
      </w:tr>
      <w:tr w:rsidR="00D00F87" w:rsidRPr="00D00F87" w14:paraId="1D0E2B0B" w14:textId="77777777" w:rsidTr="009F22A4">
        <w:trPr>
          <w:trHeight w:val="397"/>
          <w:jc w:val="center"/>
        </w:trPr>
        <w:tc>
          <w:tcPr>
            <w:tcW w:w="606" w:type="pct"/>
            <w:vAlign w:val="center"/>
            <w:hideMark/>
          </w:tcPr>
          <w:p w14:paraId="3336076C"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TGW</w:t>
            </w:r>
          </w:p>
        </w:tc>
        <w:tc>
          <w:tcPr>
            <w:tcW w:w="606" w:type="pct"/>
            <w:vAlign w:val="center"/>
            <w:hideMark/>
          </w:tcPr>
          <w:p w14:paraId="3AC7911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43.72</w:t>
            </w:r>
          </w:p>
        </w:tc>
        <w:tc>
          <w:tcPr>
            <w:tcW w:w="606" w:type="pct"/>
            <w:vAlign w:val="center"/>
            <w:hideMark/>
          </w:tcPr>
          <w:p w14:paraId="151573C0"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0.44</w:t>
            </w:r>
          </w:p>
        </w:tc>
        <w:tc>
          <w:tcPr>
            <w:tcW w:w="556" w:type="pct"/>
            <w:vAlign w:val="center"/>
            <w:hideMark/>
          </w:tcPr>
          <w:p w14:paraId="73064B2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11.54</w:t>
            </w:r>
          </w:p>
        </w:tc>
        <w:tc>
          <w:tcPr>
            <w:tcW w:w="639" w:type="pct"/>
            <w:vAlign w:val="center"/>
            <w:hideMark/>
          </w:tcPr>
          <w:p w14:paraId="537E6FD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11.44</w:t>
            </w:r>
          </w:p>
        </w:tc>
        <w:tc>
          <w:tcPr>
            <w:tcW w:w="557" w:type="pct"/>
            <w:vAlign w:val="center"/>
            <w:hideMark/>
          </w:tcPr>
          <w:p w14:paraId="34963073"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1.53</w:t>
            </w:r>
          </w:p>
        </w:tc>
        <w:tc>
          <w:tcPr>
            <w:tcW w:w="793" w:type="pct"/>
            <w:vAlign w:val="center"/>
            <w:hideMark/>
          </w:tcPr>
          <w:p w14:paraId="00CD8A57"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98.25</w:t>
            </w:r>
          </w:p>
        </w:tc>
        <w:tc>
          <w:tcPr>
            <w:tcW w:w="637" w:type="pct"/>
            <w:vAlign w:val="center"/>
            <w:hideMark/>
          </w:tcPr>
          <w:p w14:paraId="6840E7EC"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23.38</w:t>
            </w:r>
          </w:p>
        </w:tc>
      </w:tr>
      <w:tr w:rsidR="00D00F87" w:rsidRPr="00D00F87" w14:paraId="5C749D0E" w14:textId="77777777" w:rsidTr="009F22A4">
        <w:trPr>
          <w:trHeight w:val="397"/>
          <w:jc w:val="center"/>
        </w:trPr>
        <w:tc>
          <w:tcPr>
            <w:tcW w:w="606" w:type="pct"/>
            <w:vAlign w:val="center"/>
            <w:hideMark/>
          </w:tcPr>
          <w:p w14:paraId="43960FED"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HI</w:t>
            </w:r>
          </w:p>
        </w:tc>
        <w:tc>
          <w:tcPr>
            <w:tcW w:w="606" w:type="pct"/>
            <w:vAlign w:val="center"/>
            <w:hideMark/>
          </w:tcPr>
          <w:p w14:paraId="6EEDC32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31.33</w:t>
            </w:r>
          </w:p>
        </w:tc>
        <w:tc>
          <w:tcPr>
            <w:tcW w:w="606" w:type="pct"/>
            <w:vAlign w:val="center"/>
            <w:hideMark/>
          </w:tcPr>
          <w:p w14:paraId="326470A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0.22</w:t>
            </w:r>
          </w:p>
        </w:tc>
        <w:tc>
          <w:tcPr>
            <w:tcW w:w="556" w:type="pct"/>
            <w:vAlign w:val="center"/>
            <w:hideMark/>
          </w:tcPr>
          <w:p w14:paraId="5242AD94"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8.46</w:t>
            </w:r>
          </w:p>
        </w:tc>
        <w:tc>
          <w:tcPr>
            <w:tcW w:w="639" w:type="pct"/>
            <w:vAlign w:val="center"/>
            <w:hideMark/>
          </w:tcPr>
          <w:p w14:paraId="6309EAB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8.01</w:t>
            </w:r>
          </w:p>
        </w:tc>
        <w:tc>
          <w:tcPr>
            <w:tcW w:w="557" w:type="pct"/>
            <w:vAlign w:val="center"/>
            <w:hideMark/>
          </w:tcPr>
          <w:p w14:paraId="0E7E7A8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2.72</w:t>
            </w:r>
          </w:p>
        </w:tc>
        <w:tc>
          <w:tcPr>
            <w:tcW w:w="793" w:type="pct"/>
            <w:vAlign w:val="center"/>
            <w:hideMark/>
          </w:tcPr>
          <w:p w14:paraId="252F2CD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89.64</w:t>
            </w:r>
          </w:p>
        </w:tc>
        <w:tc>
          <w:tcPr>
            <w:tcW w:w="637" w:type="pct"/>
            <w:vAlign w:val="center"/>
            <w:hideMark/>
          </w:tcPr>
          <w:p w14:paraId="1DD70201"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15.64</w:t>
            </w:r>
          </w:p>
        </w:tc>
      </w:tr>
      <w:tr w:rsidR="00D00F87" w:rsidRPr="00D00F87" w14:paraId="241E3765" w14:textId="77777777" w:rsidTr="00383160">
        <w:trPr>
          <w:trHeight w:val="397"/>
          <w:jc w:val="center"/>
        </w:trPr>
        <w:tc>
          <w:tcPr>
            <w:tcW w:w="606" w:type="pct"/>
            <w:vAlign w:val="center"/>
            <w:hideMark/>
          </w:tcPr>
          <w:p w14:paraId="00BA00E0"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BYP</w:t>
            </w:r>
          </w:p>
        </w:tc>
        <w:tc>
          <w:tcPr>
            <w:tcW w:w="606" w:type="pct"/>
            <w:vAlign w:val="center"/>
            <w:hideMark/>
          </w:tcPr>
          <w:p w14:paraId="7AC03C3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1369.19</w:t>
            </w:r>
          </w:p>
        </w:tc>
        <w:tc>
          <w:tcPr>
            <w:tcW w:w="606" w:type="pct"/>
            <w:vAlign w:val="center"/>
            <w:hideMark/>
          </w:tcPr>
          <w:p w14:paraId="3BD39FBE"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27.40</w:t>
            </w:r>
          </w:p>
        </w:tc>
        <w:tc>
          <w:tcPr>
            <w:tcW w:w="556" w:type="pct"/>
            <w:vAlign w:val="center"/>
            <w:hideMark/>
          </w:tcPr>
          <w:p w14:paraId="40A4083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24.05</w:t>
            </w:r>
          </w:p>
        </w:tc>
        <w:tc>
          <w:tcPr>
            <w:tcW w:w="639" w:type="pct"/>
            <w:vAlign w:val="center"/>
            <w:hideMark/>
          </w:tcPr>
          <w:p w14:paraId="6FDC687E"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24.01</w:t>
            </w:r>
          </w:p>
        </w:tc>
        <w:tc>
          <w:tcPr>
            <w:tcW w:w="557" w:type="pct"/>
            <w:vAlign w:val="center"/>
            <w:hideMark/>
          </w:tcPr>
          <w:p w14:paraId="75A1984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1.43</w:t>
            </w:r>
          </w:p>
        </w:tc>
        <w:tc>
          <w:tcPr>
            <w:tcW w:w="793" w:type="pct"/>
            <w:vAlign w:val="center"/>
            <w:hideMark/>
          </w:tcPr>
          <w:p w14:paraId="535C4C16"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98.65</w:t>
            </w:r>
          </w:p>
        </w:tc>
        <w:tc>
          <w:tcPr>
            <w:tcW w:w="637" w:type="pct"/>
            <w:vAlign w:val="center"/>
            <w:hideMark/>
          </w:tcPr>
          <w:p w14:paraId="16DFD5E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49.45</w:t>
            </w:r>
          </w:p>
        </w:tc>
      </w:tr>
      <w:tr w:rsidR="00D00F87" w:rsidRPr="00D00F87" w14:paraId="7832E1F0" w14:textId="77777777" w:rsidTr="00383160">
        <w:trPr>
          <w:trHeight w:val="397"/>
          <w:jc w:val="center"/>
        </w:trPr>
        <w:tc>
          <w:tcPr>
            <w:tcW w:w="606" w:type="pct"/>
            <w:tcBorders>
              <w:bottom w:val="single" w:sz="4" w:space="0" w:color="auto"/>
            </w:tcBorders>
            <w:vAlign w:val="center"/>
            <w:hideMark/>
          </w:tcPr>
          <w:p w14:paraId="363FD8D0" w14:textId="77777777" w:rsidR="00D00F87" w:rsidRPr="00D00F87" w:rsidRDefault="00D00F87" w:rsidP="00D00F87">
            <w:pPr>
              <w:pStyle w:val="Body"/>
              <w:spacing w:after="0"/>
              <w:rPr>
                <w:rFonts w:ascii="Arial" w:hAnsi="Arial" w:cs="Arial"/>
                <w:b/>
                <w:bCs/>
                <w:lang w:val="en-IN"/>
              </w:rPr>
            </w:pPr>
            <w:r w:rsidRPr="00D00F87">
              <w:rPr>
                <w:rFonts w:ascii="Arial" w:hAnsi="Arial" w:cs="Arial"/>
                <w:b/>
                <w:bCs/>
                <w:lang w:val="en-IN"/>
              </w:rPr>
              <w:t>GYP</w:t>
            </w:r>
          </w:p>
        </w:tc>
        <w:tc>
          <w:tcPr>
            <w:tcW w:w="606" w:type="pct"/>
            <w:tcBorders>
              <w:bottom w:val="single" w:sz="4" w:space="0" w:color="auto"/>
            </w:tcBorders>
            <w:vAlign w:val="center"/>
            <w:hideMark/>
          </w:tcPr>
          <w:p w14:paraId="4A6D631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429.97</w:t>
            </w:r>
          </w:p>
        </w:tc>
        <w:tc>
          <w:tcPr>
            <w:tcW w:w="606" w:type="pct"/>
            <w:tcBorders>
              <w:bottom w:val="single" w:sz="4" w:space="0" w:color="auto"/>
            </w:tcBorders>
            <w:vAlign w:val="center"/>
            <w:hideMark/>
          </w:tcPr>
          <w:p w14:paraId="617FB77B"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9.60</w:t>
            </w:r>
          </w:p>
        </w:tc>
        <w:tc>
          <w:tcPr>
            <w:tcW w:w="556" w:type="pct"/>
            <w:tcBorders>
              <w:bottom w:val="single" w:sz="4" w:space="0" w:color="auto"/>
            </w:tcBorders>
            <w:vAlign w:val="center"/>
            <w:hideMark/>
          </w:tcPr>
          <w:p w14:paraId="7BAEDE1E"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25.91</w:t>
            </w:r>
          </w:p>
        </w:tc>
        <w:tc>
          <w:tcPr>
            <w:tcW w:w="639" w:type="pct"/>
            <w:tcBorders>
              <w:bottom w:val="single" w:sz="4" w:space="0" w:color="auto"/>
            </w:tcBorders>
            <w:vAlign w:val="center"/>
            <w:hideMark/>
          </w:tcPr>
          <w:p w14:paraId="7E8C2F70"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25.52</w:t>
            </w:r>
          </w:p>
        </w:tc>
        <w:tc>
          <w:tcPr>
            <w:tcW w:w="557" w:type="pct"/>
            <w:tcBorders>
              <w:bottom w:val="single" w:sz="4" w:space="0" w:color="auto"/>
            </w:tcBorders>
            <w:vAlign w:val="center"/>
            <w:hideMark/>
          </w:tcPr>
          <w:p w14:paraId="6304D658"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4.53</w:t>
            </w:r>
          </w:p>
        </w:tc>
        <w:tc>
          <w:tcPr>
            <w:tcW w:w="793" w:type="pct"/>
            <w:tcBorders>
              <w:bottom w:val="single" w:sz="4" w:space="0" w:color="auto"/>
            </w:tcBorders>
            <w:vAlign w:val="center"/>
            <w:hideMark/>
          </w:tcPr>
          <w:p w14:paraId="4B9FD525"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96.94</w:t>
            </w:r>
          </w:p>
        </w:tc>
        <w:tc>
          <w:tcPr>
            <w:tcW w:w="637" w:type="pct"/>
            <w:tcBorders>
              <w:bottom w:val="single" w:sz="4" w:space="0" w:color="auto"/>
            </w:tcBorders>
            <w:vAlign w:val="center"/>
            <w:hideMark/>
          </w:tcPr>
          <w:p w14:paraId="4DC0CADA" w14:textId="77777777" w:rsidR="00D00F87" w:rsidRPr="00D00F87" w:rsidRDefault="00D00F87" w:rsidP="00D00F87">
            <w:pPr>
              <w:pStyle w:val="Body"/>
              <w:spacing w:after="0"/>
              <w:rPr>
                <w:rFonts w:ascii="Arial" w:hAnsi="Arial" w:cs="Arial"/>
                <w:lang w:val="en-IN"/>
              </w:rPr>
            </w:pPr>
            <w:r w:rsidRPr="00D00F87">
              <w:rPr>
                <w:rFonts w:ascii="Arial" w:hAnsi="Arial" w:cs="Arial"/>
                <w:lang w:val="en-IN"/>
              </w:rPr>
              <w:t>51.83</w:t>
            </w:r>
          </w:p>
        </w:tc>
      </w:tr>
    </w:tbl>
    <w:p w14:paraId="62C905CF" w14:textId="77777777" w:rsidR="00D00F87" w:rsidRDefault="00D00F87" w:rsidP="00D00F87">
      <w:pPr>
        <w:pStyle w:val="Body"/>
        <w:spacing w:after="0"/>
        <w:rPr>
          <w:rFonts w:ascii="Arial" w:hAnsi="Arial" w:cs="Arial"/>
        </w:rPr>
      </w:pPr>
    </w:p>
    <w:p w14:paraId="304358F9" w14:textId="77777777" w:rsidR="00376BBE" w:rsidRDefault="00376BBE" w:rsidP="00441B6F">
      <w:pPr>
        <w:pStyle w:val="Body"/>
        <w:spacing w:after="0"/>
        <w:rPr>
          <w:rFonts w:ascii="Arial" w:hAnsi="Arial" w:cs="Arial"/>
        </w:rPr>
      </w:pPr>
    </w:p>
    <w:p w14:paraId="636A8024" w14:textId="77777777" w:rsidR="00383160" w:rsidRDefault="00383160" w:rsidP="00441B6F">
      <w:pPr>
        <w:pStyle w:val="Body"/>
        <w:spacing w:after="0"/>
        <w:rPr>
          <w:rFonts w:ascii="Arial" w:hAnsi="Arial" w:cs="Arial"/>
          <w:i/>
        </w:rPr>
        <w:sectPr w:rsidR="00383160" w:rsidSect="006F01BD">
          <w:pgSz w:w="15840" w:h="12240" w:orient="landscape" w:code="1"/>
          <w:pgMar w:top="2019" w:right="1440" w:bottom="2019" w:left="2019" w:header="720" w:footer="1123" w:gutter="0"/>
          <w:cols w:space="720"/>
          <w:docGrid w:linePitch="272"/>
        </w:sectPr>
      </w:pPr>
    </w:p>
    <w:p w14:paraId="65AAE672" w14:textId="77777777" w:rsidR="00686F66" w:rsidRPr="00686F66" w:rsidRDefault="00686F66" w:rsidP="00686F66">
      <w:pPr>
        <w:pStyle w:val="Body"/>
        <w:rPr>
          <w:rFonts w:ascii="Arial" w:hAnsi="Arial" w:cs="Arial"/>
          <w:b/>
          <w:bCs/>
          <w:iCs/>
          <w:sz w:val="22"/>
          <w:szCs w:val="22"/>
        </w:rPr>
      </w:pPr>
      <w:r w:rsidRPr="00686F66">
        <w:rPr>
          <w:rFonts w:ascii="Arial" w:hAnsi="Arial" w:cs="Arial"/>
          <w:b/>
          <w:bCs/>
          <w:iCs/>
          <w:sz w:val="22"/>
          <w:szCs w:val="22"/>
        </w:rPr>
        <w:lastRenderedPageBreak/>
        <w:t xml:space="preserve">3.3 Correlation analysis </w:t>
      </w:r>
    </w:p>
    <w:p w14:paraId="68578A4A" w14:textId="77777777" w:rsidR="00686F66" w:rsidRPr="00686F66" w:rsidRDefault="00686F66" w:rsidP="00686F66">
      <w:pPr>
        <w:pStyle w:val="Body"/>
        <w:rPr>
          <w:rFonts w:ascii="Arial" w:hAnsi="Arial" w:cs="Arial"/>
          <w:iCs/>
        </w:rPr>
      </w:pPr>
      <w:r w:rsidRPr="00686F66">
        <w:rPr>
          <w:rFonts w:ascii="Arial" w:hAnsi="Arial" w:cs="Arial"/>
          <w:iCs/>
        </w:rPr>
        <w:t xml:space="preserve">Phenotypic correlation indicates the degree and direction of association of various morphological characters among themselves and with grain yield (Singh </w:t>
      </w:r>
      <w:r w:rsidRPr="006C1ECF">
        <w:rPr>
          <w:rFonts w:ascii="Arial" w:hAnsi="Arial" w:cs="Arial"/>
          <w:i/>
        </w:rPr>
        <w:t>et al.,</w:t>
      </w:r>
      <w:r w:rsidRPr="00686F66">
        <w:rPr>
          <w:rFonts w:ascii="Arial" w:hAnsi="Arial" w:cs="Arial"/>
          <w:iCs/>
        </w:rPr>
        <w:t xml:space="preserve"> 2021). Information about the correlation among the characters is a prerequisite for the development of an effective selection strategy aiming at improving grain yield.</w:t>
      </w:r>
    </w:p>
    <w:p w14:paraId="016121C9" w14:textId="47A4A454" w:rsidR="00686F66" w:rsidRPr="00686F66" w:rsidRDefault="00686F66" w:rsidP="00686F66">
      <w:pPr>
        <w:pStyle w:val="Body"/>
        <w:rPr>
          <w:rFonts w:ascii="Arial" w:hAnsi="Arial" w:cs="Arial"/>
          <w:iCs/>
        </w:rPr>
      </w:pPr>
      <w:r w:rsidRPr="00686F66">
        <w:rPr>
          <w:rFonts w:ascii="Arial" w:hAnsi="Arial" w:cs="Arial"/>
          <w:iCs/>
        </w:rPr>
        <w:t xml:space="preserve">Association between different traits and grain yield can be explored by correlation analysis (Table 3). The grain yield per plot had significant and positive correlation with number of tillers per meter (0.487), number of </w:t>
      </w:r>
      <w:proofErr w:type="spellStart"/>
      <w:r w:rsidRPr="00686F66">
        <w:rPr>
          <w:rFonts w:ascii="Arial" w:hAnsi="Arial" w:cs="Arial"/>
          <w:iCs/>
        </w:rPr>
        <w:t>spikelets</w:t>
      </w:r>
      <w:proofErr w:type="spellEnd"/>
      <w:r w:rsidRPr="00686F66">
        <w:rPr>
          <w:rFonts w:ascii="Arial" w:hAnsi="Arial" w:cs="Arial"/>
          <w:iCs/>
        </w:rPr>
        <w:t xml:space="preserve"> per spike (0.348), number of grains per spike (0.218), thousand grain weight (0.257), harvest index (0.499) and biological yield per plot (0.932). This indicates selection for these traits will ultimately lead to increase in grain yield during crop improvement </w:t>
      </w:r>
      <w:proofErr w:type="spellStart"/>
      <w:r w:rsidRPr="00686F66">
        <w:rPr>
          <w:rFonts w:ascii="Arial" w:hAnsi="Arial" w:cs="Arial"/>
          <w:iCs/>
        </w:rPr>
        <w:t>programme</w:t>
      </w:r>
      <w:proofErr w:type="spellEnd"/>
      <w:r w:rsidRPr="00686F66">
        <w:rPr>
          <w:rFonts w:ascii="Arial" w:hAnsi="Arial" w:cs="Arial"/>
          <w:iCs/>
        </w:rPr>
        <w:t>.</w:t>
      </w:r>
    </w:p>
    <w:p w14:paraId="0659DAE3" w14:textId="10F01185" w:rsidR="00686F66" w:rsidRDefault="00686F66" w:rsidP="00686F66">
      <w:pPr>
        <w:pStyle w:val="Body"/>
        <w:rPr>
          <w:rFonts w:ascii="Arial" w:hAnsi="Arial" w:cs="Arial"/>
          <w:iCs/>
        </w:rPr>
      </w:pPr>
      <w:r w:rsidRPr="00686F66">
        <w:rPr>
          <w:rFonts w:ascii="Arial" w:hAnsi="Arial" w:cs="Arial"/>
          <w:iCs/>
        </w:rPr>
        <w:t xml:space="preserve">Biological yield per plot had significant positive correlation with number of tillers per meter (0.519), number of </w:t>
      </w:r>
      <w:proofErr w:type="spellStart"/>
      <w:r w:rsidRPr="00686F66">
        <w:rPr>
          <w:rFonts w:ascii="Arial" w:hAnsi="Arial" w:cs="Arial"/>
          <w:iCs/>
        </w:rPr>
        <w:t>spikelets</w:t>
      </w:r>
      <w:proofErr w:type="spellEnd"/>
      <w:r w:rsidRPr="00686F66">
        <w:rPr>
          <w:rFonts w:ascii="Arial" w:hAnsi="Arial" w:cs="Arial"/>
          <w:iCs/>
        </w:rPr>
        <w:t xml:space="preserve"> per spike (0.347), number of grains per spike (0.193) and thousand grain weight (0.257). Hence, increase in these traits will increase biological yield per plot. Number of grains per spike was significant and positively correlated with number of </w:t>
      </w:r>
      <w:proofErr w:type="spellStart"/>
      <w:r w:rsidRPr="00686F66">
        <w:rPr>
          <w:rFonts w:ascii="Arial" w:hAnsi="Arial" w:cs="Arial"/>
          <w:iCs/>
        </w:rPr>
        <w:t>spikelets</w:t>
      </w:r>
      <w:proofErr w:type="spellEnd"/>
      <w:r w:rsidRPr="00686F66">
        <w:rPr>
          <w:rFonts w:ascii="Arial" w:hAnsi="Arial" w:cs="Arial"/>
          <w:iCs/>
        </w:rPr>
        <w:t xml:space="preserve"> per spike (0.295). Number of </w:t>
      </w:r>
      <w:proofErr w:type="spellStart"/>
      <w:r w:rsidRPr="00686F66">
        <w:rPr>
          <w:rFonts w:ascii="Arial" w:hAnsi="Arial" w:cs="Arial"/>
          <w:iCs/>
        </w:rPr>
        <w:t>spikelets</w:t>
      </w:r>
      <w:proofErr w:type="spellEnd"/>
      <w:r w:rsidRPr="00686F66">
        <w:rPr>
          <w:rFonts w:ascii="Arial" w:hAnsi="Arial" w:cs="Arial"/>
          <w:iCs/>
        </w:rPr>
        <w:t xml:space="preserve"> per spike was significant and positively correlated with number of tillers per meter (0.206), suggesting that these traits could be improved simultaneously.</w:t>
      </w:r>
    </w:p>
    <w:p w14:paraId="20EC67E7" w14:textId="09FCE77A" w:rsidR="00686F66" w:rsidRDefault="00686F66" w:rsidP="00B4030D">
      <w:pPr>
        <w:pStyle w:val="Body"/>
        <w:spacing w:after="0"/>
        <w:rPr>
          <w:rFonts w:ascii="Arial" w:hAnsi="Arial" w:cs="Arial"/>
          <w:b/>
          <w:lang w:bidi="en-US"/>
        </w:rPr>
      </w:pPr>
      <w:r w:rsidRPr="00686F66">
        <w:rPr>
          <w:rFonts w:ascii="Arial" w:hAnsi="Arial" w:cs="Arial"/>
          <w:b/>
          <w:lang w:bidi="en-US"/>
        </w:rPr>
        <w:t xml:space="preserve"> Table 3</w:t>
      </w:r>
      <w:r>
        <w:rPr>
          <w:rFonts w:ascii="Arial" w:hAnsi="Arial" w:cs="Arial"/>
          <w:b/>
          <w:lang w:bidi="en-US"/>
        </w:rPr>
        <w:t>.</w:t>
      </w:r>
      <w:r w:rsidRPr="00686F66">
        <w:rPr>
          <w:rFonts w:ascii="Arial" w:hAnsi="Arial" w:cs="Arial"/>
          <w:b/>
          <w:lang w:bidi="en-US"/>
        </w:rPr>
        <w:t xml:space="preserve"> Phenotypic correlation coefficients among grain yield per plot and various morphological traits in recombinant inbred lines</w:t>
      </w:r>
    </w:p>
    <w:tbl>
      <w:tblPr>
        <w:tblStyle w:val="TableGrid1"/>
        <w:tblpPr w:leftFromText="180" w:rightFromText="180" w:vertAnchor="page" w:horzAnchor="margin" w:tblpY="7295"/>
        <w:tblW w:w="4952"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
        <w:gridCol w:w="904"/>
        <w:gridCol w:w="904"/>
        <w:gridCol w:w="904"/>
        <w:gridCol w:w="904"/>
        <w:gridCol w:w="904"/>
        <w:gridCol w:w="904"/>
        <w:gridCol w:w="904"/>
        <w:gridCol w:w="899"/>
      </w:tblGrid>
      <w:tr w:rsidR="00686F66" w:rsidRPr="00686F66" w14:paraId="20C16826" w14:textId="77777777" w:rsidTr="00686F66">
        <w:trPr>
          <w:trHeight w:val="328"/>
        </w:trPr>
        <w:tc>
          <w:tcPr>
            <w:tcW w:w="554" w:type="pct"/>
            <w:tcBorders>
              <w:top w:val="single" w:sz="4" w:space="0" w:color="auto"/>
              <w:bottom w:val="single" w:sz="4" w:space="0" w:color="auto"/>
            </w:tcBorders>
            <w:vAlign w:val="center"/>
            <w:hideMark/>
          </w:tcPr>
          <w:p w14:paraId="3D8CDF83"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bookmarkStart w:id="2" w:name="_Hlk171628668"/>
          </w:p>
        </w:tc>
        <w:tc>
          <w:tcPr>
            <w:tcW w:w="556" w:type="pct"/>
            <w:tcBorders>
              <w:top w:val="single" w:sz="4" w:space="0" w:color="auto"/>
              <w:bottom w:val="single" w:sz="4" w:space="0" w:color="auto"/>
            </w:tcBorders>
            <w:vAlign w:val="center"/>
            <w:hideMark/>
          </w:tcPr>
          <w:p w14:paraId="6067791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PH</w:t>
            </w:r>
          </w:p>
        </w:tc>
        <w:tc>
          <w:tcPr>
            <w:tcW w:w="556" w:type="pct"/>
            <w:tcBorders>
              <w:top w:val="single" w:sz="4" w:space="0" w:color="auto"/>
              <w:bottom w:val="single" w:sz="4" w:space="0" w:color="auto"/>
            </w:tcBorders>
            <w:vAlign w:val="center"/>
            <w:hideMark/>
          </w:tcPr>
          <w:p w14:paraId="7C9E13D1"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NTM</w:t>
            </w:r>
          </w:p>
        </w:tc>
        <w:tc>
          <w:tcPr>
            <w:tcW w:w="556" w:type="pct"/>
            <w:tcBorders>
              <w:top w:val="single" w:sz="4" w:space="0" w:color="auto"/>
              <w:bottom w:val="single" w:sz="4" w:space="0" w:color="auto"/>
            </w:tcBorders>
            <w:vAlign w:val="center"/>
            <w:hideMark/>
          </w:tcPr>
          <w:p w14:paraId="576B214D"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NSS</w:t>
            </w:r>
          </w:p>
        </w:tc>
        <w:tc>
          <w:tcPr>
            <w:tcW w:w="556" w:type="pct"/>
            <w:tcBorders>
              <w:top w:val="single" w:sz="4" w:space="0" w:color="auto"/>
              <w:bottom w:val="single" w:sz="4" w:space="0" w:color="auto"/>
            </w:tcBorders>
            <w:vAlign w:val="center"/>
            <w:hideMark/>
          </w:tcPr>
          <w:p w14:paraId="43E961D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NGS</w:t>
            </w:r>
          </w:p>
        </w:tc>
        <w:tc>
          <w:tcPr>
            <w:tcW w:w="556" w:type="pct"/>
            <w:tcBorders>
              <w:top w:val="single" w:sz="4" w:space="0" w:color="auto"/>
              <w:bottom w:val="single" w:sz="4" w:space="0" w:color="auto"/>
            </w:tcBorders>
            <w:vAlign w:val="center"/>
            <w:hideMark/>
          </w:tcPr>
          <w:p w14:paraId="6B5C1B6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TGW</w:t>
            </w:r>
          </w:p>
        </w:tc>
        <w:tc>
          <w:tcPr>
            <w:tcW w:w="556" w:type="pct"/>
            <w:tcBorders>
              <w:top w:val="single" w:sz="4" w:space="0" w:color="auto"/>
              <w:bottom w:val="single" w:sz="4" w:space="0" w:color="auto"/>
            </w:tcBorders>
            <w:vAlign w:val="center"/>
            <w:hideMark/>
          </w:tcPr>
          <w:p w14:paraId="4794EAA8"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HI</w:t>
            </w:r>
          </w:p>
        </w:tc>
        <w:tc>
          <w:tcPr>
            <w:tcW w:w="556" w:type="pct"/>
            <w:tcBorders>
              <w:top w:val="single" w:sz="4" w:space="0" w:color="auto"/>
              <w:bottom w:val="single" w:sz="4" w:space="0" w:color="auto"/>
            </w:tcBorders>
            <w:vAlign w:val="center"/>
            <w:hideMark/>
          </w:tcPr>
          <w:p w14:paraId="36FB0294"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BYP</w:t>
            </w:r>
          </w:p>
        </w:tc>
        <w:tc>
          <w:tcPr>
            <w:tcW w:w="553" w:type="pct"/>
            <w:tcBorders>
              <w:top w:val="single" w:sz="4" w:space="0" w:color="auto"/>
              <w:bottom w:val="single" w:sz="4" w:space="0" w:color="auto"/>
            </w:tcBorders>
            <w:vAlign w:val="center"/>
            <w:hideMark/>
          </w:tcPr>
          <w:p w14:paraId="569EAF8C" w14:textId="77777777" w:rsidR="00686F66" w:rsidRPr="00686F66" w:rsidRDefault="00686F66" w:rsidP="00B4030D">
            <w:pPr>
              <w:widowControl w:val="0"/>
              <w:autoSpaceDE w:val="0"/>
              <w:autoSpaceDN w:val="0"/>
              <w:spacing w:line="360" w:lineRule="auto"/>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GYP</w:t>
            </w:r>
          </w:p>
        </w:tc>
      </w:tr>
      <w:bookmarkEnd w:id="2"/>
      <w:tr w:rsidR="00686F66" w:rsidRPr="00686F66" w14:paraId="4D6506F2" w14:textId="77777777" w:rsidTr="00686F66">
        <w:trPr>
          <w:trHeight w:val="328"/>
        </w:trPr>
        <w:tc>
          <w:tcPr>
            <w:tcW w:w="554" w:type="pct"/>
            <w:tcBorders>
              <w:top w:val="single" w:sz="4" w:space="0" w:color="auto"/>
            </w:tcBorders>
            <w:vAlign w:val="center"/>
            <w:hideMark/>
          </w:tcPr>
          <w:p w14:paraId="36C54EED"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PH</w:t>
            </w:r>
          </w:p>
        </w:tc>
        <w:tc>
          <w:tcPr>
            <w:tcW w:w="556" w:type="pct"/>
            <w:tcBorders>
              <w:top w:val="single" w:sz="4" w:space="0" w:color="auto"/>
            </w:tcBorders>
            <w:vAlign w:val="center"/>
            <w:hideMark/>
          </w:tcPr>
          <w:p w14:paraId="4A719AC3"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034AFB5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6E98090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599FFB29"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697330B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032151CD"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tcBorders>
              <w:top w:val="single" w:sz="4" w:space="0" w:color="auto"/>
            </w:tcBorders>
            <w:vAlign w:val="center"/>
            <w:hideMark/>
          </w:tcPr>
          <w:p w14:paraId="304BCD1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tcBorders>
              <w:top w:val="single" w:sz="4" w:space="0" w:color="auto"/>
            </w:tcBorders>
            <w:vAlign w:val="center"/>
            <w:hideMark/>
          </w:tcPr>
          <w:p w14:paraId="67088862"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00E15DF3" w14:textId="77777777" w:rsidTr="00686F66">
        <w:trPr>
          <w:trHeight w:val="328"/>
        </w:trPr>
        <w:tc>
          <w:tcPr>
            <w:tcW w:w="554" w:type="pct"/>
            <w:vAlign w:val="center"/>
            <w:hideMark/>
          </w:tcPr>
          <w:p w14:paraId="37C8489B"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NPT</w:t>
            </w:r>
          </w:p>
        </w:tc>
        <w:tc>
          <w:tcPr>
            <w:tcW w:w="556" w:type="pct"/>
            <w:vAlign w:val="center"/>
            <w:hideMark/>
          </w:tcPr>
          <w:p w14:paraId="1996423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0.164</w:t>
            </w:r>
            <w:r w:rsidRPr="00686F66">
              <w:rPr>
                <w:rFonts w:ascii="Arial" w:eastAsia="Times New Roman" w:hAnsi="Arial" w:cs="Arial"/>
                <w:sz w:val="20"/>
                <w:szCs w:val="20"/>
                <w:vertAlign w:val="superscript"/>
                <w:lang w:bidi="en-US"/>
              </w:rPr>
              <w:t>*</w:t>
            </w:r>
          </w:p>
        </w:tc>
        <w:tc>
          <w:tcPr>
            <w:tcW w:w="556" w:type="pct"/>
            <w:vAlign w:val="center"/>
            <w:hideMark/>
          </w:tcPr>
          <w:p w14:paraId="3477250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59D355D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1B9178C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6D2D89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51CCB79B"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5AC947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38C88D4C"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0F9BB13C" w14:textId="77777777" w:rsidTr="00686F66">
        <w:trPr>
          <w:trHeight w:val="328"/>
        </w:trPr>
        <w:tc>
          <w:tcPr>
            <w:tcW w:w="554" w:type="pct"/>
            <w:vAlign w:val="center"/>
            <w:hideMark/>
          </w:tcPr>
          <w:p w14:paraId="60DDF5BD"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NSS</w:t>
            </w:r>
          </w:p>
        </w:tc>
        <w:tc>
          <w:tcPr>
            <w:tcW w:w="556" w:type="pct"/>
            <w:vAlign w:val="center"/>
            <w:hideMark/>
          </w:tcPr>
          <w:p w14:paraId="3E2931E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0.035</w:t>
            </w:r>
          </w:p>
        </w:tc>
        <w:tc>
          <w:tcPr>
            <w:tcW w:w="556" w:type="pct"/>
            <w:vAlign w:val="center"/>
            <w:hideMark/>
          </w:tcPr>
          <w:p w14:paraId="4D6CFD0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0.206</w:t>
            </w:r>
            <w:r w:rsidRPr="00686F66">
              <w:rPr>
                <w:rFonts w:ascii="Arial" w:eastAsia="Times New Roman" w:hAnsi="Arial" w:cs="Arial"/>
                <w:sz w:val="20"/>
                <w:szCs w:val="20"/>
                <w:vertAlign w:val="superscript"/>
                <w:lang w:bidi="en-US"/>
              </w:rPr>
              <w:t>*</w:t>
            </w:r>
          </w:p>
        </w:tc>
        <w:tc>
          <w:tcPr>
            <w:tcW w:w="556" w:type="pct"/>
            <w:vAlign w:val="center"/>
            <w:hideMark/>
          </w:tcPr>
          <w:p w14:paraId="6932FA2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63B2E45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60EE85FD"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997377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7936BF8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445F1B00"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6444D3B0" w14:textId="77777777" w:rsidTr="00686F66">
        <w:trPr>
          <w:trHeight w:val="328"/>
        </w:trPr>
        <w:tc>
          <w:tcPr>
            <w:tcW w:w="554" w:type="pct"/>
            <w:vAlign w:val="center"/>
            <w:hideMark/>
          </w:tcPr>
          <w:p w14:paraId="62EB034A"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NGS</w:t>
            </w:r>
          </w:p>
        </w:tc>
        <w:tc>
          <w:tcPr>
            <w:tcW w:w="556" w:type="pct"/>
            <w:vAlign w:val="center"/>
            <w:hideMark/>
          </w:tcPr>
          <w:p w14:paraId="6CEA2C6F"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0.035</w:t>
            </w:r>
          </w:p>
        </w:tc>
        <w:tc>
          <w:tcPr>
            <w:tcW w:w="556" w:type="pct"/>
            <w:vAlign w:val="center"/>
            <w:hideMark/>
          </w:tcPr>
          <w:p w14:paraId="6EB7968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0.053</w:t>
            </w:r>
          </w:p>
        </w:tc>
        <w:tc>
          <w:tcPr>
            <w:tcW w:w="556" w:type="pct"/>
            <w:vAlign w:val="center"/>
            <w:hideMark/>
          </w:tcPr>
          <w:p w14:paraId="1415E08E"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0.295</w:t>
            </w:r>
            <w:r w:rsidRPr="00686F66">
              <w:rPr>
                <w:rFonts w:ascii="Arial" w:eastAsia="Times New Roman" w:hAnsi="Arial" w:cs="Arial"/>
                <w:sz w:val="20"/>
                <w:szCs w:val="20"/>
                <w:vertAlign w:val="superscript"/>
                <w:lang w:bidi="en-US"/>
              </w:rPr>
              <w:t>**</w:t>
            </w:r>
          </w:p>
        </w:tc>
        <w:tc>
          <w:tcPr>
            <w:tcW w:w="556" w:type="pct"/>
            <w:vAlign w:val="center"/>
            <w:hideMark/>
          </w:tcPr>
          <w:p w14:paraId="26546DA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0FFF266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4A71715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7D15353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31A6BA46"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6F8638AE" w14:textId="77777777" w:rsidTr="00686F66">
        <w:trPr>
          <w:trHeight w:val="328"/>
        </w:trPr>
        <w:tc>
          <w:tcPr>
            <w:tcW w:w="554" w:type="pct"/>
            <w:vAlign w:val="center"/>
            <w:hideMark/>
          </w:tcPr>
          <w:p w14:paraId="3F79F2FC"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TGW</w:t>
            </w:r>
          </w:p>
        </w:tc>
        <w:tc>
          <w:tcPr>
            <w:tcW w:w="556" w:type="pct"/>
            <w:vAlign w:val="center"/>
            <w:hideMark/>
          </w:tcPr>
          <w:p w14:paraId="446B848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0.180</w:t>
            </w:r>
            <w:r w:rsidRPr="00686F66">
              <w:rPr>
                <w:rFonts w:ascii="Arial" w:eastAsia="Times New Roman" w:hAnsi="Arial" w:cs="Arial"/>
                <w:sz w:val="20"/>
                <w:szCs w:val="20"/>
                <w:vertAlign w:val="superscript"/>
                <w:lang w:bidi="en-US"/>
              </w:rPr>
              <w:t>*</w:t>
            </w:r>
          </w:p>
        </w:tc>
        <w:tc>
          <w:tcPr>
            <w:tcW w:w="556" w:type="pct"/>
            <w:vAlign w:val="center"/>
            <w:hideMark/>
          </w:tcPr>
          <w:p w14:paraId="6BC8778C"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0.094</w:t>
            </w:r>
          </w:p>
        </w:tc>
        <w:tc>
          <w:tcPr>
            <w:tcW w:w="556" w:type="pct"/>
            <w:vAlign w:val="center"/>
            <w:hideMark/>
          </w:tcPr>
          <w:p w14:paraId="049F38C3"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0.025</w:t>
            </w:r>
          </w:p>
        </w:tc>
        <w:tc>
          <w:tcPr>
            <w:tcW w:w="556" w:type="pct"/>
            <w:vAlign w:val="center"/>
            <w:hideMark/>
          </w:tcPr>
          <w:p w14:paraId="6B5150E7"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0.091</w:t>
            </w:r>
          </w:p>
        </w:tc>
        <w:tc>
          <w:tcPr>
            <w:tcW w:w="556" w:type="pct"/>
            <w:vAlign w:val="center"/>
            <w:hideMark/>
          </w:tcPr>
          <w:p w14:paraId="2999935F"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03B77B4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31003AFD"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70E3D599"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3F80641B" w14:textId="77777777" w:rsidTr="00686F66">
        <w:trPr>
          <w:trHeight w:val="328"/>
        </w:trPr>
        <w:tc>
          <w:tcPr>
            <w:tcW w:w="554" w:type="pct"/>
            <w:vAlign w:val="center"/>
            <w:hideMark/>
          </w:tcPr>
          <w:p w14:paraId="0B394CD9"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HI</w:t>
            </w:r>
          </w:p>
        </w:tc>
        <w:tc>
          <w:tcPr>
            <w:tcW w:w="556" w:type="pct"/>
            <w:vAlign w:val="center"/>
            <w:hideMark/>
          </w:tcPr>
          <w:p w14:paraId="3045C80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0.033</w:t>
            </w:r>
          </w:p>
        </w:tc>
        <w:tc>
          <w:tcPr>
            <w:tcW w:w="556" w:type="pct"/>
            <w:vAlign w:val="center"/>
            <w:hideMark/>
          </w:tcPr>
          <w:p w14:paraId="00174196"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0.055</w:t>
            </w:r>
          </w:p>
        </w:tc>
        <w:tc>
          <w:tcPr>
            <w:tcW w:w="556" w:type="pct"/>
            <w:vAlign w:val="center"/>
            <w:hideMark/>
          </w:tcPr>
          <w:p w14:paraId="173BBBD6"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0.105</w:t>
            </w:r>
          </w:p>
        </w:tc>
        <w:tc>
          <w:tcPr>
            <w:tcW w:w="556" w:type="pct"/>
            <w:vAlign w:val="center"/>
            <w:hideMark/>
          </w:tcPr>
          <w:p w14:paraId="69A1B7E3"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0.144</w:t>
            </w:r>
          </w:p>
        </w:tc>
        <w:tc>
          <w:tcPr>
            <w:tcW w:w="556" w:type="pct"/>
            <w:vAlign w:val="center"/>
            <w:hideMark/>
          </w:tcPr>
          <w:p w14:paraId="7C18815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0.093</w:t>
            </w:r>
          </w:p>
        </w:tc>
        <w:tc>
          <w:tcPr>
            <w:tcW w:w="556" w:type="pct"/>
            <w:vAlign w:val="center"/>
            <w:hideMark/>
          </w:tcPr>
          <w:p w14:paraId="532689E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6" w:type="pct"/>
            <w:vAlign w:val="center"/>
            <w:hideMark/>
          </w:tcPr>
          <w:p w14:paraId="08850550"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72298FD9"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771E625E" w14:textId="77777777" w:rsidTr="00686F66">
        <w:trPr>
          <w:trHeight w:val="328"/>
        </w:trPr>
        <w:tc>
          <w:tcPr>
            <w:tcW w:w="554" w:type="pct"/>
            <w:vAlign w:val="center"/>
            <w:hideMark/>
          </w:tcPr>
          <w:p w14:paraId="3B8D256B"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BYP</w:t>
            </w:r>
          </w:p>
        </w:tc>
        <w:tc>
          <w:tcPr>
            <w:tcW w:w="556" w:type="pct"/>
            <w:vAlign w:val="center"/>
            <w:hideMark/>
          </w:tcPr>
          <w:p w14:paraId="30E149E5"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0.113</w:t>
            </w:r>
          </w:p>
        </w:tc>
        <w:tc>
          <w:tcPr>
            <w:tcW w:w="556" w:type="pct"/>
            <w:vAlign w:val="center"/>
            <w:hideMark/>
          </w:tcPr>
          <w:p w14:paraId="4DDCAFBB"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0.519</w:t>
            </w:r>
            <w:r w:rsidRPr="00686F66">
              <w:rPr>
                <w:rFonts w:ascii="Arial" w:eastAsia="Times New Roman" w:hAnsi="Arial" w:cs="Arial"/>
                <w:sz w:val="20"/>
                <w:szCs w:val="20"/>
                <w:vertAlign w:val="superscript"/>
                <w:lang w:bidi="en-US"/>
              </w:rPr>
              <w:t>**</w:t>
            </w:r>
          </w:p>
        </w:tc>
        <w:tc>
          <w:tcPr>
            <w:tcW w:w="556" w:type="pct"/>
            <w:vAlign w:val="center"/>
            <w:hideMark/>
          </w:tcPr>
          <w:p w14:paraId="264E7519"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0.347</w:t>
            </w:r>
            <w:r w:rsidRPr="00686F66">
              <w:rPr>
                <w:rFonts w:ascii="Arial" w:eastAsia="Times New Roman" w:hAnsi="Arial" w:cs="Arial"/>
                <w:sz w:val="20"/>
                <w:szCs w:val="20"/>
                <w:vertAlign w:val="superscript"/>
                <w:lang w:bidi="en-US"/>
              </w:rPr>
              <w:t>**</w:t>
            </w:r>
          </w:p>
        </w:tc>
        <w:tc>
          <w:tcPr>
            <w:tcW w:w="556" w:type="pct"/>
            <w:vAlign w:val="center"/>
            <w:hideMark/>
          </w:tcPr>
          <w:p w14:paraId="2AEF039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0.193</w:t>
            </w:r>
            <w:r w:rsidRPr="00686F66">
              <w:rPr>
                <w:rFonts w:ascii="Arial" w:eastAsia="Times New Roman" w:hAnsi="Arial" w:cs="Arial"/>
                <w:sz w:val="20"/>
                <w:szCs w:val="20"/>
                <w:vertAlign w:val="superscript"/>
                <w:lang w:bidi="en-US"/>
              </w:rPr>
              <w:t>*</w:t>
            </w:r>
          </w:p>
        </w:tc>
        <w:tc>
          <w:tcPr>
            <w:tcW w:w="556" w:type="pct"/>
            <w:vAlign w:val="center"/>
            <w:hideMark/>
          </w:tcPr>
          <w:p w14:paraId="2E69AAF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0.257</w:t>
            </w:r>
            <w:r w:rsidRPr="00686F66">
              <w:rPr>
                <w:rFonts w:ascii="Arial" w:eastAsia="Times New Roman" w:hAnsi="Arial" w:cs="Arial"/>
                <w:sz w:val="20"/>
                <w:szCs w:val="20"/>
                <w:vertAlign w:val="superscript"/>
                <w:lang w:bidi="en-US"/>
              </w:rPr>
              <w:t>**</w:t>
            </w:r>
          </w:p>
        </w:tc>
        <w:tc>
          <w:tcPr>
            <w:tcW w:w="556" w:type="pct"/>
            <w:vAlign w:val="center"/>
            <w:hideMark/>
          </w:tcPr>
          <w:p w14:paraId="26CFDFC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0.158</w:t>
            </w:r>
          </w:p>
        </w:tc>
        <w:tc>
          <w:tcPr>
            <w:tcW w:w="556" w:type="pct"/>
            <w:vAlign w:val="center"/>
            <w:hideMark/>
          </w:tcPr>
          <w:p w14:paraId="0FC7C0CA"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p>
        </w:tc>
        <w:tc>
          <w:tcPr>
            <w:tcW w:w="553" w:type="pct"/>
            <w:vAlign w:val="center"/>
            <w:hideMark/>
          </w:tcPr>
          <w:p w14:paraId="7D3BB868"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r w:rsidR="00686F66" w:rsidRPr="00686F66" w14:paraId="44F770D3" w14:textId="77777777" w:rsidTr="00686F66">
        <w:trPr>
          <w:trHeight w:val="328"/>
        </w:trPr>
        <w:tc>
          <w:tcPr>
            <w:tcW w:w="554" w:type="pct"/>
            <w:vAlign w:val="center"/>
            <w:hideMark/>
          </w:tcPr>
          <w:p w14:paraId="63B0A243"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r w:rsidRPr="00686F66">
              <w:rPr>
                <w:rFonts w:ascii="Arial" w:eastAsia="Times New Roman" w:hAnsi="Arial" w:cs="Arial"/>
                <w:b/>
                <w:bCs/>
                <w:sz w:val="20"/>
                <w:szCs w:val="20"/>
                <w:lang w:bidi="en-US"/>
              </w:rPr>
              <w:t>GYP</w:t>
            </w:r>
          </w:p>
        </w:tc>
        <w:tc>
          <w:tcPr>
            <w:tcW w:w="556" w:type="pct"/>
            <w:vAlign w:val="center"/>
            <w:hideMark/>
          </w:tcPr>
          <w:p w14:paraId="0A4DD6C2"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0.113</w:t>
            </w:r>
          </w:p>
        </w:tc>
        <w:tc>
          <w:tcPr>
            <w:tcW w:w="556" w:type="pct"/>
            <w:vAlign w:val="center"/>
            <w:hideMark/>
          </w:tcPr>
          <w:p w14:paraId="673491F6"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0.487</w:t>
            </w:r>
            <w:r w:rsidRPr="00686F66">
              <w:rPr>
                <w:rFonts w:ascii="Arial" w:eastAsia="Times New Roman" w:hAnsi="Arial" w:cs="Arial"/>
                <w:sz w:val="20"/>
                <w:szCs w:val="20"/>
                <w:vertAlign w:val="superscript"/>
                <w:lang w:bidi="en-US"/>
              </w:rPr>
              <w:t>**</w:t>
            </w:r>
          </w:p>
        </w:tc>
        <w:tc>
          <w:tcPr>
            <w:tcW w:w="556" w:type="pct"/>
            <w:vAlign w:val="center"/>
            <w:hideMark/>
          </w:tcPr>
          <w:p w14:paraId="66D08120"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0.348</w:t>
            </w:r>
            <w:r w:rsidRPr="00686F66">
              <w:rPr>
                <w:rFonts w:ascii="Arial" w:eastAsia="Times New Roman" w:hAnsi="Arial" w:cs="Arial"/>
                <w:sz w:val="20"/>
                <w:szCs w:val="20"/>
                <w:vertAlign w:val="superscript"/>
                <w:lang w:bidi="en-US"/>
              </w:rPr>
              <w:t>**</w:t>
            </w:r>
          </w:p>
        </w:tc>
        <w:tc>
          <w:tcPr>
            <w:tcW w:w="556" w:type="pct"/>
            <w:vAlign w:val="center"/>
            <w:hideMark/>
          </w:tcPr>
          <w:p w14:paraId="67F6A501"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0.218</w:t>
            </w:r>
            <w:r w:rsidRPr="00686F66">
              <w:rPr>
                <w:rFonts w:ascii="Arial" w:eastAsia="Times New Roman" w:hAnsi="Arial" w:cs="Arial"/>
                <w:sz w:val="20"/>
                <w:szCs w:val="20"/>
                <w:vertAlign w:val="superscript"/>
                <w:lang w:bidi="en-US"/>
              </w:rPr>
              <w:t>**</w:t>
            </w:r>
          </w:p>
        </w:tc>
        <w:tc>
          <w:tcPr>
            <w:tcW w:w="556" w:type="pct"/>
            <w:vAlign w:val="center"/>
            <w:hideMark/>
          </w:tcPr>
          <w:p w14:paraId="7C250548"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0.257</w:t>
            </w:r>
            <w:r w:rsidRPr="00686F66">
              <w:rPr>
                <w:rFonts w:ascii="Arial" w:eastAsia="Times New Roman" w:hAnsi="Arial" w:cs="Arial"/>
                <w:sz w:val="20"/>
                <w:szCs w:val="20"/>
                <w:vertAlign w:val="superscript"/>
                <w:lang w:bidi="en-US"/>
              </w:rPr>
              <w:t>**</w:t>
            </w:r>
          </w:p>
        </w:tc>
        <w:tc>
          <w:tcPr>
            <w:tcW w:w="556" w:type="pct"/>
            <w:vAlign w:val="center"/>
            <w:hideMark/>
          </w:tcPr>
          <w:p w14:paraId="334886E7"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0.499</w:t>
            </w:r>
            <w:r w:rsidRPr="00686F66">
              <w:rPr>
                <w:rFonts w:ascii="Arial" w:eastAsia="Times New Roman" w:hAnsi="Arial" w:cs="Arial"/>
                <w:sz w:val="20"/>
                <w:szCs w:val="20"/>
                <w:vertAlign w:val="superscript"/>
                <w:lang w:bidi="en-US"/>
              </w:rPr>
              <w:t>**</w:t>
            </w:r>
          </w:p>
        </w:tc>
        <w:tc>
          <w:tcPr>
            <w:tcW w:w="556" w:type="pct"/>
            <w:vAlign w:val="center"/>
            <w:hideMark/>
          </w:tcPr>
          <w:p w14:paraId="006C2D8E" w14:textId="77777777" w:rsidR="00686F66" w:rsidRPr="00686F66" w:rsidRDefault="00686F66" w:rsidP="00B4030D">
            <w:pPr>
              <w:widowControl w:val="0"/>
              <w:autoSpaceDE w:val="0"/>
              <w:autoSpaceDN w:val="0"/>
              <w:jc w:val="both"/>
              <w:rPr>
                <w:rFonts w:ascii="Arial" w:eastAsia="Times New Roman" w:hAnsi="Arial" w:cs="Arial"/>
                <w:sz w:val="20"/>
                <w:szCs w:val="20"/>
                <w:lang w:bidi="en-US"/>
              </w:rPr>
            </w:pPr>
            <w:r w:rsidRPr="00686F66">
              <w:rPr>
                <w:rFonts w:ascii="Arial" w:eastAsia="Times New Roman" w:hAnsi="Arial" w:cs="Arial"/>
                <w:sz w:val="20"/>
                <w:szCs w:val="20"/>
                <w:lang w:bidi="en-US"/>
              </w:rPr>
              <w:t>0.932</w:t>
            </w:r>
            <w:r w:rsidRPr="00686F66">
              <w:rPr>
                <w:rFonts w:ascii="Arial" w:eastAsia="Times New Roman" w:hAnsi="Arial" w:cs="Arial"/>
                <w:sz w:val="20"/>
                <w:szCs w:val="20"/>
                <w:vertAlign w:val="superscript"/>
                <w:lang w:bidi="en-US"/>
              </w:rPr>
              <w:t>**</w:t>
            </w:r>
          </w:p>
        </w:tc>
        <w:tc>
          <w:tcPr>
            <w:tcW w:w="553" w:type="pct"/>
            <w:vAlign w:val="center"/>
            <w:hideMark/>
          </w:tcPr>
          <w:p w14:paraId="511C47B3" w14:textId="77777777" w:rsidR="00686F66" w:rsidRPr="00686F66" w:rsidRDefault="00686F66" w:rsidP="00B4030D">
            <w:pPr>
              <w:widowControl w:val="0"/>
              <w:autoSpaceDE w:val="0"/>
              <w:autoSpaceDN w:val="0"/>
              <w:jc w:val="both"/>
              <w:rPr>
                <w:rFonts w:ascii="Arial" w:eastAsia="Times New Roman" w:hAnsi="Arial" w:cs="Arial"/>
                <w:b/>
                <w:bCs/>
                <w:sz w:val="20"/>
                <w:szCs w:val="20"/>
                <w:lang w:bidi="en-US"/>
              </w:rPr>
            </w:pPr>
          </w:p>
        </w:tc>
      </w:tr>
    </w:tbl>
    <w:p w14:paraId="7F4131AD" w14:textId="77777777" w:rsidR="00FD0494" w:rsidRDefault="00FD0494" w:rsidP="00B4030D">
      <w:pPr>
        <w:pStyle w:val="BodyText3"/>
        <w:tabs>
          <w:tab w:val="left" w:pos="1080"/>
        </w:tabs>
        <w:spacing w:after="0"/>
        <w:ind w:left="1080" w:hanging="1080"/>
        <w:jc w:val="both"/>
        <w:rPr>
          <w:rFonts w:ascii="Arial" w:hAnsi="Arial"/>
          <w:bCs/>
          <w:i/>
          <w:sz w:val="18"/>
        </w:rPr>
      </w:pPr>
    </w:p>
    <w:p w14:paraId="6A7D9F20" w14:textId="5E6FBA0B" w:rsidR="00686F66" w:rsidRDefault="00686F66" w:rsidP="00B4030D">
      <w:pPr>
        <w:pStyle w:val="BodyText3"/>
        <w:tabs>
          <w:tab w:val="left" w:pos="1080"/>
        </w:tabs>
        <w:spacing w:after="0"/>
        <w:ind w:left="1080" w:hanging="1080"/>
        <w:jc w:val="both"/>
        <w:rPr>
          <w:rFonts w:ascii="Arial" w:hAnsi="Arial"/>
          <w:bCs/>
          <w:i/>
          <w:sz w:val="18"/>
        </w:rPr>
      </w:pPr>
      <w:r w:rsidRPr="00D00F87">
        <w:rPr>
          <w:rFonts w:ascii="Arial" w:hAnsi="Arial"/>
          <w:bCs/>
          <w:i/>
          <w:sz w:val="18"/>
        </w:rPr>
        <w:t>** Significant at 1% level, * Significant at 5% level</w:t>
      </w:r>
    </w:p>
    <w:p w14:paraId="5EBD12E6" w14:textId="0AE3DAAA" w:rsidR="00B01FCD" w:rsidRDefault="00000F8F" w:rsidP="00B4030D">
      <w:pPr>
        <w:pStyle w:val="ConcHead"/>
        <w:spacing w:before="240"/>
        <w:jc w:val="both"/>
        <w:rPr>
          <w:rFonts w:ascii="Arial" w:hAnsi="Arial" w:cs="Arial"/>
        </w:rPr>
      </w:pPr>
      <w:r>
        <w:rPr>
          <w:rFonts w:ascii="Arial" w:hAnsi="Arial" w:cs="Arial"/>
        </w:rPr>
        <w:t xml:space="preserve">4. </w:t>
      </w:r>
      <w:r w:rsidR="00686F66">
        <w:rPr>
          <w:rFonts w:ascii="Arial" w:hAnsi="Arial" w:cs="Arial"/>
        </w:rPr>
        <w:t>DISCUSSION</w:t>
      </w:r>
    </w:p>
    <w:p w14:paraId="6FFC6811" w14:textId="132D179C" w:rsidR="00686F66" w:rsidRPr="00686F66" w:rsidRDefault="00686F66" w:rsidP="00B4030D">
      <w:pPr>
        <w:pStyle w:val="Body"/>
        <w:rPr>
          <w:rFonts w:ascii="Arial" w:hAnsi="Arial" w:cs="Arial"/>
        </w:rPr>
      </w:pPr>
      <w:r w:rsidRPr="00686F66">
        <w:rPr>
          <w:rFonts w:ascii="Arial" w:hAnsi="Arial" w:cs="Arial"/>
        </w:rPr>
        <w:t xml:space="preserve">For an effective breeding program, genetic divergence is crucial to achieve diverse breeding objectives, including high yield, desirable quality, wider adaptation and resistance to pests and diseases. Recombinant inbred lines (RILs) are likely to exhibit enhanced heterosis. Therefore, evaluating the genetic variability of RILs using key morphological traits is essential for identifying superior genotypes for breeding programs. </w:t>
      </w:r>
    </w:p>
    <w:p w14:paraId="413149D0" w14:textId="5B1CA3B8" w:rsidR="00686F66" w:rsidRPr="00686F66" w:rsidRDefault="00686F66" w:rsidP="00686F66">
      <w:pPr>
        <w:pStyle w:val="Body"/>
        <w:rPr>
          <w:rFonts w:ascii="Arial" w:hAnsi="Arial" w:cs="Arial"/>
        </w:rPr>
      </w:pPr>
      <w:r w:rsidRPr="00686F66">
        <w:rPr>
          <w:rFonts w:ascii="Arial" w:hAnsi="Arial" w:cs="Arial"/>
        </w:rPr>
        <w:t>In the current study, mean squares for various yield-related traits indicated significant</w:t>
      </w:r>
      <w:r w:rsidR="00146B17">
        <w:rPr>
          <w:rFonts w:ascii="Arial" w:hAnsi="Arial" w:cs="Arial"/>
        </w:rPr>
        <w:t xml:space="preserve"> </w:t>
      </w:r>
      <w:r w:rsidRPr="00686F66">
        <w:rPr>
          <w:rFonts w:ascii="Arial" w:hAnsi="Arial" w:cs="Arial"/>
        </w:rPr>
        <w:t xml:space="preserve">differences among tested lines and check varieties. The results for genetic variation for grain yield and related traits </w:t>
      </w:r>
      <w:proofErr w:type="gramStart"/>
      <w:r w:rsidRPr="00686F66">
        <w:rPr>
          <w:rFonts w:ascii="Arial" w:hAnsi="Arial" w:cs="Arial"/>
        </w:rPr>
        <w:t>is in agreement</w:t>
      </w:r>
      <w:proofErr w:type="gramEnd"/>
      <w:r w:rsidRPr="00686F66">
        <w:rPr>
          <w:rFonts w:ascii="Arial" w:hAnsi="Arial" w:cs="Arial"/>
        </w:rPr>
        <w:t xml:space="preserve"> with the findings of several earlier studies </w:t>
      </w:r>
      <w:proofErr w:type="spellStart"/>
      <w:r w:rsidRPr="00686F66">
        <w:rPr>
          <w:rFonts w:ascii="Arial" w:hAnsi="Arial" w:cs="Arial"/>
        </w:rPr>
        <w:t>Gerema</w:t>
      </w:r>
      <w:proofErr w:type="spellEnd"/>
      <w:r w:rsidRPr="00686F66">
        <w:rPr>
          <w:rFonts w:ascii="Arial" w:hAnsi="Arial" w:cs="Arial"/>
        </w:rPr>
        <w:t xml:space="preserve"> </w:t>
      </w:r>
      <w:r w:rsidRPr="006C1ECF">
        <w:rPr>
          <w:rFonts w:ascii="Arial" w:hAnsi="Arial" w:cs="Arial"/>
          <w:i/>
          <w:iCs/>
        </w:rPr>
        <w:t xml:space="preserve">et al. </w:t>
      </w:r>
      <w:r w:rsidRPr="00686F66">
        <w:rPr>
          <w:rFonts w:ascii="Arial" w:hAnsi="Arial" w:cs="Arial"/>
        </w:rPr>
        <w:t xml:space="preserve">(2020), Ullah </w:t>
      </w:r>
      <w:r w:rsidRPr="006C1ECF">
        <w:rPr>
          <w:rFonts w:ascii="Arial" w:hAnsi="Arial" w:cs="Arial"/>
          <w:i/>
          <w:iCs/>
        </w:rPr>
        <w:t>et al.</w:t>
      </w:r>
      <w:r w:rsidRPr="00686F66">
        <w:rPr>
          <w:rFonts w:ascii="Arial" w:hAnsi="Arial" w:cs="Arial"/>
        </w:rPr>
        <w:t xml:space="preserve"> (2021), Poudel </w:t>
      </w:r>
      <w:r w:rsidRPr="006C1ECF">
        <w:rPr>
          <w:rFonts w:ascii="Arial" w:hAnsi="Arial" w:cs="Arial"/>
          <w:i/>
          <w:iCs/>
        </w:rPr>
        <w:t xml:space="preserve">et al. </w:t>
      </w:r>
      <w:r w:rsidRPr="00686F66">
        <w:rPr>
          <w:rFonts w:ascii="Arial" w:hAnsi="Arial" w:cs="Arial"/>
        </w:rPr>
        <w:t xml:space="preserve">(2021) reported significant variability for all the </w:t>
      </w:r>
      <w:r w:rsidRPr="00686F66">
        <w:rPr>
          <w:rFonts w:ascii="Arial" w:hAnsi="Arial" w:cs="Arial"/>
        </w:rPr>
        <w:lastRenderedPageBreak/>
        <w:t>morphological trait</w:t>
      </w:r>
      <w:r w:rsidR="00146B17">
        <w:rPr>
          <w:rFonts w:ascii="Arial" w:hAnsi="Arial" w:cs="Arial"/>
        </w:rPr>
        <w:t>s</w:t>
      </w:r>
      <w:r w:rsidRPr="00686F66">
        <w:rPr>
          <w:rFonts w:ascii="Arial" w:hAnsi="Arial" w:cs="Arial"/>
        </w:rPr>
        <w:t xml:space="preserve"> studied. The selection among RILs having higher magnitude of variability would be successful.</w:t>
      </w:r>
    </w:p>
    <w:p w14:paraId="1AE9914C" w14:textId="41040A5B" w:rsidR="00686F66" w:rsidRPr="00686F66" w:rsidRDefault="00686F66" w:rsidP="00686F66">
      <w:pPr>
        <w:pStyle w:val="Body"/>
        <w:rPr>
          <w:rFonts w:ascii="Arial" w:hAnsi="Arial" w:cs="Arial"/>
        </w:rPr>
      </w:pPr>
      <w:r w:rsidRPr="00686F66">
        <w:rPr>
          <w:rFonts w:ascii="Arial" w:hAnsi="Arial" w:cs="Arial"/>
        </w:rPr>
        <w:t xml:space="preserve">Genetic variability in a population can be partitioned into heritable and non-heritable variation with the aid of genetic parameters such as phenotypic coefficient of variation, genotypic coefficient of variation, heritability and genetic advance, which serve as a basis for selection of some outstanding genotypes from existing ones (Kumar </w:t>
      </w:r>
      <w:r w:rsidRPr="006C1ECF">
        <w:rPr>
          <w:rFonts w:ascii="Arial" w:hAnsi="Arial" w:cs="Arial"/>
          <w:i/>
          <w:iCs/>
        </w:rPr>
        <w:t>et al.</w:t>
      </w:r>
      <w:r w:rsidRPr="00686F66">
        <w:rPr>
          <w:rFonts w:ascii="Arial" w:hAnsi="Arial" w:cs="Arial"/>
        </w:rPr>
        <w:t xml:space="preserve"> 2013). A higher estimate of heritability along with improved genetic advance confirm the scope of selection in new genotypes with required characteristics and also provides information about transfer of trait from parent to offspring. In the present study, heritability ranged from 71.92% (number of </w:t>
      </w:r>
      <w:r w:rsidR="006C1ECF" w:rsidRPr="00686F66">
        <w:rPr>
          <w:rFonts w:ascii="Arial" w:hAnsi="Arial" w:cs="Arial"/>
        </w:rPr>
        <w:t>grains</w:t>
      </w:r>
      <w:r w:rsidRPr="00686F66">
        <w:rPr>
          <w:rFonts w:ascii="Arial" w:hAnsi="Arial" w:cs="Arial"/>
        </w:rPr>
        <w:t xml:space="preserve"> per spike) to 99.46% (number of tillers per meter). Robinson </w:t>
      </w:r>
      <w:r w:rsidRPr="006C1ECF">
        <w:rPr>
          <w:rFonts w:ascii="Arial" w:hAnsi="Arial" w:cs="Arial"/>
          <w:i/>
          <w:iCs/>
        </w:rPr>
        <w:t>et al.</w:t>
      </w:r>
      <w:r w:rsidRPr="00686F66">
        <w:rPr>
          <w:rFonts w:ascii="Arial" w:hAnsi="Arial" w:cs="Arial"/>
        </w:rPr>
        <w:t xml:space="preserve"> (1949) classified heritability values as high (&gt;60%), moderate (30-60%) and values less than 10% low. Accordingly, high heritability was observed for all the traits under study. Genetic advance as percent of mean ranged from 14.91 (plant height) to 51.83 (grain yield per plot). Falconer and Mackay (1996) classified genetic advance as percent of mean as low (0-10%), medium (10 - 20%) and high (20% and above). Accordingly, high heritability with genetic advance was observed for grain yield per plot, biological yield per plot, number of tillers per meter, thousand grain weight, number of grains per spike and number of </w:t>
      </w:r>
      <w:proofErr w:type="spellStart"/>
      <w:r w:rsidRPr="00686F66">
        <w:rPr>
          <w:rFonts w:ascii="Arial" w:hAnsi="Arial" w:cs="Arial"/>
        </w:rPr>
        <w:t>spikelets</w:t>
      </w:r>
      <w:proofErr w:type="spellEnd"/>
      <w:r w:rsidRPr="00686F66">
        <w:rPr>
          <w:rFonts w:ascii="Arial" w:hAnsi="Arial" w:cs="Arial"/>
        </w:rPr>
        <w:t xml:space="preserve"> per spike. Similar results were also reported by Ahmad </w:t>
      </w:r>
      <w:r w:rsidRPr="006C1ECF">
        <w:rPr>
          <w:rFonts w:ascii="Arial" w:hAnsi="Arial" w:cs="Arial"/>
          <w:i/>
          <w:iCs/>
        </w:rPr>
        <w:t>et al.</w:t>
      </w:r>
      <w:r w:rsidRPr="00686F66">
        <w:rPr>
          <w:rFonts w:ascii="Arial" w:hAnsi="Arial" w:cs="Arial"/>
        </w:rPr>
        <w:t xml:space="preserve"> (2023), </w:t>
      </w:r>
      <w:proofErr w:type="spellStart"/>
      <w:r w:rsidRPr="00686F66">
        <w:rPr>
          <w:rFonts w:ascii="Arial" w:hAnsi="Arial" w:cs="Arial"/>
        </w:rPr>
        <w:t>Atsbeha</w:t>
      </w:r>
      <w:proofErr w:type="spellEnd"/>
      <w:r w:rsidRPr="00686F66">
        <w:rPr>
          <w:rFonts w:ascii="Arial" w:hAnsi="Arial" w:cs="Arial"/>
        </w:rPr>
        <w:t xml:space="preserve"> </w:t>
      </w:r>
      <w:r w:rsidRPr="006C1ECF">
        <w:rPr>
          <w:rFonts w:ascii="Arial" w:hAnsi="Arial" w:cs="Arial"/>
          <w:i/>
          <w:iCs/>
        </w:rPr>
        <w:t>et al.</w:t>
      </w:r>
      <w:r w:rsidRPr="00686F66">
        <w:rPr>
          <w:rFonts w:ascii="Arial" w:hAnsi="Arial" w:cs="Arial"/>
        </w:rPr>
        <w:t xml:space="preserve"> (2023) and Bhatt </w:t>
      </w:r>
      <w:r w:rsidRPr="006C1ECF">
        <w:rPr>
          <w:rFonts w:ascii="Arial" w:hAnsi="Arial" w:cs="Arial"/>
          <w:i/>
          <w:iCs/>
        </w:rPr>
        <w:t>et al.</w:t>
      </w:r>
      <w:r w:rsidRPr="00686F66">
        <w:rPr>
          <w:rFonts w:ascii="Arial" w:hAnsi="Arial" w:cs="Arial"/>
        </w:rPr>
        <w:t xml:space="preserve"> (2023)</w:t>
      </w:r>
    </w:p>
    <w:p w14:paraId="0D77D732" w14:textId="761566A2" w:rsidR="00686F66" w:rsidRPr="00686F66" w:rsidRDefault="00686F66" w:rsidP="00686F66">
      <w:pPr>
        <w:pStyle w:val="Body"/>
        <w:rPr>
          <w:rFonts w:ascii="Arial" w:hAnsi="Arial" w:cs="Arial"/>
        </w:rPr>
      </w:pPr>
      <w:r w:rsidRPr="00686F66">
        <w:rPr>
          <w:rFonts w:ascii="Arial" w:hAnsi="Arial" w:cs="Arial"/>
        </w:rPr>
        <w:t xml:space="preserve">Phenotypic coefficient of variation (PCV) and genotypic coefficient of variation (GCV) are other important genetic parameters that give an idea about environmental effect on trait. The narrow differences in PCV and GCV values indicated that the trait is controlled by genetic makeup of the genotype. Both parameters are important to determine performance of the genotype in an environment (Kumar </w:t>
      </w:r>
      <w:r w:rsidRPr="006C1ECF">
        <w:rPr>
          <w:rFonts w:ascii="Arial" w:hAnsi="Arial" w:cs="Arial"/>
          <w:i/>
          <w:iCs/>
        </w:rPr>
        <w:t>et al.</w:t>
      </w:r>
      <w:r w:rsidR="006C1ECF" w:rsidRPr="006C1ECF">
        <w:rPr>
          <w:rFonts w:ascii="Arial" w:hAnsi="Arial" w:cs="Arial"/>
          <w:i/>
          <w:iCs/>
        </w:rPr>
        <w:t>,</w:t>
      </w:r>
      <w:r w:rsidRPr="00686F66">
        <w:rPr>
          <w:rFonts w:ascii="Arial" w:hAnsi="Arial" w:cs="Arial"/>
        </w:rPr>
        <w:t xml:space="preserve"> 2022). Burton and Devane (1953) classified PCV and GCV values as high (&gt;20%), medium (10-20%) and low (&lt;10%). Accordingly, high PCV and GCV were observed for biological yield per plot, grain yield per plot and number of tillers per meter. Similarly, Sharma </w:t>
      </w:r>
      <w:r w:rsidRPr="006C1ECF">
        <w:rPr>
          <w:rFonts w:ascii="Arial" w:hAnsi="Arial" w:cs="Arial"/>
          <w:i/>
          <w:iCs/>
        </w:rPr>
        <w:t>et al.</w:t>
      </w:r>
      <w:r w:rsidRPr="00686F66">
        <w:rPr>
          <w:rFonts w:ascii="Arial" w:hAnsi="Arial" w:cs="Arial"/>
        </w:rPr>
        <w:t xml:space="preserve"> (2023) while evaluating 102 bread wheat genotypes reported highest GCV and PCV for biological yield/plant. Whereas, Mohammadi </w:t>
      </w:r>
      <w:r w:rsidRPr="006C1ECF">
        <w:rPr>
          <w:rFonts w:ascii="Arial" w:hAnsi="Arial" w:cs="Arial"/>
          <w:i/>
          <w:iCs/>
        </w:rPr>
        <w:t>et al.</w:t>
      </w:r>
      <w:r w:rsidRPr="00686F66">
        <w:rPr>
          <w:rFonts w:ascii="Arial" w:hAnsi="Arial" w:cs="Arial"/>
        </w:rPr>
        <w:t xml:space="preserve"> (2023) reported high to moderate PCV and GCV for harvest index, biological yield/plant, 1000-grain weight, grain yield/plant, number of </w:t>
      </w:r>
      <w:proofErr w:type="spellStart"/>
      <w:r w:rsidRPr="00686F66">
        <w:rPr>
          <w:rFonts w:ascii="Arial" w:hAnsi="Arial" w:cs="Arial"/>
        </w:rPr>
        <w:t>spikelets</w:t>
      </w:r>
      <w:proofErr w:type="spellEnd"/>
      <w:r w:rsidRPr="00686F66">
        <w:rPr>
          <w:rFonts w:ascii="Arial" w:hAnsi="Arial" w:cs="Arial"/>
        </w:rPr>
        <w:t xml:space="preserve">/spike and number of grains/spikes. High PCV and GCV for grain yield and 1000-grain were also reported by Hassani et al. (2022), Abrar </w:t>
      </w:r>
      <w:r w:rsidRPr="006C1ECF">
        <w:rPr>
          <w:rFonts w:ascii="Arial" w:hAnsi="Arial" w:cs="Arial"/>
          <w:i/>
          <w:iCs/>
        </w:rPr>
        <w:t>et al.</w:t>
      </w:r>
      <w:r w:rsidRPr="00686F66">
        <w:rPr>
          <w:rFonts w:ascii="Arial" w:hAnsi="Arial" w:cs="Arial"/>
        </w:rPr>
        <w:t xml:space="preserve"> (2020) and Prasad </w:t>
      </w:r>
      <w:r w:rsidRPr="006C1ECF">
        <w:rPr>
          <w:rFonts w:ascii="Arial" w:hAnsi="Arial" w:cs="Arial"/>
          <w:i/>
          <w:iCs/>
        </w:rPr>
        <w:t xml:space="preserve">et al. </w:t>
      </w:r>
      <w:r w:rsidRPr="00686F66">
        <w:rPr>
          <w:rFonts w:ascii="Arial" w:hAnsi="Arial" w:cs="Arial"/>
        </w:rPr>
        <w:t xml:space="preserve">(2021) in recent studies of variability in bread wheat. </w:t>
      </w:r>
    </w:p>
    <w:p w14:paraId="672F3A44" w14:textId="74C1B391" w:rsidR="00686F66" w:rsidRPr="00686F66" w:rsidRDefault="00686F66" w:rsidP="00686F66">
      <w:pPr>
        <w:pStyle w:val="Body"/>
        <w:rPr>
          <w:rFonts w:ascii="Arial" w:hAnsi="Arial" w:cs="Arial"/>
        </w:rPr>
      </w:pPr>
      <w:r w:rsidRPr="00686F66">
        <w:rPr>
          <w:rFonts w:ascii="Arial" w:hAnsi="Arial" w:cs="Arial"/>
        </w:rPr>
        <w:t xml:space="preserve">Phenotypic correlation indicates the degree and direction of association of various morpho-physiological characters among themselves and with grain yield. Understanding the correlation among various traits is crucial for devising an efficient selection strategy to enhance grain yield in </w:t>
      </w:r>
      <w:proofErr w:type="spellStart"/>
      <w:proofErr w:type="gramStart"/>
      <w:r w:rsidRPr="00686F66">
        <w:rPr>
          <w:rFonts w:ascii="Arial" w:hAnsi="Arial" w:cs="Arial"/>
        </w:rPr>
        <w:t>crops.In</w:t>
      </w:r>
      <w:proofErr w:type="spellEnd"/>
      <w:proofErr w:type="gramEnd"/>
      <w:r w:rsidRPr="00686F66">
        <w:rPr>
          <w:rFonts w:ascii="Arial" w:hAnsi="Arial" w:cs="Arial"/>
        </w:rPr>
        <w:t xml:space="preserve"> the present study, grain yield per plot was found to be positively and significantly correlated with number of tillers per meter, number of </w:t>
      </w:r>
      <w:proofErr w:type="spellStart"/>
      <w:r w:rsidRPr="00686F66">
        <w:rPr>
          <w:rFonts w:ascii="Arial" w:hAnsi="Arial" w:cs="Arial"/>
        </w:rPr>
        <w:t>spikelets</w:t>
      </w:r>
      <w:proofErr w:type="spellEnd"/>
      <w:r w:rsidRPr="00686F66">
        <w:rPr>
          <w:rFonts w:ascii="Arial" w:hAnsi="Arial" w:cs="Arial"/>
        </w:rPr>
        <w:t xml:space="preserve"> per spike, number of grains per spike, thousand grain weight, harvest index and biological yield. Gebremariam </w:t>
      </w:r>
      <w:r w:rsidRPr="006C1ECF">
        <w:rPr>
          <w:rFonts w:ascii="Arial" w:hAnsi="Arial" w:cs="Arial"/>
          <w:i/>
          <w:iCs/>
        </w:rPr>
        <w:t>et al.</w:t>
      </w:r>
      <w:r w:rsidRPr="00686F66">
        <w:rPr>
          <w:rFonts w:ascii="Arial" w:hAnsi="Arial" w:cs="Arial"/>
        </w:rPr>
        <w:t xml:space="preserve"> (2022) reported that grain yield was positively correlated with number of tillers</w:t>
      </w:r>
      <w:r w:rsidR="00002BA0">
        <w:rPr>
          <w:rFonts w:ascii="Arial" w:hAnsi="Arial" w:cs="Arial"/>
        </w:rPr>
        <w:t xml:space="preserve"> </w:t>
      </w:r>
      <w:r w:rsidR="00002BA0" w:rsidRPr="00686F66">
        <w:rPr>
          <w:rFonts w:ascii="Arial" w:hAnsi="Arial" w:cs="Arial"/>
        </w:rPr>
        <w:t>per meter</w:t>
      </w:r>
      <w:r w:rsidRPr="00686F66">
        <w:rPr>
          <w:rFonts w:ascii="Arial" w:hAnsi="Arial" w:cs="Arial"/>
        </w:rPr>
        <w:t xml:space="preserve">, seeds per spike, 1000-seed weight and biomass yield which is similar to the present findings. Similarly, Arab </w:t>
      </w:r>
      <w:r w:rsidRPr="006C1ECF">
        <w:rPr>
          <w:rFonts w:ascii="Arial" w:hAnsi="Arial" w:cs="Arial"/>
          <w:i/>
          <w:iCs/>
        </w:rPr>
        <w:t>et al.</w:t>
      </w:r>
      <w:r w:rsidRPr="00686F66">
        <w:rPr>
          <w:rFonts w:ascii="Arial" w:hAnsi="Arial" w:cs="Arial"/>
        </w:rPr>
        <w:t xml:space="preserve"> (2021) reported highly positive significant correlation between grain yield per plot and number of grains per spike and 1000-grain weight. Similar, positive and significant correlation with grain yield were also reported by Bishwas and Singh (2024) and Singh </w:t>
      </w:r>
      <w:r w:rsidRPr="006C1ECF">
        <w:rPr>
          <w:rFonts w:ascii="Arial" w:hAnsi="Arial" w:cs="Arial"/>
          <w:i/>
          <w:iCs/>
        </w:rPr>
        <w:t>et al.</w:t>
      </w:r>
      <w:r w:rsidRPr="00686F66">
        <w:rPr>
          <w:rFonts w:ascii="Arial" w:hAnsi="Arial" w:cs="Arial"/>
        </w:rPr>
        <w:t xml:space="preserve"> (2023). </w:t>
      </w:r>
    </w:p>
    <w:p w14:paraId="19DB23BD" w14:textId="4D4AFDA0" w:rsidR="00686F66" w:rsidRPr="00B4030D" w:rsidRDefault="00B4030D" w:rsidP="00686F66">
      <w:pPr>
        <w:pStyle w:val="Body"/>
        <w:rPr>
          <w:rFonts w:ascii="Arial" w:hAnsi="Arial" w:cs="Arial"/>
          <w:b/>
          <w:bCs/>
          <w:sz w:val="22"/>
          <w:szCs w:val="22"/>
        </w:rPr>
      </w:pPr>
      <w:r w:rsidRPr="00B4030D">
        <w:rPr>
          <w:rFonts w:ascii="Arial" w:hAnsi="Arial" w:cs="Arial"/>
          <w:b/>
          <w:bCs/>
          <w:sz w:val="22"/>
          <w:szCs w:val="22"/>
        </w:rPr>
        <w:t xml:space="preserve">5. </w:t>
      </w:r>
      <w:r w:rsidR="00686F66" w:rsidRPr="00B4030D">
        <w:rPr>
          <w:rFonts w:ascii="Arial" w:hAnsi="Arial" w:cs="Arial"/>
          <w:b/>
          <w:bCs/>
          <w:sz w:val="22"/>
          <w:szCs w:val="22"/>
        </w:rPr>
        <w:t>CONCLUSION</w:t>
      </w:r>
    </w:p>
    <w:p w14:paraId="6D060A33" w14:textId="034F0631" w:rsidR="00B01FCD" w:rsidRDefault="00686F66" w:rsidP="00686F66">
      <w:pPr>
        <w:pStyle w:val="Body"/>
        <w:spacing w:after="0"/>
        <w:rPr>
          <w:rFonts w:ascii="Arial" w:hAnsi="Arial" w:cs="Arial"/>
        </w:rPr>
      </w:pPr>
      <w:r w:rsidRPr="00686F66">
        <w:rPr>
          <w:rFonts w:ascii="Arial" w:hAnsi="Arial" w:cs="Arial"/>
        </w:rPr>
        <w:t xml:space="preserve">The RIL population displayed ample genetic variability for yield and its component traits, enabling effective selection. High heritability with high genetic advance for grain yield, biological yield and number of tillers per meter indicates additive gene action and suitability for direct selection. Strong positive associations of these traits with grain yield suggest their </w:t>
      </w:r>
      <w:r w:rsidRPr="00686F66">
        <w:rPr>
          <w:rFonts w:ascii="Arial" w:hAnsi="Arial" w:cs="Arial"/>
        </w:rPr>
        <w:lastRenderedPageBreak/>
        <w:t xml:space="preserve">utility as key selection indices. RILs expressing these </w:t>
      </w:r>
      <w:r w:rsidR="000B231D" w:rsidRPr="00686F66">
        <w:rPr>
          <w:rFonts w:ascii="Arial" w:hAnsi="Arial" w:cs="Arial"/>
        </w:rPr>
        <w:t>favorable</w:t>
      </w:r>
      <w:r w:rsidRPr="00686F66">
        <w:rPr>
          <w:rFonts w:ascii="Arial" w:hAnsi="Arial" w:cs="Arial"/>
        </w:rPr>
        <w:t xml:space="preserve"> attributes can be effectively utilized as promising parents in wheat breeding programs aimed at yield enhancement. </w:t>
      </w:r>
    </w:p>
    <w:p w14:paraId="1BC233DA" w14:textId="77777777" w:rsidR="00790ADA" w:rsidRPr="00FB3A86" w:rsidRDefault="00790ADA" w:rsidP="00441B6F">
      <w:pPr>
        <w:pStyle w:val="Body"/>
        <w:spacing w:after="0"/>
        <w:rPr>
          <w:rFonts w:ascii="Arial" w:hAnsi="Arial" w:cs="Arial"/>
        </w:rPr>
      </w:pPr>
    </w:p>
    <w:p w14:paraId="0C3C9EF2" w14:textId="77777777" w:rsidR="00315186" w:rsidRPr="00315186" w:rsidRDefault="00315186" w:rsidP="000B231D">
      <w:pPr>
        <w:jc w:val="both"/>
      </w:pPr>
      <w:bookmarkStart w:id="3" w:name="_GoBack"/>
      <w:bookmarkEnd w:id="3"/>
    </w:p>
    <w:p w14:paraId="6602702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6960FC5" w14:textId="77777777" w:rsidR="00790ADA" w:rsidRPr="00FB3A86" w:rsidRDefault="00790ADA" w:rsidP="00441B6F">
      <w:pPr>
        <w:pStyle w:val="ReferHead"/>
        <w:spacing w:after="0"/>
        <w:jc w:val="both"/>
        <w:rPr>
          <w:rFonts w:ascii="Arial" w:hAnsi="Arial" w:cs="Arial"/>
        </w:rPr>
      </w:pPr>
    </w:p>
    <w:p w14:paraId="15D37387" w14:textId="46EBBAC5"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hAnsi="Arial" w:cs="Arial"/>
          <w:bCs/>
          <w:kern w:val="2"/>
          <w:lang w:val="en-IN" w:bidi="en-US"/>
        </w:rPr>
        <w:t xml:space="preserve">Abid, M., Ali, S., Qi, L. K., Zahoor, R., Tian, Z., Jiang, D., Snider, J. L., &amp; Dai, T. (2018). Physiological and biochemical changes during drought and recovery periods at tillering and jointing stages in wheat (Triticum aestivum L.). Scientific Reports, 8(1), 4615. </w:t>
      </w:r>
      <w:hyperlink r:id="rId18" w:history="1">
        <w:r w:rsidRPr="003D5A99">
          <w:rPr>
            <w:rStyle w:val="Hyperlink"/>
            <w:rFonts w:ascii="Arial" w:hAnsi="Arial" w:cs="Arial"/>
            <w:bCs/>
            <w:kern w:val="2"/>
            <w:lang w:val="en-IN" w:bidi="en-US"/>
          </w:rPr>
          <w:t>https://doi.org/10.1038/s41598-018-21441-7</w:t>
        </w:r>
      </w:hyperlink>
    </w:p>
    <w:p w14:paraId="7837AAE8" w14:textId="6FF9DAC8" w:rsidR="00FC3FAB" w:rsidRPr="003D5A99" w:rsidRDefault="00FC3FAB" w:rsidP="003D5A99">
      <w:pPr>
        <w:spacing w:before="120"/>
        <w:ind w:left="360"/>
        <w:jc w:val="both"/>
        <w:rPr>
          <w:rFonts w:ascii="Arial" w:eastAsia="Calibri" w:hAnsi="Arial" w:cs="Arial"/>
          <w:kern w:val="2"/>
          <w:szCs w:val="22"/>
          <w:shd w:val="clear" w:color="auto" w:fill="FFFFFF"/>
          <w:lang w:val="de-DE"/>
        </w:rPr>
      </w:pPr>
      <w:r w:rsidRPr="003D5A99">
        <w:rPr>
          <w:rFonts w:ascii="Arial" w:eastAsia="Calibri" w:hAnsi="Arial" w:cs="Arial"/>
          <w:kern w:val="2"/>
          <w:szCs w:val="22"/>
          <w:shd w:val="clear" w:color="auto" w:fill="FFFFFF"/>
          <w:lang w:val="en-IN"/>
        </w:rPr>
        <w:t xml:space="preserve">Abrar Yasin B., Rabindra Kumar, &amp; Manoranjan Kumar. (2020). Appraisement of variability parameters of grain yield, yield components and protein content in bread wheat (Triticum aestivum L.). Plant Archives, 20(2), 1436-1439. </w:t>
      </w:r>
      <w:hyperlink r:id="rId19" w:history="1">
        <w:r w:rsidRPr="003D5A99">
          <w:rPr>
            <w:rStyle w:val="Hyperlink"/>
            <w:rFonts w:ascii="Arial" w:eastAsia="Calibri" w:hAnsi="Arial" w:cs="Arial"/>
            <w:kern w:val="2"/>
            <w:szCs w:val="22"/>
            <w:shd w:val="clear" w:color="auto" w:fill="FFFFFF"/>
            <w:lang w:val="en-IN"/>
          </w:rPr>
          <w:t>http://www.plantarchives.org/VOL_20_S_2/1436-1439%20(250).pdf</w:t>
        </w:r>
      </w:hyperlink>
    </w:p>
    <w:p w14:paraId="114DDF2C" w14:textId="65EA44C0"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shd w:val="clear" w:color="auto" w:fill="FFFFFF"/>
          <w:lang w:val="en-IN"/>
        </w:rPr>
        <w:t xml:space="preserve">Ahmad, A., Iqbal, M. N., Anjum, M. M., Khan, B., Khan, S., Ullah, S., Ullah, R., &amp; Afridi, M. Y. (2023). Genetic attributes and correlation studies for important traits in wheat under irrigated and rainfed conditions. </w:t>
      </w:r>
      <w:proofErr w:type="spellStart"/>
      <w:r w:rsidRPr="003D5A99">
        <w:rPr>
          <w:rFonts w:ascii="Arial" w:eastAsia="Calibri" w:hAnsi="Arial" w:cs="Arial"/>
          <w:kern w:val="2"/>
          <w:szCs w:val="22"/>
          <w:shd w:val="clear" w:color="auto" w:fill="FFFFFF"/>
          <w:lang w:val="en-IN"/>
        </w:rPr>
        <w:t>Gesunde</w:t>
      </w:r>
      <w:proofErr w:type="spellEnd"/>
      <w:r w:rsidRPr="003D5A99">
        <w:rPr>
          <w:rFonts w:ascii="Arial" w:eastAsia="Calibri" w:hAnsi="Arial" w:cs="Arial"/>
          <w:kern w:val="2"/>
          <w:szCs w:val="22"/>
          <w:shd w:val="clear" w:color="auto" w:fill="FFFFFF"/>
          <w:lang w:val="en-IN"/>
        </w:rPr>
        <w:t xml:space="preserve"> </w:t>
      </w:r>
      <w:proofErr w:type="spellStart"/>
      <w:r w:rsidRPr="003D5A99">
        <w:rPr>
          <w:rFonts w:ascii="Arial" w:eastAsia="Calibri" w:hAnsi="Arial" w:cs="Arial"/>
          <w:kern w:val="2"/>
          <w:szCs w:val="22"/>
          <w:shd w:val="clear" w:color="auto" w:fill="FFFFFF"/>
          <w:lang w:val="en-IN"/>
        </w:rPr>
        <w:t>Pflanzen</w:t>
      </w:r>
      <w:proofErr w:type="spellEnd"/>
      <w:r w:rsidRPr="003D5A99">
        <w:rPr>
          <w:rFonts w:ascii="Arial" w:eastAsia="Calibri" w:hAnsi="Arial" w:cs="Arial"/>
          <w:kern w:val="2"/>
          <w:szCs w:val="22"/>
          <w:shd w:val="clear" w:color="auto" w:fill="FFFFFF"/>
          <w:lang w:val="en-IN"/>
        </w:rPr>
        <w:t xml:space="preserve">, 75(6), 2387-2400. </w:t>
      </w:r>
      <w:hyperlink r:id="rId20" w:history="1">
        <w:r w:rsidRPr="003D5A99">
          <w:rPr>
            <w:rStyle w:val="Hyperlink"/>
            <w:rFonts w:ascii="Arial" w:eastAsia="Calibri" w:hAnsi="Arial" w:cs="Arial"/>
            <w:kern w:val="2"/>
            <w:szCs w:val="22"/>
            <w:shd w:val="clear" w:color="auto" w:fill="FFFFFF"/>
            <w:lang w:val="en-IN"/>
          </w:rPr>
          <w:t>https://doi.org/10.1007/s10343-023-00884-7</w:t>
        </w:r>
      </w:hyperlink>
    </w:p>
    <w:p w14:paraId="03E491D9" w14:textId="62A697BF"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lang w:val="de-DE" w:bidi="en-US"/>
        </w:rPr>
        <w:t xml:space="preserve">Al-Jibouri, H. A., Miller, P. A., &amp; Robinson, H. F. (1958). Genotypic and Environmental Variances and Covariances in an Upland Cotton Cross of Interspecific Origin. Agronomy Journal, 50(6), 633-636. </w:t>
      </w:r>
      <w:r w:rsidRPr="003D5A99">
        <w:rPr>
          <w:rFonts w:ascii="Arial" w:eastAsia="Calibri" w:hAnsi="Arial" w:cs="Arial"/>
          <w:kern w:val="2"/>
          <w:lang w:val="de-DE" w:bidi="en-US"/>
        </w:rPr>
        <w:fldChar w:fldCharType="begin"/>
      </w:r>
      <w:r w:rsidRPr="003D5A99">
        <w:rPr>
          <w:rFonts w:ascii="Arial" w:eastAsia="Calibri" w:hAnsi="Arial" w:cs="Arial"/>
          <w:kern w:val="2"/>
          <w:lang w:val="de-DE" w:bidi="en-US"/>
        </w:rPr>
        <w:instrText>HYPERLINK "https://doi.org/10.2134/agronj1958.00021962005000100020x"</w:instrText>
      </w:r>
      <w:r w:rsidRPr="003D5A99">
        <w:rPr>
          <w:rFonts w:ascii="Arial" w:eastAsia="Calibri" w:hAnsi="Arial" w:cs="Arial"/>
          <w:kern w:val="2"/>
          <w:lang w:val="de-DE" w:bidi="en-US"/>
        </w:rPr>
        <w:fldChar w:fldCharType="separate"/>
      </w:r>
      <w:r w:rsidRPr="003D5A99">
        <w:rPr>
          <w:rStyle w:val="Hyperlink"/>
          <w:rFonts w:ascii="Arial" w:eastAsia="Calibri" w:hAnsi="Arial" w:cs="Arial"/>
          <w:kern w:val="2"/>
          <w:lang w:val="de-DE" w:bidi="en-US"/>
        </w:rPr>
        <w:t>https://doi.org/10.2134/agronj1958.00021962005000100020x</w:t>
      </w:r>
      <w:r w:rsidRPr="003D5A99">
        <w:rPr>
          <w:rFonts w:ascii="Arial" w:eastAsia="Calibri" w:hAnsi="Arial" w:cs="Arial"/>
          <w:kern w:val="2"/>
          <w:lang w:val="de-DE" w:bidi="en-US"/>
        </w:rPr>
        <w:fldChar w:fldCharType="end"/>
      </w:r>
    </w:p>
    <w:p w14:paraId="28405C0D" w14:textId="2E87042B"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shd w:val="clear" w:color="auto" w:fill="FFFFFF"/>
          <w:lang w:val="en-IN"/>
        </w:rPr>
        <w:t xml:space="preserve">Arab, S. A., El Shal, M. H., Eissa, S. T., &amp; Abou-Zeid, M. A. (2021). Assessment of some wheat genotypes for resistance to some diseases and their effect on yield and yield components. Plant Cell Biotechnology and Molecular Biology, 22(13-14), 73-83. </w:t>
      </w:r>
      <w:hyperlink r:id="rId21" w:history="1">
        <w:r w:rsidRPr="003D5A99">
          <w:rPr>
            <w:rStyle w:val="Hyperlink"/>
            <w:rFonts w:ascii="Arial" w:eastAsia="Calibri" w:hAnsi="Arial" w:cs="Arial"/>
            <w:kern w:val="2"/>
            <w:szCs w:val="22"/>
            <w:shd w:val="clear" w:color="auto" w:fill="FFFFFF"/>
            <w:lang w:val="en-IN"/>
          </w:rPr>
          <w:t>https://www.ikprress.org/index.php/PCBMB/article/view/6015</w:t>
        </w:r>
      </w:hyperlink>
    </w:p>
    <w:p w14:paraId="55F0EEA4" w14:textId="41A75980" w:rsidR="00FC3FAB" w:rsidRPr="003D5A99" w:rsidRDefault="00FC3FAB" w:rsidP="003D5A99">
      <w:pPr>
        <w:spacing w:before="120"/>
        <w:ind w:left="360"/>
        <w:jc w:val="both"/>
        <w:rPr>
          <w:rFonts w:ascii="Arial" w:eastAsia="Calibri" w:hAnsi="Arial" w:cs="Arial"/>
          <w:kern w:val="2"/>
          <w:szCs w:val="22"/>
          <w:lang w:val="en-IN" w:bidi="en-US"/>
        </w:rPr>
      </w:pPr>
      <w:proofErr w:type="spellStart"/>
      <w:r w:rsidRPr="003D5A99">
        <w:rPr>
          <w:rFonts w:ascii="Arial" w:eastAsia="Calibri" w:hAnsi="Arial" w:cs="Arial"/>
          <w:kern w:val="2"/>
          <w:szCs w:val="22"/>
          <w:shd w:val="clear" w:color="auto" w:fill="FFFFFF"/>
          <w:lang w:val="en-IN"/>
        </w:rPr>
        <w:t>Atsbeha</w:t>
      </w:r>
      <w:proofErr w:type="spellEnd"/>
      <w:r w:rsidRPr="003D5A99">
        <w:rPr>
          <w:rFonts w:ascii="Arial" w:eastAsia="Calibri" w:hAnsi="Arial" w:cs="Arial"/>
          <w:kern w:val="2"/>
          <w:szCs w:val="22"/>
          <w:shd w:val="clear" w:color="auto" w:fill="FFFFFF"/>
          <w:lang w:val="en-IN"/>
        </w:rPr>
        <w:t xml:space="preserve">, G., Mekonnen, T., Kebede, M., Haileselassie, T., &amp; Tesfaye, K. (2023). Multivariate analyses, heritability and genotype environment interaction of bread wheat genotypes in Ethiopia. Ecological Genetics and Genomics, 29, 100209. </w:t>
      </w:r>
      <w:hyperlink r:id="rId22" w:history="1">
        <w:r w:rsidRPr="003D5A99">
          <w:rPr>
            <w:rStyle w:val="Hyperlink"/>
            <w:rFonts w:ascii="Arial" w:eastAsia="Calibri" w:hAnsi="Arial" w:cs="Arial"/>
            <w:kern w:val="2"/>
            <w:szCs w:val="22"/>
            <w:shd w:val="clear" w:color="auto" w:fill="FFFFFF"/>
            <w:lang w:val="en-IN"/>
          </w:rPr>
          <w:t>https://doi.org/10.1016/j.egg.2023.100209</w:t>
        </w:r>
      </w:hyperlink>
    </w:p>
    <w:p w14:paraId="28464909" w14:textId="453D442D"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Bhatt, B., Swati, Jaiswal, J. P., Khan, R., Joshi, S., &amp; Chaudhary, D. (2023). Assessment of genetic variability for morpho-physiological and yield traits in bread wheat (Triticum aestivum L.). International Journal of Environment and Climate Change, 13(11), 2283-2291. </w:t>
      </w:r>
      <w:hyperlink r:id="rId23" w:history="1">
        <w:r w:rsidRPr="003D5A99">
          <w:rPr>
            <w:rStyle w:val="Hyperlink"/>
            <w:rFonts w:ascii="Arial" w:eastAsia="Calibri" w:hAnsi="Arial" w:cs="Arial"/>
            <w:kern w:val="2"/>
            <w:szCs w:val="22"/>
            <w:lang w:val="en-IN" w:bidi="en-US"/>
          </w:rPr>
          <w:t>https://doi.org/10.9734/ijecc/2023/v13i113390</w:t>
        </w:r>
      </w:hyperlink>
    </w:p>
    <w:p w14:paraId="30BD710D" w14:textId="5EEC78DA"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Bishwas, S., &amp; Singh, B. (2024). Assessment of Heritability, Genetic Advance and Correlation Coefficient in Wheat (Triticum aestivum L.). International Journal of Plant &amp; Soil Science, 36(1), 82-88. </w:t>
      </w:r>
      <w:hyperlink r:id="rId24" w:history="1">
        <w:r w:rsidRPr="003D5A99">
          <w:rPr>
            <w:rStyle w:val="Hyperlink"/>
            <w:rFonts w:ascii="Arial" w:eastAsia="Calibri" w:hAnsi="Arial" w:cs="Arial"/>
            <w:kern w:val="2"/>
            <w:szCs w:val="22"/>
            <w:lang w:val="en-IN" w:bidi="en-US"/>
          </w:rPr>
          <w:t>https://doi.org/10.9734/ijpss/2024/v36i14332</w:t>
        </w:r>
      </w:hyperlink>
      <w:r w:rsidRPr="003D5A99">
        <w:rPr>
          <w:rFonts w:ascii="Arial" w:eastAsia="Calibri" w:hAnsi="Arial" w:cs="Arial"/>
          <w:kern w:val="2"/>
          <w:szCs w:val="22"/>
          <w:lang w:val="en-IN" w:bidi="en-US"/>
        </w:rPr>
        <w:t>.</w:t>
      </w:r>
    </w:p>
    <w:p w14:paraId="38232B34" w14:textId="14B197F9"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Burton, G. W., &amp; Devane, E. M. (1953). Estimating heritability in tall fescue (Festuca arundinacea) from replicated clonal material. Agronomy Journal, 45(9), 478-481. </w:t>
      </w:r>
      <w:hyperlink r:id="rId25" w:history="1">
        <w:r w:rsidRPr="003D5A99">
          <w:rPr>
            <w:rStyle w:val="Hyperlink"/>
            <w:rFonts w:ascii="Arial" w:eastAsia="Calibri" w:hAnsi="Arial" w:cs="Arial"/>
            <w:kern w:val="2"/>
            <w:szCs w:val="22"/>
            <w:lang w:val="en-IN" w:bidi="en-US"/>
          </w:rPr>
          <w:t>https://doi.org/10.2134/AGRONJ1953.00021962004500100005X</w:t>
        </w:r>
      </w:hyperlink>
    </w:p>
    <w:p w14:paraId="553BA6B6" w14:textId="12D6EE9B"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Falconer, D. S., &amp; Mackay, T. F. C. (1996). *Introduction to quantitative genetics* (4th ed.). Longman. </w:t>
      </w:r>
      <w:hyperlink r:id="rId26" w:history="1">
        <w:r w:rsidRPr="003D5A99">
          <w:rPr>
            <w:rStyle w:val="Hyperlink"/>
            <w:rFonts w:ascii="Arial" w:eastAsia="Calibri" w:hAnsi="Arial" w:cs="Arial"/>
            <w:kern w:val="2"/>
            <w:szCs w:val="22"/>
            <w:lang w:val="en-IN" w:bidi="en-US"/>
          </w:rPr>
          <w:t>https://www.nhbs.com/introduction-to-quantitative-genetics-book</w:t>
        </w:r>
      </w:hyperlink>
    </w:p>
    <w:p w14:paraId="05A0B024" w14:textId="1F352791" w:rsidR="0064367E" w:rsidRPr="003D5A99" w:rsidRDefault="0064367E" w:rsidP="003D5A99">
      <w:pPr>
        <w:spacing w:before="120"/>
        <w:ind w:left="360"/>
        <w:jc w:val="both"/>
        <w:rPr>
          <w:rFonts w:ascii="Arial" w:eastAsia="Calibri" w:hAnsi="Arial" w:cs="Arial"/>
          <w:kern w:val="2"/>
          <w:lang w:val="en-IN" w:bidi="en-US"/>
        </w:rPr>
      </w:pPr>
      <w:r w:rsidRPr="003D5A99">
        <w:rPr>
          <w:rFonts w:ascii="Arial" w:eastAsia="Calibri" w:hAnsi="Arial" w:cs="Arial"/>
          <w:kern w:val="2"/>
          <w:lang w:val="en-IN" w:bidi="en-US"/>
        </w:rPr>
        <w:t>Fisher, R. A. (1925). Statistical methods for research workers. Edinburgh, Scotland: Oliver &amp; Boyd.</w:t>
      </w:r>
    </w:p>
    <w:p w14:paraId="6ED7246F" w14:textId="6D01C3F4"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Gebremariam, K., </w:t>
      </w:r>
      <w:proofErr w:type="spellStart"/>
      <w:r w:rsidRPr="003D5A99">
        <w:rPr>
          <w:rFonts w:ascii="Arial" w:eastAsia="Calibri" w:hAnsi="Arial" w:cs="Arial"/>
          <w:kern w:val="2"/>
          <w:szCs w:val="22"/>
          <w:lang w:val="en-IN" w:bidi="en-US"/>
        </w:rPr>
        <w:t>Alamirew</w:t>
      </w:r>
      <w:proofErr w:type="spellEnd"/>
      <w:r w:rsidRPr="003D5A99">
        <w:rPr>
          <w:rFonts w:ascii="Arial" w:eastAsia="Calibri" w:hAnsi="Arial" w:cs="Arial"/>
          <w:kern w:val="2"/>
          <w:szCs w:val="22"/>
          <w:lang w:val="en-IN" w:bidi="en-US"/>
        </w:rPr>
        <w:t xml:space="preserve">, S., &amp; Gebreselassie, W. (2022). Evaluation of bread wheat (Triticum aestivum L.) germplasm at Kafa Zone, Southwest Ethiopia. Advances in Agriculture, 2022(1), 1682961. </w:t>
      </w:r>
      <w:hyperlink r:id="rId27" w:history="1">
        <w:r w:rsidRPr="003D5A99">
          <w:rPr>
            <w:rStyle w:val="Hyperlink"/>
            <w:rFonts w:ascii="Arial" w:eastAsia="Calibri" w:hAnsi="Arial" w:cs="Arial"/>
            <w:kern w:val="2"/>
            <w:szCs w:val="22"/>
            <w:lang w:val="en-IN" w:bidi="en-US"/>
          </w:rPr>
          <w:t>https://doi.org/10.1155/2022/1682961</w:t>
        </w:r>
      </w:hyperlink>
    </w:p>
    <w:p w14:paraId="546F91E1" w14:textId="2A1A81DD" w:rsidR="00FC3FAB" w:rsidRPr="003D5A99" w:rsidRDefault="00FC3FAB" w:rsidP="003D5A99">
      <w:pPr>
        <w:spacing w:before="120"/>
        <w:ind w:left="360"/>
        <w:jc w:val="both"/>
        <w:rPr>
          <w:rFonts w:ascii="Arial" w:eastAsia="Calibri" w:hAnsi="Arial" w:cs="Arial"/>
          <w:kern w:val="2"/>
          <w:szCs w:val="22"/>
          <w:shd w:val="clear" w:color="auto" w:fill="FFFFFF"/>
          <w:lang w:val="en-IN"/>
        </w:rPr>
      </w:pPr>
      <w:proofErr w:type="spellStart"/>
      <w:r w:rsidRPr="003D5A99">
        <w:rPr>
          <w:rFonts w:ascii="Arial" w:eastAsia="Calibri" w:hAnsi="Arial" w:cs="Arial"/>
          <w:kern w:val="2"/>
          <w:szCs w:val="22"/>
          <w:lang w:val="en-IN" w:bidi="en-US"/>
        </w:rPr>
        <w:lastRenderedPageBreak/>
        <w:t>Gerema</w:t>
      </w:r>
      <w:proofErr w:type="spellEnd"/>
      <w:r w:rsidRPr="003D5A99">
        <w:rPr>
          <w:rFonts w:ascii="Arial" w:eastAsia="Calibri" w:hAnsi="Arial" w:cs="Arial"/>
          <w:kern w:val="2"/>
          <w:szCs w:val="22"/>
          <w:lang w:val="en-IN" w:bidi="en-US"/>
        </w:rPr>
        <w:t xml:space="preserve">, G., Lule, D., </w:t>
      </w:r>
      <w:proofErr w:type="spellStart"/>
      <w:r w:rsidRPr="003D5A99">
        <w:rPr>
          <w:rFonts w:ascii="Arial" w:eastAsia="Calibri" w:hAnsi="Arial" w:cs="Arial"/>
          <w:kern w:val="2"/>
          <w:szCs w:val="22"/>
          <w:lang w:val="en-IN" w:bidi="en-US"/>
        </w:rPr>
        <w:t>Lemessa</w:t>
      </w:r>
      <w:proofErr w:type="spellEnd"/>
      <w:r w:rsidRPr="003D5A99">
        <w:rPr>
          <w:rFonts w:ascii="Arial" w:eastAsia="Calibri" w:hAnsi="Arial" w:cs="Arial"/>
          <w:kern w:val="2"/>
          <w:szCs w:val="22"/>
          <w:lang w:val="en-IN" w:bidi="en-US"/>
        </w:rPr>
        <w:t xml:space="preserve">, F., &amp; Mekonnen, T. (2020). Morphological characterization and genetic analysis in bread wheat germplasm: A combined study of heritability, genetic variance, genetic divergence and association of characters. Agricultural Science &amp; Technology, 12(4), 301-311. </w:t>
      </w:r>
      <w:hyperlink r:id="rId28" w:history="1">
        <w:r w:rsidRPr="003D5A99">
          <w:rPr>
            <w:rStyle w:val="Hyperlink"/>
            <w:rFonts w:ascii="Arial" w:eastAsia="Calibri" w:hAnsi="Arial" w:cs="Arial"/>
            <w:kern w:val="2"/>
            <w:szCs w:val="22"/>
            <w:lang w:val="en-IN" w:bidi="en-US"/>
          </w:rPr>
          <w:t>https://doi.org/10.15547/ast.2020.04.048</w:t>
        </w:r>
      </w:hyperlink>
    </w:p>
    <w:p w14:paraId="3AC35C12" w14:textId="086CE205" w:rsidR="00FC3FAB" w:rsidRPr="003D5A99" w:rsidRDefault="00FC3FAB" w:rsidP="003D5A99">
      <w:pPr>
        <w:spacing w:before="120"/>
        <w:ind w:left="360"/>
        <w:jc w:val="both"/>
        <w:rPr>
          <w:rFonts w:ascii="Arial" w:eastAsia="Calibri" w:hAnsi="Arial" w:cs="Arial"/>
          <w:kern w:val="2"/>
          <w:lang w:val="en-IN"/>
        </w:rPr>
      </w:pPr>
      <w:r w:rsidRPr="003D5A99">
        <w:rPr>
          <w:rFonts w:ascii="Arial" w:eastAsia="Calibri" w:hAnsi="Arial" w:cs="Arial"/>
          <w:kern w:val="2"/>
          <w:szCs w:val="22"/>
          <w:lang w:val="en-IN" w:bidi="en-US"/>
        </w:rPr>
        <w:t xml:space="preserve">Hassani, I., </w:t>
      </w:r>
      <w:proofErr w:type="spellStart"/>
      <w:r w:rsidRPr="003D5A99">
        <w:rPr>
          <w:rFonts w:ascii="Arial" w:eastAsia="Calibri" w:hAnsi="Arial" w:cs="Arial"/>
          <w:kern w:val="2"/>
          <w:szCs w:val="22"/>
          <w:lang w:val="en-IN" w:bidi="en-US"/>
        </w:rPr>
        <w:t>Nimbal</w:t>
      </w:r>
      <w:proofErr w:type="spellEnd"/>
      <w:r w:rsidRPr="003D5A99">
        <w:rPr>
          <w:rFonts w:ascii="Arial" w:eastAsia="Calibri" w:hAnsi="Arial" w:cs="Arial"/>
          <w:kern w:val="2"/>
          <w:szCs w:val="22"/>
          <w:lang w:val="en-IN" w:bidi="en-US"/>
        </w:rPr>
        <w:t xml:space="preserve">, S., Noori, A., &amp; Singh, V. (2022). Genetic variability analysis and correlation studies of bread wheat (Triticum aestivum L.) genotypes. Ekin Journal of Crop Breeding and Genetics, 8(2), 139-145. </w:t>
      </w:r>
      <w:hyperlink r:id="rId29" w:history="1">
        <w:r w:rsidRPr="003D5A99">
          <w:rPr>
            <w:rStyle w:val="Hyperlink"/>
            <w:rFonts w:ascii="Arial" w:eastAsia="Calibri" w:hAnsi="Arial" w:cs="Arial"/>
            <w:kern w:val="2"/>
            <w:szCs w:val="22"/>
            <w:lang w:val="en-IN" w:bidi="en-US"/>
          </w:rPr>
          <w:t>https://dergipark.org.tr/en/pub/ekin/issue/71700/1139000</w:t>
        </w:r>
      </w:hyperlink>
    </w:p>
    <w:p w14:paraId="5171F41A" w14:textId="5F0C7643" w:rsidR="00FC3FAB" w:rsidRPr="003D5A99" w:rsidRDefault="00FC3FAB" w:rsidP="003D5A99">
      <w:pPr>
        <w:spacing w:before="120"/>
        <w:ind w:left="360"/>
        <w:jc w:val="both"/>
        <w:rPr>
          <w:rFonts w:ascii="Arial" w:eastAsia="Calibri" w:hAnsi="Arial" w:cs="Arial"/>
          <w:kern w:val="2"/>
          <w:lang w:val="de-DE" w:bidi="en-US"/>
        </w:rPr>
      </w:pPr>
      <w:r w:rsidRPr="003D5A99">
        <w:rPr>
          <w:rFonts w:ascii="Arial" w:hAnsi="Arial" w:cs="Arial"/>
          <w:bCs/>
          <w:kern w:val="2"/>
          <w:lang w:val="en-IN" w:bidi="en-US"/>
        </w:rPr>
        <w:t xml:space="preserve">ICAR-Indian Institute of Wheat and Barley Research. (2024). Annual Report 2024. </w:t>
      </w:r>
      <w:hyperlink r:id="rId30" w:history="1">
        <w:r w:rsidRPr="003D5A99">
          <w:rPr>
            <w:rStyle w:val="Hyperlink"/>
            <w:rFonts w:ascii="Arial" w:hAnsi="Arial" w:cs="Arial"/>
            <w:bCs/>
            <w:kern w:val="2"/>
            <w:lang w:val="en-IN" w:bidi="en-US"/>
          </w:rPr>
          <w:t>https://iiwbr.org.in/annual-report-</w:t>
        </w:r>
        <w:r w:rsidRPr="003D5A99">
          <w:rPr>
            <w:rStyle w:val="Hyperlink"/>
            <w:rFonts w:ascii="Arial" w:hAnsi="Arial" w:cs="Arial"/>
            <w:b/>
            <w:kern w:val="2"/>
            <w:lang w:val="en-IN" w:bidi="en-US"/>
          </w:rPr>
          <w:t>2024</w:t>
        </w:r>
      </w:hyperlink>
    </w:p>
    <w:p w14:paraId="0545324C" w14:textId="0A55599A"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b/>
          <w:kern w:val="2"/>
          <w:lang w:val="en-IN" w:bidi="en-US"/>
        </w:rPr>
        <w:t xml:space="preserve">Khalid, A., Hameed, A., &amp; Tahir, M. F. (2023). Wheat quality: A review on chemical composition, nutritional attributes, grain anatomy, types, classification, and function of seed storage proteins in bread making quality. Frontiers in Nutrition </w:t>
      </w:r>
      <w:hyperlink r:id="rId31" w:history="1">
        <w:r w:rsidRPr="003D5A99">
          <w:rPr>
            <w:rStyle w:val="Hyperlink"/>
            <w:rFonts w:ascii="Arial" w:eastAsia="Calibri" w:hAnsi="Arial" w:cs="Arial"/>
            <w:b/>
            <w:kern w:val="2"/>
            <w:lang w:val="en-IN" w:bidi="en-US"/>
          </w:rPr>
          <w:t>https://doi.org/10.3389/fnut.2023.1053196</w:t>
        </w:r>
      </w:hyperlink>
    </w:p>
    <w:p w14:paraId="78CAC400" w14:textId="08278E48"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de-DE" w:bidi="en-US"/>
        </w:rPr>
        <w:t xml:space="preserve">Kumar, B., Singh, C. M., &amp; Jaiswal, K. K. (2013). Genetic variability, association and diversity studies in bread wheat (Triticum aestivum L.). The Bioscan. </w:t>
      </w:r>
      <w:r w:rsidRPr="003D5A99">
        <w:rPr>
          <w:rFonts w:ascii="Arial" w:eastAsia="Calibri" w:hAnsi="Arial" w:cs="Arial"/>
          <w:kern w:val="2"/>
          <w:szCs w:val="22"/>
          <w:lang w:val="de-DE" w:bidi="en-US"/>
        </w:rPr>
        <w:fldChar w:fldCharType="begin"/>
      </w:r>
      <w:r w:rsidRPr="003D5A99">
        <w:rPr>
          <w:rFonts w:ascii="Arial" w:eastAsia="Calibri" w:hAnsi="Arial" w:cs="Arial"/>
          <w:kern w:val="2"/>
          <w:szCs w:val="22"/>
          <w:lang w:val="de-DE" w:bidi="en-US"/>
        </w:rPr>
        <w:instrText>HYPERLINK "https://www.thebioscan.in/View/8(1)%20143-147%20(2013)%20The%20Bioscan.pdf"</w:instrText>
      </w:r>
      <w:r w:rsidRPr="003D5A99">
        <w:rPr>
          <w:rFonts w:ascii="Arial" w:eastAsia="Calibri" w:hAnsi="Arial" w:cs="Arial"/>
          <w:kern w:val="2"/>
          <w:szCs w:val="22"/>
          <w:lang w:val="de-DE" w:bidi="en-US"/>
        </w:rPr>
        <w:fldChar w:fldCharType="separate"/>
      </w:r>
      <w:r w:rsidRPr="003D5A99">
        <w:rPr>
          <w:rStyle w:val="Hyperlink"/>
          <w:rFonts w:ascii="Arial" w:eastAsia="Calibri" w:hAnsi="Arial" w:cs="Arial"/>
          <w:kern w:val="2"/>
          <w:szCs w:val="22"/>
          <w:lang w:val="de-DE" w:bidi="en-US"/>
        </w:rPr>
        <w:t>https://www.thebioscan.in/View/8(1)%20143-147%20(2013)%20The%20Bioscan.pdf</w:t>
      </w:r>
      <w:r w:rsidRPr="003D5A99">
        <w:rPr>
          <w:rFonts w:ascii="Arial" w:eastAsia="Calibri" w:hAnsi="Arial" w:cs="Arial"/>
          <w:kern w:val="2"/>
          <w:szCs w:val="22"/>
          <w:lang w:val="de-DE" w:bidi="en-US"/>
        </w:rPr>
        <w:fldChar w:fldCharType="end"/>
      </w:r>
    </w:p>
    <w:p w14:paraId="69F76B78" w14:textId="5B71456A"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Kumar, J., Kumar, A., Mishra, A., Mishra, V. K., &amp; Roy, J. (2022). Genetic variation, heritability, genetic advance, micronutrients and grain morphology trait associations in EMS induced mutant lines of wheat (Triticum aestivum L.). Genetic Resources and Crop Evolution, 69(6), 2141-2158. </w:t>
      </w:r>
      <w:hyperlink r:id="rId32" w:history="1">
        <w:r w:rsidRPr="003D5A99">
          <w:rPr>
            <w:rStyle w:val="Hyperlink"/>
            <w:rFonts w:ascii="Arial" w:eastAsia="Calibri" w:hAnsi="Arial" w:cs="Arial"/>
            <w:kern w:val="2"/>
            <w:szCs w:val="22"/>
            <w:lang w:val="en-IN" w:bidi="en-US"/>
          </w:rPr>
          <w:t>https://doi.org/10.1007/s10722-022-01363-0</w:t>
        </w:r>
      </w:hyperlink>
    </w:p>
    <w:p w14:paraId="3C65E292" w14:textId="76DB346D" w:rsidR="00FC3FAB" w:rsidRPr="003D5A99" w:rsidRDefault="00FC3FAB" w:rsidP="003D5A99">
      <w:pPr>
        <w:spacing w:before="120"/>
        <w:ind w:left="360"/>
        <w:jc w:val="both"/>
        <w:rPr>
          <w:rFonts w:ascii="Arial" w:hAnsi="Arial" w:cs="Arial"/>
          <w:bCs/>
          <w:kern w:val="2"/>
          <w:lang w:val="en-IN" w:bidi="en-US"/>
        </w:rPr>
      </w:pPr>
      <w:r w:rsidRPr="003D5A99">
        <w:rPr>
          <w:rFonts w:ascii="Arial" w:eastAsia="Calibri" w:hAnsi="Arial" w:cs="Arial"/>
          <w:kern w:val="2"/>
          <w:lang w:val="en-IN" w:bidi="en-US"/>
        </w:rPr>
        <w:t xml:space="preserve">Kumar, S., Saxena, S., Dubey, S. K., Chaudhary, K., Sehgal, S., Neetu, &amp; Ray, S. S. (2019). Analysis of wheat crop forecasts, in India, generated using remote sensing data, under FASAL project. The International Archives of the Photogrammetry, Remote Sensing and Spatial Information Sciences, 42, 223-228. </w:t>
      </w:r>
      <w:hyperlink r:id="rId33" w:history="1">
        <w:r w:rsidRPr="003D5A99">
          <w:rPr>
            <w:rStyle w:val="Hyperlink"/>
            <w:rFonts w:ascii="Arial" w:eastAsia="Calibri" w:hAnsi="Arial" w:cs="Arial"/>
            <w:kern w:val="2"/>
            <w:lang w:val="en-IN" w:bidi="en-US"/>
          </w:rPr>
          <w:t>https://doi.org/10.5194/isprs-archives-XLII-3-W6-223-2019</w:t>
        </w:r>
      </w:hyperlink>
    </w:p>
    <w:p w14:paraId="17C1AC06" w14:textId="59E73155"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hAnsi="Arial" w:cs="Arial"/>
          <w:bCs/>
          <w:kern w:val="2"/>
          <w:lang w:val="en-IN" w:bidi="en-US"/>
        </w:rPr>
        <w:t xml:space="preserve">Meena, V. K., Sharma, R. K., Chand, S., Kumar, S., &amp; Choudhary, K. (2025). Comparative study of stability models for identifying stable spring wheat genotypes in diverse conditions. Discover Agriculture. </w:t>
      </w:r>
      <w:hyperlink r:id="rId34" w:history="1">
        <w:r w:rsidRPr="003D5A99">
          <w:rPr>
            <w:rStyle w:val="Hyperlink"/>
            <w:rFonts w:ascii="Arial" w:hAnsi="Arial" w:cs="Arial"/>
            <w:bCs/>
            <w:kern w:val="2"/>
            <w:lang w:val="en-IN" w:bidi="en-US"/>
          </w:rPr>
          <w:t>https://doi.org/10.1007/s44279-025-00167-x</w:t>
        </w:r>
      </w:hyperlink>
    </w:p>
    <w:p w14:paraId="3629D804" w14:textId="089B6B68"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shd w:val="clear" w:color="auto" w:fill="FFFFFF"/>
          <w:lang w:val="en-IN"/>
        </w:rPr>
        <w:t xml:space="preserve">Mohammadi, L., Kumar, M., Singh, V., &amp; </w:t>
      </w:r>
      <w:proofErr w:type="spellStart"/>
      <w:r w:rsidRPr="003D5A99">
        <w:rPr>
          <w:rFonts w:ascii="Arial" w:eastAsia="Calibri" w:hAnsi="Arial" w:cs="Arial"/>
          <w:kern w:val="2"/>
          <w:szCs w:val="22"/>
          <w:shd w:val="clear" w:color="auto" w:fill="FFFFFF"/>
          <w:lang w:val="en-IN"/>
        </w:rPr>
        <w:t>Akbarzai</w:t>
      </w:r>
      <w:proofErr w:type="spellEnd"/>
      <w:r w:rsidRPr="003D5A99">
        <w:rPr>
          <w:rFonts w:ascii="Arial" w:eastAsia="Calibri" w:hAnsi="Arial" w:cs="Arial"/>
          <w:kern w:val="2"/>
          <w:szCs w:val="22"/>
          <w:shd w:val="clear" w:color="auto" w:fill="FFFFFF"/>
          <w:lang w:val="en-IN"/>
        </w:rPr>
        <w:t xml:space="preserve">, D. K. (2023). Study of Genetic Diversity for Rust Resistance and Yield Related Traits in F5 and F6 Populations of Bread wheat (Triticum aestivum L.). Current Journal of Applied Science and Technology, 42(25), 42-56. </w:t>
      </w:r>
      <w:hyperlink r:id="rId35" w:history="1">
        <w:r w:rsidRPr="003D5A99">
          <w:rPr>
            <w:rStyle w:val="Hyperlink"/>
            <w:rFonts w:ascii="Arial" w:eastAsia="Calibri" w:hAnsi="Arial" w:cs="Arial"/>
            <w:kern w:val="2"/>
            <w:szCs w:val="22"/>
            <w:shd w:val="clear" w:color="auto" w:fill="FFFFFF"/>
            <w:lang w:val="en-IN"/>
          </w:rPr>
          <w:t>https://doi.org/10.9734/CJAST/2023/v42i254185</w:t>
        </w:r>
      </w:hyperlink>
    </w:p>
    <w:p w14:paraId="2420B6C6" w14:textId="689EFBAC" w:rsidR="0064367E" w:rsidRPr="003D5A99" w:rsidRDefault="0064367E" w:rsidP="003D5A99">
      <w:pPr>
        <w:spacing w:before="120"/>
        <w:ind w:left="360"/>
        <w:jc w:val="both"/>
        <w:rPr>
          <w:rFonts w:ascii="Arial" w:eastAsia="Calibri" w:hAnsi="Arial" w:cs="Arial"/>
          <w:kern w:val="2"/>
          <w:lang w:val="en-IN" w:bidi="en-US"/>
        </w:rPr>
      </w:pPr>
      <w:r w:rsidRPr="003D5A99">
        <w:rPr>
          <w:rFonts w:ascii="Arial" w:eastAsia="Calibri" w:hAnsi="Arial" w:cs="Arial"/>
          <w:kern w:val="2"/>
          <w:lang w:val="en-IN" w:bidi="en-US"/>
        </w:rPr>
        <w:t>Pandey, V. K., Verma, P. N., Kumar, A., &amp; Saha, S. (2025). Assessment of Genetic Variability, Diversity, Correlation, and Path Analysis for Yield and its Components in Wheat (</w:t>
      </w:r>
      <w:r w:rsidRPr="003D5A99">
        <w:rPr>
          <w:rFonts w:ascii="Arial" w:eastAsia="Calibri" w:hAnsi="Arial" w:cs="Arial"/>
          <w:i/>
          <w:iCs/>
          <w:kern w:val="2"/>
          <w:lang w:val="en-IN" w:bidi="en-US"/>
        </w:rPr>
        <w:t>Triticum aestivum</w:t>
      </w:r>
      <w:r w:rsidRPr="003D5A99">
        <w:rPr>
          <w:rFonts w:ascii="Arial" w:eastAsia="Calibri" w:hAnsi="Arial" w:cs="Arial"/>
          <w:kern w:val="2"/>
          <w:lang w:val="en-IN" w:bidi="en-US"/>
        </w:rPr>
        <w:t xml:space="preserve"> L.). </w:t>
      </w:r>
      <w:r w:rsidRPr="003D5A99">
        <w:rPr>
          <w:rFonts w:ascii="Arial" w:eastAsia="Calibri" w:hAnsi="Arial" w:cs="Arial"/>
          <w:i/>
          <w:iCs/>
          <w:kern w:val="2"/>
          <w:lang w:val="en-IN" w:bidi="en-US"/>
        </w:rPr>
        <w:t>Ecology, Environment &amp; Conservation</w:t>
      </w:r>
      <w:r w:rsidRPr="003D5A99">
        <w:rPr>
          <w:rFonts w:ascii="Arial" w:eastAsia="Calibri" w:hAnsi="Arial" w:cs="Arial"/>
          <w:kern w:val="2"/>
          <w:lang w:val="en-IN" w:bidi="en-US"/>
        </w:rPr>
        <w:t>, 31.</w:t>
      </w:r>
    </w:p>
    <w:p w14:paraId="0DA34CEA" w14:textId="027753B9"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szCs w:val="22"/>
          <w:lang w:val="en-IN" w:bidi="en-US"/>
        </w:rPr>
        <w:t xml:space="preserve">Poudel, M. R., Poudel, P. B., Puri, R. R., &amp; Paudel, H. K. (2021). Variability, Correlation and Path Coefficient Analysis for </w:t>
      </w:r>
      <w:proofErr w:type="spellStart"/>
      <w:r w:rsidRPr="003D5A99">
        <w:rPr>
          <w:rFonts w:ascii="Arial" w:eastAsia="Calibri" w:hAnsi="Arial" w:cs="Arial"/>
          <w:kern w:val="2"/>
          <w:szCs w:val="22"/>
          <w:lang w:val="en-IN" w:bidi="en-US"/>
        </w:rPr>
        <w:t>Agro</w:t>
      </w:r>
      <w:proofErr w:type="spellEnd"/>
      <w:r w:rsidRPr="003D5A99">
        <w:rPr>
          <w:rFonts w:ascii="Arial" w:eastAsia="Calibri" w:hAnsi="Arial" w:cs="Arial"/>
          <w:kern w:val="2"/>
          <w:szCs w:val="22"/>
          <w:lang w:val="en-IN" w:bidi="en-US"/>
        </w:rPr>
        <w:t xml:space="preserve">-morphological Traits in Wheat Genotypes (Triticum aestivum L.) under Normal and Heat Stress Conditions. International Journal of Applied Sciences and Biotechnology, 9(1), 65–74. </w:t>
      </w:r>
      <w:hyperlink r:id="rId36" w:history="1">
        <w:r w:rsidRPr="003D5A99">
          <w:rPr>
            <w:rStyle w:val="Hyperlink"/>
            <w:rFonts w:ascii="Arial" w:eastAsia="Calibri" w:hAnsi="Arial" w:cs="Arial"/>
            <w:kern w:val="2"/>
            <w:szCs w:val="22"/>
            <w:lang w:val="en-IN" w:bidi="en-US"/>
          </w:rPr>
          <w:t>https://doi.org/10.3126/ijasbt.v9i1.35985</w:t>
        </w:r>
      </w:hyperlink>
    </w:p>
    <w:p w14:paraId="261DA72D" w14:textId="09A4BFCE"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Prasad, J., </w:t>
      </w:r>
      <w:proofErr w:type="spellStart"/>
      <w:r w:rsidRPr="003D5A99">
        <w:rPr>
          <w:rFonts w:ascii="Arial" w:eastAsia="Calibri" w:hAnsi="Arial" w:cs="Arial"/>
          <w:kern w:val="2"/>
          <w:szCs w:val="22"/>
          <w:lang w:val="en-IN" w:bidi="en-US"/>
        </w:rPr>
        <w:t>Dasora</w:t>
      </w:r>
      <w:proofErr w:type="spellEnd"/>
      <w:r w:rsidRPr="003D5A99">
        <w:rPr>
          <w:rFonts w:ascii="Arial" w:eastAsia="Calibri" w:hAnsi="Arial" w:cs="Arial"/>
          <w:kern w:val="2"/>
          <w:szCs w:val="22"/>
          <w:lang w:val="en-IN" w:bidi="en-US"/>
        </w:rPr>
        <w:t xml:space="preserve">, A., Chauhan, D., Rizzardi, D. A., </w:t>
      </w:r>
      <w:proofErr w:type="spellStart"/>
      <w:r w:rsidRPr="003D5A99">
        <w:rPr>
          <w:rFonts w:ascii="Arial" w:eastAsia="Calibri" w:hAnsi="Arial" w:cs="Arial"/>
          <w:kern w:val="2"/>
          <w:szCs w:val="22"/>
          <w:lang w:val="en-IN" w:bidi="en-US"/>
        </w:rPr>
        <w:t>Bangarwa</w:t>
      </w:r>
      <w:proofErr w:type="spellEnd"/>
      <w:r w:rsidRPr="003D5A99">
        <w:rPr>
          <w:rFonts w:ascii="Arial" w:eastAsia="Calibri" w:hAnsi="Arial" w:cs="Arial"/>
          <w:kern w:val="2"/>
          <w:szCs w:val="22"/>
          <w:lang w:val="en-IN" w:bidi="en-US"/>
        </w:rPr>
        <w:t xml:space="preserve">, S. K., &amp; Nesara, K. (2021). Genetic variability, heritability and genetic advance in bread wheat (Triticum aestivum L.) genotypes. Genetics and Molecular Research, 20(2), 1-6. </w:t>
      </w:r>
      <w:hyperlink r:id="rId37" w:history="1">
        <w:r w:rsidRPr="003D5A99">
          <w:rPr>
            <w:rStyle w:val="Hyperlink"/>
            <w:rFonts w:ascii="Arial" w:eastAsia="Calibri" w:hAnsi="Arial" w:cs="Arial"/>
            <w:kern w:val="2"/>
            <w:szCs w:val="22"/>
            <w:lang w:val="en-IN" w:bidi="en-US"/>
          </w:rPr>
          <w:t>https://doi.org/10.4238/gmr19419</w:t>
        </w:r>
      </w:hyperlink>
    </w:p>
    <w:p w14:paraId="66D520B3" w14:textId="752D4B4C" w:rsidR="00FC3FAB" w:rsidRPr="003D5A99" w:rsidRDefault="00FC3FAB" w:rsidP="003D5A99">
      <w:pPr>
        <w:spacing w:before="120"/>
        <w:ind w:left="360"/>
        <w:jc w:val="both"/>
        <w:rPr>
          <w:rFonts w:ascii="Arial" w:eastAsia="Calibri" w:hAnsi="Arial" w:cs="Arial"/>
          <w:kern w:val="2"/>
          <w:szCs w:val="22"/>
          <w:lang w:val="en-IN" w:bidi="en-US"/>
        </w:rPr>
      </w:pPr>
      <w:r w:rsidRPr="003D5A99">
        <w:rPr>
          <w:rFonts w:ascii="Arial" w:eastAsia="Calibri" w:hAnsi="Arial" w:cs="Arial"/>
          <w:kern w:val="2"/>
          <w:lang w:val="en-IN" w:bidi="en-US"/>
        </w:rPr>
        <w:t xml:space="preserve">Rigatti, A., de Pelegrin, A. J., Meier, C., </w:t>
      </w:r>
      <w:proofErr w:type="spellStart"/>
      <w:r w:rsidRPr="003D5A99">
        <w:rPr>
          <w:rFonts w:ascii="Arial" w:eastAsia="Calibri" w:hAnsi="Arial" w:cs="Arial"/>
          <w:kern w:val="2"/>
          <w:lang w:val="en-IN" w:bidi="en-US"/>
        </w:rPr>
        <w:t>Lunkes</w:t>
      </w:r>
      <w:proofErr w:type="spellEnd"/>
      <w:r w:rsidRPr="003D5A99">
        <w:rPr>
          <w:rFonts w:ascii="Arial" w:eastAsia="Calibri" w:hAnsi="Arial" w:cs="Arial"/>
          <w:kern w:val="2"/>
          <w:lang w:val="en-IN" w:bidi="en-US"/>
        </w:rPr>
        <w:t xml:space="preserve">, A., Klein, L. A., Da Silva, A. F., Bellé, E. P., Silva, A. D. B., Marchioro, V. S., &amp; De Souza, V. Q. (2018). Combination capacity and </w:t>
      </w:r>
      <w:r w:rsidRPr="003D5A99">
        <w:rPr>
          <w:rFonts w:ascii="Arial" w:eastAsia="Calibri" w:hAnsi="Arial" w:cs="Arial"/>
          <w:kern w:val="2"/>
          <w:lang w:val="en-IN" w:bidi="en-US"/>
        </w:rPr>
        <w:lastRenderedPageBreak/>
        <w:t xml:space="preserve">association among traits of grain yield in wheat (Triticum aestivum L.): A Review. Journal of Agricultural Science, 10(5), 179-187. </w:t>
      </w:r>
      <w:hyperlink r:id="rId38" w:history="1">
        <w:r w:rsidRPr="003D5A99">
          <w:rPr>
            <w:rStyle w:val="Hyperlink"/>
            <w:rFonts w:ascii="Arial" w:eastAsia="Calibri" w:hAnsi="Arial" w:cs="Arial"/>
            <w:kern w:val="2"/>
            <w:lang w:val="en-IN" w:bidi="en-US"/>
          </w:rPr>
          <w:t>https://doi.org/10.5539/jas.v10n5p179</w:t>
        </w:r>
      </w:hyperlink>
    </w:p>
    <w:p w14:paraId="25A853D4" w14:textId="744E537E"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lang w:val="en-IN" w:bidi="en-US"/>
        </w:rPr>
        <w:t xml:space="preserve">Robinson, H. F., Comstock, R. E., &amp; Harvey, P. H. (1949). Estimates of heritability and the degree of dominance in Corn1. Agronomy Journal, 41(8), 353-359. </w:t>
      </w:r>
      <w:hyperlink r:id="rId39" w:history="1">
        <w:r w:rsidRPr="003D5A99">
          <w:rPr>
            <w:rStyle w:val="Hyperlink"/>
            <w:rFonts w:ascii="Arial" w:eastAsia="Calibri" w:hAnsi="Arial" w:cs="Arial"/>
            <w:kern w:val="2"/>
            <w:szCs w:val="22"/>
            <w:lang w:val="en-IN" w:bidi="en-US"/>
          </w:rPr>
          <w:t>https://doi.org/10.2134/agronj1949.00021962004100080005x</w:t>
        </w:r>
      </w:hyperlink>
    </w:p>
    <w:p w14:paraId="0A3E9257" w14:textId="04401188"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shd w:val="clear" w:color="auto" w:fill="FFFFFF"/>
          <w:lang w:val="en-IN"/>
        </w:rPr>
        <w:t xml:space="preserve">Sharma, S., Tripathi, M. K., Tiwari, S., Solanki, R. S., Chauhan, S., Tripathi, N., &amp; </w:t>
      </w:r>
      <w:proofErr w:type="spellStart"/>
      <w:r w:rsidRPr="003D5A99">
        <w:rPr>
          <w:rFonts w:ascii="Arial" w:eastAsia="Calibri" w:hAnsi="Arial" w:cs="Arial"/>
          <w:kern w:val="2"/>
          <w:szCs w:val="22"/>
          <w:shd w:val="clear" w:color="auto" w:fill="FFFFFF"/>
          <w:lang w:val="en-IN"/>
        </w:rPr>
        <w:t>Kandalkar</w:t>
      </w:r>
      <w:proofErr w:type="spellEnd"/>
      <w:r w:rsidRPr="003D5A99">
        <w:rPr>
          <w:rFonts w:ascii="Arial" w:eastAsia="Calibri" w:hAnsi="Arial" w:cs="Arial"/>
          <w:kern w:val="2"/>
          <w:szCs w:val="22"/>
          <w:shd w:val="clear" w:color="auto" w:fill="FFFFFF"/>
          <w:lang w:val="en-IN"/>
        </w:rPr>
        <w:t xml:space="preserve">, V. S. (2023). The exploitation of genetic variability and trait association analysis for diverse quantitative traits in bread wheat (Triticum aestivum L.). Current Journal of Applied Science and Technology, 42(8), 19-33. </w:t>
      </w:r>
      <w:hyperlink r:id="rId40" w:history="1">
        <w:r w:rsidRPr="003D5A99">
          <w:rPr>
            <w:rStyle w:val="Hyperlink"/>
            <w:rFonts w:ascii="Arial" w:eastAsia="Calibri" w:hAnsi="Arial" w:cs="Arial"/>
            <w:kern w:val="2"/>
            <w:szCs w:val="22"/>
            <w:shd w:val="clear" w:color="auto" w:fill="FFFFFF"/>
            <w:lang w:val="en-IN"/>
          </w:rPr>
          <w:t>https://doi.org/10.9734/cjast/2023/v42i898995</w:t>
        </w:r>
      </w:hyperlink>
    </w:p>
    <w:p w14:paraId="4E29AF77" w14:textId="313A9BA4"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lang w:val="en-IN" w:bidi="en-US"/>
        </w:rPr>
        <w:t xml:space="preserve">Shiferaw, H., Hailu, F., Mulugeta, B., &amp; </w:t>
      </w:r>
      <w:proofErr w:type="spellStart"/>
      <w:r w:rsidRPr="003D5A99">
        <w:rPr>
          <w:rFonts w:ascii="Arial" w:eastAsia="Calibri" w:hAnsi="Arial" w:cs="Arial"/>
          <w:kern w:val="2"/>
          <w:lang w:val="en-IN" w:bidi="en-US"/>
        </w:rPr>
        <w:t>Dell’Acqua</w:t>
      </w:r>
      <w:proofErr w:type="spellEnd"/>
      <w:r w:rsidRPr="003D5A99">
        <w:rPr>
          <w:rFonts w:ascii="Arial" w:eastAsia="Calibri" w:hAnsi="Arial" w:cs="Arial"/>
          <w:kern w:val="2"/>
          <w:lang w:val="en-IN" w:bidi="en-US"/>
        </w:rPr>
        <w:t xml:space="preserve">, M. (2025). Exploring Genetic Variability, Heritability, and Interrelationship in Phenotypic Traits of Recombinant Inbred Lines in Durum Wheat (Triticum turgidum L. ssp. Durum, </w:t>
      </w:r>
      <w:proofErr w:type="spellStart"/>
      <w:r w:rsidRPr="003D5A99">
        <w:rPr>
          <w:rFonts w:ascii="Arial" w:eastAsia="Calibri" w:hAnsi="Arial" w:cs="Arial"/>
          <w:kern w:val="2"/>
          <w:lang w:val="en-IN" w:bidi="en-US"/>
        </w:rPr>
        <w:t>Desf</w:t>
      </w:r>
      <w:proofErr w:type="spellEnd"/>
      <w:r w:rsidRPr="003D5A99">
        <w:rPr>
          <w:rFonts w:ascii="Arial" w:eastAsia="Calibri" w:hAnsi="Arial" w:cs="Arial"/>
          <w:kern w:val="2"/>
          <w:lang w:val="en-IN" w:bidi="en-US"/>
        </w:rPr>
        <w:t xml:space="preserve">.). Crops, 5(5), 71. </w:t>
      </w:r>
      <w:hyperlink r:id="rId41" w:history="1">
        <w:r w:rsidRPr="003D5A99">
          <w:rPr>
            <w:rStyle w:val="Hyperlink"/>
            <w:rFonts w:ascii="Arial" w:eastAsia="Calibri" w:hAnsi="Arial" w:cs="Arial"/>
            <w:kern w:val="2"/>
            <w:lang w:val="en-IN" w:bidi="en-US"/>
          </w:rPr>
          <w:t>https://doi.org/10.3390/crops5050071</w:t>
        </w:r>
      </w:hyperlink>
    </w:p>
    <w:p w14:paraId="2A8C53BB" w14:textId="71C11DB4" w:rsidR="00FC3FAB" w:rsidRPr="003D5A99" w:rsidRDefault="00FC3FAB" w:rsidP="003D5A99">
      <w:pPr>
        <w:spacing w:before="120"/>
        <w:ind w:left="360"/>
        <w:jc w:val="both"/>
        <w:rPr>
          <w:rFonts w:ascii="Arial" w:eastAsia="Calibri" w:hAnsi="Arial" w:cs="Arial"/>
          <w:kern w:val="2"/>
          <w:szCs w:val="22"/>
          <w:shd w:val="clear" w:color="auto" w:fill="FFFFFF"/>
          <w:lang w:val="en-IN"/>
        </w:rPr>
      </w:pPr>
      <w:r w:rsidRPr="003D5A99">
        <w:rPr>
          <w:rFonts w:ascii="Arial" w:eastAsia="Calibri" w:hAnsi="Arial" w:cs="Arial"/>
          <w:kern w:val="2"/>
          <w:szCs w:val="22"/>
          <w:shd w:val="clear" w:color="auto" w:fill="FFFFFF"/>
          <w:lang w:val="en-IN"/>
        </w:rPr>
        <w:t xml:space="preserve">Singh, P. K., Singh, L., Singh, S. V., Nath, S., Yadav, V., Mishra, A., &amp; </w:t>
      </w:r>
      <w:proofErr w:type="spellStart"/>
      <w:r w:rsidRPr="003D5A99">
        <w:rPr>
          <w:rFonts w:ascii="Arial" w:eastAsia="Calibri" w:hAnsi="Arial" w:cs="Arial"/>
          <w:kern w:val="2"/>
          <w:szCs w:val="22"/>
          <w:shd w:val="clear" w:color="auto" w:fill="FFFFFF"/>
          <w:lang w:val="en-IN"/>
        </w:rPr>
        <w:t>Kuswaha</w:t>
      </w:r>
      <w:proofErr w:type="spellEnd"/>
      <w:r w:rsidRPr="003D5A99">
        <w:rPr>
          <w:rFonts w:ascii="Arial" w:eastAsia="Calibri" w:hAnsi="Arial" w:cs="Arial"/>
          <w:kern w:val="2"/>
          <w:szCs w:val="22"/>
          <w:shd w:val="clear" w:color="auto" w:fill="FFFFFF"/>
          <w:lang w:val="en-IN"/>
        </w:rPr>
        <w:t xml:space="preserve">, C. (2023). Estimation of genetic variability, correlation and path analysis for yield and some yield contributing traits in bread wheat (Triticum aestivum L.). International Journal of Environment and Climate Change, 13(11), 2429-2440. </w:t>
      </w:r>
      <w:hyperlink r:id="rId42" w:history="1">
        <w:r w:rsidRPr="003D5A99">
          <w:rPr>
            <w:rStyle w:val="Hyperlink"/>
            <w:rFonts w:ascii="Arial" w:eastAsia="Calibri" w:hAnsi="Arial" w:cs="Arial"/>
            <w:kern w:val="2"/>
            <w:szCs w:val="22"/>
            <w:shd w:val="clear" w:color="auto" w:fill="FFFFFF"/>
            <w:lang w:val="en-IN"/>
          </w:rPr>
          <w:t>https://doi.org/10.9734/ijecc/2023/v13i113409</w:t>
        </w:r>
      </w:hyperlink>
    </w:p>
    <w:p w14:paraId="4014688F" w14:textId="094C890A" w:rsidR="00FC3FAB" w:rsidRPr="003D5A99" w:rsidRDefault="00FC3FAB" w:rsidP="003D5A99">
      <w:pPr>
        <w:spacing w:before="120"/>
        <w:ind w:left="360"/>
        <w:jc w:val="both"/>
        <w:rPr>
          <w:rFonts w:ascii="Arial" w:eastAsia="Calibri" w:hAnsi="Arial" w:cs="Arial"/>
          <w:kern w:val="2"/>
          <w:lang w:val="en-IN" w:bidi="en-US"/>
        </w:rPr>
      </w:pPr>
      <w:r w:rsidRPr="003D5A99">
        <w:rPr>
          <w:rFonts w:ascii="Arial" w:eastAsia="Calibri" w:hAnsi="Arial" w:cs="Arial"/>
          <w:kern w:val="2"/>
          <w:szCs w:val="22"/>
          <w:lang w:val="en-IN" w:bidi="en-US"/>
        </w:rPr>
        <w:t xml:space="preserve">ANU, Singh, V., Yashveer, S., Niwas, R., Yadav, S., Singh, V., &amp; Yadav, S. (2021). Genotypic and phenotypic interrelationships of yield related traits in bread wheat (Triticum aestivum). The Indian Journal of Agricultural Sciences, 91(4), 587-591. </w:t>
      </w:r>
      <w:hyperlink r:id="rId43" w:history="1">
        <w:r w:rsidRPr="003D5A99">
          <w:rPr>
            <w:rStyle w:val="Hyperlink"/>
            <w:rFonts w:ascii="Arial" w:eastAsia="Calibri" w:hAnsi="Arial" w:cs="Arial"/>
            <w:kern w:val="2"/>
            <w:szCs w:val="22"/>
            <w:lang w:val="en-IN" w:bidi="en-US"/>
          </w:rPr>
          <w:t>https://doi.org/10.56093/ijas.v91i4.112681</w:t>
        </w:r>
      </w:hyperlink>
    </w:p>
    <w:p w14:paraId="72CF5F10" w14:textId="3434C0C6" w:rsidR="00FC3FAB" w:rsidRPr="003D5A99" w:rsidRDefault="00FC3FAB" w:rsidP="003D5A99">
      <w:pPr>
        <w:spacing w:before="120"/>
        <w:ind w:left="360"/>
        <w:jc w:val="both"/>
        <w:rPr>
          <w:rFonts w:ascii="Arial" w:eastAsia="Calibri" w:hAnsi="Arial" w:cs="Arial"/>
          <w:kern w:val="2"/>
          <w:lang w:val="en-IN" w:bidi="en-US"/>
        </w:rPr>
      </w:pPr>
      <w:proofErr w:type="spellStart"/>
      <w:r w:rsidRPr="003D5A99">
        <w:rPr>
          <w:rFonts w:ascii="Arial" w:eastAsia="Calibri" w:hAnsi="Arial" w:cs="Arial"/>
          <w:kern w:val="2"/>
          <w:lang w:val="en-IN" w:bidi="en-US"/>
        </w:rPr>
        <w:t>Tareque</w:t>
      </w:r>
      <w:proofErr w:type="spellEnd"/>
      <w:r w:rsidRPr="003D5A99">
        <w:rPr>
          <w:rFonts w:ascii="Arial" w:eastAsia="Calibri" w:hAnsi="Arial" w:cs="Arial"/>
          <w:kern w:val="2"/>
          <w:lang w:val="en-IN" w:bidi="en-US"/>
        </w:rPr>
        <w:t xml:space="preserve">, A. M. M. M. U., Hassan, L., Habib, M. A., Nayak, S., &amp; Robin, A. H. K. (2025). Estimation of genetic parameters in hybrid and F2 generations of aromatic fine rice for breeding improvement. BMC Plant Biology, 25(1), 1080. </w:t>
      </w:r>
      <w:hyperlink r:id="rId44" w:history="1">
        <w:r w:rsidRPr="003D5A99">
          <w:rPr>
            <w:rStyle w:val="Hyperlink"/>
            <w:rFonts w:ascii="Arial" w:eastAsia="Calibri" w:hAnsi="Arial" w:cs="Arial"/>
            <w:kern w:val="2"/>
            <w:lang w:val="en-IN" w:bidi="en-US"/>
          </w:rPr>
          <w:t>https://doi.org/10.1186/s12870-025-07155-9</w:t>
        </w:r>
      </w:hyperlink>
    </w:p>
    <w:p w14:paraId="5FB4A915" w14:textId="5054D85D" w:rsidR="0084627D" w:rsidRPr="003D5A99" w:rsidRDefault="00FC3FAB" w:rsidP="003D5A99">
      <w:pPr>
        <w:spacing w:before="120"/>
        <w:ind w:left="360"/>
        <w:jc w:val="both"/>
        <w:rPr>
          <w:rFonts w:ascii="Arial" w:eastAsia="Calibri" w:hAnsi="Arial" w:cs="Arial"/>
          <w:kern w:val="2"/>
          <w:lang w:val="en-IN" w:bidi="en-US"/>
        </w:rPr>
      </w:pPr>
      <w:r w:rsidRPr="003D5A99">
        <w:rPr>
          <w:rFonts w:ascii="Arial" w:hAnsi="Arial" w:cs="Arial"/>
          <w:bCs/>
          <w:kern w:val="2"/>
          <w:lang w:val="en-IN" w:bidi="en-US"/>
        </w:rPr>
        <w:t xml:space="preserve">Ullah, M. I., </w:t>
      </w:r>
      <w:proofErr w:type="spellStart"/>
      <w:r w:rsidRPr="003D5A99">
        <w:rPr>
          <w:rFonts w:ascii="Arial" w:hAnsi="Arial" w:cs="Arial"/>
          <w:bCs/>
          <w:kern w:val="2"/>
          <w:lang w:val="en-IN" w:bidi="en-US"/>
        </w:rPr>
        <w:t>Mahpara</w:t>
      </w:r>
      <w:proofErr w:type="spellEnd"/>
      <w:r w:rsidRPr="003D5A99">
        <w:rPr>
          <w:rFonts w:ascii="Arial" w:hAnsi="Arial" w:cs="Arial"/>
          <w:bCs/>
          <w:kern w:val="2"/>
          <w:lang w:val="en-IN" w:bidi="en-US"/>
        </w:rPr>
        <w:t>, S., Bibi, R., Shah, R. U., Ullah, R., Abbas, S., Ullah, M. I., Hassan, A. M., El-</w:t>
      </w:r>
      <w:proofErr w:type="spellStart"/>
      <w:r w:rsidRPr="003D5A99">
        <w:rPr>
          <w:rFonts w:ascii="Arial" w:hAnsi="Arial" w:cs="Arial"/>
          <w:bCs/>
          <w:kern w:val="2"/>
          <w:lang w:val="en-IN" w:bidi="en-US"/>
        </w:rPr>
        <w:t>Shehawi</w:t>
      </w:r>
      <w:proofErr w:type="spellEnd"/>
      <w:r w:rsidRPr="003D5A99">
        <w:rPr>
          <w:rFonts w:ascii="Arial" w:hAnsi="Arial" w:cs="Arial"/>
          <w:bCs/>
          <w:kern w:val="2"/>
          <w:lang w:val="en-IN" w:bidi="en-US"/>
        </w:rPr>
        <w:t xml:space="preserve">, A. M., </w:t>
      </w:r>
      <w:proofErr w:type="spellStart"/>
      <w:r w:rsidRPr="003D5A99">
        <w:rPr>
          <w:rFonts w:ascii="Arial" w:hAnsi="Arial" w:cs="Arial"/>
          <w:bCs/>
          <w:kern w:val="2"/>
          <w:lang w:val="en-IN" w:bidi="en-US"/>
        </w:rPr>
        <w:t>Brestic</w:t>
      </w:r>
      <w:proofErr w:type="spellEnd"/>
      <w:r w:rsidRPr="003D5A99">
        <w:rPr>
          <w:rFonts w:ascii="Arial" w:hAnsi="Arial" w:cs="Arial"/>
          <w:bCs/>
          <w:kern w:val="2"/>
          <w:lang w:val="en-IN" w:bidi="en-US"/>
        </w:rPr>
        <w:t xml:space="preserve">, M., </w:t>
      </w:r>
      <w:proofErr w:type="spellStart"/>
      <w:r w:rsidRPr="003D5A99">
        <w:rPr>
          <w:rFonts w:ascii="Arial" w:hAnsi="Arial" w:cs="Arial"/>
          <w:bCs/>
          <w:kern w:val="2"/>
          <w:lang w:val="en-IN" w:bidi="en-US"/>
        </w:rPr>
        <w:t>Zivcak</w:t>
      </w:r>
      <w:proofErr w:type="spellEnd"/>
      <w:r w:rsidRPr="003D5A99">
        <w:rPr>
          <w:rFonts w:ascii="Arial" w:hAnsi="Arial" w:cs="Arial"/>
          <w:bCs/>
          <w:kern w:val="2"/>
          <w:lang w:val="en-IN" w:bidi="en-US"/>
        </w:rPr>
        <w:t>, M., &amp; Khan, M. I. (2021). Grain yield and correlated traits of bread wheat lines: Implications for yield improvement. Saudi Journal of Biological Sciences, 28(10), 5714-5719. https://doi.org/10.1016/j.sjbs.2021.06.006</w:t>
      </w:r>
    </w:p>
    <w:p w14:paraId="111A913C" w14:textId="4F5EC48C" w:rsidR="0084627D" w:rsidRPr="0084627D" w:rsidRDefault="0084627D" w:rsidP="0084627D">
      <w:pPr>
        <w:spacing w:before="120"/>
        <w:jc w:val="both"/>
        <w:rPr>
          <w:rFonts w:ascii="Arial" w:eastAsia="Calibri" w:hAnsi="Arial" w:cs="Arial"/>
          <w:kern w:val="2"/>
          <w:lang w:val="en-IN" w:bidi="en-US"/>
        </w:rPr>
        <w:sectPr w:rsidR="0084627D" w:rsidRPr="0084627D" w:rsidSect="006F01BD">
          <w:pgSz w:w="12240" w:h="15840"/>
          <w:pgMar w:top="1440" w:right="2016" w:bottom="2016" w:left="2016" w:header="720" w:footer="1123" w:gutter="0"/>
          <w:cols w:space="720"/>
          <w:docGrid w:linePitch="272"/>
        </w:sectPr>
      </w:pPr>
    </w:p>
    <w:p w14:paraId="78B1384B" w14:textId="77777777" w:rsidR="00B01FCD" w:rsidRPr="00FB3A86" w:rsidRDefault="00B01FCD" w:rsidP="0064367E">
      <w:pPr>
        <w:pStyle w:val="Appendix"/>
        <w:spacing w:after="0"/>
        <w:ind w:left="1134" w:firstLine="1134"/>
        <w:jc w:val="both"/>
        <w:rPr>
          <w:rFonts w:ascii="Arial" w:hAnsi="Arial" w:cs="Arial"/>
          <w:b w:val="0"/>
        </w:rPr>
      </w:pPr>
    </w:p>
    <w:sectPr w:rsidR="00B01FCD" w:rsidRPr="00FB3A86" w:rsidSect="006F01B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DCC08B" w14:textId="77777777" w:rsidR="00EA0F31" w:rsidRDefault="00EA0F31" w:rsidP="00C37E61">
      <w:r>
        <w:separator/>
      </w:r>
    </w:p>
  </w:endnote>
  <w:endnote w:type="continuationSeparator" w:id="0">
    <w:p w14:paraId="32886C9D" w14:textId="77777777" w:rsidR="00EA0F31" w:rsidRDefault="00EA0F3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090B04" w14:textId="77777777" w:rsidR="00EF69C1" w:rsidRDefault="00EF69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8A569" w14:textId="77777777" w:rsidR="00EF69C1" w:rsidRDefault="00EF69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65A1E" w14:textId="77777777" w:rsidR="009E048A" w:rsidRDefault="009E048A">
    <w:pPr>
      <w:pStyle w:val="Footer"/>
      <w:rPr>
        <w:rFonts w:ascii="Arial" w:hAnsi="Arial" w:cs="Arial"/>
        <w:sz w:val="16"/>
      </w:rPr>
    </w:pPr>
  </w:p>
  <w:p w14:paraId="1CABF65C"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C16E983" w14:textId="77777777" w:rsidR="009E048A" w:rsidRDefault="009E048A">
    <w:pPr>
      <w:pStyle w:val="Footer"/>
      <w:rPr>
        <w:rFonts w:ascii="Arial" w:hAnsi="Arial" w:cs="Arial"/>
        <w:sz w:val="16"/>
      </w:rPr>
    </w:pPr>
  </w:p>
  <w:p w14:paraId="6609020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649A2"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00D642" w14:textId="77777777" w:rsidR="00EA0F31" w:rsidRDefault="00EA0F31" w:rsidP="00C37E61">
      <w:r>
        <w:separator/>
      </w:r>
    </w:p>
  </w:footnote>
  <w:footnote w:type="continuationSeparator" w:id="0">
    <w:p w14:paraId="7DE29074" w14:textId="77777777" w:rsidR="00EA0F31" w:rsidRDefault="00EA0F3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024CA" w14:textId="54CB8507" w:rsidR="00EF69C1" w:rsidRDefault="00EF69C1">
    <w:pPr>
      <w:pStyle w:val="Header"/>
    </w:pPr>
    <w:r>
      <w:rPr>
        <w:noProof/>
      </w:rPr>
      <w:pict w14:anchorId="25E171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7"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15EB9" w14:textId="1DBBB986" w:rsidR="00EF69C1" w:rsidRDefault="00EF69C1">
    <w:pPr>
      <w:pStyle w:val="Header"/>
    </w:pPr>
    <w:r>
      <w:rPr>
        <w:noProof/>
      </w:rPr>
      <w:pict w14:anchorId="2BD4CC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8"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70F9E" w14:textId="1D1C99C4" w:rsidR="00296529" w:rsidRPr="00296529" w:rsidRDefault="00EF69C1" w:rsidP="00296529">
    <w:pPr>
      <w:ind w:left="2160"/>
      <w:jc w:val="center"/>
      <w:rPr>
        <w:rFonts w:ascii="Times New Roman" w:eastAsia="Calibri" w:hAnsi="Times New Roman"/>
        <w:i/>
        <w:sz w:val="18"/>
        <w:szCs w:val="22"/>
      </w:rPr>
    </w:pPr>
    <w:r>
      <w:rPr>
        <w:noProof/>
      </w:rPr>
      <w:pict w14:anchorId="2D652A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6"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BF132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54FFC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8A0CD6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BF5FA2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68BB56A"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BB834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3984C" w14:textId="63BDE1FB" w:rsidR="00EF69C1" w:rsidRDefault="00EF69C1">
    <w:pPr>
      <w:pStyle w:val="Header"/>
    </w:pPr>
    <w:r>
      <w:rPr>
        <w:noProof/>
      </w:rPr>
      <w:pict w14:anchorId="6FC496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10"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E3B85" w14:textId="664FBA33" w:rsidR="00EF69C1" w:rsidRDefault="00EF69C1">
    <w:pPr>
      <w:pStyle w:val="Header"/>
    </w:pPr>
    <w:r>
      <w:rPr>
        <w:noProof/>
      </w:rPr>
      <w:pict w14:anchorId="5F51F5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11"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4A4DD" w14:textId="0B531EA9" w:rsidR="00EF69C1" w:rsidRDefault="00EF69C1">
    <w:pPr>
      <w:pStyle w:val="Header"/>
    </w:pPr>
    <w:r>
      <w:rPr>
        <w:noProof/>
      </w:rPr>
      <w:pict w14:anchorId="3DB2B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2418909"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F6E2DE7"/>
    <w:multiLevelType w:val="hybridMultilevel"/>
    <w:tmpl w:val="81F2C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BA0"/>
    <w:rsid w:val="00030174"/>
    <w:rsid w:val="0004579C"/>
    <w:rsid w:val="000946B9"/>
    <w:rsid w:val="000A2C45"/>
    <w:rsid w:val="000A47FA"/>
    <w:rsid w:val="000A65D3"/>
    <w:rsid w:val="000B1E33"/>
    <w:rsid w:val="000B231D"/>
    <w:rsid w:val="000D689F"/>
    <w:rsid w:val="000E7B7B"/>
    <w:rsid w:val="000E7D62"/>
    <w:rsid w:val="00103357"/>
    <w:rsid w:val="00123C9F"/>
    <w:rsid w:val="00126190"/>
    <w:rsid w:val="00130F17"/>
    <w:rsid w:val="001320BF"/>
    <w:rsid w:val="00146B17"/>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0AC9"/>
    <w:rsid w:val="002A7644"/>
    <w:rsid w:val="002A7F6D"/>
    <w:rsid w:val="002B27FB"/>
    <w:rsid w:val="002B685A"/>
    <w:rsid w:val="002C57D2"/>
    <w:rsid w:val="002E0D56"/>
    <w:rsid w:val="00315186"/>
    <w:rsid w:val="0033343E"/>
    <w:rsid w:val="0034086C"/>
    <w:rsid w:val="003512C2"/>
    <w:rsid w:val="0037198D"/>
    <w:rsid w:val="00371FB6"/>
    <w:rsid w:val="003763C1"/>
    <w:rsid w:val="00376BBE"/>
    <w:rsid w:val="00383160"/>
    <w:rsid w:val="0039224F"/>
    <w:rsid w:val="003A43A4"/>
    <w:rsid w:val="003A7E18"/>
    <w:rsid w:val="003C4C86"/>
    <w:rsid w:val="003C6258"/>
    <w:rsid w:val="003D5A99"/>
    <w:rsid w:val="003E2904"/>
    <w:rsid w:val="00401927"/>
    <w:rsid w:val="0041027F"/>
    <w:rsid w:val="00412475"/>
    <w:rsid w:val="00423789"/>
    <w:rsid w:val="00434AF2"/>
    <w:rsid w:val="00440F43"/>
    <w:rsid w:val="00441B6F"/>
    <w:rsid w:val="00446221"/>
    <w:rsid w:val="00450E62"/>
    <w:rsid w:val="004539DB"/>
    <w:rsid w:val="00471A80"/>
    <w:rsid w:val="004D305E"/>
    <w:rsid w:val="004D4277"/>
    <w:rsid w:val="00502516"/>
    <w:rsid w:val="00505F06"/>
    <w:rsid w:val="00506828"/>
    <w:rsid w:val="0053056E"/>
    <w:rsid w:val="00554FDA"/>
    <w:rsid w:val="005C0207"/>
    <w:rsid w:val="005C784C"/>
    <w:rsid w:val="005D17F6"/>
    <w:rsid w:val="005E5539"/>
    <w:rsid w:val="00602BF5"/>
    <w:rsid w:val="00617FDD"/>
    <w:rsid w:val="00633614"/>
    <w:rsid w:val="00633F68"/>
    <w:rsid w:val="00636EB2"/>
    <w:rsid w:val="006375B8"/>
    <w:rsid w:val="0064367E"/>
    <w:rsid w:val="0066510A"/>
    <w:rsid w:val="00673F9F"/>
    <w:rsid w:val="00686953"/>
    <w:rsid w:val="00686F66"/>
    <w:rsid w:val="00687DEA"/>
    <w:rsid w:val="00687E67"/>
    <w:rsid w:val="006967F7"/>
    <w:rsid w:val="006A250C"/>
    <w:rsid w:val="006B21D3"/>
    <w:rsid w:val="006B57D0"/>
    <w:rsid w:val="006C1ECF"/>
    <w:rsid w:val="006D30FF"/>
    <w:rsid w:val="006D6940"/>
    <w:rsid w:val="006F01BD"/>
    <w:rsid w:val="006F11EC"/>
    <w:rsid w:val="0070082C"/>
    <w:rsid w:val="007369E6"/>
    <w:rsid w:val="00746E59"/>
    <w:rsid w:val="00754C9A"/>
    <w:rsid w:val="0075599A"/>
    <w:rsid w:val="00761D52"/>
    <w:rsid w:val="0077749E"/>
    <w:rsid w:val="00790ADA"/>
    <w:rsid w:val="007D2288"/>
    <w:rsid w:val="007E019A"/>
    <w:rsid w:val="007E088F"/>
    <w:rsid w:val="007F7B32"/>
    <w:rsid w:val="00804BC2"/>
    <w:rsid w:val="0081431A"/>
    <w:rsid w:val="0083216F"/>
    <w:rsid w:val="0084627D"/>
    <w:rsid w:val="00860000"/>
    <w:rsid w:val="00863BD3"/>
    <w:rsid w:val="008641ED"/>
    <w:rsid w:val="00866D66"/>
    <w:rsid w:val="008671C6"/>
    <w:rsid w:val="00875803"/>
    <w:rsid w:val="008A49E2"/>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326B"/>
    <w:rsid w:val="00A51431"/>
    <w:rsid w:val="00A539AD"/>
    <w:rsid w:val="00A94063"/>
    <w:rsid w:val="00AA6219"/>
    <w:rsid w:val="00AA623F"/>
    <w:rsid w:val="00AA74E0"/>
    <w:rsid w:val="00AB703F"/>
    <w:rsid w:val="00AC6BB8"/>
    <w:rsid w:val="00AE008F"/>
    <w:rsid w:val="00B01FCD"/>
    <w:rsid w:val="00B1776C"/>
    <w:rsid w:val="00B4030D"/>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4612"/>
    <w:rsid w:val="00CD6755"/>
    <w:rsid w:val="00CD6856"/>
    <w:rsid w:val="00CE0089"/>
    <w:rsid w:val="00CE793C"/>
    <w:rsid w:val="00CF193C"/>
    <w:rsid w:val="00CF5805"/>
    <w:rsid w:val="00D00F87"/>
    <w:rsid w:val="00D173F1"/>
    <w:rsid w:val="00D74CB0"/>
    <w:rsid w:val="00D8295D"/>
    <w:rsid w:val="00DC2A65"/>
    <w:rsid w:val="00DC6BEE"/>
    <w:rsid w:val="00DE15F0"/>
    <w:rsid w:val="00DE5663"/>
    <w:rsid w:val="00DE78AA"/>
    <w:rsid w:val="00E053D0"/>
    <w:rsid w:val="00E15994"/>
    <w:rsid w:val="00E3114E"/>
    <w:rsid w:val="00E31A70"/>
    <w:rsid w:val="00E3437A"/>
    <w:rsid w:val="00E35B02"/>
    <w:rsid w:val="00E4684D"/>
    <w:rsid w:val="00E66496"/>
    <w:rsid w:val="00E66B35"/>
    <w:rsid w:val="00E66E10"/>
    <w:rsid w:val="00E742C8"/>
    <w:rsid w:val="00E769F6"/>
    <w:rsid w:val="00E8407C"/>
    <w:rsid w:val="00E84F3C"/>
    <w:rsid w:val="00EA012C"/>
    <w:rsid w:val="00EA08D5"/>
    <w:rsid w:val="00EA0F31"/>
    <w:rsid w:val="00EC6A55"/>
    <w:rsid w:val="00ED0288"/>
    <w:rsid w:val="00EE52CB"/>
    <w:rsid w:val="00EF581D"/>
    <w:rsid w:val="00EF69C1"/>
    <w:rsid w:val="00EF7FD8"/>
    <w:rsid w:val="00F06F59"/>
    <w:rsid w:val="00F17988"/>
    <w:rsid w:val="00F469F0"/>
    <w:rsid w:val="00F53273"/>
    <w:rsid w:val="00F755E4"/>
    <w:rsid w:val="00F77D02"/>
    <w:rsid w:val="00FB3A86"/>
    <w:rsid w:val="00FC3FAB"/>
    <w:rsid w:val="00FD0494"/>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9BED0B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customStyle="1" w:styleId="TableGrid1">
    <w:name w:val="Table Grid1"/>
    <w:basedOn w:val="TableNormal"/>
    <w:next w:val="TableGrid"/>
    <w:uiPriority w:val="59"/>
    <w:rsid w:val="000946B9"/>
    <w:rPr>
      <w:rFonts w:asciiTheme="minorHAnsi" w:eastAsiaTheme="minorHAnsi" w:hAnsiTheme="minorHAnsi" w:cstheme="minorBidi"/>
      <w:kern w:val="2"/>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3F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1038/s41598-018-21441-7" TargetMode="External"/><Relationship Id="rId26" Type="http://schemas.openxmlformats.org/officeDocument/2006/relationships/hyperlink" Target="https://www.nhbs.com/introduction-to-quantitative-genetics-book" TargetMode="External"/><Relationship Id="rId39" Type="http://schemas.openxmlformats.org/officeDocument/2006/relationships/hyperlink" Target="https://doi.org/10.2134/agronj1949.00021962004100080005x" TargetMode="External"/><Relationship Id="rId21" Type="http://schemas.openxmlformats.org/officeDocument/2006/relationships/hyperlink" Target="https://www.ikprress.org/index.php/PCBMB/article/view/6015" TargetMode="External"/><Relationship Id="rId34" Type="http://schemas.openxmlformats.org/officeDocument/2006/relationships/hyperlink" Target="https://doi.org/10.1007/s44279-025-00167-x" TargetMode="External"/><Relationship Id="rId42" Type="http://schemas.openxmlformats.org/officeDocument/2006/relationships/hyperlink" Target="https://doi.org/10.9734/ijecc/2023/v13i113409"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yperlink" Target="https://dergipark.org.tr/en/pub/ekin/issue/71700/1139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9734/ijpss/2024/v36i14332" TargetMode="External"/><Relationship Id="rId32" Type="http://schemas.openxmlformats.org/officeDocument/2006/relationships/hyperlink" Target="https://doi.org/10.1007/s10722-022-01363-0" TargetMode="External"/><Relationship Id="rId37" Type="http://schemas.openxmlformats.org/officeDocument/2006/relationships/hyperlink" Target="https://doi.org/10.4238/gmr19419" TargetMode="External"/><Relationship Id="rId40" Type="http://schemas.openxmlformats.org/officeDocument/2006/relationships/hyperlink" Target="https://doi.org/10.9734/cjast/2023/v42i898995"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https://doi.org/10.9734/ijecc/2023/v13i113390" TargetMode="External"/><Relationship Id="rId28" Type="http://schemas.openxmlformats.org/officeDocument/2006/relationships/hyperlink" Target="https://doi.org/10.15547/ast.2020.04.048" TargetMode="External"/><Relationship Id="rId36" Type="http://schemas.openxmlformats.org/officeDocument/2006/relationships/hyperlink" Target="https://doi.org/10.3126/ijasbt.v9i1.35985" TargetMode="External"/><Relationship Id="rId10" Type="http://schemas.openxmlformats.org/officeDocument/2006/relationships/footer" Target="footer1.xml"/><Relationship Id="rId19" Type="http://schemas.openxmlformats.org/officeDocument/2006/relationships/hyperlink" Target="http://www.plantarchives.org/VOL_20_S_2/1436-1439%20(250).pdf" TargetMode="External"/><Relationship Id="rId31" Type="http://schemas.openxmlformats.org/officeDocument/2006/relationships/hyperlink" Target="https://doi.org/10.3389/fnut.2023.1053196" TargetMode="External"/><Relationship Id="rId44" Type="http://schemas.openxmlformats.org/officeDocument/2006/relationships/hyperlink" Target="https://doi.org/10.1186/s12870-025-07155-9"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doi.org/10.1016/j.egg.2023.100209" TargetMode="External"/><Relationship Id="rId27" Type="http://schemas.openxmlformats.org/officeDocument/2006/relationships/hyperlink" Target="https://doi.org/10.1155/2022/1682961" TargetMode="External"/><Relationship Id="rId30" Type="http://schemas.openxmlformats.org/officeDocument/2006/relationships/hyperlink" Target="https://iiwbr.org.in/annual-report-2024" TargetMode="External"/><Relationship Id="rId35" Type="http://schemas.openxmlformats.org/officeDocument/2006/relationships/hyperlink" Target="https://doi.org/10.9734/CJAST/2023/v42i254185" TargetMode="External"/><Relationship Id="rId43" Type="http://schemas.openxmlformats.org/officeDocument/2006/relationships/hyperlink" Target="https://doi.org/10.56093/ijas.v91i4.112681"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yperlink" Target="https://doi.org/10.2134/AGRONJ1953.00021962004500100005X" TargetMode="External"/><Relationship Id="rId33" Type="http://schemas.openxmlformats.org/officeDocument/2006/relationships/hyperlink" Target="https://doi.org/10.5194/isprs-archives-XLII-3-W6-223-2019" TargetMode="External"/><Relationship Id="rId38" Type="http://schemas.openxmlformats.org/officeDocument/2006/relationships/hyperlink" Target="https://doi.org/10.5539/jas.v10n5p179" TargetMode="External"/><Relationship Id="rId46" Type="http://schemas.openxmlformats.org/officeDocument/2006/relationships/theme" Target="theme/theme1.xml"/><Relationship Id="rId20" Type="http://schemas.openxmlformats.org/officeDocument/2006/relationships/hyperlink" Target="https://doi.org/10.1007/s10343-023-00884-7" TargetMode="External"/><Relationship Id="rId41" Type="http://schemas.openxmlformats.org/officeDocument/2006/relationships/hyperlink" Target="https://doi.org/10.3390/crops505007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F2FC4E-1345-40DF-AF78-D948BFBC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128</TotalTime>
  <Pages>9</Pages>
  <Words>4440</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29695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2025-12-24T15:42:00Z</dcterms:created>
  <dcterms:modified xsi:type="dcterms:W3CDTF">2025-12-26T10:46:00Z</dcterms:modified>
</cp:coreProperties>
</file>