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4D28E" w14:textId="22066CDB" w:rsidR="00F97998" w:rsidRDefault="00A151AA">
      <w:pPr>
        <w:spacing w:line="360" w:lineRule="auto"/>
        <w:jc w:val="both"/>
        <w:rPr>
          <w:rFonts w:ascii="Arial" w:hAnsi="Arial" w:cs="Arial"/>
          <w:b/>
        </w:rPr>
      </w:pPr>
      <w:r>
        <w:rPr>
          <w:rFonts w:ascii="Arial" w:hAnsi="Arial" w:cs="Arial"/>
          <w:b/>
        </w:rPr>
        <w:t xml:space="preserve">In vivo evaluation of the acute toxicity and anti-inflammatory effects of the methanolic extract and acetatic fraction of </w:t>
      </w:r>
      <w:r>
        <w:rPr>
          <w:rFonts w:ascii="Arial" w:hAnsi="Arial" w:cs="Arial"/>
          <w:b/>
          <w:i/>
        </w:rPr>
        <w:t>Pericopsis laxiflora</w:t>
      </w:r>
      <w:r>
        <w:rPr>
          <w:rFonts w:ascii="Arial" w:hAnsi="Arial" w:cs="Arial"/>
          <w:b/>
        </w:rPr>
        <w:t xml:space="preserve"> bark in the management of malaria</w:t>
      </w:r>
    </w:p>
    <w:p w14:paraId="77F7E789" w14:textId="77777777" w:rsidR="00F02A54" w:rsidRDefault="00F02A54">
      <w:pPr>
        <w:spacing w:line="360" w:lineRule="auto"/>
        <w:jc w:val="both"/>
        <w:rPr>
          <w:rFonts w:ascii="Arial" w:hAnsi="Arial" w:cs="Arial"/>
          <w:b/>
          <w:lang w:val="en-CA"/>
        </w:rPr>
      </w:pPr>
    </w:p>
    <w:p w14:paraId="400F1D83" w14:textId="5E5B8486" w:rsidR="00F97998" w:rsidRDefault="00A151AA">
      <w:pPr>
        <w:spacing w:line="360" w:lineRule="auto"/>
        <w:jc w:val="both"/>
        <w:rPr>
          <w:rFonts w:ascii="Arial" w:hAnsi="Arial" w:cs="Arial"/>
          <w:lang w:val="en-CA"/>
        </w:rPr>
      </w:pPr>
      <w:bookmarkStart w:id="0" w:name="_GoBack"/>
      <w:bookmarkEnd w:id="0"/>
      <w:r>
        <w:rPr>
          <w:rFonts w:ascii="Arial" w:hAnsi="Arial" w:cs="Arial"/>
          <w:b/>
          <w:lang w:val="en-CA"/>
        </w:rPr>
        <w:t>Abstract</w:t>
      </w:r>
      <w:r>
        <w:rPr>
          <w:rFonts w:ascii="Arial" w:hAnsi="Arial" w:cs="Arial"/>
          <w:lang w:val="en-CA"/>
        </w:rPr>
        <w:t xml:space="preserve">: </w:t>
      </w:r>
    </w:p>
    <w:p w14:paraId="1EEC136B" w14:textId="77777777" w:rsidR="00F97998" w:rsidRDefault="00A151AA">
      <w:pPr>
        <w:spacing w:line="360" w:lineRule="auto"/>
        <w:jc w:val="both"/>
        <w:rPr>
          <w:rFonts w:ascii="Arial" w:hAnsi="Arial" w:cs="Arial"/>
          <w:sz w:val="20"/>
          <w:szCs w:val="20"/>
          <w:lang w:val="en-CA"/>
        </w:rPr>
      </w:pPr>
      <w:r>
        <w:rPr>
          <w:rFonts w:ascii="Arial" w:hAnsi="Arial" w:cs="Arial"/>
          <w:sz w:val="20"/>
          <w:szCs w:val="20"/>
          <w:lang w:val="en-CA"/>
        </w:rPr>
        <w:t xml:space="preserve">Malaria is a major public health problem in Côte d'Ivoire and Africa. One of the characteristics of malaria is that it induces inflammation that is the origin of fevers and pains that involve the immune, neurological and hormonal systems. The </w:t>
      </w:r>
      <w:r>
        <w:rPr>
          <w:rFonts w:ascii="Arial" w:hAnsi="Arial" w:cs="Arial"/>
          <w:sz w:val="20"/>
          <w:szCs w:val="20"/>
          <w:lang w:val="en-CA"/>
        </w:rPr>
        <w:t>objective of this study was to evaluate the acute toxicity and anti-inflammatory activity of Pericopsis laxiflora, an antimalarial plant on mice. To do this, nine batches of five mice were used, including six test batches and three control batches. For the</w:t>
      </w:r>
      <w:r>
        <w:rPr>
          <w:rFonts w:ascii="Arial" w:hAnsi="Arial" w:cs="Arial"/>
          <w:sz w:val="20"/>
          <w:szCs w:val="20"/>
          <w:lang w:val="en-CA"/>
        </w:rPr>
        <w:t xml:space="preserve"> test batches, doses of 200, 400 and 800 mg/kg of CP of the methanolic extract and the acetan fraction were used respectively. While the control batches consisted of a healthy control, a diseased control and a control treated with the reference molecule (d</w:t>
      </w:r>
      <w:r>
        <w:rPr>
          <w:rFonts w:ascii="Arial" w:hAnsi="Arial" w:cs="Arial"/>
          <w:sz w:val="20"/>
          <w:szCs w:val="20"/>
          <w:lang w:val="en-CA"/>
        </w:rPr>
        <w:t>iclofenac) at 50 mg/Kg CP. After oral administration of the distinctive doses to each batch, except the healthy control batch, carrageenin at a concentration of 1% NaCl was injected one hour later under the plantar fascia of the right hind leg of the mice.</w:t>
      </w:r>
      <w:r>
        <w:rPr>
          <w:rFonts w:ascii="Arial" w:hAnsi="Arial" w:cs="Arial"/>
          <w:sz w:val="20"/>
          <w:szCs w:val="20"/>
          <w:lang w:val="en-CA"/>
        </w:rPr>
        <w:t xml:space="preserve"> Then, edema was measured 1, 2, 3, 4 and 5 hours after this injection. The results showed that there was a significant difference between the animals of the diseased control and those of the test batches. After five hours (end of testing), the inhibition p</w:t>
      </w:r>
      <w:r>
        <w:rPr>
          <w:rFonts w:ascii="Arial" w:hAnsi="Arial" w:cs="Arial"/>
          <w:sz w:val="20"/>
          <w:szCs w:val="20"/>
          <w:lang w:val="en-CA"/>
        </w:rPr>
        <w:t>ercentages were determined and corresponded to 33.33%, 54.83% and 84.61% for the extract, and 31.45%, 66.32% and 92.13% for the fraction at the successive doses of 200, 400 and 800 mg/Kg bw, respectively. While at a dose of 50 mg/Kg bw of diclofenac (refer</w:t>
      </w:r>
      <w:r>
        <w:rPr>
          <w:rFonts w:ascii="Arial" w:hAnsi="Arial" w:cs="Arial"/>
          <w:sz w:val="20"/>
          <w:szCs w:val="20"/>
          <w:lang w:val="en-CA"/>
        </w:rPr>
        <w:t xml:space="preserve">ence molecule), The percentage of inhibition was 77.78%. The results of this study indicate that at the single dose of 800 mg/kg bw of the extract and fraction, these products inhibit more than diclofenac. On the other hand, on the basis of this same dose </w:t>
      </w:r>
      <w:r>
        <w:rPr>
          <w:rFonts w:ascii="Arial" w:hAnsi="Arial" w:cs="Arial"/>
          <w:sz w:val="20"/>
          <w:szCs w:val="20"/>
          <w:lang w:val="en-CA"/>
        </w:rPr>
        <w:t>(800 mg/Kg bw), it can be seen that diclofenac (pure molecule) inhibits 16 times more than the extract and the fraction (set of molecules to be purified). Thus, these results show that the extract and the fraction can be as anti-inflammatory.</w:t>
      </w:r>
    </w:p>
    <w:p w14:paraId="61B1A7C4" w14:textId="77777777" w:rsidR="00F97998" w:rsidRDefault="00A151AA">
      <w:pPr>
        <w:spacing w:line="360" w:lineRule="auto"/>
        <w:jc w:val="both"/>
        <w:rPr>
          <w:rFonts w:ascii="Arial" w:hAnsi="Arial" w:cs="Arial"/>
          <w:sz w:val="20"/>
          <w:szCs w:val="20"/>
        </w:rPr>
      </w:pPr>
      <w:proofErr w:type="gramStart"/>
      <w:r>
        <w:rPr>
          <w:rFonts w:ascii="Arial" w:hAnsi="Arial" w:cs="Arial"/>
          <w:sz w:val="20"/>
          <w:szCs w:val="20"/>
        </w:rPr>
        <w:t>Keywords:</w:t>
      </w:r>
      <w:proofErr w:type="gramEnd"/>
      <w:r>
        <w:rPr>
          <w:rFonts w:ascii="Arial" w:hAnsi="Arial" w:cs="Arial"/>
          <w:sz w:val="20"/>
          <w:szCs w:val="20"/>
        </w:rPr>
        <w:t xml:space="preserve"> Ant</w:t>
      </w:r>
      <w:r>
        <w:rPr>
          <w:rFonts w:ascii="Arial" w:hAnsi="Arial" w:cs="Arial"/>
          <w:sz w:val="20"/>
          <w:szCs w:val="20"/>
        </w:rPr>
        <w:t xml:space="preserve">i-inflammatory activity, extract, fraction, </w:t>
      </w:r>
      <w:r>
        <w:rPr>
          <w:rFonts w:ascii="Arial" w:hAnsi="Arial" w:cs="Arial"/>
          <w:i/>
          <w:sz w:val="20"/>
          <w:szCs w:val="20"/>
        </w:rPr>
        <w:t>Pericopsis laxiflora</w:t>
      </w:r>
      <w:r>
        <w:rPr>
          <w:rFonts w:ascii="Arial" w:hAnsi="Arial" w:cs="Arial"/>
          <w:sz w:val="20"/>
          <w:szCs w:val="20"/>
        </w:rPr>
        <w:t>.</w:t>
      </w:r>
    </w:p>
    <w:p w14:paraId="777DF75F" w14:textId="77777777" w:rsidR="00F97998" w:rsidRDefault="00F97998">
      <w:pPr>
        <w:spacing w:line="360" w:lineRule="auto"/>
        <w:jc w:val="both"/>
        <w:rPr>
          <w:rFonts w:ascii="Arial" w:hAnsi="Arial" w:cs="Arial"/>
        </w:rPr>
      </w:pPr>
    </w:p>
    <w:p w14:paraId="3687EA4E" w14:textId="77777777" w:rsidR="00F97998" w:rsidRDefault="00A151AA">
      <w:pPr>
        <w:spacing w:after="0" w:line="360" w:lineRule="auto"/>
        <w:jc w:val="both"/>
        <w:rPr>
          <w:rFonts w:ascii="Arial" w:hAnsi="Arial" w:cs="Arial"/>
          <w:b/>
        </w:rPr>
      </w:pPr>
      <w:r>
        <w:rPr>
          <w:rFonts w:ascii="Arial" w:hAnsi="Arial" w:cs="Arial"/>
          <w:b/>
        </w:rPr>
        <w:t>1. INTRODUCTION</w:t>
      </w:r>
    </w:p>
    <w:p w14:paraId="1734704E" w14:textId="77777777" w:rsidR="00F97998" w:rsidRDefault="00A151AA">
      <w:pPr>
        <w:spacing w:line="360" w:lineRule="auto"/>
        <w:jc w:val="both"/>
        <w:rPr>
          <w:rFonts w:ascii="Arial" w:hAnsi="Arial" w:cs="Arial"/>
          <w:sz w:val="20"/>
          <w:szCs w:val="20"/>
        </w:rPr>
      </w:pPr>
      <w:r>
        <w:rPr>
          <w:rFonts w:ascii="Arial" w:eastAsia="Times New Roman" w:hAnsi="Arial" w:cs="Arial"/>
          <w:color w:val="000000"/>
          <w:sz w:val="20"/>
          <w:szCs w:val="20"/>
          <w:lang w:eastAsia="fr-FR"/>
        </w:rPr>
        <w:t xml:space="preserve">Despite recent strides in the control and elimination, malaria infection remains a major global health problem </w:t>
      </w:r>
      <w:r>
        <w:rPr>
          <w:rFonts w:ascii="Arial" w:eastAsia="Times New Roman" w:hAnsi="Arial" w:cs="Arial"/>
          <w:b/>
          <w:sz w:val="20"/>
          <w:szCs w:val="20"/>
          <w:lang w:eastAsia="fr-FR"/>
        </w:rPr>
        <w:t>[1, 2]</w:t>
      </w:r>
      <w:r>
        <w:rPr>
          <w:rFonts w:ascii="Arial" w:hAnsi="Arial" w:cs="Arial"/>
          <w:b/>
          <w:sz w:val="20"/>
          <w:szCs w:val="20"/>
        </w:rPr>
        <w:t xml:space="preserve">. </w:t>
      </w:r>
      <w:r>
        <w:rPr>
          <w:rFonts w:ascii="Arial" w:hAnsi="Arial" w:cs="Arial"/>
          <w:sz w:val="20"/>
          <w:szCs w:val="20"/>
        </w:rPr>
        <w:t>Resistance to available antimalarial drugs has necessi</w:t>
      </w:r>
      <w:r>
        <w:rPr>
          <w:rFonts w:ascii="Arial" w:hAnsi="Arial" w:cs="Arial"/>
          <w:sz w:val="20"/>
          <w:szCs w:val="20"/>
        </w:rPr>
        <w:t xml:space="preserve">tated the screening of new compounds that could be developed as new antiplasmodial drugs. A dual-action compound with both antiplasmodial and anti-inflammatory properties would be a better antimalarial drug candidate </w:t>
      </w:r>
      <w:r>
        <w:rPr>
          <w:rFonts w:ascii="Arial" w:hAnsi="Arial" w:cs="Arial"/>
          <w:b/>
          <w:sz w:val="20"/>
          <w:szCs w:val="20"/>
        </w:rPr>
        <w:t xml:space="preserve">[3]. </w:t>
      </w:r>
      <w:r>
        <w:rPr>
          <w:rFonts w:ascii="Arial" w:hAnsi="Arial" w:cs="Arial"/>
          <w:sz w:val="20"/>
          <w:szCs w:val="20"/>
        </w:rPr>
        <w:t>Malaria is characterized by phenom</w:t>
      </w:r>
      <w:r>
        <w:rPr>
          <w:rFonts w:ascii="Arial" w:hAnsi="Arial" w:cs="Arial"/>
          <w:sz w:val="20"/>
          <w:szCs w:val="20"/>
        </w:rPr>
        <w:t>ena such as inflammation, fever and pain involving the immune, neurological and hormonal systems. Indeed, inflammation is the result of the body's response in the case of malaria to attacks on it by Plasmodium</w:t>
      </w:r>
      <w:r>
        <w:rPr>
          <w:rFonts w:ascii="Arial" w:hAnsi="Arial" w:cs="Arial"/>
          <w:b/>
          <w:sz w:val="20"/>
          <w:szCs w:val="20"/>
        </w:rPr>
        <w:t xml:space="preserve"> [4]. </w:t>
      </w:r>
      <w:r>
        <w:rPr>
          <w:rFonts w:ascii="Arial" w:hAnsi="Arial" w:cs="Arial"/>
          <w:sz w:val="20"/>
          <w:szCs w:val="20"/>
        </w:rPr>
        <w:t>According to the World Health Organizatio</w:t>
      </w:r>
      <w:r>
        <w:rPr>
          <w:rFonts w:ascii="Arial" w:hAnsi="Arial" w:cs="Arial"/>
          <w:sz w:val="20"/>
          <w:szCs w:val="20"/>
        </w:rPr>
        <w:t xml:space="preserve">n (CHO) </w:t>
      </w:r>
      <w:r>
        <w:rPr>
          <w:rFonts w:ascii="Arial" w:hAnsi="Arial" w:cs="Arial"/>
          <w:b/>
          <w:sz w:val="20"/>
          <w:szCs w:val="20"/>
        </w:rPr>
        <w:t>[5]</w:t>
      </w:r>
      <w:r>
        <w:rPr>
          <w:rFonts w:ascii="Arial" w:hAnsi="Arial" w:cs="Arial"/>
          <w:sz w:val="20"/>
          <w:szCs w:val="20"/>
        </w:rPr>
        <w:t xml:space="preserve">, there were around 249 million cases of malaria world wide and 608,000 deaths in 2022. In Ivory Coast, there were around 1,316 deaths in 2020. Moreover, according to </w:t>
      </w:r>
      <w:r>
        <w:rPr>
          <w:rFonts w:ascii="Arial" w:hAnsi="Arial" w:cs="Arial"/>
          <w:b/>
          <w:sz w:val="20"/>
          <w:szCs w:val="20"/>
        </w:rPr>
        <w:t>[6],</w:t>
      </w:r>
      <w:r>
        <w:rPr>
          <w:rFonts w:ascii="Arial" w:hAnsi="Arial" w:cs="Arial"/>
          <w:sz w:val="20"/>
          <w:szCs w:val="20"/>
        </w:rPr>
        <w:t xml:space="preserve"> inflammation plays a major role in the death of children under 5 years</w:t>
      </w:r>
      <w:r>
        <w:rPr>
          <w:rFonts w:ascii="Arial" w:hAnsi="Arial" w:cs="Arial"/>
          <w:sz w:val="20"/>
          <w:szCs w:val="20"/>
        </w:rPr>
        <w:t xml:space="preserve"> of age due to pain and fever, especially when treatment is </w:t>
      </w:r>
      <w:r>
        <w:rPr>
          <w:rFonts w:ascii="Arial" w:hAnsi="Arial" w:cs="Arial"/>
          <w:sz w:val="20"/>
          <w:szCs w:val="20"/>
        </w:rPr>
        <w:lastRenderedPageBreak/>
        <w:t>not followed by anti-inflammatory medication.   In chemotherapy, simple malaria is effectively managed by prescribing an antimalarial and an anti-inflammatory drug. This prescription makes treatme</w:t>
      </w:r>
      <w:r>
        <w:rPr>
          <w:rFonts w:ascii="Arial" w:hAnsi="Arial" w:cs="Arial"/>
          <w:sz w:val="20"/>
          <w:szCs w:val="20"/>
        </w:rPr>
        <w:t xml:space="preserve">nt difficult and compromises malaria control efforts. As a result, people prefer preparations made from the leaves and bark of medicinal plants, which are more accessible, less restrictive and, above all, less costly </w:t>
      </w:r>
      <w:r>
        <w:rPr>
          <w:rFonts w:ascii="Arial" w:hAnsi="Arial" w:cs="Arial"/>
          <w:b/>
          <w:sz w:val="20"/>
          <w:szCs w:val="20"/>
        </w:rPr>
        <w:t xml:space="preserve">[7]. </w:t>
      </w:r>
      <w:r>
        <w:rPr>
          <w:rFonts w:ascii="Arial" w:hAnsi="Arial" w:cs="Arial"/>
          <w:sz w:val="20"/>
          <w:szCs w:val="20"/>
        </w:rPr>
        <w:t>A single extract can be both anti-</w:t>
      </w:r>
      <w:r>
        <w:rPr>
          <w:rFonts w:ascii="Arial" w:hAnsi="Arial" w:cs="Arial"/>
          <w:sz w:val="20"/>
          <w:szCs w:val="20"/>
        </w:rPr>
        <w:t xml:space="preserve">plasmodial and anti-inflammatory. Indeed, 70-90% of the African population and most of the population of developing countries use traditional medicine as first aid, and malaria accounts for around 20% of treated illnesses </w:t>
      </w:r>
      <w:r>
        <w:rPr>
          <w:rFonts w:ascii="Arial" w:hAnsi="Arial" w:cs="Arial"/>
          <w:b/>
          <w:sz w:val="20"/>
          <w:szCs w:val="20"/>
        </w:rPr>
        <w:t xml:space="preserve">[5]. </w:t>
      </w:r>
      <w:r>
        <w:rPr>
          <w:rFonts w:ascii="Arial" w:hAnsi="Arial" w:cs="Arial"/>
          <w:sz w:val="20"/>
          <w:szCs w:val="20"/>
        </w:rPr>
        <w:t>Plants have become the leadin</w:t>
      </w:r>
      <w:r>
        <w:rPr>
          <w:rFonts w:ascii="Arial" w:hAnsi="Arial" w:cs="Arial"/>
          <w:sz w:val="20"/>
          <w:szCs w:val="20"/>
        </w:rPr>
        <w:t xml:space="preserve">g source of substances for the development of new drugs, and a considerable proportion of the world's prescribed medicines are derived from them </w:t>
      </w:r>
      <w:r>
        <w:rPr>
          <w:rFonts w:ascii="Arial" w:hAnsi="Arial" w:cs="Arial"/>
          <w:b/>
          <w:sz w:val="20"/>
          <w:szCs w:val="20"/>
        </w:rPr>
        <w:t xml:space="preserve">[8-11]. </w:t>
      </w:r>
      <w:r>
        <w:rPr>
          <w:rFonts w:ascii="Arial" w:hAnsi="Arial" w:cs="Arial"/>
          <w:sz w:val="20"/>
          <w:szCs w:val="20"/>
        </w:rPr>
        <w:t>Medicinal plant extracts are widely recommended as alternative therapeutic strategies for treating infl</w:t>
      </w:r>
      <w:r>
        <w:rPr>
          <w:rFonts w:ascii="Arial" w:hAnsi="Arial" w:cs="Arial"/>
          <w:sz w:val="20"/>
          <w:szCs w:val="20"/>
        </w:rPr>
        <w:t xml:space="preserve">ammatory agents </w:t>
      </w:r>
      <w:r>
        <w:rPr>
          <w:rFonts w:ascii="Arial" w:hAnsi="Arial" w:cs="Arial"/>
          <w:b/>
          <w:sz w:val="20"/>
          <w:szCs w:val="20"/>
        </w:rPr>
        <w:t>[12].</w:t>
      </w:r>
      <w:r>
        <w:rPr>
          <w:rFonts w:ascii="Arial" w:hAnsi="Arial" w:cs="Arial"/>
          <w:sz w:val="20"/>
          <w:szCs w:val="20"/>
        </w:rPr>
        <w:t xml:space="preserve"> Various publications have shown that the majority of people in developing countries use medicinal plants as a primary source for the treatment of inflammatory diseases</w:t>
      </w:r>
      <w:r>
        <w:rPr>
          <w:rFonts w:ascii="Arial" w:hAnsi="Arial" w:cs="Arial"/>
          <w:b/>
          <w:sz w:val="20"/>
          <w:szCs w:val="20"/>
        </w:rPr>
        <w:t xml:space="preserve"> [13-15]. </w:t>
      </w:r>
      <w:r>
        <w:rPr>
          <w:rFonts w:ascii="Arial" w:hAnsi="Arial" w:cs="Arial"/>
          <w:sz w:val="20"/>
          <w:szCs w:val="20"/>
        </w:rPr>
        <w:t>These plants are a valuable source of new natural product</w:t>
      </w:r>
      <w:r>
        <w:rPr>
          <w:rFonts w:ascii="Arial" w:hAnsi="Arial" w:cs="Arial"/>
          <w:sz w:val="20"/>
          <w:szCs w:val="20"/>
        </w:rPr>
        <w:t>s</w:t>
      </w:r>
      <w:r>
        <w:rPr>
          <w:rFonts w:ascii="Arial" w:hAnsi="Arial" w:cs="Arial"/>
          <w:b/>
          <w:sz w:val="20"/>
          <w:szCs w:val="20"/>
        </w:rPr>
        <w:t xml:space="preserve"> [3]. </w:t>
      </w:r>
      <w:r>
        <w:rPr>
          <w:rFonts w:ascii="Arial" w:hAnsi="Arial" w:cs="Arial"/>
          <w:sz w:val="20"/>
          <w:szCs w:val="20"/>
        </w:rPr>
        <w:t>In Ivory Coast</w:t>
      </w:r>
      <w:r>
        <w:rPr>
          <w:rFonts w:ascii="Arial" w:hAnsi="Arial" w:cs="Arial"/>
          <w:b/>
          <w:sz w:val="20"/>
          <w:szCs w:val="20"/>
        </w:rPr>
        <w:t xml:space="preserve">, </w:t>
      </w:r>
      <w:r>
        <w:rPr>
          <w:rFonts w:ascii="Arial" w:hAnsi="Arial" w:cs="Arial"/>
          <w:sz w:val="20"/>
          <w:szCs w:val="20"/>
        </w:rPr>
        <w:t xml:space="preserve">several medicinal plants in the traditional pharmacopoeia are used by various traditional practitioners to treat malaria, including </w:t>
      </w:r>
      <w:r>
        <w:rPr>
          <w:rFonts w:ascii="Arial" w:hAnsi="Arial" w:cs="Arial"/>
          <w:i/>
          <w:sz w:val="20"/>
          <w:szCs w:val="20"/>
        </w:rPr>
        <w:t>Pericopsis laxiflora</w:t>
      </w:r>
      <w:r>
        <w:rPr>
          <w:rFonts w:ascii="Arial" w:hAnsi="Arial" w:cs="Arial"/>
          <w:sz w:val="20"/>
          <w:szCs w:val="20"/>
        </w:rPr>
        <w:t xml:space="preserve"> (Fabaceae)</w:t>
      </w:r>
      <w:r>
        <w:rPr>
          <w:rFonts w:ascii="Arial" w:hAnsi="Arial" w:cs="Arial"/>
          <w:b/>
          <w:sz w:val="20"/>
          <w:szCs w:val="20"/>
        </w:rPr>
        <w:t xml:space="preserve"> [16-18]. </w:t>
      </w:r>
      <w:r>
        <w:rPr>
          <w:rFonts w:ascii="Arial" w:hAnsi="Arial" w:cs="Arial"/>
          <w:sz w:val="20"/>
          <w:szCs w:val="20"/>
        </w:rPr>
        <w:t>The plant is traditionally used in Côte d'Ivoire and elsewhe</w:t>
      </w:r>
      <w:r>
        <w:rPr>
          <w:rFonts w:ascii="Arial" w:hAnsi="Arial" w:cs="Arial"/>
          <w:sz w:val="20"/>
          <w:szCs w:val="20"/>
        </w:rPr>
        <w:t>re in Africa to treat many health problems.</w:t>
      </w:r>
      <w:r>
        <w:rPr>
          <w:rFonts w:ascii="Arial" w:hAnsi="Arial" w:cs="Arial"/>
          <w:b/>
          <w:sz w:val="20"/>
          <w:szCs w:val="20"/>
        </w:rPr>
        <w:t xml:space="preserve"> [19-22]. </w:t>
      </w:r>
      <w:r>
        <w:rPr>
          <w:rFonts w:ascii="Arial" w:hAnsi="Arial" w:cs="Arial"/>
          <w:sz w:val="20"/>
          <w:szCs w:val="20"/>
        </w:rPr>
        <w:t>Previous work by</w:t>
      </w:r>
      <w:r>
        <w:rPr>
          <w:rFonts w:ascii="Arial" w:hAnsi="Arial" w:cs="Arial"/>
          <w:b/>
          <w:sz w:val="20"/>
          <w:szCs w:val="20"/>
        </w:rPr>
        <w:t xml:space="preserve"> [23-24] </w:t>
      </w:r>
      <w:r>
        <w:rPr>
          <w:rFonts w:ascii="Arial" w:hAnsi="Arial" w:cs="Arial"/>
          <w:sz w:val="20"/>
          <w:szCs w:val="20"/>
        </w:rPr>
        <w:t xml:space="preserve">has demonstrated the in vitro antiplasmodial efficacy of the methanolic extract of </w:t>
      </w:r>
      <w:r>
        <w:rPr>
          <w:rFonts w:ascii="Arial" w:hAnsi="Arial" w:cs="Arial"/>
          <w:i/>
          <w:sz w:val="20"/>
          <w:szCs w:val="20"/>
        </w:rPr>
        <w:t>Pericopsis laxiflora</w:t>
      </w:r>
      <w:r>
        <w:rPr>
          <w:rFonts w:ascii="Arial" w:hAnsi="Arial" w:cs="Arial"/>
          <w:sz w:val="20"/>
          <w:szCs w:val="20"/>
        </w:rPr>
        <w:t>. The general aim of the present study is to evaluate the anti-inflammatory</w:t>
      </w:r>
      <w:r>
        <w:rPr>
          <w:rFonts w:ascii="Arial" w:hAnsi="Arial" w:cs="Arial"/>
          <w:sz w:val="20"/>
          <w:szCs w:val="20"/>
        </w:rPr>
        <w:t xml:space="preserve"> activity of the methanolic extract and the acetatic fraction of </w:t>
      </w:r>
      <w:r>
        <w:rPr>
          <w:rFonts w:ascii="Arial" w:hAnsi="Arial" w:cs="Arial"/>
          <w:i/>
          <w:sz w:val="20"/>
          <w:szCs w:val="20"/>
        </w:rPr>
        <w:t xml:space="preserve">Pericopsis laxiflora </w:t>
      </w:r>
      <w:r>
        <w:rPr>
          <w:rFonts w:ascii="Arial" w:hAnsi="Arial" w:cs="Arial"/>
          <w:sz w:val="20"/>
          <w:szCs w:val="20"/>
        </w:rPr>
        <w:t xml:space="preserve">bark, and to assess their tolerance on the </w:t>
      </w:r>
      <w:r>
        <w:rPr>
          <w:rFonts w:ascii="Arial" w:hAnsi="Arial" w:cs="Arial"/>
          <w:i/>
          <w:sz w:val="20"/>
          <w:szCs w:val="20"/>
        </w:rPr>
        <w:t>Mus musculus</w:t>
      </w:r>
      <w:r>
        <w:rPr>
          <w:rFonts w:ascii="Arial" w:hAnsi="Arial" w:cs="Arial"/>
          <w:sz w:val="20"/>
          <w:szCs w:val="20"/>
        </w:rPr>
        <w:t xml:space="preserve"> albino mouse strain in order to select extracts with potential anti-malarial and anti-inflammatory promise.</w:t>
      </w:r>
    </w:p>
    <w:p w14:paraId="51C51C21" w14:textId="77777777" w:rsidR="00F97998" w:rsidRDefault="00F97998">
      <w:pPr>
        <w:spacing w:line="360" w:lineRule="auto"/>
        <w:jc w:val="both"/>
        <w:rPr>
          <w:rFonts w:ascii="Arial" w:hAnsi="Arial" w:cs="Arial"/>
          <w:b/>
        </w:rPr>
      </w:pPr>
    </w:p>
    <w:p w14:paraId="11D4F5E2" w14:textId="77777777" w:rsidR="00F97998" w:rsidRDefault="00F97998">
      <w:pPr>
        <w:spacing w:line="360" w:lineRule="auto"/>
        <w:jc w:val="both"/>
        <w:rPr>
          <w:rFonts w:ascii="Arial" w:hAnsi="Arial" w:cs="Arial"/>
          <w:b/>
        </w:rPr>
      </w:pPr>
    </w:p>
    <w:p w14:paraId="31E9950D" w14:textId="77777777" w:rsidR="00F97998" w:rsidRDefault="00A151AA">
      <w:pPr>
        <w:spacing w:line="360" w:lineRule="auto"/>
        <w:jc w:val="both"/>
        <w:rPr>
          <w:rFonts w:ascii="Arial" w:hAnsi="Arial" w:cs="Arial"/>
          <w:b/>
        </w:rPr>
      </w:pPr>
      <w:r>
        <w:rPr>
          <w:rFonts w:ascii="Arial" w:hAnsi="Arial" w:cs="Arial"/>
          <w:b/>
        </w:rPr>
        <w:t>MATE</w:t>
      </w:r>
      <w:r>
        <w:rPr>
          <w:rFonts w:ascii="Arial" w:hAnsi="Arial" w:cs="Arial"/>
          <w:b/>
        </w:rPr>
        <w:t>RIALS AND METHODS</w:t>
      </w:r>
    </w:p>
    <w:p w14:paraId="6907E52B" w14:textId="77777777" w:rsidR="00F97998" w:rsidRDefault="00A151AA">
      <w:pPr>
        <w:spacing w:line="360" w:lineRule="auto"/>
        <w:jc w:val="both"/>
        <w:rPr>
          <w:rFonts w:ascii="Arial" w:hAnsi="Arial" w:cs="Arial"/>
          <w:b/>
        </w:rPr>
      </w:pPr>
      <w:r>
        <w:rPr>
          <w:rFonts w:ascii="Arial" w:hAnsi="Arial" w:cs="Arial"/>
          <w:b/>
        </w:rPr>
        <w:t xml:space="preserve">1. Materials </w:t>
      </w:r>
    </w:p>
    <w:p w14:paraId="6EEF8D77" w14:textId="77777777" w:rsidR="00F97998" w:rsidRDefault="00A151AA">
      <w:pPr>
        <w:spacing w:line="360" w:lineRule="auto"/>
        <w:jc w:val="both"/>
        <w:rPr>
          <w:rFonts w:ascii="Arial" w:hAnsi="Arial" w:cs="Arial"/>
          <w:sz w:val="20"/>
          <w:szCs w:val="20"/>
        </w:rPr>
      </w:pPr>
      <w:r>
        <w:rPr>
          <w:rFonts w:ascii="Arial" w:hAnsi="Arial" w:cs="Arial"/>
          <w:b/>
          <w:sz w:val="20"/>
          <w:szCs w:val="20"/>
        </w:rPr>
        <w:t xml:space="preserve">1.1 Plant material                      </w:t>
      </w:r>
    </w:p>
    <w:p w14:paraId="77130F2E" w14:textId="77777777" w:rsidR="00F97998" w:rsidRDefault="00A151AA">
      <w:pPr>
        <w:spacing w:line="360" w:lineRule="auto"/>
        <w:jc w:val="both"/>
        <w:rPr>
          <w:rFonts w:ascii="Arial" w:hAnsi="Arial" w:cs="Arial"/>
          <w:sz w:val="20"/>
        </w:rPr>
      </w:pPr>
      <w:r>
        <w:rPr>
          <w:rFonts w:ascii="Arial" w:hAnsi="Arial" w:cs="Arial"/>
          <w:sz w:val="20"/>
        </w:rPr>
        <w:t xml:space="preserve">The plant material consists of </w:t>
      </w:r>
      <w:r>
        <w:rPr>
          <w:rFonts w:ascii="Arial" w:hAnsi="Arial" w:cs="Arial"/>
          <w:i/>
          <w:sz w:val="20"/>
        </w:rPr>
        <w:t>Pericopsis laxiflora</w:t>
      </w:r>
      <w:r>
        <w:rPr>
          <w:rFonts w:ascii="Arial" w:hAnsi="Arial" w:cs="Arial"/>
          <w:sz w:val="20"/>
        </w:rPr>
        <w:t xml:space="preserve"> trunk bark. It was collected on the basis of an ethnobotanical study carried out in Moronou (Toumodi Department or Belier Region). </w:t>
      </w:r>
      <w:r>
        <w:rPr>
          <w:rFonts w:ascii="Arial" w:hAnsi="Arial" w:cs="Arial"/>
          <w:sz w:val="20"/>
        </w:rPr>
        <w:t>Moronou is located in central Côte d'Ivoire, 30 km from the town of Toumodi.</w:t>
      </w:r>
    </w:p>
    <w:p w14:paraId="313A48C7" w14:textId="77777777" w:rsidR="00F97998" w:rsidRDefault="00A151AA">
      <w:pPr>
        <w:spacing w:line="360" w:lineRule="auto"/>
        <w:jc w:val="both"/>
        <w:rPr>
          <w:rFonts w:ascii="Arial" w:hAnsi="Arial" w:cs="Arial"/>
          <w:b/>
          <w:sz w:val="20"/>
        </w:rPr>
      </w:pPr>
      <w:r>
        <w:rPr>
          <w:rFonts w:ascii="Arial" w:hAnsi="Arial" w:cs="Arial"/>
          <w:b/>
          <w:sz w:val="20"/>
        </w:rPr>
        <w:t>1.2 Animal materials</w:t>
      </w:r>
    </w:p>
    <w:p w14:paraId="2406D7E1" w14:textId="77777777" w:rsidR="00F97998" w:rsidRDefault="00A151AA">
      <w:pPr>
        <w:spacing w:line="360" w:lineRule="auto"/>
        <w:jc w:val="both"/>
        <w:rPr>
          <w:rFonts w:ascii="Arial" w:hAnsi="Arial" w:cs="Arial"/>
          <w:sz w:val="20"/>
        </w:rPr>
      </w:pPr>
      <w:r>
        <w:rPr>
          <w:rFonts w:ascii="Arial" w:hAnsi="Arial" w:cs="Arial"/>
          <w:sz w:val="20"/>
        </w:rPr>
        <w:t xml:space="preserve">The animal material consists of albino mice of the </w:t>
      </w:r>
      <w:r>
        <w:rPr>
          <w:rFonts w:ascii="Arial" w:hAnsi="Arial" w:cs="Arial"/>
          <w:i/>
          <w:sz w:val="20"/>
        </w:rPr>
        <w:t>Mus musculus</w:t>
      </w:r>
      <w:r>
        <w:rPr>
          <w:rFonts w:ascii="Arial" w:hAnsi="Arial" w:cs="Arial"/>
          <w:sz w:val="20"/>
        </w:rPr>
        <w:t xml:space="preserve"> strain, which are inbred experimental animals. They were kept under the same feeding, temperat</w:t>
      </w:r>
      <w:r>
        <w:rPr>
          <w:rFonts w:ascii="Arial" w:hAnsi="Arial" w:cs="Arial"/>
          <w:sz w:val="20"/>
        </w:rPr>
        <w:t>ure, ventilation, humidity, aeration and lighting conditions throughout the study, and the best possible care was taken during testing to ensure batch homogeneity (weight, age, sex, species, strain, generation, breed).</w:t>
      </w:r>
    </w:p>
    <w:p w14:paraId="3594A78F" w14:textId="77777777" w:rsidR="00F97998" w:rsidRDefault="00A151AA">
      <w:pPr>
        <w:spacing w:line="360" w:lineRule="auto"/>
        <w:jc w:val="both"/>
        <w:rPr>
          <w:rFonts w:ascii="Arial" w:hAnsi="Arial" w:cs="Arial"/>
          <w:b/>
        </w:rPr>
      </w:pPr>
      <w:r>
        <w:rPr>
          <w:rFonts w:ascii="Arial" w:hAnsi="Arial" w:cs="Arial"/>
          <w:b/>
          <w:sz w:val="20"/>
        </w:rPr>
        <w:t>1.3 Reagents and solvents</w:t>
      </w:r>
    </w:p>
    <w:p w14:paraId="22ECE41B" w14:textId="77777777" w:rsidR="00F97998" w:rsidRDefault="00A151AA">
      <w:pPr>
        <w:spacing w:line="360" w:lineRule="auto"/>
        <w:jc w:val="both"/>
        <w:rPr>
          <w:rFonts w:ascii="Arial" w:hAnsi="Arial" w:cs="Arial"/>
          <w:sz w:val="20"/>
        </w:rPr>
      </w:pPr>
      <w:r>
        <w:rPr>
          <w:rFonts w:ascii="Arial" w:hAnsi="Arial" w:cs="Arial"/>
          <w:sz w:val="20"/>
        </w:rPr>
        <w:lastRenderedPageBreak/>
        <w:t>The reagent</w:t>
      </w:r>
      <w:r>
        <w:rPr>
          <w:rFonts w:ascii="Arial" w:hAnsi="Arial" w:cs="Arial"/>
          <w:sz w:val="20"/>
        </w:rPr>
        <w:t xml:space="preserve">s and solvents used </w:t>
      </w:r>
      <w:proofErr w:type="gramStart"/>
      <w:r>
        <w:rPr>
          <w:rFonts w:ascii="Arial" w:hAnsi="Arial" w:cs="Arial"/>
          <w:sz w:val="20"/>
        </w:rPr>
        <w:t>are:</w:t>
      </w:r>
      <w:proofErr w:type="gramEnd"/>
      <w:r>
        <w:rPr>
          <w:rFonts w:ascii="Arial" w:hAnsi="Arial" w:cs="Arial"/>
          <w:sz w:val="20"/>
        </w:rPr>
        <w:t xml:space="preserve"> carrageenan, physiological liquid (NaCl), methanol, ethyl acetate and hexane, distilled water and diclofenac.</w:t>
      </w:r>
    </w:p>
    <w:p w14:paraId="74F79A66" w14:textId="77777777" w:rsidR="00F97998" w:rsidRDefault="00A151AA">
      <w:pPr>
        <w:spacing w:line="360" w:lineRule="auto"/>
        <w:jc w:val="both"/>
        <w:rPr>
          <w:rFonts w:ascii="Arial" w:hAnsi="Arial" w:cs="Arial"/>
          <w:b/>
        </w:rPr>
      </w:pPr>
      <w:r>
        <w:rPr>
          <w:rFonts w:ascii="Arial" w:hAnsi="Arial" w:cs="Arial"/>
          <w:b/>
        </w:rPr>
        <w:t>2. Methods</w:t>
      </w:r>
    </w:p>
    <w:p w14:paraId="59EB3CE7" w14:textId="77777777" w:rsidR="00F97998" w:rsidRDefault="00A151AA">
      <w:pPr>
        <w:spacing w:line="360" w:lineRule="auto"/>
        <w:jc w:val="both"/>
        <w:rPr>
          <w:rFonts w:ascii="Arial" w:hAnsi="Arial" w:cs="Arial"/>
          <w:b/>
        </w:rPr>
      </w:pPr>
      <w:r>
        <w:rPr>
          <w:rFonts w:ascii="Arial" w:hAnsi="Arial" w:cs="Arial"/>
          <w:b/>
        </w:rPr>
        <w:t xml:space="preserve">2.1 Methods d’extrction </w:t>
      </w:r>
    </w:p>
    <w:p w14:paraId="308C61E1" w14:textId="77777777" w:rsidR="00F97998" w:rsidRDefault="00A151AA">
      <w:pPr>
        <w:spacing w:line="360" w:lineRule="auto"/>
        <w:jc w:val="both"/>
        <w:rPr>
          <w:rFonts w:ascii="Arial" w:hAnsi="Arial" w:cs="Arial"/>
          <w:b/>
          <w:sz w:val="20"/>
        </w:rPr>
      </w:pPr>
      <w:r>
        <w:rPr>
          <w:rFonts w:ascii="Arial" w:hAnsi="Arial" w:cs="Arial"/>
          <w:b/>
          <w:sz w:val="20"/>
        </w:rPr>
        <w:t>2.1.1 Plant extract and fraction preparation methods</w:t>
      </w:r>
    </w:p>
    <w:p w14:paraId="1493C72A" w14:textId="77777777" w:rsidR="00F97998" w:rsidRDefault="00A151AA">
      <w:pPr>
        <w:spacing w:line="360" w:lineRule="auto"/>
        <w:jc w:val="both"/>
        <w:rPr>
          <w:rFonts w:ascii="Arial" w:hAnsi="Arial" w:cs="Arial"/>
          <w:sz w:val="20"/>
        </w:rPr>
      </w:pPr>
      <w:r>
        <w:rPr>
          <w:rFonts w:ascii="Arial" w:hAnsi="Arial" w:cs="Arial"/>
          <w:sz w:val="20"/>
        </w:rPr>
        <w:t xml:space="preserve">The fine powders obtained were </w:t>
      </w:r>
      <w:r>
        <w:rPr>
          <w:rFonts w:ascii="Arial" w:hAnsi="Arial" w:cs="Arial"/>
          <w:sz w:val="20"/>
        </w:rPr>
        <w:t xml:space="preserve">extracted using the method of </w:t>
      </w:r>
      <w:r>
        <w:rPr>
          <w:rFonts w:ascii="Arial" w:hAnsi="Arial" w:cs="Arial"/>
          <w:b/>
          <w:sz w:val="20"/>
        </w:rPr>
        <w:t>[25]</w:t>
      </w:r>
      <w:r>
        <w:rPr>
          <w:rFonts w:ascii="Arial" w:hAnsi="Arial" w:cs="Arial"/>
          <w:sz w:val="20"/>
        </w:rPr>
        <w:t>. A quantity of 1 kg of plant powder was dissolved in a separating funnel with 3.33 L of pure methanol. This operation was repeated over 3 days, each time recovering the supernatant by opening the separating funnel tap. Th</w:t>
      </w:r>
      <w:r>
        <w:rPr>
          <w:rFonts w:ascii="Arial" w:hAnsi="Arial" w:cs="Arial"/>
          <w:sz w:val="20"/>
        </w:rPr>
        <w:t>is maceration method enabled us to extract the maximum number of bioactive molecules. Nevertheless, each macerate obtained per day was filtered on 3 mm Wattman paper and then on Buchner. Next, all the filtrates obtained were passed through a rotavapor to r</w:t>
      </w:r>
      <w:r>
        <w:rPr>
          <w:rFonts w:ascii="Arial" w:hAnsi="Arial" w:cs="Arial"/>
          <w:sz w:val="20"/>
        </w:rPr>
        <w:t>educe the solvent, and the resulting product was oven-dried at 40°C for 3 days to obtain the total methanolic extract. Finally, this extract was weighed to determine its yield, then stored in an airtight glass jar protected from light and at 4°C for subseq</w:t>
      </w:r>
      <w:r>
        <w:rPr>
          <w:rFonts w:ascii="Arial" w:hAnsi="Arial" w:cs="Arial"/>
          <w:sz w:val="20"/>
        </w:rPr>
        <w:t>uent testing.</w:t>
      </w:r>
    </w:p>
    <w:p w14:paraId="044C423F" w14:textId="77777777" w:rsidR="00F97998" w:rsidRDefault="00A151AA">
      <w:pPr>
        <w:spacing w:line="360" w:lineRule="auto"/>
        <w:jc w:val="both"/>
        <w:rPr>
          <w:rFonts w:ascii="Arial" w:hAnsi="Arial" w:cs="Arial"/>
          <w:b/>
          <w:sz w:val="20"/>
        </w:rPr>
      </w:pPr>
      <w:r>
        <w:rPr>
          <w:rFonts w:ascii="Arial" w:hAnsi="Arial" w:cs="Arial"/>
          <w:b/>
          <w:sz w:val="20"/>
        </w:rPr>
        <w:t>2.1.2 Fractionation of the methanolic extract</w:t>
      </w:r>
    </w:p>
    <w:p w14:paraId="7C960FE6" w14:textId="77777777" w:rsidR="00F97998" w:rsidRDefault="00A151AA">
      <w:pPr>
        <w:spacing w:line="360" w:lineRule="auto"/>
        <w:jc w:val="both"/>
        <w:rPr>
          <w:rFonts w:ascii="Arial" w:hAnsi="Arial" w:cs="Arial"/>
          <w:sz w:val="20"/>
        </w:rPr>
      </w:pPr>
      <w:r>
        <w:rPr>
          <w:rFonts w:ascii="Arial" w:hAnsi="Arial" w:cs="Arial"/>
          <w:sz w:val="20"/>
        </w:rPr>
        <w:t xml:space="preserve">In order to improve the activity of the methanolic extract, the extract underwent partition chromatography, using solvents of increasing polarity such as hexane and ethyl acetate. This is the </w:t>
      </w:r>
      <w:r>
        <w:rPr>
          <w:rFonts w:ascii="Arial" w:hAnsi="Arial" w:cs="Arial"/>
          <w:sz w:val="20"/>
        </w:rPr>
        <w:t xml:space="preserve">liquid-liquid extraction or liquid-liquid partition method. This method involved liquid-liquid partitioning with mutually immiscible solvents. The partition method was inspired by that of </w:t>
      </w:r>
      <w:r>
        <w:rPr>
          <w:rFonts w:ascii="Arial" w:hAnsi="Arial" w:cs="Arial"/>
          <w:b/>
          <w:sz w:val="20"/>
        </w:rPr>
        <w:t>[26].</w:t>
      </w:r>
      <w:r>
        <w:rPr>
          <w:rFonts w:ascii="Arial" w:hAnsi="Arial" w:cs="Arial"/>
          <w:sz w:val="20"/>
        </w:rPr>
        <w:t xml:space="preserve"> Fifty grams of the methanolic extract was taken up in 100 mL o</w:t>
      </w:r>
      <w:r>
        <w:rPr>
          <w:rFonts w:ascii="Arial" w:hAnsi="Arial" w:cs="Arial"/>
          <w:sz w:val="20"/>
        </w:rPr>
        <w:t>f distilled water. To the aqueous solution obtained, 250 mL of hexane was added, and the mixture was stirred vigorously for five minutes, then decanted for a further 20 minutes to obtain a hexane phase and a residual aqueous phase. After this, the stopcock</w:t>
      </w:r>
      <w:r>
        <w:rPr>
          <w:rFonts w:ascii="Arial" w:hAnsi="Arial" w:cs="Arial"/>
          <w:sz w:val="20"/>
        </w:rPr>
        <w:t xml:space="preserve"> of the separatory funnel was opened to allow the residual aqueous phase to pass into a beaker, and the supernatant (hexane phase) was also collected in another beaker. After this first operation, the second consisted in decanting the new residual aqueous </w:t>
      </w:r>
      <w:r>
        <w:rPr>
          <w:rFonts w:ascii="Arial" w:hAnsi="Arial" w:cs="Arial"/>
          <w:sz w:val="20"/>
        </w:rPr>
        <w:t xml:space="preserve">phase once again into the separatory funnel, then adding another 250 mL of hexane. The whole mixture was then vigorously homogenized for five minutes and left to settle for 20 minutes to obtain a new residual hexane and aqueous phase. After this step, the </w:t>
      </w:r>
      <w:r>
        <w:rPr>
          <w:rFonts w:ascii="Arial" w:hAnsi="Arial" w:cs="Arial"/>
          <w:sz w:val="20"/>
        </w:rPr>
        <w:t>tap was reopened as before to recover the new residual aqueous and hexane phases separately in various beakers. The third and final operation was identical to the second in order to obtain the previous results. After these various operations, all the hexan</w:t>
      </w:r>
      <w:r>
        <w:rPr>
          <w:rFonts w:ascii="Arial" w:hAnsi="Arial" w:cs="Arial"/>
          <w:sz w:val="20"/>
        </w:rPr>
        <w:t>e phases were collected and then evaporated to form the hexane fraction. As for the residual aqueous phase obtained after these various hexane leaching operations, it was also subjected to the same three previous leaching steps, but this time with ethyl ac</w:t>
      </w:r>
      <w:r>
        <w:rPr>
          <w:rFonts w:ascii="Arial" w:hAnsi="Arial" w:cs="Arial"/>
          <w:sz w:val="20"/>
        </w:rPr>
        <w:t>etate in order to obtain their respective phases (ethyl acetate and residual aqueous). The acetate fraction was then evaporated and stored in a hermetically sealed glass jar at 4°C, protected from light, for subsequent testing.</w:t>
      </w:r>
    </w:p>
    <w:p w14:paraId="23ECE06B" w14:textId="77777777" w:rsidR="00F97998" w:rsidRDefault="00A151AA">
      <w:pPr>
        <w:spacing w:line="360" w:lineRule="auto"/>
        <w:jc w:val="both"/>
        <w:rPr>
          <w:rFonts w:ascii="Arial" w:hAnsi="Arial" w:cs="Arial"/>
          <w:b/>
          <w:sz w:val="20"/>
        </w:rPr>
      </w:pPr>
      <w:r>
        <w:rPr>
          <w:rFonts w:ascii="Arial" w:hAnsi="Arial" w:cs="Arial"/>
          <w:b/>
          <w:sz w:val="20"/>
        </w:rPr>
        <w:t>2.1.3 Calculation of yield</w:t>
      </w:r>
    </w:p>
    <w:p w14:paraId="516A3812" w14:textId="77777777" w:rsidR="00F97998" w:rsidRDefault="00A151AA">
      <w:pPr>
        <w:spacing w:line="360" w:lineRule="auto"/>
        <w:jc w:val="both"/>
        <w:rPr>
          <w:rFonts w:ascii="Arial" w:hAnsi="Arial" w:cs="Arial"/>
          <w:sz w:val="20"/>
        </w:rPr>
      </w:pPr>
      <w:r>
        <w:rPr>
          <w:rFonts w:ascii="Arial" w:hAnsi="Arial" w:cs="Arial"/>
          <w:sz w:val="20"/>
        </w:rPr>
        <w:lastRenderedPageBreak/>
        <w:t>Y</w:t>
      </w:r>
      <w:r>
        <w:rPr>
          <w:rFonts w:ascii="Arial" w:hAnsi="Arial" w:cs="Arial"/>
          <w:sz w:val="20"/>
        </w:rPr>
        <w:t xml:space="preserve">ield is defined as the ratio between the mass of dry extract obtained and the mass of plant material processed </w:t>
      </w:r>
      <w:r>
        <w:rPr>
          <w:rFonts w:ascii="Arial" w:hAnsi="Arial" w:cs="Arial"/>
          <w:b/>
          <w:sz w:val="20"/>
        </w:rPr>
        <w:t>[27].</w:t>
      </w:r>
      <w:r>
        <w:rPr>
          <w:rFonts w:ascii="Arial" w:hAnsi="Arial" w:cs="Arial"/>
          <w:sz w:val="20"/>
        </w:rPr>
        <w:t xml:space="preserve"> This yield is calculated according to the </w:t>
      </w:r>
      <w:proofErr w:type="gramStart"/>
      <w:r>
        <w:rPr>
          <w:rFonts w:ascii="Arial" w:hAnsi="Arial" w:cs="Arial"/>
          <w:sz w:val="20"/>
        </w:rPr>
        <w:t>formula:</w:t>
      </w:r>
      <w:proofErr w:type="gramEnd"/>
    </w:p>
    <w:p w14:paraId="72F5E427" w14:textId="77777777" w:rsidR="00F97998" w:rsidRDefault="00A151AA">
      <w:pPr>
        <w:spacing w:line="360" w:lineRule="auto"/>
        <w:jc w:val="both"/>
        <w:rPr>
          <w:rFonts w:ascii="Arial" w:hAnsi="Arial" w:cs="Arial"/>
        </w:rPr>
      </w:pPr>
      <w:r>
        <w:rPr>
          <w:rFonts w:ascii="Arial" w:hAnsi="Arial" w:cs="Arial"/>
          <w:noProof/>
          <w:color w:val="000000" w:themeColor="text1"/>
          <w:lang w:eastAsia="fr-FR"/>
        </w:rPr>
        <mc:AlternateContent>
          <mc:Choice Requires="wps">
            <w:drawing>
              <wp:anchor distT="45720" distB="45720" distL="114300" distR="114300" simplePos="0" relativeHeight="251659264" behindDoc="0" locked="0" layoutInCell="1" allowOverlap="1" wp14:anchorId="667C3961" wp14:editId="46B22351">
                <wp:simplePos x="0" y="0"/>
                <wp:positionH relativeFrom="margin">
                  <wp:align>left</wp:align>
                </wp:positionH>
                <wp:positionV relativeFrom="paragraph">
                  <wp:posOffset>168275</wp:posOffset>
                </wp:positionV>
                <wp:extent cx="1405255" cy="286385"/>
                <wp:effectExtent l="0" t="0" r="23495" b="18415"/>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86385"/>
                        </a:xfrm>
                        <a:prstGeom prst="rect">
                          <a:avLst/>
                        </a:prstGeom>
                        <a:solidFill>
                          <a:srgbClr val="FFFFFF"/>
                        </a:solidFill>
                        <a:ln w="9525">
                          <a:solidFill>
                            <a:srgbClr val="000000"/>
                          </a:solidFill>
                          <a:miter lim="800000"/>
                        </a:ln>
                      </wps:spPr>
                      <wps:txbx>
                        <w:txbxContent>
                          <w:p w14:paraId="69658137" w14:textId="77777777" w:rsidR="00F97998" w:rsidRDefault="00A151AA">
                            <w:pPr>
                              <w:tabs>
                                <w:tab w:val="left" w:pos="387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vertAlign w:val="subscript"/>
                              </w:rPr>
                              <w:t>e</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bscript"/>
                              </w:rPr>
                              <w:t>v</w:t>
                            </w:r>
                            <w:r>
                              <w:rPr>
                                <w:rFonts w:ascii="Times New Roman" w:hAnsi="Times New Roman" w:cs="Times New Roman"/>
                                <w:color w:val="000000" w:themeColor="text1"/>
                                <w:sz w:val="24"/>
                                <w:szCs w:val="24"/>
                              </w:rPr>
                              <w:t xml:space="preserve"> X 100</w:t>
                            </w:r>
                          </w:p>
                          <w:p w14:paraId="761AFC4F" w14:textId="77777777" w:rsidR="00F97998" w:rsidRDefault="00F97998"/>
                        </w:txbxContent>
                      </wps:txbx>
                      <wps:bodyPr rot="0" vert="horz" wrap="square" lIns="91440" tIns="45720" rIns="91440" bIns="45720" anchor="t" anchorCtr="0">
                        <a:noAutofit/>
                      </wps:bodyPr>
                    </wps:wsp>
                  </a:graphicData>
                </a:graphic>
              </wp:anchor>
            </w:drawing>
          </mc:Choice>
          <mc:Fallback>
            <w:pict>
              <v:shapetype w14:anchorId="667C3961" id="_x0000_t202" coordsize="21600,21600" o:spt="202" path="m,l,21600r21600,l21600,xe">
                <v:stroke joinstyle="miter"/>
                <v:path gradientshapeok="t" o:connecttype="rect"/>
              </v:shapetype>
              <v:shape id="Zone de texte 2" o:spid="_x0000_s1026" type="#_x0000_t202" style="position:absolute;left:0;text-align:left;margin-left:0;margin-top:13.25pt;width:110.65pt;height:22.55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">
                <v:textbox>
                  <w:txbxContent>
                    <w:p w14:paraId="69658137" w14:textId="77777777" w:rsidR="00F97998" w:rsidRDefault="00A151AA">
                      <w:pPr>
                        <w:tabs>
                          <w:tab w:val="left" w:pos="387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 (%</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m</w:t>
                      </w:r>
                      <w:r>
                        <w:rPr>
                          <w:rFonts w:ascii="Times New Roman" w:hAnsi="Times New Roman" w:cs="Times New Roman"/>
                          <w:color w:val="000000" w:themeColor="text1"/>
                          <w:sz w:val="24"/>
                          <w:szCs w:val="24"/>
                          <w:vertAlign w:val="subscript"/>
                        </w:rPr>
                        <w:t>e</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bscript"/>
                        </w:rPr>
                        <w:t>v</w:t>
                      </w:r>
                      <w:r>
                        <w:rPr>
                          <w:rFonts w:ascii="Times New Roman" w:hAnsi="Times New Roman" w:cs="Times New Roman"/>
                          <w:color w:val="000000" w:themeColor="text1"/>
                          <w:sz w:val="24"/>
                          <w:szCs w:val="24"/>
                        </w:rPr>
                        <w:t xml:space="preserve"> X 100</w:t>
                      </w:r>
                    </w:p>
                    <w:p w14:paraId="761AFC4F" w14:textId="77777777" w:rsidR="00F97998" w:rsidRDefault="00F97998"/>
                  </w:txbxContent>
                </v:textbox>
                <w10:wrap type="square" anchorx="margin"/>
              </v:shape>
            </w:pict>
          </mc:Fallback>
        </mc:AlternateContent>
      </w:r>
    </w:p>
    <w:p w14:paraId="5E3E8F4C" w14:textId="77777777" w:rsidR="00F97998" w:rsidRDefault="00F97998">
      <w:pPr>
        <w:spacing w:line="360" w:lineRule="auto"/>
        <w:jc w:val="both"/>
        <w:rPr>
          <w:rFonts w:ascii="Arial" w:hAnsi="Arial" w:cs="Arial"/>
        </w:rPr>
      </w:pPr>
    </w:p>
    <w:p w14:paraId="210C3C70" w14:textId="77777777" w:rsidR="00F97998" w:rsidRDefault="00A151AA">
      <w:pPr>
        <w:tabs>
          <w:tab w:val="left" w:pos="1440"/>
        </w:tabs>
        <w:spacing w:line="360" w:lineRule="auto"/>
        <w:jc w:val="both"/>
        <w:rPr>
          <w:rFonts w:ascii="Arial" w:hAnsi="Arial" w:cs="Arial"/>
          <w:i/>
          <w:sz w:val="20"/>
        </w:rPr>
      </w:pPr>
      <w:proofErr w:type="gramStart"/>
      <w:r>
        <w:rPr>
          <w:rFonts w:ascii="Arial" w:hAnsi="Arial" w:cs="Arial"/>
          <w:i/>
          <w:sz w:val="20"/>
        </w:rPr>
        <w:t>Me:</w:t>
      </w:r>
      <w:proofErr w:type="gramEnd"/>
      <w:r>
        <w:rPr>
          <w:rFonts w:ascii="Arial" w:hAnsi="Arial" w:cs="Arial"/>
          <w:i/>
          <w:sz w:val="20"/>
        </w:rPr>
        <w:t xml:space="preserve"> Mass of extract after solvent evaporation.</w:t>
      </w:r>
    </w:p>
    <w:p w14:paraId="6D7768C1" w14:textId="77777777" w:rsidR="00F97998" w:rsidRDefault="00A151AA">
      <w:pPr>
        <w:tabs>
          <w:tab w:val="left" w:pos="1440"/>
        </w:tabs>
        <w:spacing w:line="360" w:lineRule="auto"/>
        <w:jc w:val="both"/>
        <w:rPr>
          <w:rFonts w:ascii="Arial" w:hAnsi="Arial" w:cs="Arial"/>
          <w:i/>
          <w:sz w:val="20"/>
        </w:rPr>
      </w:pPr>
      <w:proofErr w:type="gramStart"/>
      <w:r>
        <w:rPr>
          <w:rFonts w:ascii="Arial" w:hAnsi="Arial" w:cs="Arial"/>
          <w:i/>
          <w:sz w:val="20"/>
        </w:rPr>
        <w:t>Mv:</w:t>
      </w:r>
      <w:proofErr w:type="gramEnd"/>
      <w:r>
        <w:rPr>
          <w:rFonts w:ascii="Arial" w:hAnsi="Arial" w:cs="Arial"/>
          <w:i/>
          <w:sz w:val="20"/>
        </w:rPr>
        <w:t xml:space="preserve"> Mass of fine powder used for extraction.</w:t>
      </w:r>
    </w:p>
    <w:p w14:paraId="18FAACAD" w14:textId="77777777" w:rsidR="00F97998" w:rsidRDefault="00A151AA">
      <w:pPr>
        <w:spacing w:line="360" w:lineRule="auto"/>
        <w:jc w:val="both"/>
        <w:rPr>
          <w:rFonts w:ascii="Arial" w:hAnsi="Arial" w:cs="Arial"/>
          <w:b/>
        </w:rPr>
      </w:pPr>
      <w:r>
        <w:rPr>
          <w:rFonts w:ascii="Arial" w:hAnsi="Arial" w:cs="Arial"/>
          <w:b/>
        </w:rPr>
        <w:t>2.2 Acute toxicity assessment of methanolic extract and acetate fraction</w:t>
      </w:r>
    </w:p>
    <w:p w14:paraId="63BF265D" w14:textId="77777777" w:rsidR="00F97998" w:rsidRDefault="00A151AA">
      <w:pPr>
        <w:spacing w:line="360" w:lineRule="auto"/>
        <w:jc w:val="both"/>
        <w:rPr>
          <w:rFonts w:ascii="Arial" w:hAnsi="Arial" w:cs="Arial"/>
          <w:sz w:val="20"/>
        </w:rPr>
      </w:pPr>
      <w:r>
        <w:rPr>
          <w:rFonts w:ascii="Arial" w:hAnsi="Arial" w:cs="Arial"/>
          <w:sz w:val="20"/>
        </w:rPr>
        <w:t>The aim is to investigate the possible toxic effects of oral administration of a single high dose (2000 mg/Kg body weight) of the substanc</w:t>
      </w:r>
      <w:r>
        <w:rPr>
          <w:rFonts w:ascii="Arial" w:hAnsi="Arial" w:cs="Arial"/>
          <w:sz w:val="20"/>
        </w:rPr>
        <w:t>es used (methanolic extract and acetatic fraction). Their approximate 50% lethal dose (LD50) must then be determined in order to classify them according to the standards of the Organisation for Economic Co-operation and Development (OECD). After administra</w:t>
      </w:r>
      <w:r>
        <w:rPr>
          <w:rFonts w:ascii="Arial" w:hAnsi="Arial" w:cs="Arial"/>
          <w:sz w:val="20"/>
        </w:rPr>
        <w:t>tion of the high single dose, if there are no deaths this would mean that the lethal dose 50 (LD50) is greater than 2000 mg/Kg body weight, whereas if deaths are observed, the tests will be repeated with a lower dose. The acute toxicity study was carried o</w:t>
      </w:r>
      <w:r>
        <w:rPr>
          <w:rFonts w:ascii="Arial" w:hAnsi="Arial" w:cs="Arial"/>
          <w:sz w:val="20"/>
        </w:rPr>
        <w:t xml:space="preserve">ut in accordance with the OECD 421 (2001) </w:t>
      </w:r>
      <w:r>
        <w:rPr>
          <w:rFonts w:ascii="Arial" w:eastAsia="Times New Roman" w:hAnsi="Arial" w:cs="Arial"/>
          <w:b/>
          <w:szCs w:val="24"/>
          <w:lang w:eastAsia="fr-FR"/>
        </w:rPr>
        <w:t>[28]</w:t>
      </w:r>
      <w:r>
        <w:rPr>
          <w:rFonts w:ascii="Arial" w:hAnsi="Arial" w:cs="Arial"/>
          <w:szCs w:val="24"/>
        </w:rPr>
        <w:t>. Toxicity was assessed in mice weighing between 22 and 30g. Three batches of 7 mice were created, including two test batches and one control batch. The test batches were treated with the extract and the fracti</w:t>
      </w:r>
      <w:r>
        <w:rPr>
          <w:rFonts w:ascii="Arial" w:hAnsi="Arial" w:cs="Arial"/>
          <w:szCs w:val="24"/>
        </w:rPr>
        <w:t>on respectively. The control batch used distilled water only. In any case, all batches were subjected to the same conditions of diet, temperature and lighting for the duration of the experiment. However, the mice were acclimatized to these experimental con</w:t>
      </w:r>
      <w:r>
        <w:rPr>
          <w:rFonts w:ascii="Arial" w:hAnsi="Arial" w:cs="Arial"/>
          <w:szCs w:val="24"/>
        </w:rPr>
        <w:t>ditions for one week, after which they were fasted for 4 hours prior to testing.</w:t>
      </w:r>
      <w:r>
        <w:rPr>
          <w:rFonts w:ascii="Arial" w:hAnsi="Arial" w:cs="Arial"/>
          <w:sz w:val="20"/>
        </w:rPr>
        <w:t xml:space="preserve"> </w:t>
      </w:r>
    </w:p>
    <w:p w14:paraId="372F9C7F" w14:textId="77777777" w:rsidR="00F97998" w:rsidRDefault="00A151AA">
      <w:pPr>
        <w:spacing w:line="360" w:lineRule="auto"/>
        <w:jc w:val="both"/>
        <w:rPr>
          <w:rFonts w:ascii="Arial" w:hAnsi="Arial" w:cs="Arial"/>
          <w:b/>
        </w:rPr>
      </w:pPr>
      <w:r>
        <w:rPr>
          <w:rFonts w:ascii="Arial" w:hAnsi="Arial" w:cs="Arial"/>
          <w:b/>
        </w:rPr>
        <w:t>2.3 Assessment of anti-inflammatory activity</w:t>
      </w:r>
    </w:p>
    <w:p w14:paraId="38937E64" w14:textId="77777777" w:rsidR="00F97998" w:rsidRDefault="00A151AA">
      <w:pPr>
        <w:spacing w:line="360" w:lineRule="auto"/>
        <w:jc w:val="both"/>
        <w:rPr>
          <w:rFonts w:ascii="Arial" w:hAnsi="Arial" w:cs="Arial"/>
          <w:sz w:val="20"/>
        </w:rPr>
      </w:pPr>
      <w:r>
        <w:rPr>
          <w:rFonts w:ascii="Arial" w:hAnsi="Arial" w:cs="Arial"/>
          <w:sz w:val="20"/>
        </w:rPr>
        <w:t xml:space="preserve">The anti-inflammatory activity study was carried out according to the method described by </w:t>
      </w:r>
      <w:r>
        <w:rPr>
          <w:rFonts w:ascii="Arial" w:hAnsi="Arial" w:cs="Arial"/>
          <w:b/>
          <w:sz w:val="20"/>
        </w:rPr>
        <w:t>[29-30].</w:t>
      </w:r>
      <w:r>
        <w:rPr>
          <w:rFonts w:ascii="Arial" w:hAnsi="Arial" w:cs="Arial"/>
          <w:sz w:val="20"/>
        </w:rPr>
        <w:t xml:space="preserve"> Nine batches of five mice were</w:t>
      </w:r>
      <w:r>
        <w:rPr>
          <w:rFonts w:ascii="Arial" w:hAnsi="Arial" w:cs="Arial"/>
          <w:sz w:val="20"/>
        </w:rPr>
        <w:t xml:space="preserve"> used, with six test batches and three control batches. Of the test batches, three received doses of 200, 400 and 800 mg/Kg PC of the methanolic extract, respectively, while the other three were administered doses of 200, 400 and 800 mg/Kg PC of the acetat</w:t>
      </w:r>
      <w:r>
        <w:rPr>
          <w:rFonts w:ascii="Arial" w:hAnsi="Arial" w:cs="Arial"/>
          <w:sz w:val="20"/>
        </w:rPr>
        <w:t xml:space="preserve">ic fraction. As for the control batches, they differ in that one batch received only the reference molecule (diclofenac) at a dose of 50 mg/Kg PC, while the other two constituted the sick and healthy controls respectively. In the sick control, the animals </w:t>
      </w:r>
      <w:r>
        <w:rPr>
          <w:rFonts w:ascii="Arial" w:hAnsi="Arial" w:cs="Arial"/>
          <w:sz w:val="20"/>
        </w:rPr>
        <w:t>were infected without being treated, unlike the healthy control where they were neither infected nor treated. Animals were infected by injecting 1% carrageenan (0.9 NaCl) under the plantar fascia of the mice's right hind leg one hour after administration o</w:t>
      </w:r>
      <w:r>
        <w:rPr>
          <w:rFonts w:ascii="Arial" w:hAnsi="Arial" w:cs="Arial"/>
          <w:sz w:val="20"/>
        </w:rPr>
        <w:t>f the various products (diclofenac, extract and fraction). The aim of this operation was to highlight the possible preventive action of the various products used. The volume of the leg was then measured at different times. In fact, it was carried out at on</w:t>
      </w:r>
      <w:r>
        <w:rPr>
          <w:rFonts w:ascii="Arial" w:hAnsi="Arial" w:cs="Arial"/>
          <w:sz w:val="20"/>
        </w:rPr>
        <w:t xml:space="preserve">e hour before carrageenan injection, which corresponds to T0, and then at one, two, three, four and five hours after carrageenan injection (T1, T2, T3, T4 and T5). According to </w:t>
      </w:r>
      <w:r>
        <w:rPr>
          <w:rFonts w:ascii="Arial" w:hAnsi="Arial" w:cs="Arial"/>
          <w:b/>
          <w:sz w:val="20"/>
        </w:rPr>
        <w:t>[31],</w:t>
      </w:r>
      <w:r>
        <w:rPr>
          <w:rFonts w:ascii="Arial" w:hAnsi="Arial" w:cs="Arial"/>
          <w:sz w:val="20"/>
        </w:rPr>
        <w:t xml:space="preserve"> edema is assessed using the mean percentage increase (% AUG) in the volum</w:t>
      </w:r>
      <w:r>
        <w:rPr>
          <w:rFonts w:ascii="Arial" w:hAnsi="Arial" w:cs="Arial"/>
          <w:sz w:val="20"/>
        </w:rPr>
        <w:t xml:space="preserve">e of the mouse paw. It is defined by the following </w:t>
      </w:r>
      <w:proofErr w:type="gramStart"/>
      <w:r>
        <w:rPr>
          <w:rFonts w:ascii="Arial" w:hAnsi="Arial" w:cs="Arial"/>
          <w:sz w:val="20"/>
        </w:rPr>
        <w:t>formula:</w:t>
      </w:r>
      <w:proofErr w:type="gramEnd"/>
    </w:p>
    <w:p w14:paraId="0D649C65" w14:textId="77777777" w:rsidR="00F97998" w:rsidRDefault="00A151AA">
      <w:pPr>
        <w:spacing w:line="360" w:lineRule="auto"/>
        <w:jc w:val="both"/>
        <w:rPr>
          <w:rFonts w:ascii="Arial" w:hAnsi="Arial" w:cs="Arial"/>
        </w:rPr>
      </w:pPr>
      <w:r>
        <w:rPr>
          <w:rFonts w:ascii="Arial" w:hAnsi="Arial" w:cs="Arial"/>
          <w:noProof/>
          <w:sz w:val="24"/>
          <w:szCs w:val="24"/>
          <w:lang w:eastAsia="fr-FR"/>
        </w:rPr>
        <w:lastRenderedPageBreak/>
        <mc:AlternateContent>
          <mc:Choice Requires="wps">
            <w:drawing>
              <wp:anchor distT="45720" distB="45720" distL="114300" distR="114300" simplePos="0" relativeHeight="251661312" behindDoc="0" locked="0" layoutInCell="1" allowOverlap="1" wp14:anchorId="3B01B58A" wp14:editId="4B9E442D">
                <wp:simplePos x="0" y="0"/>
                <wp:positionH relativeFrom="margin">
                  <wp:posOffset>-11430</wp:posOffset>
                </wp:positionH>
                <wp:positionV relativeFrom="paragraph">
                  <wp:posOffset>67310</wp:posOffset>
                </wp:positionV>
                <wp:extent cx="1573530" cy="360045"/>
                <wp:effectExtent l="0" t="0" r="26670" b="2095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360045"/>
                        </a:xfrm>
                        <a:prstGeom prst="rect">
                          <a:avLst/>
                        </a:prstGeom>
                        <a:solidFill>
                          <a:srgbClr val="FFFFFF"/>
                        </a:solidFill>
                        <a:ln w="9525">
                          <a:solidFill>
                            <a:srgbClr val="000000"/>
                          </a:solidFill>
                          <a:miter lim="800000"/>
                        </a:ln>
                      </wps:spPr>
                      <wps:txbx>
                        <w:txbxContent>
                          <w:p w14:paraId="4DED2CF9" w14:textId="77777777" w:rsidR="00F97998" w:rsidRDefault="00A151AA">
                            <w:pPr>
                              <w:tabs>
                                <w:tab w:val="left" w:pos="3870"/>
                              </w:tabs>
                              <w:spacing w:after="0" w:line="360" w:lineRule="auto"/>
                              <w:jc w:val="both"/>
                              <w:rPr>
                                <w:rFonts w:ascii="Cambria Math" w:hAnsi="Cambria Math" w:cs="Times New Roman"/>
                                <w:sz w:val="24"/>
                                <w:szCs w:val="24"/>
                              </w:rPr>
                            </w:pPr>
                            <w:r>
                              <w:rPr>
                                <w:rFonts w:ascii="Cambria Math" w:hAnsi="Cambria Math" w:cs="Times New Roman"/>
                                <w:sz w:val="24"/>
                                <w:szCs w:val="24"/>
                              </w:rPr>
                              <w:t xml:space="preserve">%AUG = </w:t>
                            </w:r>
                            <m:oMath>
                              <m:f>
                                <m:fPr>
                                  <m:ctrlPr>
                                    <w:rPr>
                                      <w:rFonts w:ascii="Cambria Math" w:hAnsi="Cambria Math" w:cs="Times New Roman"/>
                                      <w:i/>
                                      <w:sz w:val="24"/>
                                      <w:szCs w:val="24"/>
                                    </w:rPr>
                                  </m:ctrlPr>
                                </m:fPr>
                                <m:num>
                                  <m:r>
                                    <w:rPr>
                                      <w:rFonts w:ascii="Cambria Math" w:hAnsi="Cambria Math" w:cs="Times New Roman"/>
                                      <w:sz w:val="24"/>
                                      <w:szCs w:val="24"/>
                                    </w:rPr>
                                    <m:t>Vt</m:t>
                                  </m:r>
                                  <m:r>
                                    <w:rPr>
                                      <w:rFonts w:ascii="Cambria Math" w:hAnsi="Cambria Math" w:cs="Times New Roman"/>
                                      <w:sz w:val="24"/>
                                      <w:szCs w:val="24"/>
                                    </w:rPr>
                                    <m:t>-</m:t>
                                  </m:r>
                                  <m:r>
                                    <w:rPr>
                                      <w:rFonts w:ascii="Cambria Math" w:hAnsi="Cambria Math" w:cs="Times New Roman"/>
                                      <w:sz w:val="24"/>
                                      <w:szCs w:val="24"/>
                                    </w:rPr>
                                    <m:t>V</m:t>
                                  </m:r>
                                  <m:r>
                                    <w:rPr>
                                      <w:rFonts w:ascii="Cambria Math" w:hAnsi="Cambria Math" w:cs="Times New Roman"/>
                                      <w:sz w:val="24"/>
                                      <w:szCs w:val="24"/>
                                    </w:rPr>
                                    <m:t>0</m:t>
                                  </m:r>
                                </m:num>
                                <m:den>
                                  <m:r>
                                    <w:rPr>
                                      <w:rFonts w:ascii="Cambria Math" w:hAnsi="Cambria Math" w:cs="Times New Roman"/>
                                      <w:sz w:val="24"/>
                                      <w:szCs w:val="24"/>
                                    </w:rPr>
                                    <m:t>V</m:t>
                                  </m:r>
                                  <m:r>
                                    <w:rPr>
                                      <w:rFonts w:ascii="Cambria Math" w:hAnsi="Cambria Math" w:cs="Times New Roman"/>
                                      <w:sz w:val="24"/>
                                      <w:szCs w:val="24"/>
                                    </w:rPr>
                                    <m:t>0</m:t>
                                  </m:r>
                                </m:den>
                              </m:f>
                              <m:r>
                                <w:rPr>
                                  <w:rFonts w:ascii="Cambria Math" w:hAnsi="Cambria Math" w:cs="Times New Roman"/>
                                  <w:sz w:val="24"/>
                                  <w:szCs w:val="24"/>
                                </w:rPr>
                                <m:t xml:space="preserve"> </m:t>
                              </m:r>
                              <m:r>
                                <w:rPr>
                                  <w:rFonts w:ascii="Cambria Math" w:hAnsi="Cambria Math" w:cs="Times New Roman"/>
                                  <w:sz w:val="24"/>
                                  <w:szCs w:val="24"/>
                                </w:rPr>
                                <m:t>X</m:t>
                              </m:r>
                              <m:r>
                                <w:rPr>
                                  <w:rFonts w:ascii="Cambria Math" w:hAnsi="Cambria Math" w:cs="Times New Roman"/>
                                  <w:sz w:val="24"/>
                                  <w:szCs w:val="24"/>
                                </w:rPr>
                                <m:t xml:space="preserve"> 100</m:t>
                              </m:r>
                            </m:oMath>
                          </w:p>
                        </w:txbxContent>
                      </wps:txbx>
                      <wps:bodyPr rot="0" vert="horz" wrap="square" lIns="91440" tIns="45720" rIns="91440" bIns="45720" anchor="t" anchorCtr="0">
                        <a:noAutofit/>
                      </wps:bodyPr>
                    </wps:wsp>
                  </a:graphicData>
                </a:graphic>
              </wp:anchor>
            </w:drawing>
          </mc:Choice>
          <mc:Fallback>
            <w:pict>
              <v:shape w14:anchorId="3B01B58A" id="_x0000_s1027" type="#_x0000_t202" style="position:absolute;left:0;text-align:left;margin-left:-.9pt;margin-top:5.3pt;width:123.9pt;height:28.3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">
                <v:textbox>
                  <w:txbxContent>
                    <w:p w14:paraId="4DED2CF9" w14:textId="77777777" w:rsidR="00F97998" w:rsidRDefault="00A151AA">
                      <w:pPr>
                        <w:tabs>
                          <w:tab w:val="left" w:pos="3870"/>
                        </w:tabs>
                        <w:spacing w:after="0" w:line="360" w:lineRule="auto"/>
                        <w:jc w:val="both"/>
                        <w:rPr>
                          <w:rFonts w:ascii="Cambria Math" w:hAnsi="Cambria Math" w:cs="Times New Roman"/>
                          <w:sz w:val="24"/>
                          <w:szCs w:val="24"/>
                        </w:rPr>
                      </w:pPr>
                      <w:r>
                        <w:rPr>
                          <w:rFonts w:ascii="Cambria Math" w:hAnsi="Cambria Math" w:cs="Times New Roman"/>
                          <w:sz w:val="24"/>
                          <w:szCs w:val="24"/>
                        </w:rPr>
                        <w:t xml:space="preserve">%AUG = </w:t>
                      </w:r>
                      <m:oMath>
                        <m:f>
                          <m:fPr>
                            <m:ctrlPr>
                              <w:rPr>
                                <w:rFonts w:ascii="Cambria Math" w:hAnsi="Cambria Math" w:cs="Times New Roman"/>
                                <w:i/>
                                <w:sz w:val="24"/>
                                <w:szCs w:val="24"/>
                              </w:rPr>
                            </m:ctrlPr>
                          </m:fPr>
                          <m:num>
                            <m:r>
                              <w:rPr>
                                <w:rFonts w:ascii="Cambria Math" w:hAnsi="Cambria Math" w:cs="Times New Roman"/>
                                <w:sz w:val="24"/>
                                <w:szCs w:val="24"/>
                              </w:rPr>
                              <m:t>Vt</m:t>
                            </m:r>
                            <m:r>
                              <w:rPr>
                                <w:rFonts w:ascii="Cambria Math" w:hAnsi="Cambria Math" w:cs="Times New Roman"/>
                                <w:sz w:val="24"/>
                                <w:szCs w:val="24"/>
                              </w:rPr>
                              <m:t>-</m:t>
                            </m:r>
                            <m:r>
                              <w:rPr>
                                <w:rFonts w:ascii="Cambria Math" w:hAnsi="Cambria Math" w:cs="Times New Roman"/>
                                <w:sz w:val="24"/>
                                <w:szCs w:val="24"/>
                              </w:rPr>
                              <m:t>V</m:t>
                            </m:r>
                            <m:r>
                              <w:rPr>
                                <w:rFonts w:ascii="Cambria Math" w:hAnsi="Cambria Math" w:cs="Times New Roman"/>
                                <w:sz w:val="24"/>
                                <w:szCs w:val="24"/>
                              </w:rPr>
                              <m:t>0</m:t>
                            </m:r>
                          </m:num>
                          <m:den>
                            <m:r>
                              <w:rPr>
                                <w:rFonts w:ascii="Cambria Math" w:hAnsi="Cambria Math" w:cs="Times New Roman"/>
                                <w:sz w:val="24"/>
                                <w:szCs w:val="24"/>
                              </w:rPr>
                              <m:t>V</m:t>
                            </m:r>
                            <m:r>
                              <w:rPr>
                                <w:rFonts w:ascii="Cambria Math" w:hAnsi="Cambria Math" w:cs="Times New Roman"/>
                                <w:sz w:val="24"/>
                                <w:szCs w:val="24"/>
                              </w:rPr>
                              <m:t>0</m:t>
                            </m:r>
                          </m:den>
                        </m:f>
                        <m:r>
                          <w:rPr>
                            <w:rFonts w:ascii="Cambria Math" w:hAnsi="Cambria Math" w:cs="Times New Roman"/>
                            <w:sz w:val="24"/>
                            <w:szCs w:val="24"/>
                          </w:rPr>
                          <m:t xml:space="preserve"> </m:t>
                        </m:r>
                        <m:r>
                          <w:rPr>
                            <w:rFonts w:ascii="Cambria Math" w:hAnsi="Cambria Math" w:cs="Times New Roman"/>
                            <w:sz w:val="24"/>
                            <w:szCs w:val="24"/>
                          </w:rPr>
                          <m:t>X</m:t>
                        </m:r>
                        <m:r>
                          <w:rPr>
                            <w:rFonts w:ascii="Cambria Math" w:hAnsi="Cambria Math" w:cs="Times New Roman"/>
                            <w:sz w:val="24"/>
                            <w:szCs w:val="24"/>
                          </w:rPr>
                          <m:t xml:space="preserve"> 100</m:t>
                        </m:r>
                      </m:oMath>
                    </w:p>
                  </w:txbxContent>
                </v:textbox>
                <w10:wrap type="square" anchorx="margin"/>
              </v:shape>
            </w:pict>
          </mc:Fallback>
        </mc:AlternateContent>
      </w:r>
    </w:p>
    <w:p w14:paraId="67D08EE7" w14:textId="77777777" w:rsidR="00F97998" w:rsidRDefault="00F97998">
      <w:pPr>
        <w:spacing w:line="240" w:lineRule="auto"/>
        <w:jc w:val="both"/>
        <w:rPr>
          <w:rFonts w:ascii="Arial" w:hAnsi="Arial" w:cs="Arial"/>
        </w:rPr>
      </w:pPr>
    </w:p>
    <w:p w14:paraId="4707274F" w14:textId="77777777" w:rsidR="00F97998" w:rsidRDefault="00A151AA">
      <w:pPr>
        <w:spacing w:line="240" w:lineRule="auto"/>
        <w:jc w:val="both"/>
        <w:rPr>
          <w:rFonts w:ascii="Arial" w:hAnsi="Arial" w:cs="Arial"/>
          <w:i/>
        </w:rPr>
      </w:pPr>
      <w:r>
        <w:rPr>
          <w:rFonts w:ascii="Arial" w:hAnsi="Arial" w:cs="Arial"/>
          <w:i/>
        </w:rPr>
        <w:t>Vt = leg volume at time t</w:t>
      </w:r>
    </w:p>
    <w:p w14:paraId="787BD10C" w14:textId="77777777" w:rsidR="00F97998" w:rsidRDefault="00A151AA">
      <w:pPr>
        <w:spacing w:line="240" w:lineRule="auto"/>
        <w:jc w:val="both"/>
        <w:rPr>
          <w:rFonts w:ascii="Arial" w:hAnsi="Arial" w:cs="Arial"/>
          <w:i/>
        </w:rPr>
      </w:pPr>
      <w:r>
        <w:rPr>
          <w:rFonts w:ascii="Arial" w:hAnsi="Arial" w:cs="Arial"/>
          <w:i/>
        </w:rPr>
        <w:t>V0 = initial leg volume</w:t>
      </w:r>
    </w:p>
    <w:p w14:paraId="410FA0E9" w14:textId="77777777" w:rsidR="00F97998" w:rsidRDefault="00A151AA">
      <w:pPr>
        <w:spacing w:line="360" w:lineRule="auto"/>
        <w:jc w:val="both"/>
        <w:rPr>
          <w:rFonts w:ascii="Arial" w:hAnsi="Arial" w:cs="Arial"/>
          <w:sz w:val="20"/>
        </w:rPr>
      </w:pPr>
      <w:r>
        <w:rPr>
          <w:rFonts w:ascii="Arial" w:hAnsi="Arial" w:cs="Arial"/>
          <w:sz w:val="20"/>
        </w:rPr>
        <w:t xml:space="preserve">Anti-inflammatory activity can also be assessed by calculating the percentage of edema inhibition (% INH). It is </w:t>
      </w:r>
      <w:r>
        <w:rPr>
          <w:rFonts w:ascii="Arial" w:hAnsi="Arial" w:cs="Arial"/>
          <w:sz w:val="20"/>
        </w:rPr>
        <w:t>determined by the following formula</w:t>
      </w:r>
    </w:p>
    <w:p w14:paraId="0F9CE5B0" w14:textId="77777777" w:rsidR="00F97998" w:rsidRDefault="00A151AA">
      <w:pPr>
        <w:spacing w:line="360" w:lineRule="auto"/>
        <w:jc w:val="both"/>
        <w:rPr>
          <w:rFonts w:ascii="Arial" w:hAnsi="Arial" w:cs="Arial"/>
        </w:rPr>
      </w:pPr>
      <w:r>
        <w:rPr>
          <w:rFonts w:ascii="Arial" w:eastAsia="Calibri" w:hAnsi="Arial" w:cs="Arial"/>
          <w:noProof/>
          <w:lang w:eastAsia="fr-FR"/>
        </w:rPr>
        <mc:AlternateContent>
          <mc:Choice Requires="wps">
            <w:drawing>
              <wp:anchor distT="45720" distB="45720" distL="114300" distR="114300" simplePos="0" relativeHeight="251660288" behindDoc="0" locked="0" layoutInCell="1" allowOverlap="1" wp14:anchorId="11AA5269" wp14:editId="4E283460">
                <wp:simplePos x="0" y="0"/>
                <wp:positionH relativeFrom="margin">
                  <wp:align>left</wp:align>
                </wp:positionH>
                <wp:positionV relativeFrom="paragraph">
                  <wp:posOffset>172720</wp:posOffset>
                </wp:positionV>
                <wp:extent cx="2471420" cy="387350"/>
                <wp:effectExtent l="0" t="0" r="24130" b="12700"/>
                <wp:wrapSquare wrapText="bothSides"/>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387350"/>
                        </a:xfrm>
                        <a:prstGeom prst="rect">
                          <a:avLst/>
                        </a:prstGeom>
                        <a:solidFill>
                          <a:srgbClr val="FFFFFF"/>
                        </a:solidFill>
                        <a:ln w="9525">
                          <a:solidFill>
                            <a:srgbClr val="000000"/>
                          </a:solidFill>
                          <a:miter lim="800000"/>
                        </a:ln>
                      </wps:spPr>
                      <wps:txbx>
                        <w:txbxContent>
                          <w:p w14:paraId="0B77A0D4" w14:textId="77777777" w:rsidR="00F97998" w:rsidRDefault="00A151AA">
                            <w:pPr>
                              <w:rPr>
                                <w:rFonts w:ascii="Cambria Math" w:hAnsi="Cambria Math"/>
                                <w:sz w:val="24"/>
                                <w:szCs w:val="24"/>
                                <w:lang w:val="en-US"/>
                              </w:rPr>
                            </w:pPr>
                            <w:r>
                              <w:rPr>
                                <w:rFonts w:ascii="Cambria Math" w:hAnsi="Cambria Math" w:cs="Times New Roman"/>
                                <w:sz w:val="24"/>
                                <w:szCs w:val="24"/>
                                <w:lang w:val="en-US"/>
                              </w:rPr>
                              <w:t xml:space="preserve">%INH = </w:t>
                            </w:r>
                            <m:oMath>
                              <m:f>
                                <m:fPr>
                                  <m:ctrlPr>
                                    <w:rPr>
                                      <w:rFonts w:ascii="Cambria Math" w:hAnsi="Cambria Math" w:cs="Times New Roman"/>
                                      <w:i/>
                                      <w:sz w:val="24"/>
                                      <w:szCs w:val="24"/>
                                    </w:rPr>
                                  </m:ctrlPr>
                                </m:fPr>
                                <m:num>
                                  <m:r>
                                    <w:rPr>
                                      <w:rFonts w:ascii="Cambria Math" w:hAnsi="Cambria Math" w:cs="Times New Roman"/>
                                      <w:sz w:val="24"/>
                                      <w:szCs w:val="24"/>
                                      <w:lang w:val="en-US"/>
                                    </w:rPr>
                                    <m:t xml:space="preserve">% </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con</m:t>
                                  </m:r>
                                  <m:r>
                                    <w:rPr>
                                      <w:rFonts w:ascii="Cambria Math" w:hAnsi="Cambria Math" w:cs="Times New Roman"/>
                                      <w:sz w:val="24"/>
                                      <w:szCs w:val="24"/>
                                      <w:lang w:val="en-US"/>
                                    </w:rPr>
                                    <m:t>-</m:t>
                                  </m:r>
                                  <m:r>
                                    <w:rPr>
                                      <w:rFonts w:ascii="Cambria Math" w:hAnsi="Cambria Math" w:cs="Times New Roman"/>
                                      <w:sz w:val="24"/>
                                      <w:szCs w:val="24"/>
                                      <w:lang w:val="en-US"/>
                                    </w:rPr>
                                    <m:t>%</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tre</m:t>
                                  </m:r>
                                  <m:r>
                                    <w:rPr>
                                      <w:rFonts w:ascii="Cambria Math" w:hAnsi="Cambria Math" w:cs="Times New Roman"/>
                                      <w:sz w:val="24"/>
                                      <w:szCs w:val="24"/>
                                      <w:lang w:val="en-US"/>
                                    </w:rPr>
                                    <m:t xml:space="preserve"> </m:t>
                                  </m:r>
                                </m:num>
                                <m:den>
                                  <m:r>
                                    <w:rPr>
                                      <w:rFonts w:ascii="Cambria Math" w:hAnsi="Cambria Math" w:cs="Times New Roman"/>
                                      <w:sz w:val="24"/>
                                      <w:szCs w:val="24"/>
                                      <w:lang w:val="en-US"/>
                                    </w:rPr>
                                    <m:t>%</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tre</m:t>
                                  </m:r>
                                </m:den>
                              </m:f>
                              <m:r>
                                <w:rPr>
                                  <w:rFonts w:ascii="Cambria Math" w:hAnsi="Cambria Math" w:cs="Times New Roman"/>
                                  <w:sz w:val="24"/>
                                  <w:szCs w:val="24"/>
                                  <w:lang w:val="en-US"/>
                                </w:rPr>
                                <m:t xml:space="preserve"> </m:t>
                              </m:r>
                              <m:r>
                                <w:rPr>
                                  <w:rFonts w:ascii="Cambria Math" w:hAnsi="Cambria Math" w:cs="Times New Roman"/>
                                  <w:sz w:val="24"/>
                                  <w:szCs w:val="24"/>
                                </w:rPr>
                                <m:t>X</m:t>
                              </m:r>
                              <m:r>
                                <w:rPr>
                                  <w:rFonts w:ascii="Cambria Math" w:hAnsi="Cambria Math" w:cs="Times New Roman"/>
                                  <w:sz w:val="24"/>
                                  <w:szCs w:val="24"/>
                                  <w:lang w:val="en-US"/>
                                </w:rPr>
                                <m:t xml:space="preserve"> 100</m:t>
                              </m:r>
                            </m:oMath>
                          </w:p>
                        </w:txbxContent>
                      </wps:txbx>
                      <wps:bodyPr rot="0" vert="horz" wrap="square" lIns="91440" tIns="45720" rIns="91440" bIns="45720" anchor="t" anchorCtr="0">
                        <a:noAutofit/>
                      </wps:bodyPr>
                    </wps:wsp>
                  </a:graphicData>
                </a:graphic>
              </wp:anchor>
            </w:drawing>
          </mc:Choice>
          <mc:Fallback>
            <w:pict>
              <v:shape w14:anchorId="11AA5269" id="Zone de texte 54" o:spid="_x0000_s1028" type="#_x0000_t202" style="position:absolute;left:0;text-align:left;margin-left:0;margin-top:13.6pt;width:194.6pt;height:30.5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">
                <v:textbox>
                  <w:txbxContent>
                    <w:p w14:paraId="0B77A0D4" w14:textId="77777777" w:rsidR="00F97998" w:rsidRDefault="00A151AA">
                      <w:pPr>
                        <w:rPr>
                          <w:rFonts w:ascii="Cambria Math" w:hAnsi="Cambria Math"/>
                          <w:sz w:val="24"/>
                          <w:szCs w:val="24"/>
                          <w:lang w:val="en-US"/>
                        </w:rPr>
                      </w:pPr>
                      <w:r>
                        <w:rPr>
                          <w:rFonts w:ascii="Cambria Math" w:hAnsi="Cambria Math" w:cs="Times New Roman"/>
                          <w:sz w:val="24"/>
                          <w:szCs w:val="24"/>
                          <w:lang w:val="en-US"/>
                        </w:rPr>
                        <w:t xml:space="preserve">%INH = </w:t>
                      </w:r>
                      <m:oMath>
                        <m:f>
                          <m:fPr>
                            <m:ctrlPr>
                              <w:rPr>
                                <w:rFonts w:ascii="Cambria Math" w:hAnsi="Cambria Math" w:cs="Times New Roman"/>
                                <w:i/>
                                <w:sz w:val="24"/>
                                <w:szCs w:val="24"/>
                              </w:rPr>
                            </m:ctrlPr>
                          </m:fPr>
                          <m:num>
                            <m:r>
                              <w:rPr>
                                <w:rFonts w:ascii="Cambria Math" w:hAnsi="Cambria Math" w:cs="Times New Roman"/>
                                <w:sz w:val="24"/>
                                <w:szCs w:val="24"/>
                                <w:lang w:val="en-US"/>
                              </w:rPr>
                              <m:t xml:space="preserve">% </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con</m:t>
                            </m:r>
                            <m:r>
                              <w:rPr>
                                <w:rFonts w:ascii="Cambria Math" w:hAnsi="Cambria Math" w:cs="Times New Roman"/>
                                <w:sz w:val="24"/>
                                <w:szCs w:val="24"/>
                                <w:lang w:val="en-US"/>
                              </w:rPr>
                              <m:t>-</m:t>
                            </m:r>
                            <m:r>
                              <w:rPr>
                                <w:rFonts w:ascii="Cambria Math" w:hAnsi="Cambria Math" w:cs="Times New Roman"/>
                                <w:sz w:val="24"/>
                                <w:szCs w:val="24"/>
                                <w:lang w:val="en-US"/>
                              </w:rPr>
                              <m:t>%</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tre</m:t>
                            </m:r>
                            <m:r>
                              <w:rPr>
                                <w:rFonts w:ascii="Cambria Math" w:hAnsi="Cambria Math" w:cs="Times New Roman"/>
                                <w:sz w:val="24"/>
                                <w:szCs w:val="24"/>
                                <w:lang w:val="en-US"/>
                              </w:rPr>
                              <m:t xml:space="preserve"> </m:t>
                            </m:r>
                          </m:num>
                          <m:den>
                            <m:r>
                              <w:rPr>
                                <w:rFonts w:ascii="Cambria Math" w:hAnsi="Cambria Math" w:cs="Times New Roman"/>
                                <w:sz w:val="24"/>
                                <w:szCs w:val="24"/>
                                <w:lang w:val="en-US"/>
                              </w:rPr>
                              <m:t>%</m:t>
                            </m:r>
                            <m:r>
                              <w:rPr>
                                <w:rFonts w:ascii="Cambria Math" w:hAnsi="Cambria Math" w:cs="Times New Roman"/>
                                <w:sz w:val="24"/>
                                <w:szCs w:val="24"/>
                              </w:rPr>
                              <m:t>AUG</m:t>
                            </m:r>
                            <m:r>
                              <w:rPr>
                                <w:rFonts w:ascii="Cambria Math" w:hAnsi="Cambria Math" w:cs="Times New Roman"/>
                                <w:sz w:val="24"/>
                                <w:szCs w:val="24"/>
                                <w:lang w:val="en-US"/>
                              </w:rPr>
                              <m:t xml:space="preserve"> </m:t>
                            </m:r>
                            <m:r>
                              <w:rPr>
                                <w:rFonts w:ascii="Cambria Math" w:hAnsi="Cambria Math" w:cs="Times New Roman"/>
                                <w:sz w:val="24"/>
                                <w:szCs w:val="24"/>
                              </w:rPr>
                              <m:t>tre</m:t>
                            </m:r>
                          </m:den>
                        </m:f>
                        <m:r>
                          <w:rPr>
                            <w:rFonts w:ascii="Cambria Math" w:hAnsi="Cambria Math" w:cs="Times New Roman"/>
                            <w:sz w:val="24"/>
                            <w:szCs w:val="24"/>
                            <w:lang w:val="en-US"/>
                          </w:rPr>
                          <m:t xml:space="preserve"> </m:t>
                        </m:r>
                        <m:r>
                          <w:rPr>
                            <w:rFonts w:ascii="Cambria Math" w:hAnsi="Cambria Math" w:cs="Times New Roman"/>
                            <w:sz w:val="24"/>
                            <w:szCs w:val="24"/>
                          </w:rPr>
                          <m:t>X</m:t>
                        </m:r>
                        <m:r>
                          <w:rPr>
                            <w:rFonts w:ascii="Cambria Math" w:hAnsi="Cambria Math" w:cs="Times New Roman"/>
                            <w:sz w:val="24"/>
                            <w:szCs w:val="24"/>
                            <w:lang w:val="en-US"/>
                          </w:rPr>
                          <m:t xml:space="preserve"> 100</m:t>
                        </m:r>
                      </m:oMath>
                    </w:p>
                  </w:txbxContent>
                </v:textbox>
                <w10:wrap type="square" anchorx="margin"/>
              </v:shape>
            </w:pict>
          </mc:Fallback>
        </mc:AlternateContent>
      </w:r>
    </w:p>
    <w:p w14:paraId="112438A7" w14:textId="77777777" w:rsidR="00F97998" w:rsidRDefault="00F97998">
      <w:pPr>
        <w:spacing w:line="360" w:lineRule="auto"/>
        <w:jc w:val="both"/>
        <w:rPr>
          <w:rFonts w:ascii="Arial" w:hAnsi="Arial" w:cs="Arial"/>
        </w:rPr>
      </w:pPr>
    </w:p>
    <w:p w14:paraId="359E1C7C" w14:textId="77777777" w:rsidR="00F97998" w:rsidRDefault="00F97998">
      <w:pPr>
        <w:spacing w:line="360" w:lineRule="auto"/>
        <w:jc w:val="both"/>
        <w:rPr>
          <w:rFonts w:ascii="Arial" w:hAnsi="Arial" w:cs="Arial"/>
          <w:i/>
        </w:rPr>
      </w:pPr>
    </w:p>
    <w:p w14:paraId="0DB79545" w14:textId="77777777" w:rsidR="00F97998" w:rsidRDefault="00A151AA">
      <w:pPr>
        <w:spacing w:line="360" w:lineRule="auto"/>
        <w:jc w:val="both"/>
        <w:rPr>
          <w:rFonts w:ascii="Arial" w:hAnsi="Arial" w:cs="Arial"/>
          <w:i/>
          <w:sz w:val="20"/>
        </w:rPr>
      </w:pPr>
      <w:r>
        <w:rPr>
          <w:rFonts w:ascii="Arial" w:hAnsi="Arial" w:cs="Arial"/>
          <w:i/>
          <w:sz w:val="20"/>
        </w:rPr>
        <w:t>% AUGcon = Percentage increase in controls</w:t>
      </w:r>
    </w:p>
    <w:p w14:paraId="56E631D6" w14:textId="77777777" w:rsidR="00F97998" w:rsidRDefault="00A151AA">
      <w:pPr>
        <w:spacing w:line="360" w:lineRule="auto"/>
        <w:jc w:val="both"/>
        <w:rPr>
          <w:rFonts w:ascii="Arial" w:hAnsi="Arial" w:cs="Arial"/>
          <w:i/>
          <w:sz w:val="20"/>
        </w:rPr>
      </w:pPr>
      <w:r>
        <w:rPr>
          <w:rFonts w:ascii="Arial" w:hAnsi="Arial" w:cs="Arial"/>
          <w:i/>
          <w:sz w:val="20"/>
        </w:rPr>
        <w:t>% AUGtre = Percentage increase in treatments</w:t>
      </w:r>
    </w:p>
    <w:p w14:paraId="5812BA4E" w14:textId="77777777" w:rsidR="00F97998" w:rsidRDefault="00A151AA">
      <w:pPr>
        <w:tabs>
          <w:tab w:val="left" w:pos="5085"/>
        </w:tabs>
        <w:spacing w:line="360" w:lineRule="auto"/>
        <w:jc w:val="both"/>
        <w:rPr>
          <w:rFonts w:ascii="Arial" w:hAnsi="Arial" w:cs="Arial"/>
          <w:b/>
        </w:rPr>
      </w:pPr>
      <w:r>
        <w:rPr>
          <w:rFonts w:ascii="Arial" w:hAnsi="Arial" w:cs="Arial"/>
          <w:b/>
        </w:rPr>
        <w:tab/>
      </w:r>
    </w:p>
    <w:p w14:paraId="61821AD3" w14:textId="77777777" w:rsidR="00F97998" w:rsidRDefault="00A151AA">
      <w:pPr>
        <w:spacing w:line="360" w:lineRule="auto"/>
        <w:jc w:val="both"/>
        <w:rPr>
          <w:rFonts w:ascii="Arial" w:hAnsi="Arial" w:cs="Arial"/>
          <w:b/>
        </w:rPr>
      </w:pPr>
      <w:r>
        <w:rPr>
          <w:rFonts w:ascii="Arial" w:hAnsi="Arial" w:cs="Arial"/>
          <w:b/>
        </w:rPr>
        <w:t>2.4 Statistical analysis</w:t>
      </w:r>
    </w:p>
    <w:p w14:paraId="574BFE59" w14:textId="77777777" w:rsidR="00F97998" w:rsidRDefault="00A151AA">
      <w:pPr>
        <w:spacing w:line="360" w:lineRule="auto"/>
        <w:jc w:val="both"/>
        <w:rPr>
          <w:rFonts w:ascii="Arial" w:hAnsi="Arial" w:cs="Arial"/>
          <w:sz w:val="20"/>
        </w:rPr>
      </w:pPr>
      <w:r>
        <w:rPr>
          <w:rFonts w:ascii="Arial" w:hAnsi="Arial" w:cs="Arial"/>
          <w:sz w:val="20"/>
        </w:rPr>
        <w:t xml:space="preserve">The various measurements of the mice's </w:t>
      </w:r>
      <w:r>
        <w:rPr>
          <w:rFonts w:ascii="Arial" w:hAnsi="Arial" w:cs="Arial"/>
          <w:sz w:val="20"/>
        </w:rPr>
        <w:t>paws were analyzed and interpreted using the Graph Pad prism 8 application (Data 1 for graphics and ANOVA for statistical analysis). At test level, only the sick control was compared with the other batches. Thus, if :</w:t>
      </w:r>
    </w:p>
    <w:p w14:paraId="1969732D" w14:textId="77777777" w:rsidR="00F97998" w:rsidRDefault="00A151AA">
      <w:pPr>
        <w:spacing w:line="360" w:lineRule="auto"/>
        <w:jc w:val="both"/>
        <w:rPr>
          <w:rFonts w:ascii="Arial" w:hAnsi="Arial" w:cs="Arial"/>
          <w:sz w:val="20"/>
        </w:rPr>
      </w:pPr>
      <w:r>
        <w:rPr>
          <w:rFonts w:ascii="Arial" w:hAnsi="Arial" w:cs="Arial"/>
          <w:sz w:val="20"/>
        </w:rPr>
        <w:t>- P &lt; 0.05, the observed difference is</w:t>
      </w:r>
      <w:r>
        <w:rPr>
          <w:rFonts w:ascii="Arial" w:hAnsi="Arial" w:cs="Arial"/>
          <w:sz w:val="20"/>
        </w:rPr>
        <w:t xml:space="preserve"> significant (*) ;</w:t>
      </w:r>
    </w:p>
    <w:p w14:paraId="7D744CD3" w14:textId="77777777" w:rsidR="00F97998" w:rsidRDefault="00A151AA">
      <w:pPr>
        <w:spacing w:line="360" w:lineRule="auto"/>
        <w:jc w:val="both"/>
        <w:rPr>
          <w:rFonts w:ascii="Arial" w:hAnsi="Arial" w:cs="Arial"/>
          <w:sz w:val="20"/>
        </w:rPr>
      </w:pPr>
      <w:r>
        <w:rPr>
          <w:rFonts w:ascii="Arial" w:hAnsi="Arial" w:cs="Arial"/>
          <w:sz w:val="20"/>
        </w:rPr>
        <w:t>- P &lt; 0.01, the observed difference is fairly significant (**</w:t>
      </w:r>
      <w:proofErr w:type="gramStart"/>
      <w:r>
        <w:rPr>
          <w:rFonts w:ascii="Arial" w:hAnsi="Arial" w:cs="Arial"/>
          <w:sz w:val="20"/>
        </w:rPr>
        <w:t>);</w:t>
      </w:r>
      <w:proofErr w:type="gramEnd"/>
    </w:p>
    <w:p w14:paraId="71B445CB" w14:textId="77777777" w:rsidR="00F97998" w:rsidRDefault="00A151AA">
      <w:pPr>
        <w:spacing w:line="360" w:lineRule="auto"/>
        <w:jc w:val="both"/>
        <w:rPr>
          <w:rFonts w:ascii="Arial" w:hAnsi="Arial" w:cs="Arial"/>
          <w:sz w:val="20"/>
        </w:rPr>
      </w:pPr>
      <w:r>
        <w:rPr>
          <w:rFonts w:ascii="Arial" w:hAnsi="Arial" w:cs="Arial"/>
          <w:sz w:val="20"/>
        </w:rPr>
        <w:t>- P &lt; 0.001, the observed difference is highly significant (***</w:t>
      </w:r>
      <w:proofErr w:type="gramStart"/>
      <w:r>
        <w:rPr>
          <w:rFonts w:ascii="Arial" w:hAnsi="Arial" w:cs="Arial"/>
          <w:sz w:val="20"/>
        </w:rPr>
        <w:t>);</w:t>
      </w:r>
      <w:proofErr w:type="gramEnd"/>
    </w:p>
    <w:p w14:paraId="2BE6626D" w14:textId="77777777" w:rsidR="00F97998" w:rsidRDefault="00A151AA">
      <w:pPr>
        <w:spacing w:line="360" w:lineRule="auto"/>
        <w:jc w:val="both"/>
        <w:rPr>
          <w:rFonts w:ascii="Arial" w:hAnsi="Arial" w:cs="Arial"/>
          <w:sz w:val="20"/>
        </w:rPr>
      </w:pPr>
      <w:r>
        <w:rPr>
          <w:rFonts w:ascii="Arial" w:hAnsi="Arial" w:cs="Arial"/>
          <w:sz w:val="20"/>
        </w:rPr>
        <w:t>- P &lt; 0.0001, the observed difference is largely significant (****</w:t>
      </w:r>
      <w:proofErr w:type="gramStart"/>
      <w:r>
        <w:rPr>
          <w:rFonts w:ascii="Arial" w:hAnsi="Arial" w:cs="Arial"/>
          <w:sz w:val="20"/>
        </w:rPr>
        <w:t>);</w:t>
      </w:r>
      <w:proofErr w:type="gramEnd"/>
    </w:p>
    <w:p w14:paraId="405AB5CE" w14:textId="77777777" w:rsidR="00F97998" w:rsidRDefault="00A151AA">
      <w:pPr>
        <w:tabs>
          <w:tab w:val="left" w:pos="5865"/>
        </w:tabs>
        <w:spacing w:line="360" w:lineRule="auto"/>
        <w:jc w:val="both"/>
        <w:rPr>
          <w:rFonts w:ascii="Arial" w:hAnsi="Arial" w:cs="Arial"/>
        </w:rPr>
      </w:pPr>
      <w:r>
        <w:rPr>
          <w:rFonts w:ascii="Arial" w:hAnsi="Arial" w:cs="Arial"/>
          <w:sz w:val="20"/>
        </w:rPr>
        <w:t>- P &gt; 0.05, the observed difference is</w:t>
      </w:r>
      <w:r>
        <w:rPr>
          <w:rFonts w:ascii="Arial" w:hAnsi="Arial" w:cs="Arial"/>
          <w:sz w:val="20"/>
        </w:rPr>
        <w:t xml:space="preserve"> not significant.</w:t>
      </w:r>
      <w:r>
        <w:rPr>
          <w:rFonts w:ascii="Arial" w:hAnsi="Arial" w:cs="Arial"/>
          <w:sz w:val="20"/>
        </w:rPr>
        <w:tab/>
      </w:r>
    </w:p>
    <w:p w14:paraId="72FD813D" w14:textId="77777777" w:rsidR="00F97998" w:rsidRDefault="00F97998">
      <w:pPr>
        <w:spacing w:line="360" w:lineRule="auto"/>
        <w:jc w:val="both"/>
        <w:rPr>
          <w:rFonts w:ascii="Arial" w:hAnsi="Arial" w:cs="Arial"/>
          <w:b/>
        </w:rPr>
      </w:pPr>
    </w:p>
    <w:p w14:paraId="02540676" w14:textId="77777777" w:rsidR="00F97998" w:rsidRDefault="00A151AA">
      <w:pPr>
        <w:spacing w:line="360" w:lineRule="auto"/>
        <w:jc w:val="both"/>
        <w:rPr>
          <w:rFonts w:ascii="Arial" w:hAnsi="Arial" w:cs="Arial"/>
          <w:b/>
        </w:rPr>
      </w:pPr>
      <w:r>
        <w:rPr>
          <w:rFonts w:ascii="Arial" w:hAnsi="Arial" w:cs="Arial"/>
          <w:b/>
        </w:rPr>
        <w:t>3. RESULTS</w:t>
      </w:r>
    </w:p>
    <w:p w14:paraId="6C8895BC" w14:textId="77777777" w:rsidR="00F97998" w:rsidRDefault="00A151AA">
      <w:pPr>
        <w:spacing w:line="360" w:lineRule="auto"/>
        <w:jc w:val="both"/>
        <w:rPr>
          <w:rFonts w:ascii="Arial" w:hAnsi="Arial" w:cs="Arial"/>
          <w:b/>
        </w:rPr>
      </w:pPr>
      <w:r>
        <w:rPr>
          <w:rFonts w:ascii="Arial" w:hAnsi="Arial" w:cs="Arial"/>
          <w:b/>
        </w:rPr>
        <w:t>3.1 Extraction and fractionation yield</w:t>
      </w:r>
    </w:p>
    <w:p w14:paraId="4EE54855" w14:textId="77777777" w:rsidR="00F97998" w:rsidRDefault="00A151AA">
      <w:pPr>
        <w:spacing w:line="360" w:lineRule="auto"/>
        <w:jc w:val="both"/>
        <w:rPr>
          <w:rFonts w:ascii="Arial" w:hAnsi="Arial" w:cs="Arial"/>
        </w:rPr>
      </w:pPr>
      <w:r>
        <w:rPr>
          <w:rFonts w:ascii="Arial" w:hAnsi="Arial" w:cs="Arial"/>
        </w:rPr>
        <w:t>Table I shows the results of extract and fraction yield calculations.</w:t>
      </w:r>
    </w:p>
    <w:p w14:paraId="4D14B92C" w14:textId="77777777" w:rsidR="00F97998" w:rsidRDefault="00A151AA">
      <w:pPr>
        <w:spacing w:line="360" w:lineRule="auto"/>
        <w:jc w:val="both"/>
        <w:rPr>
          <w:rFonts w:ascii="Arial" w:hAnsi="Arial" w:cs="Arial"/>
          <w:b/>
        </w:rPr>
      </w:pPr>
      <w:r>
        <w:rPr>
          <w:rFonts w:ascii="Arial" w:hAnsi="Arial" w:cs="Arial"/>
          <w:b/>
        </w:rPr>
        <w:t xml:space="preserve">Table </w:t>
      </w:r>
      <w:proofErr w:type="gramStart"/>
      <w:r>
        <w:rPr>
          <w:rFonts w:ascii="Arial" w:hAnsi="Arial" w:cs="Arial"/>
          <w:b/>
        </w:rPr>
        <w:t>I:</w:t>
      </w:r>
      <w:proofErr w:type="gramEnd"/>
      <w:r>
        <w:rPr>
          <w:rFonts w:ascii="Arial" w:hAnsi="Arial" w:cs="Arial"/>
          <w:b/>
        </w:rPr>
        <w:t xml:space="preserve"> Yield of extract and fraction</w:t>
      </w:r>
    </w:p>
    <w:tbl>
      <w:tblPr>
        <w:tblStyle w:val="PlainTable41"/>
        <w:tblW w:w="0" w:type="auto"/>
        <w:tblLook w:val="04A0" w:firstRow="1" w:lastRow="0" w:firstColumn="1" w:lastColumn="0" w:noHBand="0" w:noVBand="1"/>
      </w:tblPr>
      <w:tblGrid>
        <w:gridCol w:w="3020"/>
        <w:gridCol w:w="3021"/>
        <w:gridCol w:w="3021"/>
      </w:tblGrid>
      <w:tr w:rsidR="00F97998" w14:paraId="6F81C99C" w14:textId="77777777" w:rsidTr="00F97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F10B416" w14:textId="77777777" w:rsidR="00F97998" w:rsidRDefault="00F97998">
            <w:pPr>
              <w:spacing w:after="0" w:line="360" w:lineRule="auto"/>
              <w:jc w:val="both"/>
              <w:rPr>
                <w:rFonts w:ascii="Arial" w:hAnsi="Arial" w:cs="Arial"/>
                <w:bCs w:val="0"/>
              </w:rPr>
            </w:pPr>
          </w:p>
        </w:tc>
        <w:tc>
          <w:tcPr>
            <w:tcW w:w="3021" w:type="dxa"/>
          </w:tcPr>
          <w:p w14:paraId="2ED9876F"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Extract</w:t>
            </w:r>
          </w:p>
        </w:tc>
        <w:tc>
          <w:tcPr>
            <w:tcW w:w="3021" w:type="dxa"/>
          </w:tcPr>
          <w:p w14:paraId="6A2D8630"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Fraction</w:t>
            </w:r>
          </w:p>
        </w:tc>
      </w:tr>
      <w:tr w:rsidR="00F97998" w14:paraId="741F891A" w14:textId="77777777" w:rsidTr="00F97998">
        <w:tc>
          <w:tcPr>
            <w:cnfStyle w:val="001000000000" w:firstRow="0" w:lastRow="0" w:firstColumn="1" w:lastColumn="0" w:oddVBand="0" w:evenVBand="0" w:oddHBand="0" w:evenHBand="0" w:firstRowFirstColumn="0" w:firstRowLastColumn="0" w:lastRowFirstColumn="0" w:lastRowLastColumn="0"/>
            <w:tcW w:w="3020" w:type="dxa"/>
            <w:shd w:val="clear" w:color="auto" w:fill="F2F2F2" w:themeFill="background1" w:themeFillShade="F2"/>
          </w:tcPr>
          <w:p w14:paraId="61204E45" w14:textId="77777777" w:rsidR="00F97998" w:rsidRDefault="00A151AA">
            <w:pPr>
              <w:spacing w:after="0" w:line="360" w:lineRule="auto"/>
              <w:jc w:val="both"/>
              <w:rPr>
                <w:rFonts w:ascii="Arial" w:hAnsi="Arial" w:cs="Arial"/>
                <w:bCs w:val="0"/>
              </w:rPr>
            </w:pPr>
            <w:r>
              <w:rPr>
                <w:rFonts w:ascii="Arial" w:hAnsi="Arial" w:cs="Arial"/>
              </w:rPr>
              <w:t>Mass of fine powder used (g)</w:t>
            </w:r>
          </w:p>
        </w:tc>
        <w:tc>
          <w:tcPr>
            <w:tcW w:w="3021" w:type="dxa"/>
            <w:shd w:val="clear" w:color="auto" w:fill="F2F2F2" w:themeFill="background1" w:themeFillShade="F2"/>
          </w:tcPr>
          <w:p w14:paraId="2F679CC9"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1000</w:t>
            </w:r>
          </w:p>
        </w:tc>
        <w:tc>
          <w:tcPr>
            <w:tcW w:w="3021" w:type="dxa"/>
            <w:shd w:val="clear" w:color="auto" w:fill="F2F2F2" w:themeFill="background1" w:themeFillShade="F2"/>
          </w:tcPr>
          <w:p w14:paraId="34F69E31"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w:t>
            </w:r>
          </w:p>
        </w:tc>
      </w:tr>
      <w:tr w:rsidR="00F97998" w14:paraId="44C1C1E0" w14:textId="77777777" w:rsidTr="00F97998">
        <w:tc>
          <w:tcPr>
            <w:cnfStyle w:val="001000000000" w:firstRow="0" w:lastRow="0" w:firstColumn="1" w:lastColumn="0" w:oddVBand="0" w:evenVBand="0" w:oddHBand="0" w:evenHBand="0" w:firstRowFirstColumn="0" w:firstRowLastColumn="0" w:lastRowFirstColumn="0" w:lastRowLastColumn="0"/>
            <w:tcW w:w="3020" w:type="dxa"/>
          </w:tcPr>
          <w:p w14:paraId="78DB9956" w14:textId="77777777" w:rsidR="00F97998" w:rsidRDefault="00A151AA">
            <w:pPr>
              <w:spacing w:after="0" w:line="360" w:lineRule="auto"/>
              <w:jc w:val="both"/>
              <w:rPr>
                <w:rFonts w:ascii="Arial" w:hAnsi="Arial" w:cs="Arial"/>
                <w:bCs w:val="0"/>
              </w:rPr>
            </w:pPr>
            <w:r>
              <w:rPr>
                <w:rFonts w:ascii="Arial" w:hAnsi="Arial" w:cs="Arial"/>
              </w:rPr>
              <w:lastRenderedPageBreak/>
              <w:t xml:space="preserve">Mass after solvent </w:t>
            </w:r>
            <w:r>
              <w:rPr>
                <w:rFonts w:ascii="Arial" w:hAnsi="Arial" w:cs="Arial"/>
              </w:rPr>
              <w:t>evaporation</w:t>
            </w:r>
            <w:r>
              <w:rPr>
                <w:rFonts w:ascii="Arial" w:hAnsi="Arial" w:cs="Arial"/>
                <w:b w:val="0"/>
              </w:rPr>
              <w:t xml:space="preserve"> (g)</w:t>
            </w:r>
          </w:p>
        </w:tc>
        <w:tc>
          <w:tcPr>
            <w:tcW w:w="3021" w:type="dxa"/>
          </w:tcPr>
          <w:p w14:paraId="1B9671DA"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69,405</w:t>
            </w:r>
          </w:p>
        </w:tc>
        <w:tc>
          <w:tcPr>
            <w:tcW w:w="3021" w:type="dxa"/>
          </w:tcPr>
          <w:p w14:paraId="759A8A8A"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7,93</w:t>
            </w:r>
          </w:p>
        </w:tc>
      </w:tr>
      <w:tr w:rsidR="00F97998" w14:paraId="0A78411A" w14:textId="77777777" w:rsidTr="00F97998">
        <w:tc>
          <w:tcPr>
            <w:cnfStyle w:val="001000000000" w:firstRow="0" w:lastRow="0" w:firstColumn="1" w:lastColumn="0" w:oddVBand="0" w:evenVBand="0" w:oddHBand="0" w:evenHBand="0" w:firstRowFirstColumn="0" w:firstRowLastColumn="0" w:lastRowFirstColumn="0" w:lastRowLastColumn="0"/>
            <w:tcW w:w="3020" w:type="dxa"/>
            <w:shd w:val="clear" w:color="auto" w:fill="F2F2F2" w:themeFill="background1" w:themeFillShade="F2"/>
          </w:tcPr>
          <w:p w14:paraId="58377E06" w14:textId="77777777" w:rsidR="00F97998" w:rsidRDefault="00A151AA">
            <w:pPr>
              <w:spacing w:after="0" w:line="360" w:lineRule="auto"/>
              <w:jc w:val="both"/>
              <w:rPr>
                <w:rFonts w:ascii="Arial" w:hAnsi="Arial" w:cs="Arial"/>
                <w:bCs w:val="0"/>
              </w:rPr>
            </w:pPr>
            <w:r>
              <w:rPr>
                <w:rFonts w:ascii="Arial" w:hAnsi="Arial" w:cs="Arial"/>
              </w:rPr>
              <w:t>Yield (%)</w:t>
            </w:r>
          </w:p>
        </w:tc>
        <w:tc>
          <w:tcPr>
            <w:tcW w:w="3021" w:type="dxa"/>
            <w:shd w:val="clear" w:color="auto" w:fill="F2F2F2" w:themeFill="background1" w:themeFillShade="F2"/>
          </w:tcPr>
          <w:p w14:paraId="63EA893D"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6,94</w:t>
            </w:r>
          </w:p>
        </w:tc>
        <w:tc>
          <w:tcPr>
            <w:tcW w:w="3021" w:type="dxa"/>
            <w:shd w:val="clear" w:color="auto" w:fill="F2F2F2" w:themeFill="background1" w:themeFillShade="F2"/>
          </w:tcPr>
          <w:p w14:paraId="379FD9EE"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rPr>
              <w:t>3,8</w:t>
            </w:r>
          </w:p>
        </w:tc>
      </w:tr>
    </w:tbl>
    <w:p w14:paraId="42663A6B" w14:textId="77777777" w:rsidR="00F97998" w:rsidRDefault="00F97998">
      <w:pPr>
        <w:spacing w:line="360" w:lineRule="auto"/>
        <w:jc w:val="both"/>
        <w:rPr>
          <w:rFonts w:ascii="Arial" w:hAnsi="Arial" w:cs="Arial"/>
          <w:b/>
        </w:rPr>
      </w:pPr>
    </w:p>
    <w:p w14:paraId="66DBE8A5" w14:textId="77777777" w:rsidR="00F97998" w:rsidRDefault="00A151AA">
      <w:pPr>
        <w:spacing w:line="360" w:lineRule="auto"/>
        <w:jc w:val="both"/>
        <w:rPr>
          <w:rFonts w:ascii="Arial" w:hAnsi="Arial" w:cs="Arial"/>
          <w:b/>
        </w:rPr>
      </w:pPr>
      <w:r>
        <w:rPr>
          <w:rFonts w:ascii="Arial" w:hAnsi="Arial" w:cs="Arial"/>
          <w:b/>
        </w:rPr>
        <w:t>1.2 Acute toxicity assessment</w:t>
      </w:r>
    </w:p>
    <w:p w14:paraId="1D78F09D" w14:textId="77777777" w:rsidR="00F97998" w:rsidRDefault="00A151AA">
      <w:pPr>
        <w:spacing w:line="360" w:lineRule="auto"/>
        <w:jc w:val="both"/>
        <w:rPr>
          <w:rFonts w:ascii="Arial" w:hAnsi="Arial" w:cs="Arial"/>
          <w:sz w:val="20"/>
        </w:rPr>
      </w:pPr>
      <w:r>
        <w:rPr>
          <w:rFonts w:ascii="Arial" w:hAnsi="Arial" w:cs="Arial"/>
          <w:sz w:val="20"/>
        </w:rPr>
        <w:t>When the extract and fraction were administered in a single dose of 2000 mg/Kg PC, the animals in the various test batches behaved differently from those</w:t>
      </w:r>
      <w:r>
        <w:rPr>
          <w:rFonts w:ascii="Arial" w:hAnsi="Arial" w:cs="Arial"/>
          <w:sz w:val="20"/>
        </w:rPr>
        <w:t xml:space="preserve"> in the control batch. Indeed, two hours after administration of the fraction and extract to the respective batches, animals treated with the extract showed signs such as immobility, somnolence, isolation, lack of appetite and refusal to drink water. Table</w:t>
      </w:r>
      <w:r>
        <w:rPr>
          <w:rFonts w:ascii="Arial" w:hAnsi="Arial" w:cs="Arial"/>
          <w:sz w:val="20"/>
        </w:rPr>
        <w:t xml:space="preserve"> II shows the results of the action of the extract and fraction on the evolution of the mice's weight as a function of time. All mice in both batches (extract and fraction) showed a weight loss on day 7 (one week) compared with the control, followed by a p</w:t>
      </w:r>
      <w:r>
        <w:rPr>
          <w:rFonts w:ascii="Arial" w:hAnsi="Arial" w:cs="Arial"/>
          <w:sz w:val="20"/>
        </w:rPr>
        <w:t>rogressive restoration of weight up to day 14. Finally, after fourteen days, there was no death. Hence the LD50 is greater than 2000 mg/Kg of body weight.</w:t>
      </w:r>
    </w:p>
    <w:p w14:paraId="43B37560" w14:textId="77777777" w:rsidR="00F97998" w:rsidRDefault="00F97998">
      <w:pPr>
        <w:spacing w:line="360" w:lineRule="auto"/>
        <w:jc w:val="both"/>
        <w:rPr>
          <w:rFonts w:ascii="Arial" w:hAnsi="Arial" w:cs="Arial"/>
          <w:b/>
        </w:rPr>
      </w:pPr>
    </w:p>
    <w:p w14:paraId="56AAC282" w14:textId="77777777" w:rsidR="00F97998" w:rsidRDefault="00F97998">
      <w:pPr>
        <w:spacing w:line="360" w:lineRule="auto"/>
        <w:jc w:val="both"/>
        <w:rPr>
          <w:rFonts w:ascii="Arial" w:hAnsi="Arial" w:cs="Arial"/>
          <w:b/>
        </w:rPr>
      </w:pPr>
    </w:p>
    <w:p w14:paraId="6FF4DEDF" w14:textId="77777777" w:rsidR="00F97998" w:rsidRDefault="00F97998">
      <w:pPr>
        <w:spacing w:line="360" w:lineRule="auto"/>
        <w:jc w:val="both"/>
        <w:rPr>
          <w:rFonts w:ascii="Arial" w:hAnsi="Arial" w:cs="Arial"/>
          <w:b/>
        </w:rPr>
      </w:pPr>
    </w:p>
    <w:p w14:paraId="20171590" w14:textId="77777777" w:rsidR="00F97998" w:rsidRDefault="00A151AA">
      <w:pPr>
        <w:spacing w:line="360" w:lineRule="auto"/>
        <w:jc w:val="both"/>
        <w:rPr>
          <w:rFonts w:ascii="Arial" w:hAnsi="Arial" w:cs="Arial"/>
          <w:b/>
        </w:rPr>
      </w:pPr>
      <w:r>
        <w:rPr>
          <w:rFonts w:ascii="Arial" w:hAnsi="Arial" w:cs="Arial"/>
          <w:b/>
        </w:rPr>
        <w:t xml:space="preserve">Table </w:t>
      </w:r>
      <w:proofErr w:type="gramStart"/>
      <w:r>
        <w:rPr>
          <w:rFonts w:ascii="Arial" w:hAnsi="Arial" w:cs="Arial"/>
          <w:b/>
        </w:rPr>
        <w:t>II:</w:t>
      </w:r>
      <w:proofErr w:type="gramEnd"/>
      <w:r>
        <w:rPr>
          <w:rFonts w:ascii="Arial" w:hAnsi="Arial" w:cs="Arial"/>
          <w:b/>
        </w:rPr>
        <w:t xml:space="preserve"> Effect of extract and fraction on weight changes in mice Time</w:t>
      </w:r>
    </w:p>
    <w:tbl>
      <w:tblPr>
        <w:tblStyle w:val="PlainTable41"/>
        <w:tblW w:w="0" w:type="auto"/>
        <w:tblLook w:val="04A0" w:firstRow="1" w:lastRow="0" w:firstColumn="1" w:lastColumn="0" w:noHBand="0" w:noVBand="1"/>
      </w:tblPr>
      <w:tblGrid>
        <w:gridCol w:w="1294"/>
        <w:gridCol w:w="1294"/>
        <w:gridCol w:w="1294"/>
        <w:gridCol w:w="1295"/>
        <w:gridCol w:w="1295"/>
        <w:gridCol w:w="1295"/>
        <w:gridCol w:w="1295"/>
      </w:tblGrid>
      <w:tr w:rsidR="00F97998" w14:paraId="6D3ACB81" w14:textId="77777777" w:rsidTr="00F97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tcPr>
          <w:p w14:paraId="30A2F53A" w14:textId="77777777" w:rsidR="00F97998" w:rsidRDefault="00A151AA">
            <w:pPr>
              <w:spacing w:after="0" w:line="360" w:lineRule="auto"/>
              <w:jc w:val="both"/>
              <w:rPr>
                <w:rFonts w:ascii="Arial" w:hAnsi="Arial" w:cs="Arial"/>
                <w:bCs w:val="0"/>
              </w:rPr>
            </w:pPr>
            <w:r>
              <w:rPr>
                <w:rFonts w:ascii="Arial" w:hAnsi="Arial" w:cs="Arial"/>
              </w:rPr>
              <w:t>LOTS</w:t>
            </w:r>
          </w:p>
        </w:tc>
        <w:tc>
          <w:tcPr>
            <w:tcW w:w="1294" w:type="dxa"/>
          </w:tcPr>
          <w:p w14:paraId="76A68995" w14:textId="77777777" w:rsidR="00F97998" w:rsidRDefault="00A151AA">
            <w:pPr>
              <w:tabs>
                <w:tab w:val="left" w:pos="3870"/>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Doses</w:t>
            </w:r>
          </w:p>
          <w:p w14:paraId="6DF91F53" w14:textId="77777777" w:rsidR="00F97998" w:rsidRDefault="00A151AA">
            <w:pPr>
              <w:tabs>
                <w:tab w:val="left" w:pos="3870"/>
              </w:tabs>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w:t>
            </w:r>
            <w:proofErr w:type="gramStart"/>
            <w:r>
              <w:rPr>
                <w:rFonts w:ascii="Arial" w:hAnsi="Arial" w:cs="Arial"/>
              </w:rPr>
              <w:t>mg</w:t>
            </w:r>
            <w:proofErr w:type="gramEnd"/>
            <w:r>
              <w:rPr>
                <w:rFonts w:ascii="Arial" w:hAnsi="Arial" w:cs="Arial"/>
              </w:rPr>
              <w:t>/Kg)</w:t>
            </w:r>
          </w:p>
        </w:tc>
        <w:tc>
          <w:tcPr>
            <w:tcW w:w="1294" w:type="dxa"/>
          </w:tcPr>
          <w:p w14:paraId="09339949"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 xml:space="preserve">Mice </w:t>
            </w:r>
            <w:r>
              <w:rPr>
                <w:rFonts w:ascii="Arial" w:hAnsi="Arial" w:cs="Arial"/>
              </w:rPr>
              <w:t>tested</w:t>
            </w:r>
          </w:p>
        </w:tc>
        <w:tc>
          <w:tcPr>
            <w:tcW w:w="1295" w:type="dxa"/>
          </w:tcPr>
          <w:p w14:paraId="1B8C28D0"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Dead mice</w:t>
            </w:r>
          </w:p>
        </w:tc>
        <w:tc>
          <w:tcPr>
            <w:tcW w:w="1295" w:type="dxa"/>
          </w:tcPr>
          <w:p w14:paraId="6B067C3E"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Average weight</w:t>
            </w:r>
          </w:p>
          <w:p w14:paraId="72D937B4"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J0 (g)</w:t>
            </w:r>
          </w:p>
        </w:tc>
        <w:tc>
          <w:tcPr>
            <w:tcW w:w="1295" w:type="dxa"/>
          </w:tcPr>
          <w:p w14:paraId="123AE4DC"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Average weight</w:t>
            </w:r>
          </w:p>
          <w:p w14:paraId="786A981F"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J7</w:t>
            </w:r>
            <w:r>
              <w:rPr>
                <w:rFonts w:ascii="Arial" w:hAnsi="Arial" w:cs="Arial"/>
              </w:rPr>
              <w:t xml:space="preserve"> (g)</w:t>
            </w:r>
          </w:p>
        </w:tc>
        <w:tc>
          <w:tcPr>
            <w:tcW w:w="1295" w:type="dxa"/>
          </w:tcPr>
          <w:p w14:paraId="2C5AD30D"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rPr>
              <w:t>Average weight</w:t>
            </w:r>
          </w:p>
          <w:p w14:paraId="335F61E1" w14:textId="77777777" w:rsidR="00F97998" w:rsidRDefault="00A151AA">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 w:val="0"/>
              </w:rPr>
              <w:t>J14</w:t>
            </w:r>
            <w:r>
              <w:rPr>
                <w:rFonts w:ascii="Arial" w:hAnsi="Arial" w:cs="Arial"/>
              </w:rPr>
              <w:t xml:space="preserve"> (g)</w:t>
            </w:r>
          </w:p>
        </w:tc>
      </w:tr>
      <w:tr w:rsidR="00F97998" w14:paraId="0FFB81F3" w14:textId="77777777" w:rsidTr="00F97998">
        <w:tc>
          <w:tcPr>
            <w:cnfStyle w:val="001000000000" w:firstRow="0" w:lastRow="0" w:firstColumn="1" w:lastColumn="0" w:oddVBand="0" w:evenVBand="0" w:oddHBand="0" w:evenHBand="0" w:firstRowFirstColumn="0" w:firstRowLastColumn="0" w:lastRowFirstColumn="0" w:lastRowLastColumn="0"/>
            <w:tcW w:w="1294" w:type="dxa"/>
            <w:shd w:val="clear" w:color="auto" w:fill="F2F2F2" w:themeFill="background1" w:themeFillShade="F2"/>
          </w:tcPr>
          <w:p w14:paraId="039DFABE" w14:textId="77777777" w:rsidR="00F97998" w:rsidRDefault="00A151AA">
            <w:pPr>
              <w:spacing w:after="0" w:line="360" w:lineRule="auto"/>
              <w:jc w:val="both"/>
              <w:rPr>
                <w:rFonts w:ascii="Arial" w:hAnsi="Arial" w:cs="Arial"/>
                <w:bCs w:val="0"/>
              </w:rPr>
            </w:pPr>
            <w:r>
              <w:rPr>
                <w:rFonts w:ascii="Arial" w:hAnsi="Arial" w:cs="Arial"/>
              </w:rPr>
              <w:t>Extract</w:t>
            </w:r>
          </w:p>
        </w:tc>
        <w:tc>
          <w:tcPr>
            <w:tcW w:w="1294" w:type="dxa"/>
            <w:shd w:val="clear" w:color="auto" w:fill="F2F2F2" w:themeFill="background1" w:themeFillShade="F2"/>
          </w:tcPr>
          <w:p w14:paraId="5EA90DA2"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2000</w:t>
            </w:r>
          </w:p>
        </w:tc>
        <w:tc>
          <w:tcPr>
            <w:tcW w:w="1294" w:type="dxa"/>
            <w:shd w:val="clear" w:color="auto" w:fill="F2F2F2" w:themeFill="background1" w:themeFillShade="F2"/>
          </w:tcPr>
          <w:p w14:paraId="167CEC0D"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c>
          <w:tcPr>
            <w:tcW w:w="1295" w:type="dxa"/>
            <w:shd w:val="clear" w:color="auto" w:fill="F2F2F2" w:themeFill="background1" w:themeFillShade="F2"/>
          </w:tcPr>
          <w:p w14:paraId="51786D49"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295" w:type="dxa"/>
            <w:shd w:val="clear" w:color="auto" w:fill="F2F2F2" w:themeFill="background1" w:themeFillShade="F2"/>
          </w:tcPr>
          <w:p w14:paraId="14057D10"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30,28</w:t>
            </w:r>
          </w:p>
        </w:tc>
        <w:tc>
          <w:tcPr>
            <w:tcW w:w="1295" w:type="dxa"/>
            <w:shd w:val="clear" w:color="auto" w:fill="F2F2F2" w:themeFill="background1" w:themeFillShade="F2"/>
          </w:tcPr>
          <w:p w14:paraId="319B85BC"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30,01</w:t>
            </w:r>
          </w:p>
        </w:tc>
        <w:tc>
          <w:tcPr>
            <w:tcW w:w="1295" w:type="dxa"/>
            <w:shd w:val="clear" w:color="auto" w:fill="F2F2F2" w:themeFill="background1" w:themeFillShade="F2"/>
          </w:tcPr>
          <w:p w14:paraId="36665C9B"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31.1</w:t>
            </w:r>
          </w:p>
        </w:tc>
      </w:tr>
      <w:tr w:rsidR="00F97998" w14:paraId="1F41F779" w14:textId="77777777" w:rsidTr="00F97998">
        <w:tc>
          <w:tcPr>
            <w:cnfStyle w:val="001000000000" w:firstRow="0" w:lastRow="0" w:firstColumn="1" w:lastColumn="0" w:oddVBand="0" w:evenVBand="0" w:oddHBand="0" w:evenHBand="0" w:firstRowFirstColumn="0" w:firstRowLastColumn="0" w:lastRowFirstColumn="0" w:lastRowLastColumn="0"/>
            <w:tcW w:w="1294" w:type="dxa"/>
          </w:tcPr>
          <w:p w14:paraId="3EB50060" w14:textId="77777777" w:rsidR="00F97998" w:rsidRDefault="00A151AA">
            <w:pPr>
              <w:spacing w:after="0" w:line="360" w:lineRule="auto"/>
              <w:jc w:val="both"/>
              <w:rPr>
                <w:rFonts w:ascii="Arial" w:hAnsi="Arial" w:cs="Arial"/>
                <w:bCs w:val="0"/>
              </w:rPr>
            </w:pPr>
            <w:r>
              <w:rPr>
                <w:rFonts w:ascii="Arial" w:hAnsi="Arial" w:cs="Arial"/>
              </w:rPr>
              <w:t>Fraction</w:t>
            </w:r>
          </w:p>
        </w:tc>
        <w:tc>
          <w:tcPr>
            <w:tcW w:w="1294" w:type="dxa"/>
          </w:tcPr>
          <w:p w14:paraId="40DC2616"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2000</w:t>
            </w:r>
          </w:p>
        </w:tc>
        <w:tc>
          <w:tcPr>
            <w:tcW w:w="1294" w:type="dxa"/>
          </w:tcPr>
          <w:p w14:paraId="58ADF135"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c>
          <w:tcPr>
            <w:tcW w:w="1295" w:type="dxa"/>
          </w:tcPr>
          <w:p w14:paraId="240B6894"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295" w:type="dxa"/>
          </w:tcPr>
          <w:p w14:paraId="64B7C5F0"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29,65</w:t>
            </w:r>
          </w:p>
        </w:tc>
        <w:tc>
          <w:tcPr>
            <w:tcW w:w="1295" w:type="dxa"/>
          </w:tcPr>
          <w:p w14:paraId="79316FA9"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28,98</w:t>
            </w:r>
          </w:p>
        </w:tc>
        <w:tc>
          <w:tcPr>
            <w:tcW w:w="1295" w:type="dxa"/>
          </w:tcPr>
          <w:p w14:paraId="7895A0AD"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30.49</w:t>
            </w:r>
          </w:p>
        </w:tc>
      </w:tr>
      <w:tr w:rsidR="00F97998" w14:paraId="50AA18BF" w14:textId="77777777" w:rsidTr="00F97998">
        <w:tc>
          <w:tcPr>
            <w:cnfStyle w:val="001000000000" w:firstRow="0" w:lastRow="0" w:firstColumn="1" w:lastColumn="0" w:oddVBand="0" w:evenVBand="0" w:oddHBand="0" w:evenHBand="0" w:firstRowFirstColumn="0" w:firstRowLastColumn="0" w:lastRowFirstColumn="0" w:lastRowLastColumn="0"/>
            <w:tcW w:w="1294" w:type="dxa"/>
            <w:shd w:val="clear" w:color="auto" w:fill="F2F2F2" w:themeFill="background1" w:themeFillShade="F2"/>
          </w:tcPr>
          <w:p w14:paraId="40BFA2B7" w14:textId="77777777" w:rsidR="00F97998" w:rsidRDefault="00A151AA">
            <w:pPr>
              <w:spacing w:after="0" w:line="360" w:lineRule="auto"/>
              <w:jc w:val="both"/>
              <w:rPr>
                <w:rFonts w:ascii="Arial" w:hAnsi="Arial" w:cs="Arial"/>
                <w:bCs w:val="0"/>
              </w:rPr>
            </w:pPr>
            <w:r>
              <w:rPr>
                <w:rFonts w:ascii="Arial" w:hAnsi="Arial" w:cs="Arial"/>
              </w:rPr>
              <w:t>Indicator</w:t>
            </w:r>
          </w:p>
        </w:tc>
        <w:tc>
          <w:tcPr>
            <w:tcW w:w="1294" w:type="dxa"/>
            <w:shd w:val="clear" w:color="auto" w:fill="F2F2F2" w:themeFill="background1" w:themeFillShade="F2"/>
          </w:tcPr>
          <w:p w14:paraId="12D22472"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t>
            </w:r>
          </w:p>
        </w:tc>
        <w:tc>
          <w:tcPr>
            <w:tcW w:w="1294" w:type="dxa"/>
            <w:shd w:val="clear" w:color="auto" w:fill="F2F2F2" w:themeFill="background1" w:themeFillShade="F2"/>
          </w:tcPr>
          <w:p w14:paraId="22CCD45A"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7</w:t>
            </w:r>
          </w:p>
        </w:tc>
        <w:tc>
          <w:tcPr>
            <w:tcW w:w="1295" w:type="dxa"/>
            <w:shd w:val="clear" w:color="auto" w:fill="F2F2F2" w:themeFill="background1" w:themeFillShade="F2"/>
          </w:tcPr>
          <w:p w14:paraId="26FB373F"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295" w:type="dxa"/>
            <w:shd w:val="clear" w:color="auto" w:fill="F2F2F2" w:themeFill="background1" w:themeFillShade="F2"/>
          </w:tcPr>
          <w:p w14:paraId="0E83285B"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28,4</w:t>
            </w:r>
          </w:p>
        </w:tc>
        <w:tc>
          <w:tcPr>
            <w:tcW w:w="1295" w:type="dxa"/>
            <w:shd w:val="clear" w:color="auto" w:fill="F2F2F2" w:themeFill="background1" w:themeFillShade="F2"/>
          </w:tcPr>
          <w:p w14:paraId="58AFF4F0"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29,15</w:t>
            </w:r>
          </w:p>
        </w:tc>
        <w:tc>
          <w:tcPr>
            <w:tcW w:w="1295" w:type="dxa"/>
            <w:shd w:val="clear" w:color="auto" w:fill="F2F2F2" w:themeFill="background1" w:themeFillShade="F2"/>
          </w:tcPr>
          <w:p w14:paraId="715478C5" w14:textId="77777777" w:rsidR="00F97998" w:rsidRDefault="00A151AA">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31,26</w:t>
            </w:r>
          </w:p>
        </w:tc>
      </w:tr>
    </w:tbl>
    <w:p w14:paraId="288448E8" w14:textId="77777777" w:rsidR="00F97998" w:rsidRDefault="00F97998">
      <w:pPr>
        <w:spacing w:line="360" w:lineRule="auto"/>
        <w:jc w:val="both"/>
        <w:rPr>
          <w:rFonts w:ascii="Arial" w:hAnsi="Arial" w:cs="Arial"/>
          <w:b/>
        </w:rPr>
      </w:pPr>
    </w:p>
    <w:p w14:paraId="75EDA6DF" w14:textId="77777777" w:rsidR="00F97998" w:rsidRDefault="00F97998">
      <w:pPr>
        <w:spacing w:line="360" w:lineRule="auto"/>
        <w:jc w:val="both"/>
        <w:rPr>
          <w:rFonts w:ascii="Arial" w:hAnsi="Arial" w:cs="Arial"/>
          <w:b/>
        </w:rPr>
      </w:pPr>
    </w:p>
    <w:p w14:paraId="3927BADD" w14:textId="77777777" w:rsidR="00F97998" w:rsidRDefault="00A151AA">
      <w:pPr>
        <w:spacing w:line="360" w:lineRule="auto"/>
        <w:jc w:val="both"/>
        <w:rPr>
          <w:rFonts w:ascii="Arial" w:hAnsi="Arial" w:cs="Arial"/>
          <w:b/>
        </w:rPr>
      </w:pPr>
      <w:r>
        <w:rPr>
          <w:rFonts w:ascii="Arial" w:hAnsi="Arial" w:cs="Arial"/>
          <w:b/>
        </w:rPr>
        <w:t>1.3 Assessment of anti-inflammatory activity</w:t>
      </w:r>
    </w:p>
    <w:p w14:paraId="443881E2" w14:textId="77777777" w:rsidR="00F97998" w:rsidRDefault="00A151AA">
      <w:pPr>
        <w:spacing w:line="360" w:lineRule="auto"/>
        <w:jc w:val="both"/>
        <w:rPr>
          <w:rFonts w:ascii="Arial" w:hAnsi="Arial" w:cs="Arial"/>
          <w:sz w:val="20"/>
        </w:rPr>
      </w:pPr>
      <w:r>
        <w:rPr>
          <w:rFonts w:ascii="Arial" w:hAnsi="Arial" w:cs="Arial"/>
          <w:sz w:val="20"/>
        </w:rPr>
        <w:t>The results</w:t>
      </w:r>
      <w:r>
        <w:rPr>
          <w:rFonts w:ascii="Arial" w:hAnsi="Arial" w:cs="Arial"/>
          <w:sz w:val="20"/>
        </w:rPr>
        <w:t xml:space="preserve"> of the anti-inflammatory activity of the extract and fraction are shown in Figures 1 and 2 using the augmentation method, and Figures 3 and 4 using the inhibition method. Generally speaking, the augmentation method showed a highly significant difference b</w:t>
      </w:r>
      <w:r>
        <w:rPr>
          <w:rFonts w:ascii="Arial" w:hAnsi="Arial" w:cs="Arial"/>
          <w:sz w:val="20"/>
        </w:rPr>
        <w:t>etween the healthy and diseased controls (p &lt; 0.0003). Furthermore, Figure 1 shows that when the results of the sick control are compared with those of the different doses of extracts and diclofenac, there is a significant difference with respective propor</w:t>
      </w:r>
      <w:r>
        <w:rPr>
          <w:rFonts w:ascii="Arial" w:hAnsi="Arial" w:cs="Arial"/>
          <w:sz w:val="20"/>
        </w:rPr>
        <w:t>tions of p &lt; 0.283, p &lt; 0.0217 and p &lt; 0.198, and p &lt; 0.02. In the sick control, the percentage increase in edema was 18.35% from the first hour (13.75%) to the second hour (32.1%), with a maximum at three hours (54.12%). However, comparison of the percent</w:t>
      </w:r>
      <w:r>
        <w:rPr>
          <w:rFonts w:ascii="Arial" w:hAnsi="Arial" w:cs="Arial"/>
          <w:sz w:val="20"/>
        </w:rPr>
        <w:t xml:space="preserve">age increase in edema </w:t>
      </w:r>
      <w:r>
        <w:rPr>
          <w:rFonts w:ascii="Arial" w:hAnsi="Arial" w:cs="Arial"/>
          <w:sz w:val="20"/>
        </w:rPr>
        <w:lastRenderedPageBreak/>
        <w:t>between the various doses of extract and diclofenac reveals a non-significant difference. As for figure 2, it shows that there is a significant difference recorded between the sick control as well as the fraction and diclofenac at dos</w:t>
      </w:r>
      <w:r>
        <w:rPr>
          <w:rFonts w:ascii="Arial" w:hAnsi="Arial" w:cs="Arial"/>
          <w:sz w:val="20"/>
        </w:rPr>
        <w:t>es of 200, 400 and 800 mg/Kg PC of the fraction and 50 mg/Kg PC of diclofenac with respective proportions of p &lt; 0.0336, p&lt; 0.02 (diclofenac).</w:t>
      </w:r>
    </w:p>
    <w:p w14:paraId="46DB8D86" w14:textId="77777777" w:rsidR="00F97998" w:rsidRDefault="00A151AA">
      <w:pPr>
        <w:spacing w:line="360" w:lineRule="auto"/>
        <w:jc w:val="both"/>
        <w:rPr>
          <w:rFonts w:ascii="Arial" w:hAnsi="Arial" w:cs="Arial"/>
        </w:rPr>
      </w:pPr>
      <w:r>
        <w:rPr>
          <w:rFonts w:ascii="Arial" w:hAnsi="Arial" w:cs="Arial"/>
        </w:rPr>
        <w:object w:dxaOrig="8295" w:dyaOrig="5025" w14:anchorId="776E2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5pt;height:251.7pt" o:ole="">
            <v:imagedata r:id="rId8" o:title=""/>
          </v:shape>
          <o:OLEObject Type="Embed" ProgID="Prism8.Document" ShapeID="_x0000_i1025" DrawAspect="Content" ObjectID="_1818088984" r:id="rId9"/>
        </w:object>
      </w:r>
    </w:p>
    <w:p w14:paraId="6FD12006" w14:textId="77777777" w:rsidR="00F97998" w:rsidRDefault="00A151AA">
      <w:pPr>
        <w:spacing w:line="360" w:lineRule="auto"/>
        <w:jc w:val="both"/>
        <w:rPr>
          <w:rFonts w:ascii="Arial" w:hAnsi="Arial" w:cs="Arial"/>
        </w:rPr>
      </w:pPr>
      <w:r>
        <w:rPr>
          <w:rFonts w:ascii="Arial" w:hAnsi="Arial" w:cs="Arial"/>
          <w:b/>
        </w:rPr>
        <w:t>Figure</w:t>
      </w:r>
      <w:proofErr w:type="gramStart"/>
      <w:r>
        <w:rPr>
          <w:rFonts w:ascii="Arial" w:hAnsi="Arial" w:cs="Arial"/>
          <w:b/>
        </w:rPr>
        <w:t>1:</w:t>
      </w:r>
      <w:proofErr w:type="gramEnd"/>
      <w:r>
        <w:rPr>
          <w:rFonts w:ascii="Arial" w:hAnsi="Arial" w:cs="Arial"/>
        </w:rPr>
        <w:t xml:space="preserve"> Percentage increase in edema after administration of acetate fraction of </w:t>
      </w:r>
      <w:r>
        <w:rPr>
          <w:rFonts w:ascii="Arial" w:hAnsi="Arial" w:cs="Arial"/>
          <w:i/>
        </w:rPr>
        <w:t>Pericopsis laxiflora</w:t>
      </w:r>
      <w:r>
        <w:rPr>
          <w:rFonts w:ascii="Arial" w:hAnsi="Arial" w:cs="Arial"/>
        </w:rPr>
        <w:t xml:space="preserve"> bark at doses of 200, 400 and 800 mg/kg and diclofenac at 50 mg/kg to albino mice.</w:t>
      </w:r>
    </w:p>
    <w:p w14:paraId="44C677EC" w14:textId="77777777" w:rsidR="00F97998" w:rsidRDefault="00F97998">
      <w:pPr>
        <w:spacing w:line="360" w:lineRule="auto"/>
        <w:jc w:val="both"/>
        <w:rPr>
          <w:rFonts w:ascii="Arial" w:hAnsi="Arial" w:cs="Arial"/>
        </w:rPr>
      </w:pPr>
    </w:p>
    <w:p w14:paraId="0CF36863" w14:textId="77777777" w:rsidR="00F97998" w:rsidRDefault="00A151AA">
      <w:pPr>
        <w:spacing w:line="360" w:lineRule="auto"/>
        <w:jc w:val="both"/>
        <w:rPr>
          <w:rFonts w:ascii="Arial" w:hAnsi="Arial" w:cs="Arial"/>
          <w:b/>
        </w:rPr>
      </w:pPr>
      <w:r>
        <w:rPr>
          <w:rFonts w:ascii="Arial" w:hAnsi="Arial" w:cs="Arial"/>
        </w:rPr>
        <w:object w:dxaOrig="8715" w:dyaOrig="5220" w14:anchorId="5754395E">
          <v:shape id="_x0000_i1026" type="#_x0000_t75" style="width:435.9pt;height:260.75pt" o:ole="">
            <v:imagedata r:id="rId10" o:title=""/>
          </v:shape>
          <o:OLEObject Type="Embed" ProgID="Prism8.Document" ShapeID="_x0000_i1026" DrawAspect="Content" ObjectID="_1818088985" r:id="rId11"/>
        </w:object>
      </w:r>
    </w:p>
    <w:p w14:paraId="70F854A9" w14:textId="77777777" w:rsidR="00F97998" w:rsidRDefault="00A151AA">
      <w:pPr>
        <w:spacing w:line="360" w:lineRule="auto"/>
        <w:jc w:val="both"/>
        <w:rPr>
          <w:rFonts w:ascii="Arial" w:hAnsi="Arial" w:cs="Arial"/>
        </w:rPr>
      </w:pPr>
      <w:r>
        <w:rPr>
          <w:rFonts w:ascii="Arial" w:hAnsi="Arial" w:cs="Arial"/>
          <w:b/>
        </w:rPr>
        <w:lastRenderedPageBreak/>
        <w:t xml:space="preserve">Figure </w:t>
      </w:r>
      <w:proofErr w:type="gramStart"/>
      <w:r>
        <w:rPr>
          <w:rFonts w:ascii="Arial" w:hAnsi="Arial" w:cs="Arial"/>
          <w:b/>
        </w:rPr>
        <w:t>2:</w:t>
      </w:r>
      <w:proofErr w:type="gramEnd"/>
      <w:r>
        <w:rPr>
          <w:rFonts w:ascii="Arial" w:hAnsi="Arial" w:cs="Arial"/>
        </w:rPr>
        <w:t xml:space="preserve"> Percentage increase in edema after administration of acetate fraction of </w:t>
      </w:r>
      <w:r>
        <w:rPr>
          <w:rFonts w:ascii="Arial" w:hAnsi="Arial" w:cs="Arial"/>
          <w:i/>
        </w:rPr>
        <w:t>P. laxiflora</w:t>
      </w:r>
      <w:r>
        <w:rPr>
          <w:rFonts w:ascii="Arial" w:hAnsi="Arial" w:cs="Arial"/>
        </w:rPr>
        <w:t xml:space="preserve"> bark at doses of 200, 400 a</w:t>
      </w:r>
      <w:r>
        <w:rPr>
          <w:rFonts w:ascii="Arial" w:hAnsi="Arial" w:cs="Arial"/>
        </w:rPr>
        <w:t>nd 800 mg/kg and diclofenac at 50 mg/kg to albino mice.</w:t>
      </w:r>
    </w:p>
    <w:p w14:paraId="01D4C82A" w14:textId="77777777" w:rsidR="00F97998" w:rsidRDefault="00A151AA">
      <w:pPr>
        <w:spacing w:line="360" w:lineRule="auto"/>
        <w:jc w:val="both"/>
        <w:rPr>
          <w:rFonts w:ascii="Arial" w:hAnsi="Arial" w:cs="Arial"/>
          <w:sz w:val="20"/>
        </w:rPr>
      </w:pPr>
      <w:r>
        <w:rPr>
          <w:rFonts w:ascii="Arial" w:hAnsi="Arial" w:cs="Arial"/>
          <w:sz w:val="20"/>
        </w:rPr>
        <w:t xml:space="preserve">With regard to the percentage inhibition shown in Figures 3 and 4, this is generally characterized by a non-significant difference between the extract doses and the fraction compared with diclofenac. </w:t>
      </w:r>
      <w:r>
        <w:rPr>
          <w:rFonts w:ascii="Arial" w:hAnsi="Arial" w:cs="Arial"/>
          <w:sz w:val="20"/>
        </w:rPr>
        <w:t>Nevertheless, the percentage of edema inhibition at the fifth hour (final hour of the experiment) was 33.33%, 54.83% and 84.61% for 200, 400 and 800 mg/Kg PC of the extract respectively, and 31.45%, 66.32% and 92.19% for 200, 400 and 800 mg/Kg PC of the fr</w:t>
      </w:r>
      <w:r>
        <w:rPr>
          <w:rFonts w:ascii="Arial" w:hAnsi="Arial" w:cs="Arial"/>
          <w:sz w:val="20"/>
        </w:rPr>
        <w:t>action respectively. In addition, the inhibition of the 800 mg/Kg PC fraction was slightly greater than that of the extract at the same concentration and diclofenac (77.78%) after five hours.</w:t>
      </w:r>
    </w:p>
    <w:p w14:paraId="5B0FB4F8" w14:textId="77777777" w:rsidR="00F97998" w:rsidRDefault="00A151AA">
      <w:pPr>
        <w:spacing w:line="360" w:lineRule="auto"/>
        <w:jc w:val="both"/>
        <w:rPr>
          <w:rFonts w:ascii="Arial" w:hAnsi="Arial" w:cs="Arial"/>
        </w:rPr>
      </w:pPr>
      <w:r>
        <w:rPr>
          <w:rFonts w:ascii="Arial" w:hAnsi="Arial" w:cs="Arial"/>
        </w:rPr>
        <w:object w:dxaOrig="7740" w:dyaOrig="5010" w14:anchorId="5529A596">
          <v:shape id="_x0000_i1027" type="#_x0000_t75" style="width:387.25pt;height:250.4pt" o:ole="">
            <v:imagedata r:id="rId12" o:title=""/>
          </v:shape>
          <o:OLEObject Type="Embed" ProgID="Prism8.Document" ShapeID="_x0000_i1027" DrawAspect="Content" ObjectID="_1818088986" r:id="rId13"/>
        </w:object>
      </w:r>
    </w:p>
    <w:p w14:paraId="049E7367" w14:textId="77777777" w:rsidR="00F97998" w:rsidRDefault="00A151AA">
      <w:pPr>
        <w:spacing w:line="360" w:lineRule="auto"/>
        <w:jc w:val="both"/>
        <w:rPr>
          <w:rFonts w:ascii="Arial" w:hAnsi="Arial" w:cs="Arial"/>
        </w:rPr>
      </w:pPr>
      <w:r>
        <w:rPr>
          <w:rFonts w:ascii="Arial" w:hAnsi="Arial" w:cs="Arial"/>
          <w:b/>
        </w:rPr>
        <w:t xml:space="preserve">Figure </w:t>
      </w:r>
      <w:proofErr w:type="gramStart"/>
      <w:r>
        <w:rPr>
          <w:rFonts w:ascii="Arial" w:hAnsi="Arial" w:cs="Arial"/>
          <w:b/>
        </w:rPr>
        <w:t>3:</w:t>
      </w:r>
      <w:proofErr w:type="gramEnd"/>
      <w:r>
        <w:rPr>
          <w:rFonts w:ascii="Arial" w:hAnsi="Arial" w:cs="Arial"/>
        </w:rPr>
        <w:t xml:space="preserve"> Percentage inhibition of e</w:t>
      </w:r>
      <w:r>
        <w:rPr>
          <w:rFonts w:ascii="Arial" w:hAnsi="Arial" w:cs="Arial"/>
        </w:rPr>
        <w:t xml:space="preserve">dema after administration of methanolic extract of </w:t>
      </w:r>
      <w:r>
        <w:rPr>
          <w:rFonts w:ascii="Arial" w:hAnsi="Arial" w:cs="Arial"/>
          <w:i/>
        </w:rPr>
        <w:t>P. laxiflora</w:t>
      </w:r>
      <w:r>
        <w:rPr>
          <w:rFonts w:ascii="Arial" w:hAnsi="Arial" w:cs="Arial"/>
        </w:rPr>
        <w:t xml:space="preserve"> bark at doses of 200, 400 and 800 mg/kg and diclofenac at 50 mg/kg to albino mice.</w:t>
      </w:r>
    </w:p>
    <w:p w14:paraId="4DBDF0B6" w14:textId="77777777" w:rsidR="00F97998" w:rsidRDefault="00F97998">
      <w:pPr>
        <w:spacing w:line="360" w:lineRule="auto"/>
        <w:jc w:val="both"/>
        <w:rPr>
          <w:rFonts w:ascii="Arial" w:hAnsi="Arial" w:cs="Arial"/>
          <w:b/>
        </w:rPr>
      </w:pPr>
    </w:p>
    <w:p w14:paraId="0AC85C19" w14:textId="77777777" w:rsidR="00F97998" w:rsidRDefault="00A151AA">
      <w:pPr>
        <w:spacing w:line="360" w:lineRule="auto"/>
        <w:jc w:val="both"/>
        <w:rPr>
          <w:rFonts w:ascii="Arial" w:hAnsi="Arial" w:cs="Arial"/>
          <w:b/>
        </w:rPr>
      </w:pPr>
      <w:r>
        <w:rPr>
          <w:rFonts w:ascii="Arial" w:hAnsi="Arial" w:cs="Arial"/>
        </w:rPr>
        <w:object w:dxaOrig="7860" w:dyaOrig="4620" w14:anchorId="39C24E8C">
          <v:shape id="_x0000_i1028" type="#_x0000_t75" style="width:392.45pt;height:230.9pt" o:ole="">
            <v:imagedata r:id="rId14" o:title=""/>
          </v:shape>
          <o:OLEObject Type="Embed" ProgID="Prism8.Document" ShapeID="_x0000_i1028" DrawAspect="Content" ObjectID="_1818088987" r:id="rId15"/>
        </w:object>
      </w:r>
    </w:p>
    <w:p w14:paraId="4381E6BA" w14:textId="77777777" w:rsidR="00F97998" w:rsidRDefault="00A151AA">
      <w:pPr>
        <w:spacing w:line="360" w:lineRule="auto"/>
        <w:jc w:val="both"/>
        <w:rPr>
          <w:rFonts w:ascii="Arial" w:hAnsi="Arial" w:cs="Arial"/>
        </w:rPr>
      </w:pPr>
      <w:r>
        <w:rPr>
          <w:rFonts w:ascii="Arial" w:hAnsi="Arial" w:cs="Arial"/>
          <w:b/>
        </w:rPr>
        <w:t xml:space="preserve">Figure </w:t>
      </w:r>
      <w:proofErr w:type="gramStart"/>
      <w:r>
        <w:rPr>
          <w:rFonts w:ascii="Arial" w:hAnsi="Arial" w:cs="Arial"/>
          <w:b/>
        </w:rPr>
        <w:t>4:</w:t>
      </w:r>
      <w:proofErr w:type="gramEnd"/>
      <w:r>
        <w:rPr>
          <w:rFonts w:ascii="Arial" w:hAnsi="Arial" w:cs="Arial"/>
        </w:rPr>
        <w:t xml:space="preserve"> Percentage inhibition of edema after administration of acetate fractio</w:t>
      </w:r>
      <w:r>
        <w:rPr>
          <w:rFonts w:ascii="Arial" w:hAnsi="Arial" w:cs="Arial"/>
        </w:rPr>
        <w:t>n of P. laxiflora bark at doses of 200, 400 and 800 mg/kg and diclofenac at 50 mg/kg to albino mice.</w:t>
      </w:r>
    </w:p>
    <w:p w14:paraId="697D3786" w14:textId="77777777" w:rsidR="00F97998" w:rsidRDefault="00F97998">
      <w:pPr>
        <w:spacing w:line="360" w:lineRule="auto"/>
        <w:jc w:val="both"/>
        <w:rPr>
          <w:rFonts w:ascii="Arial" w:hAnsi="Arial" w:cs="Arial"/>
          <w:b/>
        </w:rPr>
      </w:pPr>
    </w:p>
    <w:p w14:paraId="03C7F43D" w14:textId="77777777" w:rsidR="00F97998" w:rsidRDefault="00F97998">
      <w:pPr>
        <w:spacing w:line="360" w:lineRule="auto"/>
        <w:jc w:val="both"/>
        <w:rPr>
          <w:rFonts w:ascii="Arial" w:hAnsi="Arial" w:cs="Arial"/>
          <w:b/>
        </w:rPr>
      </w:pPr>
    </w:p>
    <w:p w14:paraId="28F1727F" w14:textId="77777777" w:rsidR="00F97998" w:rsidRDefault="00F97998">
      <w:pPr>
        <w:spacing w:line="360" w:lineRule="auto"/>
        <w:jc w:val="both"/>
        <w:rPr>
          <w:rFonts w:ascii="Arial" w:hAnsi="Arial" w:cs="Arial"/>
          <w:b/>
        </w:rPr>
      </w:pPr>
    </w:p>
    <w:p w14:paraId="51C23DAA" w14:textId="77777777" w:rsidR="00F97998" w:rsidRDefault="00A151AA">
      <w:pPr>
        <w:spacing w:line="360" w:lineRule="auto"/>
        <w:jc w:val="both"/>
        <w:rPr>
          <w:rFonts w:ascii="Arial" w:hAnsi="Arial" w:cs="Arial"/>
          <w:b/>
        </w:rPr>
      </w:pPr>
      <w:r>
        <w:rPr>
          <w:rFonts w:ascii="Arial" w:hAnsi="Arial" w:cs="Arial"/>
          <w:b/>
        </w:rPr>
        <w:t>2- Discussion</w:t>
      </w:r>
    </w:p>
    <w:p w14:paraId="23C48032" w14:textId="77777777" w:rsidR="00F97998" w:rsidRDefault="00A151AA">
      <w:pPr>
        <w:spacing w:line="360" w:lineRule="auto"/>
        <w:jc w:val="both"/>
        <w:rPr>
          <w:rFonts w:ascii="Arial" w:hAnsi="Arial" w:cs="Arial"/>
          <w:sz w:val="20"/>
        </w:rPr>
      </w:pPr>
      <w:r>
        <w:rPr>
          <w:rFonts w:ascii="Arial" w:hAnsi="Arial" w:cs="Arial"/>
          <w:sz w:val="20"/>
        </w:rPr>
        <w:t xml:space="preserve">Malaria is an infection caused by </w:t>
      </w:r>
      <w:r>
        <w:rPr>
          <w:rFonts w:ascii="Arial" w:hAnsi="Arial" w:cs="Arial"/>
          <w:i/>
          <w:sz w:val="20"/>
        </w:rPr>
        <w:t>Plasmodium</w:t>
      </w:r>
      <w:r>
        <w:rPr>
          <w:rFonts w:ascii="Arial" w:hAnsi="Arial" w:cs="Arial"/>
          <w:sz w:val="20"/>
        </w:rPr>
        <w:t xml:space="preserve"> (a protozoan parasite). It threatens more than half the world's population. Symptoms of malar</w:t>
      </w:r>
      <w:r>
        <w:rPr>
          <w:rFonts w:ascii="Arial" w:hAnsi="Arial" w:cs="Arial"/>
          <w:sz w:val="20"/>
        </w:rPr>
        <w:t xml:space="preserve">ia include chills and cyclical fever, anemia and malaise. More severe cases can also lead to metabolic acidosis, respiratory distress, neuromalaria, coma and death </w:t>
      </w:r>
      <w:r>
        <w:rPr>
          <w:rFonts w:ascii="Arial" w:hAnsi="Arial" w:cs="Arial"/>
          <w:b/>
          <w:sz w:val="20"/>
        </w:rPr>
        <w:t xml:space="preserve">[32-33]. </w:t>
      </w:r>
      <w:r>
        <w:rPr>
          <w:rFonts w:ascii="Arial" w:hAnsi="Arial" w:cs="Arial"/>
          <w:sz w:val="20"/>
        </w:rPr>
        <w:t xml:space="preserve">Adjunctive therapy, based on modulation of the host's response to infection, could </w:t>
      </w:r>
      <w:r>
        <w:rPr>
          <w:rFonts w:ascii="Arial" w:hAnsi="Arial" w:cs="Arial"/>
          <w:sz w:val="20"/>
        </w:rPr>
        <w:t>reduce the morbidity and mortality associated with malaria. It could improve and extend the clinical utility of current antimalarial drugs</w:t>
      </w:r>
      <w:r>
        <w:rPr>
          <w:rFonts w:ascii="Arial" w:hAnsi="Arial" w:cs="Arial"/>
          <w:b/>
          <w:sz w:val="20"/>
        </w:rPr>
        <w:t>.</w:t>
      </w:r>
      <w:r>
        <w:rPr>
          <w:rFonts w:ascii="Arial" w:hAnsi="Arial" w:cs="Arial"/>
          <w:sz w:val="20"/>
        </w:rPr>
        <w:t xml:space="preserve"> The yield of the methanolic extract and the acetatic fraction of </w:t>
      </w:r>
      <w:r>
        <w:rPr>
          <w:rFonts w:ascii="Arial" w:hAnsi="Arial" w:cs="Arial"/>
          <w:i/>
          <w:sz w:val="20"/>
        </w:rPr>
        <w:t>P. laxiflora</w:t>
      </w:r>
      <w:r>
        <w:rPr>
          <w:rFonts w:ascii="Arial" w:hAnsi="Arial" w:cs="Arial"/>
          <w:sz w:val="20"/>
        </w:rPr>
        <w:t xml:space="preserve"> barks yielded values of 6.94% and 3.8%</w:t>
      </w:r>
      <w:r>
        <w:rPr>
          <w:rFonts w:ascii="Arial" w:hAnsi="Arial" w:cs="Arial"/>
          <w:sz w:val="20"/>
        </w:rPr>
        <w:t xml:space="preserve"> respectively. These results differ from those </w:t>
      </w:r>
      <w:proofErr w:type="gramStart"/>
      <w:r>
        <w:rPr>
          <w:rFonts w:ascii="Arial" w:hAnsi="Arial" w:cs="Arial"/>
          <w:sz w:val="20"/>
        </w:rPr>
        <w:t xml:space="preserve">of </w:t>
      </w:r>
      <w:r>
        <w:rPr>
          <w:rFonts w:ascii="Arial" w:hAnsi="Arial" w:cs="Arial"/>
          <w:b/>
          <w:sz w:val="20"/>
        </w:rPr>
        <w:t xml:space="preserve"> [</w:t>
      </w:r>
      <w:proofErr w:type="gramEnd"/>
      <w:r>
        <w:rPr>
          <w:rFonts w:ascii="Arial" w:hAnsi="Arial" w:cs="Arial"/>
          <w:b/>
          <w:sz w:val="20"/>
        </w:rPr>
        <w:t xml:space="preserve">34] </w:t>
      </w:r>
      <w:r>
        <w:rPr>
          <w:rFonts w:ascii="Arial" w:hAnsi="Arial" w:cs="Arial"/>
          <w:sz w:val="20"/>
        </w:rPr>
        <w:t xml:space="preserve">carried out on </w:t>
      </w:r>
      <w:r>
        <w:rPr>
          <w:rFonts w:ascii="Arial" w:hAnsi="Arial" w:cs="Arial"/>
          <w:i/>
          <w:sz w:val="20"/>
        </w:rPr>
        <w:t xml:space="preserve">P. laxiflora </w:t>
      </w:r>
      <w:r>
        <w:rPr>
          <w:rFonts w:ascii="Arial" w:hAnsi="Arial" w:cs="Arial"/>
          <w:sz w:val="20"/>
        </w:rPr>
        <w:t xml:space="preserve">and the work of </w:t>
      </w:r>
      <w:r>
        <w:rPr>
          <w:rFonts w:ascii="Arial" w:hAnsi="Arial" w:cs="Arial"/>
          <w:b/>
          <w:sz w:val="20"/>
        </w:rPr>
        <w:t>[35]</w:t>
      </w:r>
      <w:r>
        <w:rPr>
          <w:rFonts w:ascii="Arial" w:hAnsi="Arial" w:cs="Arial"/>
          <w:sz w:val="20"/>
        </w:rPr>
        <w:t xml:space="preserve"> carried out on</w:t>
      </w:r>
      <w:r>
        <w:rPr>
          <w:rFonts w:ascii="Arial" w:hAnsi="Arial" w:cs="Arial"/>
          <w:i/>
          <w:sz w:val="20"/>
        </w:rPr>
        <w:t xml:space="preserve"> Osyris alba </w:t>
      </w:r>
      <w:r>
        <w:rPr>
          <w:rFonts w:ascii="Arial" w:hAnsi="Arial" w:cs="Arial"/>
          <w:sz w:val="20"/>
        </w:rPr>
        <w:t>(Santalaceae) for the methanolic extract and acetate fraction respectively. Indeed,</w:t>
      </w:r>
      <w:r>
        <w:rPr>
          <w:rFonts w:ascii="Arial" w:hAnsi="Arial" w:cs="Arial"/>
          <w:b/>
          <w:sz w:val="20"/>
        </w:rPr>
        <w:t xml:space="preserve"> </w:t>
      </w:r>
      <w:r>
        <w:rPr>
          <w:rFonts w:ascii="Arial" w:hAnsi="Arial" w:cs="Arial"/>
          <w:sz w:val="20"/>
        </w:rPr>
        <w:t>obtained a yield of 10.4% after extracti</w:t>
      </w:r>
      <w:r>
        <w:rPr>
          <w:rFonts w:ascii="Arial" w:hAnsi="Arial" w:cs="Arial"/>
          <w:sz w:val="20"/>
        </w:rPr>
        <w:t xml:space="preserve">on of </w:t>
      </w:r>
      <w:r>
        <w:rPr>
          <w:rFonts w:ascii="Arial" w:hAnsi="Arial" w:cs="Arial"/>
          <w:i/>
          <w:sz w:val="20"/>
        </w:rPr>
        <w:t>P. laxiflora</w:t>
      </w:r>
      <w:r>
        <w:rPr>
          <w:rFonts w:ascii="Arial" w:hAnsi="Arial" w:cs="Arial"/>
          <w:sz w:val="20"/>
        </w:rPr>
        <w:t xml:space="preserve"> bark with an ethanol-water mixture. This difference could be justified by the solvent used, the harvesting period, the extraction method, etc. On the other hand, the work of showed that the yield of the acetatic fraction of </w:t>
      </w:r>
      <w:r>
        <w:rPr>
          <w:rFonts w:ascii="Arial" w:hAnsi="Arial" w:cs="Arial"/>
          <w:i/>
          <w:sz w:val="20"/>
        </w:rPr>
        <w:t>Osyris alba</w:t>
      </w:r>
      <w:r>
        <w:rPr>
          <w:rFonts w:ascii="Arial" w:hAnsi="Arial" w:cs="Arial"/>
          <w:sz w:val="20"/>
        </w:rPr>
        <w:t xml:space="preserve"> (</w:t>
      </w:r>
      <w:r>
        <w:rPr>
          <w:rFonts w:ascii="Arial" w:hAnsi="Arial" w:cs="Arial"/>
          <w:sz w:val="20"/>
        </w:rPr>
        <w:t>Santalaceae) was 1.143%. Oral administration of the methanolic extract and acetate fraction induced effects such as immobility, refusal to feed, drowsiness, isolation, and refusal to drink water after 2 hours. However, after these observations, no deaths w</w:t>
      </w:r>
      <w:r>
        <w:rPr>
          <w:rFonts w:ascii="Arial" w:hAnsi="Arial" w:cs="Arial"/>
          <w:sz w:val="20"/>
        </w:rPr>
        <w:t>ere observed. These results are in line with those of</w:t>
      </w:r>
      <w:r>
        <w:rPr>
          <w:rFonts w:ascii="Arial" w:hAnsi="Arial" w:cs="Arial"/>
          <w:b/>
          <w:sz w:val="20"/>
        </w:rPr>
        <w:t>.</w:t>
      </w:r>
      <w:r>
        <w:rPr>
          <w:rFonts w:ascii="Arial" w:hAnsi="Arial" w:cs="Arial"/>
          <w:sz w:val="20"/>
        </w:rPr>
        <w:t xml:space="preserve"> In their work, these authors administered in vivo to mice a single, high dose of 5000 mg/Kg PC of the 70% ethanolic extract of </w:t>
      </w:r>
      <w:r>
        <w:rPr>
          <w:rFonts w:ascii="Arial" w:hAnsi="Arial" w:cs="Arial"/>
          <w:i/>
          <w:sz w:val="20"/>
        </w:rPr>
        <w:t xml:space="preserve">P. laxiflora. </w:t>
      </w:r>
      <w:r>
        <w:rPr>
          <w:rFonts w:ascii="Arial" w:hAnsi="Arial" w:cs="Arial"/>
          <w:sz w:val="20"/>
        </w:rPr>
        <w:t>In their study, they demonstrated that the 70% hydroethanoli</w:t>
      </w:r>
      <w:r>
        <w:rPr>
          <w:rFonts w:ascii="Arial" w:hAnsi="Arial" w:cs="Arial"/>
          <w:sz w:val="20"/>
        </w:rPr>
        <w:t xml:space="preserve">c extract of </w:t>
      </w:r>
      <w:r>
        <w:rPr>
          <w:rFonts w:ascii="Arial" w:hAnsi="Arial" w:cs="Arial"/>
          <w:i/>
          <w:sz w:val="20"/>
        </w:rPr>
        <w:t xml:space="preserve">P. laxiflora </w:t>
      </w:r>
      <w:r>
        <w:rPr>
          <w:rFonts w:ascii="Arial" w:hAnsi="Arial" w:cs="Arial"/>
          <w:sz w:val="20"/>
        </w:rPr>
        <w:t xml:space="preserve">had no adverse effects on vital organs such as the kidneys. Their </w:t>
      </w:r>
      <w:r>
        <w:rPr>
          <w:rFonts w:ascii="Arial" w:hAnsi="Arial" w:cs="Arial"/>
          <w:sz w:val="20"/>
        </w:rPr>
        <w:lastRenderedPageBreak/>
        <w:t xml:space="preserve">result shows that the plant has no toxic effect. This difference could be explained by the type of plant and organ used, the geographical location where the plants </w:t>
      </w:r>
      <w:r>
        <w:rPr>
          <w:rFonts w:ascii="Arial" w:hAnsi="Arial" w:cs="Arial"/>
          <w:sz w:val="20"/>
        </w:rPr>
        <w:t>were harvested, the quality of the soil, the period when the plant was harvested, the extraction or fractionation time, etc. Although he used the same solvent and the same plant part, he used a different plant (</w:t>
      </w:r>
      <w:r>
        <w:rPr>
          <w:rFonts w:ascii="Arial" w:hAnsi="Arial" w:cs="Arial"/>
          <w:i/>
          <w:sz w:val="20"/>
        </w:rPr>
        <w:t>Osyris alba</w:t>
      </w:r>
      <w:r>
        <w:rPr>
          <w:rFonts w:ascii="Arial" w:hAnsi="Arial" w:cs="Arial"/>
          <w:sz w:val="20"/>
        </w:rPr>
        <w:t>). Oral administration of the meth</w:t>
      </w:r>
      <w:r>
        <w:rPr>
          <w:rFonts w:ascii="Arial" w:hAnsi="Arial" w:cs="Arial"/>
          <w:sz w:val="20"/>
        </w:rPr>
        <w:t>anolic extract and acetate fraction induced effects such as immobility, refusal to feed, drowsiness, isolation, and refusal to drink water after 2 hours. However, after these observations, no deaths were observed. These results are in line with those of</w:t>
      </w:r>
      <w:r>
        <w:rPr>
          <w:rFonts w:ascii="Arial" w:hAnsi="Arial" w:cs="Arial"/>
          <w:b/>
          <w:sz w:val="20"/>
        </w:rPr>
        <w:t>.</w:t>
      </w:r>
      <w:r>
        <w:rPr>
          <w:rFonts w:ascii="Arial" w:hAnsi="Arial" w:cs="Arial"/>
          <w:sz w:val="20"/>
        </w:rPr>
        <w:t xml:space="preserve"> I</w:t>
      </w:r>
      <w:r>
        <w:rPr>
          <w:rFonts w:ascii="Arial" w:hAnsi="Arial" w:cs="Arial"/>
          <w:sz w:val="20"/>
        </w:rPr>
        <w:t xml:space="preserve">n their work, these authors administered in vivo to mice a single, high dose of 5000 mg/Kg PC of the 70% ethanolic extract of </w:t>
      </w:r>
      <w:r>
        <w:rPr>
          <w:rFonts w:ascii="Arial" w:hAnsi="Arial" w:cs="Arial"/>
          <w:i/>
          <w:sz w:val="20"/>
        </w:rPr>
        <w:t>P. laxiflora</w:t>
      </w:r>
      <w:r>
        <w:rPr>
          <w:rFonts w:ascii="Arial" w:hAnsi="Arial" w:cs="Arial"/>
          <w:sz w:val="20"/>
        </w:rPr>
        <w:t xml:space="preserve">. In their study, they demonstrated that the 70% hydroethanolic extract of </w:t>
      </w:r>
      <w:r>
        <w:rPr>
          <w:rFonts w:ascii="Arial" w:hAnsi="Arial" w:cs="Arial"/>
          <w:i/>
          <w:sz w:val="20"/>
        </w:rPr>
        <w:t xml:space="preserve">P. laxiflora </w:t>
      </w:r>
      <w:r>
        <w:rPr>
          <w:rFonts w:ascii="Arial" w:hAnsi="Arial" w:cs="Arial"/>
          <w:sz w:val="20"/>
        </w:rPr>
        <w:t>had no adverse effects on vita</w:t>
      </w:r>
      <w:r>
        <w:rPr>
          <w:rFonts w:ascii="Arial" w:hAnsi="Arial" w:cs="Arial"/>
          <w:sz w:val="20"/>
        </w:rPr>
        <w:t xml:space="preserve">l organs such as the kidneys. Their result shows that the plant has no toxic effect. With regard to the acetatic fraction, the results of this study were in line with studies carried out by </w:t>
      </w:r>
      <w:r>
        <w:rPr>
          <w:rFonts w:ascii="Arial" w:hAnsi="Arial" w:cs="Arial"/>
          <w:b/>
          <w:sz w:val="20"/>
        </w:rPr>
        <w:t>[36].</w:t>
      </w:r>
      <w:r>
        <w:rPr>
          <w:rFonts w:ascii="Arial" w:hAnsi="Arial" w:cs="Arial"/>
          <w:sz w:val="20"/>
        </w:rPr>
        <w:t xml:space="preserve"> Indeed, the author demonstrated that the acetatic fraction o</w:t>
      </w:r>
      <w:r>
        <w:rPr>
          <w:rFonts w:ascii="Arial" w:hAnsi="Arial" w:cs="Arial"/>
          <w:sz w:val="20"/>
        </w:rPr>
        <w:t>f Astragalus gombo (Fabaceae) was not toxic at a dose of 2500 mg/Kg CP. This may be explained by the fact that both plants belong to the same family. The identification of bioactive compounds with antiplasmodial and anti-inflammatory activities is essentia</w:t>
      </w:r>
      <w:r>
        <w:rPr>
          <w:rFonts w:ascii="Arial" w:hAnsi="Arial" w:cs="Arial"/>
          <w:sz w:val="20"/>
        </w:rPr>
        <w:t>l for malaria control. Analysis of the results shows the existence of anti-inflammatory effects for both extracts, albeit to varying degrees. According to and</w:t>
      </w:r>
      <w:r>
        <w:rPr>
          <w:rFonts w:ascii="Arial" w:hAnsi="Arial" w:cs="Arial"/>
          <w:b/>
          <w:sz w:val="20"/>
        </w:rPr>
        <w:t>,</w:t>
      </w:r>
      <w:r>
        <w:rPr>
          <w:rFonts w:ascii="Arial" w:hAnsi="Arial" w:cs="Arial"/>
          <w:sz w:val="20"/>
        </w:rPr>
        <w:t xml:space="preserve"> carrageenan injection is characterized by a progression in edema development over time, reaching</w:t>
      </w:r>
      <w:r>
        <w:rPr>
          <w:rFonts w:ascii="Arial" w:hAnsi="Arial" w:cs="Arial"/>
          <w:sz w:val="20"/>
        </w:rPr>
        <w:t xml:space="preserve"> a peak around 3 hours. After this period, there is a tendency towards stabilization. On the other hand, according to</w:t>
      </w:r>
      <w:r>
        <w:rPr>
          <w:rFonts w:ascii="Arial" w:hAnsi="Arial" w:cs="Arial"/>
          <w:b/>
          <w:sz w:val="20"/>
        </w:rPr>
        <w:t xml:space="preserve"> [37-38]</w:t>
      </w:r>
      <w:r>
        <w:rPr>
          <w:rFonts w:ascii="Arial" w:hAnsi="Arial" w:cs="Arial"/>
          <w:sz w:val="20"/>
        </w:rPr>
        <w:t xml:space="preserve"> and</w:t>
      </w:r>
      <w:r>
        <w:rPr>
          <w:rFonts w:ascii="Arial" w:hAnsi="Arial" w:cs="Arial"/>
          <w:b/>
          <w:sz w:val="20"/>
        </w:rPr>
        <w:t xml:space="preserve">, </w:t>
      </w:r>
      <w:r>
        <w:rPr>
          <w:rFonts w:ascii="Arial" w:hAnsi="Arial" w:cs="Arial"/>
          <w:sz w:val="20"/>
        </w:rPr>
        <w:t>the injection of diclofenac (reference molecule, anti-inflammatory, non-steroidal) acts on the third phase of the inflammator</w:t>
      </w:r>
      <w:r>
        <w:rPr>
          <w:rFonts w:ascii="Arial" w:hAnsi="Arial" w:cs="Arial"/>
          <w:sz w:val="20"/>
        </w:rPr>
        <w:t>y reaction by inhibiting the release of prostaglandin (pro-inflammatory molecule). Indeed, the reference molecule (diclofenac) is a powerful inhibitor of COX-2, responsible for prostaglandin synthesis. This action reduces or inhibits edema volume. This las</w:t>
      </w:r>
      <w:r>
        <w:rPr>
          <w:rFonts w:ascii="Arial" w:hAnsi="Arial" w:cs="Arial"/>
          <w:sz w:val="20"/>
        </w:rPr>
        <w:t>t observation was made at doses of 200, 400 and 800 mg/Kg PC respectively for the extract and the fraction, with inhibition rates of 33.33%, 54.83% and 84.61% respectively for the extract, and 31.45%, 66.32% and 92.13% for the fraction. As for the referenc</w:t>
      </w:r>
      <w:r>
        <w:rPr>
          <w:rFonts w:ascii="Arial" w:hAnsi="Arial" w:cs="Arial"/>
          <w:sz w:val="20"/>
        </w:rPr>
        <w:t>e molecule (diclofenac), it had a percentage inhibition of 77.78% at a dose of 50 mg/Kg PC. It must be said, however, that the results obtained with the extract in this study are in line with those of [</w:t>
      </w:r>
      <w:r>
        <w:rPr>
          <w:rFonts w:ascii="Arial" w:hAnsi="Arial" w:cs="Arial"/>
          <w:b/>
          <w:sz w:val="20"/>
        </w:rPr>
        <w:t>39-40</w:t>
      </w:r>
      <w:r>
        <w:rPr>
          <w:rFonts w:ascii="Arial" w:hAnsi="Arial" w:cs="Arial"/>
          <w:sz w:val="20"/>
        </w:rPr>
        <w:t>]. However, the latter revealed that water-methan</w:t>
      </w:r>
      <w:r>
        <w:rPr>
          <w:rFonts w:ascii="Arial" w:hAnsi="Arial" w:cs="Arial"/>
          <w:sz w:val="20"/>
        </w:rPr>
        <w:t xml:space="preserve">ol extracts of Securidaca longepedunculata stem bark exhibited dose-dependent anti-inflammatory </w:t>
      </w:r>
      <w:proofErr w:type="gramStart"/>
      <w:r>
        <w:rPr>
          <w:rFonts w:ascii="Arial" w:hAnsi="Arial" w:cs="Arial"/>
          <w:sz w:val="20"/>
        </w:rPr>
        <w:t>activity;</w:t>
      </w:r>
      <w:proofErr w:type="gramEnd"/>
      <w:r>
        <w:rPr>
          <w:rFonts w:ascii="Arial" w:hAnsi="Arial" w:cs="Arial"/>
          <w:sz w:val="20"/>
        </w:rPr>
        <w:t xml:space="preserve"> the highest being at 800 mg/Kg orally. Thus, the progressive dose-dependent reductions over time in the extract or fraction of paw edema may be explai</w:t>
      </w:r>
      <w:r>
        <w:rPr>
          <w:rFonts w:ascii="Arial" w:hAnsi="Arial" w:cs="Arial"/>
          <w:sz w:val="20"/>
        </w:rPr>
        <w:t>ned by the fact that these various products act on edema at different phases of the inflammatory reaction, notably on prostaglandin. This could account for the disappearance of the redness (inflammation) of the paws observed in animals at these tested dose</w:t>
      </w:r>
      <w:r>
        <w:rPr>
          <w:rFonts w:ascii="Arial" w:hAnsi="Arial" w:cs="Arial"/>
          <w:sz w:val="20"/>
        </w:rPr>
        <w:t xml:space="preserve">s. </w:t>
      </w:r>
      <w:r>
        <w:rPr>
          <w:rFonts w:ascii="Arial" w:hAnsi="Arial" w:cs="Arial"/>
          <w:b/>
          <w:sz w:val="20"/>
        </w:rPr>
        <w:t>[41,42, 4]</w:t>
      </w:r>
      <w:r>
        <w:rPr>
          <w:rFonts w:ascii="Arial" w:hAnsi="Arial" w:cs="Arial"/>
          <w:sz w:val="20"/>
        </w:rPr>
        <w:t xml:space="preserve"> revealed that the aqueous extract of Clematis flammula was rich in phenols. As for </w:t>
      </w:r>
      <w:r>
        <w:rPr>
          <w:rFonts w:ascii="Arial" w:hAnsi="Arial" w:cs="Arial"/>
          <w:b/>
          <w:sz w:val="20"/>
        </w:rPr>
        <w:t>[43] and (4)</w:t>
      </w:r>
      <w:r>
        <w:rPr>
          <w:rFonts w:ascii="Arial" w:hAnsi="Arial" w:cs="Arial"/>
          <w:sz w:val="20"/>
        </w:rPr>
        <w:t>, they showed that the ethanolic extract of Genista ferox was abundant in flavonoids. Both plants had good anti-inflammatory activity due to the pr</w:t>
      </w:r>
      <w:r>
        <w:rPr>
          <w:rFonts w:ascii="Arial" w:hAnsi="Arial" w:cs="Arial"/>
          <w:sz w:val="20"/>
        </w:rPr>
        <w:t xml:space="preserve">esence of these two metabolites. The action of the extract and the fraction could be due to the presence of secondary metabolites. Indeed, work by </w:t>
      </w:r>
      <w:r>
        <w:rPr>
          <w:rFonts w:ascii="Arial" w:hAnsi="Arial" w:cs="Arial"/>
          <w:b/>
          <w:sz w:val="20"/>
        </w:rPr>
        <w:t>(26)</w:t>
      </w:r>
      <w:r>
        <w:rPr>
          <w:rFonts w:ascii="Arial" w:hAnsi="Arial" w:cs="Arial"/>
          <w:sz w:val="20"/>
        </w:rPr>
        <w:t xml:space="preserve"> on the plant during tri-phytochemical tests showed the presence of compounds such as polyphenols and fla</w:t>
      </w:r>
      <w:r>
        <w:rPr>
          <w:rFonts w:ascii="Arial" w:hAnsi="Arial" w:cs="Arial"/>
          <w:sz w:val="20"/>
        </w:rPr>
        <w:t>vonoids in the methanolic extract and the acetatic fraction. Finally, the results of this study showed that at a dose of 800 mg/Kg PC, the fraction inhibited edema more (92.13%) than the extract (84.61%). This shows that the solvents and method used in thi</w:t>
      </w:r>
      <w:r>
        <w:rPr>
          <w:rFonts w:ascii="Arial" w:hAnsi="Arial" w:cs="Arial"/>
          <w:sz w:val="20"/>
        </w:rPr>
        <w:t xml:space="preserve">s study enabled the plant's bioactive compounds to be potentiated, thus promoting </w:t>
      </w:r>
      <w:proofErr w:type="gramStart"/>
      <w:r>
        <w:rPr>
          <w:rFonts w:ascii="Arial" w:hAnsi="Arial" w:cs="Arial"/>
          <w:sz w:val="20"/>
        </w:rPr>
        <w:lastRenderedPageBreak/>
        <w:t>their</w:t>
      </w:r>
      <w:proofErr w:type="gramEnd"/>
      <w:r>
        <w:rPr>
          <w:rFonts w:ascii="Arial" w:hAnsi="Arial" w:cs="Arial"/>
          <w:sz w:val="20"/>
        </w:rPr>
        <w:t xml:space="preserve"> pharmacokinetics on edema. In contrast, the reference molecule (diclofenac) was less inhibitory to edema (77.78%), albeit at a dose of 50 mg/Kg PC. All these observatio</w:t>
      </w:r>
      <w:r>
        <w:rPr>
          <w:rFonts w:ascii="Arial" w:hAnsi="Arial" w:cs="Arial"/>
          <w:sz w:val="20"/>
        </w:rPr>
        <w:t>ns were made after 5 hours. On the basis of the dose used, it should be noted that diclofenac inhibits 16 times more than the fraction and extract. This implies that at low doses (50 mg/Kg PC), diclofenac has a significant inhibition (77.78%) compared to e</w:t>
      </w:r>
      <w:r>
        <w:rPr>
          <w:rFonts w:ascii="Arial" w:hAnsi="Arial" w:cs="Arial"/>
          <w:sz w:val="20"/>
        </w:rPr>
        <w:t>xtract and fraction. This could be explained by the fact that diclofenac is a pure molecule, unlike the fraction and extract, which are still aggregates of molecules.</w:t>
      </w:r>
    </w:p>
    <w:p w14:paraId="4476C50C" w14:textId="77777777" w:rsidR="00F97998" w:rsidRDefault="00A151AA">
      <w:pPr>
        <w:spacing w:line="360" w:lineRule="auto"/>
        <w:jc w:val="both"/>
        <w:rPr>
          <w:rFonts w:ascii="Arial" w:hAnsi="Arial" w:cs="Arial"/>
          <w:b/>
        </w:rPr>
      </w:pPr>
      <w:r>
        <w:rPr>
          <w:rFonts w:ascii="Arial" w:hAnsi="Arial" w:cs="Arial"/>
          <w:b/>
        </w:rPr>
        <w:t>CONCLUSION</w:t>
      </w:r>
    </w:p>
    <w:p w14:paraId="1B7230C2" w14:textId="77777777" w:rsidR="00F97998" w:rsidRDefault="00A151AA">
      <w:pPr>
        <w:spacing w:line="360" w:lineRule="auto"/>
        <w:jc w:val="both"/>
        <w:rPr>
          <w:rFonts w:ascii="Arial" w:hAnsi="Arial" w:cs="Arial"/>
          <w:sz w:val="20"/>
        </w:rPr>
      </w:pPr>
      <w:r>
        <w:rPr>
          <w:rFonts w:ascii="Arial" w:hAnsi="Arial" w:cs="Arial"/>
          <w:sz w:val="20"/>
        </w:rPr>
        <w:t>This study assessed the acute and anti-inflammatory toxicity of the methanolic</w:t>
      </w:r>
      <w:r>
        <w:rPr>
          <w:rFonts w:ascii="Arial" w:hAnsi="Arial" w:cs="Arial"/>
          <w:sz w:val="20"/>
        </w:rPr>
        <w:t xml:space="preserve"> extract and acetate fraction obtained from the bark of </w:t>
      </w:r>
      <w:r>
        <w:rPr>
          <w:rFonts w:ascii="Arial" w:hAnsi="Arial" w:cs="Arial"/>
          <w:i/>
          <w:sz w:val="20"/>
        </w:rPr>
        <w:t>Pericopsis laxiflora</w:t>
      </w:r>
      <w:r>
        <w:rPr>
          <w:rFonts w:ascii="Arial" w:hAnsi="Arial" w:cs="Arial"/>
          <w:sz w:val="20"/>
        </w:rPr>
        <w:t xml:space="preserve">, an antimalarial plant used in Côte d'Ivoire. This study revealed that the 2000 mg/Kg CP dose of the extract and fraction were non-toxic to mice. Secondly, the methanolic extract </w:t>
      </w:r>
      <w:r>
        <w:rPr>
          <w:rFonts w:ascii="Arial" w:hAnsi="Arial" w:cs="Arial"/>
          <w:sz w:val="20"/>
        </w:rPr>
        <w:t xml:space="preserve">and the acetatic fraction significantly reduced the percentage increase in paw edema in mice over time. In addition, each product obtained during the extraction and fractionation of </w:t>
      </w:r>
      <w:r>
        <w:rPr>
          <w:rFonts w:ascii="Arial" w:hAnsi="Arial" w:cs="Arial"/>
          <w:i/>
          <w:sz w:val="20"/>
        </w:rPr>
        <w:t>Pericopsis laxiflora</w:t>
      </w:r>
      <w:r>
        <w:rPr>
          <w:rFonts w:ascii="Arial" w:hAnsi="Arial" w:cs="Arial"/>
          <w:sz w:val="20"/>
        </w:rPr>
        <w:t xml:space="preserve"> bark inhibited inflammation in the paws of mice at di</w:t>
      </w:r>
      <w:r>
        <w:rPr>
          <w:rFonts w:ascii="Arial" w:hAnsi="Arial" w:cs="Arial"/>
          <w:sz w:val="20"/>
        </w:rPr>
        <w:t>fferent doses (200, 400 and 800 mg/Kg body weight). Indeed, comparison of the percentage inhibition of the 800 mg/Kg body weight dose of the extract and fraction with that of the reference molecule (diclofenac) gave respective values of 84.63, 92.13 and 77</w:t>
      </w:r>
      <w:r>
        <w:rPr>
          <w:rFonts w:ascii="Arial" w:hAnsi="Arial" w:cs="Arial"/>
          <w:sz w:val="20"/>
        </w:rPr>
        <w:t>.78% after five hours. These extracts have both antiplasmodial and anti-inflammatory properties, and would make good antimalarial drugs.</w:t>
      </w:r>
    </w:p>
    <w:p w14:paraId="5D4E9DBD" w14:textId="77777777" w:rsidR="002201D6" w:rsidRDefault="002201D6">
      <w:pPr>
        <w:spacing w:line="360" w:lineRule="auto"/>
        <w:jc w:val="both"/>
        <w:rPr>
          <w:rFonts w:ascii="Arial" w:hAnsi="Arial" w:cs="Arial"/>
          <w:sz w:val="20"/>
        </w:rPr>
      </w:pPr>
    </w:p>
    <w:p w14:paraId="73CE8A9A" w14:textId="77777777" w:rsidR="002201D6" w:rsidRPr="002201D6" w:rsidRDefault="002201D6" w:rsidP="002201D6">
      <w:pPr>
        <w:spacing w:after="200" w:line="276" w:lineRule="auto"/>
        <w:jc w:val="both"/>
        <w:outlineLvl w:val="0"/>
        <w:rPr>
          <w:rFonts w:ascii="Arial" w:eastAsia="Times New Roman" w:hAnsi="Arial" w:cs="Arial"/>
          <w:lang w:val="en-GB" w:eastAsia="en-GB"/>
        </w:rPr>
      </w:pPr>
      <w:r w:rsidRPr="002201D6">
        <w:rPr>
          <w:rFonts w:ascii="Arial" w:eastAsia="Times New Roman" w:hAnsi="Arial" w:cs="Arial"/>
          <w:b/>
          <w:bCs/>
          <w:lang w:val="en-GB" w:eastAsia="en-GB"/>
        </w:rPr>
        <w:t>COMPETING INTERESTS DISCLAIMER:</w:t>
      </w:r>
    </w:p>
    <w:p w14:paraId="55A82C1B" w14:textId="77777777" w:rsidR="002201D6" w:rsidRPr="002201D6" w:rsidRDefault="002201D6" w:rsidP="002201D6">
      <w:pPr>
        <w:spacing w:after="200" w:line="276" w:lineRule="auto"/>
        <w:rPr>
          <w:rFonts w:ascii="Calibri" w:eastAsia="Times New Roman" w:hAnsi="Calibri" w:cs="Times New Roman"/>
          <w:lang w:val="en-GB" w:eastAsia="en-GB"/>
        </w:rPr>
      </w:pPr>
      <w:r w:rsidRPr="002201D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FB0F2E2" w14:textId="77777777" w:rsidR="002201D6" w:rsidRPr="002201D6" w:rsidRDefault="002201D6" w:rsidP="002201D6">
      <w:pPr>
        <w:spacing w:after="200" w:line="276" w:lineRule="auto"/>
        <w:rPr>
          <w:rFonts w:ascii="Calibri" w:eastAsia="Times New Roman" w:hAnsi="Calibri" w:cs="Times New Roman"/>
          <w:lang w:val="en-GB" w:eastAsia="en-GB"/>
        </w:rPr>
      </w:pPr>
    </w:p>
    <w:p w14:paraId="3262913C" w14:textId="77777777" w:rsidR="002201D6" w:rsidRPr="002201D6" w:rsidRDefault="002201D6" w:rsidP="002201D6">
      <w:pPr>
        <w:spacing w:after="200" w:line="276" w:lineRule="auto"/>
        <w:rPr>
          <w:rFonts w:ascii="Calibri" w:eastAsia="Times New Roman" w:hAnsi="Calibri" w:cs="Times New Roman"/>
          <w:lang w:val="en-GB" w:eastAsia="en-GB"/>
        </w:rPr>
      </w:pPr>
    </w:p>
    <w:p w14:paraId="06EE793E" w14:textId="77777777" w:rsidR="002201D6" w:rsidRDefault="002201D6">
      <w:pPr>
        <w:spacing w:line="360" w:lineRule="auto"/>
        <w:jc w:val="both"/>
        <w:rPr>
          <w:rFonts w:ascii="Arial" w:hAnsi="Arial" w:cs="Arial"/>
          <w:sz w:val="20"/>
        </w:rPr>
      </w:pPr>
    </w:p>
    <w:p w14:paraId="06C53C53" w14:textId="77777777" w:rsidR="00F97998" w:rsidRDefault="00F97998">
      <w:pPr>
        <w:spacing w:line="360" w:lineRule="auto"/>
        <w:jc w:val="both"/>
        <w:rPr>
          <w:rFonts w:ascii="Arial" w:hAnsi="Arial" w:cs="Arial"/>
        </w:rPr>
      </w:pPr>
    </w:p>
    <w:p w14:paraId="57A7F852" w14:textId="77777777" w:rsidR="00F97998" w:rsidRDefault="00F97998">
      <w:pPr>
        <w:spacing w:line="360" w:lineRule="auto"/>
        <w:jc w:val="both"/>
        <w:rPr>
          <w:rFonts w:ascii="Arial" w:hAnsi="Arial" w:cs="Arial"/>
        </w:rPr>
      </w:pPr>
    </w:p>
    <w:p w14:paraId="61EE3628" w14:textId="77777777" w:rsidR="00F97998" w:rsidRDefault="00F97998">
      <w:pPr>
        <w:spacing w:line="360" w:lineRule="auto"/>
        <w:jc w:val="both"/>
        <w:rPr>
          <w:rFonts w:ascii="Arial" w:hAnsi="Arial" w:cs="Arial"/>
        </w:rPr>
      </w:pPr>
    </w:p>
    <w:p w14:paraId="0AA08A9B" w14:textId="77777777" w:rsidR="00F97998" w:rsidRDefault="00A151AA">
      <w:pPr>
        <w:spacing w:after="0" w:line="360" w:lineRule="auto"/>
        <w:jc w:val="both"/>
        <w:rPr>
          <w:rFonts w:ascii="Arial" w:hAnsi="Arial" w:cs="Arial"/>
          <w:b/>
        </w:rPr>
      </w:pPr>
      <w:r>
        <w:rPr>
          <w:rFonts w:ascii="Arial" w:hAnsi="Arial" w:cs="Arial"/>
          <w:b/>
        </w:rPr>
        <w:t>REFERENCES</w:t>
      </w:r>
    </w:p>
    <w:p w14:paraId="43F43849"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 Richard O. Mwaiswelo, Hamis Kabuga, Eliningaya J. Kweka and Vito Baraka. (2022). Is it time for Africa to adopt primaquine in the era of malaria control and </w:t>
      </w:r>
      <w:proofErr w:type="gramStart"/>
      <w:r w:rsidRPr="0078740F">
        <w:rPr>
          <w:rFonts w:ascii="Arial" w:hAnsi="Arial" w:cs="Arial"/>
        </w:rPr>
        <w:t>elimination?TropicalMedicine</w:t>
      </w:r>
      <w:proofErr w:type="gramEnd"/>
      <w:r w:rsidRPr="0078740F">
        <w:rPr>
          <w:rFonts w:ascii="Arial" w:hAnsi="Arial" w:cs="Arial"/>
        </w:rPr>
        <w:t xml:space="preserve"> and Health 50:17. https://doi.org/10.1186/s41182-022-00408-5</w:t>
      </w:r>
    </w:p>
    <w:p w14:paraId="0B20188C" w14:textId="77777777" w:rsidR="0078740F" w:rsidRPr="0078740F" w:rsidRDefault="0078740F" w:rsidP="0078740F">
      <w:pPr>
        <w:spacing w:after="0" w:line="360" w:lineRule="auto"/>
        <w:jc w:val="both"/>
        <w:rPr>
          <w:rFonts w:ascii="Arial" w:hAnsi="Arial" w:cs="Arial"/>
        </w:rPr>
      </w:pPr>
      <w:r w:rsidRPr="0078740F">
        <w:rPr>
          <w:rFonts w:ascii="Arial" w:hAnsi="Arial" w:cs="Arial"/>
        </w:rPr>
        <w:t>[2]. WHO. World malaria report 2021. World Health Organization. Geneva, Switzerland. 2021.</w:t>
      </w:r>
    </w:p>
    <w:p w14:paraId="695A6609" w14:textId="77777777" w:rsidR="0078740F" w:rsidRPr="0078740F" w:rsidRDefault="0078740F" w:rsidP="0078740F">
      <w:pPr>
        <w:spacing w:after="0" w:line="360" w:lineRule="auto"/>
        <w:jc w:val="both"/>
        <w:rPr>
          <w:rFonts w:ascii="Arial" w:hAnsi="Arial" w:cs="Arial"/>
        </w:rPr>
      </w:pPr>
      <w:r w:rsidRPr="0078740F">
        <w:rPr>
          <w:rFonts w:ascii="Arial" w:hAnsi="Arial" w:cs="Arial"/>
        </w:rPr>
        <w:lastRenderedPageBreak/>
        <w:t>[3]. Afolayan Funmilayo and Abdulkareem Mujidat. (2021). In Silico Prediction of Antiplasmodial and Anti-Inflammatory Potentials of Compounds Derived from Vernonia amygdalina. Bulletin of the Science Association of Nigeria, Vol. 32, 56 – 79.</w:t>
      </w:r>
    </w:p>
    <w:p w14:paraId="4C09436E" w14:textId="77777777" w:rsidR="0078740F" w:rsidRPr="0078740F" w:rsidRDefault="0078740F" w:rsidP="0078740F">
      <w:pPr>
        <w:spacing w:after="0" w:line="360" w:lineRule="auto"/>
        <w:jc w:val="both"/>
        <w:rPr>
          <w:rFonts w:ascii="Arial" w:hAnsi="Arial" w:cs="Arial"/>
        </w:rPr>
      </w:pPr>
      <w:r w:rsidRPr="0078740F">
        <w:rPr>
          <w:rFonts w:ascii="Arial" w:hAnsi="Arial" w:cs="Arial"/>
        </w:rPr>
        <w:t>[4]. Messaoudi F. (2014). In vivo anti-inflammatory, analgesic, and antipyretic activity of extracts from two local medicinal plants. Master's thesis in Applied Biochemistry, Department of Physicochemical Biology, Abderrahmane Mira-Bejaia University, Algeria, 60 p.</w:t>
      </w:r>
    </w:p>
    <w:p w14:paraId="1A6CBCD6" w14:textId="77777777" w:rsidR="0078740F" w:rsidRPr="0078740F" w:rsidRDefault="0078740F" w:rsidP="0078740F">
      <w:pPr>
        <w:spacing w:after="0" w:line="360" w:lineRule="auto"/>
        <w:jc w:val="both"/>
        <w:rPr>
          <w:rFonts w:ascii="Arial" w:hAnsi="Arial" w:cs="Arial"/>
        </w:rPr>
      </w:pPr>
      <w:r w:rsidRPr="0078740F">
        <w:rPr>
          <w:rFonts w:ascii="Arial" w:hAnsi="Arial" w:cs="Arial"/>
        </w:rPr>
        <w:t>[5]. WHO. (2023). World Malaria Report 2023. World Health Organization, Geneva (Switzerland), 190 p.</w:t>
      </w:r>
    </w:p>
    <w:p w14:paraId="58952A78"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[6]. Hien S., Angbo K.M.A., Dasse S.R., Yeboah O., N'guessan K., Kouacou A.P.V. &amp; Sombo M.F. (2014). Haptoglobin in children with severe Plasmodium falciparum malaria aged 0 to 15 </w:t>
      </w:r>
      <w:proofErr w:type="gramStart"/>
      <w:r w:rsidRPr="0078740F">
        <w:rPr>
          <w:rFonts w:ascii="Arial" w:hAnsi="Arial" w:cs="Arial"/>
        </w:rPr>
        <w:t>years:</w:t>
      </w:r>
      <w:proofErr w:type="gramEnd"/>
      <w:r w:rsidRPr="0078740F">
        <w:rPr>
          <w:rFonts w:ascii="Arial" w:hAnsi="Arial" w:cs="Arial"/>
        </w:rPr>
        <w:t xml:space="preserve"> relationships with age, parasitemia, and hemoglobin levels. Journal of Applied Biosciences, </w:t>
      </w:r>
      <w:proofErr w:type="gramStart"/>
      <w:r w:rsidRPr="0078740F">
        <w:rPr>
          <w:rFonts w:ascii="Arial" w:hAnsi="Arial" w:cs="Arial"/>
        </w:rPr>
        <w:t>76:</w:t>
      </w:r>
      <w:proofErr w:type="gramEnd"/>
      <w:r w:rsidRPr="0078740F">
        <w:rPr>
          <w:rFonts w:ascii="Arial" w:hAnsi="Arial" w:cs="Arial"/>
        </w:rPr>
        <w:t xml:space="preserve"> 6425-6432.</w:t>
      </w:r>
    </w:p>
    <w:p w14:paraId="6D8B176E" w14:textId="77777777" w:rsidR="0078740F" w:rsidRPr="0078740F" w:rsidRDefault="0078740F" w:rsidP="0078740F">
      <w:pPr>
        <w:spacing w:after="0" w:line="360" w:lineRule="auto"/>
        <w:jc w:val="both"/>
        <w:rPr>
          <w:rFonts w:ascii="Arial" w:hAnsi="Arial" w:cs="Arial"/>
        </w:rPr>
      </w:pPr>
      <w:r w:rsidRPr="0078740F">
        <w:rPr>
          <w:rFonts w:ascii="Arial" w:hAnsi="Arial" w:cs="Arial"/>
        </w:rPr>
        <w:t>[7] Tchacondo T., Karou D.S., Batawila K., Agban A., Ouro-Bangna K., Anani K.T., Gbeassor M. &amp; De Souza C. (2011). Herbal remedies and their adverse effects in tem tribe traditional medicine in Togo. African Journal of Traditional, Complementary and Alternative Medicines 8(1</w:t>
      </w:r>
      <w:proofErr w:type="gramStart"/>
      <w:r w:rsidRPr="0078740F">
        <w:rPr>
          <w:rFonts w:ascii="Arial" w:hAnsi="Arial" w:cs="Arial"/>
        </w:rPr>
        <w:t>):</w:t>
      </w:r>
      <w:proofErr w:type="gramEnd"/>
      <w:r w:rsidRPr="0078740F">
        <w:rPr>
          <w:rFonts w:ascii="Arial" w:hAnsi="Arial" w:cs="Arial"/>
        </w:rPr>
        <w:t>45-60.</w:t>
      </w:r>
    </w:p>
    <w:p w14:paraId="0C0ECF00"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[8]. Clara dos Reis Nunes, Mariana Barreto Arantes, Silvia Menezes de Faria Pereira, Larissa Leandro da Cruz, Michel de Souza Passos, Luana Pereira de Moraes, Ivo José Curcino Vieira and Daniela Barros de Oliveira. (2020) Plants as Sources of Anti-Inflammatory </w:t>
      </w:r>
      <w:proofErr w:type="gramStart"/>
      <w:r w:rsidRPr="0078740F">
        <w:rPr>
          <w:rFonts w:ascii="Arial" w:hAnsi="Arial" w:cs="Arial"/>
        </w:rPr>
        <w:t>Agents?</w:t>
      </w:r>
      <w:proofErr w:type="gramEnd"/>
      <w:r w:rsidRPr="0078740F">
        <w:rPr>
          <w:rFonts w:ascii="Arial" w:hAnsi="Arial" w:cs="Arial"/>
        </w:rPr>
        <w:t xml:space="preserve"> Molecules, 25, 3726</w:t>
      </w:r>
    </w:p>
    <w:p w14:paraId="2F27E62D"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[9]. Fialho, </w:t>
      </w:r>
      <w:proofErr w:type="gramStart"/>
      <w:r w:rsidRPr="0078740F">
        <w:rPr>
          <w:rFonts w:ascii="Arial" w:hAnsi="Arial" w:cs="Arial"/>
        </w:rPr>
        <w:t>L.;</w:t>
      </w:r>
      <w:proofErr w:type="gramEnd"/>
      <w:r w:rsidRPr="0078740F">
        <w:rPr>
          <w:rFonts w:ascii="Arial" w:hAnsi="Arial" w:cs="Arial"/>
        </w:rPr>
        <w:t xml:space="preserve"> Cunha-E-Silva, J.A.; Santa-Maria, A.F.; Madureira, F.A.; Iglesias, A. C. (2018). Comparative study of systemic early postoperative inflammatory response among elderly and non-elderly patients undergoing laparoscopic cholecystectomy. Rev. Col. Arm. Cir., 45, e1586.</w:t>
      </w:r>
    </w:p>
    <w:p w14:paraId="28B62883"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[10]. Newman, </w:t>
      </w:r>
      <w:proofErr w:type="gramStart"/>
      <w:r w:rsidRPr="0078740F">
        <w:rPr>
          <w:rFonts w:ascii="Arial" w:hAnsi="Arial" w:cs="Arial"/>
        </w:rPr>
        <w:t>D.J.;</w:t>
      </w:r>
      <w:proofErr w:type="gramEnd"/>
      <w:r w:rsidRPr="0078740F">
        <w:rPr>
          <w:rFonts w:ascii="Arial" w:hAnsi="Arial" w:cs="Arial"/>
        </w:rPr>
        <w:t xml:space="preserve"> Cragg, G. M. (2016). Natural Products </w:t>
      </w:r>
      <w:proofErr w:type="gramStart"/>
      <w:r w:rsidRPr="0078740F">
        <w:rPr>
          <w:rFonts w:ascii="Arial" w:hAnsi="Arial" w:cs="Arial"/>
        </w:rPr>
        <w:t>as</w:t>
      </w:r>
      <w:proofErr w:type="gramEnd"/>
      <w:r w:rsidRPr="0078740F">
        <w:rPr>
          <w:rFonts w:ascii="Arial" w:hAnsi="Arial" w:cs="Arial"/>
        </w:rPr>
        <w:t xml:space="preserve"> Sources of New Drugs from 1981 to 2014. J. Nat. Prod.,79, 629–661.</w:t>
      </w:r>
    </w:p>
    <w:p w14:paraId="6F3CED19"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[11]. Arya, </w:t>
      </w:r>
      <w:proofErr w:type="gramStart"/>
      <w:r w:rsidRPr="0078740F">
        <w:rPr>
          <w:rFonts w:ascii="Arial" w:hAnsi="Arial" w:cs="Arial"/>
        </w:rPr>
        <w:t>V.;</w:t>
      </w:r>
      <w:proofErr w:type="gramEnd"/>
      <w:r w:rsidRPr="0078740F">
        <w:rPr>
          <w:rFonts w:ascii="Arial" w:hAnsi="Arial" w:cs="Arial"/>
        </w:rPr>
        <w:t xml:space="preserve"> Arya, M. L. (2011). A review on anti-inflammatory plant barks. Int. J. Pharm. Tech. Res</w:t>
      </w:r>
      <w:proofErr w:type="gramStart"/>
      <w:r w:rsidRPr="0078740F">
        <w:rPr>
          <w:rFonts w:ascii="Arial" w:hAnsi="Arial" w:cs="Arial"/>
        </w:rPr>
        <w:t>. ,</w:t>
      </w:r>
      <w:proofErr w:type="gramEnd"/>
      <w:r w:rsidRPr="0078740F">
        <w:rPr>
          <w:rFonts w:ascii="Arial" w:hAnsi="Arial" w:cs="Arial"/>
        </w:rPr>
        <w:t xml:space="preserve"> 3, 899–908.</w:t>
      </w:r>
    </w:p>
    <w:p w14:paraId="0F60CB2D"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[12]. Shumaila Tasneem, Bin Liu, Bin Li, M Iqbal Choudhary, Wei Wang. (2019). Molecular pharmacology of </w:t>
      </w:r>
      <w:proofErr w:type="gramStart"/>
      <w:r w:rsidRPr="0078740F">
        <w:rPr>
          <w:rFonts w:ascii="Arial" w:hAnsi="Arial" w:cs="Arial"/>
        </w:rPr>
        <w:t>inflammation:</w:t>
      </w:r>
      <w:proofErr w:type="gramEnd"/>
      <w:r w:rsidRPr="0078740F">
        <w:rPr>
          <w:rFonts w:ascii="Arial" w:hAnsi="Arial" w:cs="Arial"/>
        </w:rPr>
        <w:t xml:space="preserve"> Medicinal plants as anti-inflammatory agents. </w:t>
      </w:r>
      <w:proofErr w:type="gramStart"/>
      <w:r w:rsidRPr="0078740F">
        <w:rPr>
          <w:rFonts w:ascii="Arial" w:hAnsi="Arial" w:cs="Arial"/>
        </w:rPr>
        <w:t>139:</w:t>
      </w:r>
      <w:proofErr w:type="gramEnd"/>
      <w:r w:rsidRPr="0078740F">
        <w:rPr>
          <w:rFonts w:ascii="Arial" w:hAnsi="Arial" w:cs="Arial"/>
        </w:rPr>
        <w:t xml:space="preserve">126-140. </w:t>
      </w:r>
      <w:proofErr w:type="gramStart"/>
      <w:r w:rsidRPr="0078740F">
        <w:rPr>
          <w:rFonts w:ascii="Arial" w:hAnsi="Arial" w:cs="Arial"/>
        </w:rPr>
        <w:t>doi:</w:t>
      </w:r>
      <w:proofErr w:type="gramEnd"/>
      <w:r w:rsidRPr="0078740F">
        <w:rPr>
          <w:rFonts w:ascii="Arial" w:hAnsi="Arial" w:cs="Arial"/>
        </w:rPr>
        <w:t xml:space="preserve"> 10.1016/j.phrs.2018.11.001.</w:t>
      </w:r>
    </w:p>
    <w:p w14:paraId="0F5F30D4"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[13]. Yilma Hunde Gonfa, Fekade Beshah Tessema, Archana Bachheti, Nishant Rai, Mesfin Getachew Tadesse, A. Nasser Singab, Kundan Kumar Chaubey, Rakesh Kumar Bachheti. (2023). Anti-inflammatory activity of phytochemicals from medicinal plants and their </w:t>
      </w:r>
      <w:proofErr w:type="gramStart"/>
      <w:r w:rsidRPr="0078740F">
        <w:rPr>
          <w:rFonts w:ascii="Arial" w:hAnsi="Arial" w:cs="Arial"/>
        </w:rPr>
        <w:t>nanoparticles:</w:t>
      </w:r>
      <w:proofErr w:type="gramEnd"/>
      <w:r w:rsidRPr="0078740F">
        <w:rPr>
          <w:rFonts w:ascii="Arial" w:hAnsi="Arial" w:cs="Arial"/>
        </w:rPr>
        <w:t xml:space="preserve"> A review. Current Research in Biotechnology 6 100152.</w:t>
      </w:r>
    </w:p>
    <w:p w14:paraId="51E0E053"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[14]. Mbendana, D., Mamabolo, K., Truter, M., Kritzinger, Q., Ndhlala, A.R., 2019. Practices at Herbal (Muthi) Markets in Gauteng, South Africa and Their Impact on the Health of the </w:t>
      </w:r>
      <w:proofErr w:type="gramStart"/>
      <w:r w:rsidRPr="0078740F">
        <w:rPr>
          <w:rFonts w:ascii="Arial" w:hAnsi="Arial" w:cs="Arial"/>
        </w:rPr>
        <w:lastRenderedPageBreak/>
        <w:t>Consumers:</w:t>
      </w:r>
      <w:proofErr w:type="gramEnd"/>
      <w:r w:rsidRPr="0078740F">
        <w:rPr>
          <w:rFonts w:ascii="Arial" w:hAnsi="Arial" w:cs="Arial"/>
        </w:rPr>
        <w:t xml:space="preserve"> A Case Study of KwaMai-Mai and Marabastad Muthi Markets. South African J. Bot. 126, 30–39. https://doi.org/10.1016/j.sajb.2019.05.004.</w:t>
      </w:r>
    </w:p>
    <w:p w14:paraId="3B0AA98B"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[15]. Hosseinzadeh, S., Jafarikukhdan, A., Hosseini, A., Armand, R., 2015. The Application of Medicinal Plants in Traditional and Modern </w:t>
      </w:r>
      <w:proofErr w:type="gramStart"/>
      <w:r w:rsidRPr="0078740F">
        <w:rPr>
          <w:rFonts w:ascii="Arial" w:hAnsi="Arial" w:cs="Arial"/>
        </w:rPr>
        <w:t>Medicine:</w:t>
      </w:r>
      <w:proofErr w:type="gramEnd"/>
      <w:r w:rsidRPr="0078740F">
        <w:rPr>
          <w:rFonts w:ascii="Arial" w:hAnsi="Arial" w:cs="Arial"/>
        </w:rPr>
        <w:t xml:space="preserve"> A Review of Thymus vulgaris. Int. J. Clin. Med. 6, 635–642. https://doi.org/10.4236/ijcm.2015.69084.</w:t>
      </w:r>
    </w:p>
    <w:p w14:paraId="231707B9"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[16]. Kipré G.R., Offoumou M.R., Silué K.D., Bouablé G.M. &amp; Zirihi G.N. (2017). Ethnopharmacological survey of antimalarial plants in the Agboville Department, Southeastern Côte d'Ivoire. Journal of Applied Biosciences, </w:t>
      </w:r>
      <w:proofErr w:type="gramStart"/>
      <w:r w:rsidRPr="0078740F">
        <w:rPr>
          <w:rFonts w:ascii="Arial" w:hAnsi="Arial" w:cs="Arial"/>
        </w:rPr>
        <w:t>109:</w:t>
      </w:r>
      <w:proofErr w:type="gramEnd"/>
      <w:r w:rsidRPr="0078740F">
        <w:rPr>
          <w:rFonts w:ascii="Arial" w:hAnsi="Arial" w:cs="Arial"/>
        </w:rPr>
        <w:t xml:space="preserve"> 10618-10629.</w:t>
      </w:r>
    </w:p>
    <w:p w14:paraId="45900FF6"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[17]. Bla K.B., Trebissou J.N.D., Bidie A.P., Assi Y.J. &amp; Zirihi G.N.J.D. (2015). Ethnopharmacological study of antimalarial plants used among the Baoulé-N'Gban of Toumodi in central Côte d'Ivoire. Journal of Applied Biosciences, </w:t>
      </w:r>
      <w:proofErr w:type="gramStart"/>
      <w:r w:rsidRPr="0078740F">
        <w:rPr>
          <w:rFonts w:ascii="Arial" w:hAnsi="Arial" w:cs="Arial"/>
        </w:rPr>
        <w:t>85:</w:t>
      </w:r>
      <w:proofErr w:type="gramEnd"/>
      <w:r w:rsidRPr="0078740F">
        <w:rPr>
          <w:rFonts w:ascii="Arial" w:hAnsi="Arial" w:cs="Arial"/>
        </w:rPr>
        <w:t xml:space="preserve"> 75-83.</w:t>
      </w:r>
    </w:p>
    <w:p w14:paraId="42C11C58"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[18]. Zirihi G.N., Kra A.K.M. &amp; Guédé-Guina F. (2003). Evaluation of the antifungal activity of Microglossa Pyrifolia (Larmarck, O Kuntze) (Asteraceae) "PYMI" on the in vitro growth of Candida albicans. African Journal of Medicine and Pharmacy, </w:t>
      </w:r>
      <w:proofErr w:type="gramStart"/>
      <w:r w:rsidRPr="0078740F">
        <w:rPr>
          <w:rFonts w:ascii="Arial" w:hAnsi="Arial" w:cs="Arial"/>
        </w:rPr>
        <w:t>17:</w:t>
      </w:r>
      <w:proofErr w:type="gramEnd"/>
      <w:r w:rsidRPr="0078740F">
        <w:rPr>
          <w:rFonts w:ascii="Arial" w:hAnsi="Arial" w:cs="Arial"/>
        </w:rPr>
        <w:t xml:space="preserve"> 11-8.</w:t>
      </w:r>
    </w:p>
    <w:p w14:paraId="05693CDB" w14:textId="77777777" w:rsidR="0078740F" w:rsidRPr="0078740F" w:rsidRDefault="0078740F" w:rsidP="0078740F">
      <w:pPr>
        <w:spacing w:after="0" w:line="360" w:lineRule="auto"/>
        <w:jc w:val="both"/>
        <w:rPr>
          <w:rFonts w:ascii="Arial" w:hAnsi="Arial" w:cs="Arial"/>
        </w:rPr>
      </w:pPr>
      <w:r w:rsidRPr="0078740F">
        <w:rPr>
          <w:rFonts w:ascii="Arial" w:hAnsi="Arial" w:cs="Arial"/>
        </w:rPr>
        <w:t>[19]. Frederick Sarfo-Antwi, Christopher Larbie, Benjamin Obukowho Emikpe and Regina Appiah–Opong. (2021). Ethnobotany, Phytochemistry and Pharmacology of Pericopsis laxiflora (Baker) Meeuwen (Leguminosae) – A Review. International Journal of Biochemistry Research &amp; Review 30(2</w:t>
      </w:r>
      <w:proofErr w:type="gramStart"/>
      <w:r w:rsidRPr="0078740F">
        <w:rPr>
          <w:rFonts w:ascii="Arial" w:hAnsi="Arial" w:cs="Arial"/>
        </w:rPr>
        <w:t>):</w:t>
      </w:r>
      <w:proofErr w:type="gramEnd"/>
      <w:r w:rsidRPr="0078740F">
        <w:rPr>
          <w:rFonts w:ascii="Arial" w:hAnsi="Arial" w:cs="Arial"/>
        </w:rPr>
        <w:t xml:space="preserve"> 1-7.</w:t>
      </w:r>
    </w:p>
    <w:p w14:paraId="31504BB7"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[20]. Fadipe LA, Babayi H, Anselm OA. Isolation and in-vitro assessment of two indole alkaloids from Pericopsis laxiflora leaf extract for their antibacterial potentials. Journal of Chemical Society of Nigeria. </w:t>
      </w:r>
      <w:proofErr w:type="gramStart"/>
      <w:r w:rsidRPr="0078740F">
        <w:rPr>
          <w:rFonts w:ascii="Arial" w:hAnsi="Arial" w:cs="Arial"/>
        </w:rPr>
        <w:t>2019;</w:t>
      </w:r>
      <w:proofErr w:type="gramEnd"/>
      <w:r w:rsidRPr="0078740F">
        <w:rPr>
          <w:rFonts w:ascii="Arial" w:hAnsi="Arial" w:cs="Arial"/>
        </w:rPr>
        <w:t>44(7).</w:t>
      </w:r>
    </w:p>
    <w:p w14:paraId="7075811F" w14:textId="77777777" w:rsidR="0078740F" w:rsidRPr="0078740F" w:rsidRDefault="0078740F" w:rsidP="0078740F">
      <w:pPr>
        <w:spacing w:after="0" w:line="360" w:lineRule="auto"/>
        <w:jc w:val="both"/>
        <w:rPr>
          <w:rFonts w:ascii="Arial" w:hAnsi="Arial" w:cs="Arial"/>
        </w:rPr>
      </w:pPr>
      <w:r w:rsidRPr="0078740F">
        <w:rPr>
          <w:rFonts w:ascii="Arial" w:hAnsi="Arial" w:cs="Arial"/>
        </w:rPr>
        <w:t>[21]. Abou O, Julien GK, Abdoulaye T, Augustin AA, Karamoko O, Adama C. (2016</w:t>
      </w:r>
      <w:proofErr w:type="gramStart"/>
      <w:r w:rsidRPr="0078740F">
        <w:rPr>
          <w:rFonts w:ascii="Arial" w:hAnsi="Arial" w:cs="Arial"/>
        </w:rPr>
        <w:t>).Research</w:t>
      </w:r>
      <w:proofErr w:type="gramEnd"/>
      <w:r w:rsidRPr="0078740F">
        <w:rPr>
          <w:rFonts w:ascii="Arial" w:hAnsi="Arial" w:cs="Arial"/>
        </w:rPr>
        <w:t xml:space="preserve"> Journal of Pharmaceutical, Biological and Chemical Sciences.</w:t>
      </w:r>
    </w:p>
    <w:p w14:paraId="3235928B"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[22]. Asase A, Oteng-Yeboah AA, Odamtten GT, </w:t>
      </w:r>
      <w:proofErr w:type="gramStart"/>
      <w:r w:rsidRPr="0078740F">
        <w:rPr>
          <w:rFonts w:ascii="Arial" w:hAnsi="Arial" w:cs="Arial"/>
        </w:rPr>
        <w:t>SimmondsMS.(</w:t>
      </w:r>
      <w:proofErr w:type="gramEnd"/>
      <w:r w:rsidRPr="0078740F">
        <w:rPr>
          <w:rFonts w:ascii="Arial" w:hAnsi="Arial" w:cs="Arial"/>
        </w:rPr>
        <w:t>2005). Ethnobotanical study of some Ghanaian anti-malarial plants. Journal of Ethnopharmacology. ;99(2</w:t>
      </w:r>
      <w:proofErr w:type="gramStart"/>
      <w:r w:rsidRPr="0078740F">
        <w:rPr>
          <w:rFonts w:ascii="Arial" w:hAnsi="Arial" w:cs="Arial"/>
        </w:rPr>
        <w:t>):</w:t>
      </w:r>
      <w:proofErr w:type="gramEnd"/>
      <w:r w:rsidRPr="0078740F">
        <w:rPr>
          <w:rFonts w:ascii="Arial" w:hAnsi="Arial" w:cs="Arial"/>
        </w:rPr>
        <w:t>273-279.</w:t>
      </w:r>
    </w:p>
    <w:p w14:paraId="4C43BBB5" w14:textId="77777777" w:rsidR="0078740F" w:rsidRPr="0078740F" w:rsidRDefault="0078740F" w:rsidP="0078740F">
      <w:pPr>
        <w:spacing w:after="0" w:line="360" w:lineRule="auto"/>
        <w:jc w:val="both"/>
        <w:rPr>
          <w:rFonts w:ascii="Arial" w:hAnsi="Arial" w:cs="Arial"/>
        </w:rPr>
      </w:pPr>
      <w:r w:rsidRPr="0078740F">
        <w:rPr>
          <w:rFonts w:ascii="Arial" w:hAnsi="Arial" w:cs="Arial"/>
        </w:rPr>
        <w:t>[23]. Koffi A.J. (2016). Phytochemical study, in vitro evaluation of trace elements, antiplasmodial, antioxidant and non-hemolytic activities of Cochlospermum planchonii (Cochlospermaceae), Harungana madagascariensis (Hipperiacaceae) and Pericopsis laxiflora (Fabaceae), three plants from the Toumodi region (Côte d’Ivoire). Doctoral thesis in Pharmacology of Natural Substances, UFR Biosciences, Félix Houphouët-Boigny University (Abidjan, Côte d’Ivoire), 149 p.</w:t>
      </w:r>
    </w:p>
    <w:p w14:paraId="5D84E718" w14:textId="77777777" w:rsidR="0078740F" w:rsidRPr="0078740F" w:rsidRDefault="0078740F" w:rsidP="0078740F">
      <w:pPr>
        <w:spacing w:after="0" w:line="360" w:lineRule="auto"/>
        <w:jc w:val="both"/>
        <w:rPr>
          <w:rFonts w:ascii="Arial" w:hAnsi="Arial" w:cs="Arial"/>
        </w:rPr>
      </w:pPr>
      <w:r w:rsidRPr="0078740F">
        <w:rPr>
          <w:rFonts w:ascii="Arial" w:hAnsi="Arial" w:cs="Arial"/>
        </w:rPr>
        <w:t>[24]. Jeanne Akissi Koffi, Kigbafori Dieudonné Silué, Dominique Konan Tano, Trésor Marius Dable, William Yavo. (2020). Evaluation of antiplasmodial activity of extracts from endemic medicinal plants used to treat malaria in Côte d'Ivoire. BioImpacts, 2020, 10(3), 151-157.</w:t>
      </w:r>
    </w:p>
    <w:p w14:paraId="4EA2637A"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[25]. Bidié A.P., Koffi E., N’guessan J.D., Djaman A.J. &amp; Guédé-Guina F. (2008). Influence of Mitragyna ciliata (MYTA) on the microsomal activity of ATPase Na+/K+ dependent extract on </w:t>
      </w:r>
      <w:r w:rsidRPr="0078740F">
        <w:rPr>
          <w:rFonts w:ascii="Arial" w:hAnsi="Arial" w:cs="Arial"/>
        </w:rPr>
        <w:lastRenderedPageBreak/>
        <w:t>a rabbit (heart). African Journal of Traditional, Complementary and Alternative Medicines, 5(3</w:t>
      </w:r>
      <w:proofErr w:type="gramStart"/>
      <w:r w:rsidRPr="0078740F">
        <w:rPr>
          <w:rFonts w:ascii="Arial" w:hAnsi="Arial" w:cs="Arial"/>
        </w:rPr>
        <w:t>):</w:t>
      </w:r>
      <w:proofErr w:type="gramEnd"/>
      <w:r w:rsidRPr="0078740F">
        <w:rPr>
          <w:rFonts w:ascii="Arial" w:hAnsi="Arial" w:cs="Arial"/>
        </w:rPr>
        <w:t xml:space="preserve"> 294-301.</w:t>
      </w:r>
    </w:p>
    <w:p w14:paraId="46CF1E67"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[26]. Bolou G.E.K., Attioua B., N’guessan A.C., Coulibaly A., N’guessan J.D. &amp; Djaman A.J. (2011). In vitro evaluation of the antibacterial activity of Terminalia glaucescens planch. </w:t>
      </w:r>
      <w:proofErr w:type="gramStart"/>
      <w:r w:rsidRPr="0078740F">
        <w:rPr>
          <w:rFonts w:ascii="Arial" w:hAnsi="Arial" w:cs="Arial"/>
        </w:rPr>
        <w:t>extracts</w:t>
      </w:r>
      <w:proofErr w:type="gramEnd"/>
      <w:r w:rsidRPr="0078740F">
        <w:rPr>
          <w:rFonts w:ascii="Arial" w:hAnsi="Arial" w:cs="Arial"/>
        </w:rPr>
        <w:t xml:space="preserve"> on Salmonella typhi and Salmonella typhimurium. Bulletin of the Royal Society of Sciences, </w:t>
      </w:r>
      <w:proofErr w:type="gramStart"/>
      <w:r w:rsidRPr="0078740F">
        <w:rPr>
          <w:rFonts w:ascii="Arial" w:hAnsi="Arial" w:cs="Arial"/>
        </w:rPr>
        <w:t>80:</w:t>
      </w:r>
      <w:proofErr w:type="gramEnd"/>
      <w:r w:rsidRPr="0078740F">
        <w:rPr>
          <w:rFonts w:ascii="Arial" w:hAnsi="Arial" w:cs="Arial"/>
        </w:rPr>
        <w:t>772-790.</w:t>
      </w:r>
    </w:p>
    <w:p w14:paraId="12CE4284"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[27]. Harborne J.B. (1998). Phytochemical </w:t>
      </w:r>
      <w:proofErr w:type="gramStart"/>
      <w:r w:rsidRPr="0078740F">
        <w:rPr>
          <w:rFonts w:ascii="Arial" w:hAnsi="Arial" w:cs="Arial"/>
        </w:rPr>
        <w:t>Methods:</w:t>
      </w:r>
      <w:proofErr w:type="gramEnd"/>
      <w:r w:rsidRPr="0078740F">
        <w:rPr>
          <w:rFonts w:ascii="Arial" w:hAnsi="Arial" w:cs="Arial"/>
        </w:rPr>
        <w:t xml:space="preserve"> A guide to modern techniques of plant analysis. Third edition Chapman &amp; Hall., Manchester (England</w:t>
      </w:r>
      <w:proofErr w:type="gramStart"/>
      <w:r w:rsidRPr="0078740F">
        <w:rPr>
          <w:rFonts w:ascii="Arial" w:hAnsi="Arial" w:cs="Arial"/>
        </w:rPr>
        <w:t>):</w:t>
      </w:r>
      <w:proofErr w:type="gramEnd"/>
      <w:r w:rsidRPr="0078740F">
        <w:rPr>
          <w:rFonts w:ascii="Arial" w:hAnsi="Arial" w:cs="Arial"/>
        </w:rPr>
        <w:t xml:space="preserve"> 202-209.</w:t>
      </w:r>
    </w:p>
    <w:p w14:paraId="0DDA876A" w14:textId="77777777" w:rsidR="0078740F" w:rsidRPr="0078740F" w:rsidRDefault="0078740F" w:rsidP="0078740F">
      <w:pPr>
        <w:spacing w:after="0" w:line="360" w:lineRule="auto"/>
        <w:jc w:val="both"/>
        <w:rPr>
          <w:rFonts w:ascii="Arial" w:hAnsi="Arial" w:cs="Arial"/>
        </w:rPr>
      </w:pPr>
      <w:r w:rsidRPr="0078740F">
        <w:rPr>
          <w:rFonts w:ascii="Arial" w:hAnsi="Arial" w:cs="Arial"/>
        </w:rPr>
        <w:t>[28]. Attemene D.S.D. (2018). Study of the Antiplasmodial Activity and Biotolerance of Hydroethanolic Extracts of Anthocleista djalonensis bark and Ziziphus mauritana Lam leafy branches. Doctoral Thesis in Nutrition &amp; Pharmacology and Toxicology, UFR Biosciences Félix Houphouët-Boigny University (Abidjan, Ivory Coast), 185 p.</w:t>
      </w:r>
    </w:p>
    <w:p w14:paraId="1389AF99" w14:textId="77777777" w:rsidR="0078740F" w:rsidRPr="0078740F" w:rsidRDefault="0078740F" w:rsidP="0078740F">
      <w:pPr>
        <w:spacing w:after="0" w:line="360" w:lineRule="auto"/>
        <w:jc w:val="both"/>
        <w:rPr>
          <w:rFonts w:ascii="Arial" w:hAnsi="Arial" w:cs="Arial"/>
        </w:rPr>
      </w:pPr>
      <w:r w:rsidRPr="0078740F">
        <w:rPr>
          <w:rFonts w:ascii="Arial" w:hAnsi="Arial" w:cs="Arial"/>
        </w:rPr>
        <w:t>[29]. Ouédraogo N., Lompo M., Sawadogo R. W., Tibiri A., Hay A. E., Koudou J., Diloux M. J. &amp; Guissou I. P. (2012). Study of the anti-inflammatory, analgesic and antipyretic activities of aqueous decoctions of the leaves and roots of Pterocarpus erinaceus (Fabaceae). Phytotherapy, 10 (5</w:t>
      </w:r>
      <w:proofErr w:type="gramStart"/>
      <w:r w:rsidRPr="0078740F">
        <w:rPr>
          <w:rFonts w:ascii="Arial" w:hAnsi="Arial" w:cs="Arial"/>
        </w:rPr>
        <w:t>):</w:t>
      </w:r>
      <w:proofErr w:type="gramEnd"/>
      <w:r w:rsidRPr="0078740F">
        <w:rPr>
          <w:rFonts w:ascii="Arial" w:hAnsi="Arial" w:cs="Arial"/>
        </w:rPr>
        <w:t xml:space="preserve"> 286-292.</w:t>
      </w:r>
    </w:p>
    <w:p w14:paraId="24223C01"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[30]. Winter C.A., Risley E.A., Nuss G.W. (1962). Carrageenin-induced edema in hind paw of the rats as an assay of anti-inflammatory drug. Proc Soc Exp Biol Med </w:t>
      </w:r>
      <w:proofErr w:type="gramStart"/>
      <w:r w:rsidRPr="0078740F">
        <w:rPr>
          <w:rFonts w:ascii="Arial" w:hAnsi="Arial" w:cs="Arial"/>
        </w:rPr>
        <w:t>111:</w:t>
      </w:r>
      <w:proofErr w:type="gramEnd"/>
      <w:r w:rsidRPr="0078740F">
        <w:rPr>
          <w:rFonts w:ascii="Arial" w:hAnsi="Arial" w:cs="Arial"/>
        </w:rPr>
        <w:t>544-700.</w:t>
      </w:r>
    </w:p>
    <w:p w14:paraId="5064A769" w14:textId="77777777" w:rsidR="0078740F" w:rsidRPr="0078740F" w:rsidRDefault="0078740F" w:rsidP="0078740F">
      <w:pPr>
        <w:spacing w:after="0" w:line="360" w:lineRule="auto"/>
        <w:jc w:val="both"/>
        <w:rPr>
          <w:rFonts w:ascii="Arial" w:hAnsi="Arial" w:cs="Arial"/>
        </w:rPr>
      </w:pPr>
      <w:r w:rsidRPr="0078740F">
        <w:rPr>
          <w:rFonts w:ascii="Arial" w:hAnsi="Arial" w:cs="Arial"/>
        </w:rPr>
        <w:t>[31]. Anupama A.S., Kishor N.R. &amp; Kanchan S.M. (2012). Evaluation of antiinflammatory and analgesic activities of Tamarindus india seeds. International Journal of Pharmaceutical Sciences and Drug Research, 4 (3</w:t>
      </w:r>
      <w:proofErr w:type="gramStart"/>
      <w:r w:rsidRPr="0078740F">
        <w:rPr>
          <w:rFonts w:ascii="Arial" w:hAnsi="Arial" w:cs="Arial"/>
        </w:rPr>
        <w:t>):</w:t>
      </w:r>
      <w:proofErr w:type="gramEnd"/>
      <w:r w:rsidRPr="0078740F">
        <w:rPr>
          <w:rFonts w:ascii="Arial" w:hAnsi="Arial" w:cs="Arial"/>
        </w:rPr>
        <w:t xml:space="preserve"> 213-217.</w:t>
      </w:r>
    </w:p>
    <w:p w14:paraId="40775810"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[32]. Leila S. Ross and David A. Fidock (2019). Elucidating Mechanisms of Drug-Resistant Plasmodium Falciparum. Cell Host Microbe. 2019 July </w:t>
      </w:r>
      <w:proofErr w:type="gramStart"/>
      <w:r w:rsidRPr="0078740F">
        <w:rPr>
          <w:rFonts w:ascii="Arial" w:hAnsi="Arial" w:cs="Arial"/>
        </w:rPr>
        <w:t>10;</w:t>
      </w:r>
      <w:proofErr w:type="gramEnd"/>
      <w:r w:rsidRPr="0078740F">
        <w:rPr>
          <w:rFonts w:ascii="Arial" w:hAnsi="Arial" w:cs="Arial"/>
        </w:rPr>
        <w:t xml:space="preserve"> 26(1): 35–47. </w:t>
      </w:r>
      <w:proofErr w:type="gramStart"/>
      <w:r w:rsidRPr="0078740F">
        <w:rPr>
          <w:rFonts w:ascii="Arial" w:hAnsi="Arial" w:cs="Arial"/>
        </w:rPr>
        <w:t>doi:10.1016/j.chom</w:t>
      </w:r>
      <w:proofErr w:type="gramEnd"/>
      <w:r w:rsidRPr="0078740F">
        <w:rPr>
          <w:rFonts w:ascii="Arial" w:hAnsi="Arial" w:cs="Arial"/>
        </w:rPr>
        <w:t>.2019.06.001.</w:t>
      </w:r>
    </w:p>
    <w:p w14:paraId="3D7A2D63" w14:textId="77777777" w:rsidR="0078740F" w:rsidRPr="0078740F" w:rsidRDefault="0078740F" w:rsidP="0078740F">
      <w:pPr>
        <w:spacing w:after="0" w:line="360" w:lineRule="auto"/>
        <w:jc w:val="both"/>
        <w:rPr>
          <w:rFonts w:ascii="Arial" w:hAnsi="Arial" w:cs="Arial"/>
        </w:rPr>
      </w:pPr>
      <w:r w:rsidRPr="0078740F">
        <w:rPr>
          <w:rFonts w:ascii="Arial" w:hAnsi="Arial" w:cs="Arial"/>
        </w:rPr>
        <w:t>[33]. Phillips MA, Burrows JN, Manyando C, van Huijsduijnen RH, Van Voorhis WC, and Wells TNC (2017). Malaria. Nat Rev Dis Primers 3, 17050.</w:t>
      </w:r>
    </w:p>
    <w:p w14:paraId="132C050F" w14:textId="77777777" w:rsidR="0078740F" w:rsidRPr="0078740F" w:rsidRDefault="0078740F" w:rsidP="0078740F">
      <w:pPr>
        <w:spacing w:after="0" w:line="360" w:lineRule="auto"/>
        <w:jc w:val="both"/>
        <w:rPr>
          <w:rFonts w:ascii="Arial" w:hAnsi="Arial" w:cs="Arial"/>
        </w:rPr>
      </w:pPr>
      <w:r w:rsidRPr="0078740F">
        <w:rPr>
          <w:rFonts w:ascii="Arial" w:hAnsi="Arial" w:cs="Arial"/>
        </w:rPr>
        <w:t>[34]. Ouattara A., Kone M., Golly K.J., Ouattara K., &amp; Coulibaly A. (2020). Acute and subacute toxicity study of an aqueous extract of Pericopsis (Afromosia) laxiflora (Benth.) on white albino rats. Journal of Pharmacognosy and Phytochemistry, 9(6</w:t>
      </w:r>
      <w:proofErr w:type="gramStart"/>
      <w:r w:rsidRPr="0078740F">
        <w:rPr>
          <w:rFonts w:ascii="Arial" w:hAnsi="Arial" w:cs="Arial"/>
        </w:rPr>
        <w:t>):</w:t>
      </w:r>
      <w:proofErr w:type="gramEnd"/>
      <w:r w:rsidRPr="0078740F">
        <w:rPr>
          <w:rFonts w:ascii="Arial" w:hAnsi="Arial" w:cs="Arial"/>
        </w:rPr>
        <w:t xml:space="preserve"> 22-25</w:t>
      </w:r>
    </w:p>
    <w:p w14:paraId="1ACADEFA" w14:textId="77777777" w:rsidR="0078740F" w:rsidRPr="0078740F" w:rsidRDefault="0078740F" w:rsidP="0078740F">
      <w:pPr>
        <w:spacing w:after="0" w:line="360" w:lineRule="auto"/>
        <w:jc w:val="both"/>
        <w:rPr>
          <w:rFonts w:ascii="Arial" w:hAnsi="Arial" w:cs="Arial"/>
        </w:rPr>
      </w:pPr>
      <w:r w:rsidRPr="0078740F">
        <w:rPr>
          <w:rFonts w:ascii="Arial" w:hAnsi="Arial" w:cs="Arial"/>
        </w:rPr>
        <w:t xml:space="preserve">[35]. Khaldi D. (2023). Phytochemical Study Antioxidant Power Anti-Gastric Ulcer Activity in Wistar Rats From Osuris alba. </w:t>
      </w:r>
      <w:proofErr w:type="gramStart"/>
      <w:r w:rsidRPr="0078740F">
        <w:rPr>
          <w:rFonts w:ascii="Arial" w:hAnsi="Arial" w:cs="Arial"/>
        </w:rPr>
        <w:t>L .</w:t>
      </w:r>
      <w:proofErr w:type="gramEnd"/>
      <w:r w:rsidRPr="0078740F">
        <w:rPr>
          <w:rFonts w:ascii="Arial" w:hAnsi="Arial" w:cs="Arial"/>
        </w:rPr>
        <w:t xml:space="preserve"> Skeel (Santalaceae) from the Tlemcen region. Doctorate thesis in pharmacy, Abou Bekr Belkaid University (Algeria), 152 p.</w:t>
      </w:r>
    </w:p>
    <w:p w14:paraId="73D8DE14" w14:textId="77777777" w:rsidR="0078740F" w:rsidRPr="0078740F" w:rsidRDefault="0078740F" w:rsidP="0078740F">
      <w:pPr>
        <w:spacing w:after="0" w:line="360" w:lineRule="auto"/>
        <w:jc w:val="both"/>
        <w:rPr>
          <w:rFonts w:ascii="Arial" w:hAnsi="Arial" w:cs="Arial"/>
        </w:rPr>
      </w:pPr>
      <w:r w:rsidRPr="0078740F">
        <w:rPr>
          <w:rFonts w:ascii="Arial" w:hAnsi="Arial" w:cs="Arial"/>
        </w:rPr>
        <w:t>[36]. Bellebcir L. (2024). Phytochemical, Pharmaco-Toxicological study of flavonoid extracts of Astragalus okra Coss &amp; Dur Ex Bunge. Doctoral thesis in Biological Sciences, UFR of Natural and Life Sciences, Ferhat Abbas-Setif University (Algiers, Algeria), 171p.</w:t>
      </w:r>
    </w:p>
    <w:p w14:paraId="61CCAD7C" w14:textId="77777777" w:rsidR="0078740F" w:rsidRPr="0078740F" w:rsidRDefault="0078740F" w:rsidP="0078740F">
      <w:pPr>
        <w:spacing w:after="0" w:line="360" w:lineRule="auto"/>
        <w:jc w:val="both"/>
        <w:rPr>
          <w:rFonts w:ascii="Arial" w:hAnsi="Arial" w:cs="Arial"/>
        </w:rPr>
      </w:pPr>
      <w:r w:rsidRPr="0078740F">
        <w:rPr>
          <w:rFonts w:ascii="Arial" w:hAnsi="Arial" w:cs="Arial"/>
        </w:rPr>
        <w:lastRenderedPageBreak/>
        <w:t>[37]. Talwar S., Nandakumar K., Nayak P.G., Bansal P., Mudgal J., Mor V., Rao C.M. &amp; Lobo R. (2011). Anti-inflammatory activity of Terminalia paniculata bark extract against acute and chronic inflammation in rats. Journal of Ethnopharmacology, 134 (2</w:t>
      </w:r>
      <w:proofErr w:type="gramStart"/>
      <w:r w:rsidRPr="0078740F">
        <w:rPr>
          <w:rFonts w:ascii="Arial" w:hAnsi="Arial" w:cs="Arial"/>
        </w:rPr>
        <w:t>):</w:t>
      </w:r>
      <w:proofErr w:type="gramEnd"/>
      <w:r w:rsidRPr="0078740F">
        <w:rPr>
          <w:rFonts w:ascii="Arial" w:hAnsi="Arial" w:cs="Arial"/>
        </w:rPr>
        <w:t xml:space="preserve"> 412-416.</w:t>
      </w:r>
    </w:p>
    <w:p w14:paraId="04285095" w14:textId="77777777" w:rsidR="0078740F" w:rsidRPr="0078740F" w:rsidRDefault="0078740F" w:rsidP="0078740F">
      <w:pPr>
        <w:spacing w:after="0" w:line="360" w:lineRule="auto"/>
        <w:jc w:val="both"/>
        <w:rPr>
          <w:rFonts w:ascii="Arial" w:hAnsi="Arial" w:cs="Arial"/>
        </w:rPr>
      </w:pPr>
      <w:r w:rsidRPr="0078740F">
        <w:rPr>
          <w:rFonts w:ascii="Arial" w:hAnsi="Arial" w:cs="Arial"/>
        </w:rPr>
        <w:t>[38]. Ananthi S., Raghavendran H.R.B., Sunil A.G., Gayathri V., Ramakrishman G. &amp; Vasanthi H.R. (2010). In vitro antioxidant and in vivo anti-inflammatory potential of crude polyssaccharide from Turbinaria ornate (Marine Brown Alga). Food and Chemical Toxicology, 48 (1</w:t>
      </w:r>
      <w:proofErr w:type="gramStart"/>
      <w:r w:rsidRPr="0078740F">
        <w:rPr>
          <w:rFonts w:ascii="Arial" w:hAnsi="Arial" w:cs="Arial"/>
        </w:rPr>
        <w:t>):</w:t>
      </w:r>
      <w:proofErr w:type="gramEnd"/>
      <w:r w:rsidRPr="0078740F">
        <w:rPr>
          <w:rFonts w:ascii="Arial" w:hAnsi="Arial" w:cs="Arial"/>
        </w:rPr>
        <w:t xml:space="preserve"> 187-192.</w:t>
      </w:r>
    </w:p>
    <w:p w14:paraId="19A81223" w14:textId="77777777" w:rsidR="0078740F" w:rsidRPr="0078740F" w:rsidRDefault="0078740F" w:rsidP="0078740F">
      <w:pPr>
        <w:spacing w:after="0" w:line="360" w:lineRule="auto"/>
        <w:jc w:val="both"/>
        <w:rPr>
          <w:rFonts w:ascii="Arial" w:hAnsi="Arial" w:cs="Arial"/>
        </w:rPr>
      </w:pPr>
      <w:r w:rsidRPr="0078740F">
        <w:rPr>
          <w:rFonts w:ascii="Arial" w:hAnsi="Arial" w:cs="Arial"/>
        </w:rPr>
        <w:t>[39]. Dembele Daouda Lassine1, Denou Adama, Haidara Mahamane, Sanogo Rokia. (2022). Formulation of an analgesic and anti-inflammatory ointment based on a hydroalcoholic extract of the root bark of Securidaca longepedunculata Fresen (Polygalaceae). Journal of the cameroon academy of sciences, 17 (3)</w:t>
      </w:r>
    </w:p>
    <w:p w14:paraId="5FCC906B" w14:textId="77777777" w:rsidR="0078740F" w:rsidRPr="0078740F" w:rsidRDefault="0078740F" w:rsidP="0078740F">
      <w:pPr>
        <w:spacing w:after="0" w:line="360" w:lineRule="auto"/>
        <w:jc w:val="both"/>
        <w:rPr>
          <w:rFonts w:ascii="Arial" w:hAnsi="Arial" w:cs="Arial"/>
        </w:rPr>
      </w:pPr>
      <w:r w:rsidRPr="0078740F">
        <w:rPr>
          <w:rFonts w:ascii="Arial" w:hAnsi="Arial" w:cs="Arial"/>
        </w:rPr>
        <w:t>[40]. Alafe, A. O., Elufioye, T. O., Faborode, O. S., &amp; Moody, J. O. (2014). Anti-Inflammatory and Analgesic Activities of Securidaca longepedunculata Fers (Polygalaceae) Leaf and Stem Bark Methanolic Extract. African Journal of Biomedical Research, 17(3), 18-191</w:t>
      </w:r>
    </w:p>
    <w:p w14:paraId="69977683" w14:textId="1373A8AB" w:rsidR="0078740F" w:rsidRPr="0078740F" w:rsidRDefault="0078740F" w:rsidP="0078740F">
      <w:pPr>
        <w:spacing w:after="0" w:line="360" w:lineRule="auto"/>
        <w:jc w:val="both"/>
        <w:rPr>
          <w:rFonts w:ascii="Arial" w:hAnsi="Arial" w:cs="Arial"/>
        </w:rPr>
      </w:pPr>
      <w:r w:rsidRPr="0078740F">
        <w:rPr>
          <w:rFonts w:ascii="Arial" w:hAnsi="Arial" w:cs="Arial"/>
        </w:rPr>
        <w:t>[41]. Atmani D., Ruiz-larrea M.B., Ruiz-sanz J.L.,</w:t>
      </w:r>
      <w:r w:rsidRPr="0078740F">
        <w:t xml:space="preserve"> </w:t>
      </w:r>
      <w:r w:rsidRPr="0078740F">
        <w:rPr>
          <w:rFonts w:ascii="Arial" w:hAnsi="Arial" w:cs="Arial"/>
        </w:rPr>
        <w:t>Lizcano L.J. &amp; Bakkali F. (2011). Antioxidant potential, cytotoxic activity and phenolic content of Clematis flammula leaf extraxts. Journal of Medecinal Plants Research, 5 (4) : 589-598.</w:t>
      </w:r>
    </w:p>
    <w:p w14:paraId="72AA7E24" w14:textId="77777777" w:rsidR="0078740F" w:rsidRPr="0078740F" w:rsidRDefault="0078740F" w:rsidP="0078740F">
      <w:pPr>
        <w:spacing w:after="0" w:line="360" w:lineRule="auto"/>
        <w:jc w:val="both"/>
        <w:rPr>
          <w:rFonts w:ascii="Arial" w:hAnsi="Arial" w:cs="Arial"/>
        </w:rPr>
      </w:pPr>
      <w:r w:rsidRPr="0078740F">
        <w:rPr>
          <w:rFonts w:ascii="Arial" w:hAnsi="Arial" w:cs="Arial"/>
        </w:rPr>
        <w:t>[42]. Atmani-Kilani D., Chaher N., Berboucha M., Ayouni K., Lounis H., Boudaoud H. &amp; Debbache N. (2009). Antioxidant capacity and phenol content of selected algerian medicinal plants. Food Chemistry, 112(2) : 303-309.</w:t>
      </w:r>
    </w:p>
    <w:p w14:paraId="438DDE64" w14:textId="11B62344" w:rsidR="00F97998" w:rsidRDefault="0078740F" w:rsidP="0078740F">
      <w:pPr>
        <w:spacing w:after="0" w:line="360" w:lineRule="auto"/>
        <w:jc w:val="both"/>
        <w:rPr>
          <w:rFonts w:ascii="Arial" w:hAnsi="Arial" w:cs="Arial"/>
          <w:b/>
        </w:rPr>
      </w:pPr>
      <w:r w:rsidRPr="0078740F">
        <w:rPr>
          <w:rFonts w:ascii="Arial" w:hAnsi="Arial" w:cs="Arial"/>
        </w:rPr>
        <w:t>[43]. Amelia P., Alice M., Lui R., Joana F., Luisa M., Maria A., Carlos B. &amp; Jorge J. (2009). Bioactivity studies and chemical profile of the antidiabetic plant Genista tenera. Journal of Ethnopharmacology, 122 : 384-393.</w:t>
      </w:r>
    </w:p>
    <w:p w14:paraId="34997161" w14:textId="77777777" w:rsidR="00F97998" w:rsidRDefault="00F97998">
      <w:pPr>
        <w:spacing w:line="360" w:lineRule="auto"/>
        <w:jc w:val="both"/>
        <w:rPr>
          <w:rFonts w:ascii="Arial" w:hAnsi="Arial" w:cs="Arial"/>
        </w:rPr>
      </w:pPr>
    </w:p>
    <w:p w14:paraId="7D9F61EA" w14:textId="77777777" w:rsidR="00F97998" w:rsidRDefault="00F97998">
      <w:pPr>
        <w:spacing w:line="360" w:lineRule="auto"/>
        <w:jc w:val="both"/>
        <w:rPr>
          <w:rFonts w:ascii="Arial" w:hAnsi="Arial" w:cs="Arial"/>
        </w:rPr>
      </w:pPr>
    </w:p>
    <w:sectPr w:rsidR="00F97998">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D6BC1" w14:textId="77777777" w:rsidR="00A151AA" w:rsidRDefault="00A151AA">
      <w:pPr>
        <w:spacing w:line="240" w:lineRule="auto"/>
      </w:pPr>
      <w:r>
        <w:separator/>
      </w:r>
    </w:p>
  </w:endnote>
  <w:endnote w:type="continuationSeparator" w:id="0">
    <w:p w14:paraId="7C00BF6B" w14:textId="77777777" w:rsidR="00A151AA" w:rsidRDefault="00A15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B059B" w14:textId="77777777" w:rsidR="00F02A54" w:rsidRDefault="00F02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0A5A" w14:textId="77777777" w:rsidR="00F02A54" w:rsidRDefault="00F02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AEFC2" w14:textId="77777777" w:rsidR="00F02A54" w:rsidRDefault="00F02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15616" w14:textId="77777777" w:rsidR="00A151AA" w:rsidRDefault="00A151AA">
      <w:pPr>
        <w:spacing w:after="0"/>
      </w:pPr>
      <w:r>
        <w:separator/>
      </w:r>
    </w:p>
  </w:footnote>
  <w:footnote w:type="continuationSeparator" w:id="0">
    <w:p w14:paraId="0D2E39B0" w14:textId="77777777" w:rsidR="00A151AA" w:rsidRDefault="00A151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CFF3" w14:textId="4C8A1B86" w:rsidR="00F02A54" w:rsidRDefault="00F02A54">
    <w:pPr>
      <w:pStyle w:val="Header"/>
    </w:pPr>
    <w:r>
      <w:rPr>
        <w:noProof/>
      </w:rPr>
      <w:pict w14:anchorId="4BCE8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468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9304C" w14:textId="1A097F67" w:rsidR="00F02A54" w:rsidRDefault="00F02A54">
    <w:pPr>
      <w:pStyle w:val="Header"/>
    </w:pPr>
    <w:r>
      <w:rPr>
        <w:noProof/>
      </w:rPr>
      <w:pict w14:anchorId="26A4C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468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35EB4" w14:textId="5FC3AEA7" w:rsidR="00F02A54" w:rsidRDefault="00F02A54">
    <w:pPr>
      <w:pStyle w:val="Header"/>
    </w:pPr>
    <w:r>
      <w:rPr>
        <w:noProof/>
      </w:rPr>
      <w:pict w14:anchorId="6D2C8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468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proofState w:grammar="clean"/>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791"/>
    <w:rsid w:val="00030712"/>
    <w:rsid w:val="0003401F"/>
    <w:rsid w:val="000355FE"/>
    <w:rsid w:val="00036A36"/>
    <w:rsid w:val="000551CA"/>
    <w:rsid w:val="00062D19"/>
    <w:rsid w:val="000A56F2"/>
    <w:rsid w:val="000A5D19"/>
    <w:rsid w:val="000A6D6F"/>
    <w:rsid w:val="000B324B"/>
    <w:rsid w:val="000D5334"/>
    <w:rsid w:val="000D54CF"/>
    <w:rsid w:val="000F381C"/>
    <w:rsid w:val="00112C8E"/>
    <w:rsid w:val="00117485"/>
    <w:rsid w:val="00121310"/>
    <w:rsid w:val="00140F1B"/>
    <w:rsid w:val="00154E61"/>
    <w:rsid w:val="00171C42"/>
    <w:rsid w:val="00182745"/>
    <w:rsid w:val="00183C29"/>
    <w:rsid w:val="00193FA3"/>
    <w:rsid w:val="001952FA"/>
    <w:rsid w:val="00197D09"/>
    <w:rsid w:val="001E5ACD"/>
    <w:rsid w:val="001F42C7"/>
    <w:rsid w:val="001F654B"/>
    <w:rsid w:val="002201D6"/>
    <w:rsid w:val="00227A54"/>
    <w:rsid w:val="00242E16"/>
    <w:rsid w:val="00294968"/>
    <w:rsid w:val="002A6C54"/>
    <w:rsid w:val="002B113D"/>
    <w:rsid w:val="002B2368"/>
    <w:rsid w:val="002C4451"/>
    <w:rsid w:val="002D52DF"/>
    <w:rsid w:val="002E4EF1"/>
    <w:rsid w:val="00310760"/>
    <w:rsid w:val="00325EB1"/>
    <w:rsid w:val="003406AC"/>
    <w:rsid w:val="00346D8D"/>
    <w:rsid w:val="00360A05"/>
    <w:rsid w:val="00376FD3"/>
    <w:rsid w:val="003909F0"/>
    <w:rsid w:val="003C6ED5"/>
    <w:rsid w:val="003E0048"/>
    <w:rsid w:val="003E4791"/>
    <w:rsid w:val="00410EB5"/>
    <w:rsid w:val="004172B1"/>
    <w:rsid w:val="00430AE1"/>
    <w:rsid w:val="00436F0C"/>
    <w:rsid w:val="004724CF"/>
    <w:rsid w:val="00473F72"/>
    <w:rsid w:val="00476105"/>
    <w:rsid w:val="00493C97"/>
    <w:rsid w:val="004965D8"/>
    <w:rsid w:val="004B5D17"/>
    <w:rsid w:val="004F4F16"/>
    <w:rsid w:val="00510B60"/>
    <w:rsid w:val="005130AE"/>
    <w:rsid w:val="005249B8"/>
    <w:rsid w:val="00544049"/>
    <w:rsid w:val="00545EAB"/>
    <w:rsid w:val="00560055"/>
    <w:rsid w:val="00561EDA"/>
    <w:rsid w:val="0059378A"/>
    <w:rsid w:val="005A22C9"/>
    <w:rsid w:val="005B3B09"/>
    <w:rsid w:val="005D4B82"/>
    <w:rsid w:val="006109A9"/>
    <w:rsid w:val="0061346D"/>
    <w:rsid w:val="006135DD"/>
    <w:rsid w:val="00636B71"/>
    <w:rsid w:val="00660955"/>
    <w:rsid w:val="00664112"/>
    <w:rsid w:val="006665BC"/>
    <w:rsid w:val="00676A44"/>
    <w:rsid w:val="006D68DA"/>
    <w:rsid w:val="006F635B"/>
    <w:rsid w:val="007314A0"/>
    <w:rsid w:val="007472D3"/>
    <w:rsid w:val="00782EE6"/>
    <w:rsid w:val="0078740F"/>
    <w:rsid w:val="007976D0"/>
    <w:rsid w:val="007B573A"/>
    <w:rsid w:val="007C1808"/>
    <w:rsid w:val="007E18C3"/>
    <w:rsid w:val="00811010"/>
    <w:rsid w:val="00820CA0"/>
    <w:rsid w:val="008275A4"/>
    <w:rsid w:val="00853734"/>
    <w:rsid w:val="00866715"/>
    <w:rsid w:val="00870D43"/>
    <w:rsid w:val="00876471"/>
    <w:rsid w:val="008835C1"/>
    <w:rsid w:val="008C7A04"/>
    <w:rsid w:val="00924637"/>
    <w:rsid w:val="009257C1"/>
    <w:rsid w:val="0092784A"/>
    <w:rsid w:val="00976856"/>
    <w:rsid w:val="0098227D"/>
    <w:rsid w:val="009C737D"/>
    <w:rsid w:val="009D0A7C"/>
    <w:rsid w:val="009D3252"/>
    <w:rsid w:val="009E7B80"/>
    <w:rsid w:val="009F60C4"/>
    <w:rsid w:val="009F7543"/>
    <w:rsid w:val="00A151AA"/>
    <w:rsid w:val="00A3095F"/>
    <w:rsid w:val="00A31C48"/>
    <w:rsid w:val="00A44F42"/>
    <w:rsid w:val="00A50732"/>
    <w:rsid w:val="00A767DA"/>
    <w:rsid w:val="00A82EB0"/>
    <w:rsid w:val="00AC1F9A"/>
    <w:rsid w:val="00AF3E70"/>
    <w:rsid w:val="00B128EB"/>
    <w:rsid w:val="00B24B6F"/>
    <w:rsid w:val="00B36B34"/>
    <w:rsid w:val="00BA6A5E"/>
    <w:rsid w:val="00BB5BDD"/>
    <w:rsid w:val="00BD62DF"/>
    <w:rsid w:val="00C15602"/>
    <w:rsid w:val="00C30D8A"/>
    <w:rsid w:val="00C4520B"/>
    <w:rsid w:val="00C73A05"/>
    <w:rsid w:val="00C742B7"/>
    <w:rsid w:val="00C778C0"/>
    <w:rsid w:val="00C943C8"/>
    <w:rsid w:val="00C94BD3"/>
    <w:rsid w:val="00CA087E"/>
    <w:rsid w:val="00CA1904"/>
    <w:rsid w:val="00CB2D1F"/>
    <w:rsid w:val="00CC63B2"/>
    <w:rsid w:val="00CC6956"/>
    <w:rsid w:val="00D32FB1"/>
    <w:rsid w:val="00D37B2A"/>
    <w:rsid w:val="00D54301"/>
    <w:rsid w:val="00DA2911"/>
    <w:rsid w:val="00DA2BFE"/>
    <w:rsid w:val="00DA2E1C"/>
    <w:rsid w:val="00DB2DCB"/>
    <w:rsid w:val="00DC48AC"/>
    <w:rsid w:val="00DD71EF"/>
    <w:rsid w:val="00E43BEF"/>
    <w:rsid w:val="00E52C62"/>
    <w:rsid w:val="00E54B41"/>
    <w:rsid w:val="00E92651"/>
    <w:rsid w:val="00EB4048"/>
    <w:rsid w:val="00EB7B1C"/>
    <w:rsid w:val="00ED3695"/>
    <w:rsid w:val="00ED775D"/>
    <w:rsid w:val="00EE3150"/>
    <w:rsid w:val="00F02A54"/>
    <w:rsid w:val="00F12185"/>
    <w:rsid w:val="00F26F94"/>
    <w:rsid w:val="00F343F2"/>
    <w:rsid w:val="00F633C4"/>
    <w:rsid w:val="00F97998"/>
    <w:rsid w:val="00FA06A4"/>
    <w:rsid w:val="00FA2DEC"/>
    <w:rsid w:val="00FA3488"/>
    <w:rsid w:val="00FB161C"/>
    <w:rsid w:val="00FE28B3"/>
    <w:rsid w:val="37292E9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9053095"/>
  <w15:docId w15:val="{F213C9F5-9940-41CB-8B4F-21AEE7295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color w:val="0563C1"/>
      <w:u w:val="single"/>
    </w:rPr>
  </w:style>
  <w:style w:type="character" w:customStyle="1" w:styleId="16">
    <w:name w:val="16"/>
    <w:basedOn w:val="DefaultParagraphFont"/>
    <w:qFormat/>
    <w:rPr>
      <w:rFonts w:ascii="Times New Roman" w:hAnsi="Times New Roman" w:cs="Times New Roman" w:hint="default"/>
      <w:i/>
      <w:iCs/>
    </w:r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32FB1"/>
    <w:rPr>
      <w:color w:val="0563C1" w:themeColor="hyperlink"/>
      <w:u w:val="single"/>
    </w:rPr>
  </w:style>
  <w:style w:type="character" w:styleId="UnresolvedMention">
    <w:name w:val="Unresolved Mention"/>
    <w:basedOn w:val="DefaultParagraphFont"/>
    <w:uiPriority w:val="99"/>
    <w:semiHidden/>
    <w:unhideWhenUsed/>
    <w:rsid w:val="00D32FB1"/>
    <w:rPr>
      <w:color w:val="605E5C"/>
      <w:shd w:val="clear" w:color="auto" w:fill="E1DFDD"/>
    </w:rPr>
  </w:style>
  <w:style w:type="paragraph" w:styleId="Header">
    <w:name w:val="header"/>
    <w:basedOn w:val="Normal"/>
    <w:link w:val="HeaderChar"/>
    <w:uiPriority w:val="99"/>
    <w:unhideWhenUsed/>
    <w:rsid w:val="00F02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54"/>
    <w:rPr>
      <w:sz w:val="22"/>
      <w:szCs w:val="22"/>
      <w:lang w:val="fr-FR" w:eastAsia="en-US"/>
    </w:rPr>
  </w:style>
  <w:style w:type="paragraph" w:styleId="Footer">
    <w:name w:val="footer"/>
    <w:basedOn w:val="Normal"/>
    <w:link w:val="FooterChar"/>
    <w:uiPriority w:val="99"/>
    <w:unhideWhenUsed/>
    <w:rsid w:val="00F02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54"/>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8A9D3-2F57-480E-ABD1-9932C371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15</Pages>
  <Words>5280</Words>
  <Characters>30100</Characters>
  <Application>Microsoft Office Word</Application>
  <DocSecurity>0</DocSecurity>
  <Lines>250</Lines>
  <Paragraphs>70</Paragraphs>
  <ScaleCrop>false</ScaleCrop>
  <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163</cp:revision>
  <dcterms:created xsi:type="dcterms:W3CDTF">2025-05-22T22:17:00Z</dcterms:created>
  <dcterms:modified xsi:type="dcterms:W3CDTF">2025-08-30T14:27:00Z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a3b4605d-c336-4d44-a0f0-ddee59718be7</vt:lpwstr>
  </property>
  <property fmtid="{D5CDD505-2E9C-101B-9397-08002B2CF9AE}" pid="3" name="KSOProductBuildVer">
    <vt:lpwstr>1036-12.2.0.21546</vt:lpwstr>
  </property>
  <property fmtid="{D5CDD505-2E9C-101B-9397-08002B2CF9AE}" pid="4" name="ICV">
    <vt:lpwstr>06CF35A4B79B471A9469132719543C96_13</vt:lpwstr>
  </property>
</Properties>
</file>