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30C79" w14:textId="77777777" w:rsidR="00754C9A" w:rsidRDefault="00754C9A" w:rsidP="00441B6F">
      <w:pPr>
        <w:pStyle w:val="Title"/>
        <w:spacing w:after="0"/>
        <w:jc w:val="both"/>
        <w:rPr>
          <w:rFonts w:ascii="Arial" w:hAnsi="Arial" w:cs="Arial"/>
        </w:rPr>
      </w:pPr>
    </w:p>
    <w:p w14:paraId="2AC85E54" w14:textId="77777777" w:rsidR="00334A01" w:rsidRDefault="00334A01" w:rsidP="003B0A63">
      <w:pPr>
        <w:spacing w:before="100" w:beforeAutospacing="1" w:after="100" w:afterAutospacing="1"/>
        <w:outlineLvl w:val="0"/>
        <w:rPr>
          <w:rFonts w:ascii="Times New Roman" w:hAnsi="Times New Roman"/>
          <w:b/>
          <w:bCs/>
          <w:kern w:val="36"/>
          <w:sz w:val="24"/>
          <w:szCs w:val="24"/>
        </w:rPr>
      </w:pPr>
      <w:r w:rsidRPr="00334A01">
        <w:rPr>
          <w:rFonts w:ascii="Times New Roman" w:hAnsi="Times New Roman"/>
          <w:b/>
          <w:bCs/>
          <w:kern w:val="36"/>
          <w:sz w:val="24"/>
          <w:szCs w:val="24"/>
        </w:rPr>
        <w:t xml:space="preserve">Case report </w:t>
      </w:r>
    </w:p>
    <w:p w14:paraId="37425E9E" w14:textId="769E1CEB" w:rsidR="003B0A63" w:rsidRPr="00CE2C07" w:rsidRDefault="003B0A63" w:rsidP="003B0A63">
      <w:pPr>
        <w:spacing w:before="100" w:beforeAutospacing="1" w:after="100" w:afterAutospacing="1"/>
        <w:outlineLvl w:val="0"/>
        <w:rPr>
          <w:rFonts w:ascii="Times New Roman" w:hAnsi="Times New Roman"/>
          <w:b/>
          <w:bCs/>
          <w:kern w:val="36"/>
          <w:sz w:val="24"/>
          <w:szCs w:val="24"/>
        </w:rPr>
      </w:pPr>
      <w:r w:rsidRPr="00276F48">
        <w:rPr>
          <w:rFonts w:ascii="Times New Roman" w:hAnsi="Times New Roman"/>
          <w:b/>
          <w:bCs/>
          <w:kern w:val="36"/>
          <w:sz w:val="24"/>
          <w:szCs w:val="24"/>
        </w:rPr>
        <w:t>Orthodontic Camouflage of an Asymmetric Angle Class III Malocclusion in an Adult Patient: A Case Report with 10-Year Follow-Up</w:t>
      </w:r>
    </w:p>
    <w:p w14:paraId="08349304" w14:textId="77777777" w:rsidR="00A258C3" w:rsidRPr="00790ADA" w:rsidRDefault="00A258C3" w:rsidP="003B0A63">
      <w:pPr>
        <w:pStyle w:val="Author"/>
        <w:spacing w:line="240" w:lineRule="auto"/>
        <w:jc w:val="left"/>
        <w:rPr>
          <w:rFonts w:ascii="Arial" w:hAnsi="Arial" w:cs="Arial"/>
          <w:sz w:val="36"/>
        </w:rPr>
      </w:pPr>
    </w:p>
    <w:p w14:paraId="578A028C" w14:textId="77777777" w:rsidR="002C57D2" w:rsidRPr="00FB3A86" w:rsidRDefault="002C57D2" w:rsidP="00441B6F">
      <w:pPr>
        <w:pStyle w:val="Affiliation"/>
        <w:spacing w:after="0" w:line="240" w:lineRule="auto"/>
        <w:jc w:val="both"/>
        <w:rPr>
          <w:rFonts w:ascii="Arial" w:hAnsi="Arial" w:cs="Arial"/>
        </w:rPr>
      </w:pPr>
    </w:p>
    <w:p w14:paraId="64909511" w14:textId="77777777" w:rsidR="00B01FCD" w:rsidRPr="00FB3A86" w:rsidRDefault="00E52590" w:rsidP="00441B6F">
      <w:pPr>
        <w:pStyle w:val="Copyright"/>
        <w:spacing w:after="0" w:line="240" w:lineRule="auto"/>
        <w:jc w:val="both"/>
        <w:rPr>
          <w:rFonts w:ascii="Arial" w:hAnsi="Arial" w:cs="Arial"/>
        </w:rPr>
        <w:sectPr w:rsidR="00B01FCD" w:rsidRPr="00FB3A86" w:rsidSect="00382D8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B135D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19B38FB6" w14:textId="77777777" w:rsidR="00B01FCD" w:rsidRDefault="00B01FCD" w:rsidP="003B0A63">
      <w:pPr>
        <w:pStyle w:val="AbstHead"/>
        <w:spacing w:after="0"/>
        <w:jc w:val="both"/>
        <w:rPr>
          <w:rFonts w:ascii="Arial" w:hAnsi="Arial" w:cs="Arial"/>
        </w:rPr>
      </w:pPr>
      <w:r w:rsidRPr="00FB3A86">
        <w:rPr>
          <w:rFonts w:ascii="Arial" w:hAnsi="Arial" w:cs="Arial"/>
        </w:rPr>
        <w:t>ABSTRACT</w:t>
      </w:r>
    </w:p>
    <w:p w14:paraId="189CE72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56ED7D1" w14:textId="77777777" w:rsidTr="001E44FE">
        <w:tc>
          <w:tcPr>
            <w:tcW w:w="9576" w:type="dxa"/>
            <w:shd w:val="clear" w:color="auto" w:fill="F2F2F2"/>
          </w:tcPr>
          <w:p w14:paraId="565B7E55" w14:textId="77777777" w:rsidR="003B0A63" w:rsidRDefault="003B0A63" w:rsidP="003B0A63">
            <w:pPr>
              <w:spacing w:before="100" w:beforeAutospacing="1" w:after="100" w:afterAutospacing="1"/>
              <w:rPr>
                <w:rFonts w:asciiTheme="minorBidi" w:hAnsiTheme="minorBidi" w:cstheme="minorBidi"/>
                <w:sz w:val="22"/>
                <w:szCs w:val="22"/>
              </w:rPr>
            </w:pPr>
            <w:r w:rsidRPr="003B0A63">
              <w:rPr>
                <w:rFonts w:asciiTheme="minorBidi" w:hAnsiTheme="minorBidi" w:cstheme="minorBidi"/>
                <w:b/>
                <w:bCs/>
                <w:sz w:val="22"/>
                <w:szCs w:val="22"/>
              </w:rPr>
              <w:t>Background.</w:t>
            </w:r>
            <w:r w:rsidRPr="00CE2C07">
              <w:rPr>
                <w:rFonts w:asciiTheme="minorBidi" w:hAnsiTheme="minorBidi" w:cstheme="minorBidi"/>
                <w:sz w:val="22"/>
                <w:szCs w:val="22"/>
              </w:rPr>
              <w:br/>
              <w:t>The management of Angle Class III malocclusion in adults is challenging, particularly when skeletal discrepancies are moderate and patients refuse surgical treatment. Orthodontic camouflage using extraction protocols may represent a valid alternative in carefully selected cases.</w:t>
            </w:r>
          </w:p>
          <w:p w14:paraId="0F0A5634" w14:textId="77777777" w:rsidR="003B0A63" w:rsidRPr="00CE2C07" w:rsidRDefault="003B0A63" w:rsidP="003B0A63">
            <w:pPr>
              <w:spacing w:before="100" w:beforeAutospacing="1" w:after="100" w:afterAutospacing="1"/>
              <w:rPr>
                <w:rFonts w:asciiTheme="minorBidi" w:hAnsiTheme="minorBidi" w:cstheme="minorBidi"/>
                <w:sz w:val="22"/>
                <w:szCs w:val="22"/>
              </w:rPr>
            </w:pPr>
            <w:r>
              <w:rPr>
                <w:rFonts w:asciiTheme="minorBidi" w:hAnsiTheme="minorBidi" w:cstheme="minorBidi"/>
                <w:b/>
                <w:bCs/>
                <w:sz w:val="22"/>
                <w:szCs w:val="22"/>
              </w:rPr>
              <w:t>C</w:t>
            </w:r>
            <w:r w:rsidRPr="003B0A63">
              <w:rPr>
                <w:rFonts w:asciiTheme="minorBidi" w:hAnsiTheme="minorBidi" w:cstheme="minorBidi"/>
                <w:b/>
                <w:bCs/>
                <w:sz w:val="22"/>
                <w:szCs w:val="22"/>
              </w:rPr>
              <w:t>ase Presentation.</w:t>
            </w:r>
            <w:r w:rsidRPr="00CE2C07">
              <w:rPr>
                <w:rFonts w:asciiTheme="minorBidi" w:hAnsiTheme="minorBidi" w:cstheme="minorBidi"/>
                <w:sz w:val="22"/>
                <w:szCs w:val="22"/>
              </w:rPr>
              <w:br/>
              <w:t>This case report describes the orthodontic treatment of a 35-year-old woman presenting with an asymmetric Angle Class III malocclusion associated with maxillary protrusion, severe mandibular crowding, and a significant dental midline deviation. Cephalometric analysis revealed a Class I skeletal pattern with dentoalveolar compensation. An asymmetric premolar extraction protocol was selected, followed by fixed appliance therapy. Treatment was completed after 24 months, achieving correction of crowding, midline alignment, satisfactory facial esthetics, and stable occlusion.</w:t>
            </w:r>
          </w:p>
          <w:p w14:paraId="1A99BBC5" w14:textId="77777777" w:rsidR="003B0A63" w:rsidRPr="00CE2C07" w:rsidRDefault="003B0A63" w:rsidP="003B0A63">
            <w:pPr>
              <w:spacing w:before="100" w:beforeAutospacing="1" w:after="100" w:afterAutospacing="1"/>
              <w:rPr>
                <w:rFonts w:asciiTheme="minorBidi" w:hAnsiTheme="minorBidi" w:cstheme="minorBidi"/>
                <w:sz w:val="22"/>
                <w:szCs w:val="22"/>
              </w:rPr>
            </w:pPr>
            <w:r w:rsidRPr="003B0A63">
              <w:rPr>
                <w:rFonts w:asciiTheme="minorBidi" w:hAnsiTheme="minorBidi" w:cstheme="minorBidi"/>
                <w:b/>
                <w:bCs/>
                <w:sz w:val="22"/>
                <w:szCs w:val="22"/>
              </w:rPr>
              <w:t>Results.</w:t>
            </w:r>
            <w:r w:rsidRPr="00CE2C07">
              <w:rPr>
                <w:rFonts w:asciiTheme="minorBidi" w:hAnsiTheme="minorBidi" w:cstheme="minorBidi"/>
                <w:sz w:val="22"/>
                <w:szCs w:val="22"/>
              </w:rPr>
              <w:br/>
              <w:t>Post</w:t>
            </w:r>
            <w:r w:rsidRPr="003B0A63">
              <w:rPr>
                <w:rFonts w:asciiTheme="minorBidi" w:hAnsiTheme="minorBidi" w:cstheme="minorBidi"/>
                <w:sz w:val="22"/>
                <w:szCs w:val="22"/>
              </w:rPr>
              <w:t>-</w:t>
            </w:r>
            <w:r w:rsidRPr="00CE2C07">
              <w:rPr>
                <w:rFonts w:asciiTheme="minorBidi" w:hAnsiTheme="minorBidi" w:cstheme="minorBidi"/>
                <w:sz w:val="22"/>
                <w:szCs w:val="22"/>
              </w:rPr>
              <w:t>treatment records demonstrated improved facial harmony, normalized overjet and overbite, Class I occlusal relationships, and correction of dental compensations. Clinical and radiographic evaluations at a 10-year follow-up confirmed long-term stability of the results.</w:t>
            </w:r>
          </w:p>
          <w:p w14:paraId="16C534DC" w14:textId="77777777" w:rsidR="003B0A63" w:rsidRPr="00CE2C07" w:rsidRDefault="003B0A63" w:rsidP="003B0A63">
            <w:pPr>
              <w:spacing w:before="100" w:beforeAutospacing="1" w:after="100" w:afterAutospacing="1"/>
              <w:rPr>
                <w:rFonts w:ascii="Times New Roman" w:hAnsi="Times New Roman"/>
                <w:sz w:val="24"/>
                <w:szCs w:val="24"/>
              </w:rPr>
            </w:pPr>
            <w:r w:rsidRPr="003B0A63">
              <w:rPr>
                <w:rFonts w:asciiTheme="minorBidi" w:hAnsiTheme="minorBidi" w:cstheme="minorBidi"/>
                <w:b/>
                <w:bCs/>
                <w:sz w:val="22"/>
                <w:szCs w:val="22"/>
              </w:rPr>
              <w:t>Conclusion.</w:t>
            </w:r>
            <w:r w:rsidRPr="00CE2C07">
              <w:rPr>
                <w:rFonts w:asciiTheme="minorBidi" w:hAnsiTheme="minorBidi" w:cstheme="minorBidi"/>
                <w:sz w:val="22"/>
                <w:szCs w:val="22"/>
              </w:rPr>
              <w:br/>
              <w:t>Orthodontic camouflage with asymmetric premolar extraction can be an effective and stable treatment option for selected adult patients with Angle Class III malocclusion who are not candidates for, or refuse, surgical intervention</w:t>
            </w:r>
            <w:r w:rsidRPr="00CE2C07">
              <w:rPr>
                <w:rFonts w:ascii="Times New Roman" w:hAnsi="Times New Roman"/>
                <w:sz w:val="24"/>
                <w:szCs w:val="24"/>
              </w:rPr>
              <w:t>.</w:t>
            </w:r>
          </w:p>
          <w:p w14:paraId="2689898E" w14:textId="77777777" w:rsidR="00505F06" w:rsidRPr="00BA1B01" w:rsidRDefault="00505F06" w:rsidP="00441B6F">
            <w:pPr>
              <w:pStyle w:val="Body"/>
              <w:spacing w:after="0"/>
              <w:rPr>
                <w:rFonts w:ascii="Arial" w:eastAsia="Calibri" w:hAnsi="Arial" w:cs="Arial"/>
                <w:szCs w:val="22"/>
              </w:rPr>
            </w:pPr>
          </w:p>
        </w:tc>
      </w:tr>
    </w:tbl>
    <w:p w14:paraId="085A2E7E" w14:textId="77777777" w:rsidR="00636EB2" w:rsidRDefault="00636EB2" w:rsidP="00441B6F">
      <w:pPr>
        <w:pStyle w:val="Body"/>
        <w:spacing w:after="0"/>
        <w:rPr>
          <w:rFonts w:ascii="Arial" w:hAnsi="Arial" w:cs="Arial"/>
          <w:i/>
        </w:rPr>
      </w:pPr>
    </w:p>
    <w:p w14:paraId="06B648C8" w14:textId="77777777" w:rsidR="00A24E7E" w:rsidRDefault="003B0A63" w:rsidP="003B0A63">
      <w:pPr>
        <w:pStyle w:val="Body"/>
        <w:spacing w:after="0"/>
        <w:rPr>
          <w:rFonts w:ascii="Arial" w:hAnsi="Arial" w:cs="Arial"/>
          <w:i/>
        </w:rPr>
      </w:pPr>
      <w:r>
        <w:rPr>
          <w:rFonts w:ascii="Arial" w:hAnsi="Arial" w:cs="Arial"/>
          <w:i/>
        </w:rPr>
        <w:t xml:space="preserve">Keywords: </w:t>
      </w:r>
      <w:r w:rsidRPr="003B0A63">
        <w:rPr>
          <w:rFonts w:asciiTheme="minorBidi" w:hAnsiTheme="minorBidi" w:cstheme="minorBidi"/>
          <w:i/>
          <w:iCs/>
        </w:rPr>
        <w:t>Angle class III malocclusion, Asymmetry, Crowding, Extraction, Bi-maxillary protrusion</w:t>
      </w:r>
      <w:r>
        <w:rPr>
          <w:rFonts w:asciiTheme="majorBidi" w:hAnsiTheme="majorBidi" w:cstheme="majorBidi"/>
          <w:sz w:val="24"/>
          <w:szCs w:val="24"/>
        </w:rPr>
        <w:t>.</w:t>
      </w:r>
      <w:r>
        <w:rPr>
          <w:rFonts w:ascii="Arial" w:hAnsi="Arial" w:cs="Arial"/>
          <w:i/>
        </w:rPr>
        <w:t xml:space="preserve"> </w:t>
      </w:r>
    </w:p>
    <w:p w14:paraId="1A12CC31" w14:textId="77777777" w:rsidR="0024282C" w:rsidRDefault="0024282C" w:rsidP="00441B6F">
      <w:pPr>
        <w:pStyle w:val="Body"/>
        <w:spacing w:after="0"/>
        <w:rPr>
          <w:rFonts w:ascii="Arial" w:hAnsi="Arial" w:cs="Arial"/>
          <w:i/>
          <w:sz w:val="18"/>
        </w:rPr>
      </w:pPr>
    </w:p>
    <w:p w14:paraId="5E303BBB" w14:textId="77777777" w:rsidR="00505F06" w:rsidRPr="00A24E7E" w:rsidRDefault="00505F06" w:rsidP="00441B6F">
      <w:pPr>
        <w:pStyle w:val="Body"/>
        <w:spacing w:after="0"/>
        <w:rPr>
          <w:rFonts w:ascii="Arial" w:hAnsi="Arial" w:cs="Arial"/>
          <w:i/>
        </w:rPr>
      </w:pPr>
    </w:p>
    <w:p w14:paraId="7B705D28" w14:textId="77777777" w:rsidR="00790ADA" w:rsidRPr="00FB3A86" w:rsidRDefault="00902823" w:rsidP="003B0A6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B0A63">
        <w:rPr>
          <w:rFonts w:ascii="Arial" w:hAnsi="Arial" w:cs="Arial"/>
        </w:rPr>
        <w:t xml:space="preserve"> </w:t>
      </w:r>
    </w:p>
    <w:p w14:paraId="20B2BAC6" w14:textId="77777777" w:rsidR="003B0A63" w:rsidRPr="00CE2C07" w:rsidRDefault="003B0A63" w:rsidP="003B0A63">
      <w:pPr>
        <w:shd w:val="clear" w:color="auto" w:fill="FFFFFF"/>
        <w:spacing w:before="48" w:after="120" w:line="360" w:lineRule="auto"/>
        <w:ind w:right="240"/>
        <w:outlineLvl w:val="2"/>
        <w:rPr>
          <w:rFonts w:asciiTheme="minorBidi" w:hAnsiTheme="minorBidi" w:cstheme="minorBidi"/>
          <w:b/>
          <w:bCs/>
          <w:color w:val="222222"/>
          <w:sz w:val="24"/>
          <w:szCs w:val="24"/>
        </w:rPr>
      </w:pPr>
      <w:r w:rsidRPr="00CE2C07">
        <w:rPr>
          <w:rFonts w:asciiTheme="minorBidi" w:hAnsiTheme="minorBidi" w:cstheme="minorBidi"/>
          <w:sz w:val="22"/>
          <w:szCs w:val="22"/>
        </w:rPr>
        <w:t xml:space="preserve">Angle Class III malocclusion is traditionally characterized by a mesial relationship of the mandibular dentition relative to the maxillary dentition and may be associated with mandibular prognathism, maxillary retrusion, </w:t>
      </w:r>
      <w:r w:rsidRPr="00CE2C07">
        <w:rPr>
          <w:rFonts w:asciiTheme="minorBidi" w:hAnsiTheme="minorBidi" w:cstheme="minorBidi"/>
          <w:sz w:val="22"/>
          <w:szCs w:val="22"/>
        </w:rPr>
        <w:lastRenderedPageBreak/>
        <w:t>or dentoalveolar compensations. The treatment of Class III malocclusion in adult patients is often complex due to the absence of growth and the limited pote</w:t>
      </w:r>
      <w:r w:rsidRPr="003B0A63">
        <w:rPr>
          <w:rFonts w:asciiTheme="minorBidi" w:hAnsiTheme="minorBidi" w:cstheme="minorBidi"/>
          <w:sz w:val="22"/>
          <w:szCs w:val="22"/>
        </w:rPr>
        <w:t xml:space="preserve">ntial for orthopedic correction </w:t>
      </w:r>
      <w:hyperlink r:id="rId14" w:history="1">
        <w:r w:rsidRPr="003B0A63">
          <w:rPr>
            <w:rFonts w:asciiTheme="minorBidi" w:hAnsiTheme="minorBidi" w:cstheme="minorBidi"/>
            <w:color w:val="0096B7"/>
            <w:sz w:val="22"/>
            <w:szCs w:val="22"/>
          </w:rPr>
          <w:t>[1-2]</w:t>
        </w:r>
      </w:hyperlink>
      <w:r w:rsidRPr="003B0A63">
        <w:rPr>
          <w:rFonts w:asciiTheme="minorBidi" w:hAnsiTheme="minorBidi" w:cstheme="minorBidi"/>
          <w:color w:val="0096B7"/>
          <w:sz w:val="22"/>
          <w:szCs w:val="22"/>
        </w:rPr>
        <w:t>.</w:t>
      </w:r>
    </w:p>
    <w:p w14:paraId="03B3FF7F"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In severe skeletal Class III cases, orthognathic surgery combined with orthodontic treatment is often indicated. However, many adult patients present with moderate discrepancies and significant dentoalveolar compensations and may refuse surgical treatment due to cost, risk, or personal preference. In such cases, orthodontic camouflage represents a viable alternative</w:t>
      </w:r>
      <w:r w:rsidRPr="003B0A63">
        <w:rPr>
          <w:rFonts w:asciiTheme="minorBidi" w:hAnsiTheme="minorBidi" w:cstheme="minorBidi"/>
          <w:sz w:val="22"/>
          <w:szCs w:val="22"/>
        </w:rPr>
        <w:t xml:space="preserve"> </w:t>
      </w:r>
      <w:hyperlink r:id="rId15" w:history="1">
        <w:r w:rsidRPr="003B0A63">
          <w:rPr>
            <w:rFonts w:asciiTheme="minorBidi" w:hAnsiTheme="minorBidi" w:cstheme="minorBidi"/>
            <w:color w:val="0096B7"/>
            <w:sz w:val="22"/>
            <w:szCs w:val="22"/>
          </w:rPr>
          <w:t>[3]</w:t>
        </w:r>
      </w:hyperlink>
      <w:r w:rsidRPr="00CE2C07">
        <w:rPr>
          <w:rFonts w:asciiTheme="minorBidi" w:hAnsiTheme="minorBidi" w:cstheme="minorBidi"/>
          <w:sz w:val="22"/>
          <w:szCs w:val="22"/>
        </w:rPr>
        <w:t>.</w:t>
      </w:r>
    </w:p>
    <w:p w14:paraId="2B5D5C24" w14:textId="77777777" w:rsidR="003B0A63" w:rsidRPr="003B0A63" w:rsidRDefault="003B0A63" w:rsidP="003B0A63">
      <w:pPr>
        <w:shd w:val="clear" w:color="auto" w:fill="FFFFFF"/>
        <w:spacing w:before="48" w:after="120" w:line="360" w:lineRule="auto"/>
        <w:ind w:right="240"/>
        <w:outlineLvl w:val="2"/>
        <w:rPr>
          <w:rFonts w:asciiTheme="minorBidi" w:hAnsiTheme="minorBidi" w:cstheme="minorBidi"/>
          <w:sz w:val="22"/>
          <w:szCs w:val="22"/>
        </w:rPr>
      </w:pPr>
      <w:r w:rsidRPr="00CE2C07">
        <w:rPr>
          <w:rFonts w:asciiTheme="minorBidi" w:hAnsiTheme="minorBidi" w:cstheme="minorBidi"/>
          <w:sz w:val="22"/>
          <w:szCs w:val="22"/>
        </w:rPr>
        <w:t>Extraction-based orthodontic camouflage aims to correct dental compensations, improve facial esthetics, and establish functional occlusion without altering the underlying skeletal pattern</w:t>
      </w:r>
      <w:r w:rsidRPr="003B0A63">
        <w:rPr>
          <w:rFonts w:asciiTheme="minorBidi" w:hAnsiTheme="minorBidi" w:cstheme="minorBidi"/>
          <w:sz w:val="22"/>
          <w:szCs w:val="22"/>
        </w:rPr>
        <w:t xml:space="preserve"> </w:t>
      </w:r>
      <w:hyperlink r:id="rId16" w:history="1">
        <w:r w:rsidRPr="003B0A63">
          <w:rPr>
            <w:rFonts w:asciiTheme="minorBidi" w:hAnsiTheme="minorBidi" w:cstheme="minorBidi"/>
            <w:color w:val="0096B7"/>
            <w:sz w:val="22"/>
            <w:szCs w:val="22"/>
          </w:rPr>
          <w:t>[4-5]</w:t>
        </w:r>
      </w:hyperlink>
      <w:r w:rsidRPr="003B0A63">
        <w:rPr>
          <w:rFonts w:asciiTheme="minorBidi" w:hAnsiTheme="minorBidi" w:cstheme="minorBidi"/>
          <w:sz w:val="22"/>
          <w:szCs w:val="22"/>
        </w:rPr>
        <w:t>.</w:t>
      </w:r>
    </w:p>
    <w:p w14:paraId="37A4A2FA" w14:textId="77777777" w:rsidR="003B0A63" w:rsidRPr="003B0A63" w:rsidRDefault="003B0A63" w:rsidP="003B0A63">
      <w:pPr>
        <w:shd w:val="clear" w:color="auto" w:fill="FFFFFF"/>
        <w:spacing w:before="48" w:after="120" w:line="360" w:lineRule="auto"/>
        <w:ind w:right="240"/>
        <w:outlineLvl w:val="2"/>
        <w:rPr>
          <w:rFonts w:asciiTheme="minorBidi" w:hAnsiTheme="minorBidi" w:cstheme="minorBidi"/>
          <w:b/>
          <w:bCs/>
          <w:color w:val="222222"/>
          <w:sz w:val="24"/>
          <w:szCs w:val="24"/>
        </w:rPr>
      </w:pPr>
      <w:r w:rsidRPr="00CE2C07">
        <w:rPr>
          <w:rFonts w:asciiTheme="minorBidi" w:hAnsiTheme="minorBidi" w:cstheme="minorBidi"/>
          <w:sz w:val="22"/>
          <w:szCs w:val="22"/>
        </w:rPr>
        <w:t>The purpose of this case report is to describe the orthodontic management of an adult patient with asymmetric Angle Class III malocclusion treated successfully using an asymmetric premolar extraction approach, with emphasis on long-term stability</w:t>
      </w:r>
    </w:p>
    <w:p w14:paraId="420D18C0" w14:textId="77777777" w:rsidR="00B01FCD" w:rsidRDefault="00B01FCD" w:rsidP="003B0A63">
      <w:pPr>
        <w:pStyle w:val="Body"/>
        <w:spacing w:after="0"/>
        <w:rPr>
          <w:rFonts w:ascii="Arial" w:hAnsi="Arial" w:cs="Arial"/>
        </w:rPr>
      </w:pPr>
    </w:p>
    <w:p w14:paraId="0B7B65FB" w14:textId="77777777" w:rsidR="00790ADA" w:rsidRPr="00FB3A86" w:rsidRDefault="00790ADA" w:rsidP="00441B6F">
      <w:pPr>
        <w:pStyle w:val="Body"/>
        <w:spacing w:after="0"/>
        <w:rPr>
          <w:rFonts w:ascii="Arial" w:hAnsi="Arial" w:cs="Arial"/>
        </w:rPr>
      </w:pPr>
    </w:p>
    <w:p w14:paraId="1803F4B3" w14:textId="77777777" w:rsidR="003B0A63" w:rsidRPr="003B0A63" w:rsidRDefault="00902823" w:rsidP="003B0A63">
      <w:pPr>
        <w:pStyle w:val="AbstHead"/>
        <w:spacing w:after="0"/>
        <w:jc w:val="both"/>
        <w:rPr>
          <w:rFonts w:asciiTheme="minorBidi" w:hAnsiTheme="minorBidi" w:cstheme="minorBidi"/>
          <w:sz w:val="18"/>
          <w:szCs w:val="16"/>
        </w:rPr>
      </w:pPr>
      <w:r>
        <w:rPr>
          <w:rFonts w:ascii="Arial" w:hAnsi="Arial" w:cs="Arial"/>
        </w:rPr>
        <w:t xml:space="preserve">2. </w:t>
      </w:r>
      <w:r w:rsidR="003B0A63" w:rsidRPr="003B0A63">
        <w:rPr>
          <w:rFonts w:asciiTheme="minorBidi" w:hAnsiTheme="minorBidi" w:cstheme="minorBidi"/>
          <w:bCs/>
          <w:color w:val="222222"/>
          <w:szCs w:val="22"/>
        </w:rPr>
        <w:t>Case Presentation</w:t>
      </w:r>
    </w:p>
    <w:p w14:paraId="6ACF3870" w14:textId="77777777" w:rsidR="003B0A63" w:rsidRPr="003B0A63" w:rsidRDefault="003B0A63" w:rsidP="003B0A63">
      <w:pPr>
        <w:shd w:val="clear" w:color="auto" w:fill="FFFFFF"/>
        <w:spacing w:before="100" w:beforeAutospacing="1" w:after="100" w:afterAutospacing="1"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A 35-year-old woman presented with an Angle Class III malocclusion, characterized by maxillary protrusion, severe mandibular crowding, and a significant midline shift. Her chief complaint was the esthetic impact of maxillary protrusion, inferior crowding, and midline discrepancy.</w:t>
      </w:r>
    </w:p>
    <w:p w14:paraId="2AB5107B" w14:textId="77777777" w:rsidR="003B0A63" w:rsidRPr="003B0A63" w:rsidRDefault="003B0A63" w:rsidP="003B0A63">
      <w:pPr>
        <w:shd w:val="clear" w:color="auto" w:fill="FFFFFF"/>
        <w:spacing w:before="100" w:beforeAutospacing="1" w:after="100" w:afterAutospacing="1"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Clinical examination revealed a symmetrical face with moderate upper incisor exposure at rest (</w:t>
      </w:r>
      <w:r w:rsidRPr="003B0A63">
        <w:rPr>
          <w:rFonts w:asciiTheme="minorBidi" w:hAnsiTheme="minorBidi" w:cstheme="minorBidi"/>
          <w:b/>
          <w:bCs/>
          <w:color w:val="222222"/>
          <w:sz w:val="22"/>
          <w:szCs w:val="22"/>
        </w:rPr>
        <w:t>Figure 1</w:t>
      </w:r>
      <w:r w:rsidRPr="003B0A63">
        <w:rPr>
          <w:rFonts w:asciiTheme="minorBidi" w:hAnsiTheme="minorBidi" w:cstheme="minorBidi"/>
          <w:color w:val="222222"/>
          <w:sz w:val="22"/>
          <w:szCs w:val="22"/>
        </w:rPr>
        <w:t>). However, maxillary asymmetry was noticeable upon smiling, along with a large diastema between the upper central incisors (</w:t>
      </w:r>
      <w:r w:rsidRPr="003B0A63">
        <w:rPr>
          <w:rFonts w:asciiTheme="minorBidi" w:hAnsiTheme="minorBidi" w:cstheme="minorBidi"/>
          <w:b/>
          <w:bCs/>
          <w:color w:val="222222"/>
          <w:sz w:val="22"/>
          <w:szCs w:val="22"/>
        </w:rPr>
        <w:t>Figure 2</w:t>
      </w:r>
      <w:hyperlink r:id="rId17" w:history="1"/>
      <w:r w:rsidRPr="003B0A63">
        <w:rPr>
          <w:rFonts w:asciiTheme="minorBidi" w:hAnsiTheme="minorBidi" w:cstheme="minorBidi"/>
          <w:color w:val="222222"/>
          <w:sz w:val="22"/>
          <w:szCs w:val="22"/>
        </w:rPr>
        <w:t xml:space="preserve">). Both upper and lower incisors were </w:t>
      </w:r>
      <w:proofErr w:type="spellStart"/>
      <w:r w:rsidRPr="003B0A63">
        <w:rPr>
          <w:rFonts w:asciiTheme="minorBidi" w:hAnsiTheme="minorBidi" w:cstheme="minorBidi"/>
          <w:color w:val="222222"/>
          <w:sz w:val="22"/>
          <w:szCs w:val="22"/>
        </w:rPr>
        <w:t>proclined</w:t>
      </w:r>
      <w:proofErr w:type="spellEnd"/>
      <w:r w:rsidRPr="003B0A63">
        <w:rPr>
          <w:rFonts w:asciiTheme="minorBidi" w:hAnsiTheme="minorBidi" w:cstheme="minorBidi"/>
          <w:color w:val="222222"/>
          <w:sz w:val="22"/>
          <w:szCs w:val="22"/>
        </w:rPr>
        <w:t xml:space="preserve"> (</w:t>
      </w:r>
      <w:proofErr w:type="spellStart"/>
      <w:r w:rsidRPr="003B0A63">
        <w:rPr>
          <w:rFonts w:asciiTheme="minorBidi" w:hAnsiTheme="minorBidi" w:cstheme="minorBidi"/>
          <w:color w:val="222222"/>
          <w:sz w:val="22"/>
          <w:szCs w:val="22"/>
        </w:rPr>
        <w:t>itoNA</w:t>
      </w:r>
      <w:proofErr w:type="spellEnd"/>
      <w:r w:rsidRPr="003B0A63">
        <w:rPr>
          <w:rFonts w:asciiTheme="minorBidi" w:hAnsiTheme="minorBidi" w:cstheme="minorBidi"/>
          <w:color w:val="222222"/>
          <w:sz w:val="22"/>
          <w:szCs w:val="22"/>
        </w:rPr>
        <w:t xml:space="preserve"> = 32°, I/NA = 11 mm; </w:t>
      </w:r>
      <w:proofErr w:type="spellStart"/>
      <w:r w:rsidRPr="003B0A63">
        <w:rPr>
          <w:rFonts w:asciiTheme="minorBidi" w:hAnsiTheme="minorBidi" w:cstheme="minorBidi"/>
          <w:color w:val="222222"/>
          <w:sz w:val="22"/>
          <w:szCs w:val="22"/>
        </w:rPr>
        <w:t>itoNB</w:t>
      </w:r>
      <w:proofErr w:type="spellEnd"/>
      <w:r w:rsidRPr="003B0A63">
        <w:rPr>
          <w:rFonts w:asciiTheme="minorBidi" w:hAnsiTheme="minorBidi" w:cstheme="minorBidi"/>
          <w:color w:val="222222"/>
          <w:sz w:val="22"/>
          <w:szCs w:val="22"/>
        </w:rPr>
        <w:t xml:space="preserve"> = 35°, IMPA = 93°). Overbite and overjet were reduced, with a tendency toward an open bite and a cross-bite between the upper lateral incisor and lower canine </w:t>
      </w:r>
      <w:r w:rsidRPr="003B0A63">
        <w:rPr>
          <w:rFonts w:asciiTheme="minorBidi" w:hAnsiTheme="minorBidi" w:cstheme="minorBidi"/>
          <w:b/>
          <w:bCs/>
          <w:color w:val="222222"/>
          <w:sz w:val="22"/>
          <w:szCs w:val="22"/>
        </w:rPr>
        <w:t>(Figure 3</w:t>
      </w:r>
      <w:hyperlink r:id="rId18" w:history="1"/>
      <w:r w:rsidRPr="003B0A63">
        <w:rPr>
          <w:rFonts w:asciiTheme="minorBidi" w:hAnsiTheme="minorBidi" w:cstheme="minorBidi"/>
          <w:b/>
          <w:bCs/>
          <w:color w:val="222222"/>
          <w:sz w:val="22"/>
          <w:szCs w:val="22"/>
        </w:rPr>
        <w:t>).</w:t>
      </w:r>
    </w:p>
    <w:p w14:paraId="7F4618D2" w14:textId="77777777" w:rsidR="003B0A63" w:rsidRPr="003B0A63" w:rsidRDefault="003B0A63" w:rsidP="003B0A63">
      <w:pPr>
        <w:shd w:val="clear" w:color="auto" w:fill="FFFFFF"/>
        <w:spacing w:before="100" w:beforeAutospacing="1" w:after="100" w:afterAutospacing="1" w:line="360" w:lineRule="auto"/>
        <w:rPr>
          <w:rFonts w:asciiTheme="minorBidi" w:hAnsiTheme="minorBidi" w:cstheme="minorBidi"/>
          <w:color w:val="222222"/>
          <w:sz w:val="22"/>
          <w:szCs w:val="22"/>
          <w:shd w:val="clear" w:color="auto" w:fill="FFFFFF"/>
        </w:rPr>
      </w:pPr>
      <w:r w:rsidRPr="003B0A63">
        <w:rPr>
          <w:rFonts w:asciiTheme="minorBidi" w:hAnsiTheme="minorBidi" w:cstheme="minorBidi"/>
          <w:color w:val="222222"/>
          <w:sz w:val="22"/>
          <w:szCs w:val="22"/>
          <w:shd w:val="clear" w:color="auto" w:fill="FFFFFF"/>
        </w:rPr>
        <w:t>Panoramic radiograph confirmed the presence of all permanent teeth, including third molars, with adequate bone support. Cephalometric analysis indicated Class I skeletal occlusion (ANB = 3°) with bimaxillary retrognathism (SNB = 76°, SNA = 79°). In the vertical aspect, the patient presented measures indicative of a hyperdivergent growth pattern (</w:t>
      </w:r>
      <w:proofErr w:type="spellStart"/>
      <w:r w:rsidRPr="003B0A63">
        <w:rPr>
          <w:rFonts w:asciiTheme="minorBidi" w:hAnsiTheme="minorBidi" w:cstheme="minorBidi"/>
          <w:color w:val="222222"/>
          <w:sz w:val="22"/>
          <w:szCs w:val="22"/>
          <w:shd w:val="clear" w:color="auto" w:fill="FFFFFF"/>
        </w:rPr>
        <w:t>SNGoGn</w:t>
      </w:r>
      <w:proofErr w:type="spellEnd"/>
      <w:r w:rsidRPr="003B0A63">
        <w:rPr>
          <w:rFonts w:asciiTheme="minorBidi" w:hAnsiTheme="minorBidi" w:cstheme="minorBidi"/>
          <w:color w:val="222222"/>
          <w:sz w:val="22"/>
          <w:szCs w:val="22"/>
          <w:shd w:val="clear" w:color="auto" w:fill="FFFFFF"/>
        </w:rPr>
        <w:t xml:space="preserve"> = 47°, FMA = 30°). (Table </w:t>
      </w:r>
      <w:hyperlink r:id="rId19" w:history="1">
        <w:r w:rsidRPr="003B0A63">
          <w:rPr>
            <w:rStyle w:val="Emphasis"/>
            <w:rFonts w:asciiTheme="minorBidi" w:hAnsiTheme="minorBidi" w:cstheme="minorBidi"/>
            <w:color w:val="0096B7"/>
            <w:sz w:val="22"/>
            <w:szCs w:val="22"/>
            <w:shd w:val="clear" w:color="auto" w:fill="FFFFFF"/>
          </w:rPr>
          <w:t>1</w:t>
        </w:r>
      </w:hyperlink>
      <w:r w:rsidRPr="003B0A63">
        <w:rPr>
          <w:rFonts w:asciiTheme="minorBidi" w:hAnsiTheme="minorBidi" w:cstheme="minorBidi"/>
          <w:color w:val="222222"/>
          <w:sz w:val="22"/>
          <w:szCs w:val="22"/>
          <w:shd w:val="clear" w:color="auto" w:fill="FFFFFF"/>
        </w:rPr>
        <w:t>) (Figure </w:t>
      </w:r>
      <w:hyperlink r:id="rId20" w:history="1">
        <w:r w:rsidRPr="003B0A63">
          <w:rPr>
            <w:rStyle w:val="Emphasis"/>
            <w:rFonts w:asciiTheme="minorBidi" w:hAnsiTheme="minorBidi" w:cstheme="minorBidi"/>
            <w:color w:val="0096B7"/>
            <w:sz w:val="22"/>
            <w:szCs w:val="22"/>
            <w:shd w:val="clear" w:color="auto" w:fill="FFFFFF"/>
          </w:rPr>
          <w:t>4</w:t>
        </w:r>
      </w:hyperlink>
      <w:r w:rsidRPr="003B0A63">
        <w:rPr>
          <w:rFonts w:asciiTheme="minorBidi" w:hAnsiTheme="minorBidi" w:cstheme="minorBidi"/>
          <w:color w:val="222222"/>
          <w:sz w:val="22"/>
          <w:szCs w:val="22"/>
          <w:shd w:val="clear" w:color="auto" w:fill="FFFFFF"/>
        </w:rPr>
        <w:t>).</w:t>
      </w:r>
    </w:p>
    <w:tbl>
      <w:tblPr>
        <w:tblW w:w="10598" w:type="dxa"/>
        <w:shd w:val="clear" w:color="auto" w:fill="FFFFFF"/>
        <w:tblCellMar>
          <w:top w:w="15" w:type="dxa"/>
          <w:left w:w="15" w:type="dxa"/>
          <w:bottom w:w="15" w:type="dxa"/>
          <w:right w:w="15" w:type="dxa"/>
        </w:tblCellMar>
        <w:tblLook w:val="04A0" w:firstRow="1" w:lastRow="0" w:firstColumn="1" w:lastColumn="0" w:noHBand="0" w:noVBand="1"/>
      </w:tblPr>
      <w:tblGrid>
        <w:gridCol w:w="2894"/>
        <w:gridCol w:w="7704"/>
      </w:tblGrid>
      <w:tr w:rsidR="003B0A63" w:rsidRPr="003B0A63" w14:paraId="215D66C6" w14:textId="77777777" w:rsidTr="00F111B1">
        <w:tc>
          <w:tcPr>
            <w:tcW w:w="0" w:type="auto"/>
            <w:tcBorders>
              <w:top w:val="nil"/>
              <w:left w:val="nil"/>
              <w:bottom w:val="single" w:sz="6" w:space="0" w:color="CCCCCC"/>
              <w:right w:val="single" w:sz="6" w:space="0" w:color="CCCCCC"/>
            </w:tcBorders>
            <w:shd w:val="clear" w:color="auto" w:fill="ECECEC"/>
            <w:vAlign w:val="center"/>
            <w:hideMark/>
          </w:tcPr>
          <w:p w14:paraId="3F331DD6" w14:textId="77777777" w:rsidR="003B0A63" w:rsidRPr="003B0A63" w:rsidRDefault="003B0A63" w:rsidP="00F111B1">
            <w:pPr>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Measurement</w:t>
            </w:r>
          </w:p>
        </w:tc>
        <w:tc>
          <w:tcPr>
            <w:tcW w:w="0" w:type="auto"/>
            <w:tcBorders>
              <w:top w:val="nil"/>
              <w:left w:val="single" w:sz="6" w:space="0" w:color="CCCCCC"/>
              <w:bottom w:val="single" w:sz="6" w:space="0" w:color="CCCCCC"/>
              <w:right w:val="nil"/>
            </w:tcBorders>
            <w:shd w:val="clear" w:color="auto" w:fill="ECECEC"/>
            <w:vAlign w:val="center"/>
            <w:hideMark/>
          </w:tcPr>
          <w:p w14:paraId="270C63CD" w14:textId="77777777" w:rsidR="003B0A63" w:rsidRPr="003B0A63" w:rsidRDefault="003B0A63" w:rsidP="00F111B1">
            <w:pPr>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Description</w:t>
            </w:r>
          </w:p>
        </w:tc>
      </w:tr>
      <w:tr w:rsidR="003B0A63" w:rsidRPr="003B0A63" w14:paraId="0CCAFCB1"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173C6F5B" w14:textId="77777777" w:rsidR="003B0A63" w:rsidRPr="003B0A63" w:rsidRDefault="003B0A63" w:rsidP="00F111B1">
            <w:pPr>
              <w:rPr>
                <w:rFonts w:asciiTheme="minorBidi" w:hAnsiTheme="minorBidi" w:cstheme="minorBidi"/>
                <w:color w:val="222222"/>
                <w:sz w:val="22"/>
                <w:szCs w:val="22"/>
              </w:rPr>
            </w:pPr>
            <w:proofErr w:type="spellStart"/>
            <w:r w:rsidRPr="003B0A63">
              <w:rPr>
                <w:rFonts w:asciiTheme="minorBidi" w:hAnsiTheme="minorBidi" w:cstheme="minorBidi"/>
                <w:color w:val="222222"/>
                <w:sz w:val="22"/>
                <w:szCs w:val="22"/>
              </w:rPr>
              <w:t>iTONA</w:t>
            </w:r>
            <w:proofErr w:type="spellEnd"/>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0488BD18"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to NA angle</w:t>
            </w:r>
          </w:p>
        </w:tc>
      </w:tr>
      <w:tr w:rsidR="003B0A63" w:rsidRPr="003B0A63" w14:paraId="5FB869DA"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624CC3E7"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I/NA</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36045833"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to NA linear distance</w:t>
            </w:r>
          </w:p>
        </w:tc>
      </w:tr>
      <w:tr w:rsidR="003B0A63" w:rsidRPr="003B0A63" w14:paraId="21F2A994"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40C1BB6B"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ITONB</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633FCEF0"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to NB angle</w:t>
            </w:r>
          </w:p>
        </w:tc>
      </w:tr>
      <w:tr w:rsidR="003B0A63" w:rsidRPr="003B0A63" w14:paraId="014F9DB6"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756044D1"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IMPA</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093CECA8"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Mandibular Plane Angle</w:t>
            </w:r>
          </w:p>
        </w:tc>
      </w:tr>
      <w:tr w:rsidR="003B0A63" w:rsidRPr="003B0A63" w14:paraId="5AEBE8D9"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6661F6D4"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ANB</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57470732"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A point – Nasion – B point</w:t>
            </w:r>
          </w:p>
        </w:tc>
      </w:tr>
      <w:tr w:rsidR="003B0A63" w:rsidRPr="003B0A63" w14:paraId="0D34E270"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2750A4F3"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SNB</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5BD4C921"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Sella – Nasion – B point</w:t>
            </w:r>
          </w:p>
        </w:tc>
      </w:tr>
      <w:tr w:rsidR="003B0A63" w:rsidRPr="003B0A63" w14:paraId="71248F63"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40DFA84C"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SNA</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5F483BA2"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Sella – Nasion – A point</w:t>
            </w:r>
          </w:p>
        </w:tc>
      </w:tr>
      <w:tr w:rsidR="003B0A63" w:rsidRPr="003B0A63" w14:paraId="49DDD0FD"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229DCB7E" w14:textId="77777777" w:rsidR="003B0A63" w:rsidRPr="003B0A63" w:rsidRDefault="003B0A63" w:rsidP="00F111B1">
            <w:pPr>
              <w:rPr>
                <w:rFonts w:asciiTheme="minorBidi" w:hAnsiTheme="minorBidi" w:cstheme="minorBidi"/>
                <w:color w:val="222222"/>
                <w:sz w:val="22"/>
                <w:szCs w:val="22"/>
              </w:rPr>
            </w:pPr>
            <w:proofErr w:type="spellStart"/>
            <w:r w:rsidRPr="003B0A63">
              <w:rPr>
                <w:rFonts w:asciiTheme="minorBidi" w:hAnsiTheme="minorBidi" w:cstheme="minorBidi"/>
                <w:color w:val="222222"/>
                <w:sz w:val="22"/>
                <w:szCs w:val="22"/>
              </w:rPr>
              <w:lastRenderedPageBreak/>
              <w:t>SNGoGn</w:t>
            </w:r>
            <w:proofErr w:type="spellEnd"/>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1A946470"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Sella-Nasion to Gonion-Gnathion angle</w:t>
            </w:r>
          </w:p>
        </w:tc>
      </w:tr>
      <w:tr w:rsidR="003B0A63" w:rsidRPr="003B0A63" w14:paraId="41088EA7" w14:textId="77777777" w:rsidTr="00F111B1">
        <w:tc>
          <w:tcPr>
            <w:tcW w:w="0" w:type="auto"/>
            <w:tcBorders>
              <w:top w:val="single" w:sz="6" w:space="0" w:color="CCCCCC"/>
              <w:left w:val="nil"/>
              <w:bottom w:val="nil"/>
              <w:right w:val="single" w:sz="6" w:space="0" w:color="CCCCCC"/>
            </w:tcBorders>
            <w:shd w:val="clear" w:color="auto" w:fill="F9F9F9"/>
            <w:vAlign w:val="center"/>
            <w:hideMark/>
          </w:tcPr>
          <w:p w14:paraId="5DA74B81"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FMA</w:t>
            </w:r>
          </w:p>
        </w:tc>
        <w:tc>
          <w:tcPr>
            <w:tcW w:w="0" w:type="auto"/>
            <w:tcBorders>
              <w:top w:val="single" w:sz="6" w:space="0" w:color="CCCCCC"/>
              <w:left w:val="single" w:sz="6" w:space="0" w:color="CCCCCC"/>
              <w:bottom w:val="nil"/>
              <w:right w:val="nil"/>
            </w:tcBorders>
            <w:shd w:val="clear" w:color="auto" w:fill="F9F9F9"/>
            <w:vAlign w:val="center"/>
            <w:hideMark/>
          </w:tcPr>
          <w:p w14:paraId="76088CA5"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Frankfort Mandibular Plane Angle</w:t>
            </w:r>
          </w:p>
        </w:tc>
      </w:tr>
    </w:tbl>
    <w:p w14:paraId="00556820" w14:textId="77777777" w:rsidR="003B0A63" w:rsidRPr="003B0A63" w:rsidRDefault="003B0A63" w:rsidP="003B0A63">
      <w:pPr>
        <w:pStyle w:val="Heading6"/>
        <w:spacing w:before="48" w:line="312" w:lineRule="atLeast"/>
        <w:rPr>
          <w:rFonts w:asciiTheme="minorBidi" w:hAnsiTheme="minorBidi" w:cstheme="minorBidi"/>
          <w:color w:val="222222"/>
          <w:sz w:val="20"/>
          <w:szCs w:val="20"/>
        </w:rPr>
      </w:pPr>
      <w:r w:rsidRPr="003B0A63">
        <w:rPr>
          <w:rFonts w:asciiTheme="minorBidi" w:hAnsiTheme="minorBidi" w:cstheme="minorBidi"/>
          <w:b/>
          <w:bCs/>
          <w:color w:val="222222"/>
          <w:sz w:val="20"/>
          <w:szCs w:val="20"/>
        </w:rPr>
        <w:t>Table I</w:t>
      </w:r>
      <w:r w:rsidRPr="003B0A63">
        <w:rPr>
          <w:rFonts w:asciiTheme="minorBidi" w:hAnsiTheme="minorBidi" w:cstheme="minorBidi"/>
          <w:color w:val="222222"/>
          <w:sz w:val="20"/>
          <w:szCs w:val="20"/>
        </w:rPr>
        <w:t>: Cephalometric measurements used for diagnosis and treatment planning. The table includes angular and linear parameters assessing incisor positioning, skeletal relationships, and mandibular plane inclination.</w:t>
      </w:r>
    </w:p>
    <w:p w14:paraId="678843BA"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TREATMENT OBJECTIVES</w:t>
      </w:r>
    </w:p>
    <w:p w14:paraId="719B27F0" w14:textId="77777777" w:rsidR="003B0A63" w:rsidRPr="00CE2C07" w:rsidRDefault="003B0A63" w:rsidP="003B0A63">
      <w:p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The treatment objectives were to:</w:t>
      </w:r>
    </w:p>
    <w:p w14:paraId="68580398"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Correct mandibular crowding and dental midline deviation</w:t>
      </w:r>
    </w:p>
    <w:p w14:paraId="138EBD28"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Reduce maxillary incisor protrusion</w:t>
      </w:r>
    </w:p>
    <w:p w14:paraId="65FB6053"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Establish Class I canine and functional molar relationships</w:t>
      </w:r>
    </w:p>
    <w:p w14:paraId="77AB4437"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Normalize overjet and overbite</w:t>
      </w:r>
    </w:p>
    <w:p w14:paraId="0064D9AF"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Improve facial esthetics and lip posture</w:t>
      </w:r>
    </w:p>
    <w:p w14:paraId="37FFD109" w14:textId="77777777" w:rsidR="003B0A63" w:rsidRPr="003B0A63"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Achieve a stable occlusion with long-term retention</w:t>
      </w:r>
    </w:p>
    <w:p w14:paraId="6C032487"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TREATMENT ALTERNATIVES:</w:t>
      </w:r>
    </w:p>
    <w:p w14:paraId="4F9D4A99"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Several treatment options were considered. Orthognathic surgery combined with orthodontic treatment was discussed but refused by the patient. A non-extraction approach using interproximal enamel reduction or skeletal anchorage was considered; however, the severity of mandibular crowding and the degree of dentoalveolar compensation ma</w:t>
      </w:r>
      <w:r w:rsidRPr="003B0A63">
        <w:rPr>
          <w:rFonts w:asciiTheme="minorBidi" w:hAnsiTheme="minorBidi" w:cstheme="minorBidi"/>
          <w:sz w:val="22"/>
          <w:szCs w:val="22"/>
        </w:rPr>
        <w:t xml:space="preserve">de these options less favorable </w:t>
      </w:r>
      <w:hyperlink r:id="rId21" w:history="1">
        <w:r w:rsidRPr="003B0A63">
          <w:rPr>
            <w:rStyle w:val="Hyperlink"/>
            <w:rFonts w:asciiTheme="minorBidi" w:hAnsiTheme="minorBidi" w:cstheme="minorBidi"/>
            <w:color w:val="0096B7"/>
            <w:sz w:val="18"/>
            <w:szCs w:val="18"/>
            <w:u w:val="none"/>
          </w:rPr>
          <w:t>[6-7]</w:t>
        </w:r>
      </w:hyperlink>
      <w:r w:rsidRPr="003B0A63">
        <w:rPr>
          <w:rStyle w:val="Hyperlink"/>
          <w:rFonts w:asciiTheme="minorBidi" w:hAnsiTheme="minorBidi" w:cstheme="minorBidi"/>
          <w:color w:val="0096B7"/>
          <w:sz w:val="18"/>
          <w:szCs w:val="18"/>
          <w:u w:val="none"/>
        </w:rPr>
        <w:t>.</w:t>
      </w:r>
    </w:p>
    <w:p w14:paraId="6043BDA6"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An asymmetric premolar extraction protocol was selected to address crowding, correct the dental midline discrepancy, and improve incisor inclination while preserving facial esthetics and periodontal health</w:t>
      </w:r>
      <w:r w:rsidRPr="003B0A63">
        <w:rPr>
          <w:rFonts w:asciiTheme="minorBidi" w:hAnsiTheme="minorBidi" w:cstheme="minorBidi"/>
          <w:sz w:val="22"/>
          <w:szCs w:val="22"/>
        </w:rPr>
        <w:t xml:space="preserve"> </w:t>
      </w:r>
      <w:hyperlink r:id="rId22" w:history="1">
        <w:r w:rsidRPr="003B0A63">
          <w:rPr>
            <w:rStyle w:val="Hyperlink"/>
            <w:rFonts w:asciiTheme="minorBidi" w:hAnsiTheme="minorBidi" w:cstheme="minorBidi"/>
            <w:color w:val="0096B7"/>
            <w:sz w:val="18"/>
            <w:szCs w:val="18"/>
            <w:u w:val="none"/>
          </w:rPr>
          <w:t>[8]</w:t>
        </w:r>
      </w:hyperlink>
      <w:r w:rsidRPr="00CE2C07">
        <w:rPr>
          <w:rFonts w:asciiTheme="minorBidi" w:hAnsiTheme="minorBidi" w:cstheme="minorBidi"/>
          <w:sz w:val="22"/>
          <w:szCs w:val="22"/>
        </w:rPr>
        <w:t>.</w:t>
      </w:r>
    </w:p>
    <w:p w14:paraId="21CF82FE"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color w:val="222222"/>
          <w:sz w:val="22"/>
          <w:szCs w:val="22"/>
        </w:rPr>
        <w:t> </w:t>
      </w:r>
      <w:r w:rsidRPr="003B0A63">
        <w:rPr>
          <w:rFonts w:asciiTheme="minorBidi" w:hAnsiTheme="minorBidi" w:cstheme="minorBidi"/>
          <w:b/>
          <w:bCs/>
          <w:color w:val="222222"/>
          <w:sz w:val="22"/>
          <w:szCs w:val="22"/>
        </w:rPr>
        <w:t>TREATMENT PROGRESS</w:t>
      </w:r>
    </w:p>
    <w:p w14:paraId="30E0FD27"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 xml:space="preserve">The main goal of treatment in our case was correcting the </w:t>
      </w:r>
      <w:proofErr w:type="spellStart"/>
      <w:r w:rsidRPr="003B0A63">
        <w:rPr>
          <w:rFonts w:asciiTheme="minorBidi" w:hAnsiTheme="minorBidi" w:cstheme="minorBidi"/>
          <w:color w:val="222222"/>
          <w:sz w:val="22"/>
          <w:szCs w:val="22"/>
        </w:rPr>
        <w:t>proclination</w:t>
      </w:r>
      <w:proofErr w:type="spellEnd"/>
      <w:r w:rsidRPr="003B0A63">
        <w:rPr>
          <w:rFonts w:asciiTheme="minorBidi" w:hAnsiTheme="minorBidi" w:cstheme="minorBidi"/>
          <w:color w:val="222222"/>
          <w:sz w:val="22"/>
          <w:szCs w:val="22"/>
        </w:rPr>
        <w:t xml:space="preserve"> of maxillary incisors, which presented a real esthetic problem for the patient, while also resolving the asymmetry and midline discrepancy between the maxilla and the mandible. Establishing an ideal occlusal relationship and achieving facial harmony were prioritized to enhance esthetics and function. Additionally, maintaining a stable, long-term, occlusal result was essential to ensure that any improvements in overbite and overjet remained consistent over time.</w:t>
      </w:r>
    </w:p>
    <w:p w14:paraId="425C8175"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The treatment plan included extraction of maxillary right first premolar (14) and mandibular first premolars (34 and 44). Fixed orthodontic appliances with passive conventional brackets were placed in both arches.</w:t>
      </w:r>
    </w:p>
    <w:p w14:paraId="71DF397F"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0.12 Ni-</w:t>
      </w:r>
      <w:proofErr w:type="spellStart"/>
      <w:r w:rsidRPr="003B0A63">
        <w:rPr>
          <w:rFonts w:asciiTheme="minorBidi" w:hAnsiTheme="minorBidi" w:cstheme="minorBidi"/>
          <w:color w:val="222222"/>
          <w:sz w:val="22"/>
          <w:szCs w:val="22"/>
        </w:rPr>
        <w:t>Ti</w:t>
      </w:r>
      <w:proofErr w:type="spellEnd"/>
      <w:r w:rsidRPr="003B0A63">
        <w:rPr>
          <w:rFonts w:asciiTheme="minorBidi" w:hAnsiTheme="minorBidi" w:cstheme="minorBidi"/>
          <w:color w:val="222222"/>
          <w:sz w:val="22"/>
          <w:szCs w:val="22"/>
        </w:rPr>
        <w:t xml:space="preserve">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inserted into the lower and upper arches, marking the beginning of alignment. During this period, the extraction spaces were utilized effectively for the retraction of anterior teeth, facilitating both profile enhancement and reduction of the </w:t>
      </w:r>
      <w:proofErr w:type="spellStart"/>
      <w:r w:rsidRPr="003B0A63">
        <w:rPr>
          <w:rFonts w:asciiTheme="minorBidi" w:hAnsiTheme="minorBidi" w:cstheme="minorBidi"/>
          <w:color w:val="222222"/>
          <w:sz w:val="22"/>
          <w:szCs w:val="22"/>
        </w:rPr>
        <w:t>proclination</w:t>
      </w:r>
      <w:proofErr w:type="spellEnd"/>
      <w:r w:rsidRPr="003B0A63">
        <w:rPr>
          <w:rFonts w:asciiTheme="minorBidi" w:hAnsiTheme="minorBidi" w:cstheme="minorBidi"/>
          <w:color w:val="222222"/>
          <w:sz w:val="22"/>
          <w:szCs w:val="22"/>
        </w:rPr>
        <w:t xml:space="preserve"> in the maxillary region </w:t>
      </w:r>
      <w:r w:rsidRPr="003B0A63">
        <w:rPr>
          <w:rFonts w:asciiTheme="minorBidi" w:hAnsiTheme="minorBidi" w:cstheme="minorBidi"/>
          <w:b/>
          <w:bCs/>
          <w:color w:val="222222"/>
          <w:sz w:val="22"/>
          <w:szCs w:val="22"/>
        </w:rPr>
        <w:t>(Figure </w:t>
      </w:r>
      <w:hyperlink r:id="rId23" w:history="1">
        <w:r w:rsidRPr="003B0A63">
          <w:rPr>
            <w:rStyle w:val="Emphasis"/>
            <w:rFonts w:asciiTheme="minorBidi" w:hAnsiTheme="minorBidi" w:cstheme="minorBidi"/>
            <w:color w:val="0096B7"/>
            <w:sz w:val="22"/>
            <w:szCs w:val="22"/>
          </w:rPr>
          <w:t>5</w:t>
        </w:r>
      </w:hyperlink>
      <w:r w:rsidRPr="003B0A63">
        <w:rPr>
          <w:rFonts w:asciiTheme="minorBidi" w:hAnsiTheme="minorBidi" w:cstheme="minorBidi"/>
          <w:color w:val="222222"/>
          <w:sz w:val="22"/>
          <w:szCs w:val="22"/>
        </w:rPr>
        <w:t>).</w:t>
      </w:r>
    </w:p>
    <w:p w14:paraId="1BADAEBB"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lastRenderedPageBreak/>
        <w:t>Continuous adjustments were made to achieve alignment. 0.14 Ni-</w:t>
      </w:r>
      <w:proofErr w:type="spellStart"/>
      <w:r w:rsidRPr="003B0A63">
        <w:rPr>
          <w:rFonts w:asciiTheme="minorBidi" w:hAnsiTheme="minorBidi" w:cstheme="minorBidi"/>
          <w:color w:val="222222"/>
          <w:sz w:val="22"/>
          <w:szCs w:val="22"/>
        </w:rPr>
        <w:t>Ti</w:t>
      </w:r>
      <w:proofErr w:type="spellEnd"/>
      <w:r w:rsidRPr="003B0A63">
        <w:rPr>
          <w:rFonts w:asciiTheme="minorBidi" w:hAnsiTheme="minorBidi" w:cstheme="minorBidi"/>
          <w:color w:val="222222"/>
          <w:sz w:val="22"/>
          <w:szCs w:val="22"/>
        </w:rPr>
        <w:t xml:space="preserve">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followed by 0.16 Ni-</w:t>
      </w:r>
      <w:proofErr w:type="spellStart"/>
      <w:r w:rsidRPr="003B0A63">
        <w:rPr>
          <w:rFonts w:asciiTheme="minorBidi" w:hAnsiTheme="minorBidi" w:cstheme="minorBidi"/>
          <w:color w:val="222222"/>
          <w:sz w:val="22"/>
          <w:szCs w:val="22"/>
        </w:rPr>
        <w:t>Ti</w:t>
      </w:r>
      <w:proofErr w:type="spellEnd"/>
      <w:r w:rsidRPr="003B0A63">
        <w:rPr>
          <w:rFonts w:asciiTheme="minorBidi" w:hAnsiTheme="minorBidi" w:cstheme="minorBidi"/>
          <w:color w:val="222222"/>
          <w:sz w:val="22"/>
          <w:szCs w:val="22"/>
        </w:rPr>
        <w:t xml:space="preserve">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to enhance the final adjustments and correct midline discrepancies, while stainless steel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inserted to refine the occlusal relationship towards a Class I. Throughout this active treatment phase, significant progress was observed: dental compensations were corrected through stainless steel (016x022), and alignment was improved progressively in both arches.</w:t>
      </w:r>
    </w:p>
    <w:p w14:paraId="7114FD7E"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 xml:space="preserve">At the end of the treatment, 019x025 stainless steel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introduced with moderate buccal torque to address the final adjustments. The results were satisfactory, with the patient achieving an improved facial profile characterized by a more balanced and harmonious labial relationship, in addition to proper occlusal function.</w:t>
      </w:r>
    </w:p>
    <w:p w14:paraId="4D4DC881"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TREATMENT RESULTS:</w:t>
      </w:r>
    </w:p>
    <w:p w14:paraId="3C11CEE9"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After periods of active orthodontic treatment, an improved facial profile was achieved, with harmonious labial relationships and reduced steepness in the profile (</w:t>
      </w:r>
      <w:r w:rsidRPr="003B0A63">
        <w:rPr>
          <w:rFonts w:asciiTheme="minorBidi" w:hAnsiTheme="minorBidi" w:cstheme="minorBidi"/>
          <w:b/>
          <w:bCs/>
          <w:color w:val="222222"/>
          <w:sz w:val="22"/>
          <w:szCs w:val="22"/>
        </w:rPr>
        <w:t>Figure</w:t>
      </w:r>
      <w:r w:rsidRPr="003B0A63">
        <w:rPr>
          <w:rFonts w:asciiTheme="minorBidi" w:hAnsiTheme="minorBidi" w:cstheme="minorBidi"/>
          <w:color w:val="222222"/>
          <w:sz w:val="22"/>
          <w:szCs w:val="22"/>
        </w:rPr>
        <w:t xml:space="preserve"> 6). Correction of tooth positioning and occlusion was obtained, with proper positioning of maxillary and mandibular incisors accomplished, correction of dental compensations, and establishment of a Class I occlusal relationship.</w:t>
      </w:r>
    </w:p>
    <w:p w14:paraId="123B9684"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Alignment of dental midlines was achieved, with noticeable improvement in the symmetry between the maxilla and mandible, as seen in post-treatment radiographs (</w:t>
      </w:r>
      <w:r w:rsidRPr="003B0A63">
        <w:rPr>
          <w:rFonts w:asciiTheme="minorBidi" w:hAnsiTheme="minorBidi" w:cstheme="minorBidi"/>
          <w:b/>
          <w:bCs/>
          <w:color w:val="222222"/>
          <w:sz w:val="22"/>
          <w:szCs w:val="22"/>
        </w:rPr>
        <w:t>Figure 7</w:t>
      </w:r>
      <w:r w:rsidRPr="003B0A63">
        <w:rPr>
          <w:rFonts w:asciiTheme="minorBidi" w:hAnsiTheme="minorBidi" w:cstheme="minorBidi"/>
          <w:color w:val="222222"/>
          <w:sz w:val="22"/>
          <w:szCs w:val="22"/>
        </w:rPr>
        <w:t>). Normal overjet and overbite were attained, providing a stable occlusion with no open bite or cross-bite tendencies, as seen in post-treatment study models. (</w:t>
      </w:r>
      <w:r w:rsidRPr="003B0A63">
        <w:rPr>
          <w:rFonts w:asciiTheme="minorBidi" w:hAnsiTheme="minorBidi" w:cstheme="minorBidi"/>
          <w:b/>
          <w:bCs/>
          <w:color w:val="222222"/>
          <w:sz w:val="22"/>
          <w:szCs w:val="22"/>
        </w:rPr>
        <w:t>Figure</w:t>
      </w:r>
      <w:r w:rsidRPr="003B0A63">
        <w:rPr>
          <w:rFonts w:asciiTheme="minorBidi" w:hAnsiTheme="minorBidi" w:cstheme="minorBidi"/>
          <w:color w:val="222222"/>
          <w:sz w:val="22"/>
          <w:szCs w:val="22"/>
        </w:rPr>
        <w:t> </w:t>
      </w:r>
      <w:r w:rsidRPr="003B0A63">
        <w:rPr>
          <w:rFonts w:asciiTheme="minorBidi" w:hAnsiTheme="minorBidi" w:cstheme="minorBidi"/>
          <w:sz w:val="22"/>
          <w:szCs w:val="22"/>
        </w:rPr>
        <w:t>8</w:t>
      </w:r>
      <w:r w:rsidRPr="003B0A63">
        <w:rPr>
          <w:rFonts w:asciiTheme="minorBidi" w:hAnsiTheme="minorBidi" w:cstheme="minorBidi"/>
          <w:color w:val="222222"/>
          <w:sz w:val="22"/>
          <w:szCs w:val="22"/>
        </w:rPr>
        <w:t>). The patient’s smile was improved, with better incisor positioning and a competent lip seal, contributing to an esthetically pleasing and functionally stable outcome.</w:t>
      </w:r>
    </w:p>
    <w:p w14:paraId="1309FF93" w14:textId="77777777" w:rsidR="00790ADA" w:rsidRPr="00FB3A86" w:rsidRDefault="00790ADA" w:rsidP="00441B6F">
      <w:pPr>
        <w:pStyle w:val="Body"/>
        <w:spacing w:after="0"/>
        <w:rPr>
          <w:rFonts w:ascii="Arial" w:hAnsi="Arial" w:cs="Arial"/>
        </w:rPr>
      </w:pPr>
    </w:p>
    <w:p w14:paraId="019E7808" w14:textId="77777777" w:rsidR="00902823" w:rsidRDefault="00000F8F" w:rsidP="003B0A6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76F8547" w14:textId="77777777" w:rsidR="00790ADA" w:rsidRPr="003B0A63" w:rsidRDefault="00790ADA" w:rsidP="00441B6F">
      <w:pPr>
        <w:pStyle w:val="Head1"/>
        <w:spacing w:after="0"/>
        <w:jc w:val="both"/>
        <w:rPr>
          <w:rFonts w:asciiTheme="minorBidi" w:hAnsiTheme="minorBidi" w:cstheme="minorBidi"/>
          <w:sz w:val="20"/>
          <w:szCs w:val="18"/>
        </w:rPr>
      </w:pPr>
    </w:p>
    <w:p w14:paraId="4C58BB60" w14:textId="77777777" w:rsidR="003B0A63" w:rsidRPr="003B0A63" w:rsidRDefault="003B0A63" w:rsidP="003B0A63">
      <w:pPr>
        <w:pStyle w:val="Heading3"/>
        <w:shd w:val="clear" w:color="auto" w:fill="FFFFFF"/>
        <w:spacing w:before="48" w:after="120" w:line="360" w:lineRule="auto"/>
        <w:ind w:right="240"/>
        <w:rPr>
          <w:rFonts w:asciiTheme="minorBidi" w:hAnsiTheme="minorBidi" w:cstheme="minorBidi"/>
          <w:b/>
          <w:bCs/>
          <w:color w:val="222222"/>
          <w:sz w:val="22"/>
          <w:szCs w:val="22"/>
        </w:rPr>
      </w:pPr>
      <w:r w:rsidRPr="003B0A63">
        <w:rPr>
          <w:rFonts w:asciiTheme="minorBidi" w:hAnsiTheme="minorBidi" w:cstheme="minorBidi"/>
          <w:color w:val="222222"/>
          <w:sz w:val="22"/>
          <w:szCs w:val="22"/>
        </w:rPr>
        <w:t>Management of Angle Class III malocclusion, particularly in adult patients, presents significant challenges that require a comprehensive understanding of both dental and skeletal components </w:t>
      </w:r>
      <w:hyperlink r:id="rId24" w:history="1">
        <w:r w:rsidRPr="003B0A63">
          <w:rPr>
            <w:rStyle w:val="Hyperlink"/>
            <w:rFonts w:asciiTheme="minorBidi" w:hAnsiTheme="minorBidi" w:cstheme="minorBidi"/>
            <w:color w:val="0096B7"/>
            <w:sz w:val="22"/>
            <w:szCs w:val="22"/>
          </w:rPr>
          <w:t>[9]</w:t>
        </w:r>
      </w:hyperlink>
      <w:r w:rsidRPr="003B0A63">
        <w:rPr>
          <w:rFonts w:asciiTheme="minorBidi" w:hAnsiTheme="minorBidi" w:cstheme="minorBidi"/>
          <w:color w:val="222222"/>
          <w:sz w:val="22"/>
          <w:szCs w:val="22"/>
        </w:rPr>
        <w:t>. This case report focuses on the orthodontic treatment of a 35-year-old woman presenting with Angle Class III malocclusion characterized by maxillary protrusion, severe inferior crowding, and a noticeable midline shift.</w:t>
      </w:r>
    </w:p>
    <w:p w14:paraId="03193B3A"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Angle Class III malocclusion has been defined as a condition in which the first molars occlude in a mesial relationship, resulting in a concave facial profile that can manifest as either mandibular protrusion, maxillary retrusion, or a combination of both </w:t>
      </w:r>
      <w:hyperlink r:id="rId25" w:history="1">
        <w:r w:rsidRPr="003B0A63">
          <w:rPr>
            <w:rStyle w:val="Hyperlink"/>
            <w:rFonts w:asciiTheme="minorBidi" w:hAnsiTheme="minorBidi" w:cstheme="minorBidi"/>
            <w:color w:val="0096B7"/>
            <w:sz w:val="22"/>
            <w:szCs w:val="22"/>
          </w:rPr>
          <w:t>[10-11]</w:t>
        </w:r>
      </w:hyperlink>
      <w:r w:rsidRPr="003B0A63">
        <w:rPr>
          <w:rFonts w:asciiTheme="minorBidi" w:hAnsiTheme="minorBidi" w:cstheme="minorBidi"/>
          <w:color w:val="222222"/>
          <w:sz w:val="22"/>
          <w:szCs w:val="22"/>
        </w:rPr>
        <w:t>. Angle classification addresses the dental relationships without adequately addressing the skeletal components involved </w:t>
      </w:r>
      <w:hyperlink r:id="rId26" w:history="1">
        <w:r w:rsidRPr="003B0A63">
          <w:rPr>
            <w:rStyle w:val="Hyperlink"/>
            <w:rFonts w:asciiTheme="minorBidi" w:hAnsiTheme="minorBidi" w:cstheme="minorBidi"/>
            <w:color w:val="0096B7"/>
            <w:sz w:val="22"/>
            <w:szCs w:val="22"/>
          </w:rPr>
          <w:t>[12]</w:t>
        </w:r>
      </w:hyperlink>
      <w:r w:rsidRPr="003B0A63">
        <w:rPr>
          <w:rFonts w:asciiTheme="minorBidi" w:hAnsiTheme="minorBidi" w:cstheme="minorBidi"/>
          <w:color w:val="222222"/>
          <w:sz w:val="22"/>
          <w:szCs w:val="22"/>
        </w:rPr>
        <w:t>. This oversight has led to considerable debate within the orthodontic community regarding appropriate treatment methodologies, particularly in adults, where skeletal maturity limits certain options </w:t>
      </w:r>
      <w:hyperlink r:id="rId27" w:history="1">
        <w:r w:rsidRPr="003B0A63">
          <w:rPr>
            <w:rStyle w:val="Hyperlink"/>
            <w:rFonts w:asciiTheme="minorBidi" w:hAnsiTheme="minorBidi" w:cstheme="minorBidi"/>
            <w:color w:val="0096B7"/>
            <w:sz w:val="22"/>
            <w:szCs w:val="22"/>
          </w:rPr>
          <w:t>[13]</w:t>
        </w:r>
      </w:hyperlink>
      <w:r w:rsidRPr="003B0A63">
        <w:rPr>
          <w:rFonts w:asciiTheme="minorBidi" w:hAnsiTheme="minorBidi" w:cstheme="minorBidi"/>
          <w:color w:val="222222"/>
          <w:sz w:val="22"/>
          <w:szCs w:val="22"/>
        </w:rPr>
        <w:t xml:space="preserve">. The present case highlights the importance of recognizing the nuanced interplay between dental compensation and skeletal relationships. Unlike cases primarily involving </w:t>
      </w:r>
      <w:r w:rsidRPr="003B0A63">
        <w:rPr>
          <w:rFonts w:asciiTheme="minorBidi" w:hAnsiTheme="minorBidi" w:cstheme="minorBidi"/>
          <w:color w:val="222222"/>
          <w:sz w:val="22"/>
          <w:szCs w:val="22"/>
        </w:rPr>
        <w:lastRenderedPageBreak/>
        <w:t>skeletal Class III deformities, our patient exhibited significant dental compensations that influenced treatment planning.</w:t>
      </w:r>
    </w:p>
    <w:p w14:paraId="7A01E261"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Studies have shown that the extraction of premolars can be a highly effective strategy in managing Angle Class III malocclusion. For example, Kim and Baek investigated changes in maxillary incisor inclination during surgical-orthodontic treatment, and found that extracting the maxillary first premolars could lead to substantial improvements in incisor positioning and facial esthetics </w:t>
      </w:r>
      <w:hyperlink r:id="rId28" w:history="1">
        <w:r w:rsidRPr="003B0A63">
          <w:rPr>
            <w:rStyle w:val="Hyperlink"/>
            <w:rFonts w:asciiTheme="minorBidi" w:hAnsiTheme="minorBidi" w:cstheme="minorBidi"/>
            <w:color w:val="0096B7"/>
            <w:sz w:val="22"/>
            <w:szCs w:val="22"/>
          </w:rPr>
          <w:t>[14]</w:t>
        </w:r>
      </w:hyperlink>
      <w:r w:rsidRPr="003B0A63">
        <w:rPr>
          <w:rFonts w:asciiTheme="minorBidi" w:hAnsiTheme="minorBidi" w:cstheme="minorBidi"/>
          <w:color w:val="222222"/>
          <w:sz w:val="22"/>
          <w:szCs w:val="22"/>
        </w:rPr>
        <w:t>. These findings directly informed our decision to extract the premolars in our case, as it allowed for the management of crowding and the correction of dental protrusion while enhancing overall facial harmony.</w:t>
      </w:r>
    </w:p>
    <w:p w14:paraId="355699EE"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The efficacy of premolar extraction in the treatment of Class III malocclusion is well supported in the literature. Needham et al. explored the use of lower-incisor extraction in Class III treatment with clear aligners and demonstrated that this strategy could effectively address occlusal discrepancies </w:t>
      </w:r>
      <w:hyperlink r:id="rId29" w:history="1">
        <w:r w:rsidRPr="003B0A63">
          <w:rPr>
            <w:rStyle w:val="Hyperlink"/>
            <w:rFonts w:asciiTheme="minorBidi" w:hAnsiTheme="minorBidi" w:cstheme="minorBidi"/>
            <w:color w:val="0096B7"/>
            <w:sz w:val="22"/>
            <w:szCs w:val="22"/>
          </w:rPr>
          <w:t>[15]</w:t>
        </w:r>
      </w:hyperlink>
      <w:r w:rsidRPr="003B0A63">
        <w:rPr>
          <w:rFonts w:asciiTheme="minorBidi" w:hAnsiTheme="minorBidi" w:cstheme="minorBidi"/>
          <w:color w:val="222222"/>
          <w:sz w:val="22"/>
          <w:szCs w:val="22"/>
        </w:rPr>
        <w:t>. Although our treatment utilized fixed appliances rather than clear aligners, the underlying principle was still to manage tooth positioning for optimal occlusion and esthetics. The successful resolution of our patient’s malocclusion through the extraction of two premolars reflects a critical consensus within the field regarding the effectiveness of this approach.</w:t>
      </w:r>
    </w:p>
    <w:p w14:paraId="565BFF39"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In exploring alternative treatment strategies, Lin and Gu examined the role of lower second molar extraction in a severe skeletal Class III case </w:t>
      </w:r>
      <w:hyperlink r:id="rId30" w:history="1">
        <w:r w:rsidRPr="003B0A63">
          <w:rPr>
            <w:rStyle w:val="Hyperlink"/>
            <w:rFonts w:asciiTheme="minorBidi" w:hAnsiTheme="minorBidi" w:cstheme="minorBidi"/>
            <w:color w:val="0096B7"/>
            <w:sz w:val="22"/>
            <w:szCs w:val="22"/>
          </w:rPr>
          <w:t>[16]</w:t>
        </w:r>
      </w:hyperlink>
      <w:r w:rsidRPr="003B0A63">
        <w:rPr>
          <w:rFonts w:asciiTheme="minorBidi" w:hAnsiTheme="minorBidi" w:cstheme="minorBidi"/>
          <w:color w:val="222222"/>
          <w:sz w:val="22"/>
          <w:szCs w:val="22"/>
        </w:rPr>
        <w:t>. Their findings suggested that selective extraction can facilitate alignment and improve occlusion, supporting our choice to perform premolar extractions to alleviate crowding and facilitate the correction of the midline shift. These findings reinforce the understanding that extraction protocols should be thoughtfully considered based on individual patient characteristics, particularly in cases where dental compensations are prominent.</w:t>
      </w:r>
    </w:p>
    <w:p w14:paraId="225B1DA7"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The discussion surrounding extraction versus non-extraction treatment strategies continues to be a focal point in orthodontic literature. Janson et al. conducted a comprehensive evaluation of various extraction protocols over several decades, indicating a trend towards individualized treatment plans that consider both functional and esthetic outcomes </w:t>
      </w:r>
      <w:hyperlink r:id="rId31" w:history="1">
        <w:r w:rsidRPr="003B0A63">
          <w:rPr>
            <w:rStyle w:val="Hyperlink"/>
            <w:rFonts w:asciiTheme="minorBidi" w:hAnsiTheme="minorBidi" w:cstheme="minorBidi"/>
            <w:color w:val="0096B7"/>
            <w:sz w:val="22"/>
            <w:szCs w:val="22"/>
          </w:rPr>
          <w:t>[17]</w:t>
        </w:r>
      </w:hyperlink>
      <w:r w:rsidRPr="003B0A63">
        <w:rPr>
          <w:rFonts w:asciiTheme="minorBidi" w:hAnsiTheme="minorBidi" w:cstheme="minorBidi"/>
          <w:color w:val="222222"/>
          <w:sz w:val="22"/>
          <w:szCs w:val="22"/>
        </w:rPr>
        <w:t>. Our approach, which showed the necessity of extracting premolars to address both the crowding and esthetic concerns associated with maxillary protrusion, reflects an adaptive strategy that aligns with evolving clinical practices. In addition, studies by Holman et al. demonstrated the significance of using standardized indices, such as the Peer Assessment Rating index, to assess treatment effectiveness </w:t>
      </w:r>
      <w:hyperlink r:id="rId32" w:history="1">
        <w:r w:rsidRPr="003B0A63">
          <w:rPr>
            <w:rStyle w:val="Hyperlink"/>
            <w:rFonts w:asciiTheme="minorBidi" w:hAnsiTheme="minorBidi" w:cstheme="minorBidi"/>
            <w:color w:val="0096B7"/>
            <w:sz w:val="22"/>
            <w:szCs w:val="22"/>
          </w:rPr>
          <w:t>[18]</w:t>
        </w:r>
      </w:hyperlink>
      <w:r w:rsidRPr="003B0A63">
        <w:rPr>
          <w:rFonts w:asciiTheme="minorBidi" w:hAnsiTheme="minorBidi" w:cstheme="minorBidi"/>
          <w:color w:val="222222"/>
          <w:sz w:val="22"/>
          <w:szCs w:val="22"/>
        </w:rPr>
        <w:t>. Such tools provide invaluable feedback for clinicians, and ensure that treatment outcomes can be measured against established benchmarks. In our case, the application of these indices was instrumental in tracking the progress of the orthodontic treatment and evaluating the final results.</w:t>
      </w:r>
    </w:p>
    <w:p w14:paraId="1C8D5162"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 xml:space="preserve">The presence of a thin periodontal biotype in our patient also necessitated careful planning and monitoring throughout the treatment process. Literature indicates that patients with thin periodontal tissues may </w:t>
      </w:r>
      <w:r w:rsidRPr="003B0A63">
        <w:rPr>
          <w:rFonts w:asciiTheme="minorBidi" w:hAnsiTheme="minorBidi" w:cstheme="minorBidi"/>
          <w:color w:val="222222"/>
          <w:sz w:val="22"/>
          <w:szCs w:val="22"/>
        </w:rPr>
        <w:lastRenderedPageBreak/>
        <w:t>experience increased risk of periodontal complications following orthodontic treatment </w:t>
      </w:r>
      <w:hyperlink r:id="rId33" w:history="1">
        <w:r w:rsidRPr="003B0A63">
          <w:rPr>
            <w:rStyle w:val="Hyperlink"/>
            <w:rFonts w:asciiTheme="minorBidi" w:hAnsiTheme="minorBidi" w:cstheme="minorBidi"/>
            <w:color w:val="0096B7"/>
            <w:sz w:val="22"/>
            <w:szCs w:val="22"/>
          </w:rPr>
          <w:t>[19]</w:t>
        </w:r>
      </w:hyperlink>
      <w:r w:rsidRPr="003B0A63">
        <w:rPr>
          <w:rFonts w:asciiTheme="minorBidi" w:hAnsiTheme="minorBidi" w:cstheme="minorBidi"/>
          <w:color w:val="222222"/>
          <w:sz w:val="22"/>
          <w:szCs w:val="22"/>
        </w:rPr>
        <w:t>, which underscores the importance of treatment strategies that minimize adverse effects on the periodontium while effectively addressing malocclusion. By ensuring meticulous control of tooth movement and maintaining a conservative approach to extractions, we were able to protect the periodontal health of our patient throughout her treatment journey.</w:t>
      </w:r>
    </w:p>
    <w:p w14:paraId="7477DB8A" w14:textId="77777777" w:rsidR="003B0A63" w:rsidRPr="0026022D" w:rsidRDefault="003B0A63" w:rsidP="003B0A63">
      <w:pPr>
        <w:pStyle w:val="NormalWeb"/>
        <w:shd w:val="clear" w:color="auto" w:fill="FFFFFF"/>
        <w:spacing w:line="360" w:lineRule="auto"/>
        <w:rPr>
          <w:rFonts w:asciiTheme="majorBidi" w:hAnsiTheme="majorBidi" w:cstheme="majorBidi"/>
          <w:color w:val="222222"/>
        </w:rPr>
      </w:pPr>
      <w:r w:rsidRPr="003B0A63">
        <w:rPr>
          <w:rFonts w:asciiTheme="minorBidi" w:hAnsiTheme="minorBidi" w:cstheme="minorBidi"/>
          <w:color w:val="222222"/>
          <w:sz w:val="22"/>
          <w:szCs w:val="22"/>
        </w:rPr>
        <w:t>In their comprehensive review, Ngan and Moon examined the evolution of Class III malocclusion treatments, emphasizing the importance of a multifaceted approach tailored to individual patient needs </w:t>
      </w:r>
      <w:hyperlink r:id="rId34" w:history="1">
        <w:r w:rsidRPr="003B0A63">
          <w:rPr>
            <w:rStyle w:val="Hyperlink"/>
            <w:rFonts w:asciiTheme="minorBidi" w:hAnsiTheme="minorBidi" w:cstheme="minorBidi"/>
            <w:color w:val="0096B7"/>
            <w:sz w:val="22"/>
            <w:szCs w:val="22"/>
          </w:rPr>
          <w:t>[13]</w:t>
        </w:r>
      </w:hyperlink>
      <w:r w:rsidRPr="003B0A63">
        <w:rPr>
          <w:rFonts w:asciiTheme="minorBidi" w:hAnsiTheme="minorBidi" w:cstheme="minorBidi"/>
          <w:color w:val="222222"/>
          <w:sz w:val="22"/>
          <w:szCs w:val="22"/>
        </w:rPr>
        <w:t>. They discussed various treatment modalities, including early orthopedic intervention, orthodontic camouflage, and surgical correction, highlighting that while surgical intervention is often necessary for severe skeletal Class III cases, non-surgical orthodontic methods can yield satisfactory outcomes for patients with significant dental compensations. Our patient’s successful treatment outcome through solely orthodontic means underscores the effectiveness of non-surgical options in carefully selected cases</w:t>
      </w:r>
      <w:r w:rsidRPr="0026022D">
        <w:rPr>
          <w:rFonts w:asciiTheme="majorBidi" w:hAnsiTheme="majorBidi" w:cstheme="majorBidi"/>
          <w:color w:val="222222"/>
        </w:rPr>
        <w:t>.</w:t>
      </w:r>
    </w:p>
    <w:p w14:paraId="352E2D27" w14:textId="77777777" w:rsidR="00E053D0" w:rsidRDefault="00E053D0" w:rsidP="00441B6F">
      <w:pPr>
        <w:pStyle w:val="Body"/>
        <w:spacing w:after="0"/>
        <w:rPr>
          <w:rFonts w:ascii="Arial" w:hAnsi="Arial" w:cs="Arial"/>
        </w:rPr>
      </w:pPr>
    </w:p>
    <w:p w14:paraId="4786F9EC" w14:textId="77777777" w:rsidR="00790ADA" w:rsidRPr="00FB3A86" w:rsidRDefault="00790ADA" w:rsidP="00441B6F">
      <w:pPr>
        <w:pStyle w:val="Body"/>
        <w:spacing w:after="0"/>
        <w:rPr>
          <w:rFonts w:ascii="Arial" w:hAnsi="Arial" w:cs="Arial"/>
        </w:rPr>
      </w:pPr>
    </w:p>
    <w:p w14:paraId="202EBA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BC45C60" w14:textId="77777777" w:rsidR="00790ADA" w:rsidRPr="00FB3A86" w:rsidRDefault="00790ADA" w:rsidP="00441B6F">
      <w:pPr>
        <w:pStyle w:val="ConcHead"/>
        <w:spacing w:after="0"/>
        <w:jc w:val="both"/>
        <w:rPr>
          <w:rFonts w:ascii="Arial" w:hAnsi="Arial" w:cs="Arial"/>
        </w:rPr>
      </w:pPr>
    </w:p>
    <w:p w14:paraId="77189468"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The literature reflects a consensus that effective management of Angle Class III malocclusion requires a multifaceted approach that considers individual patient characteristics. This case report contributes to the understanding of treatment strategies for Angle Class III malocclusion in adults by highlighting the successful use of premolar extractions and fixed appliances. The approach not only addressed the functional aspects of the patient’s occlusion but also enhanced her facial esthetics, ultimately improving her quality of life. These results highlight the importance of comprehensive treatment planning and the integration of evidence-based practices in orthodontic care.</w:t>
      </w:r>
    </w:p>
    <w:p w14:paraId="05024934" w14:textId="77777777" w:rsidR="00B01FCD" w:rsidRDefault="00B01FCD" w:rsidP="003B0A63">
      <w:pPr>
        <w:pStyle w:val="Body"/>
        <w:spacing w:after="0"/>
        <w:rPr>
          <w:rFonts w:ascii="Arial" w:hAnsi="Arial" w:cs="Arial"/>
        </w:rPr>
      </w:pPr>
    </w:p>
    <w:p w14:paraId="43BF0743" w14:textId="77777777" w:rsidR="00790ADA" w:rsidRPr="00FB3A86" w:rsidRDefault="00790ADA" w:rsidP="00441B6F">
      <w:pPr>
        <w:pStyle w:val="Body"/>
        <w:spacing w:after="0"/>
        <w:rPr>
          <w:rFonts w:ascii="Arial" w:hAnsi="Arial" w:cs="Arial"/>
        </w:rPr>
      </w:pPr>
    </w:p>
    <w:p w14:paraId="0D0C9FA2" w14:textId="77777777" w:rsidR="00860000" w:rsidRPr="003B0A63" w:rsidRDefault="003B0A63" w:rsidP="003B0A63">
      <w:pPr>
        <w:pStyle w:val="Body"/>
        <w:spacing w:after="0"/>
        <w:rPr>
          <w:rFonts w:ascii="Arial" w:hAnsi="Arial" w:cs="Arial"/>
          <w:b/>
        </w:rPr>
      </w:pPr>
      <w:r w:rsidRPr="003B0A63">
        <w:rPr>
          <w:rFonts w:ascii="Arial" w:hAnsi="Arial" w:cs="Arial"/>
          <w:b/>
        </w:rPr>
        <w:t>COMPETING INTERESTS</w:t>
      </w:r>
    </w:p>
    <w:p w14:paraId="3854B22A" w14:textId="77777777" w:rsidR="00860000" w:rsidRPr="00786D36" w:rsidRDefault="00860000" w:rsidP="00441B6F">
      <w:pPr>
        <w:pStyle w:val="ReferHead"/>
        <w:spacing w:after="0"/>
        <w:jc w:val="both"/>
        <w:rPr>
          <w:rFonts w:ascii="Arial" w:hAnsi="Arial" w:cs="Arial"/>
        </w:rPr>
      </w:pPr>
    </w:p>
    <w:p w14:paraId="2443C476" w14:textId="77777777" w:rsidR="003B0A63" w:rsidRPr="003B0A63" w:rsidRDefault="003B0A63" w:rsidP="003B0A63">
      <w:pPr>
        <w:pStyle w:val="NormalWeb"/>
        <w:shd w:val="clear" w:color="auto" w:fill="FFFFFF"/>
        <w:spacing w:before="0" w:beforeAutospacing="0" w:after="150" w:afterAutospacing="0"/>
        <w:rPr>
          <w:rFonts w:asciiTheme="minorBidi" w:hAnsiTheme="minorBidi" w:cstheme="minorBidi"/>
          <w:color w:val="333333"/>
          <w:sz w:val="18"/>
          <w:szCs w:val="18"/>
        </w:rPr>
      </w:pPr>
      <w:r w:rsidRPr="003B0A63">
        <w:rPr>
          <w:rFonts w:asciiTheme="minorBidi" w:hAnsiTheme="minorBidi" w:cstheme="minorBidi"/>
          <w:spacing w:val="1"/>
          <w:sz w:val="20"/>
          <w:szCs w:val="20"/>
        </w:rPr>
        <w:t>The authors declare no conflicts of interest with respect to the research, authorship, and/or publication of this article.</w:t>
      </w:r>
    </w:p>
    <w:p w14:paraId="56D4961E" w14:textId="77777777" w:rsidR="00371FB6" w:rsidRDefault="00371FB6" w:rsidP="00441B6F">
      <w:pPr>
        <w:pStyle w:val="ReferHead"/>
        <w:spacing w:after="0"/>
        <w:jc w:val="both"/>
        <w:rPr>
          <w:rFonts w:ascii="Arial" w:hAnsi="Arial" w:cs="Arial"/>
          <w:b w:val="0"/>
          <w:caps w:val="0"/>
          <w:sz w:val="20"/>
        </w:rPr>
      </w:pPr>
    </w:p>
    <w:p w14:paraId="2F7DEE70" w14:textId="77777777" w:rsidR="003B0A63" w:rsidRDefault="003B0A63" w:rsidP="00441B6F">
      <w:pPr>
        <w:pStyle w:val="ReferHead"/>
        <w:spacing w:after="0"/>
        <w:jc w:val="both"/>
        <w:rPr>
          <w:rFonts w:ascii="Arial" w:hAnsi="Arial" w:cs="Arial"/>
          <w:b w:val="0"/>
          <w:caps w:val="0"/>
          <w:sz w:val="20"/>
        </w:rPr>
      </w:pPr>
    </w:p>
    <w:p w14:paraId="0D30FBC2"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B36F661" w14:textId="77777777" w:rsidR="002B685A" w:rsidRPr="002B685A" w:rsidRDefault="002B685A" w:rsidP="00441B6F">
      <w:pPr>
        <w:pStyle w:val="ReferHead"/>
        <w:spacing w:after="0"/>
        <w:jc w:val="both"/>
        <w:rPr>
          <w:rFonts w:ascii="Arial" w:hAnsi="Arial" w:cs="Arial"/>
          <w:bCs/>
        </w:rPr>
      </w:pPr>
    </w:p>
    <w:p w14:paraId="7696A3DA" w14:textId="77777777" w:rsidR="001A29D8" w:rsidRDefault="003B0A63" w:rsidP="00441B6F">
      <w:pPr>
        <w:pStyle w:val="ReferHead"/>
        <w:spacing w:after="0"/>
        <w:jc w:val="both"/>
        <w:rPr>
          <w:rFonts w:ascii="Arial" w:hAnsi="Arial" w:cs="Arial"/>
          <w:b w:val="0"/>
          <w:caps w:val="0"/>
          <w:sz w:val="20"/>
        </w:rPr>
      </w:pPr>
      <w:r>
        <w:rPr>
          <w:rFonts w:asciiTheme="minorBidi" w:hAnsiTheme="minorBidi" w:cstheme="minorBidi"/>
          <w:b w:val="0"/>
          <w:bCs/>
          <w:caps w:val="0"/>
          <w:spacing w:val="1"/>
        </w:rPr>
        <w:t>T</w:t>
      </w:r>
      <w:r w:rsidRPr="003B0A63">
        <w:rPr>
          <w:rFonts w:asciiTheme="minorBidi" w:hAnsiTheme="minorBidi" w:cstheme="minorBidi"/>
          <w:b w:val="0"/>
          <w:bCs/>
          <w:caps w:val="0"/>
          <w:spacing w:val="1"/>
        </w:rPr>
        <w:t>he patient provided written informed consent for the publication of this case report and accompanying clinical images</w:t>
      </w:r>
      <w:r>
        <w:rPr>
          <w:rFonts w:ascii="Segoe UI" w:hAnsi="Segoe UI" w:cs="Segoe UI"/>
          <w:spacing w:val="1"/>
        </w:rPr>
        <w:t>.</w:t>
      </w:r>
    </w:p>
    <w:p w14:paraId="0C18E061" w14:textId="77777777" w:rsidR="005C784C" w:rsidRDefault="005C784C" w:rsidP="00441B6F">
      <w:pPr>
        <w:pStyle w:val="ReferHead"/>
        <w:spacing w:after="0"/>
        <w:jc w:val="both"/>
        <w:rPr>
          <w:rFonts w:ascii="Arial" w:hAnsi="Arial" w:cs="Arial"/>
          <w:b w:val="0"/>
          <w:caps w:val="0"/>
          <w:sz w:val="20"/>
        </w:rPr>
      </w:pPr>
    </w:p>
    <w:p w14:paraId="31649838"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B3071E9" w14:textId="77777777" w:rsidR="005C784C" w:rsidRPr="002B685A" w:rsidRDefault="005C784C" w:rsidP="00441B6F">
      <w:pPr>
        <w:pStyle w:val="ReferHead"/>
        <w:spacing w:after="0"/>
        <w:jc w:val="both"/>
        <w:rPr>
          <w:rFonts w:ascii="Arial" w:hAnsi="Arial" w:cs="Arial"/>
          <w:bCs/>
        </w:rPr>
      </w:pPr>
    </w:p>
    <w:p w14:paraId="0C8EE21F" w14:textId="77777777" w:rsidR="00860000" w:rsidRPr="003B0A63" w:rsidRDefault="003B0A63" w:rsidP="00441B6F">
      <w:pPr>
        <w:pStyle w:val="ReferHead"/>
        <w:spacing w:after="0"/>
        <w:jc w:val="both"/>
        <w:rPr>
          <w:rFonts w:asciiTheme="minorBidi" w:hAnsiTheme="minorBidi" w:cstheme="minorBidi"/>
          <w:spacing w:val="1"/>
          <w:sz w:val="20"/>
          <w:szCs w:val="18"/>
        </w:rPr>
      </w:pPr>
      <w:r w:rsidRPr="003B0A63">
        <w:rPr>
          <w:rFonts w:asciiTheme="minorBidi" w:hAnsiTheme="minorBidi" w:cstheme="minorBidi"/>
          <w:spacing w:val="1"/>
          <w:sz w:val="20"/>
          <w:szCs w:val="18"/>
        </w:rPr>
        <w:t>Not applicable</w:t>
      </w:r>
    </w:p>
    <w:p w14:paraId="60857715" w14:textId="77777777" w:rsidR="003B0A63" w:rsidRDefault="003B0A63" w:rsidP="00441B6F">
      <w:pPr>
        <w:pStyle w:val="ReferHead"/>
        <w:spacing w:after="0"/>
        <w:jc w:val="both"/>
        <w:rPr>
          <w:rFonts w:ascii="Arial" w:hAnsi="Arial" w:cs="Arial"/>
        </w:rPr>
      </w:pPr>
    </w:p>
    <w:p w14:paraId="7B3646D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4829ED" w14:textId="77777777" w:rsidR="00790ADA" w:rsidRPr="00FB3A86" w:rsidRDefault="00790ADA" w:rsidP="00441B6F">
      <w:pPr>
        <w:pStyle w:val="ReferHead"/>
        <w:spacing w:after="0"/>
        <w:jc w:val="both"/>
        <w:rPr>
          <w:rFonts w:ascii="Arial" w:hAnsi="Arial" w:cs="Arial"/>
        </w:rPr>
      </w:pPr>
    </w:p>
    <w:p w14:paraId="277D4D21" w14:textId="77777777" w:rsidR="003B0A63" w:rsidRPr="003B0A63" w:rsidRDefault="003B0A63" w:rsidP="003B0A63">
      <w:pPr>
        <w:pStyle w:val="Heading3"/>
        <w:shd w:val="clear" w:color="auto" w:fill="FFFFFF"/>
        <w:spacing w:before="48" w:after="120" w:line="360" w:lineRule="auto"/>
        <w:ind w:right="240"/>
        <w:jc w:val="center"/>
        <w:rPr>
          <w:rFonts w:asciiTheme="minorBidi" w:hAnsiTheme="minorBidi" w:cstheme="minorBidi"/>
          <w:color w:val="222222"/>
          <w:sz w:val="22"/>
          <w:szCs w:val="22"/>
          <w:u w:val="single"/>
        </w:rPr>
      </w:pPr>
    </w:p>
    <w:p w14:paraId="59A186FB"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Ellis, E. 3rd, &amp; McNamara, J. A. Jr. (1984). Components of adult Class III malocclusion. Journal of Oral and Maxillofacial Surgery, 42(5), 295-305. </w:t>
      </w:r>
      <w:hyperlink r:id="rId35" w:history="1">
        <w:r w:rsidRPr="0036680F">
          <w:rPr>
            <w:rStyle w:val="Hyperlink"/>
            <w:rFonts w:asciiTheme="minorBidi" w:hAnsiTheme="minorBidi" w:cstheme="minorBidi"/>
            <w:sz w:val="22"/>
            <w:szCs w:val="22"/>
          </w:rPr>
          <w:t>https://doi.org/10.1016/0278-2391(84)90109-5</w:t>
        </w:r>
      </w:hyperlink>
      <w:r>
        <w:rPr>
          <w:rFonts w:asciiTheme="minorBidi" w:hAnsiTheme="minorBidi" w:cstheme="minorBidi"/>
          <w:color w:val="222222"/>
          <w:sz w:val="22"/>
          <w:szCs w:val="22"/>
        </w:rPr>
        <w:t xml:space="preserve"> </w:t>
      </w:r>
    </w:p>
    <w:p w14:paraId="1C75602E" w14:textId="7861C3CD"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rPr>
        <w:t>Reyneke</w:t>
      </w:r>
      <w:proofErr w:type="spellEnd"/>
      <w:r w:rsidRPr="002E5D49">
        <w:rPr>
          <w:rFonts w:asciiTheme="minorBidi" w:hAnsiTheme="minorBidi" w:cstheme="minorBidi"/>
          <w:color w:val="222222"/>
          <w:sz w:val="22"/>
          <w:szCs w:val="22"/>
        </w:rPr>
        <w:t xml:space="preserve">, J. P. (2021). Essentials of orthognathic surgery. Quintessence Publishing. </w:t>
      </w:r>
      <w:hyperlink r:id="rId36" w:history="1">
        <w:r w:rsidRPr="0036680F">
          <w:rPr>
            <w:rStyle w:val="Hyperlink"/>
            <w:rFonts w:asciiTheme="minorBidi" w:hAnsiTheme="minorBidi" w:cstheme="minorBidi"/>
            <w:sz w:val="22"/>
            <w:szCs w:val="22"/>
          </w:rPr>
          <w:t>https://www.quintpub.com/usa/Essentials-of-Orthognathic-Surgery-Third-Edition/9780867159561</w:t>
        </w:r>
      </w:hyperlink>
      <w:r>
        <w:rPr>
          <w:rFonts w:asciiTheme="minorBidi" w:hAnsiTheme="minorBidi" w:cstheme="minorBidi"/>
          <w:color w:val="222222"/>
          <w:sz w:val="22"/>
          <w:szCs w:val="22"/>
        </w:rPr>
        <w:t xml:space="preserve"> </w:t>
      </w:r>
    </w:p>
    <w:p w14:paraId="20D8FAAA"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rPr>
        <w:t>Wilcko</w:t>
      </w:r>
      <w:proofErr w:type="spellEnd"/>
      <w:r w:rsidRPr="002E5D49">
        <w:rPr>
          <w:rFonts w:asciiTheme="minorBidi" w:hAnsiTheme="minorBidi" w:cstheme="minorBidi"/>
          <w:color w:val="222222"/>
          <w:sz w:val="22"/>
          <w:szCs w:val="22"/>
        </w:rPr>
        <w:t xml:space="preserve">, W. M., </w:t>
      </w:r>
      <w:proofErr w:type="spellStart"/>
      <w:r w:rsidRPr="002E5D49">
        <w:rPr>
          <w:rFonts w:asciiTheme="minorBidi" w:hAnsiTheme="minorBidi" w:cstheme="minorBidi"/>
          <w:color w:val="222222"/>
          <w:sz w:val="22"/>
          <w:szCs w:val="22"/>
        </w:rPr>
        <w:t>Wilcko</w:t>
      </w:r>
      <w:proofErr w:type="spellEnd"/>
      <w:r w:rsidRPr="002E5D49">
        <w:rPr>
          <w:rFonts w:asciiTheme="minorBidi" w:hAnsiTheme="minorBidi" w:cstheme="minorBidi"/>
          <w:color w:val="222222"/>
          <w:sz w:val="22"/>
          <w:szCs w:val="22"/>
        </w:rPr>
        <w:t xml:space="preserve">, T., &amp; </w:t>
      </w:r>
      <w:proofErr w:type="spellStart"/>
      <w:r w:rsidRPr="002E5D49">
        <w:rPr>
          <w:rFonts w:asciiTheme="minorBidi" w:hAnsiTheme="minorBidi" w:cstheme="minorBidi"/>
          <w:color w:val="222222"/>
          <w:sz w:val="22"/>
          <w:szCs w:val="22"/>
        </w:rPr>
        <w:t>Bissada</w:t>
      </w:r>
      <w:proofErr w:type="spellEnd"/>
      <w:r w:rsidRPr="002E5D49">
        <w:rPr>
          <w:rFonts w:asciiTheme="minorBidi" w:hAnsiTheme="minorBidi" w:cstheme="minorBidi"/>
          <w:color w:val="222222"/>
          <w:sz w:val="22"/>
          <w:szCs w:val="22"/>
        </w:rPr>
        <w:t xml:space="preserve">, N. F. (2008). An evidence-based analysis of periodontally accelerated orthodontic and osteogenic techniques: A synthesis of scientific perspectives. Seminars in Orthodontics, 14(4), 305-316. </w:t>
      </w:r>
      <w:hyperlink r:id="rId37" w:history="1">
        <w:r w:rsidRPr="0036680F">
          <w:rPr>
            <w:rStyle w:val="Hyperlink"/>
            <w:rFonts w:asciiTheme="minorBidi" w:hAnsiTheme="minorBidi" w:cstheme="minorBidi"/>
            <w:sz w:val="22"/>
            <w:szCs w:val="22"/>
          </w:rPr>
          <w:t>https://doi.org/10.1053/j.sodo.2008.07.007</w:t>
        </w:r>
      </w:hyperlink>
      <w:r>
        <w:rPr>
          <w:rFonts w:asciiTheme="minorBidi" w:hAnsiTheme="minorBidi" w:cstheme="minorBidi"/>
          <w:color w:val="222222"/>
          <w:sz w:val="22"/>
          <w:szCs w:val="22"/>
        </w:rPr>
        <w:t xml:space="preserve"> </w:t>
      </w:r>
    </w:p>
    <w:p w14:paraId="3B105E24"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Aslan, B. I., &amp; </w:t>
      </w:r>
      <w:proofErr w:type="spellStart"/>
      <w:r w:rsidRPr="002E5D49">
        <w:rPr>
          <w:rFonts w:asciiTheme="minorBidi" w:hAnsiTheme="minorBidi" w:cstheme="minorBidi"/>
          <w:color w:val="222222"/>
          <w:sz w:val="22"/>
          <w:szCs w:val="22"/>
        </w:rPr>
        <w:t>Küçükkaraca</w:t>
      </w:r>
      <w:proofErr w:type="spellEnd"/>
      <w:r w:rsidRPr="002E5D49">
        <w:rPr>
          <w:rFonts w:asciiTheme="minorBidi" w:hAnsiTheme="minorBidi" w:cstheme="minorBidi"/>
          <w:color w:val="222222"/>
          <w:sz w:val="22"/>
          <w:szCs w:val="22"/>
        </w:rPr>
        <w:t xml:space="preserve">, E. (2019). </w:t>
      </w:r>
      <w:proofErr w:type="spellStart"/>
      <w:r w:rsidRPr="002E5D49">
        <w:rPr>
          <w:rFonts w:asciiTheme="minorBidi" w:hAnsiTheme="minorBidi" w:cstheme="minorBidi"/>
          <w:color w:val="222222"/>
          <w:sz w:val="22"/>
          <w:szCs w:val="22"/>
        </w:rPr>
        <w:t>Nonextraction</w:t>
      </w:r>
      <w:proofErr w:type="spellEnd"/>
      <w:r w:rsidRPr="002E5D49">
        <w:rPr>
          <w:rFonts w:asciiTheme="minorBidi" w:hAnsiTheme="minorBidi" w:cstheme="minorBidi"/>
          <w:color w:val="222222"/>
          <w:sz w:val="22"/>
          <w:szCs w:val="22"/>
        </w:rPr>
        <w:t xml:space="preserve"> Treatment of a Class III Malocclusion Case Using Mini-Screw-Assisted Lower Molar </w:t>
      </w:r>
      <w:proofErr w:type="spellStart"/>
      <w:r w:rsidRPr="002E5D49">
        <w:rPr>
          <w:rFonts w:asciiTheme="minorBidi" w:hAnsiTheme="minorBidi" w:cstheme="minorBidi"/>
          <w:color w:val="222222"/>
          <w:sz w:val="22"/>
          <w:szCs w:val="22"/>
        </w:rPr>
        <w:t>Distalization</w:t>
      </w:r>
      <w:proofErr w:type="spellEnd"/>
      <w:r w:rsidRPr="002E5D49">
        <w:rPr>
          <w:rFonts w:asciiTheme="minorBidi" w:hAnsiTheme="minorBidi" w:cstheme="minorBidi"/>
          <w:color w:val="222222"/>
          <w:sz w:val="22"/>
          <w:szCs w:val="22"/>
        </w:rPr>
        <w:t xml:space="preserve">. Turk J </w:t>
      </w:r>
      <w:proofErr w:type="spellStart"/>
      <w:r w:rsidRPr="002E5D49">
        <w:rPr>
          <w:rFonts w:asciiTheme="minorBidi" w:hAnsiTheme="minorBidi" w:cstheme="minorBidi"/>
          <w:color w:val="222222"/>
          <w:sz w:val="22"/>
          <w:szCs w:val="22"/>
        </w:rPr>
        <w:t>Orthod</w:t>
      </w:r>
      <w:proofErr w:type="spellEnd"/>
      <w:r w:rsidRPr="002E5D49">
        <w:rPr>
          <w:rFonts w:asciiTheme="minorBidi" w:hAnsiTheme="minorBidi" w:cstheme="minorBidi"/>
          <w:color w:val="222222"/>
          <w:sz w:val="22"/>
          <w:szCs w:val="22"/>
        </w:rPr>
        <w:t xml:space="preserve">, 32(2), 119-124. </w:t>
      </w:r>
      <w:hyperlink r:id="rId38" w:history="1">
        <w:r w:rsidRPr="0036680F">
          <w:rPr>
            <w:rStyle w:val="Hyperlink"/>
            <w:rFonts w:asciiTheme="minorBidi" w:hAnsiTheme="minorBidi" w:cstheme="minorBidi"/>
            <w:sz w:val="22"/>
            <w:szCs w:val="22"/>
          </w:rPr>
          <w:t>https://doi.org/10.5152/TurkJOrthod.2018.18026</w:t>
        </w:r>
      </w:hyperlink>
      <w:r>
        <w:rPr>
          <w:rFonts w:asciiTheme="minorBidi" w:hAnsiTheme="minorBidi" w:cstheme="minorBidi"/>
          <w:color w:val="222222"/>
          <w:sz w:val="22"/>
          <w:szCs w:val="22"/>
        </w:rPr>
        <w:t xml:space="preserve"> </w:t>
      </w:r>
    </w:p>
    <w:p w14:paraId="35B4A1E9"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rPr>
        <w:t>Proffit</w:t>
      </w:r>
      <w:proofErr w:type="spellEnd"/>
      <w:r w:rsidRPr="002E5D49">
        <w:rPr>
          <w:rFonts w:asciiTheme="minorBidi" w:hAnsiTheme="minorBidi" w:cstheme="minorBidi"/>
          <w:color w:val="222222"/>
          <w:sz w:val="22"/>
          <w:szCs w:val="22"/>
        </w:rPr>
        <w:t xml:space="preserve">, W. R., Fields, H. W., Larson, B., &amp; Sarver, D. M. (2018). Contemporary orthodontics. Elsevier. </w:t>
      </w:r>
      <w:hyperlink r:id="rId39" w:history="1">
        <w:r w:rsidRPr="0036680F">
          <w:rPr>
            <w:rStyle w:val="Hyperlink"/>
            <w:rFonts w:asciiTheme="minorBidi" w:hAnsiTheme="minorBidi" w:cstheme="minorBidi"/>
            <w:sz w:val="22"/>
            <w:szCs w:val="22"/>
          </w:rPr>
          <w:t>https://www.elsevier.com/books/contemporary-orthodontics/proffit/978-0-323-54387-3</w:t>
        </w:r>
      </w:hyperlink>
      <w:r>
        <w:rPr>
          <w:rFonts w:asciiTheme="minorBidi" w:hAnsiTheme="minorBidi" w:cstheme="minorBidi"/>
          <w:color w:val="222222"/>
          <w:sz w:val="22"/>
          <w:szCs w:val="22"/>
        </w:rPr>
        <w:t xml:space="preserve"> </w:t>
      </w:r>
    </w:p>
    <w:p w14:paraId="232F6325"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Kwak, Y. Y., Jang, I., Choi, D. S., &amp; Cha, B. K. (2014). Functional evaluation of orthopedic and orthodontic treatment in a patient with unilateral posterior crossbite and facial asymmetry. Korean Journal of Orthodontics, 44(3), 143–153. </w:t>
      </w:r>
      <w:hyperlink r:id="rId40" w:history="1">
        <w:r w:rsidRPr="0036680F">
          <w:rPr>
            <w:rStyle w:val="Hyperlink"/>
            <w:rFonts w:asciiTheme="minorBidi" w:hAnsiTheme="minorBidi" w:cstheme="minorBidi"/>
            <w:sz w:val="22"/>
            <w:szCs w:val="22"/>
          </w:rPr>
          <w:t>https://doi.org/10.4041/kjod.2014.44.3.143</w:t>
        </w:r>
      </w:hyperlink>
      <w:r>
        <w:rPr>
          <w:rFonts w:asciiTheme="minorBidi" w:hAnsiTheme="minorBidi" w:cstheme="minorBidi"/>
          <w:color w:val="222222"/>
          <w:sz w:val="22"/>
          <w:szCs w:val="22"/>
        </w:rPr>
        <w:t xml:space="preserve"> </w:t>
      </w:r>
    </w:p>
    <w:p w14:paraId="3A7712FB" w14:textId="77777777" w:rsidR="002E5D49" w:rsidRP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lang w:val="fr-FR"/>
        </w:rPr>
        <w:t>Joss-Vassalli</w:t>
      </w:r>
      <w:proofErr w:type="spellEnd"/>
      <w:r w:rsidRPr="002E5D49">
        <w:rPr>
          <w:rFonts w:asciiTheme="minorBidi" w:hAnsiTheme="minorBidi" w:cstheme="minorBidi"/>
          <w:color w:val="222222"/>
          <w:sz w:val="22"/>
          <w:szCs w:val="22"/>
          <w:lang w:val="fr-FR"/>
        </w:rPr>
        <w:t xml:space="preserve">, I., </w:t>
      </w:r>
      <w:proofErr w:type="spellStart"/>
      <w:r w:rsidRPr="002E5D49">
        <w:rPr>
          <w:rFonts w:asciiTheme="minorBidi" w:hAnsiTheme="minorBidi" w:cstheme="minorBidi"/>
          <w:color w:val="222222"/>
          <w:sz w:val="22"/>
          <w:szCs w:val="22"/>
          <w:lang w:val="fr-FR"/>
        </w:rPr>
        <w:t>Grebenstein</w:t>
      </w:r>
      <w:proofErr w:type="spellEnd"/>
      <w:r w:rsidRPr="002E5D49">
        <w:rPr>
          <w:rFonts w:asciiTheme="minorBidi" w:hAnsiTheme="minorBidi" w:cstheme="minorBidi"/>
          <w:color w:val="222222"/>
          <w:sz w:val="22"/>
          <w:szCs w:val="22"/>
          <w:lang w:val="fr-FR"/>
        </w:rPr>
        <w:t xml:space="preserve">, C., </w:t>
      </w:r>
      <w:proofErr w:type="spellStart"/>
      <w:r w:rsidRPr="002E5D49">
        <w:rPr>
          <w:rFonts w:asciiTheme="minorBidi" w:hAnsiTheme="minorBidi" w:cstheme="minorBidi"/>
          <w:color w:val="222222"/>
          <w:sz w:val="22"/>
          <w:szCs w:val="22"/>
          <w:lang w:val="fr-FR"/>
        </w:rPr>
        <w:t>Topouzelis</w:t>
      </w:r>
      <w:proofErr w:type="spellEnd"/>
      <w:r w:rsidRPr="002E5D49">
        <w:rPr>
          <w:rFonts w:asciiTheme="minorBidi" w:hAnsiTheme="minorBidi" w:cstheme="minorBidi"/>
          <w:color w:val="222222"/>
          <w:sz w:val="22"/>
          <w:szCs w:val="22"/>
          <w:lang w:val="fr-FR"/>
        </w:rPr>
        <w:t xml:space="preserve">, N., </w:t>
      </w:r>
      <w:proofErr w:type="spellStart"/>
      <w:r w:rsidRPr="002E5D49">
        <w:rPr>
          <w:rFonts w:asciiTheme="minorBidi" w:hAnsiTheme="minorBidi" w:cstheme="minorBidi"/>
          <w:color w:val="222222"/>
          <w:sz w:val="22"/>
          <w:szCs w:val="22"/>
          <w:lang w:val="fr-FR"/>
        </w:rPr>
        <w:t>Sculean</w:t>
      </w:r>
      <w:proofErr w:type="spellEnd"/>
      <w:r w:rsidRPr="002E5D49">
        <w:rPr>
          <w:rFonts w:asciiTheme="minorBidi" w:hAnsiTheme="minorBidi" w:cstheme="minorBidi"/>
          <w:color w:val="222222"/>
          <w:sz w:val="22"/>
          <w:szCs w:val="22"/>
          <w:lang w:val="fr-FR"/>
        </w:rPr>
        <w:t xml:space="preserve">, A., &amp; </w:t>
      </w:r>
      <w:proofErr w:type="spellStart"/>
      <w:r w:rsidRPr="002E5D49">
        <w:rPr>
          <w:rFonts w:asciiTheme="minorBidi" w:hAnsiTheme="minorBidi" w:cstheme="minorBidi"/>
          <w:color w:val="222222"/>
          <w:sz w:val="22"/>
          <w:szCs w:val="22"/>
          <w:lang w:val="fr-FR"/>
        </w:rPr>
        <w:t>Katsaros</w:t>
      </w:r>
      <w:proofErr w:type="spellEnd"/>
      <w:r w:rsidRPr="002E5D49">
        <w:rPr>
          <w:rFonts w:asciiTheme="minorBidi" w:hAnsiTheme="minorBidi" w:cstheme="minorBidi"/>
          <w:color w:val="222222"/>
          <w:sz w:val="22"/>
          <w:szCs w:val="22"/>
          <w:lang w:val="fr-FR"/>
        </w:rPr>
        <w:t xml:space="preserve">, C. (2010). </w:t>
      </w:r>
      <w:proofErr w:type="spellStart"/>
      <w:r w:rsidRPr="002E5D49">
        <w:rPr>
          <w:rFonts w:asciiTheme="minorBidi" w:hAnsiTheme="minorBidi" w:cstheme="minorBidi"/>
          <w:color w:val="222222"/>
          <w:sz w:val="22"/>
          <w:szCs w:val="22"/>
          <w:lang w:val="fr-FR"/>
        </w:rPr>
        <w:t>Orthodontic</w:t>
      </w:r>
      <w:proofErr w:type="spellEnd"/>
      <w:r w:rsidRPr="002E5D49">
        <w:rPr>
          <w:rFonts w:asciiTheme="minorBidi" w:hAnsiTheme="minorBidi" w:cstheme="minorBidi"/>
          <w:color w:val="222222"/>
          <w:sz w:val="22"/>
          <w:szCs w:val="22"/>
          <w:lang w:val="fr-FR"/>
        </w:rPr>
        <w:t xml:space="preserve"> </w:t>
      </w:r>
      <w:proofErr w:type="spellStart"/>
      <w:r w:rsidRPr="002E5D49">
        <w:rPr>
          <w:rFonts w:asciiTheme="minorBidi" w:hAnsiTheme="minorBidi" w:cstheme="minorBidi"/>
          <w:color w:val="222222"/>
          <w:sz w:val="22"/>
          <w:szCs w:val="22"/>
          <w:lang w:val="fr-FR"/>
        </w:rPr>
        <w:t>therapy</w:t>
      </w:r>
      <w:proofErr w:type="spellEnd"/>
      <w:r w:rsidRPr="002E5D49">
        <w:rPr>
          <w:rFonts w:asciiTheme="minorBidi" w:hAnsiTheme="minorBidi" w:cstheme="minorBidi"/>
          <w:color w:val="222222"/>
          <w:sz w:val="22"/>
          <w:szCs w:val="22"/>
          <w:lang w:val="fr-FR"/>
        </w:rPr>
        <w:t xml:space="preserve"> and gingival </w:t>
      </w:r>
      <w:proofErr w:type="spellStart"/>
      <w:proofErr w:type="gramStart"/>
      <w:r w:rsidRPr="002E5D49">
        <w:rPr>
          <w:rFonts w:asciiTheme="minorBidi" w:hAnsiTheme="minorBidi" w:cstheme="minorBidi"/>
          <w:color w:val="222222"/>
          <w:sz w:val="22"/>
          <w:szCs w:val="22"/>
          <w:lang w:val="fr-FR"/>
        </w:rPr>
        <w:t>recession</w:t>
      </w:r>
      <w:proofErr w:type="spellEnd"/>
      <w:r w:rsidRPr="002E5D49">
        <w:rPr>
          <w:rFonts w:asciiTheme="minorBidi" w:hAnsiTheme="minorBidi" w:cstheme="minorBidi"/>
          <w:color w:val="222222"/>
          <w:sz w:val="22"/>
          <w:szCs w:val="22"/>
          <w:lang w:val="fr-FR"/>
        </w:rPr>
        <w:t>:</w:t>
      </w:r>
      <w:proofErr w:type="gramEnd"/>
      <w:r w:rsidRPr="002E5D49">
        <w:rPr>
          <w:rFonts w:asciiTheme="minorBidi" w:hAnsiTheme="minorBidi" w:cstheme="minorBidi"/>
          <w:color w:val="222222"/>
          <w:sz w:val="22"/>
          <w:szCs w:val="22"/>
          <w:lang w:val="fr-FR"/>
        </w:rPr>
        <w:t xml:space="preserve"> A </w:t>
      </w:r>
      <w:proofErr w:type="spellStart"/>
      <w:r w:rsidRPr="002E5D49">
        <w:rPr>
          <w:rFonts w:asciiTheme="minorBidi" w:hAnsiTheme="minorBidi" w:cstheme="minorBidi"/>
          <w:color w:val="222222"/>
          <w:sz w:val="22"/>
          <w:szCs w:val="22"/>
          <w:lang w:val="fr-FR"/>
        </w:rPr>
        <w:t>systematic</w:t>
      </w:r>
      <w:proofErr w:type="spellEnd"/>
      <w:r w:rsidRPr="002E5D49">
        <w:rPr>
          <w:rFonts w:asciiTheme="minorBidi" w:hAnsiTheme="minorBidi" w:cstheme="minorBidi"/>
          <w:color w:val="222222"/>
          <w:sz w:val="22"/>
          <w:szCs w:val="22"/>
          <w:lang w:val="fr-FR"/>
        </w:rPr>
        <w:t xml:space="preserve"> </w:t>
      </w:r>
      <w:proofErr w:type="spellStart"/>
      <w:r w:rsidRPr="002E5D49">
        <w:rPr>
          <w:rFonts w:asciiTheme="minorBidi" w:hAnsiTheme="minorBidi" w:cstheme="minorBidi"/>
          <w:color w:val="222222"/>
          <w:sz w:val="22"/>
          <w:szCs w:val="22"/>
          <w:lang w:val="fr-FR"/>
        </w:rPr>
        <w:t>review</w:t>
      </w:r>
      <w:proofErr w:type="spellEnd"/>
      <w:r w:rsidRPr="002E5D49">
        <w:rPr>
          <w:rFonts w:asciiTheme="minorBidi" w:hAnsiTheme="minorBidi" w:cstheme="minorBidi"/>
          <w:color w:val="222222"/>
          <w:sz w:val="22"/>
          <w:szCs w:val="22"/>
          <w:lang w:val="fr-FR"/>
        </w:rPr>
        <w:t xml:space="preserve">. </w:t>
      </w:r>
      <w:proofErr w:type="spellStart"/>
      <w:r w:rsidRPr="002E5D49">
        <w:rPr>
          <w:rFonts w:asciiTheme="minorBidi" w:hAnsiTheme="minorBidi" w:cstheme="minorBidi"/>
          <w:color w:val="222222"/>
          <w:sz w:val="22"/>
          <w:szCs w:val="22"/>
          <w:lang w:val="fr-FR"/>
        </w:rPr>
        <w:t>Orthodontics</w:t>
      </w:r>
      <w:proofErr w:type="spellEnd"/>
      <w:r w:rsidRPr="002E5D49">
        <w:rPr>
          <w:rFonts w:asciiTheme="minorBidi" w:hAnsiTheme="minorBidi" w:cstheme="minorBidi"/>
          <w:color w:val="222222"/>
          <w:sz w:val="22"/>
          <w:szCs w:val="22"/>
          <w:lang w:val="fr-FR"/>
        </w:rPr>
        <w:t xml:space="preserve"> &amp; </w:t>
      </w:r>
      <w:proofErr w:type="spellStart"/>
      <w:r w:rsidRPr="002E5D49">
        <w:rPr>
          <w:rFonts w:asciiTheme="minorBidi" w:hAnsiTheme="minorBidi" w:cstheme="minorBidi"/>
          <w:color w:val="222222"/>
          <w:sz w:val="22"/>
          <w:szCs w:val="22"/>
          <w:lang w:val="fr-FR"/>
        </w:rPr>
        <w:t>Craniofacial</w:t>
      </w:r>
      <w:proofErr w:type="spellEnd"/>
      <w:r w:rsidRPr="002E5D49">
        <w:rPr>
          <w:rFonts w:asciiTheme="minorBidi" w:hAnsiTheme="minorBidi" w:cstheme="minorBidi"/>
          <w:color w:val="222222"/>
          <w:sz w:val="22"/>
          <w:szCs w:val="22"/>
          <w:lang w:val="fr-FR"/>
        </w:rPr>
        <w:t xml:space="preserve"> </w:t>
      </w:r>
      <w:proofErr w:type="spellStart"/>
      <w:r w:rsidRPr="002E5D49">
        <w:rPr>
          <w:rFonts w:asciiTheme="minorBidi" w:hAnsiTheme="minorBidi" w:cstheme="minorBidi"/>
          <w:color w:val="222222"/>
          <w:sz w:val="22"/>
          <w:szCs w:val="22"/>
          <w:lang w:val="fr-FR"/>
        </w:rPr>
        <w:t>Research</w:t>
      </w:r>
      <w:proofErr w:type="spellEnd"/>
      <w:r w:rsidRPr="002E5D49">
        <w:rPr>
          <w:rFonts w:asciiTheme="minorBidi" w:hAnsiTheme="minorBidi" w:cstheme="minorBidi"/>
          <w:color w:val="222222"/>
          <w:sz w:val="22"/>
          <w:szCs w:val="22"/>
          <w:lang w:val="fr-FR"/>
        </w:rPr>
        <w:t xml:space="preserve">, 13(3), 127-141. </w:t>
      </w:r>
      <w:hyperlink r:id="rId41" w:history="1">
        <w:r w:rsidRPr="0036680F">
          <w:rPr>
            <w:rStyle w:val="Hyperlink"/>
            <w:rFonts w:asciiTheme="minorBidi" w:hAnsiTheme="minorBidi" w:cstheme="minorBidi"/>
            <w:sz w:val="22"/>
            <w:szCs w:val="22"/>
            <w:lang w:val="fr-FR"/>
          </w:rPr>
          <w:t>https://doi.org/10.1111/j.1601-6343.2010.01491.x</w:t>
        </w:r>
      </w:hyperlink>
      <w:r>
        <w:rPr>
          <w:rFonts w:asciiTheme="minorBidi" w:hAnsiTheme="minorBidi" w:cstheme="minorBidi"/>
          <w:color w:val="222222"/>
          <w:sz w:val="22"/>
          <w:szCs w:val="22"/>
          <w:lang w:val="fr-FR"/>
        </w:rPr>
        <w:t xml:space="preserve"> </w:t>
      </w:r>
    </w:p>
    <w:p w14:paraId="06261EDE" w14:textId="1BCA499F" w:rsidR="003B0A63" w:rsidRPr="003B0A63" w:rsidRDefault="003B0A63"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3B0A63">
        <w:rPr>
          <w:rFonts w:asciiTheme="minorBidi" w:hAnsiTheme="minorBidi" w:cstheme="minorBidi"/>
          <w:color w:val="222222"/>
          <w:sz w:val="22"/>
          <w:szCs w:val="22"/>
        </w:rPr>
        <w:t>Zurfluh</w:t>
      </w:r>
      <w:proofErr w:type="spellEnd"/>
      <w:r w:rsidRPr="003B0A63">
        <w:rPr>
          <w:rFonts w:asciiTheme="minorBidi" w:hAnsiTheme="minorBidi" w:cstheme="minorBidi"/>
          <w:color w:val="222222"/>
          <w:sz w:val="22"/>
          <w:szCs w:val="22"/>
        </w:rPr>
        <w:t xml:space="preserve"> MA, </w:t>
      </w:r>
      <w:proofErr w:type="spellStart"/>
      <w:r w:rsidRPr="003B0A63">
        <w:rPr>
          <w:rFonts w:asciiTheme="minorBidi" w:hAnsiTheme="minorBidi" w:cstheme="minorBidi"/>
          <w:color w:val="222222"/>
          <w:sz w:val="22"/>
          <w:szCs w:val="22"/>
        </w:rPr>
        <w:t>Kloukos</w:t>
      </w:r>
      <w:proofErr w:type="spellEnd"/>
      <w:r w:rsidRPr="003B0A63">
        <w:rPr>
          <w:rFonts w:asciiTheme="minorBidi" w:hAnsiTheme="minorBidi" w:cstheme="minorBidi"/>
          <w:color w:val="222222"/>
          <w:sz w:val="22"/>
          <w:szCs w:val="22"/>
        </w:rPr>
        <w:t xml:space="preserve"> D, </w:t>
      </w:r>
      <w:proofErr w:type="spellStart"/>
      <w:r w:rsidRPr="003B0A63">
        <w:rPr>
          <w:rFonts w:asciiTheme="minorBidi" w:hAnsiTheme="minorBidi" w:cstheme="minorBidi"/>
          <w:color w:val="222222"/>
          <w:sz w:val="22"/>
          <w:szCs w:val="22"/>
        </w:rPr>
        <w:t>Patcas</w:t>
      </w:r>
      <w:proofErr w:type="spellEnd"/>
      <w:r w:rsidRPr="003B0A63">
        <w:rPr>
          <w:rFonts w:asciiTheme="minorBidi" w:hAnsiTheme="minorBidi" w:cstheme="minorBidi"/>
          <w:color w:val="222222"/>
          <w:sz w:val="22"/>
          <w:szCs w:val="22"/>
        </w:rPr>
        <w:t xml:space="preserve"> R, </w:t>
      </w:r>
      <w:proofErr w:type="spellStart"/>
      <w:r w:rsidRPr="003B0A63">
        <w:rPr>
          <w:rFonts w:asciiTheme="minorBidi" w:hAnsiTheme="minorBidi" w:cstheme="minorBidi"/>
          <w:color w:val="222222"/>
          <w:sz w:val="22"/>
          <w:szCs w:val="22"/>
        </w:rPr>
        <w:t>Eliades</w:t>
      </w:r>
      <w:proofErr w:type="spellEnd"/>
      <w:r w:rsidRPr="003B0A63">
        <w:rPr>
          <w:rFonts w:asciiTheme="minorBidi" w:hAnsiTheme="minorBidi" w:cstheme="minorBidi"/>
          <w:color w:val="222222"/>
          <w:sz w:val="22"/>
          <w:szCs w:val="22"/>
        </w:rPr>
        <w:t xml:space="preserve"> T: </w:t>
      </w:r>
      <w:hyperlink r:id="rId42" w:tgtFrame="_blank" w:history="1">
        <w:r w:rsidRPr="003B0A63">
          <w:rPr>
            <w:rStyle w:val="Hyperlink"/>
            <w:rFonts w:asciiTheme="minorBidi" w:hAnsiTheme="minorBidi" w:cstheme="minorBidi"/>
            <w:color w:val="3088C6"/>
            <w:sz w:val="22"/>
            <w:szCs w:val="22"/>
          </w:rPr>
          <w:t>Effect of chin-cup treatment on the temporomandibular joint: a systematic review</w:t>
        </w:r>
      </w:hyperlink>
      <w:r w:rsidRPr="003B0A63">
        <w:rPr>
          <w:rFonts w:asciiTheme="minorBidi" w:hAnsiTheme="minorBidi" w:cstheme="minorBidi"/>
          <w:color w:val="222222"/>
          <w:sz w:val="22"/>
          <w:szCs w:val="22"/>
        </w:rPr>
        <w:t xml:space="preserve">. Eur J </w:t>
      </w:r>
      <w:proofErr w:type="spellStart"/>
      <w:r w:rsidRPr="003B0A63">
        <w:rPr>
          <w:rFonts w:asciiTheme="minorBidi" w:hAnsiTheme="minorBidi" w:cstheme="minorBidi"/>
          <w:color w:val="222222"/>
          <w:sz w:val="22"/>
          <w:szCs w:val="22"/>
        </w:rPr>
        <w:t>Orthod</w:t>
      </w:r>
      <w:proofErr w:type="spellEnd"/>
      <w:r w:rsidRPr="003B0A63">
        <w:rPr>
          <w:rFonts w:asciiTheme="minorBidi" w:hAnsiTheme="minorBidi" w:cstheme="minorBidi"/>
          <w:color w:val="222222"/>
          <w:sz w:val="22"/>
          <w:szCs w:val="22"/>
        </w:rPr>
        <w:t>. 2015, 37:314-24. </w:t>
      </w:r>
      <w:hyperlink r:id="rId43" w:tgtFrame="_blank" w:history="1">
        <w:r w:rsidRPr="003B0A63">
          <w:rPr>
            <w:rStyle w:val="Hyperlink"/>
            <w:rFonts w:asciiTheme="minorBidi" w:hAnsiTheme="minorBidi" w:cstheme="minorBidi"/>
            <w:color w:val="3088C6"/>
            <w:sz w:val="22"/>
            <w:szCs w:val="22"/>
          </w:rPr>
          <w:t>10.1093/</w:t>
        </w:r>
        <w:proofErr w:type="spellStart"/>
        <w:r w:rsidRPr="003B0A63">
          <w:rPr>
            <w:rStyle w:val="Hyperlink"/>
            <w:rFonts w:asciiTheme="minorBidi" w:hAnsiTheme="minorBidi" w:cstheme="minorBidi"/>
            <w:color w:val="3088C6"/>
            <w:sz w:val="22"/>
            <w:szCs w:val="22"/>
          </w:rPr>
          <w:t>ejo</w:t>
        </w:r>
        <w:proofErr w:type="spellEnd"/>
        <w:r w:rsidRPr="003B0A63">
          <w:rPr>
            <w:rStyle w:val="Hyperlink"/>
            <w:rFonts w:asciiTheme="minorBidi" w:hAnsiTheme="minorBidi" w:cstheme="minorBidi"/>
            <w:color w:val="3088C6"/>
            <w:sz w:val="22"/>
            <w:szCs w:val="22"/>
          </w:rPr>
          <w:t>/cju048</w:t>
        </w:r>
      </w:hyperlink>
    </w:p>
    <w:p w14:paraId="54114A33"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rPr>
        <w:t>Gencer</w:t>
      </w:r>
      <w:proofErr w:type="spellEnd"/>
      <w:r w:rsidRPr="002E5D49">
        <w:rPr>
          <w:rFonts w:asciiTheme="minorBidi" w:hAnsiTheme="minorBidi" w:cstheme="minorBidi"/>
          <w:color w:val="222222"/>
          <w:sz w:val="22"/>
          <w:szCs w:val="22"/>
        </w:rPr>
        <w:t xml:space="preserve">, D., </w:t>
      </w:r>
      <w:proofErr w:type="spellStart"/>
      <w:r w:rsidRPr="002E5D49">
        <w:rPr>
          <w:rFonts w:asciiTheme="minorBidi" w:hAnsiTheme="minorBidi" w:cstheme="minorBidi"/>
          <w:color w:val="222222"/>
          <w:sz w:val="22"/>
          <w:szCs w:val="22"/>
        </w:rPr>
        <w:t>Kaygisiz</w:t>
      </w:r>
      <w:proofErr w:type="spellEnd"/>
      <w:r w:rsidRPr="002E5D49">
        <w:rPr>
          <w:rFonts w:asciiTheme="minorBidi" w:hAnsiTheme="minorBidi" w:cstheme="minorBidi"/>
          <w:color w:val="222222"/>
          <w:sz w:val="22"/>
          <w:szCs w:val="22"/>
        </w:rPr>
        <w:t xml:space="preserve">, E., </w:t>
      </w:r>
      <w:proofErr w:type="spellStart"/>
      <w:r w:rsidRPr="002E5D49">
        <w:rPr>
          <w:rFonts w:asciiTheme="minorBidi" w:hAnsiTheme="minorBidi" w:cstheme="minorBidi"/>
          <w:color w:val="222222"/>
          <w:sz w:val="22"/>
          <w:szCs w:val="22"/>
        </w:rPr>
        <w:t>Yüksel</w:t>
      </w:r>
      <w:proofErr w:type="spellEnd"/>
      <w:r w:rsidRPr="002E5D49">
        <w:rPr>
          <w:rFonts w:asciiTheme="minorBidi" w:hAnsiTheme="minorBidi" w:cstheme="minorBidi"/>
          <w:color w:val="222222"/>
          <w:sz w:val="22"/>
          <w:szCs w:val="22"/>
        </w:rPr>
        <w:t xml:space="preserve">, S., &amp; </w:t>
      </w:r>
      <w:proofErr w:type="spellStart"/>
      <w:r w:rsidRPr="002E5D49">
        <w:rPr>
          <w:rFonts w:asciiTheme="minorBidi" w:hAnsiTheme="minorBidi" w:cstheme="minorBidi"/>
          <w:color w:val="222222"/>
          <w:sz w:val="22"/>
          <w:szCs w:val="22"/>
        </w:rPr>
        <w:t>Tortop</w:t>
      </w:r>
      <w:proofErr w:type="spellEnd"/>
      <w:r w:rsidRPr="002E5D49">
        <w:rPr>
          <w:rFonts w:asciiTheme="minorBidi" w:hAnsiTheme="minorBidi" w:cstheme="minorBidi"/>
          <w:color w:val="222222"/>
          <w:sz w:val="22"/>
          <w:szCs w:val="22"/>
        </w:rPr>
        <w:t xml:space="preserve">, T. (2015). Comparison of double-plate appliance/facemask combination and facemask therapy in treating Class III malocclusions. Angle Orthodontist, 85(2), 278-283. </w:t>
      </w:r>
      <w:hyperlink r:id="rId44" w:history="1">
        <w:r w:rsidRPr="0036680F">
          <w:rPr>
            <w:rStyle w:val="Hyperlink"/>
            <w:rFonts w:asciiTheme="minorBidi" w:hAnsiTheme="minorBidi" w:cstheme="minorBidi"/>
            <w:sz w:val="22"/>
            <w:szCs w:val="22"/>
          </w:rPr>
          <w:t>https://doi.org/10.2319/013114-83.1</w:t>
        </w:r>
      </w:hyperlink>
      <w:r>
        <w:rPr>
          <w:rFonts w:asciiTheme="minorBidi" w:hAnsiTheme="minorBidi" w:cstheme="minorBidi"/>
          <w:color w:val="222222"/>
          <w:sz w:val="22"/>
          <w:szCs w:val="22"/>
        </w:rPr>
        <w:t xml:space="preserve"> </w:t>
      </w:r>
    </w:p>
    <w:p w14:paraId="25C11BA1"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rPr>
        <w:t>Pavoni</w:t>
      </w:r>
      <w:proofErr w:type="spellEnd"/>
      <w:r w:rsidRPr="002E5D49">
        <w:rPr>
          <w:rFonts w:asciiTheme="minorBidi" w:hAnsiTheme="minorBidi" w:cstheme="minorBidi"/>
          <w:color w:val="222222"/>
          <w:sz w:val="22"/>
          <w:szCs w:val="22"/>
        </w:rPr>
        <w:t xml:space="preserve">, C., </w:t>
      </w:r>
      <w:proofErr w:type="spellStart"/>
      <w:r w:rsidRPr="002E5D49">
        <w:rPr>
          <w:rFonts w:asciiTheme="minorBidi" w:hAnsiTheme="minorBidi" w:cstheme="minorBidi"/>
          <w:color w:val="222222"/>
          <w:sz w:val="22"/>
          <w:szCs w:val="22"/>
        </w:rPr>
        <w:t>Masucci</w:t>
      </w:r>
      <w:proofErr w:type="spellEnd"/>
      <w:r w:rsidRPr="002E5D49">
        <w:rPr>
          <w:rFonts w:asciiTheme="minorBidi" w:hAnsiTheme="minorBidi" w:cstheme="minorBidi"/>
          <w:color w:val="222222"/>
          <w:sz w:val="22"/>
          <w:szCs w:val="22"/>
        </w:rPr>
        <w:t xml:space="preserve">, C., </w:t>
      </w:r>
      <w:proofErr w:type="spellStart"/>
      <w:r w:rsidRPr="002E5D49">
        <w:rPr>
          <w:rFonts w:asciiTheme="minorBidi" w:hAnsiTheme="minorBidi" w:cstheme="minorBidi"/>
          <w:color w:val="222222"/>
          <w:sz w:val="22"/>
          <w:szCs w:val="22"/>
        </w:rPr>
        <w:t>Cerroni</w:t>
      </w:r>
      <w:proofErr w:type="spellEnd"/>
      <w:r w:rsidRPr="002E5D49">
        <w:rPr>
          <w:rFonts w:asciiTheme="minorBidi" w:hAnsiTheme="minorBidi" w:cstheme="minorBidi"/>
          <w:color w:val="222222"/>
          <w:sz w:val="22"/>
          <w:szCs w:val="22"/>
        </w:rPr>
        <w:t xml:space="preserve">, S., Franchi, L., &amp; </w:t>
      </w:r>
      <w:proofErr w:type="spellStart"/>
      <w:r w:rsidRPr="002E5D49">
        <w:rPr>
          <w:rFonts w:asciiTheme="minorBidi" w:hAnsiTheme="minorBidi" w:cstheme="minorBidi"/>
          <w:color w:val="222222"/>
          <w:sz w:val="22"/>
          <w:szCs w:val="22"/>
        </w:rPr>
        <w:t>Cozza</w:t>
      </w:r>
      <w:proofErr w:type="spellEnd"/>
      <w:r w:rsidRPr="002E5D49">
        <w:rPr>
          <w:rFonts w:asciiTheme="minorBidi" w:hAnsiTheme="minorBidi" w:cstheme="minorBidi"/>
          <w:color w:val="222222"/>
          <w:sz w:val="22"/>
          <w:szCs w:val="22"/>
        </w:rPr>
        <w:t xml:space="preserve">, P. (2015). Short-term effects produced by rapid maxillary expansion and facemask therapy in Class III patients with different vertical skeletal relationships. *Angle Orthodontist*, *85*(6), 927–933. </w:t>
      </w:r>
      <w:hyperlink r:id="rId45" w:history="1">
        <w:r w:rsidRPr="0036680F">
          <w:rPr>
            <w:rStyle w:val="Hyperlink"/>
            <w:rFonts w:asciiTheme="minorBidi" w:hAnsiTheme="minorBidi" w:cstheme="minorBidi"/>
            <w:sz w:val="22"/>
            <w:szCs w:val="22"/>
          </w:rPr>
          <w:t>https://doi.org/10.2319/052414-366.1</w:t>
        </w:r>
      </w:hyperlink>
      <w:r>
        <w:rPr>
          <w:rFonts w:asciiTheme="minorBidi" w:hAnsiTheme="minorBidi" w:cstheme="minorBidi"/>
          <w:color w:val="222222"/>
          <w:sz w:val="22"/>
          <w:szCs w:val="22"/>
        </w:rPr>
        <w:t xml:space="preserve"> </w:t>
      </w:r>
    </w:p>
    <w:p w14:paraId="7AF9F5DC"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rPr>
        <w:lastRenderedPageBreak/>
        <w:t>Yepes</w:t>
      </w:r>
      <w:proofErr w:type="spellEnd"/>
      <w:r w:rsidRPr="002E5D49">
        <w:rPr>
          <w:rFonts w:asciiTheme="minorBidi" w:hAnsiTheme="minorBidi" w:cstheme="minorBidi"/>
          <w:color w:val="222222"/>
          <w:sz w:val="22"/>
          <w:szCs w:val="22"/>
        </w:rPr>
        <w:t xml:space="preserve">, E., Quintero, P., Rueda, Z. V., &amp; Pedroza, A. (2014). Optimal force for maxillary protraction facemask therapy in the early treatment of class III malocclusion. European Journal of Orthodontics, 36(5), 586-594. </w:t>
      </w:r>
      <w:hyperlink r:id="rId46" w:history="1">
        <w:r w:rsidRPr="0036680F">
          <w:rPr>
            <w:rStyle w:val="Hyperlink"/>
            <w:rFonts w:asciiTheme="minorBidi" w:hAnsiTheme="minorBidi" w:cstheme="minorBidi"/>
            <w:sz w:val="22"/>
            <w:szCs w:val="22"/>
          </w:rPr>
          <w:t>https://doi.org/10.1093/ejo/cjt091</w:t>
        </w:r>
      </w:hyperlink>
      <w:r>
        <w:rPr>
          <w:rFonts w:asciiTheme="minorBidi" w:hAnsiTheme="minorBidi" w:cstheme="minorBidi"/>
          <w:color w:val="222222"/>
          <w:sz w:val="22"/>
          <w:szCs w:val="22"/>
        </w:rPr>
        <w:t xml:space="preserve"> </w:t>
      </w:r>
    </w:p>
    <w:p w14:paraId="37750E8A"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Chang, H. P., Tseng, Y. C., &amp; Chang, H. F. (2006). Treatment of mandibular prognathism. Journal of the Formosan Medical Association, 105(10), 781-790. </w:t>
      </w:r>
      <w:hyperlink r:id="rId47" w:history="1">
        <w:r w:rsidRPr="0036680F">
          <w:rPr>
            <w:rStyle w:val="Hyperlink"/>
            <w:rFonts w:asciiTheme="minorBidi" w:hAnsiTheme="minorBidi" w:cstheme="minorBidi"/>
            <w:sz w:val="22"/>
            <w:szCs w:val="22"/>
          </w:rPr>
          <w:t>https://doi.org/10.1016/S0929-6646(09)60264-3</w:t>
        </w:r>
      </w:hyperlink>
      <w:r>
        <w:rPr>
          <w:rFonts w:asciiTheme="minorBidi" w:hAnsiTheme="minorBidi" w:cstheme="minorBidi"/>
          <w:color w:val="222222"/>
          <w:sz w:val="22"/>
          <w:szCs w:val="22"/>
        </w:rPr>
        <w:t xml:space="preserve"> </w:t>
      </w:r>
    </w:p>
    <w:p w14:paraId="515B4838"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Ngan, P., &amp; Moon, W. (2015). Evolution of Class III treatment in orthodontics. American Journal of Orthodontics and Dentofacial Orthopedics, 148(1), 22-36. </w:t>
      </w:r>
      <w:hyperlink r:id="rId48" w:history="1">
        <w:r w:rsidRPr="0036680F">
          <w:rPr>
            <w:rStyle w:val="Hyperlink"/>
            <w:rFonts w:asciiTheme="minorBidi" w:hAnsiTheme="minorBidi" w:cstheme="minorBidi"/>
            <w:sz w:val="22"/>
            <w:szCs w:val="22"/>
          </w:rPr>
          <w:t>https://doi.org/10.1016/j.ajodo.2015.04.012</w:t>
        </w:r>
      </w:hyperlink>
      <w:r>
        <w:rPr>
          <w:rFonts w:asciiTheme="minorBidi" w:hAnsiTheme="minorBidi" w:cstheme="minorBidi"/>
          <w:color w:val="222222"/>
          <w:sz w:val="22"/>
          <w:szCs w:val="22"/>
        </w:rPr>
        <w:t xml:space="preserve"> </w:t>
      </w:r>
    </w:p>
    <w:p w14:paraId="1F145287"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Kim, D. K., &amp; </w:t>
      </w:r>
      <w:proofErr w:type="spellStart"/>
      <w:r w:rsidRPr="002E5D49">
        <w:rPr>
          <w:rFonts w:asciiTheme="minorBidi" w:hAnsiTheme="minorBidi" w:cstheme="minorBidi"/>
          <w:color w:val="222222"/>
          <w:sz w:val="22"/>
          <w:szCs w:val="22"/>
        </w:rPr>
        <w:t>Baek</w:t>
      </w:r>
      <w:proofErr w:type="spellEnd"/>
      <w:r w:rsidRPr="002E5D49">
        <w:rPr>
          <w:rFonts w:asciiTheme="minorBidi" w:hAnsiTheme="minorBidi" w:cstheme="minorBidi"/>
          <w:color w:val="222222"/>
          <w:sz w:val="22"/>
          <w:szCs w:val="22"/>
        </w:rPr>
        <w:t xml:space="preserve">, S. H. (2013). Change in maxillary incisor inclination during surgical-orthodontic treatment of skeletal Class III malocclusion: comparison of extraction and </w:t>
      </w:r>
      <w:proofErr w:type="spellStart"/>
      <w:r w:rsidRPr="002E5D49">
        <w:rPr>
          <w:rFonts w:asciiTheme="minorBidi" w:hAnsiTheme="minorBidi" w:cstheme="minorBidi"/>
          <w:color w:val="222222"/>
          <w:sz w:val="22"/>
          <w:szCs w:val="22"/>
        </w:rPr>
        <w:t>nonextraction</w:t>
      </w:r>
      <w:proofErr w:type="spellEnd"/>
      <w:r w:rsidRPr="002E5D49">
        <w:rPr>
          <w:rFonts w:asciiTheme="minorBidi" w:hAnsiTheme="minorBidi" w:cstheme="minorBidi"/>
          <w:color w:val="222222"/>
          <w:sz w:val="22"/>
          <w:szCs w:val="22"/>
        </w:rPr>
        <w:t xml:space="preserve"> of the maxillary first premolars. American Journal of Orthodontics and Dentofacial Orthopedics, 143(3), 324-335. </w:t>
      </w:r>
      <w:hyperlink r:id="rId49" w:history="1">
        <w:r w:rsidRPr="0036680F">
          <w:rPr>
            <w:rStyle w:val="Hyperlink"/>
            <w:rFonts w:asciiTheme="minorBidi" w:hAnsiTheme="minorBidi" w:cstheme="minorBidi"/>
            <w:sz w:val="22"/>
            <w:szCs w:val="22"/>
          </w:rPr>
          <w:t>https://doi.org/10.1016/j.ajodo.2012.10.014</w:t>
        </w:r>
      </w:hyperlink>
      <w:r>
        <w:rPr>
          <w:rFonts w:asciiTheme="minorBidi" w:hAnsiTheme="minorBidi" w:cstheme="minorBidi"/>
          <w:color w:val="222222"/>
          <w:sz w:val="22"/>
          <w:szCs w:val="22"/>
        </w:rPr>
        <w:t xml:space="preserve"> </w:t>
      </w:r>
    </w:p>
    <w:p w14:paraId="025E150A"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Needham, R., Waring, D. T., &amp; Malik, O. H. (2015). Invisalign treatment of Class III malocclusion with lower-incisor extraction. Journal of Clinical Orthodontics, 49(7), 429-441. </w:t>
      </w:r>
      <w:hyperlink r:id="rId50" w:history="1">
        <w:r w:rsidRPr="0036680F">
          <w:rPr>
            <w:rStyle w:val="Hyperlink"/>
            <w:rFonts w:asciiTheme="minorBidi" w:hAnsiTheme="minorBidi" w:cstheme="minorBidi"/>
            <w:sz w:val="22"/>
            <w:szCs w:val="22"/>
          </w:rPr>
          <w:t>https://www.jco-online.com/archive/2015/07/429/</w:t>
        </w:r>
      </w:hyperlink>
      <w:r>
        <w:rPr>
          <w:rFonts w:asciiTheme="minorBidi" w:hAnsiTheme="minorBidi" w:cstheme="minorBidi"/>
          <w:color w:val="222222"/>
          <w:sz w:val="22"/>
          <w:szCs w:val="22"/>
        </w:rPr>
        <w:t xml:space="preserve"> </w:t>
      </w:r>
    </w:p>
    <w:p w14:paraId="3B0D5252"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Lin, J., &amp; Gu, Y. (2006). Lower second molar extraction in correction of severe skeletal Class III malocclusion. Angle Orthodontist, 76(2), 217-225. </w:t>
      </w:r>
      <w:hyperlink r:id="rId51" w:history="1">
        <w:r w:rsidRPr="0036680F">
          <w:rPr>
            <w:rStyle w:val="Hyperlink"/>
            <w:rFonts w:asciiTheme="minorBidi" w:hAnsiTheme="minorBidi" w:cstheme="minorBidi"/>
            <w:sz w:val="22"/>
            <w:szCs w:val="22"/>
          </w:rPr>
          <w:t>https://doi.org/10.1043/0003-3219(2006)076[0217:LSMEIC]2.0.CO;2</w:t>
        </w:r>
      </w:hyperlink>
      <w:r>
        <w:rPr>
          <w:rFonts w:asciiTheme="minorBidi" w:hAnsiTheme="minorBidi" w:cstheme="minorBidi"/>
          <w:color w:val="222222"/>
          <w:sz w:val="22"/>
          <w:szCs w:val="22"/>
        </w:rPr>
        <w:t xml:space="preserve"> </w:t>
      </w:r>
    </w:p>
    <w:p w14:paraId="3C757250"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Janson, G., Maria, F. R., &amp; </w:t>
      </w:r>
      <w:proofErr w:type="spellStart"/>
      <w:r w:rsidRPr="002E5D49">
        <w:rPr>
          <w:rFonts w:asciiTheme="minorBidi" w:hAnsiTheme="minorBidi" w:cstheme="minorBidi"/>
          <w:color w:val="222222"/>
          <w:sz w:val="22"/>
          <w:szCs w:val="22"/>
        </w:rPr>
        <w:t>Bombonatti</w:t>
      </w:r>
      <w:proofErr w:type="spellEnd"/>
      <w:r w:rsidRPr="002E5D49">
        <w:rPr>
          <w:rFonts w:asciiTheme="minorBidi" w:hAnsiTheme="minorBidi" w:cstheme="minorBidi"/>
          <w:color w:val="222222"/>
          <w:sz w:val="22"/>
          <w:szCs w:val="22"/>
        </w:rPr>
        <w:t xml:space="preserve">, R. (2014). Frequency evaluation of different extraction protocols in orthodontic treatment during 35 years. Progress in Orthodontics, 15(1), 51. </w:t>
      </w:r>
      <w:hyperlink r:id="rId52" w:history="1">
        <w:r w:rsidRPr="0036680F">
          <w:rPr>
            <w:rStyle w:val="Hyperlink"/>
            <w:rFonts w:asciiTheme="minorBidi" w:hAnsiTheme="minorBidi" w:cstheme="minorBidi"/>
            <w:sz w:val="22"/>
            <w:szCs w:val="22"/>
          </w:rPr>
          <w:t>https://doi.org/10.1186/s40510-014-0051-z</w:t>
        </w:r>
      </w:hyperlink>
      <w:r>
        <w:rPr>
          <w:rFonts w:asciiTheme="minorBidi" w:hAnsiTheme="minorBidi" w:cstheme="minorBidi"/>
          <w:color w:val="222222"/>
          <w:sz w:val="22"/>
          <w:szCs w:val="22"/>
        </w:rPr>
        <w:t xml:space="preserve"> </w:t>
      </w:r>
    </w:p>
    <w:p w14:paraId="51A75845"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2E5D49">
        <w:rPr>
          <w:rFonts w:asciiTheme="minorBidi" w:hAnsiTheme="minorBidi" w:cstheme="minorBidi"/>
          <w:color w:val="222222"/>
          <w:sz w:val="22"/>
          <w:szCs w:val="22"/>
        </w:rPr>
        <w:t xml:space="preserve">Holman, J. K., Hans, M. G., Nelson, S., &amp; Powers, M. P. (1998). An assessment of extraction versus </w:t>
      </w:r>
      <w:proofErr w:type="spellStart"/>
      <w:r w:rsidRPr="002E5D49">
        <w:rPr>
          <w:rFonts w:asciiTheme="minorBidi" w:hAnsiTheme="minorBidi" w:cstheme="minorBidi"/>
          <w:color w:val="222222"/>
          <w:sz w:val="22"/>
          <w:szCs w:val="22"/>
        </w:rPr>
        <w:t>nonextraction</w:t>
      </w:r>
      <w:proofErr w:type="spellEnd"/>
      <w:r w:rsidRPr="002E5D49">
        <w:rPr>
          <w:rFonts w:asciiTheme="minorBidi" w:hAnsiTheme="minorBidi" w:cstheme="minorBidi"/>
          <w:color w:val="222222"/>
          <w:sz w:val="22"/>
          <w:szCs w:val="22"/>
        </w:rPr>
        <w:t xml:space="preserve"> orthodontic treatment using the peer assessment rating (PAR) index. Angle Orthodontist, 68(6), 527-534. </w:t>
      </w:r>
      <w:hyperlink r:id="rId53" w:history="1">
        <w:r w:rsidRPr="0036680F">
          <w:rPr>
            <w:rStyle w:val="Hyperlink"/>
            <w:rFonts w:asciiTheme="minorBidi" w:hAnsiTheme="minorBidi" w:cstheme="minorBidi"/>
            <w:sz w:val="22"/>
            <w:szCs w:val="22"/>
          </w:rPr>
          <w:t>https://doi.org/10.1043/0003-3219(1998)068&lt;0527:AAOEVN&gt;2.3.CO;2</w:t>
        </w:r>
      </w:hyperlink>
      <w:r>
        <w:rPr>
          <w:rFonts w:asciiTheme="minorBidi" w:hAnsiTheme="minorBidi" w:cstheme="minorBidi"/>
          <w:color w:val="222222"/>
          <w:sz w:val="22"/>
          <w:szCs w:val="22"/>
        </w:rPr>
        <w:t xml:space="preserve"> </w:t>
      </w:r>
    </w:p>
    <w:p w14:paraId="4DB69A12" w14:textId="17DE992F" w:rsidR="003B0A63" w:rsidRP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2E5D49">
        <w:rPr>
          <w:rFonts w:asciiTheme="minorBidi" w:hAnsiTheme="minorBidi" w:cstheme="minorBidi"/>
          <w:color w:val="222222"/>
          <w:sz w:val="22"/>
          <w:szCs w:val="22"/>
        </w:rPr>
        <w:t>Alassfar</w:t>
      </w:r>
      <w:proofErr w:type="spellEnd"/>
      <w:r w:rsidRPr="002E5D49">
        <w:rPr>
          <w:rFonts w:asciiTheme="minorBidi" w:hAnsiTheme="minorBidi" w:cstheme="minorBidi"/>
          <w:color w:val="222222"/>
          <w:sz w:val="22"/>
          <w:szCs w:val="22"/>
        </w:rPr>
        <w:t xml:space="preserve">, A., </w:t>
      </w:r>
      <w:proofErr w:type="spellStart"/>
      <w:r w:rsidRPr="002E5D49">
        <w:rPr>
          <w:rFonts w:asciiTheme="minorBidi" w:hAnsiTheme="minorBidi" w:cstheme="minorBidi"/>
          <w:color w:val="222222"/>
          <w:sz w:val="22"/>
          <w:szCs w:val="22"/>
        </w:rPr>
        <w:t>Benyahia</w:t>
      </w:r>
      <w:proofErr w:type="spellEnd"/>
      <w:r w:rsidRPr="002E5D49">
        <w:rPr>
          <w:rFonts w:asciiTheme="minorBidi" w:hAnsiTheme="minorBidi" w:cstheme="minorBidi"/>
          <w:color w:val="222222"/>
          <w:sz w:val="22"/>
          <w:szCs w:val="22"/>
        </w:rPr>
        <w:t xml:space="preserve">, H., </w:t>
      </w:r>
      <w:proofErr w:type="spellStart"/>
      <w:r w:rsidRPr="002E5D49">
        <w:rPr>
          <w:rFonts w:asciiTheme="minorBidi" w:hAnsiTheme="minorBidi" w:cstheme="minorBidi"/>
          <w:color w:val="222222"/>
          <w:sz w:val="22"/>
          <w:szCs w:val="22"/>
        </w:rPr>
        <w:t>Zaoui</w:t>
      </w:r>
      <w:proofErr w:type="spellEnd"/>
      <w:r w:rsidRPr="002E5D49">
        <w:rPr>
          <w:rFonts w:asciiTheme="minorBidi" w:hAnsiTheme="minorBidi" w:cstheme="minorBidi"/>
          <w:color w:val="222222"/>
          <w:sz w:val="22"/>
          <w:szCs w:val="22"/>
        </w:rPr>
        <w:t xml:space="preserve">, F., &amp; </w:t>
      </w:r>
      <w:proofErr w:type="spellStart"/>
      <w:r w:rsidRPr="002E5D49">
        <w:rPr>
          <w:rFonts w:asciiTheme="minorBidi" w:hAnsiTheme="minorBidi" w:cstheme="minorBidi"/>
          <w:color w:val="222222"/>
          <w:sz w:val="22"/>
          <w:szCs w:val="22"/>
        </w:rPr>
        <w:t>Halimi</w:t>
      </w:r>
      <w:proofErr w:type="spellEnd"/>
      <w:r w:rsidRPr="002E5D49">
        <w:rPr>
          <w:rFonts w:asciiTheme="minorBidi" w:hAnsiTheme="minorBidi" w:cstheme="minorBidi"/>
          <w:color w:val="222222"/>
          <w:sz w:val="22"/>
          <w:szCs w:val="22"/>
        </w:rPr>
        <w:t xml:space="preserve">, A. (2023). Managing orthodontic treatment in periodontally compromised patients. European Journal of Oral and Maxillofacial Surgery, 7, 75-81. </w:t>
      </w:r>
      <w:hyperlink r:id="rId54" w:history="1">
        <w:r w:rsidRPr="002E5D49">
          <w:rPr>
            <w:rStyle w:val="Hyperlink"/>
            <w:rFonts w:asciiTheme="minorBidi" w:hAnsiTheme="minorBidi" w:cstheme="minorBidi"/>
            <w:sz w:val="22"/>
            <w:szCs w:val="22"/>
          </w:rPr>
          <w:t>https://doi.org/10.23736/S2532-3466.23.00320-x</w:t>
        </w:r>
      </w:hyperlink>
      <w:r w:rsidRPr="002E5D49">
        <w:rPr>
          <w:rFonts w:asciiTheme="minorBidi" w:hAnsiTheme="minorBidi" w:cstheme="minorBidi"/>
          <w:color w:val="222222"/>
          <w:sz w:val="22"/>
          <w:szCs w:val="22"/>
        </w:rPr>
        <w:t xml:space="preserve"> </w:t>
      </w:r>
    </w:p>
    <w:p w14:paraId="0F7E7AA0" w14:textId="77777777" w:rsidR="002E5D49" w:rsidRPr="00860895" w:rsidRDefault="002E5D49" w:rsidP="003B0A63"/>
    <w:p w14:paraId="71417070" w14:textId="77777777" w:rsidR="003B0A63" w:rsidRPr="00860895" w:rsidRDefault="003B0A63" w:rsidP="003B0A63"/>
    <w:p w14:paraId="702CE668" w14:textId="77777777" w:rsidR="00A31807" w:rsidRP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drawing>
          <wp:inline distT="0" distB="0" distL="0" distR="0" wp14:anchorId="6E6DEF82" wp14:editId="0A8A4BE3">
            <wp:extent cx="5972810" cy="1569414"/>
            <wp:effectExtent l="0" t="0" r="0" b="0"/>
            <wp:docPr id="12" name="Image 12" descr="C:\Users\user\Pictures\Screenshots\Screenshot 2025-03-12 00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Screenshots\Screenshot 2025-03-12 00425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2810" cy="1569414"/>
                    </a:xfrm>
                    <a:prstGeom prst="rect">
                      <a:avLst/>
                    </a:prstGeom>
                    <a:noFill/>
                    <a:ln>
                      <a:noFill/>
                    </a:ln>
                  </pic:spPr>
                </pic:pic>
              </a:graphicData>
            </a:graphic>
          </wp:inline>
        </w:drawing>
      </w:r>
    </w:p>
    <w:p w14:paraId="05900425"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t>Figure 1: Pretreatment photographs of the patient.</w:t>
      </w:r>
    </w:p>
    <w:p w14:paraId="00FBA356"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Frontal view with a smile.</w:t>
      </w:r>
    </w:p>
    <w:p w14:paraId="50B5CDF1"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lastRenderedPageBreak/>
        <w:t>(B) Frontal view with a neutral expression.</w:t>
      </w:r>
    </w:p>
    <w:p w14:paraId="69AA7D20"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(C) Profile view.</w:t>
      </w:r>
    </w:p>
    <w:p w14:paraId="4C8F337A"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t xml:space="preserve">Figure </w:t>
      </w:r>
      <w:proofErr w:type="gramStart"/>
      <w:r w:rsidRPr="00A31807">
        <w:rPr>
          <w:rFonts w:ascii="Times New Roman" w:hAnsi="Times New Roman"/>
          <w:b/>
          <w:bCs/>
          <w:color w:val="222222"/>
          <w:sz w:val="24"/>
          <w:szCs w:val="24"/>
        </w:rPr>
        <w:t>2 :</w:t>
      </w:r>
      <w:proofErr w:type="gramEnd"/>
      <w:r w:rsidRPr="00A31807">
        <w:rPr>
          <w:rFonts w:ascii="Times New Roman" w:hAnsi="Times New Roman"/>
          <w:b/>
          <w:bCs/>
          <w:color w:val="222222"/>
          <w:sz w:val="24"/>
          <w:szCs w:val="24"/>
        </w:rPr>
        <w:t xml:space="preserve"> Intraoral pretreatment photographs showing the dental malocclusion.</w:t>
      </w:r>
    </w:p>
    <w:p w14:paraId="2CB6BD04"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Right lateral view showing Class III molar and canine relationships.</w:t>
      </w:r>
    </w:p>
    <w:p w14:paraId="797E194B"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 xml:space="preserve">(B) Frontal view displaying severe mandibular crowding, a midline shift, and a diastema between the </w:t>
      </w:r>
      <w:proofErr w:type="spellStart"/>
      <w:r w:rsidRPr="00A31807">
        <w:rPr>
          <w:rFonts w:ascii="Roboto Slab" w:hAnsi="Roboto Slab" w:cs="Arial"/>
          <w:color w:val="222222"/>
          <w:sz w:val="23"/>
          <w:szCs w:val="23"/>
        </w:rPr>
        <w:t>proclined</w:t>
      </w:r>
      <w:proofErr w:type="spellEnd"/>
      <w:r w:rsidRPr="00A31807">
        <w:rPr>
          <w:rFonts w:ascii="Roboto Slab" w:hAnsi="Roboto Slab" w:cs="Arial"/>
          <w:color w:val="222222"/>
          <w:sz w:val="23"/>
          <w:szCs w:val="23"/>
        </w:rPr>
        <w:t xml:space="preserve"> upper central incisors.</w:t>
      </w:r>
    </w:p>
    <w:p w14:paraId="759D4017" w14:textId="77777777" w:rsidR="00A31807" w:rsidRPr="00A31807" w:rsidRDefault="00A31807" w:rsidP="00A31807">
      <w:pPr>
        <w:shd w:val="clear" w:color="auto" w:fill="FFFFFF"/>
        <w:spacing w:line="288" w:lineRule="atLeast"/>
        <w:rPr>
          <w:rFonts w:ascii="Roboto Slab" w:hAnsi="Roboto Slab" w:cs="Arial"/>
          <w:color w:val="222222"/>
          <w:sz w:val="23"/>
          <w:szCs w:val="23"/>
        </w:rPr>
      </w:pPr>
      <w:r w:rsidRPr="00A31807">
        <w:rPr>
          <w:rFonts w:ascii="Roboto Slab" w:hAnsi="Roboto Slab" w:cs="Arial"/>
          <w:color w:val="222222"/>
          <w:sz w:val="23"/>
          <w:szCs w:val="23"/>
        </w:rPr>
        <w:t>(C) Left lateral view showing Class III canine and molar relationships.</w:t>
      </w:r>
    </w:p>
    <w:p w14:paraId="2CB09749" w14:textId="77777777" w:rsidR="00A31807" w:rsidRPr="00A31807" w:rsidRDefault="00A31807" w:rsidP="00A31807">
      <w:pPr>
        <w:spacing w:after="160" w:line="259" w:lineRule="auto"/>
        <w:jc w:val="center"/>
        <w:rPr>
          <w:rFonts w:ascii="Calibri" w:eastAsia="Calibri" w:hAnsi="Calibri" w:cs="Arial"/>
          <w:noProof/>
          <w:sz w:val="22"/>
          <w:szCs w:val="22"/>
        </w:rPr>
      </w:pPr>
      <w:r w:rsidRPr="00A31807">
        <w:rPr>
          <w:rFonts w:ascii="Calibri" w:eastAsia="Calibri" w:hAnsi="Calibri" w:cs="Arial"/>
          <w:noProof/>
          <w:sz w:val="22"/>
          <w:szCs w:val="22"/>
        </w:rPr>
        <w:drawing>
          <wp:inline distT="0" distB="0" distL="0" distR="0" wp14:anchorId="768DE81A" wp14:editId="3D0E26D4">
            <wp:extent cx="6615069" cy="1677646"/>
            <wp:effectExtent l="0" t="0" r="0" b="0"/>
            <wp:docPr id="11" name="Image 11" descr="C:\Users\user\Downloads\Screenshot 2025-03-12 002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Screenshot 2025-03-12 00294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6628" cy="1690722"/>
                    </a:xfrm>
                    <a:prstGeom prst="rect">
                      <a:avLst/>
                    </a:prstGeom>
                    <a:noFill/>
                    <a:ln>
                      <a:noFill/>
                    </a:ln>
                  </pic:spPr>
                </pic:pic>
              </a:graphicData>
            </a:graphic>
          </wp:inline>
        </w:drawing>
      </w:r>
    </w:p>
    <w:p w14:paraId="0DA898C6" w14:textId="77777777" w:rsidR="00A31807" w:rsidRP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drawing>
          <wp:inline distT="0" distB="0" distL="0" distR="0" wp14:anchorId="62F476BE" wp14:editId="577C4E29">
            <wp:extent cx="6334983" cy="2841712"/>
            <wp:effectExtent l="0" t="0" r="8890" b="0"/>
            <wp:docPr id="10" name="Image 10" descr="C:\Users\user\Downloads\Screenshot 2025-03-12 004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Screenshot 2025-03-12 00481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3000" cy="2854280"/>
                    </a:xfrm>
                    <a:prstGeom prst="rect">
                      <a:avLst/>
                    </a:prstGeom>
                    <a:noFill/>
                    <a:ln>
                      <a:noFill/>
                    </a:ln>
                  </pic:spPr>
                </pic:pic>
              </a:graphicData>
            </a:graphic>
          </wp:inline>
        </w:drawing>
      </w:r>
    </w:p>
    <w:p w14:paraId="17F9A1D3"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t>Figure 3: Occlusal views of the maxillary and mandibular arches before treatment.</w:t>
      </w:r>
    </w:p>
    <w:p w14:paraId="5EC1D07A"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Maxillary occlusal view showing a diastema and arch form.</w:t>
      </w:r>
    </w:p>
    <w:p w14:paraId="4C67B455" w14:textId="77777777" w:rsidR="00A31807" w:rsidRPr="00A31807" w:rsidRDefault="00A31807" w:rsidP="00A31807">
      <w:pPr>
        <w:shd w:val="clear" w:color="auto" w:fill="FFFFFF"/>
        <w:spacing w:line="288" w:lineRule="atLeast"/>
        <w:rPr>
          <w:rFonts w:ascii="Roboto Slab" w:hAnsi="Roboto Slab" w:cs="Arial"/>
          <w:color w:val="222222"/>
          <w:sz w:val="23"/>
          <w:szCs w:val="23"/>
        </w:rPr>
      </w:pPr>
      <w:r w:rsidRPr="00A31807">
        <w:rPr>
          <w:rFonts w:ascii="Roboto Slab" w:hAnsi="Roboto Slab" w:cs="Arial"/>
          <w:color w:val="222222"/>
          <w:sz w:val="23"/>
          <w:szCs w:val="23"/>
        </w:rPr>
        <w:t>(B) Mandibular occlusal view illustrating severe crowding, midline deviation, and compensatory tooth positioning</w:t>
      </w:r>
    </w:p>
    <w:p w14:paraId="417DFCD1" w14:textId="77777777" w:rsidR="00A31807" w:rsidRP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lastRenderedPageBreak/>
        <w:drawing>
          <wp:inline distT="0" distB="0" distL="0" distR="0" wp14:anchorId="56CF4D64" wp14:editId="69D8CEA4">
            <wp:extent cx="6730399" cy="2722061"/>
            <wp:effectExtent l="0" t="0" r="0" b="2540"/>
            <wp:docPr id="9" name="Image 9" descr="C:\Users\user\Downloads\Screenshot 2025-03-12 00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Screenshot 2025-03-12 0052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9482" cy="2725735"/>
                    </a:xfrm>
                    <a:prstGeom prst="rect">
                      <a:avLst/>
                    </a:prstGeom>
                    <a:noFill/>
                    <a:ln>
                      <a:noFill/>
                    </a:ln>
                  </pic:spPr>
                </pic:pic>
              </a:graphicData>
            </a:graphic>
          </wp:inline>
        </w:drawing>
      </w:r>
    </w:p>
    <w:p w14:paraId="1958B2E6"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t>Figure 4: Radiographic assessment before treatment.</w:t>
      </w:r>
    </w:p>
    <w:p w14:paraId="7AD3D447"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Lateral cephalogram illustrating skeletal Class I pattern and dental compensations.</w:t>
      </w:r>
    </w:p>
    <w:p w14:paraId="2B83A6DF"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(B) Panoramic radiograph displaying dental development, root parallelism, and the absence of pathology.</w:t>
      </w:r>
    </w:p>
    <w:p w14:paraId="74A5953F" w14:textId="77777777" w:rsidR="00A31807" w:rsidRPr="00A31807" w:rsidRDefault="00A31807" w:rsidP="00A31807">
      <w:pPr>
        <w:spacing w:after="160" w:line="259" w:lineRule="auto"/>
        <w:jc w:val="center"/>
        <w:rPr>
          <w:rFonts w:ascii="Calibri" w:eastAsia="Calibri" w:hAnsi="Calibri" w:cs="Arial"/>
          <w:sz w:val="22"/>
          <w:szCs w:val="22"/>
        </w:rPr>
      </w:pPr>
    </w:p>
    <w:p w14:paraId="0F5B82BB" w14:textId="77777777" w:rsidR="00A31807" w:rsidRP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drawing>
          <wp:inline distT="0" distB="0" distL="0" distR="0" wp14:anchorId="3D7C5733" wp14:editId="662A0F66">
            <wp:extent cx="5586458" cy="2603157"/>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900" cy="2615478"/>
                    </a:xfrm>
                    <a:prstGeom prst="rect">
                      <a:avLst/>
                    </a:prstGeom>
                  </pic:spPr>
                </pic:pic>
              </a:graphicData>
            </a:graphic>
          </wp:inline>
        </w:drawing>
      </w:r>
    </w:p>
    <w:p w14:paraId="44B308B0"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t>Figure 5: Orthodontic bonding and alignment phase.</w:t>
      </w:r>
    </w:p>
    <w:p w14:paraId="23613017"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Brackets in place with an initial 0.014 Ni-</w:t>
      </w:r>
      <w:proofErr w:type="spellStart"/>
      <w:r w:rsidRPr="00A31807">
        <w:rPr>
          <w:rFonts w:ascii="Roboto Slab" w:hAnsi="Roboto Slab" w:cs="Arial"/>
          <w:color w:val="222222"/>
          <w:sz w:val="23"/>
          <w:szCs w:val="23"/>
        </w:rPr>
        <w:t>Ti</w:t>
      </w:r>
      <w:proofErr w:type="spellEnd"/>
      <w:r w:rsidRPr="00A31807">
        <w:rPr>
          <w:rFonts w:ascii="Roboto Slab" w:hAnsi="Roboto Slab" w:cs="Arial"/>
          <w:color w:val="222222"/>
          <w:sz w:val="23"/>
          <w:szCs w:val="23"/>
        </w:rPr>
        <w:t xml:space="preserve"> </w:t>
      </w:r>
      <w:proofErr w:type="spellStart"/>
      <w:r w:rsidRPr="00A31807">
        <w:rPr>
          <w:rFonts w:ascii="Roboto Slab" w:hAnsi="Roboto Slab" w:cs="Arial"/>
          <w:color w:val="222222"/>
          <w:sz w:val="23"/>
          <w:szCs w:val="23"/>
        </w:rPr>
        <w:t>archwire</w:t>
      </w:r>
      <w:proofErr w:type="spellEnd"/>
      <w:r w:rsidRPr="00A31807">
        <w:rPr>
          <w:rFonts w:ascii="Roboto Slab" w:hAnsi="Roboto Slab" w:cs="Arial"/>
          <w:color w:val="222222"/>
          <w:sz w:val="23"/>
          <w:szCs w:val="23"/>
        </w:rPr>
        <w:t>.</w:t>
      </w:r>
    </w:p>
    <w:p w14:paraId="627EA843" w14:textId="77777777" w:rsidR="00A31807" w:rsidRPr="00A31807" w:rsidRDefault="00A31807" w:rsidP="00A31807">
      <w:pPr>
        <w:shd w:val="clear" w:color="auto" w:fill="FFFFFF"/>
        <w:spacing w:line="288" w:lineRule="atLeast"/>
        <w:rPr>
          <w:rFonts w:ascii="Roboto Slab" w:hAnsi="Roboto Slab" w:cs="Arial"/>
          <w:color w:val="222222"/>
          <w:sz w:val="23"/>
          <w:szCs w:val="23"/>
        </w:rPr>
      </w:pPr>
      <w:r w:rsidRPr="00A31807">
        <w:rPr>
          <w:rFonts w:ascii="Roboto Slab" w:hAnsi="Roboto Slab" w:cs="Arial"/>
          <w:color w:val="222222"/>
          <w:sz w:val="23"/>
          <w:szCs w:val="23"/>
        </w:rPr>
        <w:t>(b)Left intraoral view demonstrating early alignment progress</w:t>
      </w:r>
    </w:p>
    <w:p w14:paraId="3009FE3D" w14:textId="77777777" w:rsidR="00A31807" w:rsidRPr="00A31807" w:rsidRDefault="00A31807" w:rsidP="00A31807">
      <w:pPr>
        <w:shd w:val="clear" w:color="auto" w:fill="FFFFFF"/>
        <w:spacing w:before="100" w:beforeAutospacing="1" w:after="100" w:afterAutospacing="1"/>
        <w:rPr>
          <w:rFonts w:ascii="Roboto Slab" w:hAnsi="Roboto Slab"/>
          <w:color w:val="222222"/>
          <w:sz w:val="24"/>
          <w:szCs w:val="24"/>
        </w:rPr>
      </w:pPr>
      <w:r w:rsidRPr="00A31807">
        <w:rPr>
          <w:rFonts w:ascii="Roboto Slab" w:hAnsi="Roboto Slab"/>
          <w:color w:val="222222"/>
          <w:sz w:val="24"/>
          <w:szCs w:val="24"/>
        </w:rPr>
        <w:t>(c) Use of bull loops for controlled incisor retraction.</w:t>
      </w:r>
    </w:p>
    <w:p w14:paraId="0A6B3338" w14:textId="77777777" w:rsidR="00A31807" w:rsidRPr="00A31807" w:rsidRDefault="00A31807" w:rsidP="00A31807">
      <w:pPr>
        <w:shd w:val="clear" w:color="auto" w:fill="FFFFFF"/>
        <w:spacing w:before="100" w:beforeAutospacing="1" w:after="100" w:afterAutospacing="1"/>
        <w:rPr>
          <w:rFonts w:ascii="Roboto Slab" w:hAnsi="Roboto Slab"/>
          <w:color w:val="222222"/>
          <w:sz w:val="24"/>
          <w:szCs w:val="24"/>
        </w:rPr>
      </w:pPr>
      <w:r w:rsidRPr="00A31807">
        <w:rPr>
          <w:rFonts w:ascii="Roboto Slab" w:hAnsi="Roboto Slab"/>
          <w:color w:val="222222"/>
          <w:sz w:val="24"/>
          <w:szCs w:val="24"/>
        </w:rPr>
        <w:t>(d) The frontal view shows progressive space closure.</w:t>
      </w:r>
    </w:p>
    <w:p w14:paraId="4D98A2A4" w14:textId="77777777" w:rsidR="00A31807" w:rsidRPr="00A31807" w:rsidRDefault="00A31807" w:rsidP="00A31807">
      <w:pPr>
        <w:shd w:val="clear" w:color="auto" w:fill="FFFFFF"/>
        <w:rPr>
          <w:rFonts w:ascii="Roboto Slab" w:hAnsi="Roboto Slab"/>
          <w:color w:val="222222"/>
          <w:sz w:val="24"/>
          <w:szCs w:val="24"/>
        </w:rPr>
      </w:pPr>
      <w:r w:rsidRPr="00A31807">
        <w:rPr>
          <w:rFonts w:ascii="Roboto Slab" w:hAnsi="Roboto Slab"/>
          <w:color w:val="222222"/>
          <w:sz w:val="24"/>
          <w:szCs w:val="24"/>
        </w:rPr>
        <w:lastRenderedPageBreak/>
        <w:t>(e) The left occlusal view shows progressive space closure.</w:t>
      </w:r>
    </w:p>
    <w:p w14:paraId="73A4495D" w14:textId="77777777" w:rsidR="00A31807" w:rsidRPr="00A31807" w:rsidRDefault="00A31807" w:rsidP="00A31807">
      <w:pPr>
        <w:spacing w:after="160" w:line="259" w:lineRule="auto"/>
        <w:jc w:val="center"/>
        <w:rPr>
          <w:rFonts w:ascii="Calibri" w:eastAsia="Calibri" w:hAnsi="Calibri" w:cs="Arial"/>
          <w:sz w:val="22"/>
          <w:szCs w:val="22"/>
        </w:rPr>
      </w:pPr>
    </w:p>
    <w:p w14:paraId="009F622F" w14:textId="77777777" w:rsidR="00A31807" w:rsidRP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sz w:val="22"/>
          <w:szCs w:val="22"/>
        </w:rPr>
        <w:t xml:space="preserve">      </w:t>
      </w:r>
      <w:r w:rsidRPr="00A31807">
        <w:rPr>
          <w:rFonts w:ascii="Calibri" w:eastAsia="Calibri" w:hAnsi="Calibri" w:cs="Arial"/>
          <w:noProof/>
          <w:sz w:val="22"/>
          <w:szCs w:val="22"/>
        </w:rPr>
        <w:drawing>
          <wp:inline distT="0" distB="0" distL="0" distR="0" wp14:anchorId="769DAE05" wp14:editId="1A29DA39">
            <wp:extent cx="5972810" cy="2562225"/>
            <wp:effectExtent l="0" t="0" r="889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72810" cy="2562225"/>
                    </a:xfrm>
                    <a:prstGeom prst="rect">
                      <a:avLst/>
                    </a:prstGeom>
                  </pic:spPr>
                </pic:pic>
              </a:graphicData>
            </a:graphic>
          </wp:inline>
        </w:drawing>
      </w:r>
    </w:p>
    <w:p w14:paraId="7D86600A"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t>Figure 6: Post-treatment photographs showing occlusal correction</w:t>
      </w:r>
    </w:p>
    <w:p w14:paraId="271F5DF7"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Right lateral view showing corrected Class I canine and molar relationships.</w:t>
      </w:r>
    </w:p>
    <w:p w14:paraId="7964952F"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(b) Frontal view illustrating Class I occlusion and aligned midlines.</w:t>
      </w:r>
    </w:p>
    <w:p w14:paraId="22BC1EB7" w14:textId="77777777" w:rsidR="00A31807" w:rsidRPr="00A31807" w:rsidRDefault="00A31807" w:rsidP="00A31807">
      <w:pPr>
        <w:shd w:val="clear" w:color="auto" w:fill="FFFFFF"/>
        <w:spacing w:line="288" w:lineRule="atLeast"/>
        <w:rPr>
          <w:rFonts w:ascii="Roboto Slab" w:hAnsi="Roboto Slab" w:cs="Arial"/>
          <w:color w:val="222222"/>
          <w:sz w:val="23"/>
          <w:szCs w:val="23"/>
        </w:rPr>
      </w:pPr>
      <w:r w:rsidRPr="00A31807">
        <w:rPr>
          <w:rFonts w:ascii="Roboto Slab" w:hAnsi="Roboto Slab" w:cs="Arial"/>
          <w:color w:val="222222"/>
          <w:sz w:val="23"/>
          <w:szCs w:val="23"/>
        </w:rPr>
        <w:t>(c) Left lateral view showing corrected Class I canine and molar relationships.</w:t>
      </w:r>
    </w:p>
    <w:p w14:paraId="25F32906" w14:textId="77777777" w:rsidR="00A31807" w:rsidRPr="00A31807" w:rsidRDefault="00A31807" w:rsidP="00A31807">
      <w:pPr>
        <w:shd w:val="clear" w:color="auto" w:fill="FFFFFF"/>
        <w:spacing w:before="100" w:beforeAutospacing="1" w:after="100" w:afterAutospacing="1"/>
        <w:rPr>
          <w:rFonts w:ascii="Roboto Slab" w:hAnsi="Roboto Slab"/>
          <w:color w:val="222222"/>
          <w:sz w:val="24"/>
          <w:szCs w:val="24"/>
        </w:rPr>
      </w:pPr>
      <w:r w:rsidRPr="00A31807">
        <w:rPr>
          <w:rFonts w:ascii="Roboto Slab" w:hAnsi="Roboto Slab"/>
          <w:color w:val="222222"/>
          <w:sz w:val="24"/>
          <w:szCs w:val="24"/>
        </w:rPr>
        <w:t>(d) Frontal view with a neutral expression.</w:t>
      </w:r>
    </w:p>
    <w:p w14:paraId="7C799D26" w14:textId="77777777" w:rsidR="00A31807" w:rsidRPr="00A31807" w:rsidRDefault="00A31807" w:rsidP="00A31807">
      <w:pPr>
        <w:shd w:val="clear" w:color="auto" w:fill="FFFFFF"/>
        <w:spacing w:before="100" w:beforeAutospacing="1" w:after="100" w:afterAutospacing="1"/>
        <w:rPr>
          <w:rFonts w:ascii="Roboto Slab" w:hAnsi="Roboto Slab"/>
          <w:color w:val="222222"/>
          <w:sz w:val="24"/>
          <w:szCs w:val="24"/>
        </w:rPr>
      </w:pPr>
      <w:r w:rsidRPr="00A31807">
        <w:rPr>
          <w:rFonts w:ascii="Roboto Slab" w:hAnsi="Roboto Slab"/>
          <w:color w:val="222222"/>
          <w:sz w:val="24"/>
          <w:szCs w:val="24"/>
        </w:rPr>
        <w:t>(e) Frontal view with a smile.</w:t>
      </w:r>
    </w:p>
    <w:p w14:paraId="608EB011" w14:textId="77777777" w:rsidR="00A31807" w:rsidRPr="00A31807" w:rsidRDefault="00A31807" w:rsidP="00A31807">
      <w:pPr>
        <w:shd w:val="clear" w:color="auto" w:fill="FFFFFF"/>
        <w:rPr>
          <w:rFonts w:ascii="Roboto Slab" w:hAnsi="Roboto Slab"/>
          <w:color w:val="222222"/>
          <w:sz w:val="24"/>
          <w:szCs w:val="24"/>
        </w:rPr>
      </w:pPr>
      <w:r w:rsidRPr="00A31807">
        <w:rPr>
          <w:rFonts w:ascii="Roboto Slab" w:hAnsi="Roboto Slab"/>
          <w:color w:val="222222"/>
          <w:sz w:val="24"/>
          <w:szCs w:val="24"/>
        </w:rPr>
        <w:t>(f) Profile view. The improved facial profile and balanced soft tissue relationships are evident.</w:t>
      </w:r>
    </w:p>
    <w:p w14:paraId="5D05605A" w14:textId="77777777" w:rsidR="00A31807" w:rsidRPr="00A31807" w:rsidRDefault="00A31807" w:rsidP="00A31807">
      <w:pPr>
        <w:shd w:val="clear" w:color="auto" w:fill="FFFFFF"/>
        <w:spacing w:line="288" w:lineRule="atLeast"/>
        <w:rPr>
          <w:rFonts w:ascii="Roboto Slab" w:hAnsi="Roboto Slab" w:cs="Arial"/>
          <w:color w:val="222222"/>
          <w:sz w:val="23"/>
          <w:szCs w:val="23"/>
        </w:rPr>
      </w:pPr>
    </w:p>
    <w:p w14:paraId="324E5747" w14:textId="77777777" w:rsidR="00A31807" w:rsidRPr="00A31807" w:rsidRDefault="00A31807" w:rsidP="00A31807">
      <w:pPr>
        <w:spacing w:after="160" w:line="259" w:lineRule="auto"/>
        <w:jc w:val="center"/>
        <w:rPr>
          <w:rFonts w:ascii="Calibri" w:eastAsia="Calibri" w:hAnsi="Calibri" w:cs="Arial"/>
          <w:sz w:val="22"/>
          <w:szCs w:val="22"/>
        </w:rPr>
      </w:pPr>
    </w:p>
    <w:p w14:paraId="02771EEE" w14:textId="77777777" w:rsidR="00A31807" w:rsidRP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drawing>
          <wp:inline distT="0" distB="0" distL="0" distR="0" wp14:anchorId="52A57F78" wp14:editId="3217F25D">
            <wp:extent cx="6573880" cy="2456261"/>
            <wp:effectExtent l="0" t="0" r="0" b="1270"/>
            <wp:docPr id="2" name="Image 2" descr="C:\Users\user\Downloads\Screenshot 2025-03-14 23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 2025-03-14 23262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82717" cy="2459563"/>
                    </a:xfrm>
                    <a:prstGeom prst="rect">
                      <a:avLst/>
                    </a:prstGeom>
                    <a:noFill/>
                    <a:ln>
                      <a:noFill/>
                    </a:ln>
                  </pic:spPr>
                </pic:pic>
              </a:graphicData>
            </a:graphic>
          </wp:inline>
        </w:drawing>
      </w:r>
    </w:p>
    <w:p w14:paraId="2EEA45A9"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lastRenderedPageBreak/>
        <w:t xml:space="preserve">Figure </w:t>
      </w:r>
      <w:proofErr w:type="gramStart"/>
      <w:r w:rsidRPr="00A31807">
        <w:rPr>
          <w:rFonts w:ascii="Times New Roman" w:hAnsi="Times New Roman"/>
          <w:b/>
          <w:bCs/>
          <w:color w:val="222222"/>
          <w:sz w:val="24"/>
          <w:szCs w:val="24"/>
        </w:rPr>
        <w:t>7 :</w:t>
      </w:r>
      <w:proofErr w:type="gramEnd"/>
      <w:r w:rsidRPr="00A31807">
        <w:rPr>
          <w:rFonts w:ascii="Times New Roman" w:hAnsi="Times New Roman"/>
          <w:b/>
          <w:bCs/>
          <w:color w:val="222222"/>
          <w:sz w:val="24"/>
          <w:szCs w:val="24"/>
        </w:rPr>
        <w:t xml:space="preserve"> Post-treatment radiographs.</w:t>
      </w:r>
    </w:p>
    <w:p w14:paraId="6C7F3CE3"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Lateral cephalogram showing improved skeletal and dental relationships.</w:t>
      </w:r>
    </w:p>
    <w:p w14:paraId="684FAECC"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(B) Panoramic radiograph confirming proper root positioning and stability.</w:t>
      </w:r>
    </w:p>
    <w:p w14:paraId="53F1BC52"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noProof/>
          <w:color w:val="222222"/>
          <w:sz w:val="23"/>
          <w:szCs w:val="23"/>
        </w:rPr>
        <w:drawing>
          <wp:inline distT="0" distB="0" distL="0" distR="0" wp14:anchorId="5BB9B678" wp14:editId="7E9A0DE1">
            <wp:extent cx="5972810" cy="2599201"/>
            <wp:effectExtent l="0" t="0" r="8890" b="0"/>
            <wp:docPr id="14" name="Image 14" descr="C:\Users\user\Downloads\Screenshot 2025-03-14 23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Screenshot 2025-03-14 23311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2810" cy="2599201"/>
                    </a:xfrm>
                    <a:prstGeom prst="rect">
                      <a:avLst/>
                    </a:prstGeom>
                    <a:noFill/>
                    <a:ln>
                      <a:noFill/>
                    </a:ln>
                  </pic:spPr>
                </pic:pic>
              </a:graphicData>
            </a:graphic>
          </wp:inline>
        </w:drawing>
      </w:r>
    </w:p>
    <w:p w14:paraId="7BD28B6C" w14:textId="77777777" w:rsidR="00A31807" w:rsidRPr="00A31807" w:rsidRDefault="00A31807" w:rsidP="00A31807">
      <w:pPr>
        <w:shd w:val="clear" w:color="auto" w:fill="FFFFFF"/>
        <w:spacing w:before="48" w:line="312" w:lineRule="atLeast"/>
        <w:outlineLvl w:val="5"/>
        <w:rPr>
          <w:rFonts w:ascii="Times New Roman" w:hAnsi="Times New Roman"/>
          <w:b/>
          <w:bCs/>
          <w:color w:val="222222"/>
          <w:sz w:val="24"/>
          <w:szCs w:val="24"/>
        </w:rPr>
      </w:pPr>
      <w:r w:rsidRPr="00A31807">
        <w:rPr>
          <w:rFonts w:ascii="Times New Roman" w:hAnsi="Times New Roman"/>
          <w:b/>
          <w:bCs/>
          <w:color w:val="222222"/>
          <w:sz w:val="24"/>
          <w:szCs w:val="24"/>
        </w:rPr>
        <w:t>Figure 8: Comparison of pre-treatment and post-treatment study models.</w:t>
      </w:r>
    </w:p>
    <w:p w14:paraId="573BB52E"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r w:rsidRPr="00A31807">
        <w:rPr>
          <w:rFonts w:ascii="Roboto Slab" w:hAnsi="Roboto Slab" w:cs="Arial"/>
          <w:color w:val="222222"/>
          <w:sz w:val="23"/>
          <w:szCs w:val="23"/>
        </w:rPr>
        <w:t>(A) Frontal view illustrating the initial malocclusion.</w:t>
      </w:r>
    </w:p>
    <w:p w14:paraId="28A284CC" w14:textId="77777777" w:rsidR="00A31807" w:rsidRPr="00A31807" w:rsidRDefault="00A31807" w:rsidP="00A31807">
      <w:pPr>
        <w:shd w:val="clear" w:color="auto" w:fill="FFFFFF"/>
        <w:spacing w:line="288" w:lineRule="atLeast"/>
        <w:rPr>
          <w:rFonts w:ascii="Roboto Slab" w:hAnsi="Roboto Slab" w:cs="Arial"/>
          <w:color w:val="222222"/>
          <w:sz w:val="23"/>
          <w:szCs w:val="23"/>
        </w:rPr>
      </w:pPr>
      <w:r w:rsidRPr="00A31807">
        <w:rPr>
          <w:rFonts w:ascii="Roboto Slab" w:hAnsi="Roboto Slab" w:cs="Arial"/>
          <w:color w:val="222222"/>
          <w:sz w:val="23"/>
          <w:szCs w:val="23"/>
        </w:rPr>
        <w:t>(B) Post-treatment study models showing correction of overjet, overbite, and midline shift, achieving a stable Class I occlusion. The resolution of mandibular crowding and improved arch coordination contribute to functional and esthetic stability.</w:t>
      </w:r>
    </w:p>
    <w:p w14:paraId="7DCD4CD7" w14:textId="77777777" w:rsidR="00A31807" w:rsidRPr="00A31807" w:rsidRDefault="00A31807" w:rsidP="00A31807">
      <w:pPr>
        <w:shd w:val="clear" w:color="auto" w:fill="FFFFFF"/>
        <w:spacing w:before="100" w:beforeAutospacing="1" w:after="100" w:afterAutospacing="1" w:line="288" w:lineRule="atLeast"/>
        <w:rPr>
          <w:rFonts w:ascii="Roboto Slab" w:hAnsi="Roboto Slab" w:cs="Arial"/>
          <w:color w:val="222222"/>
          <w:sz w:val="23"/>
          <w:szCs w:val="23"/>
        </w:rPr>
      </w:pPr>
    </w:p>
    <w:p w14:paraId="4809BFED" w14:textId="77777777" w:rsidR="00A31807" w:rsidRPr="00A31807" w:rsidRDefault="00A31807" w:rsidP="00A31807">
      <w:pPr>
        <w:shd w:val="clear" w:color="auto" w:fill="FFFFFF"/>
        <w:spacing w:line="288" w:lineRule="atLeast"/>
        <w:rPr>
          <w:rFonts w:ascii="Roboto Slab" w:hAnsi="Roboto Slab" w:cs="Arial"/>
          <w:color w:val="222222"/>
          <w:sz w:val="23"/>
          <w:szCs w:val="23"/>
        </w:rPr>
      </w:pPr>
      <w:r w:rsidRPr="00A31807">
        <w:rPr>
          <w:rFonts w:ascii="Roboto Slab" w:hAnsi="Roboto Slab" w:cs="Arial"/>
          <w:color w:val="222222"/>
          <w:sz w:val="23"/>
          <w:szCs w:val="23"/>
        </w:rPr>
        <w:t> </w:t>
      </w:r>
    </w:p>
    <w:p w14:paraId="3914CFA0" w14:textId="77777777" w:rsidR="00A31807" w:rsidRPr="00A31807" w:rsidRDefault="00A31807" w:rsidP="00A31807">
      <w:pPr>
        <w:spacing w:after="160" w:line="259" w:lineRule="auto"/>
        <w:jc w:val="center"/>
        <w:rPr>
          <w:rFonts w:ascii="Calibri" w:eastAsia="Calibri" w:hAnsi="Calibri" w:cs="Arial"/>
          <w:sz w:val="22"/>
          <w:szCs w:val="22"/>
        </w:rPr>
      </w:pPr>
    </w:p>
    <w:p w14:paraId="768378F6" w14:textId="77777777" w:rsidR="00B01FCD" w:rsidRPr="00FB3A86" w:rsidRDefault="00B01FCD" w:rsidP="00441B6F">
      <w:pPr>
        <w:pStyle w:val="Appendix"/>
        <w:spacing w:after="0"/>
        <w:jc w:val="both"/>
        <w:rPr>
          <w:rFonts w:ascii="Arial" w:hAnsi="Arial" w:cs="Arial"/>
          <w:b w:val="0"/>
        </w:rPr>
      </w:pPr>
    </w:p>
    <w:sectPr w:rsidR="00B01FCD" w:rsidRPr="00FB3A86" w:rsidSect="00382D85">
      <w:headerReference w:type="even" r:id="rId63"/>
      <w:headerReference w:type="default" r:id="rId64"/>
      <w:footerReference w:type="default" r:id="rId65"/>
      <w:headerReference w:type="first" r:id="rId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54EDE" w14:textId="77777777" w:rsidR="00E52590" w:rsidRDefault="00E52590" w:rsidP="00C37E61">
      <w:r>
        <w:separator/>
      </w:r>
    </w:p>
  </w:endnote>
  <w:endnote w:type="continuationSeparator" w:id="0">
    <w:p w14:paraId="54515AFC" w14:textId="77777777" w:rsidR="00E52590" w:rsidRDefault="00E525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573E" w14:textId="77777777" w:rsidR="00382D85" w:rsidRDefault="00382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52459" w14:textId="77777777" w:rsidR="00382D85" w:rsidRDefault="00382D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CE27B" w14:textId="4962928D" w:rsidR="00754C9A" w:rsidRPr="005F380F" w:rsidRDefault="00754C9A" w:rsidP="005F380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A0B6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8395F" w14:textId="77777777" w:rsidR="00E52590" w:rsidRDefault="00E52590" w:rsidP="00C37E61">
      <w:r>
        <w:separator/>
      </w:r>
    </w:p>
  </w:footnote>
  <w:footnote w:type="continuationSeparator" w:id="0">
    <w:p w14:paraId="3D0E5B14" w14:textId="77777777" w:rsidR="00E52590" w:rsidRDefault="00E525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022E" w14:textId="3F12F369" w:rsidR="00382D85" w:rsidRDefault="00382D85">
    <w:pPr>
      <w:pStyle w:val="Header"/>
    </w:pPr>
    <w:r>
      <w:rPr>
        <w:noProof/>
      </w:rPr>
      <w:pict w14:anchorId="03611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6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CFADC" w14:textId="7215AA5F" w:rsidR="00382D85" w:rsidRDefault="00382D85">
    <w:pPr>
      <w:pStyle w:val="Header"/>
    </w:pPr>
    <w:r>
      <w:rPr>
        <w:noProof/>
      </w:rPr>
      <w:pict w14:anchorId="6F643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B2EFB" w14:textId="4ACD41C0" w:rsidR="00296529" w:rsidRPr="00296529" w:rsidRDefault="00382D85" w:rsidP="00296529">
    <w:pPr>
      <w:ind w:left="2160"/>
      <w:jc w:val="center"/>
      <w:rPr>
        <w:rFonts w:ascii="Times New Roman" w:eastAsia="Calibri" w:hAnsi="Times New Roman"/>
        <w:i/>
        <w:sz w:val="18"/>
        <w:szCs w:val="22"/>
      </w:rPr>
    </w:pPr>
    <w:r>
      <w:rPr>
        <w:noProof/>
      </w:rPr>
      <w:pict w14:anchorId="513A7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6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4462F4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904CF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E5BD4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9C32C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55B7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773E2C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1D1F" w14:textId="3BA3D4DC" w:rsidR="00382D85" w:rsidRDefault="00382D85">
    <w:pPr>
      <w:pStyle w:val="Header"/>
    </w:pPr>
    <w:r>
      <w:rPr>
        <w:noProof/>
      </w:rPr>
      <w:pict w14:anchorId="25515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84416" w14:textId="23F6BA91" w:rsidR="00382D85" w:rsidRDefault="00382D85">
    <w:pPr>
      <w:pStyle w:val="Header"/>
    </w:pPr>
    <w:r>
      <w:rPr>
        <w:noProof/>
      </w:rPr>
      <w:pict w14:anchorId="248F2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A23B" w14:textId="27673671" w:rsidR="00382D85" w:rsidRDefault="00382D85">
    <w:pPr>
      <w:pStyle w:val="Header"/>
    </w:pPr>
    <w:r>
      <w:rPr>
        <w:noProof/>
      </w:rPr>
      <w:pict w14:anchorId="5709A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5F481E66"/>
    <w:multiLevelType w:val="multilevel"/>
    <w:tmpl w:val="AE5E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B6E2119"/>
    <w:multiLevelType w:val="multilevel"/>
    <w:tmpl w:val="F32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7"/>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2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7F31"/>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4CB3"/>
    <w:rsid w:val="00231920"/>
    <w:rsid w:val="0023195C"/>
    <w:rsid w:val="0024282C"/>
    <w:rsid w:val="002460DC"/>
    <w:rsid w:val="00250985"/>
    <w:rsid w:val="002556F6"/>
    <w:rsid w:val="00283105"/>
    <w:rsid w:val="00284C4C"/>
    <w:rsid w:val="00287E68"/>
    <w:rsid w:val="00296529"/>
    <w:rsid w:val="002B27FB"/>
    <w:rsid w:val="002B3C58"/>
    <w:rsid w:val="002B685A"/>
    <w:rsid w:val="002C57D2"/>
    <w:rsid w:val="002E0D56"/>
    <w:rsid w:val="002E5D49"/>
    <w:rsid w:val="00315186"/>
    <w:rsid w:val="0033343E"/>
    <w:rsid w:val="00334A01"/>
    <w:rsid w:val="003512C2"/>
    <w:rsid w:val="00371FB6"/>
    <w:rsid w:val="003763C1"/>
    <w:rsid w:val="00376BBE"/>
    <w:rsid w:val="00382D85"/>
    <w:rsid w:val="0039224F"/>
    <w:rsid w:val="003A43A4"/>
    <w:rsid w:val="003A7E18"/>
    <w:rsid w:val="003B0A63"/>
    <w:rsid w:val="003C4C86"/>
    <w:rsid w:val="003C6258"/>
    <w:rsid w:val="003E2904"/>
    <w:rsid w:val="00401927"/>
    <w:rsid w:val="0041027F"/>
    <w:rsid w:val="00412475"/>
    <w:rsid w:val="00423789"/>
    <w:rsid w:val="00440F43"/>
    <w:rsid w:val="00441B6F"/>
    <w:rsid w:val="00446221"/>
    <w:rsid w:val="00450E62"/>
    <w:rsid w:val="004539DB"/>
    <w:rsid w:val="00471A80"/>
    <w:rsid w:val="00490F73"/>
    <w:rsid w:val="004D305E"/>
    <w:rsid w:val="004D4277"/>
    <w:rsid w:val="00502516"/>
    <w:rsid w:val="00505F06"/>
    <w:rsid w:val="00506828"/>
    <w:rsid w:val="0053056E"/>
    <w:rsid w:val="00554FDA"/>
    <w:rsid w:val="005C784C"/>
    <w:rsid w:val="005D17F6"/>
    <w:rsid w:val="005E5539"/>
    <w:rsid w:val="005F380F"/>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35B5"/>
    <w:rsid w:val="008E710C"/>
    <w:rsid w:val="008F69D6"/>
    <w:rsid w:val="00902823"/>
    <w:rsid w:val="00915CA6"/>
    <w:rsid w:val="00927834"/>
    <w:rsid w:val="009500A6"/>
    <w:rsid w:val="00957C18"/>
    <w:rsid w:val="009659BA"/>
    <w:rsid w:val="00983040"/>
    <w:rsid w:val="00993B73"/>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807"/>
    <w:rsid w:val="00A347C0"/>
    <w:rsid w:val="00A51431"/>
    <w:rsid w:val="00A539AD"/>
    <w:rsid w:val="00A94063"/>
    <w:rsid w:val="00AA6219"/>
    <w:rsid w:val="00AA74E0"/>
    <w:rsid w:val="00AB703F"/>
    <w:rsid w:val="00AC6BB8"/>
    <w:rsid w:val="00AE008F"/>
    <w:rsid w:val="00B01FCD"/>
    <w:rsid w:val="00B1776C"/>
    <w:rsid w:val="00B52583"/>
    <w:rsid w:val="00B52896"/>
    <w:rsid w:val="00B57A7C"/>
    <w:rsid w:val="00B75A5C"/>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95B9C"/>
    <w:rsid w:val="00DA524D"/>
    <w:rsid w:val="00DC2A65"/>
    <w:rsid w:val="00DE15F0"/>
    <w:rsid w:val="00DE5663"/>
    <w:rsid w:val="00DE78AA"/>
    <w:rsid w:val="00E053D0"/>
    <w:rsid w:val="00E15994"/>
    <w:rsid w:val="00E3114E"/>
    <w:rsid w:val="00E31A70"/>
    <w:rsid w:val="00E35B02"/>
    <w:rsid w:val="00E52590"/>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0C0F"/>
    <w:rsid w:val="00F469F0"/>
    <w:rsid w:val="00F53273"/>
    <w:rsid w:val="00F60DFE"/>
    <w:rsid w:val="00F755E4"/>
    <w:rsid w:val="00F77D02"/>
    <w:rsid w:val="00FB3A86"/>
    <w:rsid w:val="00FD36C8"/>
    <w:rsid w:val="00FF3F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D18DB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B0A6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rsid w:val="003B0A63"/>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6Char">
    <w:name w:val="Heading 6 Char"/>
    <w:basedOn w:val="DefaultParagraphFont"/>
    <w:link w:val="Heading6"/>
    <w:uiPriority w:val="9"/>
    <w:rsid w:val="003B0A63"/>
    <w:rPr>
      <w:rFonts w:asciiTheme="majorHAnsi" w:eastAsiaTheme="majorEastAsia" w:hAnsiTheme="majorHAnsi" w:cstheme="majorBidi"/>
      <w:color w:val="243F60" w:themeColor="accent1" w:themeShade="7F"/>
      <w:sz w:val="22"/>
      <w:szCs w:val="22"/>
    </w:rPr>
  </w:style>
  <w:style w:type="paragraph" w:styleId="NormalWeb">
    <w:name w:val="Normal (Web)"/>
    <w:basedOn w:val="Normal"/>
    <w:uiPriority w:val="99"/>
    <w:semiHidden/>
    <w:unhideWhenUsed/>
    <w:rsid w:val="003B0A63"/>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semiHidden/>
    <w:rsid w:val="003B0A63"/>
    <w:rPr>
      <w:rFonts w:asciiTheme="majorHAnsi" w:eastAsiaTheme="majorEastAsia" w:hAnsiTheme="majorHAnsi" w:cstheme="majorBidi"/>
      <w:color w:val="243F60" w:themeColor="accent1" w:themeShade="7F"/>
      <w:sz w:val="24"/>
      <w:szCs w:val="24"/>
    </w:rPr>
  </w:style>
  <w:style w:type="paragraph" w:customStyle="1" w:styleId="my-2">
    <w:name w:val="my-2"/>
    <w:basedOn w:val="Normal"/>
    <w:rsid w:val="003B0A63"/>
    <w:pPr>
      <w:spacing w:before="100" w:beforeAutospacing="1" w:after="100" w:afterAutospacing="1"/>
    </w:pPr>
    <w:rPr>
      <w:rFonts w:ascii="Times New Roman" w:hAnsi="Times New Roman"/>
      <w:sz w:val="24"/>
      <w:szCs w:val="24"/>
    </w:rPr>
  </w:style>
  <w:style w:type="character" w:customStyle="1" w:styleId="citation-doi">
    <w:name w:val="citation-doi"/>
    <w:basedOn w:val="DefaultParagraphFont"/>
    <w:rsid w:val="003B0A63"/>
  </w:style>
  <w:style w:type="character" w:styleId="UnresolvedMention">
    <w:name w:val="Unresolved Mention"/>
    <w:basedOn w:val="DefaultParagraphFont"/>
    <w:uiPriority w:val="99"/>
    <w:semiHidden/>
    <w:unhideWhenUsed/>
    <w:rsid w:val="00F40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https://dx.doi.org/10.1093/ejo/cju048" TargetMode="External"/><Relationship Id="rId47" Type="http://schemas.openxmlformats.org/officeDocument/2006/relationships/hyperlink" Target="https://doi.org/10.1016/S0929-6646(09)60264-3" TargetMode="External"/><Relationship Id="rId50" Type="http://schemas.openxmlformats.org/officeDocument/2006/relationships/hyperlink" Target="https://www.jco-online.com/archive/2015/07/429/" TargetMode="External"/><Relationship Id="rId55" Type="http://schemas.openxmlformats.org/officeDocument/2006/relationships/image" Target="media/image1.pn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javascript:void(0)" TargetMode="External"/><Relationship Id="rId11" Type="http://schemas.openxmlformats.org/officeDocument/2006/relationships/footer" Target="footer2.xm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https://doi.org/10.1053/j.sodo.2008.07.007" TargetMode="External"/><Relationship Id="rId40" Type="http://schemas.openxmlformats.org/officeDocument/2006/relationships/hyperlink" Target="https://doi.org/10.4041/kjod.2014.44.3.143" TargetMode="External"/><Relationship Id="rId45" Type="http://schemas.openxmlformats.org/officeDocument/2006/relationships/hyperlink" Target="https://doi.org/10.2319/052414-366.1" TargetMode="External"/><Relationship Id="rId53" Type="http://schemas.openxmlformats.org/officeDocument/2006/relationships/hyperlink" Target="https://doi.org/10.1043/0003-3219(1998)068%3c0527:AAOEVN%3e2.3.CO;2" TargetMode="External"/><Relationship Id="rId58" Type="http://schemas.openxmlformats.org/officeDocument/2006/relationships/image" Target="media/image4.pn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https://doi.org/10.1016/0278-2391(84)90109-5" TargetMode="External"/><Relationship Id="rId43" Type="http://schemas.openxmlformats.org/officeDocument/2006/relationships/hyperlink" Target="https://dx.doi.org/10.1093/ejo/cju048" TargetMode="External"/><Relationship Id="rId48" Type="http://schemas.openxmlformats.org/officeDocument/2006/relationships/hyperlink" Target="https://doi.org/10.1016/j.ajodo.2015.04.012" TargetMode="External"/><Relationship Id="rId56" Type="http://schemas.openxmlformats.org/officeDocument/2006/relationships/image" Target="media/image2.png"/><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doi.org/10.1043/0003-3219(2006)076%5b0217:LSMEIC%5d2.0.CO;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https://doi.org/10.5152/TurkJOrthod.2018.18026" TargetMode="External"/><Relationship Id="rId46" Type="http://schemas.openxmlformats.org/officeDocument/2006/relationships/hyperlink" Target="https://doi.org/10.1093/ejo/cjt091" TargetMode="External"/><Relationship Id="rId59" Type="http://schemas.openxmlformats.org/officeDocument/2006/relationships/image" Target="media/image5.png"/><Relationship Id="rId67" Type="http://schemas.openxmlformats.org/officeDocument/2006/relationships/fontTable" Target="fontTable.xml"/><Relationship Id="rId20" Type="http://schemas.openxmlformats.org/officeDocument/2006/relationships/hyperlink" Target="javascript:void(0)" TargetMode="External"/><Relationship Id="rId41" Type="http://schemas.openxmlformats.org/officeDocument/2006/relationships/hyperlink" Target="https://doi.org/10.1111/j.1601-6343.2010.01491.x" TargetMode="External"/><Relationship Id="rId54" Type="http://schemas.openxmlformats.org/officeDocument/2006/relationships/hyperlink" Target="https://doi.org/10.23736/S2532-3466.23.00320-x" TargetMode="Externa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https://www.quintpub.com/usa/Essentials-of-Orthognathic-Surgery-Third-Edition/9780867159561" TargetMode="External"/><Relationship Id="rId49" Type="http://schemas.openxmlformats.org/officeDocument/2006/relationships/hyperlink" Target="https://doi.org/10.1016/j.ajodo.2012.10.014" TargetMode="Externa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hyperlink" Target="javascript:void(0)" TargetMode="External"/><Relationship Id="rId44" Type="http://schemas.openxmlformats.org/officeDocument/2006/relationships/hyperlink" Target="https://doi.org/10.2319/013114-83.1" TargetMode="External"/><Relationship Id="rId52" Type="http://schemas.openxmlformats.org/officeDocument/2006/relationships/hyperlink" Target="https://doi.org/10.1186/s40510-014-0051-z" TargetMode="External"/><Relationship Id="rId60" Type="http://schemas.openxmlformats.org/officeDocument/2006/relationships/image" Target="media/image6.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javascript:void(0)" TargetMode="External"/><Relationship Id="rId39" Type="http://schemas.openxmlformats.org/officeDocument/2006/relationships/hyperlink" Target="https://www.elsevier.com/books/contemporary-orthodontics/proffit/978-0-323-54387-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393F6-EFE5-40F0-BAB8-096FE4C2B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12</Pages>
  <Words>3603</Words>
  <Characters>20543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24098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cp:revision>
  <cp:lastPrinted>1999-07-06T11:00:00Z</cp:lastPrinted>
  <dcterms:created xsi:type="dcterms:W3CDTF">2014-10-25T14:34:00Z</dcterms:created>
  <dcterms:modified xsi:type="dcterms:W3CDTF">2025-12-29T12:15:00Z</dcterms:modified>
</cp:coreProperties>
</file>