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D325B" w14:textId="77777777" w:rsidR="00C0161B" w:rsidRDefault="00C0161B" w:rsidP="007D6BFD">
      <w:pPr>
        <w:spacing w:before="100" w:beforeAutospacing="1" w:after="100" w:afterAutospacing="1" w:line="276" w:lineRule="auto"/>
        <w:jc w:val="right"/>
        <w:outlineLvl w:val="0"/>
        <w:rPr>
          <w:rFonts w:ascii="Arial" w:hAnsi="Arial" w:cs="Arial"/>
          <w:b/>
          <w:sz w:val="36"/>
          <w:szCs w:val="36"/>
        </w:rPr>
      </w:pPr>
      <w:r w:rsidRPr="00C0161B">
        <w:rPr>
          <w:rFonts w:ascii="Arial" w:hAnsi="Arial" w:cs="Arial"/>
          <w:b/>
          <w:sz w:val="36"/>
          <w:szCs w:val="36"/>
        </w:rPr>
        <w:t>Minireview Article</w:t>
      </w:r>
    </w:p>
    <w:p w14:paraId="1451F58C" w14:textId="77777777" w:rsidR="00C0161B" w:rsidRDefault="00C0161B" w:rsidP="007D6BFD">
      <w:pPr>
        <w:spacing w:before="100" w:beforeAutospacing="1" w:after="100" w:afterAutospacing="1" w:line="276" w:lineRule="auto"/>
        <w:jc w:val="right"/>
        <w:outlineLvl w:val="0"/>
        <w:rPr>
          <w:rFonts w:ascii="Arial" w:hAnsi="Arial" w:cs="Arial"/>
          <w:b/>
          <w:sz w:val="36"/>
          <w:szCs w:val="36"/>
        </w:rPr>
      </w:pPr>
    </w:p>
    <w:p w14:paraId="2E5AEF93" w14:textId="04C1A7E0" w:rsidR="00CF3BDA" w:rsidRDefault="00CF3BDA" w:rsidP="007D6BFD">
      <w:pPr>
        <w:spacing w:before="100" w:beforeAutospacing="1" w:after="100" w:afterAutospacing="1" w:line="276" w:lineRule="auto"/>
        <w:jc w:val="right"/>
        <w:outlineLvl w:val="0"/>
        <w:rPr>
          <w:rFonts w:ascii="Arial" w:hAnsi="Arial" w:cs="Arial"/>
          <w:b/>
          <w:sz w:val="36"/>
          <w:szCs w:val="36"/>
        </w:rPr>
      </w:pPr>
      <w:r w:rsidRPr="007D6BFD">
        <w:rPr>
          <w:rFonts w:ascii="Arial" w:hAnsi="Arial" w:cs="Arial"/>
          <w:b/>
          <w:sz w:val="36"/>
          <w:szCs w:val="36"/>
        </w:rPr>
        <w:t>Periodontitis and Circadian Rhythm Disruption: Unveiling the Neuro-Immuno-Metabolic Axis</w:t>
      </w:r>
    </w:p>
    <w:p w14:paraId="5B5E73CD" w14:textId="77777777" w:rsidR="005A51A0" w:rsidRDefault="005A51A0" w:rsidP="007D6BFD">
      <w:pPr>
        <w:spacing w:before="100" w:beforeAutospacing="1" w:after="100" w:afterAutospacing="1" w:line="276" w:lineRule="auto"/>
        <w:jc w:val="right"/>
        <w:outlineLvl w:val="0"/>
        <w:rPr>
          <w:rFonts w:ascii="Arial" w:hAnsi="Arial" w:cs="Arial"/>
          <w:b/>
          <w:sz w:val="36"/>
          <w:szCs w:val="36"/>
        </w:rPr>
      </w:pPr>
    </w:p>
    <w:p w14:paraId="39BBC04D" w14:textId="77777777" w:rsidR="005A51A0" w:rsidRPr="007D6BFD" w:rsidRDefault="005A51A0" w:rsidP="007D6BFD">
      <w:pPr>
        <w:spacing w:before="100" w:beforeAutospacing="1" w:after="100" w:afterAutospacing="1" w:line="276" w:lineRule="auto"/>
        <w:jc w:val="right"/>
        <w:outlineLvl w:val="0"/>
        <w:rPr>
          <w:rFonts w:ascii="Arial" w:eastAsia="Times New Roman" w:hAnsi="Arial" w:cs="Arial"/>
          <w:b/>
          <w:bCs/>
          <w:kern w:val="36"/>
          <w:sz w:val="36"/>
          <w:szCs w:val="36"/>
          <w:lang w:eastAsia="en-IN"/>
        </w:rPr>
      </w:pPr>
    </w:p>
    <w:p w14:paraId="71A5B776" w14:textId="77777777" w:rsidR="00CF3BDA" w:rsidRPr="007D6BFD" w:rsidRDefault="00CF3BDA" w:rsidP="007D6BFD">
      <w:pPr>
        <w:pStyle w:val="Author"/>
        <w:spacing w:line="276" w:lineRule="auto"/>
        <w:jc w:val="both"/>
        <w:rPr>
          <w:rFonts w:ascii="Arial" w:hAnsi="Arial" w:cs="Arial"/>
          <w:sz w:val="36"/>
        </w:rPr>
      </w:pPr>
    </w:p>
    <w:p w14:paraId="7D7C1AA1" w14:textId="77777777" w:rsidR="00E7732B" w:rsidRPr="007D6BFD" w:rsidRDefault="00604F37"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1. ABSTRACT</w:t>
      </w:r>
    </w:p>
    <w:p w14:paraId="1D16A0EE" w14:textId="77777777" w:rsidR="00C63B2A" w:rsidRPr="007D6BFD" w:rsidRDefault="00E7732B" w:rsidP="007D6BFD">
      <w:pPr>
        <w:spacing w:before="100" w:beforeAutospacing="1" w:after="0" w:line="276" w:lineRule="auto"/>
        <w:rPr>
          <w:rFonts w:ascii="Arial" w:eastAsia="Times New Roman" w:hAnsi="Arial" w:cs="Arial"/>
          <w:sz w:val="20"/>
          <w:szCs w:val="20"/>
          <w:lang w:eastAsia="en-IN"/>
        </w:rPr>
      </w:pPr>
      <w:r w:rsidRPr="007D6BFD">
        <w:rPr>
          <w:rStyle w:val="citation-103"/>
          <w:rFonts w:ascii="Arial" w:hAnsi="Arial" w:cs="Arial"/>
          <w:b/>
          <w:bCs/>
          <w:sz w:val="20"/>
          <w:szCs w:val="20"/>
        </w:rPr>
        <w:t>Background:</w:t>
      </w:r>
      <w:r w:rsidRPr="007D6BFD">
        <w:rPr>
          <w:rStyle w:val="citation-103"/>
          <w:rFonts w:ascii="Arial" w:hAnsi="Arial" w:cs="Arial"/>
          <w:sz w:val="20"/>
          <w:szCs w:val="20"/>
        </w:rPr>
        <w:t xml:space="preserve"> </w:t>
      </w:r>
      <w:r w:rsidR="00C63B2A" w:rsidRPr="007D6BFD">
        <w:rPr>
          <w:rFonts w:ascii="Arial" w:eastAsia="Times New Roman" w:hAnsi="Arial" w:cs="Arial"/>
          <w:sz w:val="20"/>
          <w:szCs w:val="20"/>
          <w:bdr w:val="none" w:sz="0" w:space="0" w:color="auto" w:frame="1"/>
          <w:lang w:eastAsia="en-IN"/>
        </w:rPr>
        <w:t xml:space="preserve">Periodontitis is a chronic inflammatory disease driven by dysregulated host immune responses. Emerging evidence suggests that </w:t>
      </w:r>
      <w:r w:rsidR="00C63B2A" w:rsidRPr="007D6BFD">
        <w:rPr>
          <w:rFonts w:ascii="Arial" w:eastAsia="Times New Roman" w:hAnsi="Arial" w:cs="Arial"/>
          <w:bCs/>
          <w:sz w:val="20"/>
          <w:szCs w:val="20"/>
          <w:bdr w:val="none" w:sz="0" w:space="0" w:color="auto" w:frame="1"/>
          <w:lang w:eastAsia="en-IN"/>
        </w:rPr>
        <w:t>circadian rhythm disruption</w:t>
      </w:r>
      <w:r w:rsidR="00C63B2A" w:rsidRPr="007D6BFD">
        <w:rPr>
          <w:rFonts w:ascii="Arial" w:eastAsia="Times New Roman" w:hAnsi="Arial" w:cs="Arial"/>
          <w:sz w:val="20"/>
          <w:szCs w:val="20"/>
          <w:bdr w:val="none" w:sz="0" w:space="0" w:color="auto" w:frame="1"/>
          <w:lang w:eastAsia="en-IN"/>
        </w:rPr>
        <w:t xml:space="preserve"> acts as a significant biological stressor that impairs tissue repair and immune function. This review aims to propose a novel </w:t>
      </w:r>
      <w:r w:rsidR="00C63B2A" w:rsidRPr="007D6BFD">
        <w:rPr>
          <w:rFonts w:ascii="Arial" w:eastAsia="Times New Roman" w:hAnsi="Arial" w:cs="Arial"/>
          <w:bCs/>
          <w:sz w:val="20"/>
          <w:szCs w:val="20"/>
          <w:bdr w:val="none" w:sz="0" w:space="0" w:color="auto" w:frame="1"/>
          <w:lang w:eastAsia="en-IN"/>
        </w:rPr>
        <w:t>"Neuro-Immuno-Metabolic Axis"</w:t>
      </w:r>
      <w:r w:rsidR="00C63B2A" w:rsidRPr="007D6BFD">
        <w:rPr>
          <w:rFonts w:ascii="Arial" w:eastAsia="Times New Roman" w:hAnsi="Arial" w:cs="Arial"/>
          <w:sz w:val="20"/>
          <w:szCs w:val="20"/>
          <w:bdr w:val="none" w:sz="0" w:space="0" w:color="auto" w:frame="1"/>
          <w:lang w:eastAsia="en-IN"/>
        </w:rPr>
        <w:t xml:space="preserve"> to explain the bidirectional relationship between periodontal inflammation and systemic chronobiological health.</w:t>
      </w:r>
    </w:p>
    <w:p w14:paraId="0828897B" w14:textId="77777777" w:rsidR="00C63B2A" w:rsidRPr="007D6BFD" w:rsidRDefault="00C63B2A" w:rsidP="007D6BFD">
      <w:pPr>
        <w:spacing w:before="100" w:beforeAutospacing="1" w:after="0" w:line="276" w:lineRule="auto"/>
        <w:rPr>
          <w:rFonts w:ascii="Times New Roman" w:eastAsia="Times New Roman" w:hAnsi="Times New Roman" w:cs="Times New Roman"/>
          <w:sz w:val="24"/>
          <w:szCs w:val="24"/>
          <w:lang w:eastAsia="en-IN"/>
        </w:rPr>
      </w:pPr>
      <w:r w:rsidRPr="007D6BFD">
        <w:rPr>
          <w:rStyle w:val="citation-100"/>
          <w:rFonts w:ascii="Arial" w:hAnsi="Arial" w:cs="Arial"/>
          <w:b/>
          <w:bCs/>
          <w:sz w:val="20"/>
          <w:szCs w:val="20"/>
        </w:rPr>
        <w:t>Methods</w:t>
      </w:r>
      <w:r w:rsidR="00E7732B" w:rsidRPr="007D6BFD">
        <w:rPr>
          <w:rStyle w:val="citation-100"/>
          <w:rFonts w:ascii="Arial" w:hAnsi="Arial" w:cs="Arial"/>
          <w:b/>
          <w:bCs/>
          <w:sz w:val="20"/>
          <w:szCs w:val="20"/>
        </w:rPr>
        <w:t>:</w:t>
      </w:r>
      <w:r w:rsidR="00E7732B" w:rsidRPr="007D6BFD">
        <w:rPr>
          <w:rStyle w:val="citation-100"/>
          <w:rFonts w:ascii="Arial" w:hAnsi="Arial" w:cs="Arial"/>
          <w:sz w:val="20"/>
          <w:szCs w:val="20"/>
        </w:rPr>
        <w:t xml:space="preserve"> </w:t>
      </w:r>
      <w:r w:rsidRPr="007D6BFD">
        <w:rPr>
          <w:rFonts w:ascii="Arial" w:eastAsia="Times New Roman" w:hAnsi="Arial" w:cs="Arial"/>
          <w:sz w:val="20"/>
          <w:szCs w:val="20"/>
          <w:bdr w:val="none" w:sz="0" w:space="0" w:color="auto" w:frame="1"/>
          <w:lang w:eastAsia="en-IN"/>
        </w:rPr>
        <w:t xml:space="preserve">A comprehensive literature search was conducted across </w:t>
      </w:r>
      <w:r w:rsidRPr="007D6BFD">
        <w:rPr>
          <w:rFonts w:ascii="Arial" w:eastAsia="Times New Roman" w:hAnsi="Arial" w:cs="Arial"/>
          <w:bCs/>
          <w:sz w:val="20"/>
          <w:szCs w:val="20"/>
          <w:bdr w:val="none" w:sz="0" w:space="0" w:color="auto" w:frame="1"/>
          <w:lang w:eastAsia="en-IN"/>
        </w:rPr>
        <w:t>PubMed, Scopus, and Google Scholar</w:t>
      </w:r>
      <w:r w:rsidRPr="007D6BFD">
        <w:rPr>
          <w:rFonts w:ascii="Arial" w:eastAsia="Times New Roman" w:hAnsi="Arial" w:cs="Arial"/>
          <w:sz w:val="20"/>
          <w:szCs w:val="20"/>
          <w:bdr w:val="none" w:sz="0" w:space="0" w:color="auto" w:frame="1"/>
          <w:lang w:eastAsia="en-IN"/>
        </w:rPr>
        <w:t xml:space="preserve"> to identify peer-reviewed researc</w:t>
      </w:r>
      <w:r w:rsidR="005E1A0B" w:rsidRPr="007D6BFD">
        <w:rPr>
          <w:rFonts w:ascii="Arial" w:eastAsia="Times New Roman" w:hAnsi="Arial" w:cs="Arial"/>
          <w:sz w:val="20"/>
          <w:szCs w:val="20"/>
          <w:bdr w:val="none" w:sz="0" w:space="0" w:color="auto" w:frame="1"/>
          <w:lang w:eastAsia="en-IN"/>
        </w:rPr>
        <w:t xml:space="preserve">h, systematic reviews, and meta </w:t>
      </w:r>
      <w:r w:rsidRPr="007D6BFD">
        <w:rPr>
          <w:rFonts w:ascii="Arial" w:eastAsia="Times New Roman" w:hAnsi="Arial" w:cs="Arial"/>
          <w:sz w:val="20"/>
          <w:szCs w:val="20"/>
          <w:bdr w:val="none" w:sz="0" w:space="0" w:color="auto" w:frame="1"/>
          <w:lang w:eastAsia="en-IN"/>
        </w:rPr>
        <w:t xml:space="preserve">analyses published up to the time of review. The search strategy focused on the intersection of periodontitis, clock genes such as </w:t>
      </w:r>
      <w:r w:rsidRPr="007D6BFD">
        <w:rPr>
          <w:rFonts w:ascii="Arial" w:eastAsia="Times New Roman" w:hAnsi="Arial" w:cs="Arial"/>
          <w:bCs/>
          <w:sz w:val="20"/>
          <w:szCs w:val="20"/>
          <w:bdr w:val="none" w:sz="0" w:space="0" w:color="auto" w:frame="1"/>
          <w:lang w:eastAsia="en-IN"/>
        </w:rPr>
        <w:t>Brain and Muscle ARNT-Like Protein-1 (BMAL1)</w:t>
      </w:r>
      <w:r w:rsidR="00A84DF9" w:rsidRPr="007D6BFD">
        <w:rPr>
          <w:rFonts w:ascii="Arial" w:eastAsia="Times New Roman" w:hAnsi="Arial" w:cs="Arial"/>
          <w:sz w:val="20"/>
          <w:szCs w:val="20"/>
          <w:bdr w:val="none" w:sz="0" w:space="0" w:color="auto" w:frame="1"/>
          <w:lang w:eastAsia="en-IN"/>
        </w:rPr>
        <w:t>,</w:t>
      </w:r>
      <w:r w:rsidRPr="007D6BFD">
        <w:rPr>
          <w:rFonts w:ascii="Arial" w:eastAsia="Times New Roman" w:hAnsi="Arial" w:cs="Arial"/>
          <w:sz w:val="20"/>
          <w:szCs w:val="20"/>
          <w:bdr w:val="none" w:sz="0" w:space="0" w:color="auto" w:frame="1"/>
          <w:lang w:eastAsia="en-IN"/>
        </w:rPr>
        <w:t xml:space="preserve"> </w:t>
      </w:r>
      <w:r w:rsidRPr="007D6BFD">
        <w:rPr>
          <w:rFonts w:ascii="Arial" w:eastAsia="Times New Roman" w:hAnsi="Arial" w:cs="Arial"/>
          <w:bCs/>
          <w:sz w:val="20"/>
          <w:szCs w:val="20"/>
          <w:bdr w:val="none" w:sz="0" w:space="0" w:color="auto" w:frame="1"/>
          <w:lang w:eastAsia="en-IN"/>
        </w:rPr>
        <w:t>Period (PER)</w:t>
      </w:r>
      <w:r w:rsidRPr="007D6BFD">
        <w:rPr>
          <w:rFonts w:ascii="Arial" w:eastAsia="Times New Roman" w:hAnsi="Arial" w:cs="Arial"/>
          <w:sz w:val="20"/>
          <w:szCs w:val="20"/>
          <w:bdr w:val="none" w:sz="0" w:space="0" w:color="auto" w:frame="1"/>
          <w:lang w:eastAsia="en-IN"/>
        </w:rPr>
        <w:t xml:space="preserve">, and inflammatory markers including </w:t>
      </w:r>
      <w:r w:rsidRPr="007D6BFD">
        <w:rPr>
          <w:rFonts w:ascii="Arial" w:eastAsia="Times New Roman" w:hAnsi="Arial" w:cs="Arial"/>
          <w:bCs/>
          <w:sz w:val="20"/>
          <w:szCs w:val="20"/>
          <w:bdr w:val="none" w:sz="0" w:space="0" w:color="auto" w:frame="1"/>
          <w:lang w:eastAsia="en-IN"/>
        </w:rPr>
        <w:t>Interleukin-6</w:t>
      </w:r>
      <w:r w:rsidRPr="007D6BFD">
        <w:rPr>
          <w:rFonts w:ascii="Arial" w:eastAsia="Times New Roman" w:hAnsi="Arial" w:cs="Arial"/>
          <w:sz w:val="20"/>
          <w:szCs w:val="20"/>
          <w:bdr w:val="none" w:sz="0" w:space="0" w:color="auto" w:frame="1"/>
          <w:lang w:eastAsia="en-IN"/>
        </w:rPr>
        <w:t xml:space="preserve">, </w:t>
      </w:r>
      <w:proofErr w:type="spellStart"/>
      <w:r w:rsidR="00A84DF9" w:rsidRPr="007D6BFD">
        <w:rPr>
          <w:rFonts w:ascii="Arial" w:eastAsia="Times New Roman" w:hAnsi="Arial" w:cs="Arial"/>
          <w:bCs/>
          <w:sz w:val="20"/>
          <w:szCs w:val="20"/>
          <w:bdr w:val="none" w:sz="0" w:space="0" w:color="auto" w:frame="1"/>
          <w:lang w:eastAsia="en-IN"/>
        </w:rPr>
        <w:t>Tumor</w:t>
      </w:r>
      <w:proofErr w:type="spellEnd"/>
      <w:r w:rsidR="00A84DF9" w:rsidRPr="007D6BFD">
        <w:rPr>
          <w:rFonts w:ascii="Arial" w:eastAsia="Times New Roman" w:hAnsi="Arial" w:cs="Arial"/>
          <w:bCs/>
          <w:sz w:val="20"/>
          <w:szCs w:val="20"/>
          <w:bdr w:val="none" w:sz="0" w:space="0" w:color="auto" w:frame="1"/>
          <w:lang w:eastAsia="en-IN"/>
        </w:rPr>
        <w:t xml:space="preserve"> Necrosis Factor-A</w:t>
      </w:r>
      <w:r w:rsidRPr="007D6BFD">
        <w:rPr>
          <w:rFonts w:ascii="Arial" w:eastAsia="Times New Roman" w:hAnsi="Arial" w:cs="Arial"/>
          <w:bCs/>
          <w:sz w:val="20"/>
          <w:szCs w:val="20"/>
          <w:bdr w:val="none" w:sz="0" w:space="0" w:color="auto" w:frame="1"/>
          <w:lang w:eastAsia="en-IN"/>
        </w:rPr>
        <w:t>lpha</w:t>
      </w:r>
      <w:r w:rsidRPr="007D6BFD">
        <w:rPr>
          <w:rFonts w:ascii="Arial" w:eastAsia="Times New Roman" w:hAnsi="Arial" w:cs="Arial"/>
          <w:sz w:val="20"/>
          <w:szCs w:val="20"/>
          <w:bdr w:val="none" w:sz="0" w:space="0" w:color="auto" w:frame="1"/>
          <w:lang w:eastAsia="en-IN"/>
        </w:rPr>
        <w:t xml:space="preserve">, and the </w:t>
      </w:r>
      <w:r w:rsidRPr="007D6BFD">
        <w:rPr>
          <w:rFonts w:ascii="Arial" w:eastAsia="Times New Roman" w:hAnsi="Arial" w:cs="Arial"/>
          <w:bCs/>
          <w:sz w:val="20"/>
          <w:szCs w:val="20"/>
          <w:bdr w:val="none" w:sz="0" w:space="0" w:color="auto" w:frame="1"/>
          <w:lang w:eastAsia="en-IN"/>
        </w:rPr>
        <w:t xml:space="preserve">Receptor Activator of Nuclear Factor Kappa-B Ligand / </w:t>
      </w:r>
      <w:proofErr w:type="spellStart"/>
      <w:r w:rsidRPr="007D6BFD">
        <w:rPr>
          <w:rFonts w:ascii="Arial" w:eastAsia="Times New Roman" w:hAnsi="Arial" w:cs="Arial"/>
          <w:bCs/>
          <w:sz w:val="20"/>
          <w:szCs w:val="20"/>
          <w:bdr w:val="none" w:sz="0" w:space="0" w:color="auto" w:frame="1"/>
          <w:lang w:eastAsia="en-IN"/>
        </w:rPr>
        <w:t>Osteoprotegerin</w:t>
      </w:r>
      <w:proofErr w:type="spellEnd"/>
      <w:r w:rsidRPr="007D6BFD">
        <w:rPr>
          <w:rFonts w:ascii="Arial" w:eastAsia="Times New Roman" w:hAnsi="Arial" w:cs="Arial"/>
          <w:sz w:val="20"/>
          <w:szCs w:val="20"/>
          <w:bdr w:val="none" w:sz="0" w:space="0" w:color="auto" w:frame="1"/>
          <w:lang w:eastAsia="en-IN"/>
        </w:rPr>
        <w:t xml:space="preserve"> axis.</w:t>
      </w:r>
    </w:p>
    <w:p w14:paraId="162EDDF2" w14:textId="77777777" w:rsidR="00C63B2A" w:rsidRPr="007D6BFD" w:rsidRDefault="00E7732B" w:rsidP="007D6BFD">
      <w:pPr>
        <w:spacing w:before="100" w:beforeAutospacing="1" w:after="0" w:line="276" w:lineRule="auto"/>
        <w:rPr>
          <w:rFonts w:ascii="Arial" w:eastAsia="Times New Roman" w:hAnsi="Arial" w:cs="Arial"/>
          <w:sz w:val="20"/>
          <w:szCs w:val="20"/>
          <w:lang w:eastAsia="en-IN"/>
        </w:rPr>
      </w:pPr>
      <w:r w:rsidRPr="007D6BFD">
        <w:rPr>
          <w:rStyle w:val="citation-98"/>
          <w:rFonts w:ascii="Arial" w:hAnsi="Arial" w:cs="Arial"/>
          <w:b/>
          <w:bCs/>
          <w:sz w:val="20"/>
          <w:szCs w:val="20"/>
        </w:rPr>
        <w:t>Results</w:t>
      </w:r>
      <w:r w:rsidR="00C63B2A" w:rsidRPr="007D6BFD">
        <w:rPr>
          <w:rStyle w:val="citation-98"/>
          <w:rFonts w:ascii="Arial" w:hAnsi="Arial" w:cs="Arial"/>
          <w:b/>
          <w:bCs/>
          <w:sz w:val="20"/>
          <w:szCs w:val="20"/>
        </w:rPr>
        <w:t>:</w:t>
      </w:r>
      <w:r w:rsidR="00C63B2A" w:rsidRPr="007D6BFD">
        <w:rPr>
          <w:rFonts w:ascii="Times New Roman" w:eastAsia="Times New Roman" w:hAnsi="Times New Roman" w:cs="Times New Roman"/>
          <w:sz w:val="24"/>
          <w:szCs w:val="24"/>
          <w:bdr w:val="none" w:sz="0" w:space="0" w:color="auto" w:frame="1"/>
          <w:lang w:eastAsia="en-IN"/>
        </w:rPr>
        <w:t xml:space="preserve"> </w:t>
      </w:r>
      <w:r w:rsidR="00C63B2A" w:rsidRPr="007D6BFD">
        <w:rPr>
          <w:rFonts w:ascii="Arial" w:eastAsia="Times New Roman" w:hAnsi="Arial" w:cs="Arial"/>
          <w:sz w:val="20"/>
          <w:szCs w:val="20"/>
          <w:bdr w:val="none" w:sz="0" w:space="0" w:color="auto" w:frame="1"/>
          <w:lang w:eastAsia="en-IN"/>
        </w:rPr>
        <w:t xml:space="preserve">Periodontal inflammation acts as a systemic stressor, where cytokines like </w:t>
      </w:r>
      <w:r w:rsidR="00C63B2A" w:rsidRPr="007D6BFD">
        <w:rPr>
          <w:rFonts w:ascii="Arial" w:eastAsia="Times New Roman" w:hAnsi="Arial" w:cs="Arial"/>
          <w:bCs/>
          <w:sz w:val="20"/>
          <w:szCs w:val="20"/>
          <w:bdr w:val="none" w:sz="0" w:space="0" w:color="auto" w:frame="1"/>
          <w:lang w:eastAsia="en-IN"/>
        </w:rPr>
        <w:t>Interleukin-6</w:t>
      </w:r>
      <w:r w:rsidR="00C63B2A" w:rsidRPr="007D6BFD">
        <w:rPr>
          <w:rFonts w:ascii="Arial" w:eastAsia="Times New Roman" w:hAnsi="Arial" w:cs="Arial"/>
          <w:sz w:val="20"/>
          <w:szCs w:val="20"/>
          <w:bdr w:val="none" w:sz="0" w:space="0" w:color="auto" w:frame="1"/>
          <w:lang w:eastAsia="en-IN"/>
        </w:rPr>
        <w:t xml:space="preserve"> and </w:t>
      </w:r>
      <w:proofErr w:type="spellStart"/>
      <w:r w:rsidR="00C63B2A" w:rsidRPr="007D6BFD">
        <w:rPr>
          <w:rFonts w:ascii="Arial" w:eastAsia="Times New Roman" w:hAnsi="Arial" w:cs="Arial"/>
          <w:bCs/>
          <w:sz w:val="20"/>
          <w:szCs w:val="20"/>
          <w:bdr w:val="none" w:sz="0" w:space="0" w:color="auto" w:frame="1"/>
          <w:lang w:eastAsia="en-IN"/>
        </w:rPr>
        <w:t>Tumor</w:t>
      </w:r>
      <w:proofErr w:type="spellEnd"/>
      <w:r w:rsidR="00C63B2A" w:rsidRPr="007D6BFD">
        <w:rPr>
          <w:rFonts w:ascii="Arial" w:eastAsia="Times New Roman" w:hAnsi="Arial" w:cs="Arial"/>
          <w:bCs/>
          <w:sz w:val="20"/>
          <w:szCs w:val="20"/>
          <w:bdr w:val="none" w:sz="0" w:space="0" w:color="auto" w:frame="1"/>
          <w:lang w:eastAsia="en-IN"/>
        </w:rPr>
        <w:t xml:space="preserve"> Necrosis Factor-alpha</w:t>
      </w:r>
      <w:r w:rsidR="00C63B2A" w:rsidRPr="007D6BFD">
        <w:rPr>
          <w:rFonts w:ascii="Arial" w:eastAsia="Times New Roman" w:hAnsi="Arial" w:cs="Arial"/>
          <w:sz w:val="20"/>
          <w:szCs w:val="20"/>
          <w:bdr w:val="none" w:sz="0" w:space="0" w:color="auto" w:frame="1"/>
          <w:lang w:eastAsia="en-IN"/>
        </w:rPr>
        <w:t xml:space="preserve"> dampen circadian amplitude and repress core clock genes like </w:t>
      </w:r>
      <w:r w:rsidR="00C63B2A" w:rsidRPr="007D6BFD">
        <w:rPr>
          <w:rFonts w:ascii="Arial" w:eastAsia="Times New Roman" w:hAnsi="Arial" w:cs="Arial"/>
          <w:bCs/>
          <w:sz w:val="20"/>
          <w:szCs w:val="20"/>
          <w:bdr w:val="none" w:sz="0" w:space="0" w:color="auto" w:frame="1"/>
          <w:lang w:eastAsia="en-IN"/>
        </w:rPr>
        <w:t>Brain and Muscle ARNT-Like Protein-1</w:t>
      </w:r>
      <w:r w:rsidR="00C63B2A" w:rsidRPr="007D6BFD">
        <w:rPr>
          <w:rFonts w:ascii="Arial" w:eastAsia="Times New Roman" w:hAnsi="Arial" w:cs="Arial"/>
          <w:sz w:val="20"/>
          <w:szCs w:val="20"/>
          <w:bdr w:val="none" w:sz="0" w:space="0" w:color="auto" w:frame="1"/>
          <w:lang w:eastAsia="en-IN"/>
        </w:rPr>
        <w:t xml:space="preserve">. Conversely, </w:t>
      </w:r>
      <w:r w:rsidR="00C63B2A" w:rsidRPr="007D6BFD">
        <w:rPr>
          <w:rFonts w:ascii="Arial" w:eastAsia="Times New Roman" w:hAnsi="Arial" w:cs="Arial"/>
          <w:bCs/>
          <w:sz w:val="20"/>
          <w:szCs w:val="20"/>
          <w:bdr w:val="none" w:sz="0" w:space="0" w:color="auto" w:frame="1"/>
          <w:lang w:eastAsia="en-IN"/>
        </w:rPr>
        <w:t>circadian rhythm disruption</w:t>
      </w:r>
      <w:r w:rsidR="00C63B2A" w:rsidRPr="007D6BFD">
        <w:rPr>
          <w:rFonts w:ascii="Arial" w:eastAsia="Times New Roman" w:hAnsi="Arial" w:cs="Arial"/>
          <w:sz w:val="20"/>
          <w:szCs w:val="20"/>
          <w:bdr w:val="none" w:sz="0" w:space="0" w:color="auto" w:frame="1"/>
          <w:lang w:eastAsia="en-IN"/>
        </w:rPr>
        <w:t xml:space="preserve"> exacerbates periodontitis by skewing macrophages toward a pro-inflammatory </w:t>
      </w:r>
      <w:r w:rsidR="00C63B2A" w:rsidRPr="007D6BFD">
        <w:rPr>
          <w:rFonts w:ascii="Arial" w:eastAsia="Times New Roman" w:hAnsi="Arial" w:cs="Arial"/>
          <w:bCs/>
          <w:sz w:val="20"/>
          <w:szCs w:val="20"/>
          <w:bdr w:val="none" w:sz="0" w:space="0" w:color="auto" w:frame="1"/>
          <w:lang w:eastAsia="en-IN"/>
        </w:rPr>
        <w:t>M1 phenotype</w:t>
      </w:r>
      <w:r w:rsidR="00C63B2A" w:rsidRPr="007D6BFD">
        <w:rPr>
          <w:rFonts w:ascii="Arial" w:eastAsia="Times New Roman" w:hAnsi="Arial" w:cs="Arial"/>
          <w:sz w:val="20"/>
          <w:szCs w:val="20"/>
          <w:bdr w:val="none" w:sz="0" w:space="0" w:color="auto" w:frame="1"/>
          <w:lang w:eastAsia="en-IN"/>
        </w:rPr>
        <w:t xml:space="preserve"> and dysregulating the </w:t>
      </w:r>
      <w:r w:rsidR="00C63B2A" w:rsidRPr="007D6BFD">
        <w:rPr>
          <w:rFonts w:ascii="Arial" w:eastAsia="Times New Roman" w:hAnsi="Arial" w:cs="Arial"/>
          <w:bCs/>
          <w:sz w:val="20"/>
          <w:szCs w:val="20"/>
          <w:bdr w:val="none" w:sz="0" w:space="0" w:color="auto" w:frame="1"/>
          <w:lang w:eastAsia="en-IN"/>
        </w:rPr>
        <w:t xml:space="preserve">Receptor Activator of Nuclear Factor Kappa-B Ligand / </w:t>
      </w:r>
      <w:proofErr w:type="spellStart"/>
      <w:r w:rsidR="00C63B2A" w:rsidRPr="007D6BFD">
        <w:rPr>
          <w:rFonts w:ascii="Arial" w:eastAsia="Times New Roman" w:hAnsi="Arial" w:cs="Arial"/>
          <w:bCs/>
          <w:sz w:val="20"/>
          <w:szCs w:val="20"/>
          <w:bdr w:val="none" w:sz="0" w:space="0" w:color="auto" w:frame="1"/>
          <w:lang w:eastAsia="en-IN"/>
        </w:rPr>
        <w:t>Osteoprotegerin</w:t>
      </w:r>
      <w:proofErr w:type="spellEnd"/>
      <w:r w:rsidR="00C63B2A" w:rsidRPr="007D6BFD">
        <w:rPr>
          <w:rFonts w:ascii="Arial" w:eastAsia="Times New Roman" w:hAnsi="Arial" w:cs="Arial"/>
          <w:sz w:val="20"/>
          <w:szCs w:val="20"/>
          <w:bdr w:val="none" w:sz="0" w:space="0" w:color="auto" w:frame="1"/>
          <w:lang w:eastAsia="en-IN"/>
        </w:rPr>
        <w:t xml:space="preserve"> ratio, leading to accelerated alveolar bone loss.</w:t>
      </w:r>
    </w:p>
    <w:p w14:paraId="1F05517A" w14:textId="77777777" w:rsidR="00C63B2A" w:rsidRPr="007D6BFD" w:rsidRDefault="00E7732B" w:rsidP="007D6BFD">
      <w:pPr>
        <w:spacing w:before="100" w:beforeAutospacing="1" w:after="0" w:line="276" w:lineRule="auto"/>
        <w:rPr>
          <w:rFonts w:ascii="Times New Roman" w:eastAsia="Times New Roman" w:hAnsi="Times New Roman" w:cs="Times New Roman"/>
          <w:sz w:val="24"/>
          <w:szCs w:val="24"/>
          <w:lang w:eastAsia="en-IN"/>
        </w:rPr>
      </w:pPr>
      <w:r w:rsidRPr="007D6BFD">
        <w:rPr>
          <w:rStyle w:val="citation-96"/>
          <w:rFonts w:ascii="Arial" w:hAnsi="Arial" w:cs="Arial"/>
          <w:b/>
          <w:bCs/>
          <w:sz w:val="20"/>
          <w:szCs w:val="20"/>
        </w:rPr>
        <w:t>Conclusion:</w:t>
      </w:r>
      <w:r w:rsidRPr="007D6BFD">
        <w:rPr>
          <w:rStyle w:val="citation-96"/>
          <w:rFonts w:ascii="Arial" w:hAnsi="Arial" w:cs="Arial"/>
          <w:sz w:val="20"/>
          <w:szCs w:val="20"/>
        </w:rPr>
        <w:t xml:space="preserve"> </w:t>
      </w:r>
      <w:r w:rsidR="00C63B2A" w:rsidRPr="007D6BFD">
        <w:rPr>
          <w:rFonts w:ascii="Arial" w:eastAsia="Times New Roman" w:hAnsi="Arial" w:cs="Arial"/>
          <w:sz w:val="20"/>
          <w:szCs w:val="20"/>
          <w:bdr w:val="none" w:sz="0" w:space="0" w:color="auto" w:frame="1"/>
          <w:lang w:eastAsia="en-IN"/>
        </w:rPr>
        <w:t xml:space="preserve">Periodontitis and </w:t>
      </w:r>
      <w:r w:rsidR="00C63B2A" w:rsidRPr="007D6BFD">
        <w:rPr>
          <w:rFonts w:ascii="Arial" w:eastAsia="Times New Roman" w:hAnsi="Arial" w:cs="Arial"/>
          <w:bCs/>
          <w:sz w:val="20"/>
          <w:szCs w:val="20"/>
          <w:bdr w:val="none" w:sz="0" w:space="0" w:color="auto" w:frame="1"/>
          <w:lang w:eastAsia="en-IN"/>
        </w:rPr>
        <w:t>circadian rhythm disruption</w:t>
      </w:r>
      <w:r w:rsidR="00C63B2A" w:rsidRPr="007D6BFD">
        <w:rPr>
          <w:rFonts w:ascii="Arial" w:eastAsia="Times New Roman" w:hAnsi="Arial" w:cs="Arial"/>
          <w:sz w:val="20"/>
          <w:szCs w:val="20"/>
          <w:bdr w:val="none" w:sz="0" w:space="0" w:color="auto" w:frame="1"/>
          <w:lang w:eastAsia="en-IN"/>
        </w:rPr>
        <w:t xml:space="preserve"> are linked through a self-perpetuating biological cycle. Recognizing this bidirectional axis allows for the development of chronotherapeutic strategies, such as timed melatonin supplementation or synchronized periodontal therapy, to improve clinical outcomes.</w:t>
      </w:r>
    </w:p>
    <w:p w14:paraId="2A137084" w14:textId="77777777" w:rsidR="00E7732B" w:rsidRPr="007D6BFD" w:rsidRDefault="00604F37" w:rsidP="007D6BFD">
      <w:pPr>
        <w:pStyle w:val="NormalWeb"/>
        <w:spacing w:line="276" w:lineRule="auto"/>
        <w:rPr>
          <w:rFonts w:ascii="Arial" w:hAnsi="Arial" w:cs="Arial"/>
          <w:b/>
          <w:sz w:val="22"/>
          <w:szCs w:val="22"/>
        </w:rPr>
      </w:pPr>
      <w:r w:rsidRPr="007D6BFD">
        <w:rPr>
          <w:rFonts w:ascii="Arial" w:hAnsi="Arial" w:cs="Arial"/>
          <w:b/>
          <w:sz w:val="22"/>
          <w:szCs w:val="22"/>
        </w:rPr>
        <w:t>Featured Prospective Highlight</w:t>
      </w:r>
    </w:p>
    <w:p w14:paraId="46D03E76" w14:textId="77777777" w:rsidR="00A84DF9" w:rsidRPr="007D6BFD" w:rsidRDefault="00A84DF9" w:rsidP="007D6BFD">
      <w:pPr>
        <w:pStyle w:val="ListParagraph"/>
        <w:numPr>
          <w:ilvl w:val="0"/>
          <w:numId w:val="17"/>
        </w:numPr>
        <w:spacing w:before="100" w:beforeAutospacing="1" w:after="100" w:afterAutospacing="1" w:line="276" w:lineRule="auto"/>
        <w:rPr>
          <w:rFonts w:ascii="Arial" w:eastAsia="Times New Roman" w:hAnsi="Arial" w:cs="Arial"/>
          <w:sz w:val="20"/>
          <w:szCs w:val="20"/>
          <w:lang w:eastAsia="en-IN"/>
        </w:rPr>
      </w:pPr>
      <w:r w:rsidRPr="007D6BFD">
        <w:rPr>
          <w:rFonts w:ascii="Arial" w:eastAsia="Times New Roman" w:hAnsi="Arial" w:cs="Arial"/>
          <w:b/>
          <w:bCs/>
          <w:sz w:val="20"/>
          <w:szCs w:val="20"/>
          <w:lang w:eastAsia="en-IN"/>
        </w:rPr>
        <w:t>Neuro-Immuno-Metabolic Axis:</w:t>
      </w:r>
      <w:r w:rsidRPr="007D6BFD">
        <w:rPr>
          <w:rFonts w:ascii="Arial" w:eastAsia="Times New Roman" w:hAnsi="Arial" w:cs="Arial"/>
          <w:sz w:val="20"/>
          <w:szCs w:val="20"/>
          <w:lang w:eastAsia="en-IN"/>
        </w:rPr>
        <w:t xml:space="preserve"> The review redefines periodontitis as a systemic, biologically desynchronizing state rather than just a local infection.</w:t>
      </w:r>
    </w:p>
    <w:p w14:paraId="3DF90BC9" w14:textId="77777777" w:rsidR="00A84DF9" w:rsidRPr="007D6BFD" w:rsidRDefault="00A84DF9" w:rsidP="007D6BFD">
      <w:pPr>
        <w:pStyle w:val="ListParagraph"/>
        <w:numPr>
          <w:ilvl w:val="0"/>
          <w:numId w:val="17"/>
        </w:numPr>
        <w:spacing w:before="100" w:beforeAutospacing="1" w:after="100" w:afterAutospacing="1" w:line="276" w:lineRule="auto"/>
        <w:rPr>
          <w:rFonts w:ascii="Arial" w:eastAsia="Times New Roman" w:hAnsi="Arial" w:cs="Arial"/>
          <w:sz w:val="20"/>
          <w:szCs w:val="20"/>
          <w:lang w:eastAsia="en-IN"/>
        </w:rPr>
      </w:pPr>
      <w:r w:rsidRPr="007D6BFD">
        <w:rPr>
          <w:rFonts w:ascii="Arial" w:eastAsia="Times New Roman" w:hAnsi="Arial" w:cs="Arial"/>
          <w:b/>
          <w:bCs/>
          <w:sz w:val="20"/>
          <w:szCs w:val="20"/>
          <w:lang w:eastAsia="en-IN"/>
        </w:rPr>
        <w:t>Molecular Clock Blunting:</w:t>
      </w:r>
      <w:r w:rsidRPr="007D6BFD">
        <w:rPr>
          <w:rFonts w:ascii="Arial" w:eastAsia="Times New Roman" w:hAnsi="Arial" w:cs="Arial"/>
          <w:sz w:val="20"/>
          <w:szCs w:val="20"/>
          <w:lang w:eastAsia="en-IN"/>
        </w:rPr>
        <w:t xml:space="preserve"> Inflammatory cytokines (IL-6, TNF-α) dampen circadian amplitude and directly repress core clock genes like </w:t>
      </w:r>
      <w:r w:rsidRPr="007D6BFD">
        <w:rPr>
          <w:rFonts w:ascii="Arial" w:eastAsia="Times New Roman" w:hAnsi="Arial" w:cs="Arial"/>
          <w:bCs/>
          <w:sz w:val="20"/>
          <w:szCs w:val="20"/>
          <w:lang w:eastAsia="en-IN"/>
        </w:rPr>
        <w:t>BMAL1</w:t>
      </w:r>
      <w:r w:rsidRPr="007D6BFD">
        <w:rPr>
          <w:rFonts w:ascii="Arial" w:eastAsia="Times New Roman" w:hAnsi="Arial" w:cs="Arial"/>
          <w:sz w:val="20"/>
          <w:szCs w:val="20"/>
          <w:lang w:eastAsia="en-IN"/>
        </w:rPr>
        <w:t>.</w:t>
      </w:r>
    </w:p>
    <w:p w14:paraId="1645EC79" w14:textId="77777777" w:rsidR="00A84DF9" w:rsidRPr="007D6BFD" w:rsidRDefault="00A84DF9" w:rsidP="007D6BFD">
      <w:pPr>
        <w:pStyle w:val="ListParagraph"/>
        <w:numPr>
          <w:ilvl w:val="0"/>
          <w:numId w:val="17"/>
        </w:numPr>
        <w:spacing w:before="100" w:beforeAutospacing="1" w:after="100" w:afterAutospacing="1" w:line="276" w:lineRule="auto"/>
        <w:rPr>
          <w:rFonts w:ascii="Arial" w:eastAsia="Times New Roman" w:hAnsi="Arial" w:cs="Arial"/>
          <w:sz w:val="20"/>
          <w:szCs w:val="20"/>
          <w:lang w:eastAsia="en-IN"/>
        </w:rPr>
      </w:pPr>
      <w:r w:rsidRPr="007D6BFD">
        <w:rPr>
          <w:rFonts w:ascii="Arial" w:eastAsia="Times New Roman" w:hAnsi="Arial" w:cs="Arial"/>
          <w:b/>
          <w:bCs/>
          <w:sz w:val="20"/>
          <w:szCs w:val="20"/>
          <w:lang w:eastAsia="en-IN"/>
        </w:rPr>
        <w:lastRenderedPageBreak/>
        <w:t>Immune Dysregulation:</w:t>
      </w:r>
      <w:r w:rsidRPr="007D6BFD">
        <w:rPr>
          <w:rFonts w:ascii="Arial" w:eastAsia="Times New Roman" w:hAnsi="Arial" w:cs="Arial"/>
          <w:sz w:val="20"/>
          <w:szCs w:val="20"/>
          <w:lang w:eastAsia="en-IN"/>
        </w:rPr>
        <w:t xml:space="preserve"> Circadian disruption skews macrophages toward a pro-inflammatory M1 phenotype and prevents the resolution of inflammation.</w:t>
      </w:r>
    </w:p>
    <w:p w14:paraId="138D9841" w14:textId="77777777" w:rsidR="00A84DF9" w:rsidRPr="007D6BFD" w:rsidRDefault="00A84DF9" w:rsidP="007D6BFD">
      <w:pPr>
        <w:pStyle w:val="ListParagraph"/>
        <w:numPr>
          <w:ilvl w:val="0"/>
          <w:numId w:val="17"/>
        </w:numPr>
        <w:spacing w:before="100" w:beforeAutospacing="1" w:after="100" w:afterAutospacing="1" w:line="276" w:lineRule="auto"/>
        <w:rPr>
          <w:rFonts w:ascii="Arial" w:eastAsia="Times New Roman" w:hAnsi="Arial" w:cs="Arial"/>
          <w:sz w:val="20"/>
          <w:szCs w:val="20"/>
          <w:lang w:eastAsia="en-IN"/>
        </w:rPr>
      </w:pPr>
      <w:r w:rsidRPr="007D6BFD">
        <w:rPr>
          <w:rFonts w:ascii="Arial" w:eastAsia="Times New Roman" w:hAnsi="Arial" w:cs="Arial"/>
          <w:b/>
          <w:bCs/>
          <w:sz w:val="20"/>
          <w:szCs w:val="20"/>
          <w:lang w:eastAsia="en-IN"/>
        </w:rPr>
        <w:t>Accelerated Bone Loss:</w:t>
      </w:r>
      <w:r w:rsidRPr="007D6BFD">
        <w:rPr>
          <w:rFonts w:ascii="Arial" w:eastAsia="Times New Roman" w:hAnsi="Arial" w:cs="Arial"/>
          <w:sz w:val="20"/>
          <w:szCs w:val="20"/>
          <w:lang w:eastAsia="en-IN"/>
        </w:rPr>
        <w:t xml:space="preserve"> Temporal misalignment disrupts the </w:t>
      </w:r>
      <w:r w:rsidRPr="007D6BFD">
        <w:rPr>
          <w:rFonts w:ascii="Arial" w:eastAsia="Times New Roman" w:hAnsi="Arial" w:cs="Arial"/>
          <w:bCs/>
          <w:sz w:val="20"/>
          <w:szCs w:val="20"/>
          <w:lang w:eastAsia="en-IN"/>
        </w:rPr>
        <w:t>RANKL/OPG ratio</w:t>
      </w:r>
      <w:r w:rsidRPr="007D6BFD">
        <w:rPr>
          <w:rFonts w:ascii="Arial" w:eastAsia="Times New Roman" w:hAnsi="Arial" w:cs="Arial"/>
          <w:sz w:val="20"/>
          <w:szCs w:val="20"/>
          <w:lang w:eastAsia="en-IN"/>
        </w:rPr>
        <w:t>, leading to increased osteoclast activity and faster alveolar bone destruction.</w:t>
      </w:r>
    </w:p>
    <w:p w14:paraId="3A16B53A" w14:textId="77777777" w:rsidR="00A84DF9" w:rsidRPr="007D6BFD" w:rsidRDefault="00A84DF9" w:rsidP="007D6BFD">
      <w:pPr>
        <w:pStyle w:val="ListParagraph"/>
        <w:numPr>
          <w:ilvl w:val="0"/>
          <w:numId w:val="17"/>
        </w:numPr>
        <w:spacing w:before="100" w:beforeAutospacing="1" w:after="100" w:afterAutospacing="1" w:line="276" w:lineRule="auto"/>
        <w:rPr>
          <w:rFonts w:ascii="Arial" w:eastAsia="Times New Roman" w:hAnsi="Arial" w:cs="Arial"/>
          <w:sz w:val="20"/>
          <w:szCs w:val="20"/>
          <w:lang w:eastAsia="en-IN"/>
        </w:rPr>
      </w:pPr>
      <w:r w:rsidRPr="007D6BFD">
        <w:rPr>
          <w:rFonts w:ascii="Arial" w:eastAsia="Times New Roman" w:hAnsi="Arial" w:cs="Arial"/>
          <w:b/>
          <w:bCs/>
          <w:sz w:val="20"/>
          <w:szCs w:val="20"/>
          <w:lang w:eastAsia="en-IN"/>
        </w:rPr>
        <w:t>Chronotherapeutic Potential:</w:t>
      </w:r>
      <w:r w:rsidRPr="007D6BFD">
        <w:rPr>
          <w:rFonts w:ascii="Arial" w:eastAsia="Times New Roman" w:hAnsi="Arial" w:cs="Arial"/>
          <w:sz w:val="20"/>
          <w:szCs w:val="20"/>
          <w:lang w:eastAsia="en-IN"/>
        </w:rPr>
        <w:t xml:space="preserve"> These findings enable "timed" periodontal therapies and the use of circadian stabilizers like melatonin to optimize healing and tissue repair.</w:t>
      </w:r>
    </w:p>
    <w:p w14:paraId="14335414" w14:textId="77777777" w:rsidR="00E7732B" w:rsidRPr="007D6BFD" w:rsidRDefault="00E7732B" w:rsidP="007D6BFD">
      <w:pPr>
        <w:spacing w:before="100" w:beforeAutospacing="1" w:after="100" w:afterAutospacing="1" w:line="276" w:lineRule="auto"/>
        <w:jc w:val="both"/>
        <w:rPr>
          <w:rFonts w:ascii="Arial" w:hAnsi="Arial" w:cs="Arial"/>
          <w:b/>
          <w:sz w:val="20"/>
          <w:szCs w:val="20"/>
        </w:rPr>
      </w:pPr>
      <w:r w:rsidRPr="007D6BFD">
        <w:rPr>
          <w:rFonts w:ascii="Arial" w:hAnsi="Arial" w:cs="Arial"/>
          <w:b/>
          <w:sz w:val="20"/>
          <w:szCs w:val="20"/>
        </w:rPr>
        <w:t xml:space="preserve">Keywords: </w:t>
      </w:r>
      <w:r w:rsidRPr="007D6BFD">
        <w:rPr>
          <w:rFonts w:ascii="Arial" w:hAnsi="Arial" w:cs="Arial"/>
          <w:sz w:val="20"/>
          <w:szCs w:val="20"/>
          <w:shd w:val="clear" w:color="auto" w:fill="FFFFFF"/>
        </w:rPr>
        <w:t>Periodontitis, Circadian Rhythm, Cytokines, Alveolar Bone Loss, Chronotherapy, Osteoimmunology.</w:t>
      </w:r>
    </w:p>
    <w:p w14:paraId="102D4D39" w14:textId="77777777" w:rsidR="00EA2E52" w:rsidRPr="007D6BFD" w:rsidRDefault="00EA2E52" w:rsidP="007D6BFD">
      <w:pPr>
        <w:spacing w:before="100" w:beforeAutospacing="1" w:after="100" w:afterAutospacing="1" w:line="276" w:lineRule="auto"/>
        <w:rPr>
          <w:rFonts w:ascii="Arial" w:hAnsi="Arial" w:cs="Arial"/>
          <w:b/>
        </w:rPr>
      </w:pPr>
      <w:r w:rsidRPr="007D6BFD">
        <w:rPr>
          <w:rFonts w:ascii="Arial" w:hAnsi="Arial" w:cs="Arial"/>
          <w:b/>
        </w:rPr>
        <w:t xml:space="preserve">1. INTRODUCTION </w:t>
      </w:r>
    </w:p>
    <w:p w14:paraId="34F841E6" w14:textId="77777777" w:rsidR="00E34AE5" w:rsidRPr="007D6BFD" w:rsidRDefault="00E34AE5"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 xml:space="preserve">Periodontitis is one of the most prevalent chronic inflammatory diseases worldwide, representing a major public health concern as the leading cause of adult tooth loss [1,2]. While initiated by a </w:t>
      </w:r>
      <w:proofErr w:type="spellStart"/>
      <w:r w:rsidRPr="007D6BFD">
        <w:rPr>
          <w:rFonts w:ascii="Arial" w:eastAsia="Times New Roman" w:hAnsi="Arial" w:cs="Arial"/>
          <w:sz w:val="20"/>
          <w:szCs w:val="20"/>
          <w:lang w:eastAsia="en-IN"/>
        </w:rPr>
        <w:t>dysbiotic</w:t>
      </w:r>
      <w:proofErr w:type="spellEnd"/>
      <w:r w:rsidRPr="007D6BFD">
        <w:rPr>
          <w:rFonts w:ascii="Arial" w:eastAsia="Times New Roman" w:hAnsi="Arial" w:cs="Arial"/>
          <w:sz w:val="20"/>
          <w:szCs w:val="20"/>
          <w:lang w:eastAsia="en-IN"/>
        </w:rPr>
        <w:t xml:space="preserve"> subgingival biofilm, its destructive nature is ultimately driven by an exaggerated and dysregulated host immune response [3]. This pathology is characterized by the sustained release of potent inflammatory </w:t>
      </w:r>
      <w:r w:rsidR="00A84DF9" w:rsidRPr="007D6BFD">
        <w:rPr>
          <w:rFonts w:ascii="Arial" w:eastAsia="Times New Roman" w:hAnsi="Arial" w:cs="Arial"/>
          <w:sz w:val="20"/>
          <w:szCs w:val="20"/>
          <w:lang w:eastAsia="en-IN"/>
        </w:rPr>
        <w:t>mediators, such as I</w:t>
      </w:r>
      <w:r w:rsidRPr="007D6BFD">
        <w:rPr>
          <w:rFonts w:ascii="Arial" w:eastAsia="Times New Roman" w:hAnsi="Arial" w:cs="Arial"/>
          <w:sz w:val="20"/>
          <w:szCs w:val="20"/>
          <w:lang w:eastAsia="en-IN"/>
        </w:rPr>
        <w:t>nter</w:t>
      </w:r>
      <w:r w:rsidR="00A84DF9" w:rsidRPr="007D6BFD">
        <w:rPr>
          <w:rFonts w:ascii="Arial" w:eastAsia="Times New Roman" w:hAnsi="Arial" w:cs="Arial"/>
          <w:sz w:val="20"/>
          <w:szCs w:val="20"/>
          <w:lang w:eastAsia="en-IN"/>
        </w:rPr>
        <w:t>leukin-1</w:t>
      </w:r>
      <w:r w:rsidR="00A75C24" w:rsidRPr="007D6BFD">
        <w:rPr>
          <w:rFonts w:ascii="Arial" w:eastAsia="Times New Roman" w:hAnsi="Arial" w:cs="Arial"/>
          <w:sz w:val="20"/>
          <w:szCs w:val="20"/>
          <w:lang w:eastAsia="en-IN"/>
        </w:rPr>
        <w:t xml:space="preserve"> </w:t>
      </w:r>
      <w:r w:rsidR="00A84DF9" w:rsidRPr="007D6BFD">
        <w:rPr>
          <w:rFonts w:ascii="Arial" w:eastAsia="Times New Roman" w:hAnsi="Arial" w:cs="Arial"/>
          <w:sz w:val="20"/>
          <w:szCs w:val="20"/>
          <w:lang w:eastAsia="en-IN"/>
        </w:rPr>
        <w:t>beta (</w:t>
      </w:r>
      <w:r w:rsidR="00A75C24" w:rsidRPr="007D6BFD">
        <w:rPr>
          <w:rFonts w:ascii="Arial" w:hAnsi="Arial" w:cs="Arial"/>
          <w:sz w:val="21"/>
          <w:szCs w:val="21"/>
          <w:shd w:val="clear" w:color="auto" w:fill="FFFFFF"/>
        </w:rPr>
        <w:t>IL-1β</w:t>
      </w:r>
      <w:r w:rsidR="00A84DF9" w:rsidRPr="007D6BFD">
        <w:rPr>
          <w:rFonts w:ascii="Arial" w:eastAsia="Times New Roman" w:hAnsi="Arial" w:cs="Arial"/>
          <w:sz w:val="20"/>
          <w:szCs w:val="20"/>
          <w:lang w:eastAsia="en-IN"/>
        </w:rPr>
        <w:t>), I</w:t>
      </w:r>
      <w:r w:rsidR="00A75C24" w:rsidRPr="007D6BFD">
        <w:rPr>
          <w:rFonts w:ascii="Arial" w:eastAsia="Times New Roman" w:hAnsi="Arial" w:cs="Arial"/>
          <w:sz w:val="20"/>
          <w:szCs w:val="20"/>
          <w:lang w:eastAsia="en-IN"/>
        </w:rPr>
        <w:t xml:space="preserve">nterleukin-6 (IL-6), and </w:t>
      </w:r>
      <w:proofErr w:type="spellStart"/>
      <w:r w:rsidR="00A75C24" w:rsidRPr="007D6BFD">
        <w:rPr>
          <w:rFonts w:ascii="Arial" w:eastAsia="Times New Roman" w:hAnsi="Arial" w:cs="Arial"/>
          <w:sz w:val="20"/>
          <w:szCs w:val="20"/>
          <w:lang w:eastAsia="en-IN"/>
        </w:rPr>
        <w:t>Tumor</w:t>
      </w:r>
      <w:proofErr w:type="spellEnd"/>
      <w:r w:rsidR="00A75C24" w:rsidRPr="007D6BFD">
        <w:rPr>
          <w:rFonts w:ascii="Arial" w:eastAsia="Times New Roman" w:hAnsi="Arial" w:cs="Arial"/>
          <w:sz w:val="20"/>
          <w:szCs w:val="20"/>
          <w:lang w:eastAsia="en-IN"/>
        </w:rPr>
        <w:t xml:space="preserve"> Necrosis F</w:t>
      </w:r>
      <w:r w:rsidRPr="007D6BFD">
        <w:rPr>
          <w:rFonts w:ascii="Arial" w:eastAsia="Times New Roman" w:hAnsi="Arial" w:cs="Arial"/>
          <w:sz w:val="20"/>
          <w:szCs w:val="20"/>
          <w:lang w:eastAsia="en-IN"/>
        </w:rPr>
        <w:t>actor-</w:t>
      </w:r>
      <w:r w:rsidR="00A75C24" w:rsidRPr="007D6BFD">
        <w:rPr>
          <w:rFonts w:ascii="Arial" w:eastAsia="Times New Roman" w:hAnsi="Arial" w:cs="Arial"/>
          <w:sz w:val="20"/>
          <w:szCs w:val="20"/>
          <w:lang w:eastAsia="en-IN"/>
        </w:rPr>
        <w:t>alpha</w:t>
      </w:r>
      <w:r w:rsidRPr="007D6BFD">
        <w:rPr>
          <w:rFonts w:ascii="Arial" w:eastAsia="Times New Roman" w:hAnsi="Arial" w:cs="Arial"/>
          <w:sz w:val="20"/>
          <w:szCs w:val="20"/>
          <w:lang w:eastAsia="en-IN"/>
        </w:rPr>
        <w:t xml:space="preserve"> (</w:t>
      </w:r>
      <w:r w:rsidR="00A75C24" w:rsidRPr="007D6BFD">
        <w:rPr>
          <w:rFonts w:ascii="Arial" w:hAnsi="Arial" w:cs="Arial"/>
          <w:sz w:val="20"/>
          <w:szCs w:val="20"/>
        </w:rPr>
        <w:t>TNF-α</w:t>
      </w:r>
      <w:r w:rsidRPr="007D6BFD">
        <w:rPr>
          <w:rFonts w:ascii="Arial" w:eastAsia="Times New Roman" w:hAnsi="Arial" w:cs="Arial"/>
          <w:sz w:val="20"/>
          <w:szCs w:val="20"/>
          <w:lang w:eastAsia="en-IN"/>
        </w:rPr>
        <w:t>), prostaglandins, and matrix metalloproteinases (MMPs), which leads to progressive connective tissue degradation and alveolar bone loss [4,5]. Crucially, beyond its local devastation, periodontitis contributes significantly to systemic low-grade inflammation and has been epidemiologically linked to major non-communicable diseases, including cardiovascular disease and diabetes [6,7].</w:t>
      </w:r>
    </w:p>
    <w:p w14:paraId="3304E541" w14:textId="77777777" w:rsidR="00E34AE5" w:rsidRPr="007D6BFD" w:rsidRDefault="00E34AE5"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 xml:space="preserve">Recent evidence suggests that the subgingival microbiome itself may exhibit rhythmic fluctuations, where the virulence factors of </w:t>
      </w:r>
      <w:proofErr w:type="spellStart"/>
      <w:r w:rsidRPr="007D6BFD">
        <w:rPr>
          <w:rFonts w:ascii="Arial" w:eastAsia="Times New Roman" w:hAnsi="Arial" w:cs="Arial"/>
          <w:sz w:val="20"/>
          <w:szCs w:val="20"/>
          <w:lang w:eastAsia="en-IN"/>
        </w:rPr>
        <w:t>periopathogens</w:t>
      </w:r>
      <w:proofErr w:type="spellEnd"/>
      <w:r w:rsidRPr="007D6BFD">
        <w:rPr>
          <w:rFonts w:ascii="Arial" w:eastAsia="Times New Roman" w:hAnsi="Arial" w:cs="Arial"/>
          <w:sz w:val="20"/>
          <w:szCs w:val="20"/>
          <w:lang w:eastAsia="en-IN"/>
        </w:rPr>
        <w:t xml:space="preserve"> like </w:t>
      </w:r>
      <w:proofErr w:type="spellStart"/>
      <w:r w:rsidRPr="007D6BFD">
        <w:rPr>
          <w:rFonts w:ascii="Arial" w:eastAsia="Times New Roman" w:hAnsi="Arial" w:cs="Arial"/>
          <w:i/>
          <w:iCs/>
          <w:sz w:val="20"/>
          <w:szCs w:val="20"/>
          <w:lang w:eastAsia="en-IN"/>
        </w:rPr>
        <w:t>Porphyromonas</w:t>
      </w:r>
      <w:proofErr w:type="spellEnd"/>
      <w:r w:rsidRPr="007D6BFD">
        <w:rPr>
          <w:rFonts w:ascii="Arial" w:eastAsia="Times New Roman" w:hAnsi="Arial" w:cs="Arial"/>
          <w:i/>
          <w:iCs/>
          <w:sz w:val="20"/>
          <w:szCs w:val="20"/>
          <w:lang w:eastAsia="en-IN"/>
        </w:rPr>
        <w:t xml:space="preserve"> </w:t>
      </w:r>
      <w:proofErr w:type="spellStart"/>
      <w:r w:rsidRPr="007D6BFD">
        <w:rPr>
          <w:rFonts w:ascii="Arial" w:eastAsia="Times New Roman" w:hAnsi="Arial" w:cs="Arial"/>
          <w:i/>
          <w:iCs/>
          <w:sz w:val="20"/>
          <w:szCs w:val="20"/>
          <w:lang w:eastAsia="en-IN"/>
        </w:rPr>
        <w:t>gingivalis</w:t>
      </w:r>
      <w:proofErr w:type="spellEnd"/>
      <w:r w:rsidRPr="007D6BFD">
        <w:rPr>
          <w:rFonts w:ascii="Arial" w:eastAsia="Times New Roman" w:hAnsi="Arial" w:cs="Arial"/>
          <w:sz w:val="20"/>
          <w:szCs w:val="20"/>
          <w:lang w:eastAsia="en-IN"/>
        </w:rPr>
        <w:t xml:space="preserve"> interface with the host's daily metabolic cycles. This "microbial-circadian crosstalk" suggests that the shift from a symbiotic to a </w:t>
      </w:r>
      <w:proofErr w:type="spellStart"/>
      <w:r w:rsidRPr="007D6BFD">
        <w:rPr>
          <w:rFonts w:ascii="Arial" w:eastAsia="Times New Roman" w:hAnsi="Arial" w:cs="Arial"/>
          <w:sz w:val="20"/>
          <w:szCs w:val="20"/>
          <w:lang w:eastAsia="en-IN"/>
        </w:rPr>
        <w:t>dysbiotic</w:t>
      </w:r>
      <w:proofErr w:type="spellEnd"/>
      <w:r w:rsidRPr="007D6BFD">
        <w:rPr>
          <w:rFonts w:ascii="Arial" w:eastAsia="Times New Roman" w:hAnsi="Arial" w:cs="Arial"/>
          <w:sz w:val="20"/>
          <w:szCs w:val="20"/>
          <w:lang w:eastAsia="en-IN"/>
        </w:rPr>
        <w:t xml:space="preserve"> state is not merely a matter of bacterial load, but also of temporal discordance, where the peak of bacterial insult may no longer align with the host's peak defensive capacity.</w:t>
      </w:r>
    </w:p>
    <w:p w14:paraId="5DDBBA24" w14:textId="77777777" w:rsidR="00E34AE5" w:rsidRPr="007D6BFD" w:rsidRDefault="00E34AE5"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Concurrently, there is growing recognition that circadian rhythm disruption (CRD) acts as a fundamental biological stressor in modern society. Factors like shift work, sleep deprivation, and chronic psychological stress disturb the crucial alignment between endogenous biological clocks and environmental cues [8]. CRD is now firmly established as a driver of chronic inflammation, immune dysfunction, and impaired tissue repair [9,10]. Importantly, the severity, biomarker expression, and treatment responsiveness of many inflammatory diseases exhibit circadian variation, underscoring the vital role of chronobiology in disease pathogenesis [11,12].</w:t>
      </w:r>
    </w:p>
    <w:p w14:paraId="5180D483" w14:textId="77777777" w:rsidR="00E34AE5" w:rsidRPr="007D6BFD" w:rsidRDefault="00E34AE5"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The molecular machinery governing these rhythms, primarily the CLOCK/BMAL1 heterodimer, acts as a transcriptional regulator for thousands of genes involved in the cell cycle and oxidative stress response. In the context of the periodontium, the disruption of these mo</w:t>
      </w:r>
      <w:r w:rsidR="00FD1465" w:rsidRPr="007D6BFD">
        <w:rPr>
          <w:rFonts w:ascii="Arial" w:eastAsia="Times New Roman" w:hAnsi="Arial" w:cs="Arial"/>
          <w:sz w:val="20"/>
          <w:szCs w:val="20"/>
          <w:lang w:eastAsia="en-IN"/>
        </w:rPr>
        <w:t xml:space="preserve">lecular oscillators leads to a </w:t>
      </w:r>
      <w:r w:rsidRPr="007D6BFD">
        <w:rPr>
          <w:rFonts w:ascii="Arial" w:eastAsia="Times New Roman" w:hAnsi="Arial" w:cs="Arial"/>
          <w:sz w:val="20"/>
          <w:szCs w:val="20"/>
          <w:lang w:eastAsia="en-IN"/>
        </w:rPr>
        <w:t>pro-inflammatory priming of the gingival tissues. Despite these striking mechanistic overlaps, particularly in shared inflammatory pathways and immune cell regulation, periodontal research has largely conceptualized inflammation as a static or cumulative process, with limited consideration of temporal regulation. This oversight is notable given that all key periodontal cell types, including immune cells, fibroblasts, osteoblasts, and osteoclasts, possess functional peripheral circadian clocks [13,14].</w:t>
      </w:r>
    </w:p>
    <w:p w14:paraId="566592D6" w14:textId="77777777" w:rsidR="00E34AE5" w:rsidRPr="007D6BFD" w:rsidRDefault="00E34AE5"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Experimen</w:t>
      </w:r>
      <w:r w:rsidR="00166D88" w:rsidRPr="007D6BFD">
        <w:rPr>
          <w:rFonts w:ascii="Arial" w:eastAsia="Times New Roman" w:hAnsi="Arial" w:cs="Arial"/>
          <w:sz w:val="20"/>
          <w:szCs w:val="20"/>
          <w:lang w:eastAsia="en-IN"/>
        </w:rPr>
        <w:t xml:space="preserve">tal evidence indicates that pro </w:t>
      </w:r>
      <w:r w:rsidRPr="007D6BFD">
        <w:rPr>
          <w:rFonts w:ascii="Arial" w:eastAsia="Times New Roman" w:hAnsi="Arial" w:cs="Arial"/>
          <w:sz w:val="20"/>
          <w:szCs w:val="20"/>
          <w:lang w:eastAsia="en-IN"/>
        </w:rPr>
        <w:t xml:space="preserve">inflammatory cytokines such as </w:t>
      </w:r>
      <w:r w:rsidR="00166D88" w:rsidRPr="007D6BFD">
        <w:rPr>
          <w:rFonts w:ascii="Arial" w:hAnsi="Arial" w:cs="Arial"/>
          <w:sz w:val="20"/>
          <w:szCs w:val="20"/>
        </w:rPr>
        <w:t>TNF-α</w:t>
      </w:r>
      <w:r w:rsidR="00166D88"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can directly interfere with clock gene transcription </w:t>
      </w:r>
      <w:r w:rsidRPr="00747CE7">
        <w:rPr>
          <w:rFonts w:ascii="Arial" w:eastAsia="Times New Roman" w:hAnsi="Arial" w:cs="Arial"/>
          <w:sz w:val="20"/>
          <w:szCs w:val="20"/>
          <w:lang w:eastAsia="en-IN"/>
        </w:rPr>
        <w:t xml:space="preserve">via </w:t>
      </w:r>
      <w:r w:rsidR="00166D88" w:rsidRPr="00747CE7">
        <w:rPr>
          <w:rStyle w:val="Emphasis"/>
          <w:rFonts w:ascii="Arial" w:hAnsi="Arial" w:cs="Arial"/>
          <w:bCs/>
          <w:i w:val="0"/>
          <w:iCs w:val="0"/>
          <w:sz w:val="20"/>
          <w:szCs w:val="20"/>
          <w:shd w:val="clear" w:color="auto" w:fill="FFFFFF"/>
        </w:rPr>
        <w:t>Nuclear factor kappa-light-chain-enhancer of activated B cells</w:t>
      </w:r>
      <w:r w:rsidR="00166D88" w:rsidRPr="007D6BFD">
        <w:rPr>
          <w:rFonts w:ascii="Arial" w:eastAsia="Times New Roman" w:hAnsi="Arial" w:cs="Arial"/>
          <w:sz w:val="20"/>
          <w:szCs w:val="20"/>
          <w:lang w:eastAsia="en-IN"/>
        </w:rPr>
        <w:t xml:space="preserve"> </w:t>
      </w:r>
      <w:r w:rsidR="00166D88" w:rsidRPr="00747CE7">
        <w:rPr>
          <w:rFonts w:ascii="Arial" w:eastAsia="Times New Roman" w:hAnsi="Arial" w:cs="Arial"/>
          <w:sz w:val="20"/>
          <w:szCs w:val="20"/>
          <w:lang w:eastAsia="en-IN"/>
        </w:rPr>
        <w:t>(</w:t>
      </w:r>
      <w:r w:rsidR="00166D88" w:rsidRPr="00747CE7">
        <w:rPr>
          <w:rFonts w:ascii="Arial" w:hAnsi="Arial" w:cs="Arial"/>
          <w:sz w:val="20"/>
          <w:szCs w:val="20"/>
          <w:shd w:val="clear" w:color="auto" w:fill="FFFFFF"/>
        </w:rPr>
        <w:t>NF-</w:t>
      </w:r>
      <w:proofErr w:type="spellStart"/>
      <w:r w:rsidR="00166D88" w:rsidRPr="00747CE7">
        <w:rPr>
          <w:rFonts w:ascii="Arial" w:hAnsi="Arial" w:cs="Arial"/>
          <w:sz w:val="20"/>
          <w:szCs w:val="20"/>
          <w:shd w:val="clear" w:color="auto" w:fill="FFFFFF"/>
        </w:rPr>
        <w:t>κB</w:t>
      </w:r>
      <w:proofErr w:type="spellEnd"/>
      <w:r w:rsidR="00166D88" w:rsidRPr="00747CE7">
        <w:rPr>
          <w:rFonts w:ascii="Arial" w:hAnsi="Arial" w:cs="Arial"/>
          <w:sz w:val="20"/>
          <w:szCs w:val="20"/>
          <w:shd w:val="clear" w:color="auto" w:fill="FFFFFF"/>
        </w:rPr>
        <w:t>)</w:t>
      </w:r>
      <w:r w:rsidR="00166D88" w:rsidRPr="007D6BFD">
        <w:rPr>
          <w:rFonts w:ascii="Arial" w:hAnsi="Arial" w:cs="Arial"/>
          <w:sz w:val="21"/>
          <w:szCs w:val="21"/>
          <w:shd w:val="clear" w:color="auto" w:fill="FFFFFF"/>
        </w:rPr>
        <w:t xml:space="preserve"> </w:t>
      </w:r>
      <w:r w:rsidRPr="007D6BFD">
        <w:rPr>
          <w:rFonts w:ascii="Arial" w:eastAsia="Times New Roman" w:hAnsi="Arial" w:cs="Arial"/>
          <w:sz w:val="20"/>
          <w:szCs w:val="20"/>
          <w:lang w:eastAsia="en-IN"/>
        </w:rPr>
        <w:t xml:space="preserve">and </w:t>
      </w:r>
      <w:r w:rsidR="00166D88" w:rsidRPr="007D6BFD">
        <w:rPr>
          <w:rFonts w:ascii="Arial" w:hAnsi="Arial" w:cs="Arial"/>
        </w:rPr>
        <w:t>Mitogen-activated protein kinase</w:t>
      </w:r>
      <w:r w:rsidR="00166D88"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MAPK</w:t>
      </w:r>
      <w:r w:rsidR="00166D88" w:rsidRPr="007D6BFD">
        <w:rPr>
          <w:rFonts w:ascii="Arial" w:eastAsia="Times New Roman" w:hAnsi="Arial" w:cs="Arial"/>
          <w:sz w:val="20"/>
          <w:szCs w:val="20"/>
          <w:lang w:eastAsia="en-IN"/>
        </w:rPr>
        <w:t xml:space="preserve">) </w:t>
      </w:r>
      <w:proofErr w:type="spellStart"/>
      <w:r w:rsidRPr="007D6BFD">
        <w:rPr>
          <w:rFonts w:ascii="Arial" w:eastAsia="Times New Roman" w:hAnsi="Arial" w:cs="Arial"/>
          <w:sz w:val="20"/>
          <w:szCs w:val="20"/>
          <w:lang w:eastAsia="en-IN"/>
        </w:rPr>
        <w:t>signaling</w:t>
      </w:r>
      <w:proofErr w:type="spellEnd"/>
      <w:r w:rsidRPr="007D6BFD">
        <w:rPr>
          <w:rFonts w:ascii="Arial" w:eastAsia="Times New Roman" w:hAnsi="Arial" w:cs="Arial"/>
          <w:sz w:val="20"/>
          <w:szCs w:val="20"/>
          <w:lang w:eastAsia="en-IN"/>
        </w:rPr>
        <w:t xml:space="preserve"> pathways, resulting in dampened circadian amplitude [15]. This suggests that the periodontal pocket may act as a chronic "cytokine pump," sending signals that desynchronize peripheral clocks in distant organs.</w:t>
      </w:r>
    </w:p>
    <w:p w14:paraId="11BEEF24" w14:textId="77777777" w:rsidR="00E34AE5" w:rsidRPr="007D6BFD" w:rsidRDefault="00E34AE5"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lastRenderedPageBreak/>
        <w:t xml:space="preserve">This narrative review addresses this knowledge gap by proposing a systematic biological framework </w:t>
      </w:r>
      <w:proofErr w:type="spellStart"/>
      <w:r w:rsidRPr="007D6BFD">
        <w:rPr>
          <w:rFonts w:ascii="Arial" w:eastAsia="Times New Roman" w:hAnsi="Arial" w:cs="Arial"/>
          <w:sz w:val="20"/>
          <w:szCs w:val="20"/>
          <w:lang w:eastAsia="en-IN"/>
        </w:rPr>
        <w:t>centered</w:t>
      </w:r>
      <w:proofErr w:type="spellEnd"/>
      <w:r w:rsidRPr="007D6BFD">
        <w:rPr>
          <w:rFonts w:ascii="Arial" w:eastAsia="Times New Roman" w:hAnsi="Arial" w:cs="Arial"/>
          <w:sz w:val="20"/>
          <w:szCs w:val="20"/>
          <w:lang w:eastAsia="en-IN"/>
        </w:rPr>
        <w:t xml:space="preserve"> on the </w:t>
      </w:r>
      <w:r w:rsidRPr="00747CE7">
        <w:rPr>
          <w:rFonts w:ascii="Arial" w:eastAsia="Times New Roman" w:hAnsi="Arial" w:cs="Arial"/>
          <w:bCs/>
          <w:sz w:val="20"/>
          <w:szCs w:val="20"/>
          <w:lang w:eastAsia="en-IN"/>
        </w:rPr>
        <w:t>Neuro-Immune-Metabolic (NIM) axis</w:t>
      </w:r>
      <w:r w:rsidRPr="00747CE7">
        <w:rPr>
          <w:rFonts w:ascii="Arial" w:eastAsia="Times New Roman" w:hAnsi="Arial" w:cs="Arial"/>
          <w:sz w:val="20"/>
          <w:szCs w:val="20"/>
          <w:lang w:eastAsia="en-IN"/>
        </w:rPr>
        <w:t>.</w:t>
      </w:r>
      <w:r w:rsidRPr="007D6BFD">
        <w:rPr>
          <w:rFonts w:ascii="Arial" w:eastAsia="Times New Roman" w:hAnsi="Arial" w:cs="Arial"/>
          <w:sz w:val="20"/>
          <w:szCs w:val="20"/>
          <w:lang w:eastAsia="en-IN"/>
        </w:rPr>
        <w:t xml:space="preserve"> Our central hypothesis is that periodontitis and circadian rhythm disruption are bidirectionally interconnected through shared inflammatory and neuroendocrine pathways, specifically involving the hypothalamic-pituitary-adrenal (HPA) axis and the rhythmic secretion of cortisol and melatonin [16]. We aim to synthesize the current evidence to demonstrate how chronic periodontal inflammation disrupts circadian homeostasis and, conversely, how circadian misalignment exacerbates periodontal tissue destruction, thereby opening new avenues for diagnostic and chronotherapeutic strategies.</w:t>
      </w:r>
    </w:p>
    <w:p w14:paraId="64E8F1EC" w14:textId="77777777" w:rsidR="00CD3AED" w:rsidRPr="007D6BFD" w:rsidRDefault="00CD3AED"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 xml:space="preserve">2. METHODOLOGY </w:t>
      </w:r>
    </w:p>
    <w:p w14:paraId="5795CD44" w14:textId="77777777" w:rsidR="00CD3AED" w:rsidRPr="007D6BFD" w:rsidRDefault="00CD3AED" w:rsidP="007D6BFD">
      <w:pPr>
        <w:pStyle w:val="Heading3"/>
        <w:spacing w:line="276" w:lineRule="auto"/>
        <w:rPr>
          <w:rFonts w:ascii="Arial" w:hAnsi="Arial" w:cs="Arial"/>
          <w:b/>
          <w:color w:val="auto"/>
          <w:sz w:val="22"/>
          <w:szCs w:val="22"/>
        </w:rPr>
      </w:pPr>
    </w:p>
    <w:p w14:paraId="28F07E13" w14:textId="77777777" w:rsidR="001D4727" w:rsidRPr="007D6BFD" w:rsidRDefault="001D4727"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2.1 Study Design</w:t>
      </w:r>
    </w:p>
    <w:p w14:paraId="2D21669C"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15"/>
          <w:rFonts w:ascii="Arial" w:eastAsiaTheme="majorEastAsia" w:hAnsi="Arial" w:cs="Arial"/>
          <w:sz w:val="20"/>
          <w:szCs w:val="20"/>
        </w:rPr>
        <w:t xml:space="preserve">This article was conducted as a </w:t>
      </w:r>
      <w:r w:rsidRPr="007D6BFD">
        <w:rPr>
          <w:rStyle w:val="citation-115"/>
          <w:rFonts w:ascii="Arial" w:eastAsiaTheme="majorEastAsia" w:hAnsi="Arial" w:cs="Arial"/>
          <w:bCs/>
          <w:sz w:val="20"/>
          <w:szCs w:val="20"/>
        </w:rPr>
        <w:t>Narrative Review</w:t>
      </w:r>
      <w:r w:rsidRPr="007D6BFD">
        <w:rPr>
          <w:rFonts w:ascii="Arial" w:hAnsi="Arial" w:cs="Arial"/>
          <w:sz w:val="20"/>
          <w:szCs w:val="20"/>
        </w:rPr>
        <w:t xml:space="preserve"> to synthesize and critically </w:t>
      </w:r>
      <w:proofErr w:type="spellStart"/>
      <w:r w:rsidRPr="007D6BFD">
        <w:rPr>
          <w:rFonts w:ascii="Arial" w:hAnsi="Arial" w:cs="Arial"/>
          <w:sz w:val="20"/>
          <w:szCs w:val="20"/>
        </w:rPr>
        <w:t>analyze</w:t>
      </w:r>
      <w:proofErr w:type="spellEnd"/>
      <w:r w:rsidRPr="007D6BFD">
        <w:rPr>
          <w:rFonts w:ascii="Arial" w:hAnsi="Arial" w:cs="Arial"/>
          <w:sz w:val="20"/>
          <w:szCs w:val="20"/>
        </w:rPr>
        <w:t xml:space="preserve"> existing literature concerning the intersection of periodontitis, systemic inflammation, and circadian rhythm biology. </w:t>
      </w:r>
      <w:r w:rsidRPr="007D6BFD">
        <w:rPr>
          <w:rStyle w:val="citation-114"/>
          <w:rFonts w:ascii="Arial" w:hAnsi="Arial" w:cs="Arial"/>
          <w:sz w:val="20"/>
          <w:szCs w:val="20"/>
        </w:rPr>
        <w:t xml:space="preserve">The objective was to propose a novel, mechanistic, and bidirectional </w:t>
      </w:r>
      <w:r w:rsidR="00747CE7">
        <w:rPr>
          <w:rStyle w:val="citation-114"/>
          <w:rFonts w:ascii="Arial" w:hAnsi="Arial" w:cs="Arial"/>
          <w:bCs/>
          <w:sz w:val="20"/>
          <w:szCs w:val="20"/>
        </w:rPr>
        <w:t>NIM</w:t>
      </w:r>
      <w:r w:rsidRPr="007D6BFD">
        <w:rPr>
          <w:rStyle w:val="citation-114"/>
          <w:rFonts w:ascii="Arial" w:hAnsi="Arial" w:cs="Arial"/>
          <w:bCs/>
          <w:sz w:val="20"/>
          <w:szCs w:val="20"/>
        </w:rPr>
        <w:t xml:space="preserve"> Axis</w:t>
      </w:r>
      <w:r w:rsidRPr="007D6BFD">
        <w:rPr>
          <w:rStyle w:val="citation-114"/>
          <w:rFonts w:ascii="Arial" w:hAnsi="Arial" w:cs="Arial"/>
          <w:sz w:val="20"/>
          <w:szCs w:val="20"/>
        </w:rPr>
        <w:t xml:space="preserve"> </w:t>
      </w:r>
      <w:r w:rsidRPr="007D6BFD">
        <w:rPr>
          <w:rFonts w:ascii="Arial" w:hAnsi="Arial" w:cs="Arial"/>
          <w:sz w:val="20"/>
          <w:szCs w:val="20"/>
        </w:rPr>
        <w:t>linking these two major public health concerns.</w:t>
      </w:r>
    </w:p>
    <w:p w14:paraId="756A41FD" w14:textId="77777777" w:rsidR="00E32DF5" w:rsidRPr="007D6BFD" w:rsidRDefault="001D4727"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2.2 Data Sources and Search Strategy</w:t>
      </w:r>
    </w:p>
    <w:p w14:paraId="08728684" w14:textId="77777777" w:rsidR="00CD3AED" w:rsidRPr="007D6BFD" w:rsidRDefault="00CD3AED" w:rsidP="007D6BFD">
      <w:pPr>
        <w:pStyle w:val="Heading3"/>
        <w:spacing w:line="276" w:lineRule="auto"/>
        <w:jc w:val="both"/>
        <w:rPr>
          <w:rFonts w:ascii="Arial" w:hAnsi="Arial" w:cs="Arial"/>
          <w:color w:val="auto"/>
          <w:sz w:val="20"/>
          <w:szCs w:val="20"/>
          <w:bdr w:val="none" w:sz="0" w:space="0" w:color="auto" w:frame="1"/>
        </w:rPr>
      </w:pPr>
      <w:r w:rsidRPr="007D6BFD">
        <w:rPr>
          <w:rStyle w:val="citation-394"/>
          <w:rFonts w:ascii="Arial" w:hAnsi="Arial" w:cs="Arial"/>
          <w:color w:val="auto"/>
          <w:sz w:val="20"/>
          <w:szCs w:val="20"/>
          <w:bdr w:val="none" w:sz="0" w:space="0" w:color="auto" w:frame="1"/>
        </w:rPr>
        <w:t xml:space="preserve">A comprehensive literature search was performed across major electronic databases, specifically </w:t>
      </w:r>
      <w:r w:rsidRPr="007D6BFD">
        <w:rPr>
          <w:rStyle w:val="citation-394"/>
          <w:rFonts w:ascii="Arial" w:hAnsi="Arial" w:cs="Arial"/>
          <w:bCs/>
          <w:color w:val="auto"/>
          <w:sz w:val="20"/>
          <w:szCs w:val="20"/>
          <w:bdr w:val="none" w:sz="0" w:space="0" w:color="auto" w:frame="1"/>
        </w:rPr>
        <w:t>PubMed, Scopus, and Google Scholar</w:t>
      </w:r>
      <w:r w:rsidRPr="007D6BFD">
        <w:rPr>
          <w:rStyle w:val="citation-393"/>
          <w:rFonts w:ascii="Arial" w:hAnsi="Arial" w:cs="Arial"/>
          <w:color w:val="auto"/>
          <w:sz w:val="20"/>
          <w:szCs w:val="20"/>
          <w:bdr w:val="none" w:sz="0" w:space="0" w:color="auto" w:frame="1"/>
        </w:rPr>
        <w:t>, to identify relevant studies published up to the time of review</w:t>
      </w:r>
      <w:r w:rsidRPr="007D6BFD">
        <w:rPr>
          <w:rFonts w:ascii="Arial" w:hAnsi="Arial" w:cs="Arial"/>
          <w:color w:val="auto"/>
          <w:sz w:val="20"/>
          <w:szCs w:val="20"/>
          <w:bdr w:val="none" w:sz="0" w:space="0" w:color="auto" w:frame="1"/>
        </w:rPr>
        <w:t xml:space="preserve">. </w:t>
      </w:r>
      <w:r w:rsidRPr="007D6BFD">
        <w:rPr>
          <w:rStyle w:val="citation-392"/>
          <w:rFonts w:ascii="Arial" w:hAnsi="Arial" w:cs="Arial"/>
          <w:color w:val="auto"/>
          <w:sz w:val="20"/>
          <w:szCs w:val="20"/>
          <w:bdr w:val="none" w:sz="0" w:space="0" w:color="auto" w:frame="1"/>
        </w:rPr>
        <w:t>The search was strategically focused on combining key terms related to the two primary disease states periodontitis and circadian rhythm disruption and the proposed mechanistic links</w:t>
      </w:r>
      <w:r w:rsidRPr="007D6BFD">
        <w:rPr>
          <w:rFonts w:ascii="Arial" w:hAnsi="Arial" w:cs="Arial"/>
          <w:color w:val="auto"/>
          <w:sz w:val="20"/>
          <w:szCs w:val="20"/>
          <w:bdr w:val="none" w:sz="0" w:space="0" w:color="auto" w:frame="1"/>
        </w:rPr>
        <w:t xml:space="preserve">. </w:t>
      </w:r>
      <w:r w:rsidRPr="007D6BFD">
        <w:rPr>
          <w:rStyle w:val="citation-391"/>
          <w:rFonts w:ascii="Arial" w:hAnsi="Arial" w:cs="Arial"/>
          <w:color w:val="auto"/>
          <w:sz w:val="20"/>
          <w:szCs w:val="20"/>
          <w:bdr w:val="none" w:sz="0" w:space="0" w:color="auto" w:frame="1"/>
        </w:rPr>
        <w:t xml:space="preserve">The search utilized terms categorized into three groups including, </w:t>
      </w:r>
      <w:r w:rsidRPr="007D6BFD">
        <w:rPr>
          <w:rStyle w:val="citation-391"/>
          <w:rFonts w:ascii="Arial" w:hAnsi="Arial" w:cs="Arial"/>
          <w:bCs/>
          <w:color w:val="auto"/>
          <w:sz w:val="20"/>
          <w:szCs w:val="20"/>
          <w:bdr w:val="none" w:sz="0" w:space="0" w:color="auto" w:frame="1"/>
        </w:rPr>
        <w:t>Periodontitis terms</w:t>
      </w:r>
      <w:r w:rsidRPr="007D6BFD">
        <w:rPr>
          <w:rStyle w:val="citation-391"/>
          <w:rFonts w:ascii="Arial" w:hAnsi="Arial" w:cs="Arial"/>
          <w:color w:val="auto"/>
          <w:sz w:val="20"/>
          <w:szCs w:val="20"/>
          <w:bdr w:val="none" w:sz="0" w:space="0" w:color="auto" w:frame="1"/>
        </w:rPr>
        <w:t xml:space="preserve"> ("Periodontitis," "Periodontal disease," "Alveolar bone loss," and "Gingival inflammation")</w:t>
      </w:r>
      <w:r w:rsidRPr="007D6BFD">
        <w:rPr>
          <w:rFonts w:ascii="Arial" w:hAnsi="Arial" w:cs="Arial"/>
          <w:color w:val="auto"/>
          <w:sz w:val="20"/>
          <w:szCs w:val="20"/>
          <w:bdr w:val="none" w:sz="0" w:space="0" w:color="auto" w:frame="1"/>
        </w:rPr>
        <w:t xml:space="preserve">; </w:t>
      </w:r>
      <w:r w:rsidRPr="007D6BFD">
        <w:rPr>
          <w:rStyle w:val="citation-390"/>
          <w:rFonts w:ascii="Arial" w:hAnsi="Arial" w:cs="Arial"/>
          <w:bCs/>
          <w:color w:val="auto"/>
          <w:sz w:val="20"/>
          <w:szCs w:val="20"/>
          <w:bdr w:val="none" w:sz="0" w:space="0" w:color="auto" w:frame="1"/>
        </w:rPr>
        <w:t>Circadian Rhythm terms</w:t>
      </w:r>
      <w:r w:rsidRPr="007D6BFD">
        <w:rPr>
          <w:rStyle w:val="citation-390"/>
          <w:rFonts w:ascii="Arial" w:hAnsi="Arial" w:cs="Arial"/>
          <w:color w:val="auto"/>
          <w:sz w:val="20"/>
          <w:szCs w:val="20"/>
          <w:bdr w:val="none" w:sz="0" w:space="0" w:color="auto" w:frame="1"/>
        </w:rPr>
        <w:t xml:space="preserve"> ("Circadian rhythm," "Circadian disruption" (CRD), "Biological clock," and "Chronobiolog</w:t>
      </w:r>
      <w:r w:rsidR="001662F3" w:rsidRPr="007D6BFD">
        <w:rPr>
          <w:rStyle w:val="citation-390"/>
          <w:rFonts w:ascii="Arial" w:hAnsi="Arial" w:cs="Arial"/>
          <w:color w:val="auto"/>
          <w:sz w:val="20"/>
          <w:szCs w:val="20"/>
          <w:bdr w:val="none" w:sz="0" w:space="0" w:color="auto" w:frame="1"/>
        </w:rPr>
        <w:t>y")</w:t>
      </w:r>
      <w:r w:rsidRPr="007D6BFD">
        <w:rPr>
          <w:rStyle w:val="citation-389"/>
          <w:rFonts w:ascii="Arial" w:hAnsi="Arial" w:cs="Arial"/>
          <w:color w:val="auto"/>
          <w:sz w:val="20"/>
          <w:szCs w:val="20"/>
          <w:bdr w:val="none" w:sz="0" w:space="0" w:color="auto" w:frame="1"/>
        </w:rPr>
        <w:t xml:space="preserve">; and </w:t>
      </w:r>
      <w:r w:rsidRPr="007D6BFD">
        <w:rPr>
          <w:rStyle w:val="citation-389"/>
          <w:rFonts w:ascii="Arial" w:hAnsi="Arial" w:cs="Arial"/>
          <w:bCs/>
          <w:color w:val="auto"/>
          <w:sz w:val="20"/>
          <w:szCs w:val="20"/>
          <w:bdr w:val="none" w:sz="0" w:space="0" w:color="auto" w:frame="1"/>
        </w:rPr>
        <w:t>Mechanistic/Marker terms</w:t>
      </w:r>
      <w:r w:rsidRPr="007D6BFD">
        <w:rPr>
          <w:rStyle w:val="citation-389"/>
          <w:rFonts w:ascii="Arial" w:hAnsi="Arial" w:cs="Arial"/>
          <w:color w:val="auto"/>
          <w:sz w:val="20"/>
          <w:szCs w:val="20"/>
          <w:bdr w:val="none" w:sz="0" w:space="0" w:color="auto" w:frame="1"/>
        </w:rPr>
        <w:t xml:space="preserve"> ("Inflammatory markers," "Interleukin-6" (</w:t>
      </w:r>
      <w:r w:rsidRPr="007D6BFD">
        <w:rPr>
          <w:rStyle w:val="math-inline"/>
          <w:rFonts w:ascii="Arial" w:hAnsi="Arial" w:cs="Arial"/>
          <w:color w:val="auto"/>
          <w:sz w:val="20"/>
          <w:szCs w:val="20"/>
          <w:bdr w:val="none" w:sz="0" w:space="0" w:color="auto" w:frame="1"/>
        </w:rPr>
        <w:t>IL-6</w:t>
      </w:r>
      <w:r w:rsidRPr="007D6BFD">
        <w:rPr>
          <w:rStyle w:val="citation-389"/>
          <w:rFonts w:ascii="Arial" w:hAnsi="Arial" w:cs="Arial"/>
          <w:color w:val="auto"/>
          <w:sz w:val="20"/>
          <w:szCs w:val="20"/>
          <w:bdr w:val="none" w:sz="0" w:space="0" w:color="auto" w:frame="1"/>
        </w:rPr>
        <w:t>), "</w:t>
      </w:r>
      <w:proofErr w:type="spellStart"/>
      <w:r w:rsidRPr="007D6BFD">
        <w:rPr>
          <w:rStyle w:val="citation-389"/>
          <w:rFonts w:ascii="Arial" w:hAnsi="Arial" w:cs="Arial"/>
          <w:color w:val="auto"/>
          <w:sz w:val="20"/>
          <w:szCs w:val="20"/>
          <w:bdr w:val="none" w:sz="0" w:space="0" w:color="auto" w:frame="1"/>
        </w:rPr>
        <w:t>Tumor</w:t>
      </w:r>
      <w:proofErr w:type="spellEnd"/>
      <w:r w:rsidRPr="007D6BFD">
        <w:rPr>
          <w:rStyle w:val="citation-389"/>
          <w:rFonts w:ascii="Arial" w:hAnsi="Arial" w:cs="Arial"/>
          <w:color w:val="auto"/>
          <w:sz w:val="20"/>
          <w:szCs w:val="20"/>
          <w:bdr w:val="none" w:sz="0" w:space="0" w:color="auto" w:frame="1"/>
        </w:rPr>
        <w:t xml:space="preserve"> necrosis factor-alpha" (</w:t>
      </w:r>
      <w:r w:rsidR="00E32DF5" w:rsidRPr="007D6BFD">
        <w:rPr>
          <w:rFonts w:ascii="Arial" w:hAnsi="Arial" w:cs="Arial"/>
          <w:color w:val="auto"/>
          <w:sz w:val="20"/>
          <w:szCs w:val="20"/>
        </w:rPr>
        <w:t>TNF-α</w:t>
      </w:r>
      <w:r w:rsidRPr="007D6BFD">
        <w:rPr>
          <w:rStyle w:val="citation-389"/>
          <w:rFonts w:ascii="Arial" w:hAnsi="Arial" w:cs="Arial"/>
          <w:color w:val="auto"/>
          <w:sz w:val="20"/>
          <w:szCs w:val="20"/>
          <w:bdr w:val="none" w:sz="0" w:space="0" w:color="auto" w:frame="1"/>
        </w:rPr>
        <w:t xml:space="preserve">), "Prostaglandin E2 </w:t>
      </w:r>
      <w:r w:rsidRPr="007D6BFD">
        <w:rPr>
          <w:rStyle w:val="math-inline"/>
          <w:rFonts w:ascii="Arial" w:hAnsi="Arial" w:cs="Arial"/>
          <w:color w:val="auto"/>
          <w:sz w:val="20"/>
          <w:szCs w:val="20"/>
          <w:bdr w:val="none" w:sz="0" w:space="0" w:color="auto" w:frame="1"/>
        </w:rPr>
        <w:t>(PGE2</w:t>
      </w:r>
      <w:r w:rsidRPr="007D6BFD">
        <w:rPr>
          <w:rStyle w:val="citation-389"/>
          <w:rFonts w:ascii="Arial" w:hAnsi="Arial" w:cs="Arial"/>
          <w:color w:val="auto"/>
          <w:sz w:val="20"/>
          <w:szCs w:val="20"/>
          <w:bdr w:val="none" w:sz="0" w:space="0" w:color="auto" w:frame="1"/>
        </w:rPr>
        <w:t>), "</w:t>
      </w:r>
      <w:r w:rsidRPr="007D6BFD">
        <w:rPr>
          <w:rStyle w:val="math-inline"/>
          <w:rFonts w:ascii="Arial" w:hAnsi="Arial" w:cs="Arial"/>
          <w:color w:val="auto"/>
          <w:sz w:val="20"/>
          <w:szCs w:val="20"/>
          <w:bdr w:val="none" w:sz="0" w:space="0" w:color="auto" w:frame="1"/>
        </w:rPr>
        <w:t>RANKL/OPG</w:t>
      </w:r>
      <w:r w:rsidRPr="007D6BFD">
        <w:rPr>
          <w:rStyle w:val="citation-389"/>
          <w:rFonts w:ascii="Arial" w:hAnsi="Arial" w:cs="Arial"/>
          <w:color w:val="auto"/>
          <w:sz w:val="20"/>
          <w:szCs w:val="20"/>
          <w:bdr w:val="none" w:sz="0" w:space="0" w:color="auto" w:frame="1"/>
        </w:rPr>
        <w:t>," "</w:t>
      </w:r>
      <w:r w:rsidRPr="007D6BFD">
        <w:rPr>
          <w:rStyle w:val="math-inline"/>
          <w:rFonts w:ascii="Arial" w:hAnsi="Arial" w:cs="Arial"/>
          <w:color w:val="auto"/>
          <w:sz w:val="20"/>
          <w:szCs w:val="20"/>
          <w:bdr w:val="none" w:sz="0" w:space="0" w:color="auto" w:frame="1"/>
        </w:rPr>
        <w:t xml:space="preserve">HPA </w:t>
      </w:r>
      <w:r w:rsidRPr="007D6BFD">
        <w:rPr>
          <w:rStyle w:val="citation-389"/>
          <w:rFonts w:ascii="Arial" w:hAnsi="Arial" w:cs="Arial"/>
          <w:color w:val="auto"/>
          <w:sz w:val="20"/>
          <w:szCs w:val="20"/>
          <w:bdr w:val="none" w:sz="0" w:space="0" w:color="auto" w:frame="1"/>
        </w:rPr>
        <w:t>axis," and "Clock genes" (</w:t>
      </w:r>
      <w:r w:rsidR="00E32DF5" w:rsidRPr="007D6BFD">
        <w:rPr>
          <w:rStyle w:val="math-inline"/>
          <w:rFonts w:ascii="Arial" w:hAnsi="Arial" w:cs="Arial"/>
          <w:color w:val="auto"/>
          <w:sz w:val="20"/>
          <w:szCs w:val="20"/>
          <w:bdr w:val="none" w:sz="0" w:space="0" w:color="auto" w:frame="1"/>
        </w:rPr>
        <w:t>BMAL1, PER</w:t>
      </w:r>
      <w:r w:rsidR="00E32DF5" w:rsidRPr="007D6BFD">
        <w:rPr>
          <w:rStyle w:val="citation-389"/>
          <w:rFonts w:ascii="Arial" w:hAnsi="Arial" w:cs="Arial"/>
          <w:color w:val="auto"/>
          <w:sz w:val="20"/>
          <w:szCs w:val="20"/>
          <w:bdr w:val="none" w:sz="0" w:space="0" w:color="auto" w:frame="1"/>
        </w:rPr>
        <w:t>)</w:t>
      </w:r>
      <w:r w:rsidRPr="007D6BFD">
        <w:rPr>
          <w:rFonts w:ascii="Arial" w:hAnsi="Arial" w:cs="Arial"/>
          <w:color w:val="auto"/>
          <w:sz w:val="20"/>
          <w:szCs w:val="20"/>
          <w:bdr w:val="none" w:sz="0" w:space="0" w:color="auto" w:frame="1"/>
        </w:rPr>
        <w:t xml:space="preserve">. </w:t>
      </w:r>
      <w:r w:rsidRPr="007D6BFD">
        <w:rPr>
          <w:rStyle w:val="citation-388"/>
          <w:rFonts w:ascii="Arial" w:hAnsi="Arial" w:cs="Arial"/>
          <w:color w:val="auto"/>
          <w:sz w:val="20"/>
          <w:szCs w:val="20"/>
          <w:bdr w:val="none" w:sz="0" w:space="0" w:color="auto" w:frame="1"/>
        </w:rPr>
        <w:t xml:space="preserve">Search queries utilized </w:t>
      </w:r>
      <w:r w:rsidRPr="007D6BFD">
        <w:rPr>
          <w:rStyle w:val="citation-388"/>
          <w:rFonts w:ascii="Arial" w:hAnsi="Arial" w:cs="Arial"/>
          <w:bCs/>
          <w:color w:val="auto"/>
          <w:sz w:val="20"/>
          <w:szCs w:val="20"/>
          <w:bdr w:val="none" w:sz="0" w:space="0" w:color="auto" w:frame="1"/>
        </w:rPr>
        <w:t>Boolean operators (AND, OR)</w:t>
      </w:r>
      <w:r w:rsidRPr="007D6BFD">
        <w:rPr>
          <w:rStyle w:val="citation-388"/>
          <w:rFonts w:ascii="Arial" w:hAnsi="Arial" w:cs="Arial"/>
          <w:color w:val="auto"/>
          <w:sz w:val="20"/>
          <w:szCs w:val="20"/>
          <w:bdr w:val="none" w:sz="0" w:space="0" w:color="auto" w:frame="1"/>
        </w:rPr>
        <w:t xml:space="preserve"> to </w:t>
      </w:r>
      <w:r w:rsidR="00E32DF5" w:rsidRPr="007D6BFD">
        <w:rPr>
          <w:rStyle w:val="citation-388"/>
          <w:rFonts w:ascii="Arial" w:hAnsi="Arial" w:cs="Arial"/>
          <w:color w:val="auto"/>
          <w:sz w:val="20"/>
          <w:szCs w:val="20"/>
          <w:bdr w:val="none" w:sz="0" w:space="0" w:color="auto" w:frame="1"/>
        </w:rPr>
        <w:t>effectively combine these terms</w:t>
      </w:r>
      <w:r w:rsidRPr="007D6BFD">
        <w:rPr>
          <w:rStyle w:val="citation-387"/>
          <w:rFonts w:ascii="Arial" w:hAnsi="Arial" w:cs="Arial"/>
          <w:color w:val="auto"/>
          <w:sz w:val="20"/>
          <w:szCs w:val="20"/>
          <w:bdr w:val="none" w:sz="0" w:space="0" w:color="auto" w:frame="1"/>
        </w:rPr>
        <w:t>, with examples including: ("Periodontitis" AND "Circadian rhythm") OR ("Inflammation" AND "Clock genes")</w:t>
      </w:r>
      <w:r w:rsidRPr="007D6BFD">
        <w:rPr>
          <w:rFonts w:ascii="Arial" w:hAnsi="Arial" w:cs="Arial"/>
          <w:color w:val="auto"/>
          <w:sz w:val="20"/>
          <w:szCs w:val="20"/>
          <w:bdr w:val="none" w:sz="0" w:space="0" w:color="auto" w:frame="1"/>
        </w:rPr>
        <w:t>.</w:t>
      </w:r>
    </w:p>
    <w:p w14:paraId="2C9F3651" w14:textId="77777777" w:rsidR="00E32DF5" w:rsidRPr="007D6BFD" w:rsidRDefault="00E32DF5" w:rsidP="007D6BFD">
      <w:pPr>
        <w:spacing w:line="276" w:lineRule="auto"/>
        <w:jc w:val="both"/>
        <w:rPr>
          <w:sz w:val="20"/>
          <w:szCs w:val="20"/>
        </w:rPr>
      </w:pPr>
    </w:p>
    <w:p w14:paraId="72F39C63" w14:textId="77777777" w:rsidR="001D4727" w:rsidRPr="007D6BFD" w:rsidRDefault="00726D69"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 xml:space="preserve">2.3 </w:t>
      </w:r>
      <w:r w:rsidR="001D4727" w:rsidRPr="007D6BFD">
        <w:rPr>
          <w:rFonts w:ascii="Arial" w:hAnsi="Arial" w:cs="Arial"/>
          <w:b/>
          <w:color w:val="auto"/>
          <w:sz w:val="22"/>
          <w:szCs w:val="22"/>
        </w:rPr>
        <w:t>Study Selection Criteria</w:t>
      </w:r>
    </w:p>
    <w:p w14:paraId="06C36F70" w14:textId="77777777" w:rsidR="001D4727" w:rsidRPr="007D6BFD" w:rsidRDefault="001D4727" w:rsidP="007D6BFD">
      <w:pPr>
        <w:pStyle w:val="NormalWeb"/>
        <w:spacing w:line="276" w:lineRule="auto"/>
        <w:jc w:val="both"/>
        <w:rPr>
          <w:rFonts w:ascii="Arial" w:hAnsi="Arial" w:cs="Arial"/>
          <w:sz w:val="20"/>
          <w:szCs w:val="20"/>
        </w:rPr>
      </w:pPr>
      <w:r w:rsidRPr="007D6BFD">
        <w:rPr>
          <w:rFonts w:ascii="Arial" w:hAnsi="Arial" w:cs="Arial"/>
          <w:sz w:val="20"/>
          <w:szCs w:val="20"/>
        </w:rPr>
        <w:t>The selection proc</w:t>
      </w:r>
      <w:r w:rsidR="001E410A" w:rsidRPr="007D6BFD">
        <w:rPr>
          <w:rFonts w:ascii="Arial" w:hAnsi="Arial" w:cs="Arial"/>
          <w:sz w:val="20"/>
          <w:szCs w:val="20"/>
        </w:rPr>
        <w:t xml:space="preserve">ess focused on identifying peer </w:t>
      </w:r>
      <w:r w:rsidRPr="007D6BFD">
        <w:rPr>
          <w:rFonts w:ascii="Arial" w:hAnsi="Arial" w:cs="Arial"/>
          <w:sz w:val="20"/>
          <w:szCs w:val="20"/>
        </w:rPr>
        <w:t>reviewed medical and biological research articles. Eligibility criteria for inclusion were:</w:t>
      </w:r>
    </w:p>
    <w:p w14:paraId="1296DDB4" w14:textId="77777777" w:rsidR="00726D69" w:rsidRPr="007D6BFD" w:rsidRDefault="00726D69" w:rsidP="007D6BFD">
      <w:pPr>
        <w:pStyle w:val="NormalWeb"/>
        <w:spacing w:line="276" w:lineRule="auto"/>
        <w:rPr>
          <w:rStyle w:val="citation-110"/>
          <w:rFonts w:ascii="Arial" w:hAnsi="Arial" w:cs="Arial"/>
          <w:b/>
          <w:bCs/>
          <w:sz w:val="22"/>
          <w:szCs w:val="22"/>
        </w:rPr>
      </w:pPr>
      <w:r w:rsidRPr="007D6BFD">
        <w:rPr>
          <w:rStyle w:val="citation-113"/>
          <w:rFonts w:ascii="Arial" w:hAnsi="Arial" w:cs="Arial"/>
          <w:b/>
          <w:bCs/>
          <w:sz w:val="22"/>
          <w:szCs w:val="22"/>
        </w:rPr>
        <w:t xml:space="preserve">2.3.1 </w:t>
      </w:r>
      <w:r w:rsidRPr="007D6BFD">
        <w:rPr>
          <w:rStyle w:val="citation-110"/>
          <w:rFonts w:ascii="Arial" w:hAnsi="Arial" w:cs="Arial"/>
          <w:b/>
          <w:bCs/>
          <w:sz w:val="22"/>
          <w:szCs w:val="22"/>
        </w:rPr>
        <w:t>Type of Study</w:t>
      </w:r>
    </w:p>
    <w:p w14:paraId="40C3F6D7"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10"/>
          <w:rFonts w:ascii="Arial" w:hAnsi="Arial" w:cs="Arial"/>
          <w:sz w:val="20"/>
          <w:szCs w:val="20"/>
        </w:rPr>
        <w:t>Original research articles, systematic reviews, and meta-analyses</w:t>
      </w:r>
      <w:r w:rsidRPr="007D6BFD">
        <w:rPr>
          <w:rFonts w:ascii="Arial" w:hAnsi="Arial" w:cs="Arial"/>
          <w:sz w:val="20"/>
          <w:szCs w:val="20"/>
        </w:rPr>
        <w:t>.</w:t>
      </w:r>
    </w:p>
    <w:p w14:paraId="38E175A4" w14:textId="77777777" w:rsidR="00726D69" w:rsidRPr="007D6BFD" w:rsidRDefault="00726D69" w:rsidP="007D6BFD">
      <w:pPr>
        <w:pStyle w:val="NormalWeb"/>
        <w:spacing w:line="276" w:lineRule="auto"/>
        <w:rPr>
          <w:rStyle w:val="citation-109"/>
          <w:rFonts w:ascii="Arial" w:hAnsi="Arial" w:cs="Arial"/>
          <w:b/>
          <w:bCs/>
          <w:sz w:val="22"/>
          <w:szCs w:val="22"/>
        </w:rPr>
      </w:pPr>
      <w:r w:rsidRPr="007D6BFD">
        <w:rPr>
          <w:rStyle w:val="citation-113"/>
          <w:rFonts w:ascii="Arial" w:hAnsi="Arial" w:cs="Arial"/>
          <w:b/>
          <w:bCs/>
          <w:sz w:val="22"/>
          <w:szCs w:val="22"/>
        </w:rPr>
        <w:t xml:space="preserve">2.3.2 </w:t>
      </w:r>
      <w:r w:rsidRPr="007D6BFD">
        <w:rPr>
          <w:rStyle w:val="citation-109"/>
          <w:rFonts w:ascii="Arial" w:hAnsi="Arial" w:cs="Arial"/>
          <w:b/>
          <w:bCs/>
          <w:sz w:val="22"/>
          <w:szCs w:val="22"/>
        </w:rPr>
        <w:t>Relevance</w:t>
      </w:r>
    </w:p>
    <w:p w14:paraId="3C6ADEC2"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09"/>
          <w:rFonts w:ascii="Arial" w:hAnsi="Arial" w:cs="Arial"/>
          <w:sz w:val="20"/>
          <w:szCs w:val="20"/>
        </w:rPr>
        <w:t>Studies addressing the inflammatory pathways of periodontitis, the regulation of circadian rhy</w:t>
      </w:r>
      <w:r w:rsidR="001662F3" w:rsidRPr="007D6BFD">
        <w:rPr>
          <w:rStyle w:val="citation-109"/>
          <w:rFonts w:ascii="Arial" w:hAnsi="Arial" w:cs="Arial"/>
          <w:sz w:val="20"/>
          <w:szCs w:val="20"/>
        </w:rPr>
        <w:t xml:space="preserve">thms, or </w:t>
      </w:r>
      <w:r w:rsidRPr="007D6BFD">
        <w:rPr>
          <w:rStyle w:val="citation-109"/>
          <w:rFonts w:ascii="Arial" w:hAnsi="Arial" w:cs="Arial"/>
          <w:sz w:val="20"/>
          <w:szCs w:val="20"/>
        </w:rPr>
        <w:t>specifically, the interaction between immune/inflammatory markers and chronobiology</w:t>
      </w:r>
      <w:r w:rsidRPr="007D6BFD">
        <w:rPr>
          <w:rFonts w:ascii="Arial" w:hAnsi="Arial" w:cs="Arial"/>
          <w:sz w:val="20"/>
          <w:szCs w:val="20"/>
        </w:rPr>
        <w:t>.</w:t>
      </w:r>
    </w:p>
    <w:p w14:paraId="6AF08B92" w14:textId="77777777" w:rsidR="00726D69" w:rsidRPr="007D6BFD" w:rsidRDefault="00726D69" w:rsidP="007D6BFD">
      <w:pPr>
        <w:pStyle w:val="NormalWeb"/>
        <w:spacing w:line="276" w:lineRule="auto"/>
        <w:rPr>
          <w:rStyle w:val="citation-108"/>
          <w:rFonts w:ascii="Arial" w:hAnsi="Arial" w:cs="Arial"/>
          <w:b/>
          <w:bCs/>
          <w:sz w:val="22"/>
          <w:szCs w:val="22"/>
        </w:rPr>
      </w:pPr>
      <w:r w:rsidRPr="007D6BFD">
        <w:rPr>
          <w:rStyle w:val="citation-113"/>
          <w:rFonts w:ascii="Arial" w:hAnsi="Arial" w:cs="Arial"/>
          <w:b/>
          <w:bCs/>
          <w:sz w:val="22"/>
          <w:szCs w:val="22"/>
        </w:rPr>
        <w:t xml:space="preserve">2.3.3 </w:t>
      </w:r>
      <w:r w:rsidRPr="007D6BFD">
        <w:rPr>
          <w:rStyle w:val="citation-108"/>
          <w:rFonts w:ascii="Arial" w:hAnsi="Arial" w:cs="Arial"/>
          <w:b/>
          <w:bCs/>
          <w:sz w:val="22"/>
          <w:szCs w:val="22"/>
        </w:rPr>
        <w:t>Focus</w:t>
      </w:r>
    </w:p>
    <w:p w14:paraId="29274ABD"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08"/>
          <w:rFonts w:ascii="Arial" w:hAnsi="Arial" w:cs="Arial"/>
          <w:sz w:val="20"/>
          <w:szCs w:val="20"/>
        </w:rPr>
        <w:t>Mechanistic studies were prioritized, including those on cytokine rhythmicity</w:t>
      </w:r>
      <w:r w:rsidR="00EA2E52" w:rsidRPr="007D6BFD">
        <w:rPr>
          <w:rStyle w:val="citation-107"/>
          <w:rFonts w:ascii="Arial" w:hAnsi="Arial" w:cs="Arial"/>
          <w:sz w:val="20"/>
          <w:szCs w:val="20"/>
        </w:rPr>
        <w:t xml:space="preserve">, neuroendocrine signalling, </w:t>
      </w:r>
      <w:r w:rsidR="00EA2E52" w:rsidRPr="007D6BFD">
        <w:rPr>
          <w:rStyle w:val="citation-106"/>
          <w:rFonts w:ascii="Arial" w:hAnsi="Arial" w:cs="Arial"/>
          <w:sz w:val="20"/>
          <w:szCs w:val="20"/>
        </w:rPr>
        <w:t xml:space="preserve">immune cell trafficking </w:t>
      </w:r>
      <w:r w:rsidRPr="007D6BFD">
        <w:rPr>
          <w:rStyle w:val="citation-105"/>
          <w:rFonts w:ascii="Arial" w:hAnsi="Arial" w:cs="Arial"/>
          <w:sz w:val="20"/>
          <w:szCs w:val="20"/>
        </w:rPr>
        <w:t>and osteoimmunological regulation</w:t>
      </w:r>
      <w:r w:rsidRPr="007D6BFD">
        <w:rPr>
          <w:rFonts w:ascii="Arial" w:hAnsi="Arial" w:cs="Arial"/>
          <w:sz w:val="20"/>
          <w:szCs w:val="20"/>
        </w:rPr>
        <w:t>.</w:t>
      </w:r>
    </w:p>
    <w:p w14:paraId="636B014F" w14:textId="77777777" w:rsidR="001D4727" w:rsidRPr="007D6BFD" w:rsidRDefault="001D4727" w:rsidP="007D6BFD">
      <w:pPr>
        <w:pStyle w:val="NormalWeb"/>
        <w:spacing w:line="276" w:lineRule="auto"/>
        <w:jc w:val="both"/>
        <w:rPr>
          <w:rFonts w:ascii="Arial" w:hAnsi="Arial" w:cs="Arial"/>
          <w:sz w:val="20"/>
          <w:szCs w:val="20"/>
        </w:rPr>
      </w:pPr>
      <w:r w:rsidRPr="007D6BFD">
        <w:rPr>
          <w:rFonts w:ascii="Arial" w:hAnsi="Arial" w:cs="Arial"/>
          <w:sz w:val="20"/>
          <w:szCs w:val="20"/>
        </w:rPr>
        <w:lastRenderedPageBreak/>
        <w:t>Studies were excluded if they were non-peer-reviewed content or if they were purely clinical reports that did not address underlying biological mechanisms.</w:t>
      </w:r>
    </w:p>
    <w:p w14:paraId="1B1E2CF0" w14:textId="77777777" w:rsidR="001D4727" w:rsidRPr="007D6BFD" w:rsidRDefault="00726D69"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 xml:space="preserve">2.4 </w:t>
      </w:r>
      <w:r w:rsidR="001D4727" w:rsidRPr="007D6BFD">
        <w:rPr>
          <w:rFonts w:ascii="Arial" w:hAnsi="Arial" w:cs="Arial"/>
          <w:b/>
          <w:color w:val="auto"/>
          <w:sz w:val="22"/>
          <w:szCs w:val="22"/>
        </w:rPr>
        <w:t>Data Extraction and Synthesis</w:t>
      </w:r>
    </w:p>
    <w:p w14:paraId="6FAEA29D"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04"/>
          <w:rFonts w:ascii="Arial" w:hAnsi="Arial" w:cs="Arial"/>
          <w:sz w:val="20"/>
          <w:szCs w:val="20"/>
        </w:rPr>
        <w:t>The extracted data focused on identifying and detailing the molecular and physiological pathways shared by periodontitis and circadian biology</w:t>
      </w:r>
      <w:r w:rsidRPr="007D6BFD">
        <w:rPr>
          <w:rFonts w:ascii="Arial" w:hAnsi="Arial" w:cs="Arial"/>
          <w:sz w:val="20"/>
          <w:szCs w:val="20"/>
        </w:rPr>
        <w:t>. Information was categorized to build the proposed bidirectional model, focusing on the following mechanistic sections:</w:t>
      </w:r>
    </w:p>
    <w:p w14:paraId="19A1606A" w14:textId="77777777" w:rsidR="001E410A" w:rsidRPr="007D6BFD" w:rsidRDefault="001E410A" w:rsidP="007D6BFD">
      <w:pPr>
        <w:pStyle w:val="NormalWeb"/>
        <w:spacing w:line="276" w:lineRule="auto"/>
        <w:rPr>
          <w:rStyle w:val="citation-103"/>
          <w:rFonts w:ascii="Arial" w:hAnsi="Arial" w:cs="Arial"/>
          <w:b/>
          <w:bCs/>
          <w:sz w:val="20"/>
          <w:szCs w:val="20"/>
        </w:rPr>
      </w:pPr>
      <w:r w:rsidRPr="007D6BFD">
        <w:rPr>
          <w:rFonts w:ascii="Arial" w:hAnsi="Arial" w:cs="Arial"/>
          <w:b/>
          <w:sz w:val="20"/>
          <w:szCs w:val="20"/>
        </w:rPr>
        <w:t xml:space="preserve">2.4.1 </w:t>
      </w:r>
      <w:r w:rsidR="001D4727" w:rsidRPr="007D6BFD">
        <w:rPr>
          <w:rStyle w:val="citation-103"/>
          <w:rFonts w:ascii="Arial" w:hAnsi="Arial" w:cs="Arial"/>
          <w:b/>
          <w:bCs/>
          <w:sz w:val="20"/>
          <w:szCs w:val="20"/>
        </w:rPr>
        <w:t xml:space="preserve">Periodontitis </w:t>
      </w:r>
      <w:r w:rsidR="00D47F53" w:rsidRPr="007D6BFD">
        <w:rPr>
          <w:rStyle w:val="math-inline"/>
          <w:rFonts w:ascii="Arial" w:hAnsi="Arial" w:cs="Arial"/>
          <w:b/>
          <w:bCs/>
          <w:sz w:val="20"/>
          <w:szCs w:val="20"/>
        </w:rPr>
        <w:t>to</w:t>
      </w:r>
      <w:r w:rsidRPr="007D6BFD">
        <w:rPr>
          <w:rStyle w:val="citation-103"/>
          <w:rFonts w:ascii="Arial" w:hAnsi="Arial" w:cs="Arial"/>
          <w:b/>
          <w:bCs/>
          <w:sz w:val="20"/>
          <w:szCs w:val="20"/>
        </w:rPr>
        <w:t xml:space="preserve"> CRD</w:t>
      </w:r>
    </w:p>
    <w:p w14:paraId="5EFC9441"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03"/>
          <w:rFonts w:ascii="Arial" w:hAnsi="Arial" w:cs="Arial"/>
          <w:sz w:val="20"/>
          <w:szCs w:val="20"/>
        </w:rPr>
        <w:t xml:space="preserve">Systemic effects of periodontal inflammation, including the roles of cytokines IL-6, </w:t>
      </w:r>
      <w:r w:rsidR="00CC7FB3" w:rsidRPr="007D6BFD">
        <w:rPr>
          <w:rFonts w:ascii="Arial" w:hAnsi="Arial" w:cs="Arial"/>
          <w:sz w:val="20"/>
          <w:szCs w:val="20"/>
        </w:rPr>
        <w:t>TNF-α</w:t>
      </w:r>
      <w:r w:rsidR="00166D88" w:rsidRPr="007D6BFD">
        <w:rPr>
          <w:rStyle w:val="citation-103"/>
          <w:rFonts w:ascii="Arial" w:hAnsi="Arial" w:cs="Arial"/>
          <w:sz w:val="20"/>
          <w:szCs w:val="20"/>
        </w:rPr>
        <w:t xml:space="preserve"> </w:t>
      </w:r>
      <w:r w:rsidRPr="007D6BFD">
        <w:rPr>
          <w:rStyle w:val="citation-103"/>
          <w:rFonts w:ascii="Arial" w:hAnsi="Arial" w:cs="Arial"/>
          <w:sz w:val="20"/>
          <w:szCs w:val="20"/>
        </w:rPr>
        <w:t>on clock gene d</w:t>
      </w:r>
      <w:r w:rsidR="006823E3" w:rsidRPr="007D6BFD">
        <w:rPr>
          <w:rStyle w:val="citation-103"/>
          <w:rFonts w:ascii="Arial" w:hAnsi="Arial" w:cs="Arial"/>
          <w:sz w:val="20"/>
          <w:szCs w:val="20"/>
        </w:rPr>
        <w:t>ysregulation (BMAL1 repression)</w:t>
      </w:r>
      <w:r w:rsidRPr="007D6BFD">
        <w:rPr>
          <w:rStyle w:val="citation-102"/>
          <w:rFonts w:ascii="Arial" w:hAnsi="Arial" w:cs="Arial"/>
          <w:sz w:val="20"/>
          <w:szCs w:val="20"/>
        </w:rPr>
        <w:t>, prostaglandin e</w:t>
      </w:r>
      <w:r w:rsidR="00D559C1" w:rsidRPr="007D6BFD">
        <w:rPr>
          <w:rStyle w:val="citation-102"/>
          <w:rFonts w:ascii="Arial" w:hAnsi="Arial" w:cs="Arial"/>
          <w:sz w:val="20"/>
          <w:szCs w:val="20"/>
        </w:rPr>
        <w:t>ffects on HPA axis perturbation</w:t>
      </w:r>
      <w:r w:rsidRPr="007D6BFD">
        <w:rPr>
          <w:rStyle w:val="citation-101"/>
          <w:rFonts w:ascii="Arial" w:hAnsi="Arial" w:cs="Arial"/>
          <w:sz w:val="20"/>
          <w:szCs w:val="20"/>
        </w:rPr>
        <w:t>, and oxidative stress impact on melatonin</w:t>
      </w:r>
      <w:r w:rsidRPr="007D6BFD">
        <w:rPr>
          <w:rFonts w:ascii="Arial" w:hAnsi="Arial" w:cs="Arial"/>
          <w:sz w:val="20"/>
          <w:szCs w:val="20"/>
        </w:rPr>
        <w:t>.</w:t>
      </w:r>
    </w:p>
    <w:p w14:paraId="1AD061F9" w14:textId="77777777" w:rsidR="001E410A" w:rsidRPr="007D6BFD" w:rsidRDefault="001E410A" w:rsidP="007D6BFD">
      <w:pPr>
        <w:pStyle w:val="NormalWeb"/>
        <w:spacing w:line="276" w:lineRule="auto"/>
        <w:rPr>
          <w:rStyle w:val="citation-100"/>
          <w:rFonts w:ascii="Arial" w:hAnsi="Arial" w:cs="Arial"/>
          <w:b/>
          <w:bCs/>
          <w:sz w:val="20"/>
          <w:szCs w:val="20"/>
        </w:rPr>
      </w:pPr>
      <w:r w:rsidRPr="007D6BFD">
        <w:rPr>
          <w:rFonts w:ascii="Arial" w:hAnsi="Arial" w:cs="Arial"/>
          <w:b/>
          <w:sz w:val="20"/>
          <w:szCs w:val="20"/>
        </w:rPr>
        <w:t xml:space="preserve">2.4.2 </w:t>
      </w:r>
      <w:r w:rsidR="001D4727" w:rsidRPr="007D6BFD">
        <w:rPr>
          <w:rStyle w:val="citation-100"/>
          <w:rFonts w:ascii="Arial" w:hAnsi="Arial" w:cs="Arial"/>
          <w:b/>
          <w:bCs/>
          <w:sz w:val="20"/>
          <w:szCs w:val="20"/>
        </w:rPr>
        <w:t xml:space="preserve">CRD </w:t>
      </w:r>
      <w:r w:rsidR="00D47F53" w:rsidRPr="007D6BFD">
        <w:rPr>
          <w:rStyle w:val="math-inline"/>
          <w:rFonts w:ascii="Arial" w:hAnsi="Arial" w:cs="Arial"/>
          <w:b/>
          <w:bCs/>
          <w:sz w:val="20"/>
          <w:szCs w:val="20"/>
        </w:rPr>
        <w:t>to</w:t>
      </w:r>
      <w:r w:rsidRPr="007D6BFD">
        <w:rPr>
          <w:rStyle w:val="citation-100"/>
          <w:rFonts w:ascii="Arial" w:hAnsi="Arial" w:cs="Arial"/>
          <w:b/>
          <w:bCs/>
          <w:sz w:val="20"/>
          <w:szCs w:val="20"/>
        </w:rPr>
        <w:t xml:space="preserve"> Periodontitis</w:t>
      </w:r>
    </w:p>
    <w:p w14:paraId="474B5790"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00"/>
          <w:rFonts w:ascii="Arial" w:hAnsi="Arial" w:cs="Arial"/>
          <w:sz w:val="20"/>
          <w:szCs w:val="20"/>
        </w:rPr>
        <w:t xml:space="preserve">Effects of circadian misalignment on host </w:t>
      </w:r>
      <w:proofErr w:type="spellStart"/>
      <w:r w:rsidRPr="007D6BFD">
        <w:rPr>
          <w:rStyle w:val="citation-100"/>
          <w:rFonts w:ascii="Arial" w:hAnsi="Arial" w:cs="Arial"/>
          <w:sz w:val="20"/>
          <w:szCs w:val="20"/>
        </w:rPr>
        <w:t>defense</w:t>
      </w:r>
      <w:proofErr w:type="spellEnd"/>
      <w:r w:rsidRPr="007D6BFD">
        <w:rPr>
          <w:rStyle w:val="citation-100"/>
          <w:rFonts w:ascii="Arial" w:hAnsi="Arial" w:cs="Arial"/>
          <w:sz w:val="20"/>
          <w:szCs w:val="20"/>
        </w:rPr>
        <w:t>, including immune dysregulation (M1 macrophage skewing)</w:t>
      </w:r>
      <w:r w:rsidRPr="007D6BFD">
        <w:rPr>
          <w:rStyle w:val="citation-99"/>
          <w:rFonts w:ascii="Arial" w:hAnsi="Arial" w:cs="Arial"/>
          <w:sz w:val="20"/>
          <w:szCs w:val="20"/>
        </w:rPr>
        <w:t xml:space="preserve">, failure of inflammatory resolution </w:t>
      </w:r>
      <w:r w:rsidRPr="007D6BFD">
        <w:rPr>
          <w:rStyle w:val="citation-98"/>
          <w:rFonts w:ascii="Arial" w:hAnsi="Arial" w:cs="Arial"/>
          <w:sz w:val="20"/>
          <w:szCs w:val="20"/>
        </w:rPr>
        <w:t xml:space="preserve">and dysregulation of the </w:t>
      </w:r>
      <w:r w:rsidRPr="007D6BFD">
        <w:rPr>
          <w:rStyle w:val="math-inline"/>
          <w:rFonts w:ascii="Arial" w:hAnsi="Arial" w:cs="Arial"/>
          <w:sz w:val="20"/>
          <w:szCs w:val="20"/>
        </w:rPr>
        <w:t>RANKL/OPG</w:t>
      </w:r>
      <w:r w:rsidR="00D47F53" w:rsidRPr="007D6BFD">
        <w:rPr>
          <w:rStyle w:val="math-inline"/>
          <w:rFonts w:ascii="Arial" w:hAnsi="Arial" w:cs="Arial"/>
          <w:sz w:val="20"/>
          <w:szCs w:val="20"/>
        </w:rPr>
        <w:t xml:space="preserve"> </w:t>
      </w:r>
      <w:r w:rsidRPr="007D6BFD">
        <w:rPr>
          <w:rStyle w:val="citation-98"/>
          <w:rFonts w:ascii="Arial" w:hAnsi="Arial" w:cs="Arial"/>
          <w:sz w:val="20"/>
          <w:szCs w:val="20"/>
        </w:rPr>
        <w:t xml:space="preserve">axis in bone </w:t>
      </w:r>
      <w:proofErr w:type="spellStart"/>
      <w:r w:rsidRPr="007D6BFD">
        <w:rPr>
          <w:rStyle w:val="citation-98"/>
          <w:rFonts w:ascii="Arial" w:hAnsi="Arial" w:cs="Arial"/>
          <w:sz w:val="20"/>
          <w:szCs w:val="20"/>
        </w:rPr>
        <w:t>remodeling</w:t>
      </w:r>
      <w:proofErr w:type="spellEnd"/>
      <w:r w:rsidRPr="007D6BFD">
        <w:rPr>
          <w:rFonts w:ascii="Arial" w:hAnsi="Arial" w:cs="Arial"/>
          <w:sz w:val="20"/>
          <w:szCs w:val="20"/>
        </w:rPr>
        <w:t>.</w:t>
      </w:r>
    </w:p>
    <w:p w14:paraId="306AFB71" w14:textId="77777777" w:rsidR="00220DA7" w:rsidRPr="007D6BFD" w:rsidRDefault="001D4727" w:rsidP="007D6BFD">
      <w:pPr>
        <w:pStyle w:val="NormalWeb"/>
        <w:spacing w:line="276" w:lineRule="auto"/>
        <w:jc w:val="both"/>
        <w:rPr>
          <w:rFonts w:ascii="Arial" w:hAnsi="Arial" w:cs="Arial"/>
          <w:sz w:val="20"/>
          <w:szCs w:val="20"/>
        </w:rPr>
      </w:pPr>
      <w:r w:rsidRPr="007D6BFD">
        <w:rPr>
          <w:rStyle w:val="citation-97"/>
          <w:rFonts w:ascii="Arial" w:hAnsi="Arial" w:cs="Arial"/>
          <w:sz w:val="20"/>
          <w:szCs w:val="20"/>
        </w:rPr>
        <w:t xml:space="preserve">The final section of the review synthesized these findings to propose a practical framework for </w:t>
      </w:r>
      <w:r w:rsidRPr="007D6BFD">
        <w:rPr>
          <w:rStyle w:val="citation-97"/>
          <w:rFonts w:ascii="Arial" w:hAnsi="Arial" w:cs="Arial"/>
          <w:bCs/>
          <w:sz w:val="20"/>
          <w:szCs w:val="20"/>
        </w:rPr>
        <w:t>Chronotherapy</w:t>
      </w:r>
      <w:r w:rsidR="00D47F53" w:rsidRPr="007D6BFD">
        <w:rPr>
          <w:rStyle w:val="citation-97"/>
          <w:rFonts w:ascii="Arial" w:hAnsi="Arial" w:cs="Arial"/>
          <w:sz w:val="20"/>
          <w:szCs w:val="20"/>
        </w:rPr>
        <w:t xml:space="preserve"> </w:t>
      </w:r>
      <w:r w:rsidRPr="007D6BFD">
        <w:rPr>
          <w:rStyle w:val="citation-96"/>
          <w:rFonts w:ascii="Arial" w:hAnsi="Arial" w:cs="Arial"/>
          <w:sz w:val="20"/>
          <w:szCs w:val="20"/>
        </w:rPr>
        <w:t>and suggest avenues for future</w:t>
      </w:r>
      <w:r w:rsidR="00D47F53" w:rsidRPr="007D6BFD">
        <w:rPr>
          <w:rStyle w:val="citation-96"/>
          <w:rFonts w:ascii="Arial" w:hAnsi="Arial" w:cs="Arial"/>
          <w:sz w:val="20"/>
          <w:szCs w:val="20"/>
        </w:rPr>
        <w:t xml:space="preserve"> experimental validation namely, Gingival Crevicular Fluid (GCF) </w:t>
      </w:r>
      <w:r w:rsidRPr="007D6BFD">
        <w:rPr>
          <w:rStyle w:val="citation-96"/>
          <w:rFonts w:ascii="Arial" w:hAnsi="Arial" w:cs="Arial"/>
          <w:sz w:val="20"/>
          <w:szCs w:val="20"/>
        </w:rPr>
        <w:t>cytokine studies, clock gene profiling, and intervention studies</w:t>
      </w:r>
      <w:r w:rsidR="00E423F6" w:rsidRPr="007D6BFD">
        <w:rPr>
          <w:rFonts w:ascii="Arial" w:hAnsi="Arial" w:cs="Arial"/>
          <w:sz w:val="20"/>
          <w:szCs w:val="20"/>
        </w:rPr>
        <w:t>.</w:t>
      </w:r>
    </w:p>
    <w:p w14:paraId="133CE682" w14:textId="77777777" w:rsidR="008C199E" w:rsidRPr="007D6BFD" w:rsidRDefault="00E423F6" w:rsidP="007D6BFD">
      <w:pPr>
        <w:pStyle w:val="Heading2"/>
        <w:spacing w:line="276" w:lineRule="auto"/>
        <w:rPr>
          <w:rFonts w:ascii="Arial" w:hAnsi="Arial" w:cs="Arial"/>
          <w:b/>
          <w:color w:val="auto"/>
          <w:sz w:val="22"/>
          <w:szCs w:val="22"/>
        </w:rPr>
      </w:pPr>
      <w:r w:rsidRPr="007D6BFD">
        <w:rPr>
          <w:rFonts w:ascii="Arial" w:hAnsi="Arial" w:cs="Arial"/>
          <w:b/>
          <w:color w:val="auto"/>
          <w:sz w:val="22"/>
          <w:szCs w:val="22"/>
        </w:rPr>
        <w:t xml:space="preserve">3. </w:t>
      </w:r>
      <w:r w:rsidR="008C199E" w:rsidRPr="007D6BFD">
        <w:rPr>
          <w:rFonts w:ascii="Arial" w:hAnsi="Arial" w:cs="Arial"/>
          <w:b/>
          <w:color w:val="auto"/>
          <w:sz w:val="22"/>
          <w:szCs w:val="22"/>
        </w:rPr>
        <w:t>Circadian Rhythm Biology and Inflammatory Regulation</w:t>
      </w:r>
    </w:p>
    <w:p w14:paraId="2263D581" w14:textId="77777777" w:rsidR="008C199E" w:rsidRPr="007D6BFD" w:rsidRDefault="008C199E" w:rsidP="007D6BFD">
      <w:pPr>
        <w:pStyle w:val="NormalWeb"/>
        <w:spacing w:line="276" w:lineRule="auto"/>
        <w:jc w:val="both"/>
        <w:rPr>
          <w:rFonts w:ascii="Arial" w:hAnsi="Arial" w:cs="Arial"/>
          <w:sz w:val="20"/>
          <w:szCs w:val="20"/>
        </w:rPr>
      </w:pPr>
      <w:r w:rsidRPr="007D6BFD">
        <w:rPr>
          <w:rFonts w:ascii="Arial" w:hAnsi="Arial" w:cs="Arial"/>
          <w:sz w:val="20"/>
          <w:szCs w:val="20"/>
        </w:rPr>
        <w:t xml:space="preserve">Circadian rhythms are generated by an endogenous timing system </w:t>
      </w:r>
      <w:proofErr w:type="spellStart"/>
      <w:r w:rsidRPr="007D6BFD">
        <w:rPr>
          <w:rFonts w:ascii="Arial" w:hAnsi="Arial" w:cs="Arial"/>
          <w:sz w:val="20"/>
          <w:szCs w:val="20"/>
        </w:rPr>
        <w:t>centered</w:t>
      </w:r>
      <w:proofErr w:type="spellEnd"/>
      <w:r w:rsidRPr="007D6BFD">
        <w:rPr>
          <w:rFonts w:ascii="Arial" w:hAnsi="Arial" w:cs="Arial"/>
          <w:sz w:val="20"/>
          <w:szCs w:val="20"/>
        </w:rPr>
        <w:t xml:space="preserve"> in the suprachiasmatic nucleus (SCN) of the hypothalamus and synchronized to environmental light and dark cycles</w:t>
      </w:r>
      <w:r w:rsidR="00C62E5E" w:rsidRPr="007D6BFD">
        <w:rPr>
          <w:rFonts w:ascii="Arial" w:hAnsi="Arial" w:cs="Arial"/>
          <w:sz w:val="20"/>
          <w:szCs w:val="20"/>
        </w:rPr>
        <w:t xml:space="preserve"> [17]</w:t>
      </w:r>
      <w:r w:rsidRPr="007D6BFD">
        <w:rPr>
          <w:rFonts w:ascii="Arial" w:hAnsi="Arial" w:cs="Arial"/>
          <w:sz w:val="20"/>
          <w:szCs w:val="20"/>
        </w:rPr>
        <w:t>. At the molecular level, circadian timing is governed by transcriptional–translational feedback loops involving core clock genes. The CLOCK and BMAL1 proteins f</w:t>
      </w:r>
      <w:r w:rsidR="006823E3" w:rsidRPr="007D6BFD">
        <w:rPr>
          <w:rFonts w:ascii="Arial" w:hAnsi="Arial" w:cs="Arial"/>
          <w:sz w:val="20"/>
          <w:szCs w:val="20"/>
        </w:rPr>
        <w:t>orm heterodimers that activate T</w:t>
      </w:r>
      <w:r w:rsidRPr="007D6BFD">
        <w:rPr>
          <w:rFonts w:ascii="Arial" w:hAnsi="Arial" w:cs="Arial"/>
          <w:sz w:val="20"/>
          <w:szCs w:val="20"/>
        </w:rPr>
        <w:t>ranscription of Period (PER) and Cryptochrome (CRY) genes, whose protein products subsequently inhibit CLOCK–BMAL1 activi</w:t>
      </w:r>
      <w:r w:rsidR="00C62E5E" w:rsidRPr="007D6BFD">
        <w:rPr>
          <w:rFonts w:ascii="Arial" w:hAnsi="Arial" w:cs="Arial"/>
          <w:sz w:val="20"/>
          <w:szCs w:val="20"/>
        </w:rPr>
        <w:t xml:space="preserve">ty, generating approximately </w:t>
      </w:r>
      <w:proofErr w:type="gramStart"/>
      <w:r w:rsidR="00C62E5E" w:rsidRPr="007D6BFD">
        <w:rPr>
          <w:rFonts w:ascii="Arial" w:hAnsi="Arial" w:cs="Arial"/>
          <w:sz w:val="20"/>
          <w:szCs w:val="20"/>
        </w:rPr>
        <w:t xml:space="preserve">24 </w:t>
      </w:r>
      <w:r w:rsidRPr="007D6BFD">
        <w:rPr>
          <w:rFonts w:ascii="Arial" w:hAnsi="Arial" w:cs="Arial"/>
          <w:sz w:val="20"/>
          <w:szCs w:val="20"/>
        </w:rPr>
        <w:t>hour</w:t>
      </w:r>
      <w:proofErr w:type="gramEnd"/>
      <w:r w:rsidRPr="007D6BFD">
        <w:rPr>
          <w:rFonts w:ascii="Arial" w:hAnsi="Arial" w:cs="Arial"/>
          <w:sz w:val="20"/>
          <w:szCs w:val="20"/>
        </w:rPr>
        <w:t xml:space="preserve"> oscillations</w:t>
      </w:r>
      <w:r w:rsidR="00C62E5E" w:rsidRPr="007D6BFD">
        <w:rPr>
          <w:rFonts w:ascii="Arial" w:hAnsi="Arial" w:cs="Arial"/>
          <w:sz w:val="20"/>
          <w:szCs w:val="20"/>
        </w:rPr>
        <w:t xml:space="preserve"> [18]</w:t>
      </w:r>
      <w:r w:rsidRPr="007D6BFD">
        <w:rPr>
          <w:rFonts w:ascii="Arial" w:hAnsi="Arial" w:cs="Arial"/>
          <w:sz w:val="20"/>
          <w:szCs w:val="20"/>
        </w:rPr>
        <w:t>. Crucially, peripheral clocks exist in nearly all tissues, including immune cells, liver, adipose tissue, and bone. These peripheral clocks can become uncoupled from the central SCN under conditions of chronic inflammation or endocrine disturbance</w:t>
      </w:r>
      <w:r w:rsidR="00C62E5E" w:rsidRPr="007D6BFD">
        <w:rPr>
          <w:rFonts w:ascii="Arial" w:hAnsi="Arial" w:cs="Arial"/>
          <w:sz w:val="20"/>
          <w:szCs w:val="20"/>
        </w:rPr>
        <w:t xml:space="preserve"> [19,20]</w:t>
      </w:r>
      <w:r w:rsidRPr="007D6BFD">
        <w:rPr>
          <w:rFonts w:ascii="Arial" w:hAnsi="Arial" w:cs="Arial"/>
          <w:sz w:val="20"/>
          <w:szCs w:val="20"/>
        </w:rPr>
        <w:t>. Inflammation</w:t>
      </w:r>
      <w:r w:rsidR="00C62E5E" w:rsidRPr="007D6BFD">
        <w:rPr>
          <w:rFonts w:ascii="Arial" w:hAnsi="Arial" w:cs="Arial"/>
          <w:sz w:val="20"/>
          <w:szCs w:val="20"/>
        </w:rPr>
        <w:t xml:space="preserve"> itself is a rhythmic process consisting of c</w:t>
      </w:r>
      <w:r w:rsidRPr="007D6BFD">
        <w:rPr>
          <w:rFonts w:ascii="Arial" w:hAnsi="Arial" w:cs="Arial"/>
          <w:sz w:val="20"/>
          <w:szCs w:val="20"/>
        </w:rPr>
        <w:t>ytokine production, leukocyte trafficking, cortisol secretion, and immune cell responsiveness all exhibit circadian oscillations</w:t>
      </w:r>
      <w:r w:rsidR="00C62E5E" w:rsidRPr="007D6BFD">
        <w:rPr>
          <w:rFonts w:ascii="Arial" w:hAnsi="Arial" w:cs="Arial"/>
          <w:sz w:val="20"/>
          <w:szCs w:val="20"/>
        </w:rPr>
        <w:t xml:space="preserve"> [21]</w:t>
      </w:r>
      <w:r w:rsidRPr="007D6BFD">
        <w:rPr>
          <w:rFonts w:ascii="Arial" w:hAnsi="Arial" w:cs="Arial"/>
          <w:sz w:val="20"/>
          <w:szCs w:val="20"/>
        </w:rPr>
        <w:t>. Pro-inflammatory cytokines such as IL-6, TNF-α, and IL-1β generally peak during the active phase and decline during the rest phase, partly under the suppressive influence of glucocorticoids</w:t>
      </w:r>
      <w:r w:rsidR="00C62E5E" w:rsidRPr="007D6BFD">
        <w:rPr>
          <w:rFonts w:ascii="Arial" w:hAnsi="Arial" w:cs="Arial"/>
          <w:sz w:val="20"/>
          <w:szCs w:val="20"/>
        </w:rPr>
        <w:t xml:space="preserve"> [22]</w:t>
      </w:r>
      <w:r w:rsidRPr="007D6BFD">
        <w:rPr>
          <w:rFonts w:ascii="Arial" w:hAnsi="Arial" w:cs="Arial"/>
          <w:sz w:val="20"/>
          <w:szCs w:val="20"/>
        </w:rPr>
        <w:t>. Cortisol, whose diurnal peak occurs in the early morning, acts as a critical anti-inflammatory signal that terminates nocturnal immune activation</w:t>
      </w:r>
      <w:r w:rsidR="00C62E5E" w:rsidRPr="007D6BFD">
        <w:rPr>
          <w:rFonts w:ascii="Arial" w:hAnsi="Arial" w:cs="Arial"/>
          <w:sz w:val="20"/>
          <w:szCs w:val="20"/>
        </w:rPr>
        <w:t xml:space="preserve"> [23]</w:t>
      </w:r>
      <w:r w:rsidRPr="007D6BFD">
        <w:rPr>
          <w:rFonts w:ascii="Arial" w:hAnsi="Arial" w:cs="Arial"/>
          <w:sz w:val="20"/>
          <w:szCs w:val="20"/>
        </w:rPr>
        <w:t xml:space="preserve">. Disruption of this rhythm results in prolonged inflammatory </w:t>
      </w:r>
      <w:proofErr w:type="spellStart"/>
      <w:r w:rsidRPr="007D6BFD">
        <w:rPr>
          <w:rFonts w:ascii="Arial" w:hAnsi="Arial" w:cs="Arial"/>
          <w:sz w:val="20"/>
          <w:szCs w:val="20"/>
        </w:rPr>
        <w:t>signaling</w:t>
      </w:r>
      <w:proofErr w:type="spellEnd"/>
      <w:r w:rsidRPr="007D6BFD">
        <w:rPr>
          <w:rFonts w:ascii="Arial" w:hAnsi="Arial" w:cs="Arial"/>
          <w:sz w:val="20"/>
          <w:szCs w:val="20"/>
        </w:rPr>
        <w:t xml:space="preserve"> and impaired resolution</w:t>
      </w:r>
      <w:r w:rsidR="00C62E5E" w:rsidRPr="007D6BFD">
        <w:rPr>
          <w:rFonts w:ascii="Arial" w:hAnsi="Arial" w:cs="Arial"/>
          <w:sz w:val="20"/>
          <w:szCs w:val="20"/>
        </w:rPr>
        <w:t xml:space="preserve"> [24]</w:t>
      </w:r>
      <w:r w:rsidRPr="007D6BFD">
        <w:rPr>
          <w:rFonts w:ascii="Arial" w:hAnsi="Arial" w:cs="Arial"/>
          <w:sz w:val="20"/>
          <w:szCs w:val="20"/>
        </w:rPr>
        <w:t>. Importantly, inflammatory mediators can directly modulate the molecular clock. TNF-α and IL-1β activate the NF-</w:t>
      </w:r>
      <w:proofErr w:type="spellStart"/>
      <w:r w:rsidRPr="007D6BFD">
        <w:rPr>
          <w:rFonts w:ascii="Arial" w:hAnsi="Arial" w:cs="Arial"/>
          <w:sz w:val="20"/>
          <w:szCs w:val="20"/>
        </w:rPr>
        <w:t>κB</w:t>
      </w:r>
      <w:proofErr w:type="spellEnd"/>
      <w:r w:rsidRPr="007D6BFD">
        <w:rPr>
          <w:rFonts w:ascii="Arial" w:hAnsi="Arial" w:cs="Arial"/>
          <w:sz w:val="20"/>
          <w:szCs w:val="20"/>
        </w:rPr>
        <w:t xml:space="preserve"> pathway, which suppresses BMAL1 transcription and dampens circadian amplitude in peripheral tissues. Thus, inflammation is not merely</w:t>
      </w:r>
      <w:r w:rsidR="00CC7FB3" w:rsidRPr="007D6BFD">
        <w:rPr>
          <w:rFonts w:ascii="Arial" w:hAnsi="Arial" w:cs="Arial"/>
          <w:sz w:val="20"/>
          <w:szCs w:val="20"/>
        </w:rPr>
        <w:t xml:space="preserve"> regulated by circadian rhythms rather, </w:t>
      </w:r>
      <w:r w:rsidRPr="007D6BFD">
        <w:rPr>
          <w:rFonts w:ascii="Arial" w:hAnsi="Arial" w:cs="Arial"/>
          <w:sz w:val="20"/>
          <w:szCs w:val="20"/>
        </w:rPr>
        <w:t>it can actively reprogram them</w:t>
      </w:r>
      <w:r w:rsidR="00B01319" w:rsidRPr="007D6BFD">
        <w:rPr>
          <w:rFonts w:ascii="Arial" w:hAnsi="Arial" w:cs="Arial"/>
          <w:sz w:val="20"/>
          <w:szCs w:val="20"/>
        </w:rPr>
        <w:t xml:space="preserve"> [25]</w:t>
      </w:r>
      <w:r w:rsidRPr="007D6BFD">
        <w:rPr>
          <w:rFonts w:ascii="Arial" w:hAnsi="Arial" w:cs="Arial"/>
          <w:sz w:val="20"/>
          <w:szCs w:val="20"/>
        </w:rPr>
        <w:t>.</w:t>
      </w:r>
      <w:r w:rsidR="00B01319" w:rsidRPr="007D6BFD">
        <w:t xml:space="preserve"> </w:t>
      </w:r>
      <w:r w:rsidR="00B01319" w:rsidRPr="007D6BFD">
        <w:rPr>
          <w:rFonts w:ascii="Arial" w:hAnsi="Arial" w:cs="Arial"/>
          <w:sz w:val="20"/>
          <w:szCs w:val="20"/>
        </w:rPr>
        <w:t>Experimental studies further demonstrate that circadian clock genes actively regulate immune cell function. Clock gene expression in macrophages controls inflammatory gene transcription, immune cell recruitment, and responsiveness to glucocorticoids [26]. Loss of circadian regulation skews immune responses toward sustained pro-inflammatory phenotypes and disrupts temporal coordination of inflammatory resolution [27]. Collectively, these findings establish circadian regulation as a central determinant of inflammatory balance and provide a mechanistic basis for understanding interactions between chronic inflammatory diseases and circadian rhythm disruption [28].</w:t>
      </w:r>
    </w:p>
    <w:p w14:paraId="6B028C41" w14:textId="77777777" w:rsidR="00513B39" w:rsidRPr="007D6BFD" w:rsidRDefault="00E423F6"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lastRenderedPageBreak/>
        <w:t>4</w:t>
      </w:r>
      <w:r w:rsidR="00513B39" w:rsidRPr="007D6BFD">
        <w:rPr>
          <w:rFonts w:ascii="Arial" w:hAnsi="Arial" w:cs="Arial"/>
          <w:b/>
          <w:color w:val="auto"/>
          <w:sz w:val="22"/>
          <w:szCs w:val="22"/>
        </w:rPr>
        <w:t>. Periodontitis as a Chronically Desynchronizing Inflammatory State: The Markers of Systemic Interference</w:t>
      </w:r>
    </w:p>
    <w:p w14:paraId="5BCB8403" w14:textId="77777777" w:rsidR="00513B39" w:rsidRPr="007D6BFD" w:rsidRDefault="00513B39" w:rsidP="007D6BFD">
      <w:pPr>
        <w:pStyle w:val="NormalWeb"/>
        <w:spacing w:line="276" w:lineRule="auto"/>
        <w:jc w:val="both"/>
        <w:rPr>
          <w:rFonts w:ascii="Arial" w:hAnsi="Arial" w:cs="Arial"/>
          <w:sz w:val="20"/>
          <w:szCs w:val="20"/>
        </w:rPr>
      </w:pPr>
      <w:r w:rsidRPr="007D6BFD">
        <w:rPr>
          <w:rFonts w:ascii="Arial" w:hAnsi="Arial" w:cs="Arial"/>
          <w:sz w:val="20"/>
          <w:szCs w:val="20"/>
        </w:rPr>
        <w:t>Periodontitis, even in its moderate form, is characterized by a persistent influx of inflammatory mediators into the systemic circulation, creating a low-grade chronic inflammatory milieu that challenges the rhythmicity of the body's clockwork</w:t>
      </w:r>
      <w:r w:rsidR="00B01319" w:rsidRPr="007D6BFD">
        <w:rPr>
          <w:rFonts w:ascii="Arial" w:hAnsi="Arial" w:cs="Arial"/>
          <w:sz w:val="20"/>
          <w:szCs w:val="20"/>
        </w:rPr>
        <w:t xml:space="preserve"> [29]</w:t>
      </w:r>
      <w:r w:rsidRPr="007D6BFD">
        <w:rPr>
          <w:rFonts w:ascii="Arial" w:hAnsi="Arial" w:cs="Arial"/>
          <w:sz w:val="20"/>
          <w:szCs w:val="20"/>
        </w:rPr>
        <w:t>.</w:t>
      </w:r>
      <w:r w:rsidR="00B01319" w:rsidRPr="007D6BFD">
        <w:rPr>
          <w:rFonts w:ascii="Arial" w:hAnsi="Arial" w:cs="Arial"/>
          <w:sz w:val="20"/>
          <w:szCs w:val="20"/>
        </w:rPr>
        <w:t xml:space="preserve"> Clinical and experimental studies have consistently demonstrated that periodontal inflammation contributes to sustained elevations of systemic inflammatory markers, reinforcing its role as a systemic inflammatory stressor rather than a purely localized disease [30].</w:t>
      </w:r>
    </w:p>
    <w:p w14:paraId="29943E3C" w14:textId="77777777" w:rsidR="003E4839" w:rsidRPr="007D6BFD" w:rsidRDefault="00E423F6" w:rsidP="007D6BFD">
      <w:pPr>
        <w:pStyle w:val="NormalWeb"/>
        <w:spacing w:line="276" w:lineRule="auto"/>
        <w:rPr>
          <w:rFonts w:ascii="Arial" w:hAnsi="Arial" w:cs="Arial"/>
          <w:sz w:val="20"/>
          <w:szCs w:val="20"/>
        </w:rPr>
      </w:pPr>
      <w:r w:rsidRPr="007D6BFD">
        <w:rPr>
          <w:rStyle w:val="Strong"/>
          <w:rFonts w:ascii="Arial" w:hAnsi="Arial" w:cs="Arial"/>
          <w:sz w:val="22"/>
          <w:szCs w:val="22"/>
        </w:rPr>
        <w:t>4</w:t>
      </w:r>
      <w:r w:rsidR="00C220CE" w:rsidRPr="007D6BFD">
        <w:rPr>
          <w:rStyle w:val="Strong"/>
          <w:rFonts w:ascii="Arial" w:hAnsi="Arial" w:cs="Arial"/>
          <w:sz w:val="22"/>
          <w:szCs w:val="22"/>
        </w:rPr>
        <w:t xml:space="preserve">.1 Cytokines </w:t>
      </w:r>
      <w:r w:rsidR="00F87450" w:rsidRPr="007D6BFD">
        <w:rPr>
          <w:rStyle w:val="Strong"/>
          <w:rFonts w:ascii="Arial" w:hAnsi="Arial" w:cs="Arial"/>
          <w:sz w:val="22"/>
          <w:szCs w:val="22"/>
        </w:rPr>
        <w:t>as Primary Systemic Clock Modulators</w:t>
      </w:r>
      <w:r w:rsidR="00F87450" w:rsidRPr="007D6BFD">
        <w:rPr>
          <w:rFonts w:ascii="Arial" w:hAnsi="Arial" w:cs="Arial"/>
          <w:sz w:val="22"/>
          <w:szCs w:val="22"/>
        </w:rPr>
        <w:br/>
      </w:r>
    </w:p>
    <w:p w14:paraId="372440CA" w14:textId="77777777" w:rsidR="00F87450" w:rsidRPr="007D6BFD" w:rsidRDefault="00F87450" w:rsidP="007D6BFD">
      <w:pPr>
        <w:pStyle w:val="NormalWeb"/>
        <w:spacing w:line="276" w:lineRule="auto"/>
        <w:jc w:val="both"/>
        <w:rPr>
          <w:rFonts w:ascii="Arial" w:hAnsi="Arial" w:cs="Arial"/>
          <w:sz w:val="20"/>
          <w:szCs w:val="20"/>
        </w:rPr>
      </w:pPr>
      <w:r w:rsidRPr="007D6BFD">
        <w:rPr>
          <w:rFonts w:ascii="Arial" w:hAnsi="Arial" w:cs="Arial"/>
          <w:sz w:val="20"/>
          <w:szCs w:val="20"/>
        </w:rPr>
        <w:t>The destructive inflammatory milieu of periodontitis results in the sustained releas</w:t>
      </w:r>
      <w:r w:rsidR="00CC7FB3" w:rsidRPr="007D6BFD">
        <w:rPr>
          <w:rFonts w:ascii="Arial" w:hAnsi="Arial" w:cs="Arial"/>
          <w:sz w:val="20"/>
          <w:szCs w:val="20"/>
        </w:rPr>
        <w:t xml:space="preserve">e of pro-inflammatory cytokines, </w:t>
      </w:r>
      <w:r w:rsidRPr="007D6BFD">
        <w:rPr>
          <w:rFonts w:ascii="Arial" w:hAnsi="Arial" w:cs="Arial"/>
          <w:sz w:val="20"/>
          <w:szCs w:val="20"/>
        </w:rPr>
        <w:t xml:space="preserve">principally </w:t>
      </w:r>
      <w:r w:rsidR="00CC7FB3" w:rsidRPr="007D6BFD">
        <w:rPr>
          <w:rFonts w:ascii="Arial" w:hAnsi="Arial" w:cs="Arial"/>
          <w:sz w:val="20"/>
          <w:szCs w:val="20"/>
        </w:rPr>
        <w:t>IL-1β</w:t>
      </w:r>
      <w:r w:rsidRPr="007D6BFD">
        <w:rPr>
          <w:rFonts w:ascii="Arial" w:hAnsi="Arial" w:cs="Arial"/>
          <w:sz w:val="20"/>
          <w:szCs w:val="20"/>
        </w:rPr>
        <w:t xml:space="preserve">, </w:t>
      </w:r>
      <w:r w:rsidR="00CC7FB3" w:rsidRPr="007D6BFD">
        <w:rPr>
          <w:rFonts w:ascii="Arial" w:hAnsi="Arial" w:cs="Arial"/>
          <w:sz w:val="20"/>
          <w:szCs w:val="20"/>
        </w:rPr>
        <w:t xml:space="preserve">IL-6 </w:t>
      </w:r>
      <w:r w:rsidRPr="007D6BFD">
        <w:rPr>
          <w:rFonts w:ascii="Arial" w:hAnsi="Arial" w:cs="Arial"/>
          <w:sz w:val="20"/>
          <w:szCs w:val="20"/>
        </w:rPr>
        <w:t xml:space="preserve">and </w:t>
      </w:r>
      <w:r w:rsidR="00CC7FB3" w:rsidRPr="007D6BFD">
        <w:rPr>
          <w:rFonts w:ascii="Arial" w:hAnsi="Arial" w:cs="Arial"/>
          <w:sz w:val="20"/>
          <w:szCs w:val="20"/>
        </w:rPr>
        <w:t xml:space="preserve">TNF-α </w:t>
      </w:r>
      <w:r w:rsidRPr="007D6BFD">
        <w:rPr>
          <w:rFonts w:ascii="Arial" w:hAnsi="Arial" w:cs="Arial"/>
          <w:sz w:val="20"/>
          <w:szCs w:val="20"/>
        </w:rPr>
        <w:t xml:space="preserve">from activated macrophages, lymphocytes, and gingival epithelial cells into the </w:t>
      </w:r>
      <w:r w:rsidR="00CC7FB3" w:rsidRPr="007D6BFD">
        <w:rPr>
          <w:rFonts w:ascii="Arial" w:hAnsi="Arial" w:cs="Arial"/>
          <w:sz w:val="20"/>
          <w:szCs w:val="20"/>
        </w:rPr>
        <w:t>GCF</w:t>
      </w:r>
      <w:r w:rsidR="00B01319" w:rsidRPr="007D6BFD">
        <w:rPr>
          <w:rFonts w:ascii="Arial" w:hAnsi="Arial" w:cs="Arial"/>
          <w:sz w:val="20"/>
          <w:szCs w:val="20"/>
        </w:rPr>
        <w:t xml:space="preserve"> [31]</w:t>
      </w:r>
      <w:r w:rsidRPr="007D6BFD">
        <w:rPr>
          <w:rFonts w:ascii="Arial" w:hAnsi="Arial" w:cs="Arial"/>
          <w:sz w:val="20"/>
          <w:szCs w:val="20"/>
        </w:rPr>
        <w:t>. A significant proportion of these mediators, particularly IL-6, gains access to the systemic circulation, where it serves as a critical mole</w:t>
      </w:r>
      <w:r w:rsidR="00CC7FB3" w:rsidRPr="007D6BFD">
        <w:rPr>
          <w:rFonts w:ascii="Arial" w:hAnsi="Arial" w:cs="Arial"/>
          <w:sz w:val="20"/>
          <w:szCs w:val="20"/>
        </w:rPr>
        <w:t xml:space="preserve">cular link in the periodontitis </w:t>
      </w:r>
      <w:r w:rsidRPr="007D6BFD">
        <w:rPr>
          <w:rFonts w:ascii="Arial" w:hAnsi="Arial" w:cs="Arial"/>
          <w:sz w:val="20"/>
          <w:szCs w:val="20"/>
        </w:rPr>
        <w:t>CRD</w:t>
      </w:r>
      <w:r w:rsidR="00166D88" w:rsidRPr="007D6BFD">
        <w:rPr>
          <w:rFonts w:ascii="Arial" w:hAnsi="Arial" w:cs="Arial"/>
          <w:sz w:val="20"/>
          <w:szCs w:val="20"/>
        </w:rPr>
        <w:t xml:space="preserve"> </w:t>
      </w:r>
      <w:r w:rsidRPr="007D6BFD">
        <w:rPr>
          <w:rFonts w:ascii="Arial" w:hAnsi="Arial" w:cs="Arial"/>
          <w:sz w:val="20"/>
          <w:szCs w:val="20"/>
        </w:rPr>
        <w:t>axis</w:t>
      </w:r>
      <w:r w:rsidR="00B01319" w:rsidRPr="007D6BFD">
        <w:rPr>
          <w:rFonts w:ascii="Arial" w:hAnsi="Arial" w:cs="Arial"/>
          <w:sz w:val="20"/>
          <w:szCs w:val="20"/>
        </w:rPr>
        <w:t xml:space="preserve"> [32]</w:t>
      </w:r>
      <w:r w:rsidRPr="007D6BFD">
        <w:rPr>
          <w:rFonts w:ascii="Arial" w:hAnsi="Arial" w:cs="Arial"/>
          <w:sz w:val="20"/>
          <w:szCs w:val="20"/>
        </w:rPr>
        <w:t>. Even at low but chronically elevated levels, systemic IL-6 acts on the liver to induce acute-phase protein synthesis, notably C-reactive protein (CRP), and simultaneously functions as a non-photic zeitgeber. Persistent periodontal-derived IL-6 signals a continuous inflammatory state to the suprachiasmatic nucleus (SCN) and peripheral clocks, dampening circadian amplitude and inducing phase shifts</w:t>
      </w:r>
      <w:r w:rsidR="00B01319" w:rsidRPr="007D6BFD">
        <w:rPr>
          <w:rFonts w:ascii="Arial" w:hAnsi="Arial" w:cs="Arial"/>
          <w:sz w:val="20"/>
          <w:szCs w:val="20"/>
        </w:rPr>
        <w:t xml:space="preserve"> [33,34]</w:t>
      </w:r>
      <w:r w:rsidRPr="007D6BFD">
        <w:rPr>
          <w:rFonts w:ascii="Arial" w:hAnsi="Arial" w:cs="Arial"/>
          <w:sz w:val="20"/>
          <w:szCs w:val="20"/>
        </w:rPr>
        <w:t xml:space="preserve">. In parallel, chronically elevated TNF-α sustains activation of the </w:t>
      </w:r>
      <w:r w:rsidR="00166D88" w:rsidRPr="007D6BFD">
        <w:rPr>
          <w:rFonts w:ascii="Arial" w:hAnsi="Arial" w:cs="Arial"/>
          <w:sz w:val="20"/>
          <w:szCs w:val="20"/>
        </w:rPr>
        <w:t>NF-</w:t>
      </w:r>
      <w:proofErr w:type="spellStart"/>
      <w:r w:rsidR="00166D88" w:rsidRPr="007D6BFD">
        <w:rPr>
          <w:rFonts w:ascii="Arial" w:hAnsi="Arial" w:cs="Arial"/>
          <w:sz w:val="20"/>
          <w:szCs w:val="20"/>
        </w:rPr>
        <w:t>κB</w:t>
      </w:r>
      <w:proofErr w:type="spellEnd"/>
      <w:r w:rsidRPr="007D6BFD">
        <w:rPr>
          <w:rFonts w:ascii="Arial" w:hAnsi="Arial" w:cs="Arial"/>
          <w:sz w:val="20"/>
          <w:szCs w:val="20"/>
        </w:rPr>
        <w:t xml:space="preserve"> pathway, which transcriptionally represses </w:t>
      </w:r>
      <w:r w:rsidR="00166D88" w:rsidRPr="007D6BFD">
        <w:rPr>
          <w:rFonts w:ascii="Arial" w:hAnsi="Arial" w:cs="Arial"/>
          <w:sz w:val="20"/>
          <w:szCs w:val="20"/>
        </w:rPr>
        <w:t>BMAL1</w:t>
      </w:r>
      <w:r w:rsidRPr="007D6BFD">
        <w:rPr>
          <w:rFonts w:ascii="Arial" w:hAnsi="Arial" w:cs="Arial"/>
          <w:sz w:val="20"/>
          <w:szCs w:val="20"/>
        </w:rPr>
        <w:t>, a core component of the molecular clock</w:t>
      </w:r>
      <w:r w:rsidR="00B01319" w:rsidRPr="007D6BFD">
        <w:rPr>
          <w:rFonts w:ascii="Arial" w:hAnsi="Arial" w:cs="Arial"/>
          <w:sz w:val="20"/>
          <w:szCs w:val="20"/>
        </w:rPr>
        <w:t xml:space="preserve"> [35,36]</w:t>
      </w:r>
      <w:r w:rsidRPr="007D6BFD">
        <w:rPr>
          <w:rFonts w:ascii="Arial" w:hAnsi="Arial" w:cs="Arial"/>
          <w:sz w:val="20"/>
          <w:szCs w:val="20"/>
        </w:rPr>
        <w:t>. This mechanism promotes direct molecular desynchronization across peripheral tissues, including the liver, adipose tissue, and circulating immune cells. Clinically, persistently elevated high-sensitivity CRP (</w:t>
      </w:r>
      <w:proofErr w:type="spellStart"/>
      <w:r w:rsidRPr="007D6BFD">
        <w:rPr>
          <w:rFonts w:ascii="Arial" w:hAnsi="Arial" w:cs="Arial"/>
          <w:sz w:val="20"/>
          <w:szCs w:val="20"/>
        </w:rPr>
        <w:t>hs</w:t>
      </w:r>
      <w:proofErr w:type="spellEnd"/>
      <w:r w:rsidRPr="007D6BFD">
        <w:rPr>
          <w:rFonts w:ascii="Arial" w:hAnsi="Arial" w:cs="Arial"/>
          <w:sz w:val="20"/>
          <w:szCs w:val="20"/>
        </w:rPr>
        <w:t xml:space="preserve">-CRP), commonly observed in periodontitis patients, serves as a surrogate marker of this chronic cytokine </w:t>
      </w:r>
      <w:proofErr w:type="spellStart"/>
      <w:r w:rsidRPr="007D6BFD">
        <w:rPr>
          <w:rFonts w:ascii="Arial" w:hAnsi="Arial" w:cs="Arial"/>
          <w:sz w:val="20"/>
          <w:szCs w:val="20"/>
        </w:rPr>
        <w:t>signaling</w:t>
      </w:r>
      <w:proofErr w:type="spellEnd"/>
      <w:r w:rsidRPr="007D6BFD">
        <w:rPr>
          <w:rFonts w:ascii="Arial" w:hAnsi="Arial" w:cs="Arial"/>
          <w:sz w:val="20"/>
          <w:szCs w:val="20"/>
        </w:rPr>
        <w:t xml:space="preserve"> burden and reflects ongoing interference with systemic homeostasis and metabolic clock regulation</w:t>
      </w:r>
      <w:r w:rsidR="00B01319" w:rsidRPr="007D6BFD">
        <w:rPr>
          <w:rFonts w:ascii="Arial" w:hAnsi="Arial" w:cs="Arial"/>
          <w:sz w:val="20"/>
          <w:szCs w:val="20"/>
        </w:rPr>
        <w:t xml:space="preserve"> [30,35]</w:t>
      </w:r>
      <w:r w:rsidRPr="007D6BFD">
        <w:rPr>
          <w:rFonts w:ascii="Arial" w:hAnsi="Arial" w:cs="Arial"/>
          <w:sz w:val="20"/>
          <w:szCs w:val="20"/>
        </w:rPr>
        <w:t>.</w:t>
      </w:r>
    </w:p>
    <w:p w14:paraId="04D659AE" w14:textId="77777777" w:rsidR="003E4839" w:rsidRPr="007D6BFD" w:rsidRDefault="00E423F6" w:rsidP="007D6BFD">
      <w:pPr>
        <w:pStyle w:val="NormalWeb"/>
        <w:spacing w:line="276" w:lineRule="auto"/>
        <w:rPr>
          <w:rFonts w:ascii="Arial" w:hAnsi="Arial" w:cs="Arial"/>
          <w:sz w:val="20"/>
          <w:szCs w:val="20"/>
        </w:rPr>
      </w:pPr>
      <w:r w:rsidRPr="007D6BFD">
        <w:rPr>
          <w:rStyle w:val="Strong"/>
          <w:rFonts w:ascii="Arial" w:hAnsi="Arial" w:cs="Arial"/>
          <w:sz w:val="22"/>
          <w:szCs w:val="22"/>
        </w:rPr>
        <w:t>4</w:t>
      </w:r>
      <w:r w:rsidR="00EA2E52" w:rsidRPr="007D6BFD">
        <w:rPr>
          <w:rStyle w:val="Strong"/>
          <w:rFonts w:ascii="Arial" w:hAnsi="Arial" w:cs="Arial"/>
          <w:sz w:val="22"/>
          <w:szCs w:val="22"/>
        </w:rPr>
        <w:t>.2</w:t>
      </w:r>
      <w:r w:rsidR="00F87450" w:rsidRPr="007D6BFD">
        <w:rPr>
          <w:rStyle w:val="Strong"/>
          <w:rFonts w:ascii="Arial" w:hAnsi="Arial" w:cs="Arial"/>
          <w:sz w:val="22"/>
          <w:szCs w:val="22"/>
        </w:rPr>
        <w:t xml:space="preserve"> Prostaglandins and Perturbation of the HPA Axis</w:t>
      </w:r>
      <w:r w:rsidR="00F87450" w:rsidRPr="007D6BFD">
        <w:br/>
      </w:r>
    </w:p>
    <w:p w14:paraId="2E3B28F3" w14:textId="77777777" w:rsidR="00F87450" w:rsidRPr="007D6BFD" w:rsidRDefault="00F87450" w:rsidP="007D6BFD">
      <w:pPr>
        <w:pStyle w:val="NormalWeb"/>
        <w:spacing w:line="276" w:lineRule="auto"/>
        <w:jc w:val="both"/>
        <w:rPr>
          <w:rFonts w:ascii="Arial" w:hAnsi="Arial" w:cs="Arial"/>
          <w:sz w:val="20"/>
          <w:szCs w:val="20"/>
        </w:rPr>
      </w:pPr>
      <w:r w:rsidRPr="007D6BFD">
        <w:rPr>
          <w:rFonts w:ascii="Arial" w:hAnsi="Arial" w:cs="Arial"/>
          <w:sz w:val="20"/>
          <w:szCs w:val="20"/>
        </w:rPr>
        <w:t xml:space="preserve">Periodontal inflammation is also characterized by increased synthesis of </w:t>
      </w:r>
      <w:r w:rsidR="001E410A" w:rsidRPr="007D6BFD">
        <w:rPr>
          <w:rFonts w:ascii="Arial" w:hAnsi="Arial" w:cs="Arial"/>
          <w:sz w:val="20"/>
          <w:szCs w:val="20"/>
        </w:rPr>
        <w:t>PGE2</w:t>
      </w:r>
      <w:r w:rsidRPr="007D6BFD">
        <w:rPr>
          <w:rFonts w:ascii="Arial" w:hAnsi="Arial" w:cs="Arial"/>
          <w:sz w:val="20"/>
          <w:szCs w:val="20"/>
        </w:rPr>
        <w:t xml:space="preserve"> via cyclooxygenase-2 (COX-2) activation</w:t>
      </w:r>
      <w:r w:rsidR="00225A26" w:rsidRPr="007D6BFD">
        <w:rPr>
          <w:rFonts w:ascii="Arial" w:hAnsi="Arial" w:cs="Arial"/>
          <w:sz w:val="20"/>
          <w:szCs w:val="20"/>
        </w:rPr>
        <w:t xml:space="preserve"> [37]</w:t>
      </w:r>
      <w:r w:rsidRPr="007D6BFD">
        <w:rPr>
          <w:rFonts w:ascii="Arial" w:hAnsi="Arial" w:cs="Arial"/>
          <w:sz w:val="20"/>
          <w:szCs w:val="20"/>
        </w:rPr>
        <w:t>. While PGE2 contributes locally to vasodilation and alveolar bone resorption, its systemic effects are equally significant, particularly in activating the hypothalamic–pituitary–adrenal (HPA) axis</w:t>
      </w:r>
      <w:r w:rsidR="00225A26" w:rsidRPr="007D6BFD">
        <w:rPr>
          <w:rFonts w:ascii="Arial" w:hAnsi="Arial" w:cs="Arial"/>
          <w:sz w:val="20"/>
          <w:szCs w:val="20"/>
        </w:rPr>
        <w:t xml:space="preserve"> [38]</w:t>
      </w:r>
      <w:r w:rsidRPr="007D6BFD">
        <w:rPr>
          <w:rFonts w:ascii="Arial" w:hAnsi="Arial" w:cs="Arial"/>
          <w:sz w:val="20"/>
          <w:szCs w:val="20"/>
        </w:rPr>
        <w:t>. Chronic overflow of PGE2 from periodontal lesions stimulates the hypothalamus, promoting sustained release of corticotropin-releasing hormone (CRH) and prolonged HPA axis activation. Over time, this persistent stimulation leads to g</w:t>
      </w:r>
      <w:r w:rsidR="005E1A0B" w:rsidRPr="007D6BFD">
        <w:rPr>
          <w:rFonts w:ascii="Arial" w:hAnsi="Arial" w:cs="Arial"/>
          <w:sz w:val="20"/>
          <w:szCs w:val="20"/>
        </w:rPr>
        <w:t xml:space="preserve">lucocorticoid resistance and a flattened </w:t>
      </w:r>
      <w:r w:rsidRPr="007D6BFD">
        <w:rPr>
          <w:rFonts w:ascii="Arial" w:hAnsi="Arial" w:cs="Arial"/>
          <w:sz w:val="20"/>
          <w:szCs w:val="20"/>
        </w:rPr>
        <w:t>diurnal cortisol rhythm. Because the morning cortisol surge functions as a key zeitgeber for multiple peripheral clocks, including those governing immune cell activity, disruption of this rhythm results in the loss of a critical temporal cue. Consequently, chr</w:t>
      </w:r>
      <w:r w:rsidR="00B01319" w:rsidRPr="007D6BFD">
        <w:rPr>
          <w:rFonts w:ascii="Arial" w:hAnsi="Arial" w:cs="Arial"/>
          <w:sz w:val="20"/>
          <w:szCs w:val="20"/>
        </w:rPr>
        <w:t xml:space="preserve">onic periodontal stress induced </w:t>
      </w:r>
      <w:r w:rsidRPr="007D6BFD">
        <w:rPr>
          <w:rFonts w:ascii="Arial" w:hAnsi="Arial" w:cs="Arial"/>
          <w:sz w:val="20"/>
          <w:szCs w:val="20"/>
        </w:rPr>
        <w:t>HPA axis dysregulation promotes widespread desynchronization of peripheral immune clocks and impairs the normal anti-inflammatory resolution of the nocturnal immune response</w:t>
      </w:r>
      <w:r w:rsidR="00225A26" w:rsidRPr="007D6BFD">
        <w:rPr>
          <w:rFonts w:ascii="Arial" w:hAnsi="Arial" w:cs="Arial"/>
          <w:sz w:val="20"/>
          <w:szCs w:val="20"/>
        </w:rPr>
        <w:t xml:space="preserve"> [39,40]</w:t>
      </w:r>
      <w:r w:rsidRPr="007D6BFD">
        <w:rPr>
          <w:rFonts w:ascii="Arial" w:hAnsi="Arial" w:cs="Arial"/>
          <w:sz w:val="20"/>
          <w:szCs w:val="20"/>
        </w:rPr>
        <w:t>.</w:t>
      </w:r>
    </w:p>
    <w:p w14:paraId="2E9EC9B8" w14:textId="77777777" w:rsidR="003E4839" w:rsidRPr="007D6BFD" w:rsidRDefault="00E423F6" w:rsidP="007D6BFD">
      <w:pPr>
        <w:pStyle w:val="Heading4"/>
        <w:spacing w:line="276" w:lineRule="auto"/>
        <w:rPr>
          <w:rFonts w:ascii="Arial" w:hAnsi="Arial" w:cs="Arial"/>
          <w:b/>
          <w:i w:val="0"/>
          <w:color w:val="auto"/>
        </w:rPr>
      </w:pPr>
      <w:r w:rsidRPr="007D6BFD">
        <w:rPr>
          <w:rFonts w:ascii="Arial" w:hAnsi="Arial" w:cs="Arial"/>
          <w:b/>
          <w:i w:val="0"/>
          <w:color w:val="auto"/>
        </w:rPr>
        <w:lastRenderedPageBreak/>
        <w:t>4</w:t>
      </w:r>
      <w:r w:rsidR="00EA2E52" w:rsidRPr="007D6BFD">
        <w:rPr>
          <w:rFonts w:ascii="Arial" w:hAnsi="Arial" w:cs="Arial"/>
          <w:b/>
          <w:i w:val="0"/>
          <w:color w:val="auto"/>
        </w:rPr>
        <w:t xml:space="preserve">.3 </w:t>
      </w:r>
      <w:r w:rsidR="00F87450" w:rsidRPr="007D6BFD">
        <w:rPr>
          <w:rFonts w:ascii="Arial" w:hAnsi="Arial" w:cs="Arial"/>
          <w:b/>
          <w:i w:val="0"/>
          <w:color w:val="auto"/>
        </w:rPr>
        <w:t>Oxidative Stress and Melatonin Interference</w:t>
      </w:r>
    </w:p>
    <w:p w14:paraId="1CAD70B6" w14:textId="77777777" w:rsidR="00225A26" w:rsidRPr="007D6BFD" w:rsidRDefault="00225A26" w:rsidP="007D6BFD">
      <w:pPr>
        <w:pStyle w:val="Heading4"/>
        <w:spacing w:line="276" w:lineRule="auto"/>
        <w:jc w:val="both"/>
        <w:rPr>
          <w:rFonts w:asciiTheme="minorHAnsi" w:eastAsiaTheme="minorHAnsi" w:hAnsiTheme="minorHAnsi" w:cstheme="minorBidi"/>
          <w:i w:val="0"/>
          <w:iCs w:val="0"/>
          <w:color w:val="auto"/>
        </w:rPr>
      </w:pPr>
    </w:p>
    <w:p w14:paraId="44C9B9ED" w14:textId="77777777" w:rsidR="00F87450" w:rsidRPr="007D6BFD" w:rsidRDefault="00F87450" w:rsidP="007D6BFD">
      <w:pPr>
        <w:pStyle w:val="Heading4"/>
        <w:spacing w:line="276" w:lineRule="auto"/>
        <w:jc w:val="both"/>
        <w:rPr>
          <w:rFonts w:ascii="Arial" w:hAnsi="Arial" w:cs="Arial"/>
          <w:b/>
          <w:i w:val="0"/>
          <w:color w:val="auto"/>
        </w:rPr>
      </w:pPr>
      <w:r w:rsidRPr="007D6BFD">
        <w:rPr>
          <w:rFonts w:ascii="Arial" w:hAnsi="Arial" w:cs="Arial"/>
          <w:i w:val="0"/>
          <w:color w:val="auto"/>
          <w:sz w:val="20"/>
          <w:szCs w:val="20"/>
        </w:rPr>
        <w:t xml:space="preserve">Periodontitis represents a site of pronounced oxidative stress generated by the combined effects of microbial virulence factors and host immune responses, particularly </w:t>
      </w:r>
      <w:r w:rsidR="004152BE" w:rsidRPr="007D6BFD">
        <w:rPr>
          <w:rFonts w:ascii="Arial" w:hAnsi="Arial" w:cs="Arial"/>
          <w:i w:val="0"/>
          <w:color w:val="auto"/>
          <w:sz w:val="20"/>
          <w:szCs w:val="20"/>
        </w:rPr>
        <w:t xml:space="preserve">the release of reactive oxidant </w:t>
      </w:r>
      <w:r w:rsidRPr="007D6BFD">
        <w:rPr>
          <w:rFonts w:ascii="Arial" w:hAnsi="Arial" w:cs="Arial"/>
          <w:i w:val="0"/>
          <w:color w:val="auto"/>
          <w:sz w:val="20"/>
          <w:szCs w:val="20"/>
        </w:rPr>
        <w:t>producing enzymes such as myeloperoxidase (MPO) from activated neutrophils</w:t>
      </w:r>
      <w:r w:rsidR="00225A26" w:rsidRPr="007D6BFD">
        <w:rPr>
          <w:rFonts w:ascii="Arial" w:hAnsi="Arial" w:cs="Arial"/>
          <w:i w:val="0"/>
          <w:color w:val="auto"/>
          <w:sz w:val="20"/>
          <w:szCs w:val="20"/>
        </w:rPr>
        <w:t xml:space="preserve"> [41]</w:t>
      </w:r>
      <w:r w:rsidRPr="007D6BFD">
        <w:rPr>
          <w:rFonts w:ascii="Arial" w:hAnsi="Arial" w:cs="Arial"/>
          <w:i w:val="0"/>
          <w:color w:val="auto"/>
          <w:sz w:val="20"/>
          <w:szCs w:val="20"/>
        </w:rPr>
        <w:t>. This sustained oxidative burden may exert systemic effects, including potential damage to the pineal gland, the principal organ responsible for melatonin synthesis</w:t>
      </w:r>
      <w:r w:rsidR="00225A26" w:rsidRPr="007D6BFD">
        <w:rPr>
          <w:rFonts w:ascii="Arial" w:hAnsi="Arial" w:cs="Arial"/>
          <w:i w:val="0"/>
          <w:color w:val="auto"/>
          <w:sz w:val="20"/>
          <w:szCs w:val="20"/>
        </w:rPr>
        <w:t xml:space="preserve"> [42]</w:t>
      </w:r>
      <w:r w:rsidRPr="007D6BFD">
        <w:rPr>
          <w:rFonts w:ascii="Arial" w:hAnsi="Arial" w:cs="Arial"/>
          <w:i w:val="0"/>
          <w:color w:val="auto"/>
          <w:sz w:val="20"/>
          <w:szCs w:val="20"/>
        </w:rPr>
        <w:t>. Melatonin, predominantly produced during the nocturnal phase, functions not only as a key chronobiological regulator but also as a potent antioxidant and anti-inflammatory molecule</w:t>
      </w:r>
      <w:r w:rsidR="00225A26" w:rsidRPr="007D6BFD">
        <w:rPr>
          <w:rFonts w:ascii="Arial" w:hAnsi="Arial" w:cs="Arial"/>
          <w:i w:val="0"/>
          <w:color w:val="auto"/>
          <w:sz w:val="20"/>
          <w:szCs w:val="20"/>
        </w:rPr>
        <w:t xml:space="preserve"> [42,43]</w:t>
      </w:r>
      <w:r w:rsidRPr="007D6BFD">
        <w:rPr>
          <w:rFonts w:ascii="Arial" w:hAnsi="Arial" w:cs="Arial"/>
          <w:i w:val="0"/>
          <w:color w:val="auto"/>
          <w:sz w:val="20"/>
          <w:szCs w:val="20"/>
        </w:rPr>
        <w:t xml:space="preserve">. Consequently, the systemic oxidative stress associated with periodontitis may impair nocturnal melatonin production. Reduced melatonin levels result in the loss of an essential circadian stabilizing signal and a diminished nightly antioxidant </w:t>
      </w:r>
      <w:proofErr w:type="spellStart"/>
      <w:r w:rsidRPr="007D6BFD">
        <w:rPr>
          <w:rFonts w:ascii="Arial" w:hAnsi="Arial" w:cs="Arial"/>
          <w:i w:val="0"/>
          <w:color w:val="auto"/>
          <w:sz w:val="20"/>
          <w:szCs w:val="20"/>
        </w:rPr>
        <w:t>defense</w:t>
      </w:r>
      <w:proofErr w:type="spellEnd"/>
      <w:r w:rsidRPr="007D6BFD">
        <w:rPr>
          <w:rFonts w:ascii="Arial" w:hAnsi="Arial" w:cs="Arial"/>
          <w:i w:val="0"/>
          <w:color w:val="auto"/>
          <w:sz w:val="20"/>
          <w:szCs w:val="20"/>
        </w:rPr>
        <w:t>, thereby rendering periodontal tissues more susceptible to oxidative injury and inflammatory damage during the subsequent active phase</w:t>
      </w:r>
      <w:r w:rsidR="00225A26" w:rsidRPr="007D6BFD">
        <w:rPr>
          <w:rFonts w:ascii="Arial" w:hAnsi="Arial" w:cs="Arial"/>
          <w:i w:val="0"/>
          <w:color w:val="auto"/>
          <w:sz w:val="20"/>
          <w:szCs w:val="20"/>
        </w:rPr>
        <w:t xml:space="preserve"> [45]</w:t>
      </w:r>
      <w:r w:rsidRPr="007D6BFD">
        <w:rPr>
          <w:color w:val="auto"/>
        </w:rPr>
        <w:t>.</w:t>
      </w:r>
    </w:p>
    <w:p w14:paraId="09EEA1B4" w14:textId="77777777" w:rsidR="00F66060" w:rsidRPr="007D6BFD" w:rsidRDefault="00E423F6" w:rsidP="007D6BFD">
      <w:pPr>
        <w:pStyle w:val="NormalWeb"/>
        <w:spacing w:line="276" w:lineRule="auto"/>
        <w:rPr>
          <w:rFonts w:ascii="Arial" w:hAnsi="Arial" w:cs="Arial"/>
          <w:sz w:val="22"/>
          <w:szCs w:val="22"/>
        </w:rPr>
      </w:pPr>
      <w:r w:rsidRPr="007D6BFD">
        <w:rPr>
          <w:rStyle w:val="Strong"/>
          <w:rFonts w:ascii="Arial" w:hAnsi="Arial" w:cs="Arial"/>
          <w:sz w:val="22"/>
          <w:szCs w:val="22"/>
        </w:rPr>
        <w:t>5</w:t>
      </w:r>
      <w:r w:rsidR="00F66060" w:rsidRPr="007D6BFD">
        <w:rPr>
          <w:rStyle w:val="Strong"/>
          <w:rFonts w:ascii="Arial" w:hAnsi="Arial" w:cs="Arial"/>
          <w:sz w:val="22"/>
          <w:szCs w:val="22"/>
        </w:rPr>
        <w:t xml:space="preserve">. Circadian Disruption as a Risk Modifier for Periodontal Breakdown: Markers of Impaired Host </w:t>
      </w:r>
      <w:proofErr w:type="spellStart"/>
      <w:r w:rsidR="00F66060" w:rsidRPr="007D6BFD">
        <w:rPr>
          <w:rStyle w:val="Strong"/>
          <w:rFonts w:ascii="Arial" w:hAnsi="Arial" w:cs="Arial"/>
          <w:sz w:val="22"/>
          <w:szCs w:val="22"/>
        </w:rPr>
        <w:t>Defense</w:t>
      </w:r>
      <w:proofErr w:type="spellEnd"/>
    </w:p>
    <w:p w14:paraId="22BE1962" w14:textId="77777777" w:rsidR="00F66060" w:rsidRPr="007D6BFD" w:rsidRDefault="00F66060" w:rsidP="007D6BFD">
      <w:pPr>
        <w:pStyle w:val="NormalWeb"/>
        <w:spacing w:line="276" w:lineRule="auto"/>
        <w:jc w:val="both"/>
        <w:rPr>
          <w:rFonts w:ascii="Arial" w:hAnsi="Arial" w:cs="Arial"/>
          <w:sz w:val="20"/>
          <w:szCs w:val="20"/>
        </w:rPr>
      </w:pPr>
      <w:r w:rsidRPr="007D6BFD">
        <w:rPr>
          <w:rFonts w:ascii="Arial" w:hAnsi="Arial" w:cs="Arial"/>
          <w:sz w:val="20"/>
          <w:szCs w:val="20"/>
        </w:rPr>
        <w:t xml:space="preserve">The second arm of the bidirectional model proposes that CRD itself acts as a potent risk modifier for periodontal disease by impairing host </w:t>
      </w:r>
      <w:proofErr w:type="spellStart"/>
      <w:r w:rsidRPr="007D6BFD">
        <w:rPr>
          <w:rFonts w:ascii="Arial" w:hAnsi="Arial" w:cs="Arial"/>
          <w:sz w:val="20"/>
          <w:szCs w:val="20"/>
        </w:rPr>
        <w:t>defense</w:t>
      </w:r>
      <w:proofErr w:type="spellEnd"/>
      <w:r w:rsidRPr="007D6BFD">
        <w:rPr>
          <w:rFonts w:ascii="Arial" w:hAnsi="Arial" w:cs="Arial"/>
          <w:sz w:val="20"/>
          <w:szCs w:val="20"/>
        </w:rPr>
        <w:t xml:space="preserve"> mechanisms and the resolution of inflammation, thereby accelerating periodontal tissue breakdown</w:t>
      </w:r>
      <w:r w:rsidR="00225A26" w:rsidRPr="007D6BFD">
        <w:rPr>
          <w:rFonts w:ascii="Arial" w:hAnsi="Arial" w:cs="Arial"/>
          <w:sz w:val="20"/>
          <w:szCs w:val="20"/>
        </w:rPr>
        <w:t xml:space="preserve"> [46]</w:t>
      </w:r>
      <w:r w:rsidRPr="007D6BFD">
        <w:rPr>
          <w:rFonts w:ascii="Arial" w:hAnsi="Arial" w:cs="Arial"/>
          <w:sz w:val="20"/>
          <w:szCs w:val="20"/>
        </w:rPr>
        <w:t>. This effect is mediated through the loss of rhythmic regulation of immune responses and bone metabolism, both of which are essential for maintaining periodontal homeostasis</w:t>
      </w:r>
      <w:r w:rsidR="00225A26" w:rsidRPr="007D6BFD">
        <w:rPr>
          <w:rFonts w:ascii="Arial" w:hAnsi="Arial" w:cs="Arial"/>
          <w:sz w:val="20"/>
          <w:szCs w:val="20"/>
        </w:rPr>
        <w:t xml:space="preserve"> [47]</w:t>
      </w:r>
      <w:r w:rsidRPr="007D6BFD">
        <w:rPr>
          <w:rFonts w:ascii="Arial" w:hAnsi="Arial" w:cs="Arial"/>
          <w:sz w:val="20"/>
          <w:szCs w:val="20"/>
        </w:rPr>
        <w:t>.</w:t>
      </w:r>
    </w:p>
    <w:p w14:paraId="71E097C5" w14:textId="77777777" w:rsidR="003E4839" w:rsidRPr="007D6BFD" w:rsidRDefault="00E423F6" w:rsidP="007D6BFD">
      <w:pPr>
        <w:pStyle w:val="NormalWeb"/>
        <w:spacing w:line="276" w:lineRule="auto"/>
        <w:rPr>
          <w:rFonts w:ascii="Arial" w:hAnsi="Arial" w:cs="Arial"/>
          <w:sz w:val="20"/>
          <w:szCs w:val="20"/>
        </w:rPr>
      </w:pPr>
      <w:r w:rsidRPr="007D6BFD">
        <w:rPr>
          <w:rStyle w:val="Strong"/>
          <w:rFonts w:ascii="Arial" w:hAnsi="Arial" w:cs="Arial"/>
          <w:sz w:val="22"/>
          <w:szCs w:val="22"/>
        </w:rPr>
        <w:t>5</w:t>
      </w:r>
      <w:r w:rsidR="00F66060" w:rsidRPr="007D6BFD">
        <w:rPr>
          <w:rStyle w:val="Strong"/>
          <w:rFonts w:ascii="Arial" w:hAnsi="Arial" w:cs="Arial"/>
          <w:sz w:val="22"/>
          <w:szCs w:val="22"/>
        </w:rPr>
        <w:t>.1. Immune Dysregulation and Failure of Inflammatory Resolution</w:t>
      </w:r>
      <w:r w:rsidR="00F66060" w:rsidRPr="007D6BFD">
        <w:br/>
      </w:r>
    </w:p>
    <w:p w14:paraId="502B523B" w14:textId="77777777" w:rsidR="00E34AE5" w:rsidRPr="007D6BFD" w:rsidRDefault="00E34AE5"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CRD disrupts the temporal organization of immune cell trafficking and function, directly compromising the host’s capacity to control and resolve periodontal inflammation [48]. Core clock genes such as BMAL1 and PER play a central role in regulating macrophage recruitment and inflammatory phenotype. When circadian regulation is impaired, macrophages ar</w:t>
      </w:r>
      <w:r w:rsidR="00166D88" w:rsidRPr="007D6BFD">
        <w:rPr>
          <w:rFonts w:ascii="Arial" w:eastAsia="Times New Roman" w:hAnsi="Arial" w:cs="Arial"/>
          <w:sz w:val="20"/>
          <w:szCs w:val="20"/>
          <w:lang w:eastAsia="en-IN"/>
        </w:rPr>
        <w:t xml:space="preserve">e skewed toward a sustained pro </w:t>
      </w:r>
      <w:r w:rsidRPr="007D6BFD">
        <w:rPr>
          <w:rFonts w:ascii="Arial" w:eastAsia="Times New Roman" w:hAnsi="Arial" w:cs="Arial"/>
          <w:sz w:val="20"/>
          <w:szCs w:val="20"/>
          <w:lang w:eastAsia="en-IN"/>
        </w:rPr>
        <w:t>inflammatory M1-like state, resulting in prolo</w:t>
      </w:r>
      <w:r w:rsidR="00166D88" w:rsidRPr="007D6BFD">
        <w:rPr>
          <w:rFonts w:ascii="Arial" w:eastAsia="Times New Roman" w:hAnsi="Arial" w:cs="Arial"/>
          <w:sz w:val="20"/>
          <w:szCs w:val="20"/>
          <w:lang w:eastAsia="en-IN"/>
        </w:rPr>
        <w:t xml:space="preserve">nged local production of tissue </w:t>
      </w:r>
      <w:r w:rsidRPr="007D6BFD">
        <w:rPr>
          <w:rFonts w:ascii="Arial" w:eastAsia="Times New Roman" w:hAnsi="Arial" w:cs="Arial"/>
          <w:sz w:val="20"/>
          <w:szCs w:val="20"/>
          <w:lang w:eastAsia="en-IN"/>
        </w:rPr>
        <w:t xml:space="preserve">destructive cytokines, including </w:t>
      </w:r>
      <w:r w:rsidR="00166D88" w:rsidRPr="007D6BFD">
        <w:rPr>
          <w:rFonts w:ascii="Arial" w:hAnsi="Arial" w:cs="Arial"/>
          <w:sz w:val="20"/>
          <w:szCs w:val="20"/>
        </w:rPr>
        <w:t>TNF-α</w:t>
      </w:r>
      <w:r w:rsidR="00166D88"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and </w:t>
      </w:r>
      <w:r w:rsidR="00166D88" w:rsidRPr="007D6BFD">
        <w:rPr>
          <w:rFonts w:ascii="Arial" w:hAnsi="Arial" w:cs="Arial"/>
          <w:sz w:val="20"/>
          <w:szCs w:val="20"/>
          <w:shd w:val="clear" w:color="auto" w:fill="FFFFFF"/>
        </w:rPr>
        <w:t>IL-1β</w:t>
      </w:r>
      <w:r w:rsidR="00166D88"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within the gingival tissues [49].</w:t>
      </w:r>
      <w:r w:rsidR="005E1A0B"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Fu</w:t>
      </w:r>
      <w:r w:rsidR="005E1A0B" w:rsidRPr="007D6BFD">
        <w:rPr>
          <w:rFonts w:ascii="Arial" w:eastAsia="Times New Roman" w:hAnsi="Arial" w:cs="Arial"/>
          <w:sz w:val="20"/>
          <w:szCs w:val="20"/>
          <w:lang w:eastAsia="en-IN"/>
        </w:rPr>
        <w:t>rthermore,</w:t>
      </w:r>
      <w:r w:rsidRPr="007D6BFD">
        <w:rPr>
          <w:rFonts w:ascii="Arial" w:eastAsia="Times New Roman" w:hAnsi="Arial" w:cs="Arial"/>
          <w:sz w:val="20"/>
          <w:szCs w:val="20"/>
          <w:lang w:eastAsia="en-IN"/>
        </w:rPr>
        <w:t xml:space="preserve"> the desynchronization of BMAL1 expression in periodontal ligament fibroblasts impairs the rhythmic deposition of extracellular matrix proteins, weakening the structural barrier against oral pathogens. This breakdown is exacerbated by an uncoup</w:t>
      </w:r>
      <w:r w:rsidR="00166D88" w:rsidRPr="007D6BFD">
        <w:rPr>
          <w:rFonts w:ascii="Arial" w:eastAsia="Times New Roman" w:hAnsi="Arial" w:cs="Arial"/>
          <w:sz w:val="20"/>
          <w:szCs w:val="20"/>
          <w:lang w:eastAsia="en-IN"/>
        </w:rPr>
        <w:t xml:space="preserve">led RANKL/OPG ratio, </w:t>
      </w:r>
      <w:r w:rsidRPr="007D6BFD">
        <w:rPr>
          <w:rFonts w:ascii="Arial" w:eastAsia="Times New Roman" w:hAnsi="Arial" w:cs="Arial"/>
          <w:sz w:val="20"/>
          <w:szCs w:val="20"/>
          <w:lang w:eastAsia="en-IN"/>
        </w:rPr>
        <w:t xml:space="preserve">under rhythmic conditions, this ratio is tightly controlled to balance bone </w:t>
      </w:r>
      <w:proofErr w:type="spellStart"/>
      <w:r w:rsidRPr="007D6BFD">
        <w:rPr>
          <w:rFonts w:ascii="Arial" w:eastAsia="Times New Roman" w:hAnsi="Arial" w:cs="Arial"/>
          <w:sz w:val="20"/>
          <w:szCs w:val="20"/>
          <w:lang w:eastAsia="en-IN"/>
        </w:rPr>
        <w:t>remodeling</w:t>
      </w:r>
      <w:proofErr w:type="spellEnd"/>
      <w:r w:rsidRPr="007D6BFD">
        <w:rPr>
          <w:rFonts w:ascii="Arial" w:eastAsia="Times New Roman" w:hAnsi="Arial" w:cs="Arial"/>
          <w:sz w:val="20"/>
          <w:szCs w:val="20"/>
          <w:lang w:eastAsia="en-IN"/>
        </w:rPr>
        <w:t xml:space="preserve">, but CRD drives a nocturnal surge in </w:t>
      </w:r>
      <w:proofErr w:type="spellStart"/>
      <w:r w:rsidRPr="007D6BFD">
        <w:rPr>
          <w:rFonts w:ascii="Arial" w:eastAsia="Times New Roman" w:hAnsi="Arial" w:cs="Arial"/>
          <w:sz w:val="20"/>
          <w:szCs w:val="20"/>
          <w:lang w:eastAsia="en-IN"/>
        </w:rPr>
        <w:t>osteoclastogenesis</w:t>
      </w:r>
      <w:proofErr w:type="spellEnd"/>
      <w:r w:rsidRPr="007D6BFD">
        <w:rPr>
          <w:rFonts w:ascii="Arial" w:eastAsia="Times New Roman" w:hAnsi="Arial" w:cs="Arial"/>
          <w:sz w:val="20"/>
          <w:szCs w:val="20"/>
          <w:lang w:eastAsia="en-IN"/>
        </w:rPr>
        <w:t>. Cons</w:t>
      </w:r>
      <w:r w:rsidR="00166D88" w:rsidRPr="007D6BFD">
        <w:rPr>
          <w:rFonts w:ascii="Arial" w:eastAsia="Times New Roman" w:hAnsi="Arial" w:cs="Arial"/>
          <w:sz w:val="20"/>
          <w:szCs w:val="20"/>
          <w:lang w:eastAsia="en-IN"/>
        </w:rPr>
        <w:t>equently, the lack of temporal rest phases</w:t>
      </w:r>
      <w:r w:rsidRPr="007D6BFD">
        <w:rPr>
          <w:rFonts w:ascii="Arial" w:eastAsia="Times New Roman" w:hAnsi="Arial" w:cs="Arial"/>
          <w:sz w:val="20"/>
          <w:szCs w:val="20"/>
          <w:lang w:eastAsia="en-IN"/>
        </w:rPr>
        <w:t xml:space="preserve"> for the alveolar bone leads to accelerated</w:t>
      </w:r>
      <w:r w:rsidR="00166D88" w:rsidRPr="007D6BFD">
        <w:rPr>
          <w:rFonts w:ascii="Arial" w:eastAsia="Times New Roman" w:hAnsi="Arial" w:cs="Arial"/>
          <w:sz w:val="20"/>
          <w:szCs w:val="20"/>
          <w:lang w:eastAsia="en-IN"/>
        </w:rPr>
        <w:t xml:space="preserve"> mineral density loss. </w:t>
      </w:r>
      <w:r w:rsidRPr="007D6BFD">
        <w:rPr>
          <w:rFonts w:ascii="Arial" w:eastAsia="Times New Roman" w:hAnsi="Arial" w:cs="Arial"/>
          <w:sz w:val="20"/>
          <w:szCs w:val="20"/>
          <w:lang w:eastAsia="en-IN"/>
        </w:rPr>
        <w:t>Beyond exaggerated inflammation, circadian disruption critically interferes with the active resolution phase of the immune response. Resolution of inflammation</w:t>
      </w:r>
      <w:r w:rsidR="00166D88" w:rsidRPr="007D6BFD">
        <w:rPr>
          <w:rFonts w:ascii="Arial" w:eastAsia="Times New Roman" w:hAnsi="Arial" w:cs="Arial"/>
          <w:sz w:val="20"/>
          <w:szCs w:val="20"/>
          <w:lang w:eastAsia="en-IN"/>
        </w:rPr>
        <w:t xml:space="preserve"> is a tightly regulated, energy </w:t>
      </w:r>
      <w:r w:rsidRPr="007D6BFD">
        <w:rPr>
          <w:rFonts w:ascii="Arial" w:eastAsia="Times New Roman" w:hAnsi="Arial" w:cs="Arial"/>
          <w:sz w:val="20"/>
          <w:szCs w:val="20"/>
          <w:lang w:eastAsia="en-IN"/>
        </w:rPr>
        <w:t xml:space="preserve">dependent process mediated by specialized </w:t>
      </w:r>
      <w:r w:rsidR="00166D88" w:rsidRPr="007D6BFD">
        <w:rPr>
          <w:rFonts w:ascii="Arial" w:eastAsia="Times New Roman" w:hAnsi="Arial" w:cs="Arial"/>
          <w:sz w:val="20"/>
          <w:szCs w:val="20"/>
          <w:lang w:eastAsia="en-IN"/>
        </w:rPr>
        <w:t xml:space="preserve">pro </w:t>
      </w:r>
      <w:r w:rsidRPr="007D6BFD">
        <w:rPr>
          <w:rFonts w:ascii="Arial" w:eastAsia="Times New Roman" w:hAnsi="Arial" w:cs="Arial"/>
          <w:sz w:val="20"/>
          <w:szCs w:val="20"/>
          <w:lang w:eastAsia="en-IN"/>
        </w:rPr>
        <w:t xml:space="preserve">resolving lipid mediators, such as </w:t>
      </w:r>
      <w:proofErr w:type="spellStart"/>
      <w:r w:rsidRPr="007D6BFD">
        <w:rPr>
          <w:rFonts w:ascii="Arial" w:eastAsia="Times New Roman" w:hAnsi="Arial" w:cs="Arial"/>
          <w:sz w:val="20"/>
          <w:szCs w:val="20"/>
          <w:lang w:eastAsia="en-IN"/>
        </w:rPr>
        <w:t>resolvins</w:t>
      </w:r>
      <w:proofErr w:type="spellEnd"/>
      <w:r w:rsidRPr="007D6BFD">
        <w:rPr>
          <w:rFonts w:ascii="Arial" w:eastAsia="Times New Roman" w:hAnsi="Arial" w:cs="Arial"/>
          <w:sz w:val="20"/>
          <w:szCs w:val="20"/>
          <w:lang w:eastAsia="en-IN"/>
        </w:rPr>
        <w:t xml:space="preserve"> and </w:t>
      </w:r>
      <w:proofErr w:type="spellStart"/>
      <w:r w:rsidRPr="007D6BFD">
        <w:rPr>
          <w:rFonts w:ascii="Arial" w:eastAsia="Times New Roman" w:hAnsi="Arial" w:cs="Arial"/>
          <w:sz w:val="20"/>
          <w:szCs w:val="20"/>
          <w:lang w:eastAsia="en-IN"/>
        </w:rPr>
        <w:t>protectins</w:t>
      </w:r>
      <w:proofErr w:type="spellEnd"/>
      <w:r w:rsidRPr="007D6BFD">
        <w:rPr>
          <w:rFonts w:ascii="Arial" w:eastAsia="Times New Roman" w:hAnsi="Arial" w:cs="Arial"/>
          <w:sz w:val="20"/>
          <w:szCs w:val="20"/>
          <w:lang w:eastAsia="en-IN"/>
        </w:rPr>
        <w:t>, whose biosynthesis follows a circadian pattern [51,52]. Disruption of circadian control impairs key enzymatic pathways involved in the synthesis of these mediators, including lipoxygenase and cyclooxygenase-dependent pathways, leading to ineffective termination of the inflammatory response [53]. As a result, acute periodontal inflammation fails to resolve appropriately and instead progresses toward a chr</w:t>
      </w:r>
      <w:r w:rsidR="00166D88" w:rsidRPr="007D6BFD">
        <w:rPr>
          <w:rFonts w:ascii="Arial" w:eastAsia="Times New Roman" w:hAnsi="Arial" w:cs="Arial"/>
          <w:sz w:val="20"/>
          <w:szCs w:val="20"/>
          <w:lang w:eastAsia="en-IN"/>
        </w:rPr>
        <w:t xml:space="preserve">onic, self-perpetuating, tissue </w:t>
      </w:r>
      <w:r w:rsidRPr="007D6BFD">
        <w:rPr>
          <w:rFonts w:ascii="Arial" w:eastAsia="Times New Roman" w:hAnsi="Arial" w:cs="Arial"/>
          <w:sz w:val="20"/>
          <w:szCs w:val="20"/>
          <w:lang w:eastAsia="en-IN"/>
        </w:rPr>
        <w:t>destructive state characteristic of periodontitis [54].</w:t>
      </w:r>
    </w:p>
    <w:p w14:paraId="28FE9067" w14:textId="77777777" w:rsidR="00166D88" w:rsidRPr="007D6BFD" w:rsidRDefault="00E423F6" w:rsidP="007D6BFD">
      <w:pPr>
        <w:pStyle w:val="NormalWeb"/>
        <w:spacing w:line="276" w:lineRule="auto"/>
        <w:rPr>
          <w:rFonts w:ascii="Arial" w:hAnsi="Arial" w:cs="Arial"/>
          <w:sz w:val="20"/>
          <w:szCs w:val="20"/>
        </w:rPr>
      </w:pPr>
      <w:r w:rsidRPr="007D6BFD">
        <w:rPr>
          <w:rStyle w:val="Strong"/>
          <w:rFonts w:ascii="Arial" w:hAnsi="Arial" w:cs="Arial"/>
          <w:sz w:val="22"/>
          <w:szCs w:val="22"/>
        </w:rPr>
        <w:t>5</w:t>
      </w:r>
      <w:r w:rsidR="00EA2E52" w:rsidRPr="007D6BFD">
        <w:rPr>
          <w:rStyle w:val="Strong"/>
          <w:rFonts w:ascii="Arial" w:hAnsi="Arial" w:cs="Arial"/>
          <w:sz w:val="22"/>
          <w:szCs w:val="22"/>
        </w:rPr>
        <w:t>.2</w:t>
      </w:r>
      <w:r w:rsidR="00F66060" w:rsidRPr="007D6BFD">
        <w:rPr>
          <w:rStyle w:val="Strong"/>
          <w:rFonts w:ascii="Arial" w:hAnsi="Arial" w:cs="Arial"/>
          <w:sz w:val="22"/>
          <w:szCs w:val="22"/>
        </w:rPr>
        <w:t xml:space="preserve"> Osteoimmunological Effects: Dysregulation of the RANKL/OPG Axis</w:t>
      </w:r>
      <w:r w:rsidR="00F66060" w:rsidRPr="007D6BFD">
        <w:rPr>
          <w:rFonts w:ascii="Arial" w:hAnsi="Arial" w:cs="Arial"/>
          <w:sz w:val="22"/>
          <w:szCs w:val="22"/>
        </w:rPr>
        <w:br/>
      </w:r>
    </w:p>
    <w:p w14:paraId="48F699A2" w14:textId="77777777" w:rsidR="00225A26" w:rsidRPr="007D6BFD" w:rsidRDefault="00225A26" w:rsidP="007D6BFD">
      <w:pPr>
        <w:pStyle w:val="NormalWeb"/>
        <w:spacing w:line="276" w:lineRule="auto"/>
        <w:jc w:val="both"/>
        <w:rPr>
          <w:rFonts w:ascii="Arial" w:hAnsi="Arial" w:cs="Arial"/>
          <w:sz w:val="20"/>
          <w:szCs w:val="20"/>
        </w:rPr>
      </w:pPr>
      <w:r w:rsidRPr="007D6BFD">
        <w:rPr>
          <w:rFonts w:ascii="Arial" w:hAnsi="Arial" w:cs="Arial"/>
          <w:sz w:val="20"/>
          <w:szCs w:val="20"/>
        </w:rPr>
        <w:t xml:space="preserve">Alveolar bone loss, the defining pathological feature of periodontitis, is governed by the balance between osteoclast-mediated bone resorption and osteoblast-driven bone formation, a process </w:t>
      </w:r>
      <w:r w:rsidRPr="007D6BFD">
        <w:rPr>
          <w:rFonts w:ascii="Arial" w:hAnsi="Arial" w:cs="Arial"/>
          <w:sz w:val="20"/>
          <w:szCs w:val="20"/>
        </w:rPr>
        <w:lastRenderedPageBreak/>
        <w:t xml:space="preserve">collectively described as osteoimmunology [55]. This balance is under strong circadian control. Bone resorption is regulated primarily by the interaction of </w:t>
      </w:r>
      <w:r w:rsidR="005E1A0B" w:rsidRPr="007D6BFD">
        <w:rPr>
          <w:rFonts w:ascii="Arial" w:hAnsi="Arial" w:cs="Arial"/>
          <w:sz w:val="20"/>
          <w:szCs w:val="20"/>
        </w:rPr>
        <w:t>NF-</w:t>
      </w:r>
      <w:proofErr w:type="spellStart"/>
      <w:r w:rsidR="005E1A0B" w:rsidRPr="007D6BFD">
        <w:rPr>
          <w:rFonts w:ascii="Arial" w:hAnsi="Arial" w:cs="Arial"/>
          <w:sz w:val="20"/>
          <w:szCs w:val="20"/>
        </w:rPr>
        <w:t>κB</w:t>
      </w:r>
      <w:proofErr w:type="spellEnd"/>
      <w:r w:rsidR="005E1A0B" w:rsidRPr="007D6BFD">
        <w:rPr>
          <w:rFonts w:ascii="Arial" w:hAnsi="Arial" w:cs="Arial"/>
          <w:sz w:val="20"/>
          <w:szCs w:val="20"/>
        </w:rPr>
        <w:t xml:space="preserve"> </w:t>
      </w:r>
      <w:r w:rsidRPr="007D6BFD">
        <w:rPr>
          <w:rFonts w:ascii="Arial" w:hAnsi="Arial" w:cs="Arial"/>
          <w:sz w:val="20"/>
          <w:szCs w:val="20"/>
        </w:rPr>
        <w:t xml:space="preserve">with its receptor on osteoclast precursors, while </w:t>
      </w:r>
      <w:proofErr w:type="spellStart"/>
      <w:r w:rsidRPr="007D6BFD">
        <w:rPr>
          <w:rFonts w:ascii="Arial" w:hAnsi="Arial" w:cs="Arial"/>
          <w:sz w:val="20"/>
          <w:szCs w:val="20"/>
        </w:rPr>
        <w:t>osteoprotegerin</w:t>
      </w:r>
      <w:proofErr w:type="spellEnd"/>
      <w:r w:rsidRPr="007D6BFD">
        <w:rPr>
          <w:rFonts w:ascii="Arial" w:hAnsi="Arial" w:cs="Arial"/>
          <w:sz w:val="20"/>
          <w:szCs w:val="20"/>
        </w:rPr>
        <w:t xml:space="preserve"> functions as a decoy receptor that limits </w:t>
      </w:r>
      <w:proofErr w:type="spellStart"/>
      <w:r w:rsidRPr="007D6BFD">
        <w:rPr>
          <w:rFonts w:ascii="Arial" w:hAnsi="Arial" w:cs="Arial"/>
          <w:sz w:val="20"/>
          <w:szCs w:val="20"/>
        </w:rPr>
        <w:t>osteoclastogenesis</w:t>
      </w:r>
      <w:proofErr w:type="spellEnd"/>
      <w:r w:rsidRPr="007D6BFD">
        <w:rPr>
          <w:rFonts w:ascii="Arial" w:hAnsi="Arial" w:cs="Arial"/>
          <w:sz w:val="20"/>
          <w:szCs w:val="20"/>
        </w:rPr>
        <w:t xml:space="preserve"> [56].</w:t>
      </w:r>
    </w:p>
    <w:p w14:paraId="3770AA01" w14:textId="77777777" w:rsidR="00225A26" w:rsidRPr="007D6BFD" w:rsidRDefault="00225A26" w:rsidP="007D6BFD">
      <w:pPr>
        <w:pStyle w:val="NormalWeb"/>
        <w:spacing w:line="276" w:lineRule="auto"/>
        <w:jc w:val="both"/>
        <w:rPr>
          <w:rFonts w:ascii="Arial" w:hAnsi="Arial" w:cs="Arial"/>
          <w:sz w:val="20"/>
          <w:szCs w:val="20"/>
        </w:rPr>
      </w:pPr>
      <w:r w:rsidRPr="007D6BFD">
        <w:rPr>
          <w:rFonts w:ascii="Arial" w:hAnsi="Arial" w:cs="Arial"/>
          <w:sz w:val="20"/>
          <w:szCs w:val="20"/>
        </w:rPr>
        <w:t xml:space="preserve">Both osteoblasts and osteoclasts possess functional peripheral circadian clocks, and experimental studies demonstrate that disruption of core clock genes, including BMAL1, enhances osteoclast differentiation and bone resorption [57,58]. In the context of circadian rhythm disruption, dysregulation of clock gene expression in gingival fibroblasts and alveolar bone cells is hypothesized to shift the rhythmic balance toward increased expression of </w:t>
      </w:r>
      <w:r w:rsidR="005E1A0B" w:rsidRPr="007D6BFD">
        <w:rPr>
          <w:rFonts w:ascii="Arial" w:hAnsi="Arial" w:cs="Arial"/>
          <w:sz w:val="20"/>
          <w:szCs w:val="20"/>
        </w:rPr>
        <w:t>NF-</w:t>
      </w:r>
      <w:proofErr w:type="spellStart"/>
      <w:r w:rsidR="005E1A0B" w:rsidRPr="007D6BFD">
        <w:rPr>
          <w:rFonts w:ascii="Arial" w:hAnsi="Arial" w:cs="Arial"/>
          <w:sz w:val="20"/>
          <w:szCs w:val="20"/>
        </w:rPr>
        <w:t>κB</w:t>
      </w:r>
      <w:proofErr w:type="spellEnd"/>
      <w:r w:rsidR="005E1A0B" w:rsidRPr="007D6BFD">
        <w:rPr>
          <w:rFonts w:ascii="Arial" w:hAnsi="Arial" w:cs="Arial"/>
          <w:sz w:val="20"/>
          <w:szCs w:val="20"/>
        </w:rPr>
        <w:t xml:space="preserve"> </w:t>
      </w:r>
      <w:r w:rsidRPr="007D6BFD">
        <w:rPr>
          <w:rFonts w:ascii="Arial" w:hAnsi="Arial" w:cs="Arial"/>
          <w:sz w:val="20"/>
          <w:szCs w:val="20"/>
        </w:rPr>
        <w:t xml:space="preserve">relative to </w:t>
      </w:r>
      <w:proofErr w:type="spellStart"/>
      <w:r w:rsidRPr="007D6BFD">
        <w:rPr>
          <w:rFonts w:ascii="Arial" w:hAnsi="Arial" w:cs="Arial"/>
          <w:sz w:val="20"/>
          <w:szCs w:val="20"/>
        </w:rPr>
        <w:t>osteoprotegerin</w:t>
      </w:r>
      <w:proofErr w:type="spellEnd"/>
      <w:r w:rsidRPr="007D6BFD">
        <w:rPr>
          <w:rFonts w:ascii="Arial" w:hAnsi="Arial" w:cs="Arial"/>
          <w:sz w:val="20"/>
          <w:szCs w:val="20"/>
        </w:rPr>
        <w:t xml:space="preserve">, thereby </w:t>
      </w:r>
      <w:proofErr w:type="spellStart"/>
      <w:r w:rsidRPr="007D6BFD">
        <w:rPr>
          <w:rFonts w:ascii="Arial" w:hAnsi="Arial" w:cs="Arial"/>
          <w:sz w:val="20"/>
          <w:szCs w:val="20"/>
        </w:rPr>
        <w:t>favoring</w:t>
      </w:r>
      <w:proofErr w:type="spellEnd"/>
      <w:r w:rsidRPr="007D6BFD">
        <w:rPr>
          <w:rFonts w:ascii="Arial" w:hAnsi="Arial" w:cs="Arial"/>
          <w:sz w:val="20"/>
          <w:szCs w:val="20"/>
        </w:rPr>
        <w:t xml:space="preserve"> pathological bone loss [59].</w:t>
      </w:r>
    </w:p>
    <w:p w14:paraId="7836AD25" w14:textId="77777777" w:rsidR="00225A26" w:rsidRPr="007D6BFD" w:rsidRDefault="00225A26" w:rsidP="007D6BFD">
      <w:pPr>
        <w:pStyle w:val="NormalWeb"/>
        <w:spacing w:line="276" w:lineRule="auto"/>
        <w:jc w:val="both"/>
        <w:rPr>
          <w:rFonts w:ascii="Arial" w:hAnsi="Arial" w:cs="Arial"/>
          <w:sz w:val="20"/>
          <w:szCs w:val="20"/>
        </w:rPr>
      </w:pPr>
      <w:r w:rsidRPr="007D6BFD">
        <w:rPr>
          <w:rFonts w:ascii="Arial" w:hAnsi="Arial" w:cs="Arial"/>
          <w:sz w:val="20"/>
          <w:szCs w:val="20"/>
        </w:rPr>
        <w:t xml:space="preserve">Circadian disruption also affects connective tissue integrity through altered regulation of matrix </w:t>
      </w:r>
      <w:proofErr w:type="spellStart"/>
      <w:r w:rsidRPr="007D6BFD">
        <w:rPr>
          <w:rFonts w:ascii="Arial" w:hAnsi="Arial" w:cs="Arial"/>
          <w:sz w:val="20"/>
          <w:szCs w:val="20"/>
        </w:rPr>
        <w:t>remodeling</w:t>
      </w:r>
      <w:proofErr w:type="spellEnd"/>
      <w:r w:rsidRPr="007D6BFD">
        <w:rPr>
          <w:rFonts w:ascii="Arial" w:hAnsi="Arial" w:cs="Arial"/>
          <w:sz w:val="20"/>
          <w:szCs w:val="20"/>
        </w:rPr>
        <w:t xml:space="preserve"> enzymes. </w:t>
      </w:r>
      <w:r w:rsidR="005E1A0B" w:rsidRPr="007D6BFD">
        <w:rPr>
          <w:rFonts w:ascii="Arial" w:hAnsi="Arial" w:cs="Arial"/>
          <w:sz w:val="20"/>
          <w:szCs w:val="20"/>
        </w:rPr>
        <w:t>MMPs</w:t>
      </w:r>
      <w:r w:rsidRPr="007D6BFD">
        <w:rPr>
          <w:rFonts w:ascii="Arial" w:hAnsi="Arial" w:cs="Arial"/>
          <w:sz w:val="20"/>
          <w:szCs w:val="20"/>
        </w:rPr>
        <w:t xml:space="preserve">, particularly </w:t>
      </w:r>
      <w:r w:rsidR="00F0687C" w:rsidRPr="007D6BFD">
        <w:rPr>
          <w:rFonts w:ascii="Arial" w:hAnsi="Arial" w:cs="Arial"/>
          <w:sz w:val="20"/>
          <w:szCs w:val="20"/>
        </w:rPr>
        <w:t>MMP</w:t>
      </w:r>
      <w:r w:rsidRPr="007D6BFD">
        <w:rPr>
          <w:rFonts w:ascii="Arial" w:hAnsi="Arial" w:cs="Arial"/>
          <w:sz w:val="20"/>
          <w:szCs w:val="20"/>
        </w:rPr>
        <w:t xml:space="preserve">-8 and </w:t>
      </w:r>
      <w:r w:rsidR="00F0687C" w:rsidRPr="007D6BFD">
        <w:rPr>
          <w:rFonts w:ascii="Arial" w:hAnsi="Arial" w:cs="Arial"/>
          <w:sz w:val="20"/>
          <w:szCs w:val="20"/>
        </w:rPr>
        <w:t>MMP</w:t>
      </w:r>
      <w:r w:rsidRPr="007D6BFD">
        <w:rPr>
          <w:rFonts w:ascii="Arial" w:hAnsi="Arial" w:cs="Arial"/>
          <w:sz w:val="20"/>
          <w:szCs w:val="20"/>
        </w:rPr>
        <w:t xml:space="preserve">-9, are key mediators of collagen degradation in periodontal tissues and are tightly controlled by tissue inhibitors of </w:t>
      </w:r>
      <w:r w:rsidR="00F0687C" w:rsidRPr="007D6BFD">
        <w:rPr>
          <w:rFonts w:ascii="Arial" w:hAnsi="Arial" w:cs="Arial"/>
          <w:sz w:val="20"/>
          <w:szCs w:val="20"/>
        </w:rPr>
        <w:t>MMP</w:t>
      </w:r>
      <w:r w:rsidRPr="007D6BFD">
        <w:rPr>
          <w:rFonts w:ascii="Arial" w:hAnsi="Arial" w:cs="Arial"/>
          <w:sz w:val="20"/>
          <w:szCs w:val="20"/>
        </w:rPr>
        <w:t xml:space="preserve">. Both </w:t>
      </w:r>
      <w:r w:rsidR="005E1A0B" w:rsidRPr="007D6BFD">
        <w:rPr>
          <w:rFonts w:ascii="Arial" w:hAnsi="Arial" w:cs="Arial"/>
          <w:sz w:val="20"/>
          <w:szCs w:val="20"/>
        </w:rPr>
        <w:t>MMP</w:t>
      </w:r>
      <w:r w:rsidRPr="007D6BFD">
        <w:rPr>
          <w:rFonts w:ascii="Arial" w:hAnsi="Arial" w:cs="Arial"/>
          <w:sz w:val="20"/>
          <w:szCs w:val="20"/>
        </w:rPr>
        <w:t xml:space="preserve"> activity and inhibitor expression exhibit circadian rhythmicity, and disruption of this balance promotes sustained extracellular matrix degradation independent of microbial burden [60]. Collectively, these immune and osteoimmunological alterations position circadian rhythm disruption as a critical modifier of periodontal disease severity and progression [61].</w:t>
      </w:r>
      <w:r w:rsidR="0012037D" w:rsidRPr="007D6BFD">
        <w:rPr>
          <w:rFonts w:ascii="Arial" w:hAnsi="Arial" w:cs="Arial"/>
          <w:sz w:val="20"/>
          <w:szCs w:val="20"/>
        </w:rPr>
        <w:t xml:space="preserve"> Table 1. </w:t>
      </w:r>
      <w:r w:rsidR="0012037D" w:rsidRPr="007D6BFD">
        <w:rPr>
          <w:rFonts w:ascii="Arial" w:hAnsi="Arial" w:cs="Arial"/>
          <w:sz w:val="20"/>
          <w:szCs w:val="20"/>
          <w:shd w:val="clear" w:color="auto" w:fill="FFFFFF"/>
        </w:rPr>
        <w:t xml:space="preserve">outlines the specific molecular drivers ranging from pro-inflammatory cytokines to bone </w:t>
      </w:r>
      <w:proofErr w:type="spellStart"/>
      <w:r w:rsidR="0012037D" w:rsidRPr="007D6BFD">
        <w:rPr>
          <w:rFonts w:ascii="Arial" w:hAnsi="Arial" w:cs="Arial"/>
          <w:sz w:val="20"/>
          <w:szCs w:val="20"/>
          <w:shd w:val="clear" w:color="auto" w:fill="FFFFFF"/>
        </w:rPr>
        <w:t>remodeling</w:t>
      </w:r>
      <w:proofErr w:type="spellEnd"/>
      <w:r w:rsidR="0012037D" w:rsidRPr="007D6BFD">
        <w:rPr>
          <w:rFonts w:ascii="Arial" w:hAnsi="Arial" w:cs="Arial"/>
          <w:sz w:val="20"/>
          <w:szCs w:val="20"/>
          <w:shd w:val="clear" w:color="auto" w:fill="FFFFFF"/>
        </w:rPr>
        <w:t xml:space="preserve"> proteins that facilitate the bidirectional communication between localized periodontal destruction and systemic circadian rhythm disruption</w:t>
      </w:r>
      <w:r w:rsidR="0012037D" w:rsidRPr="007D6BFD">
        <w:rPr>
          <w:rFonts w:ascii="Arial" w:hAnsi="Arial" w:cs="Arial"/>
          <w:sz w:val="20"/>
          <w:szCs w:val="20"/>
        </w:rPr>
        <w:t xml:space="preserve">. </w:t>
      </w:r>
    </w:p>
    <w:p w14:paraId="649D5AE7" w14:textId="77777777" w:rsidR="00CF3BDA" w:rsidRPr="007D6BFD" w:rsidRDefault="00225A26" w:rsidP="007D6BFD">
      <w:pPr>
        <w:spacing w:line="276" w:lineRule="auto"/>
        <w:jc w:val="both"/>
        <w:rPr>
          <w:rFonts w:ascii="Arial" w:hAnsi="Arial" w:cs="Arial"/>
          <w:b/>
          <w:sz w:val="20"/>
          <w:szCs w:val="20"/>
        </w:rPr>
      </w:pPr>
      <w:r w:rsidRPr="007D6BFD">
        <w:rPr>
          <w:rFonts w:ascii="Arial" w:hAnsi="Arial" w:cs="Arial"/>
          <w:b/>
          <w:sz w:val="20"/>
          <w:szCs w:val="20"/>
        </w:rPr>
        <w:t xml:space="preserve"> </w:t>
      </w:r>
      <w:r w:rsidR="00525865" w:rsidRPr="007D6BFD">
        <w:rPr>
          <w:rFonts w:ascii="Arial" w:hAnsi="Arial" w:cs="Arial"/>
          <w:b/>
          <w:sz w:val="20"/>
          <w:szCs w:val="20"/>
        </w:rPr>
        <w:t>Table 1</w:t>
      </w:r>
      <w:r w:rsidR="001E410A" w:rsidRPr="007D6BFD">
        <w:rPr>
          <w:rFonts w:ascii="Arial" w:hAnsi="Arial" w:cs="Arial"/>
          <w:b/>
          <w:sz w:val="20"/>
          <w:szCs w:val="20"/>
        </w:rPr>
        <w:t>.</w:t>
      </w:r>
      <w:r w:rsidR="00CF3BDA" w:rsidRPr="007D6BFD">
        <w:rPr>
          <w:rFonts w:ascii="Arial" w:hAnsi="Arial" w:cs="Arial"/>
          <w:b/>
          <w:sz w:val="20"/>
          <w:szCs w:val="20"/>
        </w:rPr>
        <w:t xml:space="preserve"> Inflammatory Markers as</w:t>
      </w:r>
      <w:r w:rsidR="004152BE" w:rsidRPr="007D6BFD">
        <w:rPr>
          <w:rFonts w:ascii="Arial" w:hAnsi="Arial" w:cs="Arial"/>
          <w:b/>
          <w:sz w:val="20"/>
          <w:szCs w:val="20"/>
        </w:rPr>
        <w:t xml:space="preserve"> Mediators of the Periodontitis </w:t>
      </w:r>
      <w:r w:rsidR="00CF3BDA" w:rsidRPr="007D6BFD">
        <w:rPr>
          <w:rFonts w:ascii="Arial" w:hAnsi="Arial" w:cs="Arial"/>
          <w:b/>
          <w:sz w:val="20"/>
          <w:szCs w:val="20"/>
        </w:rPr>
        <w:t>CRD Axis</w:t>
      </w:r>
    </w:p>
    <w:tbl>
      <w:tblPr>
        <w:tblStyle w:val="TableGrid"/>
        <w:tblW w:w="0" w:type="auto"/>
        <w:tblLook w:val="04A0" w:firstRow="1" w:lastRow="0" w:firstColumn="1" w:lastColumn="0" w:noHBand="0" w:noVBand="1"/>
      </w:tblPr>
      <w:tblGrid>
        <w:gridCol w:w="2180"/>
        <w:gridCol w:w="2168"/>
        <w:gridCol w:w="2490"/>
        <w:gridCol w:w="2178"/>
      </w:tblGrid>
      <w:tr w:rsidR="007D6BFD" w:rsidRPr="007D6BFD" w14:paraId="3153611C" w14:textId="77777777" w:rsidTr="00084D3C">
        <w:trPr>
          <w:trHeight w:val="1125"/>
        </w:trPr>
        <w:tc>
          <w:tcPr>
            <w:tcW w:w="2181" w:type="dxa"/>
          </w:tcPr>
          <w:p w14:paraId="03B53081" w14:textId="77777777" w:rsidR="00CC7889" w:rsidRPr="007D6BFD" w:rsidRDefault="00CC7889" w:rsidP="007D6BFD">
            <w:pPr>
              <w:spacing w:line="276" w:lineRule="auto"/>
              <w:jc w:val="both"/>
              <w:rPr>
                <w:rFonts w:ascii="Arial" w:hAnsi="Arial" w:cs="Arial"/>
                <w:sz w:val="20"/>
                <w:szCs w:val="20"/>
              </w:rPr>
            </w:pPr>
          </w:p>
          <w:p w14:paraId="59127D82"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Inflammatory Marker</w:t>
            </w:r>
          </w:p>
        </w:tc>
        <w:tc>
          <w:tcPr>
            <w:tcW w:w="2172" w:type="dxa"/>
          </w:tcPr>
          <w:p w14:paraId="3565CA5B" w14:textId="77777777" w:rsidR="00CC7889" w:rsidRPr="007D6BFD" w:rsidRDefault="00CC7889" w:rsidP="007D6BFD">
            <w:pPr>
              <w:spacing w:line="276" w:lineRule="auto"/>
              <w:jc w:val="both"/>
              <w:rPr>
                <w:rFonts w:ascii="Arial" w:hAnsi="Arial" w:cs="Arial"/>
                <w:sz w:val="20"/>
                <w:szCs w:val="20"/>
              </w:rPr>
            </w:pPr>
          </w:p>
          <w:p w14:paraId="1D10CEA4"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Role in Periodontitis Pathology</w:t>
            </w:r>
          </w:p>
        </w:tc>
        <w:tc>
          <w:tcPr>
            <w:tcW w:w="2491" w:type="dxa"/>
          </w:tcPr>
          <w:p w14:paraId="28D42B4B" w14:textId="77777777" w:rsidR="00CC7889" w:rsidRPr="007D6BFD" w:rsidRDefault="00CC7889" w:rsidP="007D6BFD">
            <w:pPr>
              <w:spacing w:line="276" w:lineRule="auto"/>
              <w:jc w:val="both"/>
              <w:rPr>
                <w:rFonts w:ascii="Arial" w:hAnsi="Arial" w:cs="Arial"/>
                <w:sz w:val="20"/>
                <w:szCs w:val="20"/>
              </w:rPr>
            </w:pPr>
          </w:p>
          <w:p w14:paraId="6E8D9B2F"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Hypothesized Role in CRD Link</w:t>
            </w:r>
          </w:p>
        </w:tc>
        <w:tc>
          <w:tcPr>
            <w:tcW w:w="2182" w:type="dxa"/>
          </w:tcPr>
          <w:p w14:paraId="49874A17" w14:textId="77777777" w:rsidR="00CC7889" w:rsidRPr="007D6BFD" w:rsidRDefault="00CC7889" w:rsidP="007D6BFD">
            <w:pPr>
              <w:spacing w:line="276" w:lineRule="auto"/>
              <w:jc w:val="both"/>
              <w:rPr>
                <w:rFonts w:ascii="Arial" w:hAnsi="Arial" w:cs="Arial"/>
                <w:sz w:val="20"/>
                <w:szCs w:val="20"/>
              </w:rPr>
            </w:pPr>
          </w:p>
          <w:p w14:paraId="66324379"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Biological Effect of Dysregulation</w:t>
            </w:r>
          </w:p>
        </w:tc>
      </w:tr>
      <w:tr w:rsidR="007D6BFD" w:rsidRPr="007D6BFD" w14:paraId="11B87117" w14:textId="77777777" w:rsidTr="00084D3C">
        <w:trPr>
          <w:trHeight w:val="2271"/>
        </w:trPr>
        <w:tc>
          <w:tcPr>
            <w:tcW w:w="2181" w:type="dxa"/>
          </w:tcPr>
          <w:p w14:paraId="66C13514" w14:textId="77777777" w:rsidR="00880D9F" w:rsidRPr="007D6BFD" w:rsidRDefault="00880D9F" w:rsidP="007D6BFD">
            <w:pPr>
              <w:spacing w:line="276" w:lineRule="auto"/>
              <w:jc w:val="both"/>
              <w:rPr>
                <w:rFonts w:ascii="Arial" w:hAnsi="Arial" w:cs="Arial"/>
                <w:b/>
                <w:sz w:val="20"/>
                <w:szCs w:val="20"/>
              </w:rPr>
            </w:pPr>
          </w:p>
          <w:p w14:paraId="1D1E2C2A"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 xml:space="preserve">Interleukin-6 (IL-6) </w:t>
            </w:r>
          </w:p>
        </w:tc>
        <w:tc>
          <w:tcPr>
            <w:tcW w:w="2172" w:type="dxa"/>
          </w:tcPr>
          <w:p w14:paraId="29911051" w14:textId="77777777" w:rsidR="00CC7889" w:rsidRPr="007D6BFD" w:rsidRDefault="00CC7889" w:rsidP="007D6BFD">
            <w:pPr>
              <w:spacing w:line="276" w:lineRule="auto"/>
              <w:jc w:val="both"/>
              <w:rPr>
                <w:rFonts w:ascii="Arial" w:hAnsi="Arial" w:cs="Arial"/>
                <w:sz w:val="20"/>
                <w:szCs w:val="20"/>
              </w:rPr>
            </w:pPr>
          </w:p>
          <w:p w14:paraId="3D2BAAB9"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Local bone resorption, systemic</w:t>
            </w:r>
            <w:r w:rsidR="004152BE" w:rsidRPr="007D6BFD">
              <w:rPr>
                <w:rFonts w:ascii="Arial" w:hAnsi="Arial" w:cs="Arial"/>
                <w:sz w:val="20"/>
                <w:szCs w:val="20"/>
              </w:rPr>
              <w:t xml:space="preserve"> and acute phase proteins </w:t>
            </w:r>
            <w:r w:rsidRPr="007D6BFD">
              <w:rPr>
                <w:rFonts w:ascii="Arial" w:hAnsi="Arial" w:cs="Arial"/>
                <w:sz w:val="20"/>
                <w:szCs w:val="20"/>
              </w:rPr>
              <w:t xml:space="preserve">induction </w:t>
            </w:r>
            <w:r w:rsidR="00795D45" w:rsidRPr="007D6BFD">
              <w:rPr>
                <w:rFonts w:ascii="Arial" w:hAnsi="Arial" w:cs="Arial"/>
                <w:sz w:val="20"/>
                <w:szCs w:val="20"/>
              </w:rPr>
              <w:t>[62].</w:t>
            </w:r>
          </w:p>
        </w:tc>
        <w:tc>
          <w:tcPr>
            <w:tcW w:w="2491" w:type="dxa"/>
          </w:tcPr>
          <w:p w14:paraId="4F4156FE" w14:textId="77777777" w:rsidR="00CC7889" w:rsidRPr="007D6BFD" w:rsidRDefault="00CC7889" w:rsidP="007D6BFD">
            <w:pPr>
              <w:spacing w:line="276" w:lineRule="auto"/>
              <w:jc w:val="both"/>
              <w:rPr>
                <w:rFonts w:ascii="Arial" w:hAnsi="Arial" w:cs="Arial"/>
                <w:bCs/>
                <w:sz w:val="20"/>
                <w:szCs w:val="20"/>
              </w:rPr>
            </w:pPr>
          </w:p>
          <w:p w14:paraId="18B33BAC"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bCs/>
                <w:sz w:val="20"/>
                <w:szCs w:val="20"/>
              </w:rPr>
              <w:t>Chronic Systemic Signal:</w:t>
            </w:r>
            <w:r w:rsidRPr="007D6BFD">
              <w:rPr>
                <w:rFonts w:ascii="Arial" w:hAnsi="Arial" w:cs="Arial"/>
                <w:sz w:val="20"/>
                <w:szCs w:val="20"/>
              </w:rPr>
              <w:t xml:space="preserve"> Acts as a non-photic </w:t>
            </w:r>
            <w:r w:rsidRPr="007D6BFD">
              <w:rPr>
                <w:rFonts w:ascii="Arial" w:hAnsi="Arial" w:cs="Arial"/>
                <w:iCs/>
                <w:sz w:val="20"/>
                <w:szCs w:val="20"/>
              </w:rPr>
              <w:t>zeitgeber</w:t>
            </w:r>
            <w:r w:rsidRPr="007D6BFD">
              <w:rPr>
                <w:rFonts w:ascii="Arial" w:hAnsi="Arial" w:cs="Arial"/>
                <w:sz w:val="20"/>
                <w:szCs w:val="20"/>
              </w:rPr>
              <w:t>, d</w:t>
            </w:r>
            <w:r w:rsidR="004152BE" w:rsidRPr="007D6BFD">
              <w:rPr>
                <w:rFonts w:ascii="Arial" w:hAnsi="Arial" w:cs="Arial"/>
                <w:sz w:val="20"/>
                <w:szCs w:val="20"/>
              </w:rPr>
              <w:t xml:space="preserve">ampens the amplitude of central and </w:t>
            </w:r>
            <w:r w:rsidRPr="007D6BFD">
              <w:rPr>
                <w:rFonts w:ascii="Arial" w:hAnsi="Arial" w:cs="Arial"/>
                <w:sz w:val="20"/>
                <w:szCs w:val="20"/>
              </w:rPr>
              <w:t>peripheral clocks</w:t>
            </w:r>
            <w:r w:rsidR="00E5670A" w:rsidRPr="007D6BFD">
              <w:rPr>
                <w:rFonts w:ascii="Arial" w:hAnsi="Arial" w:cs="Arial"/>
                <w:sz w:val="20"/>
                <w:szCs w:val="20"/>
              </w:rPr>
              <w:t xml:space="preserve"> [63,64]</w:t>
            </w:r>
            <w:r w:rsidRPr="007D6BFD">
              <w:rPr>
                <w:rFonts w:ascii="Arial" w:hAnsi="Arial" w:cs="Arial"/>
                <w:sz w:val="20"/>
                <w:szCs w:val="20"/>
              </w:rPr>
              <w:t>.</w:t>
            </w:r>
          </w:p>
        </w:tc>
        <w:tc>
          <w:tcPr>
            <w:tcW w:w="2182" w:type="dxa"/>
          </w:tcPr>
          <w:p w14:paraId="2F04F074" w14:textId="77777777" w:rsidR="00CC7889" w:rsidRPr="007D6BFD" w:rsidRDefault="00CC7889" w:rsidP="007D6BFD">
            <w:pPr>
              <w:spacing w:line="276" w:lineRule="auto"/>
              <w:jc w:val="both"/>
              <w:rPr>
                <w:rFonts w:ascii="Arial" w:hAnsi="Arial" w:cs="Arial"/>
                <w:sz w:val="20"/>
                <w:szCs w:val="20"/>
              </w:rPr>
            </w:pPr>
          </w:p>
          <w:p w14:paraId="6B896A1B"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Loss of temporal coordination in immune cell function and metabolic pathways</w:t>
            </w:r>
            <w:r w:rsidR="00225A26" w:rsidRPr="007D6BFD">
              <w:rPr>
                <w:rFonts w:ascii="Arial" w:hAnsi="Arial" w:cs="Arial"/>
                <w:sz w:val="20"/>
                <w:szCs w:val="20"/>
              </w:rPr>
              <w:t xml:space="preserve"> </w:t>
            </w:r>
            <w:r w:rsidR="00E5670A" w:rsidRPr="007D6BFD">
              <w:t>[65</w:t>
            </w:r>
            <w:r w:rsidR="00225A26" w:rsidRPr="007D6BFD">
              <w:t>].</w:t>
            </w:r>
          </w:p>
        </w:tc>
      </w:tr>
      <w:tr w:rsidR="007D6BFD" w:rsidRPr="007D6BFD" w14:paraId="4F59FB2C" w14:textId="77777777" w:rsidTr="00084D3C">
        <w:trPr>
          <w:trHeight w:val="2220"/>
        </w:trPr>
        <w:tc>
          <w:tcPr>
            <w:tcW w:w="2181" w:type="dxa"/>
          </w:tcPr>
          <w:p w14:paraId="6BD74CC1" w14:textId="77777777" w:rsidR="00CC7889" w:rsidRPr="007D6BFD" w:rsidRDefault="00CC7889" w:rsidP="007D6BFD">
            <w:pPr>
              <w:spacing w:line="276" w:lineRule="auto"/>
              <w:jc w:val="both"/>
              <w:rPr>
                <w:rFonts w:ascii="Arial" w:hAnsi="Arial" w:cs="Arial"/>
                <w:sz w:val="20"/>
                <w:szCs w:val="20"/>
              </w:rPr>
            </w:pPr>
          </w:p>
          <w:p w14:paraId="3DA87A4E" w14:textId="77777777" w:rsidR="00CC7889" w:rsidRPr="007D6BFD" w:rsidRDefault="00614F8F" w:rsidP="007D6BFD">
            <w:pPr>
              <w:spacing w:line="276" w:lineRule="auto"/>
              <w:jc w:val="both"/>
              <w:rPr>
                <w:rFonts w:ascii="Arial" w:hAnsi="Arial" w:cs="Arial"/>
                <w:sz w:val="20"/>
                <w:szCs w:val="20"/>
              </w:rPr>
            </w:pPr>
            <w:proofErr w:type="spellStart"/>
            <w:r w:rsidRPr="007D6BFD">
              <w:rPr>
                <w:rFonts w:ascii="Arial" w:hAnsi="Arial" w:cs="Arial"/>
                <w:sz w:val="20"/>
                <w:szCs w:val="20"/>
              </w:rPr>
              <w:t>Tumor</w:t>
            </w:r>
            <w:proofErr w:type="spellEnd"/>
            <w:r w:rsidRPr="007D6BFD">
              <w:rPr>
                <w:rFonts w:ascii="Arial" w:hAnsi="Arial" w:cs="Arial"/>
                <w:sz w:val="20"/>
                <w:szCs w:val="20"/>
              </w:rPr>
              <w:t xml:space="preserve"> necrosis factor-α (TNF-</w:t>
            </w:r>
            <w:proofErr w:type="gramStart"/>
            <w:r w:rsidRPr="007D6BFD">
              <w:rPr>
                <w:rFonts w:ascii="Arial" w:hAnsi="Arial" w:cs="Arial"/>
                <w:sz w:val="20"/>
                <w:szCs w:val="20"/>
              </w:rPr>
              <w:t>α)  and</w:t>
            </w:r>
            <w:proofErr w:type="gramEnd"/>
            <w:r w:rsidRPr="007D6BFD">
              <w:rPr>
                <w:rFonts w:ascii="Arial" w:hAnsi="Arial" w:cs="Arial"/>
                <w:sz w:val="20"/>
                <w:szCs w:val="20"/>
              </w:rPr>
              <w:t xml:space="preserve"> Interleukin-1β (IL-1β)</w:t>
            </w:r>
          </w:p>
        </w:tc>
        <w:tc>
          <w:tcPr>
            <w:tcW w:w="2172" w:type="dxa"/>
          </w:tcPr>
          <w:p w14:paraId="0368D549" w14:textId="77777777" w:rsidR="00CC7889" w:rsidRPr="007D6BFD" w:rsidRDefault="00CC7889" w:rsidP="007D6BFD">
            <w:pPr>
              <w:spacing w:line="276" w:lineRule="auto"/>
              <w:jc w:val="both"/>
              <w:rPr>
                <w:rFonts w:ascii="Arial" w:eastAsia="Times New Roman" w:hAnsi="Arial" w:cs="Arial"/>
                <w:sz w:val="20"/>
                <w:szCs w:val="20"/>
                <w:lang w:eastAsia="en-IN"/>
              </w:rPr>
            </w:pPr>
          </w:p>
          <w:p w14:paraId="67CB07EA"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sz w:val="20"/>
                <w:szCs w:val="20"/>
                <w:lang w:eastAsia="en-IN"/>
              </w:rPr>
              <w:t>Local tissue destruction, major driver of inflammation</w:t>
            </w:r>
            <w:r w:rsidR="00E5670A" w:rsidRPr="007D6BFD">
              <w:rPr>
                <w:rFonts w:ascii="Arial" w:eastAsia="Times New Roman" w:hAnsi="Arial" w:cs="Arial"/>
                <w:sz w:val="20"/>
                <w:szCs w:val="20"/>
                <w:lang w:eastAsia="en-IN"/>
              </w:rPr>
              <w:t xml:space="preserve"> [66].</w:t>
            </w:r>
          </w:p>
        </w:tc>
        <w:tc>
          <w:tcPr>
            <w:tcW w:w="2491" w:type="dxa"/>
          </w:tcPr>
          <w:p w14:paraId="72FB9743" w14:textId="77777777" w:rsidR="00CC7889" w:rsidRPr="007D6BFD" w:rsidRDefault="00CC7889" w:rsidP="007D6BFD">
            <w:pPr>
              <w:spacing w:line="276" w:lineRule="auto"/>
              <w:jc w:val="both"/>
              <w:rPr>
                <w:rFonts w:ascii="Arial" w:eastAsia="Times New Roman" w:hAnsi="Arial" w:cs="Arial"/>
                <w:bCs/>
                <w:sz w:val="20"/>
                <w:szCs w:val="20"/>
                <w:lang w:eastAsia="en-IN"/>
              </w:rPr>
            </w:pPr>
          </w:p>
          <w:p w14:paraId="38E6DDD3"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bCs/>
                <w:sz w:val="20"/>
                <w:szCs w:val="20"/>
                <w:lang w:eastAsia="en-IN"/>
              </w:rPr>
              <w:t>Molecular Repressor:</w:t>
            </w:r>
            <w:r w:rsidRPr="007D6BFD">
              <w:rPr>
                <w:rFonts w:ascii="Arial" w:eastAsia="Times New Roman" w:hAnsi="Arial" w:cs="Arial"/>
                <w:sz w:val="20"/>
                <w:szCs w:val="20"/>
                <w:lang w:eastAsia="en-IN"/>
              </w:rPr>
              <w:t xml:space="preserve"> Drives </w:t>
            </w:r>
            <w:r w:rsidRPr="007D6BFD">
              <w:rPr>
                <w:rFonts w:ascii="Arial" w:hAnsi="Arial" w:cs="Arial"/>
                <w:sz w:val="20"/>
                <w:szCs w:val="20"/>
              </w:rPr>
              <w:t>NF-</w:t>
            </w:r>
            <w:proofErr w:type="spellStart"/>
            <w:r w:rsidRPr="007D6BFD">
              <w:rPr>
                <w:rFonts w:ascii="Arial" w:hAnsi="Arial" w:cs="Arial"/>
                <w:sz w:val="20"/>
                <w:szCs w:val="20"/>
              </w:rPr>
              <w:t>κB</w:t>
            </w:r>
            <w:proofErr w:type="spellEnd"/>
            <w:r w:rsidRPr="007D6BFD">
              <w:rPr>
                <w:rFonts w:ascii="Arial" w:hAnsi="Arial" w:cs="Arial"/>
                <w:sz w:val="20"/>
                <w:szCs w:val="20"/>
              </w:rPr>
              <w:t xml:space="preserve"> </w:t>
            </w:r>
            <w:r w:rsidRPr="007D6BFD">
              <w:rPr>
                <w:rFonts w:ascii="Arial" w:eastAsia="Times New Roman" w:hAnsi="Arial" w:cs="Arial"/>
                <w:sz w:val="20"/>
                <w:szCs w:val="20"/>
                <w:lang w:eastAsia="en-IN"/>
              </w:rPr>
              <w:t>activation, which directly suppresses the transcription of the core clock gene BMAL1</w:t>
            </w:r>
            <w:r w:rsidR="00E5670A" w:rsidRPr="007D6BFD">
              <w:rPr>
                <w:rFonts w:ascii="Arial" w:eastAsia="Times New Roman" w:hAnsi="Arial" w:cs="Arial"/>
                <w:sz w:val="20"/>
                <w:szCs w:val="20"/>
                <w:lang w:eastAsia="en-IN"/>
              </w:rPr>
              <w:t xml:space="preserve"> [67]</w:t>
            </w:r>
            <w:r w:rsidRPr="007D6BFD">
              <w:rPr>
                <w:rFonts w:ascii="Arial" w:eastAsia="Times New Roman" w:hAnsi="Arial" w:cs="Arial"/>
                <w:sz w:val="20"/>
                <w:szCs w:val="20"/>
                <w:lang w:eastAsia="en-IN"/>
              </w:rPr>
              <w:t>.</w:t>
            </w:r>
          </w:p>
        </w:tc>
        <w:tc>
          <w:tcPr>
            <w:tcW w:w="2182" w:type="dxa"/>
          </w:tcPr>
          <w:p w14:paraId="0BD8C47E" w14:textId="77777777" w:rsidR="00CC7889" w:rsidRPr="007D6BFD" w:rsidRDefault="00CC7889" w:rsidP="007D6BFD">
            <w:pPr>
              <w:spacing w:line="276" w:lineRule="auto"/>
              <w:jc w:val="both"/>
              <w:rPr>
                <w:rFonts w:ascii="Arial" w:eastAsia="Times New Roman" w:hAnsi="Arial" w:cs="Arial"/>
                <w:sz w:val="20"/>
                <w:szCs w:val="20"/>
                <w:lang w:eastAsia="en-IN"/>
              </w:rPr>
            </w:pPr>
          </w:p>
          <w:p w14:paraId="15F6CB46" w14:textId="77777777" w:rsidR="00CC7889" w:rsidRPr="007D6BFD" w:rsidRDefault="00CC7889"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Flattening of circadian oscillations in immune cells and epithelial barriers</w:t>
            </w:r>
            <w:r w:rsidR="00225A26" w:rsidRPr="007D6BFD">
              <w:rPr>
                <w:rFonts w:ascii="Arial" w:eastAsia="Times New Roman" w:hAnsi="Arial" w:cs="Arial"/>
                <w:sz w:val="20"/>
                <w:szCs w:val="20"/>
                <w:lang w:eastAsia="en-IN"/>
              </w:rPr>
              <w:t xml:space="preserve"> </w:t>
            </w:r>
            <w:r w:rsidR="00E5670A" w:rsidRPr="007D6BFD">
              <w:t>[68</w:t>
            </w:r>
            <w:r w:rsidR="00225A26" w:rsidRPr="007D6BFD">
              <w:t>]</w:t>
            </w:r>
            <w:r w:rsidRPr="007D6BFD">
              <w:rPr>
                <w:rFonts w:ascii="Arial" w:eastAsia="Times New Roman" w:hAnsi="Arial" w:cs="Arial"/>
                <w:sz w:val="20"/>
                <w:szCs w:val="20"/>
                <w:lang w:eastAsia="en-IN"/>
              </w:rPr>
              <w:t>.</w:t>
            </w:r>
          </w:p>
          <w:p w14:paraId="37E10A6E" w14:textId="77777777" w:rsidR="00CC7889" w:rsidRPr="007D6BFD" w:rsidRDefault="00CC7889" w:rsidP="007D6BFD">
            <w:pPr>
              <w:spacing w:line="276" w:lineRule="auto"/>
              <w:jc w:val="both"/>
              <w:rPr>
                <w:rFonts w:ascii="Arial" w:hAnsi="Arial" w:cs="Arial"/>
                <w:sz w:val="20"/>
                <w:szCs w:val="20"/>
              </w:rPr>
            </w:pPr>
          </w:p>
        </w:tc>
      </w:tr>
      <w:tr w:rsidR="007D6BFD" w:rsidRPr="007D6BFD" w14:paraId="52DFA4A4" w14:textId="77777777" w:rsidTr="00084D3C">
        <w:trPr>
          <w:trHeight w:val="1944"/>
        </w:trPr>
        <w:tc>
          <w:tcPr>
            <w:tcW w:w="2181" w:type="dxa"/>
          </w:tcPr>
          <w:p w14:paraId="4A059F53" w14:textId="77777777" w:rsidR="00CC7889" w:rsidRPr="007D6BFD" w:rsidRDefault="00CC7889" w:rsidP="007D6BFD">
            <w:pPr>
              <w:spacing w:line="276" w:lineRule="auto"/>
              <w:jc w:val="both"/>
              <w:rPr>
                <w:rFonts w:ascii="Arial" w:eastAsia="Times New Roman" w:hAnsi="Arial" w:cs="Arial"/>
                <w:sz w:val="20"/>
                <w:szCs w:val="20"/>
                <w:lang w:eastAsia="en-IN"/>
              </w:rPr>
            </w:pPr>
          </w:p>
          <w:p w14:paraId="54BE12E9" w14:textId="77777777" w:rsidR="004152BE" w:rsidRPr="007D6BFD" w:rsidRDefault="00CC7889"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Prostaglandin</w:t>
            </w:r>
          </w:p>
          <w:p w14:paraId="1AE853BB" w14:textId="77777777" w:rsidR="00CC7889" w:rsidRPr="007D6BFD" w:rsidRDefault="004152BE" w:rsidP="007D6BFD">
            <w:pPr>
              <w:spacing w:line="276" w:lineRule="auto"/>
              <w:jc w:val="both"/>
              <w:rPr>
                <w:rFonts w:ascii="Arial" w:hAnsi="Arial" w:cs="Arial"/>
                <w:sz w:val="20"/>
                <w:szCs w:val="20"/>
              </w:rPr>
            </w:pPr>
            <w:r w:rsidRPr="007D6BFD">
              <w:rPr>
                <w:rFonts w:ascii="Arial" w:eastAsia="Times New Roman" w:hAnsi="Arial" w:cs="Arial"/>
                <w:sz w:val="20"/>
                <w:szCs w:val="20"/>
                <w:lang w:eastAsia="en-IN"/>
              </w:rPr>
              <w:t>E2</w:t>
            </w:r>
            <w:r w:rsidR="00CC7889" w:rsidRPr="007D6BFD">
              <w:rPr>
                <w:rFonts w:ascii="Arial" w:eastAsia="Times New Roman" w:hAnsi="Arial" w:cs="Arial"/>
                <w:sz w:val="20"/>
                <w:szCs w:val="20"/>
                <w:lang w:eastAsia="en-IN"/>
              </w:rPr>
              <w:t xml:space="preserve"> (PGE2)</w:t>
            </w:r>
          </w:p>
        </w:tc>
        <w:tc>
          <w:tcPr>
            <w:tcW w:w="2172" w:type="dxa"/>
          </w:tcPr>
          <w:p w14:paraId="5DE0F3AA" w14:textId="77777777" w:rsidR="00CC7889" w:rsidRPr="007D6BFD" w:rsidRDefault="00CC7889" w:rsidP="007D6BFD">
            <w:pPr>
              <w:spacing w:line="276" w:lineRule="auto"/>
              <w:jc w:val="both"/>
              <w:rPr>
                <w:rFonts w:ascii="Arial" w:eastAsia="Times New Roman" w:hAnsi="Arial" w:cs="Arial"/>
                <w:sz w:val="20"/>
                <w:szCs w:val="20"/>
                <w:lang w:eastAsia="en-IN"/>
              </w:rPr>
            </w:pPr>
          </w:p>
          <w:p w14:paraId="19F0AC95"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sz w:val="20"/>
                <w:szCs w:val="20"/>
                <w:lang w:eastAsia="en-IN"/>
              </w:rPr>
              <w:t>Local vasodilation, pain, osteoclast activation</w:t>
            </w:r>
            <w:r w:rsidR="00E5670A" w:rsidRPr="007D6BFD">
              <w:rPr>
                <w:rFonts w:ascii="Arial" w:eastAsia="Times New Roman" w:hAnsi="Arial" w:cs="Arial"/>
                <w:sz w:val="20"/>
                <w:szCs w:val="20"/>
                <w:lang w:eastAsia="en-IN"/>
              </w:rPr>
              <w:t xml:space="preserve"> [69].</w:t>
            </w:r>
          </w:p>
        </w:tc>
        <w:tc>
          <w:tcPr>
            <w:tcW w:w="2491" w:type="dxa"/>
          </w:tcPr>
          <w:p w14:paraId="41199237" w14:textId="77777777" w:rsidR="00CC7889" w:rsidRPr="007D6BFD" w:rsidRDefault="00CC7889" w:rsidP="007D6BFD">
            <w:pPr>
              <w:spacing w:line="276" w:lineRule="auto"/>
              <w:jc w:val="both"/>
              <w:rPr>
                <w:rFonts w:ascii="Arial" w:eastAsia="Times New Roman" w:hAnsi="Arial" w:cs="Arial"/>
                <w:bCs/>
                <w:sz w:val="20"/>
                <w:szCs w:val="20"/>
                <w:lang w:eastAsia="en-IN"/>
              </w:rPr>
            </w:pPr>
          </w:p>
          <w:p w14:paraId="0D0B29C4"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bCs/>
                <w:sz w:val="20"/>
                <w:szCs w:val="20"/>
                <w:lang w:eastAsia="en-IN"/>
              </w:rPr>
              <w:t>HPA Axis Activator:</w:t>
            </w:r>
            <w:r w:rsidRPr="007D6BFD">
              <w:rPr>
                <w:rFonts w:ascii="Arial" w:eastAsia="Times New Roman" w:hAnsi="Arial" w:cs="Arial"/>
                <w:sz w:val="20"/>
                <w:szCs w:val="20"/>
                <w:lang w:eastAsia="en-IN"/>
              </w:rPr>
              <w:t xml:space="preserve"> Sustained systemic PGE2 causes chronic HPA activation, leading to a flattened diurnal cortisol rhythm</w:t>
            </w:r>
            <w:r w:rsidR="00E5670A" w:rsidRPr="007D6BFD">
              <w:rPr>
                <w:rFonts w:ascii="Arial" w:eastAsia="Times New Roman" w:hAnsi="Arial" w:cs="Arial"/>
                <w:sz w:val="20"/>
                <w:szCs w:val="20"/>
                <w:lang w:eastAsia="en-IN"/>
              </w:rPr>
              <w:t xml:space="preserve"> [70].</w:t>
            </w:r>
          </w:p>
        </w:tc>
        <w:tc>
          <w:tcPr>
            <w:tcW w:w="2182" w:type="dxa"/>
          </w:tcPr>
          <w:p w14:paraId="004DF942" w14:textId="77777777" w:rsidR="00CC7889" w:rsidRPr="007D6BFD" w:rsidRDefault="00CC7889" w:rsidP="007D6BFD">
            <w:pPr>
              <w:spacing w:line="276" w:lineRule="auto"/>
              <w:jc w:val="both"/>
              <w:rPr>
                <w:rFonts w:ascii="Arial" w:eastAsia="Times New Roman" w:hAnsi="Arial" w:cs="Arial"/>
                <w:sz w:val="20"/>
                <w:szCs w:val="20"/>
                <w:lang w:eastAsia="en-IN"/>
              </w:rPr>
            </w:pPr>
          </w:p>
          <w:p w14:paraId="4A5FFD2B" w14:textId="77777777" w:rsidR="00CC7889" w:rsidRPr="007D6BFD" w:rsidRDefault="00CC7889"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Loss of the critical morning anti-inflammatory signal, promoting chronic tissue damage</w:t>
            </w:r>
            <w:r w:rsidR="00225A26" w:rsidRPr="007D6BFD">
              <w:rPr>
                <w:rFonts w:ascii="Arial" w:eastAsia="Times New Roman" w:hAnsi="Arial" w:cs="Arial"/>
                <w:sz w:val="20"/>
                <w:szCs w:val="20"/>
                <w:lang w:eastAsia="en-IN"/>
              </w:rPr>
              <w:t xml:space="preserve"> </w:t>
            </w:r>
            <w:r w:rsidR="00225A26" w:rsidRPr="007D6BFD">
              <w:t>[</w:t>
            </w:r>
            <w:r w:rsidR="00E5670A" w:rsidRPr="007D6BFD">
              <w:t>71</w:t>
            </w:r>
            <w:r w:rsidR="00225A26" w:rsidRPr="007D6BFD">
              <w:t>]</w:t>
            </w:r>
            <w:r w:rsidRPr="007D6BFD">
              <w:rPr>
                <w:rFonts w:ascii="Arial" w:eastAsia="Times New Roman" w:hAnsi="Arial" w:cs="Arial"/>
                <w:sz w:val="20"/>
                <w:szCs w:val="20"/>
                <w:lang w:eastAsia="en-IN"/>
              </w:rPr>
              <w:t>.</w:t>
            </w:r>
          </w:p>
          <w:p w14:paraId="5F802A32" w14:textId="77777777" w:rsidR="00CC7889" w:rsidRPr="007D6BFD" w:rsidRDefault="00CC7889" w:rsidP="007D6BFD">
            <w:pPr>
              <w:spacing w:line="276" w:lineRule="auto"/>
              <w:jc w:val="both"/>
              <w:rPr>
                <w:rFonts w:ascii="Arial" w:hAnsi="Arial" w:cs="Arial"/>
                <w:sz w:val="20"/>
                <w:szCs w:val="20"/>
              </w:rPr>
            </w:pPr>
          </w:p>
        </w:tc>
      </w:tr>
      <w:tr w:rsidR="007D6BFD" w:rsidRPr="007D6BFD" w14:paraId="48020A06" w14:textId="77777777" w:rsidTr="00084D3C">
        <w:trPr>
          <w:trHeight w:val="2848"/>
        </w:trPr>
        <w:tc>
          <w:tcPr>
            <w:tcW w:w="2181" w:type="dxa"/>
          </w:tcPr>
          <w:p w14:paraId="68BC17AB" w14:textId="77777777" w:rsidR="00CC7889" w:rsidRPr="007D6BFD" w:rsidRDefault="00CC7889" w:rsidP="007D6BFD">
            <w:pPr>
              <w:spacing w:line="276" w:lineRule="auto"/>
              <w:jc w:val="both"/>
              <w:rPr>
                <w:rFonts w:ascii="Arial" w:eastAsia="Times New Roman" w:hAnsi="Arial" w:cs="Arial"/>
                <w:b/>
                <w:sz w:val="20"/>
                <w:szCs w:val="20"/>
                <w:lang w:eastAsia="en-IN"/>
              </w:rPr>
            </w:pPr>
          </w:p>
          <w:p w14:paraId="12E4F123" w14:textId="77777777" w:rsidR="00CC7889" w:rsidRPr="007D6BFD" w:rsidRDefault="00CC7889" w:rsidP="007D6BFD">
            <w:pPr>
              <w:spacing w:line="276" w:lineRule="auto"/>
              <w:jc w:val="both"/>
              <w:rPr>
                <w:rFonts w:ascii="Arial" w:hAnsi="Arial" w:cs="Arial"/>
                <w:b/>
                <w:sz w:val="20"/>
                <w:szCs w:val="20"/>
              </w:rPr>
            </w:pPr>
            <w:r w:rsidRPr="007D6BFD">
              <w:rPr>
                <w:rFonts w:ascii="Arial" w:eastAsia="Times New Roman" w:hAnsi="Arial" w:cs="Arial"/>
                <w:sz w:val="20"/>
                <w:szCs w:val="20"/>
                <w:lang w:eastAsia="en-IN"/>
              </w:rPr>
              <w:t>RANKL/OPG Ratio</w:t>
            </w:r>
            <w:r w:rsidRPr="007D6BFD">
              <w:rPr>
                <w:rFonts w:ascii="Arial" w:eastAsia="Times New Roman" w:hAnsi="Arial" w:cs="Arial"/>
                <w:b/>
                <w:sz w:val="20"/>
                <w:szCs w:val="20"/>
                <w:lang w:eastAsia="en-IN"/>
              </w:rPr>
              <w:t xml:space="preserve"> </w:t>
            </w:r>
            <w:r w:rsidR="00614F8F" w:rsidRPr="007D6BFD">
              <w:rPr>
                <w:rFonts w:ascii="Arial" w:eastAsia="Times New Roman" w:hAnsi="Arial" w:cs="Arial"/>
                <w:sz w:val="20"/>
                <w:szCs w:val="20"/>
                <w:lang w:eastAsia="en-IN"/>
              </w:rPr>
              <w:t>(</w:t>
            </w:r>
            <w:r w:rsidR="00614F8F" w:rsidRPr="007D6BFD">
              <w:rPr>
                <w:rStyle w:val="Strong"/>
                <w:rFonts w:ascii="Arial" w:hAnsi="Arial" w:cs="Arial"/>
                <w:b w:val="0"/>
                <w:sz w:val="20"/>
                <w:szCs w:val="20"/>
                <w:shd w:val="clear" w:color="auto" w:fill="FFFFFF"/>
              </w:rPr>
              <w:t>Receptor Activator of Nuclear Factor-</w:t>
            </w:r>
            <w:proofErr w:type="spellStart"/>
            <w:r w:rsidR="00614F8F" w:rsidRPr="007D6BFD">
              <w:rPr>
                <w:rStyle w:val="Strong"/>
                <w:rFonts w:ascii="Arial" w:hAnsi="Arial" w:cs="Arial"/>
                <w:b w:val="0"/>
                <w:sz w:val="20"/>
                <w:szCs w:val="20"/>
                <w:shd w:val="clear" w:color="auto" w:fill="FFFFFF"/>
              </w:rPr>
              <w:t>κB</w:t>
            </w:r>
            <w:proofErr w:type="spellEnd"/>
            <w:r w:rsidR="00614F8F" w:rsidRPr="007D6BFD">
              <w:rPr>
                <w:rStyle w:val="Strong"/>
                <w:rFonts w:ascii="Arial" w:hAnsi="Arial" w:cs="Arial"/>
                <w:b w:val="0"/>
                <w:sz w:val="20"/>
                <w:szCs w:val="20"/>
                <w:shd w:val="clear" w:color="auto" w:fill="FFFFFF"/>
              </w:rPr>
              <w:t xml:space="preserve"> Ligand to </w:t>
            </w:r>
            <w:proofErr w:type="spellStart"/>
            <w:r w:rsidR="00614F8F" w:rsidRPr="007D6BFD">
              <w:rPr>
                <w:rStyle w:val="Strong"/>
                <w:rFonts w:ascii="Arial" w:hAnsi="Arial" w:cs="Arial"/>
                <w:b w:val="0"/>
                <w:sz w:val="20"/>
                <w:szCs w:val="20"/>
                <w:shd w:val="clear" w:color="auto" w:fill="FFFFFF"/>
              </w:rPr>
              <w:t>Osteoprotegerin</w:t>
            </w:r>
            <w:proofErr w:type="spellEnd"/>
            <w:r w:rsidR="00614F8F" w:rsidRPr="007D6BFD">
              <w:rPr>
                <w:rStyle w:val="Strong"/>
                <w:rFonts w:ascii="Arial" w:hAnsi="Arial" w:cs="Arial"/>
                <w:b w:val="0"/>
                <w:sz w:val="20"/>
                <w:szCs w:val="20"/>
                <w:shd w:val="clear" w:color="auto" w:fill="FFFFFF"/>
              </w:rPr>
              <w:t>)</w:t>
            </w:r>
          </w:p>
        </w:tc>
        <w:tc>
          <w:tcPr>
            <w:tcW w:w="2172" w:type="dxa"/>
          </w:tcPr>
          <w:p w14:paraId="74038269" w14:textId="77777777" w:rsidR="00CC7889" w:rsidRPr="007D6BFD" w:rsidRDefault="00CC7889" w:rsidP="007D6BFD">
            <w:pPr>
              <w:spacing w:line="276" w:lineRule="auto"/>
              <w:jc w:val="both"/>
              <w:rPr>
                <w:rFonts w:ascii="Arial" w:eastAsia="Times New Roman" w:hAnsi="Arial" w:cs="Arial"/>
                <w:sz w:val="20"/>
                <w:szCs w:val="20"/>
                <w:lang w:eastAsia="en-IN"/>
              </w:rPr>
            </w:pPr>
          </w:p>
          <w:p w14:paraId="45AEE6E9"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sz w:val="20"/>
                <w:szCs w:val="20"/>
                <w:lang w:eastAsia="en-IN"/>
              </w:rPr>
              <w:t>Direct driver of alveolar bone resorption (Increase in RANKL)</w:t>
            </w:r>
            <w:r w:rsidR="005A6089" w:rsidRPr="007D6BFD">
              <w:rPr>
                <w:rFonts w:ascii="Arial" w:eastAsia="Times New Roman" w:hAnsi="Arial" w:cs="Arial"/>
                <w:sz w:val="20"/>
                <w:szCs w:val="20"/>
                <w:lang w:eastAsia="en-IN"/>
              </w:rPr>
              <w:t xml:space="preserve"> [72]</w:t>
            </w:r>
          </w:p>
        </w:tc>
        <w:tc>
          <w:tcPr>
            <w:tcW w:w="2491" w:type="dxa"/>
          </w:tcPr>
          <w:p w14:paraId="61DD60B8" w14:textId="77777777" w:rsidR="00CC7889" w:rsidRPr="007D6BFD" w:rsidRDefault="00CC7889" w:rsidP="007D6BFD">
            <w:pPr>
              <w:spacing w:line="276" w:lineRule="auto"/>
              <w:jc w:val="both"/>
              <w:rPr>
                <w:rFonts w:ascii="Arial" w:eastAsia="Times New Roman" w:hAnsi="Arial" w:cs="Arial"/>
                <w:bCs/>
                <w:sz w:val="20"/>
                <w:szCs w:val="20"/>
                <w:lang w:eastAsia="en-IN"/>
              </w:rPr>
            </w:pPr>
          </w:p>
          <w:p w14:paraId="04D45827"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bCs/>
                <w:sz w:val="20"/>
                <w:szCs w:val="20"/>
                <w:lang w:eastAsia="en-IN"/>
              </w:rPr>
              <w:t>Peripheral Clock Target:</w:t>
            </w:r>
            <w:r w:rsidRPr="007D6BFD">
              <w:rPr>
                <w:rFonts w:ascii="Arial" w:eastAsia="Times New Roman" w:hAnsi="Arial" w:cs="Arial"/>
                <w:sz w:val="20"/>
                <w:szCs w:val="20"/>
                <w:lang w:eastAsia="en-IN"/>
              </w:rPr>
              <w:t xml:space="preserve"> Clock genes in osteoblasts/osteoclasts regulate RANKL expression rhythmically. CRD increases the destructive RANKL/OPG ratio</w:t>
            </w:r>
            <w:r w:rsidR="005A6089" w:rsidRPr="007D6BFD">
              <w:rPr>
                <w:rFonts w:ascii="Arial" w:eastAsia="Times New Roman" w:hAnsi="Arial" w:cs="Arial"/>
                <w:sz w:val="20"/>
                <w:szCs w:val="20"/>
                <w:lang w:eastAsia="en-IN"/>
              </w:rPr>
              <w:t xml:space="preserve"> [73]</w:t>
            </w:r>
            <w:r w:rsidRPr="007D6BFD">
              <w:rPr>
                <w:rFonts w:ascii="Arial" w:eastAsia="Times New Roman" w:hAnsi="Arial" w:cs="Arial"/>
                <w:sz w:val="20"/>
                <w:szCs w:val="20"/>
                <w:lang w:eastAsia="en-IN"/>
              </w:rPr>
              <w:t>.</w:t>
            </w:r>
          </w:p>
        </w:tc>
        <w:tc>
          <w:tcPr>
            <w:tcW w:w="2182" w:type="dxa"/>
          </w:tcPr>
          <w:p w14:paraId="61467375" w14:textId="77777777" w:rsidR="00CC7889" w:rsidRPr="007D6BFD" w:rsidRDefault="00CC7889" w:rsidP="007D6BFD">
            <w:pPr>
              <w:spacing w:line="276" w:lineRule="auto"/>
              <w:jc w:val="both"/>
              <w:rPr>
                <w:rFonts w:ascii="Arial" w:eastAsia="Times New Roman" w:hAnsi="Arial" w:cs="Arial"/>
                <w:sz w:val="20"/>
                <w:szCs w:val="20"/>
                <w:lang w:eastAsia="en-IN"/>
              </w:rPr>
            </w:pPr>
          </w:p>
          <w:p w14:paraId="66C83E8C" w14:textId="77777777" w:rsidR="00CC7889" w:rsidRPr="007D6BFD" w:rsidRDefault="00CC7889"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Accelerated, rhythmic alveolar bone loss leading to attachment loss</w:t>
            </w:r>
            <w:r w:rsidR="00BA5419" w:rsidRPr="007D6BFD">
              <w:rPr>
                <w:rFonts w:ascii="Arial" w:eastAsia="Times New Roman" w:hAnsi="Arial" w:cs="Arial"/>
                <w:sz w:val="20"/>
                <w:szCs w:val="20"/>
                <w:lang w:eastAsia="en-IN"/>
              </w:rPr>
              <w:t xml:space="preserve"> </w:t>
            </w:r>
            <w:r w:rsidR="00BA5419" w:rsidRPr="007D6BFD">
              <w:t>[</w:t>
            </w:r>
            <w:r w:rsidR="005A6089" w:rsidRPr="007D6BFD">
              <w:t>74</w:t>
            </w:r>
            <w:r w:rsidR="00BA5419" w:rsidRPr="007D6BFD">
              <w:t>]</w:t>
            </w:r>
            <w:r w:rsidRPr="007D6BFD">
              <w:rPr>
                <w:rFonts w:ascii="Arial" w:eastAsia="Times New Roman" w:hAnsi="Arial" w:cs="Arial"/>
                <w:sz w:val="20"/>
                <w:szCs w:val="20"/>
                <w:lang w:eastAsia="en-IN"/>
              </w:rPr>
              <w:t>.</w:t>
            </w:r>
          </w:p>
          <w:p w14:paraId="2B14620B" w14:textId="77777777" w:rsidR="00CC7889" w:rsidRPr="007D6BFD" w:rsidRDefault="00CC7889" w:rsidP="007D6BFD">
            <w:pPr>
              <w:spacing w:line="276" w:lineRule="auto"/>
              <w:jc w:val="both"/>
              <w:rPr>
                <w:rFonts w:ascii="Arial" w:hAnsi="Arial" w:cs="Arial"/>
                <w:sz w:val="20"/>
                <w:szCs w:val="20"/>
              </w:rPr>
            </w:pPr>
          </w:p>
        </w:tc>
      </w:tr>
      <w:tr w:rsidR="00CC7889" w:rsidRPr="007D6BFD" w14:paraId="21DA9B67" w14:textId="77777777" w:rsidTr="00084D3C">
        <w:trPr>
          <w:trHeight w:val="2138"/>
        </w:trPr>
        <w:tc>
          <w:tcPr>
            <w:tcW w:w="2181" w:type="dxa"/>
          </w:tcPr>
          <w:p w14:paraId="114773B4" w14:textId="77777777" w:rsidR="00CC7889" w:rsidRPr="007D6BFD" w:rsidRDefault="00CC7889" w:rsidP="007D6BFD">
            <w:pPr>
              <w:spacing w:line="276" w:lineRule="auto"/>
              <w:jc w:val="both"/>
              <w:rPr>
                <w:rFonts w:ascii="Arial" w:hAnsi="Arial" w:cs="Arial"/>
                <w:b/>
                <w:sz w:val="20"/>
                <w:szCs w:val="20"/>
              </w:rPr>
            </w:pPr>
          </w:p>
          <w:p w14:paraId="7D2E8CF7" w14:textId="77777777" w:rsidR="00CC7889" w:rsidRPr="007D6BFD" w:rsidRDefault="00CC7889" w:rsidP="007D6BFD">
            <w:pPr>
              <w:spacing w:line="276" w:lineRule="auto"/>
              <w:jc w:val="both"/>
              <w:rPr>
                <w:rFonts w:ascii="Arial" w:hAnsi="Arial" w:cs="Arial"/>
                <w:b/>
                <w:sz w:val="20"/>
                <w:szCs w:val="20"/>
              </w:rPr>
            </w:pPr>
            <w:r w:rsidRPr="007D6BFD">
              <w:rPr>
                <w:rFonts w:ascii="Arial" w:hAnsi="Arial" w:cs="Arial"/>
                <w:sz w:val="20"/>
                <w:szCs w:val="20"/>
              </w:rPr>
              <w:t xml:space="preserve">Matrix Metalloproteinases (MMPs) </w:t>
            </w:r>
          </w:p>
        </w:tc>
        <w:tc>
          <w:tcPr>
            <w:tcW w:w="2172" w:type="dxa"/>
          </w:tcPr>
          <w:p w14:paraId="7DE2D1FE" w14:textId="77777777" w:rsidR="00CC7889" w:rsidRPr="007D6BFD" w:rsidRDefault="00CC7889" w:rsidP="007D6BFD">
            <w:pPr>
              <w:spacing w:line="276" w:lineRule="auto"/>
              <w:jc w:val="both"/>
              <w:rPr>
                <w:rFonts w:ascii="Arial" w:hAnsi="Arial" w:cs="Arial"/>
                <w:sz w:val="20"/>
                <w:szCs w:val="20"/>
              </w:rPr>
            </w:pPr>
          </w:p>
          <w:p w14:paraId="019EFDA1" w14:textId="77777777" w:rsidR="00CC7889" w:rsidRPr="007D6BFD" w:rsidRDefault="004152BE" w:rsidP="007D6BFD">
            <w:pPr>
              <w:spacing w:line="276" w:lineRule="auto"/>
              <w:jc w:val="both"/>
              <w:rPr>
                <w:rFonts w:ascii="Arial" w:hAnsi="Arial" w:cs="Arial"/>
                <w:sz w:val="20"/>
                <w:szCs w:val="20"/>
              </w:rPr>
            </w:pPr>
            <w:r w:rsidRPr="007D6BFD">
              <w:rPr>
                <w:rFonts w:ascii="Arial" w:hAnsi="Arial" w:cs="Arial"/>
                <w:sz w:val="20"/>
                <w:szCs w:val="20"/>
              </w:rPr>
              <w:t xml:space="preserve">Degradation </w:t>
            </w:r>
            <w:r w:rsidR="00CC7889" w:rsidRPr="007D6BFD">
              <w:rPr>
                <w:rFonts w:ascii="Arial" w:hAnsi="Arial" w:cs="Arial"/>
                <w:sz w:val="20"/>
                <w:szCs w:val="20"/>
              </w:rPr>
              <w:t>of connective tissue collagen</w:t>
            </w:r>
            <w:r w:rsidR="005A6089" w:rsidRPr="007D6BFD">
              <w:rPr>
                <w:rFonts w:ascii="Arial" w:hAnsi="Arial" w:cs="Arial"/>
                <w:sz w:val="20"/>
                <w:szCs w:val="20"/>
              </w:rPr>
              <w:t xml:space="preserve"> [75].</w:t>
            </w:r>
          </w:p>
        </w:tc>
        <w:tc>
          <w:tcPr>
            <w:tcW w:w="2491" w:type="dxa"/>
          </w:tcPr>
          <w:p w14:paraId="4B74C2CF" w14:textId="77777777" w:rsidR="00CC7889" w:rsidRPr="007D6BFD" w:rsidRDefault="00CC7889" w:rsidP="007D6BFD">
            <w:pPr>
              <w:spacing w:line="276" w:lineRule="auto"/>
              <w:jc w:val="both"/>
              <w:rPr>
                <w:rFonts w:ascii="Arial" w:hAnsi="Arial" w:cs="Arial"/>
                <w:bCs/>
                <w:sz w:val="20"/>
                <w:szCs w:val="20"/>
              </w:rPr>
            </w:pPr>
          </w:p>
          <w:p w14:paraId="59625751"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bCs/>
                <w:sz w:val="20"/>
                <w:szCs w:val="20"/>
              </w:rPr>
              <w:t>Rhythmic Degradation:</w:t>
            </w:r>
            <w:r w:rsidRPr="007D6BFD">
              <w:rPr>
                <w:rFonts w:ascii="Arial" w:hAnsi="Arial" w:cs="Arial"/>
                <w:sz w:val="20"/>
                <w:szCs w:val="20"/>
              </w:rPr>
              <w:t xml:space="preserve"> Circadian control over MMP/TIMP balance. CRD shifts balance toward sustained collagen breakdown</w:t>
            </w:r>
            <w:r w:rsidR="005A6089" w:rsidRPr="007D6BFD">
              <w:rPr>
                <w:rFonts w:ascii="Arial" w:hAnsi="Arial" w:cs="Arial"/>
                <w:sz w:val="20"/>
                <w:szCs w:val="20"/>
              </w:rPr>
              <w:t xml:space="preserve"> [76]</w:t>
            </w:r>
            <w:r w:rsidRPr="007D6BFD">
              <w:rPr>
                <w:rFonts w:ascii="Arial" w:hAnsi="Arial" w:cs="Arial"/>
                <w:sz w:val="20"/>
                <w:szCs w:val="20"/>
              </w:rPr>
              <w:t>.</w:t>
            </w:r>
          </w:p>
        </w:tc>
        <w:tc>
          <w:tcPr>
            <w:tcW w:w="2182" w:type="dxa"/>
          </w:tcPr>
          <w:p w14:paraId="2CBC94BF" w14:textId="77777777" w:rsidR="00CC7889" w:rsidRPr="007D6BFD" w:rsidRDefault="00CC7889" w:rsidP="007D6BFD">
            <w:pPr>
              <w:spacing w:line="276" w:lineRule="auto"/>
              <w:jc w:val="both"/>
              <w:rPr>
                <w:rFonts w:ascii="Arial" w:hAnsi="Arial" w:cs="Arial"/>
                <w:sz w:val="20"/>
                <w:szCs w:val="20"/>
              </w:rPr>
            </w:pPr>
          </w:p>
          <w:p w14:paraId="59A32074" w14:textId="77777777" w:rsidR="00BA541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Accelerated periodontal ligament and gingival tissue destruction</w:t>
            </w:r>
            <w:r w:rsidR="00BA5419" w:rsidRPr="007D6BFD">
              <w:rPr>
                <w:rFonts w:ascii="Arial" w:hAnsi="Arial" w:cs="Arial"/>
                <w:sz w:val="20"/>
                <w:szCs w:val="20"/>
              </w:rPr>
              <w:t xml:space="preserve"> </w:t>
            </w:r>
          </w:p>
          <w:p w14:paraId="6220DD67" w14:textId="77777777" w:rsidR="00CC7889" w:rsidRPr="007D6BFD" w:rsidRDefault="00BA5419" w:rsidP="007D6BFD">
            <w:pPr>
              <w:spacing w:line="276" w:lineRule="auto"/>
              <w:jc w:val="both"/>
            </w:pPr>
            <w:r w:rsidRPr="007D6BFD">
              <w:t>[</w:t>
            </w:r>
            <w:r w:rsidR="005A6089" w:rsidRPr="007D6BFD">
              <w:t>77</w:t>
            </w:r>
            <w:r w:rsidRPr="007D6BFD">
              <w:t>]</w:t>
            </w:r>
            <w:r w:rsidR="00CC7889" w:rsidRPr="007D6BFD">
              <w:rPr>
                <w:rFonts w:ascii="Arial" w:hAnsi="Arial" w:cs="Arial"/>
                <w:sz w:val="20"/>
                <w:szCs w:val="20"/>
              </w:rPr>
              <w:t>.</w:t>
            </w:r>
          </w:p>
        </w:tc>
      </w:tr>
    </w:tbl>
    <w:p w14:paraId="5A886FDF" w14:textId="77777777" w:rsidR="00D559C1" w:rsidRPr="007D6BFD" w:rsidRDefault="00D559C1" w:rsidP="007D6BFD">
      <w:pPr>
        <w:pStyle w:val="NormalWeb"/>
        <w:spacing w:line="276" w:lineRule="auto"/>
        <w:jc w:val="both"/>
      </w:pPr>
    </w:p>
    <w:p w14:paraId="3F38935B" w14:textId="77777777" w:rsidR="000D3CE6" w:rsidRPr="007D6BFD" w:rsidRDefault="00E423F6"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6</w:t>
      </w:r>
      <w:r w:rsidR="000D3CE6" w:rsidRPr="007D6BFD">
        <w:rPr>
          <w:rFonts w:ascii="Arial" w:hAnsi="Arial" w:cs="Arial"/>
          <w:b/>
          <w:color w:val="auto"/>
          <w:sz w:val="22"/>
          <w:szCs w:val="22"/>
        </w:rPr>
        <w:t>. T</w:t>
      </w:r>
      <w:r w:rsidR="00EA2E52" w:rsidRPr="007D6BFD">
        <w:rPr>
          <w:rFonts w:ascii="Arial" w:hAnsi="Arial" w:cs="Arial"/>
          <w:b/>
          <w:color w:val="auto"/>
          <w:sz w:val="22"/>
          <w:szCs w:val="22"/>
        </w:rPr>
        <w:t xml:space="preserve">he Proposed Bidirectional Neuro </w:t>
      </w:r>
      <w:proofErr w:type="spellStart"/>
      <w:r w:rsidR="00EA2E52" w:rsidRPr="007D6BFD">
        <w:rPr>
          <w:rFonts w:ascii="Arial" w:hAnsi="Arial" w:cs="Arial"/>
          <w:b/>
          <w:color w:val="auto"/>
          <w:sz w:val="22"/>
          <w:szCs w:val="22"/>
        </w:rPr>
        <w:t>Immuno</w:t>
      </w:r>
      <w:proofErr w:type="spellEnd"/>
      <w:r w:rsidR="00EA2E52" w:rsidRPr="007D6BFD">
        <w:rPr>
          <w:rFonts w:ascii="Arial" w:hAnsi="Arial" w:cs="Arial"/>
          <w:b/>
          <w:color w:val="auto"/>
          <w:sz w:val="22"/>
          <w:szCs w:val="22"/>
        </w:rPr>
        <w:t xml:space="preserve"> </w:t>
      </w:r>
      <w:r w:rsidR="000D3CE6" w:rsidRPr="007D6BFD">
        <w:rPr>
          <w:rFonts w:ascii="Arial" w:hAnsi="Arial" w:cs="Arial"/>
          <w:b/>
          <w:color w:val="auto"/>
          <w:sz w:val="22"/>
          <w:szCs w:val="22"/>
        </w:rPr>
        <w:t>Metabolic Model</w:t>
      </w:r>
    </w:p>
    <w:p w14:paraId="7879DFA0" w14:textId="77777777" w:rsidR="00E7732B" w:rsidRPr="007D6BFD" w:rsidRDefault="00E7732B" w:rsidP="007D6BFD">
      <w:pPr>
        <w:pStyle w:val="NormalWeb"/>
        <w:spacing w:line="276" w:lineRule="auto"/>
        <w:jc w:val="both"/>
        <w:rPr>
          <w:rFonts w:ascii="Arial" w:hAnsi="Arial" w:cs="Arial"/>
          <w:sz w:val="20"/>
          <w:szCs w:val="20"/>
        </w:rPr>
      </w:pPr>
      <w:r w:rsidRPr="007D6BFD">
        <w:rPr>
          <w:rStyle w:val="citation-243"/>
          <w:rFonts w:ascii="Arial" w:eastAsiaTheme="majorEastAsia" w:hAnsi="Arial" w:cs="Arial"/>
          <w:sz w:val="20"/>
          <w:szCs w:val="20"/>
        </w:rPr>
        <w:t xml:space="preserve">The integration of systemic inflammatory mediators, molecular clock machinery, and neuroendocrine </w:t>
      </w:r>
      <w:proofErr w:type="spellStart"/>
      <w:r w:rsidRPr="007D6BFD">
        <w:rPr>
          <w:rStyle w:val="citation-243"/>
          <w:rFonts w:ascii="Arial" w:eastAsiaTheme="majorEastAsia" w:hAnsi="Arial" w:cs="Arial"/>
          <w:sz w:val="20"/>
          <w:szCs w:val="20"/>
        </w:rPr>
        <w:t>signaling</w:t>
      </w:r>
      <w:proofErr w:type="spellEnd"/>
      <w:r w:rsidRPr="007D6BFD">
        <w:rPr>
          <w:rStyle w:val="citation-243"/>
          <w:rFonts w:ascii="Arial" w:eastAsiaTheme="majorEastAsia" w:hAnsi="Arial" w:cs="Arial"/>
          <w:sz w:val="20"/>
          <w:szCs w:val="20"/>
        </w:rPr>
        <w:t xml:space="preserve"> defines a self-perpetuating biological cycle that links periodontitis with CRD [78]</w:t>
      </w:r>
      <w:r w:rsidRPr="007D6BFD">
        <w:rPr>
          <w:rFonts w:ascii="Arial" w:hAnsi="Arial" w:cs="Arial"/>
          <w:sz w:val="20"/>
          <w:szCs w:val="20"/>
        </w:rPr>
        <w:t xml:space="preserve">. </w:t>
      </w:r>
      <w:r w:rsidRPr="007D6BFD">
        <w:rPr>
          <w:rStyle w:val="citation-242"/>
          <w:rFonts w:ascii="Arial" w:hAnsi="Arial" w:cs="Arial"/>
          <w:sz w:val="20"/>
          <w:szCs w:val="20"/>
        </w:rPr>
        <w:t>This conceptual framework establishes a bidirectional feedback loop: chronic periodontal inflammation acts as a persistent stressor that triggers systemic circadian desynchronization, while reciprocal circadian misalignment accelerates the destruction of periodontal tissues via profound immune and metabolic dysregulation [79]</w:t>
      </w:r>
      <w:r w:rsidRPr="007D6BFD">
        <w:rPr>
          <w:rFonts w:ascii="Arial" w:hAnsi="Arial" w:cs="Arial"/>
          <w:sz w:val="20"/>
          <w:szCs w:val="20"/>
        </w:rPr>
        <w:t xml:space="preserve">. </w:t>
      </w:r>
    </w:p>
    <w:p w14:paraId="7684E798" w14:textId="77777777" w:rsidR="00EA2E52" w:rsidRPr="007D6BFD" w:rsidRDefault="00525865" w:rsidP="007D6BFD">
      <w:pPr>
        <w:pStyle w:val="NormalWeb"/>
        <w:spacing w:line="276" w:lineRule="auto"/>
        <w:rPr>
          <w:rFonts w:ascii="Arial" w:hAnsi="Arial" w:cs="Arial"/>
          <w:b/>
          <w:sz w:val="22"/>
          <w:szCs w:val="22"/>
        </w:rPr>
      </w:pPr>
      <w:r w:rsidRPr="007D6BFD">
        <w:rPr>
          <w:rFonts w:ascii="Arial" w:hAnsi="Arial" w:cs="Arial"/>
          <w:b/>
          <w:sz w:val="22"/>
          <w:szCs w:val="22"/>
        </w:rPr>
        <w:t xml:space="preserve">6.1 </w:t>
      </w:r>
      <w:r w:rsidR="000D3CE6" w:rsidRPr="007D6BFD">
        <w:rPr>
          <w:rFonts w:ascii="Arial" w:hAnsi="Arial" w:cs="Arial"/>
          <w:b/>
          <w:bCs/>
          <w:sz w:val="22"/>
          <w:szCs w:val="22"/>
        </w:rPr>
        <w:t>Periodo</w:t>
      </w:r>
      <w:r w:rsidR="00EA2E52" w:rsidRPr="007D6BFD">
        <w:rPr>
          <w:rFonts w:ascii="Arial" w:hAnsi="Arial" w:cs="Arial"/>
          <w:b/>
          <w:bCs/>
          <w:sz w:val="22"/>
          <w:szCs w:val="22"/>
        </w:rPr>
        <w:t>ntitis Drives Desynchronization</w:t>
      </w:r>
    </w:p>
    <w:p w14:paraId="63B5B6C4" w14:textId="77777777" w:rsidR="00A46E5E" w:rsidRPr="007D6BFD" w:rsidRDefault="00BA5419" w:rsidP="007D6BFD">
      <w:pPr>
        <w:spacing w:before="100" w:beforeAutospacing="1" w:after="100" w:afterAutospacing="1" w:line="276" w:lineRule="auto"/>
        <w:jc w:val="both"/>
        <w:rPr>
          <w:rStyle w:val="math-inline"/>
          <w:rFonts w:ascii="Arial" w:eastAsia="Times New Roman" w:hAnsi="Arial" w:cs="Arial"/>
          <w:sz w:val="20"/>
          <w:szCs w:val="20"/>
          <w:lang w:eastAsia="en-IN"/>
        </w:rPr>
      </w:pPr>
      <w:r w:rsidRPr="007D6BFD">
        <w:rPr>
          <w:rFonts w:ascii="Arial" w:eastAsia="Times New Roman" w:hAnsi="Arial" w:cs="Arial"/>
          <w:sz w:val="20"/>
          <w:szCs w:val="20"/>
          <w:lang w:eastAsia="en-IN"/>
        </w:rPr>
        <w:t xml:space="preserve">Chronic periodontal infection and sustained microbial challenge result in persistently elevated levels of gingival crevicular fluid and systemic inflammatory mediators, including </w:t>
      </w:r>
      <w:r w:rsidR="005E1A0B" w:rsidRPr="007D6BFD">
        <w:rPr>
          <w:rFonts w:ascii="Arial" w:eastAsia="Times New Roman" w:hAnsi="Arial" w:cs="Arial"/>
          <w:sz w:val="20"/>
          <w:szCs w:val="20"/>
          <w:lang w:eastAsia="en-IN"/>
        </w:rPr>
        <w:t>IL</w:t>
      </w:r>
      <w:r w:rsidRPr="007D6BFD">
        <w:rPr>
          <w:rFonts w:ascii="Arial" w:eastAsia="Times New Roman" w:hAnsi="Arial" w:cs="Arial"/>
          <w:sz w:val="20"/>
          <w:szCs w:val="20"/>
          <w:lang w:eastAsia="en-IN"/>
        </w:rPr>
        <w:t xml:space="preserve">-6, </w:t>
      </w:r>
      <w:r w:rsidR="006E15E0" w:rsidRPr="007D6BFD">
        <w:rPr>
          <w:rFonts w:ascii="Arial" w:hAnsi="Arial" w:cs="Arial"/>
          <w:sz w:val="20"/>
          <w:szCs w:val="20"/>
        </w:rPr>
        <w:t>TNF-α</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and </w:t>
      </w:r>
      <w:r w:rsidR="005E1A0B" w:rsidRPr="007D6BFD">
        <w:rPr>
          <w:rFonts w:ascii="Arial" w:eastAsia="Times New Roman" w:hAnsi="Arial" w:cs="Arial"/>
          <w:sz w:val="20"/>
          <w:szCs w:val="20"/>
          <w:lang w:eastAsia="en-IN"/>
        </w:rPr>
        <w:t>PG</w:t>
      </w:r>
      <w:r w:rsidRPr="007D6BFD">
        <w:rPr>
          <w:rFonts w:ascii="Arial" w:eastAsia="Times New Roman" w:hAnsi="Arial" w:cs="Arial"/>
          <w:sz w:val="20"/>
          <w:szCs w:val="20"/>
          <w:lang w:eastAsia="en-IN"/>
        </w:rPr>
        <w:t>E</w:t>
      </w:r>
      <w:r w:rsidRPr="007D6BFD">
        <w:rPr>
          <w:rFonts w:ascii="Cambria Math" w:eastAsia="Times New Roman" w:hAnsi="Cambria Math" w:cs="Cambria Math"/>
          <w:sz w:val="20"/>
          <w:szCs w:val="20"/>
          <w:lang w:eastAsia="en-IN"/>
        </w:rPr>
        <w:t>₂</w:t>
      </w:r>
      <w:r w:rsidRPr="007D6BFD">
        <w:rPr>
          <w:rFonts w:ascii="Arial" w:eastAsia="Times New Roman" w:hAnsi="Arial" w:cs="Arial"/>
          <w:sz w:val="20"/>
          <w:szCs w:val="20"/>
          <w:lang w:eastAsia="en-IN"/>
        </w:rPr>
        <w:t xml:space="preserve"> [</w:t>
      </w:r>
      <w:r w:rsidR="00D01BCB" w:rsidRPr="007D6BFD">
        <w:rPr>
          <w:rFonts w:ascii="Arial" w:eastAsia="Times New Roman" w:hAnsi="Arial" w:cs="Arial"/>
          <w:sz w:val="20"/>
          <w:szCs w:val="20"/>
          <w:lang w:eastAsia="en-IN"/>
        </w:rPr>
        <w:t>80</w:t>
      </w:r>
      <w:r w:rsidRPr="007D6BFD">
        <w:rPr>
          <w:rFonts w:ascii="Arial" w:eastAsia="Times New Roman" w:hAnsi="Arial" w:cs="Arial"/>
          <w:sz w:val="20"/>
          <w:szCs w:val="20"/>
          <w:lang w:eastAsia="en-IN"/>
        </w:rPr>
        <w:t xml:space="preserve">]. These mediators exert direct and indirect effects on both central and peripheral circadian clocks. Systemic cytokine </w:t>
      </w:r>
      <w:proofErr w:type="spellStart"/>
      <w:r w:rsidRPr="007D6BFD">
        <w:rPr>
          <w:rFonts w:ascii="Arial" w:eastAsia="Times New Roman" w:hAnsi="Arial" w:cs="Arial"/>
          <w:sz w:val="20"/>
          <w:szCs w:val="20"/>
          <w:lang w:eastAsia="en-IN"/>
        </w:rPr>
        <w:t>signaling</w:t>
      </w:r>
      <w:proofErr w:type="spellEnd"/>
      <w:r w:rsidRPr="007D6BFD">
        <w:rPr>
          <w:rFonts w:ascii="Arial" w:eastAsia="Times New Roman" w:hAnsi="Arial" w:cs="Arial"/>
          <w:sz w:val="20"/>
          <w:szCs w:val="20"/>
          <w:lang w:eastAsia="en-IN"/>
        </w:rPr>
        <w:t xml:space="preserve"> dampens clock gene amplitude, disrupts phase coherence, and promotes desynchronization between the central pacemaker and peripheral tissues [</w:t>
      </w:r>
      <w:r w:rsidR="00D01BCB" w:rsidRPr="007D6BFD">
        <w:rPr>
          <w:rFonts w:ascii="Arial" w:eastAsia="Times New Roman" w:hAnsi="Arial" w:cs="Arial"/>
          <w:sz w:val="20"/>
          <w:szCs w:val="20"/>
          <w:lang w:eastAsia="en-IN"/>
        </w:rPr>
        <w:t>81</w:t>
      </w:r>
      <w:r w:rsidRPr="007D6BFD">
        <w:rPr>
          <w:rFonts w:ascii="Arial" w:eastAsia="Times New Roman" w:hAnsi="Arial" w:cs="Arial"/>
          <w:sz w:val="20"/>
          <w:szCs w:val="20"/>
          <w:lang w:eastAsia="en-IN"/>
        </w:rPr>
        <w:t>].</w:t>
      </w:r>
      <w:r w:rsidR="00D01BCB"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Pro-inflammatory cytokines, particularly </w:t>
      </w:r>
      <w:r w:rsidR="005E1A0B" w:rsidRPr="007D6BFD">
        <w:rPr>
          <w:rFonts w:ascii="Arial" w:hAnsi="Arial" w:cs="Arial"/>
          <w:sz w:val="20"/>
          <w:szCs w:val="20"/>
        </w:rPr>
        <w:t>TNF-α</w:t>
      </w:r>
      <w:r w:rsidRPr="007D6BFD">
        <w:rPr>
          <w:rFonts w:ascii="Arial" w:eastAsia="Times New Roman" w:hAnsi="Arial" w:cs="Arial"/>
          <w:sz w:val="20"/>
          <w:szCs w:val="20"/>
          <w:lang w:eastAsia="en-IN"/>
        </w:rPr>
        <w:t xml:space="preserve">, activate </w:t>
      </w:r>
      <w:r w:rsidR="005E1A0B" w:rsidRPr="007D6BFD">
        <w:rPr>
          <w:rFonts w:ascii="Arial" w:hAnsi="Arial" w:cs="Arial"/>
          <w:sz w:val="20"/>
          <w:szCs w:val="20"/>
        </w:rPr>
        <w:t>NF-</w:t>
      </w:r>
      <w:proofErr w:type="spellStart"/>
      <w:r w:rsidR="005E1A0B" w:rsidRPr="007D6BFD">
        <w:rPr>
          <w:rFonts w:ascii="Arial" w:hAnsi="Arial" w:cs="Arial"/>
          <w:sz w:val="20"/>
          <w:szCs w:val="20"/>
        </w:rPr>
        <w:t>κB</w:t>
      </w:r>
      <w:proofErr w:type="spellEnd"/>
      <w:r w:rsidR="005E1A0B" w:rsidRPr="007D6BFD">
        <w:rPr>
          <w:rFonts w:ascii="Arial" w:hAnsi="Arial" w:cs="Arial"/>
          <w:sz w:val="20"/>
          <w:szCs w:val="20"/>
        </w:rPr>
        <w:t xml:space="preserve"> </w:t>
      </w:r>
      <w:proofErr w:type="spellStart"/>
      <w:r w:rsidRPr="007D6BFD">
        <w:rPr>
          <w:rFonts w:ascii="Arial" w:eastAsia="Times New Roman" w:hAnsi="Arial" w:cs="Arial"/>
          <w:sz w:val="20"/>
          <w:szCs w:val="20"/>
          <w:lang w:eastAsia="en-IN"/>
        </w:rPr>
        <w:t>signaling</w:t>
      </w:r>
      <w:proofErr w:type="spellEnd"/>
      <w:r w:rsidRPr="007D6BFD">
        <w:rPr>
          <w:rFonts w:ascii="Arial" w:eastAsia="Times New Roman" w:hAnsi="Arial" w:cs="Arial"/>
          <w:sz w:val="20"/>
          <w:szCs w:val="20"/>
          <w:lang w:eastAsia="en-IN"/>
        </w:rPr>
        <w:t>, which directly represses transcription of the core clock gene BMAL1, leading to molecular clock suppression in immune and metabolic tissues [</w:t>
      </w:r>
      <w:r w:rsidR="00D01BCB" w:rsidRPr="007D6BFD">
        <w:rPr>
          <w:rFonts w:ascii="Arial" w:eastAsia="Times New Roman" w:hAnsi="Arial" w:cs="Arial"/>
          <w:sz w:val="20"/>
          <w:szCs w:val="20"/>
          <w:lang w:eastAsia="en-IN"/>
        </w:rPr>
        <w:t>82</w:t>
      </w:r>
      <w:r w:rsidRPr="007D6BFD">
        <w:rPr>
          <w:rFonts w:ascii="Arial" w:eastAsia="Times New Roman" w:hAnsi="Arial" w:cs="Arial"/>
          <w:sz w:val="20"/>
          <w:szCs w:val="20"/>
          <w:lang w:eastAsia="en-IN"/>
        </w:rPr>
        <w:t xml:space="preserve">]. In parallel, </w:t>
      </w:r>
      <w:r w:rsidR="005E1A0B" w:rsidRPr="007D6BFD">
        <w:rPr>
          <w:rFonts w:ascii="Arial" w:eastAsia="Times New Roman" w:hAnsi="Arial" w:cs="Arial"/>
          <w:sz w:val="20"/>
          <w:szCs w:val="20"/>
          <w:lang w:eastAsia="en-IN"/>
        </w:rPr>
        <w:t>PGE</w:t>
      </w:r>
      <w:r w:rsidR="005E1A0B" w:rsidRPr="007D6BFD">
        <w:rPr>
          <w:rFonts w:ascii="Cambria Math" w:eastAsia="Times New Roman" w:hAnsi="Cambria Math" w:cs="Cambria Math"/>
          <w:sz w:val="20"/>
          <w:szCs w:val="20"/>
          <w:lang w:eastAsia="en-IN"/>
        </w:rPr>
        <w:t xml:space="preserve">₂ </w:t>
      </w:r>
      <w:r w:rsidRPr="007D6BFD">
        <w:rPr>
          <w:rFonts w:ascii="Arial" w:eastAsia="Times New Roman" w:hAnsi="Arial" w:cs="Arial"/>
          <w:sz w:val="20"/>
          <w:szCs w:val="20"/>
          <w:lang w:eastAsia="en-IN"/>
        </w:rPr>
        <w:t xml:space="preserve">mediated activation of the </w:t>
      </w:r>
      <w:r w:rsidR="005E1A0B" w:rsidRPr="007D6BFD">
        <w:rPr>
          <w:rFonts w:ascii="Arial" w:eastAsia="Times New Roman" w:hAnsi="Arial" w:cs="Arial"/>
          <w:sz w:val="20"/>
          <w:szCs w:val="20"/>
          <w:lang w:eastAsia="en-IN"/>
        </w:rPr>
        <w:t>HPA</w:t>
      </w:r>
      <w:r w:rsidRPr="007D6BFD">
        <w:rPr>
          <w:rFonts w:ascii="Arial" w:eastAsia="Times New Roman" w:hAnsi="Arial" w:cs="Arial"/>
          <w:sz w:val="20"/>
          <w:szCs w:val="20"/>
          <w:lang w:eastAsia="en-IN"/>
        </w:rPr>
        <w:t xml:space="preserve"> results in chronic stimulation and eventual flattening of the diurnal cortisol rhythm [</w:t>
      </w:r>
      <w:r w:rsidR="00D01BCB" w:rsidRPr="007D6BFD">
        <w:rPr>
          <w:rFonts w:ascii="Arial" w:eastAsia="Times New Roman" w:hAnsi="Arial" w:cs="Arial"/>
          <w:sz w:val="20"/>
          <w:szCs w:val="20"/>
          <w:lang w:eastAsia="en-IN"/>
        </w:rPr>
        <w:t>83</w:t>
      </w:r>
      <w:r w:rsidRPr="007D6BFD">
        <w:rPr>
          <w:rFonts w:ascii="Arial" w:eastAsia="Times New Roman" w:hAnsi="Arial" w:cs="Arial"/>
          <w:sz w:val="20"/>
          <w:szCs w:val="20"/>
          <w:lang w:eastAsia="en-IN"/>
        </w:rPr>
        <w:t>]. Because the morning cortisol surge serves as a critical zeitgeber for immune and metabolic clocks, disruption of this signal promotes wi</w:t>
      </w:r>
      <w:r w:rsidR="00D01BCB" w:rsidRPr="007D6BFD">
        <w:rPr>
          <w:rFonts w:ascii="Arial" w:eastAsia="Times New Roman" w:hAnsi="Arial" w:cs="Arial"/>
          <w:sz w:val="20"/>
          <w:szCs w:val="20"/>
          <w:lang w:eastAsia="en-IN"/>
        </w:rPr>
        <w:t xml:space="preserve">despread circadian misalignment. </w:t>
      </w:r>
      <w:r w:rsidRPr="007D6BFD">
        <w:rPr>
          <w:rFonts w:ascii="Arial" w:eastAsia="Times New Roman" w:hAnsi="Arial" w:cs="Arial"/>
          <w:sz w:val="20"/>
          <w:szCs w:val="20"/>
          <w:lang w:eastAsia="en-IN"/>
        </w:rPr>
        <w:t>Collectively, chronic periodontal inflammation acts as a persistent systemic stressor that erodes temporal organization across neuroendocrine, immune, and metabolic pathways, culminating in circadian desynchronization [</w:t>
      </w:r>
      <w:r w:rsidR="00D01BCB" w:rsidRPr="007D6BFD">
        <w:rPr>
          <w:rFonts w:ascii="Arial" w:eastAsia="Times New Roman" w:hAnsi="Arial" w:cs="Arial"/>
          <w:sz w:val="20"/>
          <w:szCs w:val="20"/>
          <w:lang w:eastAsia="en-IN"/>
        </w:rPr>
        <w:t>84</w:t>
      </w:r>
      <w:r w:rsidRPr="007D6BFD">
        <w:rPr>
          <w:rFonts w:ascii="Arial" w:eastAsia="Times New Roman" w:hAnsi="Arial" w:cs="Arial"/>
          <w:sz w:val="20"/>
          <w:szCs w:val="20"/>
          <w:lang w:eastAsia="en-IN"/>
        </w:rPr>
        <w:t>].</w:t>
      </w:r>
    </w:p>
    <w:p w14:paraId="4D31637B" w14:textId="77777777" w:rsidR="00EA2E52" w:rsidRPr="007D6BFD" w:rsidRDefault="00525865" w:rsidP="007D6BFD">
      <w:pPr>
        <w:pStyle w:val="NormalWeb"/>
        <w:spacing w:line="276" w:lineRule="auto"/>
        <w:rPr>
          <w:rFonts w:ascii="Arial" w:hAnsi="Arial" w:cs="Arial"/>
          <w:b/>
          <w:bCs/>
          <w:sz w:val="22"/>
          <w:szCs w:val="22"/>
        </w:rPr>
      </w:pPr>
      <w:r w:rsidRPr="007D6BFD">
        <w:rPr>
          <w:rFonts w:ascii="Arial" w:hAnsi="Arial" w:cs="Arial"/>
          <w:b/>
          <w:sz w:val="22"/>
          <w:szCs w:val="22"/>
        </w:rPr>
        <w:t xml:space="preserve">6.2 </w:t>
      </w:r>
      <w:r w:rsidR="000D3CE6" w:rsidRPr="007D6BFD">
        <w:rPr>
          <w:rFonts w:ascii="Arial" w:hAnsi="Arial" w:cs="Arial"/>
          <w:b/>
          <w:bCs/>
          <w:sz w:val="22"/>
          <w:szCs w:val="22"/>
        </w:rPr>
        <w:t>Desynch</w:t>
      </w:r>
      <w:r w:rsidR="00EA2E52" w:rsidRPr="007D6BFD">
        <w:rPr>
          <w:rFonts w:ascii="Arial" w:hAnsi="Arial" w:cs="Arial"/>
          <w:b/>
          <w:bCs/>
          <w:sz w:val="22"/>
          <w:szCs w:val="22"/>
        </w:rPr>
        <w:t>ronization Drives Periodontitis</w:t>
      </w:r>
    </w:p>
    <w:p w14:paraId="7AC23D32" w14:textId="77777777" w:rsidR="00BA5419" w:rsidRPr="007D6BFD" w:rsidRDefault="00BA5419"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 xml:space="preserve">Conversely, circadian rhythm disruption exacerbates periodontal disease progression by impairing host </w:t>
      </w:r>
      <w:proofErr w:type="spellStart"/>
      <w:r w:rsidRPr="007D6BFD">
        <w:rPr>
          <w:rFonts w:ascii="Arial" w:eastAsia="Times New Roman" w:hAnsi="Arial" w:cs="Arial"/>
          <w:sz w:val="20"/>
          <w:szCs w:val="20"/>
          <w:lang w:eastAsia="en-IN"/>
        </w:rPr>
        <w:t>defense</w:t>
      </w:r>
      <w:proofErr w:type="spellEnd"/>
      <w:r w:rsidRPr="007D6BFD">
        <w:rPr>
          <w:rFonts w:ascii="Arial" w:eastAsia="Times New Roman" w:hAnsi="Arial" w:cs="Arial"/>
          <w:sz w:val="20"/>
          <w:szCs w:val="20"/>
          <w:lang w:eastAsia="en-IN"/>
        </w:rPr>
        <w:t xml:space="preserve"> mechanisms and</w:t>
      </w:r>
      <w:r w:rsidR="00B03B35" w:rsidRPr="007D6BFD">
        <w:rPr>
          <w:rFonts w:ascii="Arial" w:eastAsia="Times New Roman" w:hAnsi="Arial" w:cs="Arial"/>
          <w:sz w:val="20"/>
          <w:szCs w:val="20"/>
          <w:lang w:eastAsia="en-IN"/>
        </w:rPr>
        <w:t xml:space="preserve"> the resolution of inflammation [85].</w:t>
      </w:r>
      <w:r w:rsidRPr="007D6BFD">
        <w:rPr>
          <w:rFonts w:ascii="Arial" w:eastAsia="Times New Roman" w:hAnsi="Arial" w:cs="Arial"/>
          <w:sz w:val="20"/>
          <w:szCs w:val="20"/>
          <w:lang w:eastAsia="en-IN"/>
        </w:rPr>
        <w:t xml:space="preserve"> Loss of circadian control disrupts the </w:t>
      </w:r>
      <w:r w:rsidRPr="007D6BFD">
        <w:rPr>
          <w:rFonts w:ascii="Arial" w:eastAsia="Times New Roman" w:hAnsi="Arial" w:cs="Arial"/>
          <w:sz w:val="20"/>
          <w:szCs w:val="20"/>
          <w:lang w:eastAsia="en-IN"/>
        </w:rPr>
        <w:lastRenderedPageBreak/>
        <w:t>timing of immune cell migration, skews macrophage polarization toward a sustained pro-inflammatory phenotype, and suppresses the synthesis of specialized pro-resolving lipid mediators required for termination of inflammation [</w:t>
      </w:r>
      <w:r w:rsidR="00B03B35" w:rsidRPr="007D6BFD">
        <w:rPr>
          <w:rFonts w:ascii="Arial" w:eastAsia="Times New Roman" w:hAnsi="Arial" w:cs="Arial"/>
          <w:sz w:val="20"/>
          <w:szCs w:val="20"/>
          <w:lang w:eastAsia="en-IN"/>
        </w:rPr>
        <w:t>86</w:t>
      </w:r>
      <w:r w:rsidR="0006135A"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Circadian misalignment also disrupts osteoimmunological regulation within the periodontium</w:t>
      </w:r>
      <w:r w:rsidR="00B03B35" w:rsidRPr="007D6BFD">
        <w:rPr>
          <w:rFonts w:ascii="Arial" w:eastAsia="Times New Roman" w:hAnsi="Arial" w:cs="Arial"/>
          <w:sz w:val="20"/>
          <w:szCs w:val="20"/>
          <w:lang w:eastAsia="en-IN"/>
        </w:rPr>
        <w:t xml:space="preserve"> [87]</w:t>
      </w:r>
      <w:r w:rsidRPr="007D6BFD">
        <w:rPr>
          <w:rFonts w:ascii="Arial" w:eastAsia="Times New Roman" w:hAnsi="Arial" w:cs="Arial"/>
          <w:sz w:val="20"/>
          <w:szCs w:val="20"/>
          <w:lang w:eastAsia="en-IN"/>
        </w:rPr>
        <w:t xml:space="preserve">. Clock genes expressed in osteoblasts and osteoclasts regulate rhythmic expression of receptor activator of </w:t>
      </w:r>
      <w:r w:rsidR="005E1A0B" w:rsidRPr="007D6BFD">
        <w:rPr>
          <w:rFonts w:ascii="Arial" w:hAnsi="Arial" w:cs="Arial"/>
          <w:sz w:val="20"/>
          <w:szCs w:val="20"/>
        </w:rPr>
        <w:t>NF-</w:t>
      </w:r>
      <w:proofErr w:type="spellStart"/>
      <w:r w:rsidR="005E1A0B" w:rsidRPr="007D6BFD">
        <w:rPr>
          <w:rFonts w:ascii="Arial" w:hAnsi="Arial" w:cs="Arial"/>
          <w:sz w:val="20"/>
          <w:szCs w:val="20"/>
        </w:rPr>
        <w:t>κB</w:t>
      </w:r>
      <w:proofErr w:type="spellEnd"/>
      <w:r w:rsidR="005E1A0B" w:rsidRPr="007D6BFD">
        <w:rPr>
          <w:rFonts w:ascii="Arial" w:hAnsi="Arial" w:cs="Arial"/>
          <w:sz w:val="20"/>
          <w:szCs w:val="20"/>
        </w:rPr>
        <w:t xml:space="preserve"> </w:t>
      </w:r>
      <w:r w:rsidRPr="007D6BFD">
        <w:rPr>
          <w:rFonts w:ascii="Arial" w:eastAsia="Times New Roman" w:hAnsi="Arial" w:cs="Arial"/>
          <w:sz w:val="20"/>
          <w:szCs w:val="20"/>
          <w:lang w:eastAsia="en-IN"/>
        </w:rPr>
        <w:t xml:space="preserve">and </w:t>
      </w:r>
      <w:proofErr w:type="spellStart"/>
      <w:r w:rsidRPr="007D6BFD">
        <w:rPr>
          <w:rFonts w:ascii="Arial" w:eastAsia="Times New Roman" w:hAnsi="Arial" w:cs="Arial"/>
          <w:sz w:val="20"/>
          <w:szCs w:val="20"/>
          <w:lang w:eastAsia="en-IN"/>
        </w:rPr>
        <w:t>osteoprotegerin</w:t>
      </w:r>
      <w:proofErr w:type="spellEnd"/>
      <w:r w:rsidRPr="007D6BFD">
        <w:rPr>
          <w:rFonts w:ascii="Arial" w:eastAsia="Times New Roman" w:hAnsi="Arial" w:cs="Arial"/>
          <w:sz w:val="20"/>
          <w:szCs w:val="20"/>
          <w:lang w:eastAsia="en-IN"/>
        </w:rPr>
        <w:t>, thereby maint</w:t>
      </w:r>
      <w:r w:rsidR="00B03B35" w:rsidRPr="007D6BFD">
        <w:rPr>
          <w:rFonts w:ascii="Arial" w:eastAsia="Times New Roman" w:hAnsi="Arial" w:cs="Arial"/>
          <w:sz w:val="20"/>
          <w:szCs w:val="20"/>
          <w:lang w:eastAsia="en-IN"/>
        </w:rPr>
        <w:t xml:space="preserve">aining balanced bone remodelling. </w:t>
      </w:r>
      <w:r w:rsidRPr="007D6BFD">
        <w:rPr>
          <w:rFonts w:ascii="Arial" w:eastAsia="Times New Roman" w:hAnsi="Arial" w:cs="Arial"/>
          <w:sz w:val="20"/>
          <w:szCs w:val="20"/>
          <w:lang w:eastAsia="en-IN"/>
        </w:rPr>
        <w:t xml:space="preserve">Disruption of clock gene function shifts this balance toward increased RANKL expression and reduced </w:t>
      </w:r>
      <w:proofErr w:type="spellStart"/>
      <w:r w:rsidRPr="007D6BFD">
        <w:rPr>
          <w:rFonts w:ascii="Arial" w:eastAsia="Times New Roman" w:hAnsi="Arial" w:cs="Arial"/>
          <w:sz w:val="20"/>
          <w:szCs w:val="20"/>
          <w:lang w:eastAsia="en-IN"/>
        </w:rPr>
        <w:t>osteoprotegerin</w:t>
      </w:r>
      <w:proofErr w:type="spellEnd"/>
      <w:r w:rsidRPr="007D6BFD">
        <w:rPr>
          <w:rFonts w:ascii="Arial" w:eastAsia="Times New Roman" w:hAnsi="Arial" w:cs="Arial"/>
          <w:sz w:val="20"/>
          <w:szCs w:val="20"/>
          <w:lang w:eastAsia="en-IN"/>
        </w:rPr>
        <w:t xml:space="preserve"> activity, </w:t>
      </w:r>
      <w:proofErr w:type="spellStart"/>
      <w:r w:rsidRPr="007D6BFD">
        <w:rPr>
          <w:rFonts w:ascii="Arial" w:eastAsia="Times New Roman" w:hAnsi="Arial" w:cs="Arial"/>
          <w:sz w:val="20"/>
          <w:szCs w:val="20"/>
          <w:lang w:eastAsia="en-IN"/>
        </w:rPr>
        <w:t>favoring</w:t>
      </w:r>
      <w:proofErr w:type="spellEnd"/>
      <w:r w:rsidRPr="007D6BFD">
        <w:rPr>
          <w:rFonts w:ascii="Arial" w:eastAsia="Times New Roman" w:hAnsi="Arial" w:cs="Arial"/>
          <w:sz w:val="20"/>
          <w:szCs w:val="20"/>
          <w:lang w:eastAsia="en-IN"/>
        </w:rPr>
        <w:t xml:space="preserve"> excessive </w:t>
      </w:r>
      <w:proofErr w:type="spellStart"/>
      <w:r w:rsidRPr="007D6BFD">
        <w:rPr>
          <w:rFonts w:ascii="Arial" w:eastAsia="Times New Roman" w:hAnsi="Arial" w:cs="Arial"/>
          <w:sz w:val="20"/>
          <w:szCs w:val="20"/>
          <w:lang w:eastAsia="en-IN"/>
        </w:rPr>
        <w:t>osteoclastogenesis</w:t>
      </w:r>
      <w:proofErr w:type="spellEnd"/>
      <w:r w:rsidRPr="007D6BFD">
        <w:rPr>
          <w:rFonts w:ascii="Arial" w:eastAsia="Times New Roman" w:hAnsi="Arial" w:cs="Arial"/>
          <w:sz w:val="20"/>
          <w:szCs w:val="20"/>
          <w:lang w:eastAsia="en-IN"/>
        </w:rPr>
        <w:t xml:space="preserve"> and </w:t>
      </w:r>
      <w:r w:rsidR="00B03B35" w:rsidRPr="007D6BFD">
        <w:rPr>
          <w:rFonts w:ascii="Arial" w:eastAsia="Times New Roman" w:hAnsi="Arial" w:cs="Arial"/>
          <w:sz w:val="20"/>
          <w:szCs w:val="20"/>
          <w:lang w:eastAsia="en-IN"/>
        </w:rPr>
        <w:t xml:space="preserve">pathological alveolar bone loss. </w:t>
      </w:r>
      <w:r w:rsidRPr="007D6BFD">
        <w:rPr>
          <w:rFonts w:ascii="Arial" w:eastAsia="Times New Roman" w:hAnsi="Arial" w:cs="Arial"/>
          <w:sz w:val="20"/>
          <w:szCs w:val="20"/>
          <w:lang w:eastAsia="en-IN"/>
        </w:rPr>
        <w:t>In parallel, circadian disruption alters the rhythmic regulation of matrix metalloproteinases and their inhibitors, leading to sustained extracellular matrix degradation within periodontal connective tissues [</w:t>
      </w:r>
      <w:r w:rsidR="00B03B35" w:rsidRPr="007D6BFD">
        <w:rPr>
          <w:rFonts w:ascii="Arial" w:eastAsia="Times New Roman" w:hAnsi="Arial" w:cs="Arial"/>
          <w:sz w:val="20"/>
          <w:szCs w:val="20"/>
          <w:lang w:eastAsia="en-IN"/>
        </w:rPr>
        <w:t>88</w:t>
      </w:r>
      <w:r w:rsidRPr="007D6BFD">
        <w:rPr>
          <w:rFonts w:ascii="Arial" w:eastAsia="Times New Roman" w:hAnsi="Arial" w:cs="Arial"/>
          <w:sz w:val="20"/>
          <w:szCs w:val="20"/>
          <w:lang w:eastAsia="en-IN"/>
        </w:rPr>
        <w:t>]. These combined immune, bone, and connective tissue effects establish circadian disruption as a potent amplifier of periodontal tissue destruction independent of microbial burden [</w:t>
      </w:r>
      <w:r w:rsidR="00B03B35" w:rsidRPr="007D6BFD">
        <w:rPr>
          <w:rFonts w:ascii="Arial" w:eastAsia="Times New Roman" w:hAnsi="Arial" w:cs="Arial"/>
          <w:sz w:val="20"/>
          <w:szCs w:val="20"/>
          <w:lang w:eastAsia="en-IN"/>
        </w:rPr>
        <w:t>89</w:t>
      </w:r>
      <w:r w:rsidRPr="007D6BFD">
        <w:rPr>
          <w:rFonts w:ascii="Arial" w:eastAsia="Times New Roman" w:hAnsi="Arial" w:cs="Arial"/>
          <w:sz w:val="20"/>
          <w:szCs w:val="20"/>
          <w:lang w:eastAsia="en-IN"/>
        </w:rPr>
        <w:t>].</w:t>
      </w:r>
      <w:r w:rsidR="00C63B2A"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Together, these reciprocal pathways form a self-reinforcing neuro-immuno-metabolic loop, as depicted in Figure 1, suggesting that treating only the local microbial component of periodontitis may be insufficient in individuals with underlying circadian misalignment, just as correction of sleep or circadian disturbances alone may not resolve the source of chronic periodontal inflammation [</w:t>
      </w:r>
      <w:r w:rsidR="00B03B35" w:rsidRPr="007D6BFD">
        <w:rPr>
          <w:rFonts w:ascii="Arial" w:eastAsia="Times New Roman" w:hAnsi="Arial" w:cs="Arial"/>
          <w:sz w:val="20"/>
          <w:szCs w:val="20"/>
          <w:lang w:eastAsia="en-IN"/>
        </w:rPr>
        <w:t>86-89</w:t>
      </w:r>
      <w:r w:rsidRPr="007D6BFD">
        <w:rPr>
          <w:rFonts w:ascii="Arial" w:eastAsia="Times New Roman" w:hAnsi="Arial" w:cs="Arial"/>
          <w:sz w:val="20"/>
          <w:szCs w:val="20"/>
          <w:lang w:eastAsia="en-IN"/>
        </w:rPr>
        <w:t>].</w:t>
      </w:r>
    </w:p>
    <w:p w14:paraId="08B2AD5D" w14:textId="77777777" w:rsidR="000D3CE6" w:rsidRPr="007D6BFD" w:rsidRDefault="00E423F6" w:rsidP="007D6BFD">
      <w:pPr>
        <w:pStyle w:val="NormalWeb"/>
        <w:spacing w:line="276" w:lineRule="auto"/>
        <w:rPr>
          <w:rFonts w:ascii="Arial" w:hAnsi="Arial" w:cs="Arial"/>
          <w:sz w:val="22"/>
          <w:szCs w:val="22"/>
        </w:rPr>
      </w:pPr>
      <w:r w:rsidRPr="007D6BFD">
        <w:rPr>
          <w:rStyle w:val="Strong"/>
          <w:rFonts w:ascii="Arial" w:hAnsi="Arial" w:cs="Arial"/>
          <w:sz w:val="22"/>
          <w:szCs w:val="22"/>
        </w:rPr>
        <w:t>7</w:t>
      </w:r>
      <w:r w:rsidR="000D3CE6" w:rsidRPr="007D6BFD">
        <w:rPr>
          <w:rStyle w:val="Strong"/>
          <w:rFonts w:ascii="Arial" w:hAnsi="Arial" w:cs="Arial"/>
          <w:sz w:val="22"/>
          <w:szCs w:val="22"/>
        </w:rPr>
        <w:t>. Clinical and Research Implications</w:t>
      </w:r>
    </w:p>
    <w:p w14:paraId="49B1888D" w14:textId="77777777" w:rsidR="00BA5419" w:rsidRPr="007D6BFD" w:rsidRDefault="00BA5419" w:rsidP="007D6BFD">
      <w:pPr>
        <w:pStyle w:val="NormalWeb"/>
        <w:spacing w:line="276" w:lineRule="auto"/>
        <w:jc w:val="both"/>
        <w:rPr>
          <w:rFonts w:ascii="Arial" w:hAnsi="Arial" w:cs="Arial"/>
          <w:sz w:val="20"/>
          <w:szCs w:val="20"/>
        </w:rPr>
      </w:pPr>
      <w:r w:rsidRPr="007D6BFD">
        <w:rPr>
          <w:rFonts w:ascii="Arial" w:hAnsi="Arial" w:cs="Arial"/>
          <w:sz w:val="20"/>
          <w:szCs w:val="20"/>
        </w:rPr>
        <w:t>Recognition of the bidirectional interaction between periodontitis and circadian rhythm disruption provides a strong conceptual foundation for the application of chronobiology to periodontal care. Integrating circadian principles into diagnostics and therapy offers opportunities to refine risk stratification, personalize treatment timing, and improve clinical outcomes in chro</w:t>
      </w:r>
      <w:r w:rsidR="00B03B35" w:rsidRPr="007D6BFD">
        <w:rPr>
          <w:rFonts w:ascii="Arial" w:hAnsi="Arial" w:cs="Arial"/>
          <w:sz w:val="20"/>
          <w:szCs w:val="20"/>
        </w:rPr>
        <w:t>nic</w:t>
      </w:r>
      <w:r w:rsidR="00C53249" w:rsidRPr="007D6BFD">
        <w:rPr>
          <w:rFonts w:ascii="Arial" w:hAnsi="Arial" w:cs="Arial"/>
          <w:sz w:val="20"/>
          <w:szCs w:val="20"/>
        </w:rPr>
        <w:t xml:space="preserve"> periodontal inflammation</w:t>
      </w:r>
      <w:r w:rsidRPr="007D6BFD">
        <w:rPr>
          <w:rFonts w:ascii="Arial" w:hAnsi="Arial" w:cs="Arial"/>
          <w:sz w:val="20"/>
          <w:szCs w:val="20"/>
        </w:rPr>
        <w:t>.</w:t>
      </w:r>
    </w:p>
    <w:p w14:paraId="3AD052CE" w14:textId="77777777" w:rsidR="00880D9F" w:rsidRPr="007D6BFD" w:rsidRDefault="00E423F6" w:rsidP="007D6BFD">
      <w:pPr>
        <w:pStyle w:val="NormalWeb"/>
        <w:spacing w:line="276" w:lineRule="auto"/>
        <w:rPr>
          <w:rFonts w:ascii="Arial" w:hAnsi="Arial" w:cs="Arial"/>
          <w:sz w:val="20"/>
          <w:szCs w:val="20"/>
        </w:rPr>
      </w:pPr>
      <w:r w:rsidRPr="007D6BFD">
        <w:rPr>
          <w:rStyle w:val="Strong"/>
          <w:rFonts w:ascii="Arial" w:hAnsi="Arial" w:cs="Arial"/>
          <w:sz w:val="22"/>
          <w:szCs w:val="22"/>
        </w:rPr>
        <w:t>7</w:t>
      </w:r>
      <w:r w:rsidR="004152BE" w:rsidRPr="007D6BFD">
        <w:rPr>
          <w:rStyle w:val="Strong"/>
          <w:rFonts w:ascii="Arial" w:hAnsi="Arial" w:cs="Arial"/>
          <w:sz w:val="22"/>
          <w:szCs w:val="22"/>
        </w:rPr>
        <w:t>.1</w:t>
      </w:r>
      <w:r w:rsidR="00880D9F" w:rsidRPr="007D6BFD">
        <w:rPr>
          <w:rStyle w:val="Strong"/>
          <w:rFonts w:ascii="Arial" w:hAnsi="Arial" w:cs="Arial"/>
          <w:sz w:val="22"/>
          <w:szCs w:val="22"/>
        </w:rPr>
        <w:t xml:space="preserve"> </w:t>
      </w:r>
      <w:r w:rsidR="000D3CE6" w:rsidRPr="007D6BFD">
        <w:rPr>
          <w:rStyle w:val="Strong"/>
          <w:rFonts w:ascii="Arial" w:hAnsi="Arial" w:cs="Arial"/>
          <w:sz w:val="22"/>
          <w:szCs w:val="22"/>
        </w:rPr>
        <w:t>Chronobiology-</w:t>
      </w:r>
      <w:r w:rsidR="004152BE" w:rsidRPr="007D6BFD">
        <w:rPr>
          <w:rStyle w:val="Strong"/>
          <w:rFonts w:ascii="Arial" w:hAnsi="Arial" w:cs="Arial"/>
          <w:sz w:val="22"/>
          <w:szCs w:val="22"/>
        </w:rPr>
        <w:t xml:space="preserve"> Informed </w:t>
      </w:r>
      <w:r w:rsidR="000D3CE6" w:rsidRPr="007D6BFD">
        <w:rPr>
          <w:rStyle w:val="Strong"/>
          <w:rFonts w:ascii="Arial" w:hAnsi="Arial" w:cs="Arial"/>
          <w:sz w:val="22"/>
          <w:szCs w:val="22"/>
        </w:rPr>
        <w:t>Periodontal Risk Assessment</w:t>
      </w:r>
    </w:p>
    <w:p w14:paraId="65056A8C" w14:textId="77777777" w:rsidR="00C53249" w:rsidRPr="007D6BFD" w:rsidRDefault="00C53249"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Circadian rhythm disruption can be objectively assessed using validated chronobiological biomarkers and incorporated into periodontal risk evaluation. Clinical assessment may include analysis of the diurnal cortisol slope, nocturnal melatonin peak or trough levels</w:t>
      </w:r>
      <w:r w:rsidR="005E1A0B" w:rsidRPr="007D6BFD">
        <w:rPr>
          <w:rFonts w:ascii="Arial" w:eastAsia="Times New Roman" w:hAnsi="Arial" w:cs="Arial"/>
          <w:sz w:val="20"/>
          <w:szCs w:val="20"/>
          <w:lang w:eastAsia="en-IN"/>
        </w:rPr>
        <w:t xml:space="preserve">, and characterization of sleep </w:t>
      </w:r>
      <w:r w:rsidRPr="007D6BFD">
        <w:rPr>
          <w:rFonts w:ascii="Arial" w:eastAsia="Times New Roman" w:hAnsi="Arial" w:cs="Arial"/>
          <w:sz w:val="20"/>
          <w:szCs w:val="20"/>
          <w:lang w:eastAsia="en-IN"/>
        </w:rPr>
        <w:t xml:space="preserve">wake phase using actigraphy or validated sleep questionnaires. Flattening of the diurnal cortisol rhythm and reduced nocturnal melatonin production are increasingly recognized as systemic indicators of chronic inflammatory and circadian stress states </w:t>
      </w:r>
      <w:r w:rsidRPr="007D6BFD">
        <w:rPr>
          <w:rFonts w:ascii="Arial" w:eastAsia="Times New Roman" w:hAnsi="Arial" w:cs="Arial"/>
          <w:bCs/>
          <w:sz w:val="20"/>
          <w:szCs w:val="20"/>
          <w:lang w:eastAsia="en-IN"/>
        </w:rPr>
        <w:t>[90]</w:t>
      </w:r>
      <w:r w:rsidRPr="007D6BFD">
        <w:rPr>
          <w:rFonts w:ascii="Arial" w:eastAsia="Times New Roman" w:hAnsi="Arial" w:cs="Arial"/>
          <w:sz w:val="20"/>
          <w:szCs w:val="20"/>
          <w:lang w:eastAsia="en-IN"/>
        </w:rPr>
        <w:t>.</w:t>
      </w:r>
      <w:r w:rsidR="00F97B7C"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Beyond systemic markers, future diagnostic strategies may integrate inflammatory and clock-related bioma</w:t>
      </w:r>
      <w:r w:rsidR="005E1A0B" w:rsidRPr="007D6BFD">
        <w:rPr>
          <w:rFonts w:ascii="Arial" w:eastAsia="Times New Roman" w:hAnsi="Arial" w:cs="Arial"/>
          <w:sz w:val="20"/>
          <w:szCs w:val="20"/>
          <w:lang w:eastAsia="en-IN"/>
        </w:rPr>
        <w:t xml:space="preserve">rkers to define a periodontitis </w:t>
      </w:r>
      <w:r w:rsidRPr="007D6BFD">
        <w:rPr>
          <w:rFonts w:ascii="Arial" w:eastAsia="Times New Roman" w:hAnsi="Arial" w:cs="Arial"/>
          <w:sz w:val="20"/>
          <w:szCs w:val="20"/>
          <w:lang w:eastAsia="en-IN"/>
        </w:rPr>
        <w:t xml:space="preserve">associated inflammatory chronotype. For example, profiling core clock gene expression, such as BMAL1 and PER2, in peripheral blood mononuclear cells or gingival fibroblasts, alongside established </w:t>
      </w:r>
      <w:r w:rsidR="005E1A0B" w:rsidRPr="007D6BFD">
        <w:rPr>
          <w:rFonts w:ascii="Arial" w:eastAsia="Times New Roman" w:hAnsi="Arial" w:cs="Arial"/>
          <w:sz w:val="20"/>
          <w:szCs w:val="20"/>
          <w:lang w:eastAsia="en-IN"/>
        </w:rPr>
        <w:t>GCF</w:t>
      </w:r>
      <w:r w:rsidRPr="007D6BFD">
        <w:rPr>
          <w:rFonts w:ascii="Arial" w:eastAsia="Times New Roman" w:hAnsi="Arial" w:cs="Arial"/>
          <w:sz w:val="20"/>
          <w:szCs w:val="20"/>
          <w:lang w:eastAsia="en-IN"/>
        </w:rPr>
        <w:t xml:space="preserve"> inflammatory markers including </w:t>
      </w:r>
      <w:r w:rsidR="005E1A0B" w:rsidRPr="007D6BFD">
        <w:rPr>
          <w:rFonts w:ascii="Arial" w:eastAsia="Times New Roman" w:hAnsi="Arial" w:cs="Arial"/>
          <w:sz w:val="20"/>
          <w:szCs w:val="20"/>
          <w:lang w:eastAsia="en-IN"/>
        </w:rPr>
        <w:t>IL</w:t>
      </w:r>
      <w:r w:rsidRPr="007D6BFD">
        <w:rPr>
          <w:rFonts w:ascii="Arial" w:eastAsia="Times New Roman" w:hAnsi="Arial" w:cs="Arial"/>
          <w:sz w:val="20"/>
          <w:szCs w:val="20"/>
          <w:lang w:eastAsia="en-IN"/>
        </w:rPr>
        <w:t xml:space="preserve">-6 and </w:t>
      </w:r>
      <w:r w:rsidR="005E1A0B" w:rsidRPr="007D6BFD">
        <w:rPr>
          <w:rFonts w:ascii="Arial" w:eastAsia="Times New Roman" w:hAnsi="Arial" w:cs="Arial"/>
          <w:sz w:val="20"/>
          <w:szCs w:val="20"/>
          <w:lang w:eastAsia="en-IN"/>
        </w:rPr>
        <w:t>MMP</w:t>
      </w:r>
      <w:r w:rsidRPr="007D6BFD">
        <w:rPr>
          <w:rFonts w:ascii="Arial" w:eastAsia="Times New Roman" w:hAnsi="Arial" w:cs="Arial"/>
          <w:sz w:val="20"/>
          <w:szCs w:val="20"/>
          <w:lang w:eastAsia="en-IN"/>
        </w:rPr>
        <w:t xml:space="preserve">-8, may provide a dynamic molecular signature linking inflammatory burden with circadian misalignment </w:t>
      </w:r>
      <w:r w:rsidRPr="007D6BFD">
        <w:rPr>
          <w:rFonts w:ascii="Arial" w:eastAsia="Times New Roman" w:hAnsi="Arial" w:cs="Arial"/>
          <w:bCs/>
          <w:sz w:val="20"/>
          <w:szCs w:val="20"/>
          <w:lang w:eastAsia="en-IN"/>
        </w:rPr>
        <w:t>[91]</w:t>
      </w:r>
      <w:r w:rsidRPr="007D6BFD">
        <w:rPr>
          <w:rFonts w:ascii="Arial" w:eastAsia="Times New Roman" w:hAnsi="Arial" w:cs="Arial"/>
          <w:sz w:val="20"/>
          <w:szCs w:val="20"/>
          <w:lang w:eastAsia="en-IN"/>
        </w:rPr>
        <w:t>. Such integrated biomarker panels could enhance early identification of patients at risk for rapid periodontal breakdown and poor therapeutic response.</w:t>
      </w:r>
    </w:p>
    <w:p w14:paraId="1BD5622A" w14:textId="77777777" w:rsidR="00F97B7C" w:rsidRPr="007D6BFD" w:rsidRDefault="00E423F6" w:rsidP="007D6BFD">
      <w:pPr>
        <w:pStyle w:val="NormalWeb"/>
        <w:spacing w:line="276" w:lineRule="auto"/>
      </w:pPr>
      <w:r w:rsidRPr="007D6BFD">
        <w:rPr>
          <w:rStyle w:val="Strong"/>
          <w:rFonts w:ascii="Arial" w:hAnsi="Arial" w:cs="Arial"/>
          <w:sz w:val="22"/>
          <w:szCs w:val="22"/>
        </w:rPr>
        <w:t>7</w:t>
      </w:r>
      <w:r w:rsidR="00EA2E52" w:rsidRPr="007D6BFD">
        <w:rPr>
          <w:rStyle w:val="Strong"/>
          <w:rFonts w:ascii="Arial" w:hAnsi="Arial" w:cs="Arial"/>
          <w:sz w:val="22"/>
          <w:szCs w:val="22"/>
        </w:rPr>
        <w:t xml:space="preserve">.2 </w:t>
      </w:r>
      <w:r w:rsidR="000D3CE6" w:rsidRPr="007D6BFD">
        <w:rPr>
          <w:rStyle w:val="Strong"/>
          <w:rFonts w:ascii="Arial" w:hAnsi="Arial" w:cs="Arial"/>
          <w:sz w:val="22"/>
          <w:szCs w:val="22"/>
        </w:rPr>
        <w:t>Timing of Periodontal Therapy</w:t>
      </w:r>
      <w:r w:rsidR="000D3CE6" w:rsidRPr="007D6BFD">
        <w:br/>
      </w:r>
    </w:p>
    <w:p w14:paraId="6423AEE9" w14:textId="77777777" w:rsidR="00C53249" w:rsidRPr="007D6BFD" w:rsidRDefault="00C53249" w:rsidP="007D6BFD">
      <w:pPr>
        <w:pStyle w:val="NormalWeb"/>
        <w:spacing w:line="276" w:lineRule="auto"/>
        <w:jc w:val="both"/>
        <w:rPr>
          <w:rFonts w:ascii="Arial" w:hAnsi="Arial" w:cs="Arial"/>
          <w:sz w:val="20"/>
          <w:szCs w:val="20"/>
        </w:rPr>
      </w:pPr>
      <w:r w:rsidRPr="007D6BFD">
        <w:rPr>
          <w:rFonts w:ascii="Arial" w:hAnsi="Arial" w:cs="Arial"/>
          <w:sz w:val="20"/>
          <w:szCs w:val="20"/>
        </w:rPr>
        <w:t>The success of periodontal interventio</w:t>
      </w:r>
      <w:r w:rsidR="005E1A0B" w:rsidRPr="007D6BFD">
        <w:rPr>
          <w:rFonts w:ascii="Arial" w:hAnsi="Arial" w:cs="Arial"/>
          <w:sz w:val="20"/>
          <w:szCs w:val="20"/>
        </w:rPr>
        <w:t>ns both surgical and non-</w:t>
      </w:r>
      <w:r w:rsidR="00414133" w:rsidRPr="007D6BFD">
        <w:rPr>
          <w:rFonts w:ascii="Arial" w:hAnsi="Arial" w:cs="Arial"/>
          <w:sz w:val="20"/>
          <w:szCs w:val="20"/>
        </w:rPr>
        <w:t xml:space="preserve">surgical depends on the host </w:t>
      </w:r>
      <w:r w:rsidRPr="007D6BFD">
        <w:rPr>
          <w:rFonts w:ascii="Arial" w:hAnsi="Arial" w:cs="Arial"/>
          <w:sz w:val="20"/>
          <w:szCs w:val="20"/>
        </w:rPr>
        <w:t>innate capacity for inflammation control and tissue repair, both of which are inherently rhythmic. Outcomes may be optimized by aligning th</w:t>
      </w:r>
      <w:r w:rsidR="00F97B7C" w:rsidRPr="007D6BFD">
        <w:rPr>
          <w:rFonts w:ascii="Arial" w:hAnsi="Arial" w:cs="Arial"/>
          <w:sz w:val="20"/>
          <w:szCs w:val="20"/>
        </w:rPr>
        <w:t>erapy with periods of peak anti-</w:t>
      </w:r>
      <w:r w:rsidRPr="007D6BFD">
        <w:rPr>
          <w:rFonts w:ascii="Arial" w:hAnsi="Arial" w:cs="Arial"/>
          <w:sz w:val="20"/>
          <w:szCs w:val="20"/>
        </w:rPr>
        <w:t xml:space="preserve">inflammatory activity, such as the </w:t>
      </w:r>
      <w:r w:rsidRPr="007D6BFD">
        <w:rPr>
          <w:rFonts w:ascii="Arial" w:hAnsi="Arial" w:cs="Arial"/>
          <w:bCs/>
          <w:sz w:val="20"/>
          <w:szCs w:val="20"/>
        </w:rPr>
        <w:t>morning cortisol surge</w:t>
      </w:r>
      <w:r w:rsidRPr="007D6BFD">
        <w:rPr>
          <w:rFonts w:ascii="Arial" w:hAnsi="Arial" w:cs="Arial"/>
          <w:sz w:val="20"/>
          <w:szCs w:val="20"/>
        </w:rPr>
        <w:t xml:space="preserve"> or the </w:t>
      </w:r>
      <w:r w:rsidR="00F97B7C" w:rsidRPr="007D6BFD">
        <w:rPr>
          <w:rFonts w:ascii="Arial" w:hAnsi="Arial" w:cs="Arial"/>
          <w:bCs/>
          <w:sz w:val="20"/>
          <w:szCs w:val="20"/>
        </w:rPr>
        <w:t xml:space="preserve">rest </w:t>
      </w:r>
      <w:r w:rsidRPr="007D6BFD">
        <w:rPr>
          <w:rFonts w:ascii="Arial" w:hAnsi="Arial" w:cs="Arial"/>
          <w:bCs/>
          <w:sz w:val="20"/>
          <w:szCs w:val="20"/>
        </w:rPr>
        <w:t>phase synthesis</w:t>
      </w:r>
      <w:r w:rsidR="00F97B7C" w:rsidRPr="007D6BFD">
        <w:rPr>
          <w:rFonts w:ascii="Arial" w:hAnsi="Arial" w:cs="Arial"/>
          <w:bCs/>
          <w:sz w:val="20"/>
          <w:szCs w:val="20"/>
        </w:rPr>
        <w:t xml:space="preserve"> of pro </w:t>
      </w:r>
      <w:r w:rsidRPr="007D6BFD">
        <w:rPr>
          <w:rFonts w:ascii="Arial" w:hAnsi="Arial" w:cs="Arial"/>
          <w:bCs/>
          <w:sz w:val="20"/>
          <w:szCs w:val="20"/>
        </w:rPr>
        <w:t>resolving lipid mediators</w:t>
      </w:r>
      <w:r w:rsidRPr="007D6BFD">
        <w:rPr>
          <w:rFonts w:ascii="Arial" w:hAnsi="Arial" w:cs="Arial"/>
          <w:sz w:val="20"/>
          <w:szCs w:val="20"/>
        </w:rPr>
        <w:t>.</w:t>
      </w:r>
    </w:p>
    <w:p w14:paraId="47FA0FB0" w14:textId="77777777" w:rsidR="00C53249" w:rsidRPr="007D6BFD" w:rsidRDefault="00C53249"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 xml:space="preserve">By synchronizing scaling, root </w:t>
      </w:r>
      <w:proofErr w:type="spellStart"/>
      <w:r w:rsidRPr="007D6BFD">
        <w:rPr>
          <w:rFonts w:ascii="Arial" w:eastAsia="Times New Roman" w:hAnsi="Arial" w:cs="Arial"/>
          <w:sz w:val="20"/>
          <w:szCs w:val="20"/>
          <w:lang w:eastAsia="en-IN"/>
        </w:rPr>
        <w:t>planing</w:t>
      </w:r>
      <w:proofErr w:type="spellEnd"/>
      <w:r w:rsidRPr="007D6BFD">
        <w:rPr>
          <w:rFonts w:ascii="Arial" w:eastAsia="Times New Roman" w:hAnsi="Arial" w:cs="Arial"/>
          <w:sz w:val="20"/>
          <w:szCs w:val="20"/>
          <w:lang w:eastAsia="en-IN"/>
        </w:rPr>
        <w:t>, and pharmacological adjuncts with these endogenous cycles, clinicians can reduce inflammatory overshoot</w:t>
      </w:r>
      <w:r w:rsidR="005E1A0B"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and enhance wound healing. This shift toward </w:t>
      </w:r>
      <w:r w:rsidRPr="007D6BFD">
        <w:rPr>
          <w:rFonts w:ascii="Arial" w:eastAsia="Times New Roman" w:hAnsi="Arial" w:cs="Arial"/>
          <w:bCs/>
          <w:sz w:val="20"/>
          <w:szCs w:val="20"/>
          <w:lang w:eastAsia="en-IN"/>
        </w:rPr>
        <w:t>chronotherapy</w:t>
      </w:r>
      <w:r w:rsidRPr="007D6BFD">
        <w:rPr>
          <w:rFonts w:ascii="Arial" w:eastAsia="Times New Roman" w:hAnsi="Arial" w:cs="Arial"/>
          <w:sz w:val="20"/>
          <w:szCs w:val="20"/>
          <w:lang w:eastAsia="en-IN"/>
        </w:rPr>
        <w:t xml:space="preserve"> emphasizes that </w:t>
      </w:r>
      <w:r w:rsidRPr="007D6BFD">
        <w:rPr>
          <w:rFonts w:ascii="Arial" w:eastAsia="Times New Roman" w:hAnsi="Arial" w:cs="Arial"/>
          <w:iCs/>
          <w:sz w:val="20"/>
          <w:szCs w:val="20"/>
          <w:lang w:eastAsia="en-IN"/>
        </w:rPr>
        <w:t>when</w:t>
      </w:r>
      <w:r w:rsidRPr="007D6BFD">
        <w:rPr>
          <w:rFonts w:ascii="Arial" w:eastAsia="Times New Roman" w:hAnsi="Arial" w:cs="Arial"/>
          <w:sz w:val="20"/>
          <w:szCs w:val="20"/>
          <w:lang w:eastAsia="en-IN"/>
        </w:rPr>
        <w:t xml:space="preserve"> a treatment is delivered is as critical as </w:t>
      </w:r>
      <w:r w:rsidRPr="007D6BFD">
        <w:rPr>
          <w:rFonts w:ascii="Arial" w:eastAsia="Times New Roman" w:hAnsi="Arial" w:cs="Arial"/>
          <w:iCs/>
          <w:sz w:val="20"/>
          <w:szCs w:val="20"/>
          <w:lang w:eastAsia="en-IN"/>
        </w:rPr>
        <w:t>what</w:t>
      </w:r>
      <w:r w:rsidRPr="007D6BFD">
        <w:rPr>
          <w:rFonts w:ascii="Arial" w:eastAsia="Times New Roman" w:hAnsi="Arial" w:cs="Arial"/>
          <w:sz w:val="20"/>
          <w:szCs w:val="20"/>
          <w:lang w:eastAsia="en-IN"/>
        </w:rPr>
        <w:t xml:space="preserve"> is administered to </w:t>
      </w:r>
      <w:r w:rsidRPr="007D6BFD">
        <w:rPr>
          <w:rFonts w:ascii="Arial" w:eastAsia="Times New Roman" w:hAnsi="Arial" w:cs="Arial"/>
          <w:sz w:val="20"/>
          <w:szCs w:val="20"/>
          <w:lang w:eastAsia="en-IN"/>
        </w:rPr>
        <w:lastRenderedPageBreak/>
        <w:t>minimi</w:t>
      </w:r>
      <w:r w:rsidR="00414133" w:rsidRPr="007D6BFD">
        <w:rPr>
          <w:rFonts w:ascii="Arial" w:eastAsia="Times New Roman" w:hAnsi="Arial" w:cs="Arial"/>
          <w:sz w:val="20"/>
          <w:szCs w:val="20"/>
          <w:lang w:eastAsia="en-IN"/>
        </w:rPr>
        <w:t>ze chronic inflammatory burden [90,91]. S</w:t>
      </w:r>
      <w:r w:rsidRPr="007D6BFD">
        <w:rPr>
          <w:rFonts w:ascii="Arial" w:eastAsia="Times New Roman" w:hAnsi="Arial" w:cs="Arial"/>
          <w:bCs/>
          <w:sz w:val="20"/>
          <w:szCs w:val="20"/>
          <w:lang w:eastAsia="en-IN"/>
        </w:rPr>
        <w:t>pecific therapeutic strategies and their biologic</w:t>
      </w:r>
      <w:r w:rsidR="00414133" w:rsidRPr="007D6BFD">
        <w:rPr>
          <w:rFonts w:ascii="Arial" w:eastAsia="Times New Roman" w:hAnsi="Arial" w:cs="Arial"/>
          <w:bCs/>
          <w:sz w:val="20"/>
          <w:szCs w:val="20"/>
          <w:lang w:eastAsia="en-IN"/>
        </w:rPr>
        <w:t>al targets are detailed in the T</w:t>
      </w:r>
      <w:r w:rsidRPr="007D6BFD">
        <w:rPr>
          <w:rFonts w:ascii="Arial" w:eastAsia="Times New Roman" w:hAnsi="Arial" w:cs="Arial"/>
          <w:bCs/>
          <w:sz w:val="20"/>
          <w:szCs w:val="20"/>
          <w:lang w:eastAsia="en-IN"/>
        </w:rPr>
        <w:t xml:space="preserve">able </w:t>
      </w:r>
      <w:r w:rsidR="00414133" w:rsidRPr="007D6BFD">
        <w:rPr>
          <w:rFonts w:ascii="Arial" w:eastAsia="Times New Roman" w:hAnsi="Arial" w:cs="Arial"/>
          <w:bCs/>
          <w:sz w:val="20"/>
          <w:szCs w:val="20"/>
          <w:lang w:eastAsia="en-IN"/>
        </w:rPr>
        <w:t>2</w:t>
      </w:r>
      <w:r w:rsidRPr="007D6BFD">
        <w:rPr>
          <w:rFonts w:ascii="Arial" w:eastAsia="Times New Roman" w:hAnsi="Arial" w:cs="Arial"/>
          <w:bCs/>
          <w:sz w:val="20"/>
          <w:szCs w:val="20"/>
          <w:lang w:eastAsia="en-IN"/>
        </w:rPr>
        <w:t>.</w:t>
      </w:r>
    </w:p>
    <w:p w14:paraId="5F38B41E" w14:textId="77777777" w:rsidR="00D559C1" w:rsidRPr="007D6BFD" w:rsidRDefault="009A1E7E" w:rsidP="007D6BFD">
      <w:pPr>
        <w:pStyle w:val="NormalWeb"/>
        <w:spacing w:line="276" w:lineRule="auto"/>
        <w:jc w:val="both"/>
        <w:rPr>
          <w:rFonts w:ascii="Arial" w:hAnsi="Arial" w:cs="Arial"/>
          <w:b/>
          <w:sz w:val="20"/>
          <w:szCs w:val="20"/>
        </w:rPr>
      </w:pPr>
      <w:r w:rsidRPr="007D6BFD">
        <w:rPr>
          <w:rFonts w:ascii="Arial" w:hAnsi="Arial" w:cs="Arial"/>
          <w:b/>
          <w:sz w:val="20"/>
          <w:szCs w:val="20"/>
        </w:rPr>
        <w:t xml:space="preserve">Table 2. </w:t>
      </w:r>
      <w:r w:rsidR="000D3CE6" w:rsidRPr="007D6BFD">
        <w:rPr>
          <w:rFonts w:ascii="Arial" w:hAnsi="Arial" w:cs="Arial"/>
          <w:b/>
          <w:sz w:val="20"/>
          <w:szCs w:val="20"/>
        </w:rPr>
        <w:t>Chronobiological Targets for Periodontitis Therapy</w:t>
      </w:r>
    </w:p>
    <w:tbl>
      <w:tblPr>
        <w:tblStyle w:val="TableGrid"/>
        <w:tblW w:w="0" w:type="auto"/>
        <w:tblLook w:val="04A0" w:firstRow="1" w:lastRow="0" w:firstColumn="1" w:lastColumn="0" w:noHBand="0" w:noVBand="1"/>
      </w:tblPr>
      <w:tblGrid>
        <w:gridCol w:w="2254"/>
        <w:gridCol w:w="2254"/>
        <w:gridCol w:w="2254"/>
        <w:gridCol w:w="2254"/>
      </w:tblGrid>
      <w:tr w:rsidR="007D6BFD" w:rsidRPr="007D6BFD" w14:paraId="512369E2" w14:textId="77777777" w:rsidTr="00084D3C">
        <w:trPr>
          <w:trHeight w:val="1081"/>
        </w:trPr>
        <w:tc>
          <w:tcPr>
            <w:tcW w:w="2254" w:type="dxa"/>
          </w:tcPr>
          <w:p w14:paraId="1D62D34B"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 xml:space="preserve">Strategy </w:t>
            </w:r>
          </w:p>
        </w:tc>
        <w:tc>
          <w:tcPr>
            <w:tcW w:w="2254" w:type="dxa"/>
          </w:tcPr>
          <w:p w14:paraId="7350A967"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Rationale Based on CRD/Inflammation Link</w:t>
            </w:r>
          </w:p>
        </w:tc>
        <w:tc>
          <w:tcPr>
            <w:tcW w:w="2254" w:type="dxa"/>
          </w:tcPr>
          <w:p w14:paraId="787FC75B"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Specific Chronobiological Target/Action</w:t>
            </w:r>
          </w:p>
        </w:tc>
        <w:tc>
          <w:tcPr>
            <w:tcW w:w="2254" w:type="dxa"/>
          </w:tcPr>
          <w:p w14:paraId="590FE079" w14:textId="77777777" w:rsidR="00D559C1" w:rsidRPr="007D6BFD" w:rsidRDefault="00880D9F" w:rsidP="007D6BFD">
            <w:pPr>
              <w:spacing w:line="276" w:lineRule="auto"/>
              <w:jc w:val="both"/>
              <w:rPr>
                <w:rFonts w:ascii="Arial" w:hAnsi="Arial" w:cs="Arial"/>
                <w:sz w:val="20"/>
                <w:szCs w:val="20"/>
              </w:rPr>
            </w:pPr>
            <w:r w:rsidRPr="007D6BFD">
              <w:rPr>
                <w:rFonts w:ascii="Arial" w:hAnsi="Arial" w:cs="Arial"/>
                <w:sz w:val="20"/>
                <w:szCs w:val="20"/>
              </w:rPr>
              <w:t xml:space="preserve">Potential </w:t>
            </w:r>
            <w:r w:rsidR="00D559C1" w:rsidRPr="007D6BFD">
              <w:rPr>
                <w:rFonts w:ascii="Arial" w:hAnsi="Arial" w:cs="Arial"/>
                <w:sz w:val="20"/>
                <w:szCs w:val="20"/>
              </w:rPr>
              <w:t>Clinical Outcome</w:t>
            </w:r>
          </w:p>
        </w:tc>
      </w:tr>
      <w:tr w:rsidR="007D6BFD" w:rsidRPr="007D6BFD" w14:paraId="3CEA752F" w14:textId="77777777" w:rsidTr="00084D3C">
        <w:trPr>
          <w:trHeight w:val="1830"/>
        </w:trPr>
        <w:tc>
          <w:tcPr>
            <w:tcW w:w="2254" w:type="dxa"/>
          </w:tcPr>
          <w:p w14:paraId="56A1DA78" w14:textId="77777777" w:rsidR="00D559C1" w:rsidRPr="007D6BFD" w:rsidRDefault="00D559C1" w:rsidP="007D6BFD">
            <w:pPr>
              <w:spacing w:line="276" w:lineRule="auto"/>
              <w:jc w:val="both"/>
              <w:rPr>
                <w:rFonts w:ascii="Arial" w:hAnsi="Arial" w:cs="Arial"/>
                <w:b/>
                <w:bCs/>
                <w:sz w:val="20"/>
                <w:szCs w:val="20"/>
              </w:rPr>
            </w:pPr>
          </w:p>
          <w:p w14:paraId="1A46FF7E" w14:textId="77777777" w:rsidR="00880D9F" w:rsidRPr="007D6BFD" w:rsidRDefault="00D559C1" w:rsidP="007D6BFD">
            <w:pPr>
              <w:spacing w:line="276" w:lineRule="auto"/>
              <w:jc w:val="both"/>
              <w:rPr>
                <w:rFonts w:ascii="Arial" w:hAnsi="Arial" w:cs="Arial"/>
                <w:b/>
                <w:bCs/>
                <w:sz w:val="20"/>
                <w:szCs w:val="20"/>
              </w:rPr>
            </w:pPr>
            <w:r w:rsidRPr="007D6BFD">
              <w:rPr>
                <w:rFonts w:ascii="Arial" w:hAnsi="Arial" w:cs="Arial"/>
                <w:bCs/>
                <w:sz w:val="20"/>
                <w:szCs w:val="20"/>
              </w:rPr>
              <w:t>Melatonin Supplementation</w:t>
            </w:r>
          </w:p>
          <w:p w14:paraId="30C44CB5" w14:textId="77777777" w:rsidR="00D559C1" w:rsidRPr="007D6BFD" w:rsidRDefault="00D559C1" w:rsidP="007D6BFD">
            <w:pPr>
              <w:spacing w:line="276" w:lineRule="auto"/>
              <w:jc w:val="right"/>
              <w:rPr>
                <w:rFonts w:ascii="Arial" w:hAnsi="Arial" w:cs="Arial"/>
                <w:sz w:val="20"/>
                <w:szCs w:val="20"/>
              </w:rPr>
            </w:pPr>
          </w:p>
        </w:tc>
        <w:tc>
          <w:tcPr>
            <w:tcW w:w="2254" w:type="dxa"/>
          </w:tcPr>
          <w:p w14:paraId="75BF7D9D" w14:textId="77777777" w:rsidR="00D559C1" w:rsidRPr="007D6BFD" w:rsidRDefault="00D559C1" w:rsidP="007D6BFD">
            <w:pPr>
              <w:spacing w:line="276" w:lineRule="auto"/>
              <w:jc w:val="both"/>
              <w:rPr>
                <w:rFonts w:ascii="Arial" w:hAnsi="Arial" w:cs="Arial"/>
                <w:sz w:val="20"/>
                <w:szCs w:val="20"/>
              </w:rPr>
            </w:pPr>
          </w:p>
          <w:p w14:paraId="4E42E346"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Melatonin stabilizes the clock, is a potent antioxidant, and has anti-inflammatory properties.</w:t>
            </w:r>
          </w:p>
        </w:tc>
        <w:tc>
          <w:tcPr>
            <w:tcW w:w="2254" w:type="dxa"/>
          </w:tcPr>
          <w:p w14:paraId="7715DC5A" w14:textId="77777777" w:rsidR="00D559C1" w:rsidRPr="007D6BFD" w:rsidRDefault="00D559C1" w:rsidP="007D6BFD">
            <w:pPr>
              <w:spacing w:line="276" w:lineRule="auto"/>
              <w:jc w:val="both"/>
              <w:rPr>
                <w:rFonts w:ascii="Arial" w:hAnsi="Arial" w:cs="Arial"/>
                <w:b/>
                <w:bCs/>
                <w:sz w:val="20"/>
                <w:szCs w:val="20"/>
              </w:rPr>
            </w:pPr>
          </w:p>
          <w:p w14:paraId="1CB3666D" w14:textId="77777777" w:rsidR="00D559C1"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Restarting</w:t>
            </w:r>
            <w:r w:rsidR="00D559C1" w:rsidRPr="007D6BFD">
              <w:rPr>
                <w:rFonts w:ascii="Arial" w:hAnsi="Arial" w:cs="Arial"/>
                <w:sz w:val="20"/>
                <w:szCs w:val="20"/>
              </w:rPr>
              <w:t xml:space="preserve"> a robust</w:t>
            </w:r>
            <w:r w:rsidR="009A1E7E" w:rsidRPr="007D6BFD">
              <w:rPr>
                <w:rFonts w:ascii="Arial" w:hAnsi="Arial" w:cs="Arial"/>
                <w:sz w:val="20"/>
                <w:szCs w:val="20"/>
              </w:rPr>
              <w:t xml:space="preserve"> nocturnal melatonin peak </w:t>
            </w:r>
            <w:proofErr w:type="gramStart"/>
            <w:r w:rsidR="009A1E7E" w:rsidRPr="007D6BFD">
              <w:rPr>
                <w:rFonts w:ascii="Arial" w:hAnsi="Arial" w:cs="Arial"/>
                <w:sz w:val="20"/>
                <w:szCs w:val="20"/>
              </w:rPr>
              <w:t xml:space="preserve">and </w:t>
            </w:r>
            <w:r w:rsidR="00D559C1" w:rsidRPr="007D6BFD">
              <w:rPr>
                <w:rFonts w:ascii="Arial" w:hAnsi="Arial" w:cs="Arial"/>
                <w:sz w:val="20"/>
                <w:szCs w:val="20"/>
              </w:rPr>
              <w:t xml:space="preserve"> increasing</w:t>
            </w:r>
            <w:proofErr w:type="gramEnd"/>
            <w:r w:rsidR="00D559C1" w:rsidRPr="007D6BFD">
              <w:rPr>
                <w:rFonts w:ascii="Arial" w:hAnsi="Arial" w:cs="Arial"/>
                <w:sz w:val="20"/>
                <w:szCs w:val="20"/>
              </w:rPr>
              <w:t xml:space="preserve"> local antioxidant capacity.</w:t>
            </w:r>
          </w:p>
        </w:tc>
        <w:tc>
          <w:tcPr>
            <w:tcW w:w="2254" w:type="dxa"/>
          </w:tcPr>
          <w:p w14:paraId="296D35A5" w14:textId="77777777" w:rsidR="00D559C1" w:rsidRPr="007D6BFD" w:rsidRDefault="00D559C1" w:rsidP="007D6BFD">
            <w:pPr>
              <w:spacing w:line="276" w:lineRule="auto"/>
              <w:jc w:val="both"/>
              <w:rPr>
                <w:rFonts w:ascii="Arial" w:hAnsi="Arial" w:cs="Arial"/>
                <w:sz w:val="20"/>
                <w:szCs w:val="20"/>
              </w:rPr>
            </w:pPr>
          </w:p>
          <w:p w14:paraId="5DAFD0CF"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Reduced oxidat</w:t>
            </w:r>
            <w:r w:rsidR="009A1E7E" w:rsidRPr="007D6BFD">
              <w:rPr>
                <w:rFonts w:ascii="Arial" w:hAnsi="Arial" w:cs="Arial"/>
                <w:sz w:val="20"/>
                <w:szCs w:val="20"/>
              </w:rPr>
              <w:t xml:space="preserve">ive stress in the periodontium and </w:t>
            </w:r>
            <w:r w:rsidRPr="007D6BFD">
              <w:rPr>
                <w:rFonts w:ascii="Arial" w:hAnsi="Arial" w:cs="Arial"/>
                <w:sz w:val="20"/>
                <w:szCs w:val="20"/>
              </w:rPr>
              <w:t>stab</w:t>
            </w:r>
            <w:r w:rsidR="004152BE" w:rsidRPr="007D6BFD">
              <w:rPr>
                <w:rFonts w:ascii="Arial" w:hAnsi="Arial" w:cs="Arial"/>
                <w:sz w:val="20"/>
                <w:szCs w:val="20"/>
              </w:rPr>
              <w:t xml:space="preserve">ilized osteoblast and </w:t>
            </w:r>
            <w:r w:rsidRPr="007D6BFD">
              <w:rPr>
                <w:rFonts w:ascii="Arial" w:hAnsi="Arial" w:cs="Arial"/>
                <w:sz w:val="20"/>
                <w:szCs w:val="20"/>
              </w:rPr>
              <w:t>osteoclast rhythm</w:t>
            </w:r>
            <w:r w:rsidR="006135A7" w:rsidRPr="007D6BFD">
              <w:rPr>
                <w:rFonts w:ascii="Arial" w:hAnsi="Arial" w:cs="Arial"/>
                <w:sz w:val="20"/>
                <w:szCs w:val="20"/>
              </w:rPr>
              <w:t xml:space="preserve"> [</w:t>
            </w:r>
            <w:r w:rsidR="00C201C3" w:rsidRPr="007D6BFD">
              <w:rPr>
                <w:rFonts w:ascii="Arial" w:hAnsi="Arial" w:cs="Arial"/>
                <w:sz w:val="20"/>
                <w:szCs w:val="20"/>
              </w:rPr>
              <w:t>92</w:t>
            </w:r>
            <w:r w:rsidR="006135A7" w:rsidRPr="007D6BFD">
              <w:rPr>
                <w:rFonts w:ascii="Arial" w:hAnsi="Arial" w:cs="Arial"/>
                <w:sz w:val="20"/>
                <w:szCs w:val="20"/>
              </w:rPr>
              <w:t>]</w:t>
            </w:r>
            <w:r w:rsidRPr="007D6BFD">
              <w:rPr>
                <w:rFonts w:ascii="Arial" w:hAnsi="Arial" w:cs="Arial"/>
                <w:sz w:val="20"/>
                <w:szCs w:val="20"/>
              </w:rPr>
              <w:t>.</w:t>
            </w:r>
          </w:p>
        </w:tc>
      </w:tr>
      <w:tr w:rsidR="007D6BFD" w:rsidRPr="007D6BFD" w14:paraId="61D9FB8A" w14:textId="77777777" w:rsidTr="00084D3C">
        <w:trPr>
          <w:trHeight w:val="2070"/>
        </w:trPr>
        <w:tc>
          <w:tcPr>
            <w:tcW w:w="2254" w:type="dxa"/>
          </w:tcPr>
          <w:p w14:paraId="099E59B4" w14:textId="77777777" w:rsidR="00D559C1" w:rsidRPr="007D6BFD" w:rsidRDefault="00D559C1" w:rsidP="007D6BFD">
            <w:pPr>
              <w:spacing w:line="276" w:lineRule="auto"/>
              <w:jc w:val="both"/>
              <w:rPr>
                <w:rFonts w:ascii="Arial" w:hAnsi="Arial" w:cs="Arial"/>
                <w:bCs/>
                <w:sz w:val="20"/>
                <w:szCs w:val="20"/>
              </w:rPr>
            </w:pPr>
          </w:p>
          <w:p w14:paraId="1AE408C3"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bCs/>
                <w:sz w:val="20"/>
                <w:szCs w:val="20"/>
              </w:rPr>
              <w:t xml:space="preserve">Glucocorticoid Timing </w:t>
            </w:r>
          </w:p>
        </w:tc>
        <w:tc>
          <w:tcPr>
            <w:tcW w:w="2254" w:type="dxa"/>
          </w:tcPr>
          <w:p w14:paraId="3930E76C" w14:textId="77777777" w:rsidR="00D559C1" w:rsidRPr="007D6BFD" w:rsidRDefault="00D559C1" w:rsidP="007D6BFD">
            <w:pPr>
              <w:spacing w:line="276" w:lineRule="auto"/>
              <w:jc w:val="both"/>
              <w:rPr>
                <w:rFonts w:ascii="Arial" w:hAnsi="Arial" w:cs="Arial"/>
                <w:sz w:val="20"/>
                <w:szCs w:val="20"/>
              </w:rPr>
            </w:pPr>
          </w:p>
          <w:p w14:paraId="242AF81F"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Correcting the flattened diurnal cortisol slope to restore the anti-inflammatory termination signal</w:t>
            </w:r>
          </w:p>
        </w:tc>
        <w:tc>
          <w:tcPr>
            <w:tcW w:w="2254" w:type="dxa"/>
          </w:tcPr>
          <w:p w14:paraId="1F7D8798" w14:textId="77777777" w:rsidR="00D559C1" w:rsidRPr="007D6BFD" w:rsidRDefault="00D559C1" w:rsidP="007D6BFD">
            <w:pPr>
              <w:spacing w:line="276" w:lineRule="auto"/>
              <w:jc w:val="both"/>
              <w:rPr>
                <w:rFonts w:ascii="Arial" w:hAnsi="Arial" w:cs="Arial"/>
                <w:sz w:val="20"/>
                <w:szCs w:val="20"/>
              </w:rPr>
            </w:pPr>
          </w:p>
          <w:p w14:paraId="2DC78CE4" w14:textId="77777777" w:rsidR="00D559C1" w:rsidRPr="007D6BFD" w:rsidRDefault="004152BE" w:rsidP="007D6BFD">
            <w:pPr>
              <w:spacing w:line="276" w:lineRule="auto"/>
              <w:jc w:val="both"/>
              <w:rPr>
                <w:rFonts w:ascii="Arial" w:hAnsi="Arial" w:cs="Arial"/>
                <w:sz w:val="20"/>
                <w:szCs w:val="20"/>
              </w:rPr>
            </w:pPr>
            <w:r w:rsidRPr="007D6BFD">
              <w:rPr>
                <w:rFonts w:ascii="Arial" w:hAnsi="Arial" w:cs="Arial"/>
                <w:sz w:val="20"/>
                <w:szCs w:val="20"/>
              </w:rPr>
              <w:t xml:space="preserve">Low </w:t>
            </w:r>
            <w:r w:rsidR="00D559C1" w:rsidRPr="007D6BFD">
              <w:rPr>
                <w:rFonts w:ascii="Arial" w:hAnsi="Arial" w:cs="Arial"/>
                <w:sz w:val="20"/>
                <w:szCs w:val="20"/>
              </w:rPr>
              <w:t>dose, timed glucocorticoid or cortisol synthesis modulator delivery (morning or late evening).</w:t>
            </w:r>
          </w:p>
        </w:tc>
        <w:tc>
          <w:tcPr>
            <w:tcW w:w="2254" w:type="dxa"/>
          </w:tcPr>
          <w:p w14:paraId="5B74C2EB" w14:textId="77777777" w:rsidR="00D559C1" w:rsidRPr="007D6BFD" w:rsidRDefault="00D559C1" w:rsidP="007D6BFD">
            <w:pPr>
              <w:spacing w:line="276" w:lineRule="auto"/>
              <w:jc w:val="both"/>
              <w:rPr>
                <w:rFonts w:ascii="Arial" w:hAnsi="Arial" w:cs="Arial"/>
                <w:sz w:val="20"/>
                <w:szCs w:val="20"/>
              </w:rPr>
            </w:pPr>
          </w:p>
          <w:p w14:paraId="2966A523"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Enhanced resolution of chronic inflammation and reduced systemic inflammatory overflow</w:t>
            </w:r>
            <w:r w:rsidR="0041243E" w:rsidRPr="007D6BFD">
              <w:rPr>
                <w:rFonts w:ascii="Arial" w:hAnsi="Arial" w:cs="Arial"/>
                <w:sz w:val="20"/>
                <w:szCs w:val="20"/>
              </w:rPr>
              <w:t xml:space="preserve"> </w:t>
            </w:r>
            <w:r w:rsidR="00C201C3" w:rsidRPr="007D6BFD">
              <w:rPr>
                <w:rFonts w:ascii="Arial" w:hAnsi="Arial" w:cs="Arial"/>
                <w:sz w:val="20"/>
                <w:szCs w:val="20"/>
              </w:rPr>
              <w:t>[93</w:t>
            </w:r>
            <w:r w:rsidR="0041243E" w:rsidRPr="007D6BFD">
              <w:rPr>
                <w:rFonts w:ascii="Arial" w:hAnsi="Arial" w:cs="Arial"/>
                <w:sz w:val="20"/>
                <w:szCs w:val="20"/>
              </w:rPr>
              <w:t>]</w:t>
            </w:r>
            <w:r w:rsidRPr="007D6BFD">
              <w:rPr>
                <w:rFonts w:ascii="Arial" w:hAnsi="Arial" w:cs="Arial"/>
                <w:sz w:val="20"/>
                <w:szCs w:val="20"/>
              </w:rPr>
              <w:t>.</w:t>
            </w:r>
          </w:p>
        </w:tc>
      </w:tr>
      <w:tr w:rsidR="007D6BFD" w:rsidRPr="007D6BFD" w14:paraId="1BD36B5A" w14:textId="77777777" w:rsidTr="00084D3C">
        <w:tc>
          <w:tcPr>
            <w:tcW w:w="2254" w:type="dxa"/>
          </w:tcPr>
          <w:p w14:paraId="0293D672" w14:textId="77777777" w:rsidR="00D559C1" w:rsidRPr="007D6BFD" w:rsidRDefault="00D559C1" w:rsidP="007D6BFD">
            <w:pPr>
              <w:spacing w:line="276" w:lineRule="auto"/>
              <w:jc w:val="both"/>
              <w:rPr>
                <w:rFonts w:ascii="Arial" w:hAnsi="Arial" w:cs="Arial"/>
                <w:b/>
                <w:bCs/>
                <w:sz w:val="20"/>
                <w:szCs w:val="20"/>
              </w:rPr>
            </w:pPr>
          </w:p>
          <w:p w14:paraId="7C9689CF"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bCs/>
                <w:sz w:val="20"/>
                <w:szCs w:val="20"/>
              </w:rPr>
              <w:t xml:space="preserve">Omega-3 Fatty Acids </w:t>
            </w:r>
          </w:p>
        </w:tc>
        <w:tc>
          <w:tcPr>
            <w:tcW w:w="2254" w:type="dxa"/>
          </w:tcPr>
          <w:p w14:paraId="3631C576" w14:textId="77777777" w:rsidR="00D559C1" w:rsidRPr="007D6BFD" w:rsidRDefault="00D559C1" w:rsidP="007D6BFD">
            <w:pPr>
              <w:spacing w:line="276" w:lineRule="auto"/>
              <w:jc w:val="both"/>
              <w:rPr>
                <w:rFonts w:ascii="Arial" w:hAnsi="Arial" w:cs="Arial"/>
                <w:sz w:val="20"/>
                <w:szCs w:val="20"/>
              </w:rPr>
            </w:pPr>
          </w:p>
          <w:p w14:paraId="2E7102A1"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Omega-3 metabolites (</w:t>
            </w:r>
            <w:proofErr w:type="spellStart"/>
            <w:r w:rsidRPr="007D6BFD">
              <w:rPr>
                <w:rFonts w:ascii="Arial" w:hAnsi="Arial" w:cs="Arial"/>
                <w:sz w:val="20"/>
                <w:szCs w:val="20"/>
              </w:rPr>
              <w:t>Resolvins</w:t>
            </w:r>
            <w:proofErr w:type="spellEnd"/>
            <w:r w:rsidRPr="007D6BFD">
              <w:rPr>
                <w:rFonts w:ascii="Arial" w:hAnsi="Arial" w:cs="Arial"/>
                <w:sz w:val="20"/>
                <w:szCs w:val="20"/>
              </w:rPr>
              <w:t xml:space="preserve">) are required for the </w:t>
            </w:r>
            <w:r w:rsidRPr="007D6BFD">
              <w:rPr>
                <w:rFonts w:ascii="Arial" w:hAnsi="Arial" w:cs="Arial"/>
                <w:iCs/>
                <w:sz w:val="20"/>
                <w:szCs w:val="20"/>
              </w:rPr>
              <w:t>active</w:t>
            </w:r>
            <w:r w:rsidRPr="007D6BFD">
              <w:rPr>
                <w:rFonts w:ascii="Arial" w:hAnsi="Arial" w:cs="Arial"/>
                <w:sz w:val="20"/>
                <w:szCs w:val="20"/>
              </w:rPr>
              <w:t xml:space="preserve"> resolution of inflammation, which is a rhythmic process.</w:t>
            </w:r>
          </w:p>
        </w:tc>
        <w:tc>
          <w:tcPr>
            <w:tcW w:w="2254" w:type="dxa"/>
          </w:tcPr>
          <w:p w14:paraId="407EAE42" w14:textId="77777777" w:rsidR="00D559C1" w:rsidRPr="007D6BFD" w:rsidRDefault="00D559C1" w:rsidP="007D6BFD">
            <w:pPr>
              <w:spacing w:line="276" w:lineRule="auto"/>
              <w:jc w:val="both"/>
              <w:rPr>
                <w:rFonts w:ascii="Arial" w:hAnsi="Arial" w:cs="Arial"/>
                <w:sz w:val="20"/>
                <w:szCs w:val="20"/>
              </w:rPr>
            </w:pPr>
          </w:p>
          <w:p w14:paraId="56EFF6A9"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Supplementation</w:t>
            </w:r>
            <w:r w:rsidR="004152BE" w:rsidRPr="007D6BFD">
              <w:rPr>
                <w:rFonts w:ascii="Arial" w:hAnsi="Arial" w:cs="Arial"/>
                <w:sz w:val="20"/>
                <w:szCs w:val="20"/>
              </w:rPr>
              <w:t xml:space="preserve"> timed to enhance nocturnal and </w:t>
            </w:r>
            <w:r w:rsidRPr="007D6BFD">
              <w:rPr>
                <w:rFonts w:ascii="Arial" w:hAnsi="Arial" w:cs="Arial"/>
                <w:sz w:val="20"/>
                <w:szCs w:val="20"/>
              </w:rPr>
              <w:t>rest-phase peak of resolution mediators.</w:t>
            </w:r>
          </w:p>
        </w:tc>
        <w:tc>
          <w:tcPr>
            <w:tcW w:w="2254" w:type="dxa"/>
          </w:tcPr>
          <w:p w14:paraId="4ED6A5AF" w14:textId="77777777" w:rsidR="00D559C1" w:rsidRPr="007D6BFD" w:rsidRDefault="00D559C1" w:rsidP="007D6BFD">
            <w:pPr>
              <w:spacing w:line="276" w:lineRule="auto"/>
              <w:jc w:val="both"/>
              <w:rPr>
                <w:rFonts w:ascii="Arial" w:eastAsia="Times New Roman" w:hAnsi="Arial" w:cs="Arial"/>
                <w:sz w:val="20"/>
                <w:szCs w:val="20"/>
                <w:lang w:eastAsia="en-IN"/>
              </w:rPr>
            </w:pPr>
          </w:p>
          <w:p w14:paraId="1B9F00D2" w14:textId="77777777" w:rsidR="00D559C1" w:rsidRPr="007D6BFD" w:rsidRDefault="00D559C1"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Improved immune</w:t>
            </w:r>
            <w:r w:rsidR="00CC7889" w:rsidRPr="007D6BFD">
              <w:rPr>
                <w:rFonts w:ascii="Arial" w:eastAsia="Times New Roman" w:hAnsi="Arial" w:cs="Arial"/>
                <w:sz w:val="20"/>
                <w:szCs w:val="20"/>
                <w:lang w:eastAsia="en-IN"/>
              </w:rPr>
              <w:t xml:space="preserve"> cell clearance of inflammation,</w:t>
            </w:r>
            <w:r w:rsidRPr="007D6BFD">
              <w:rPr>
                <w:rFonts w:ascii="Arial" w:eastAsia="Times New Roman" w:hAnsi="Arial" w:cs="Arial"/>
                <w:sz w:val="20"/>
                <w:szCs w:val="20"/>
                <w:lang w:eastAsia="en-IN"/>
              </w:rPr>
              <w:t xml:space="preserve"> reduction in destructive cytokine </w:t>
            </w:r>
            <w:r w:rsidRPr="007D6BFD">
              <w:rPr>
                <w:rFonts w:ascii="Arial" w:hAnsi="Arial" w:cs="Arial"/>
                <w:sz w:val="20"/>
                <w:szCs w:val="20"/>
              </w:rPr>
              <w:t>TNF-α</w:t>
            </w:r>
            <w:r w:rsidRPr="007D6BFD">
              <w:rPr>
                <w:rFonts w:ascii="Arial" w:eastAsia="Times New Roman" w:hAnsi="Arial" w:cs="Arial"/>
                <w:sz w:val="20"/>
                <w:szCs w:val="20"/>
                <w:lang w:eastAsia="en-IN"/>
              </w:rPr>
              <w:t xml:space="preserve"> levels</w:t>
            </w:r>
            <w:r w:rsidR="0041243E" w:rsidRPr="007D6BFD">
              <w:rPr>
                <w:rFonts w:ascii="Arial" w:eastAsia="Times New Roman" w:hAnsi="Arial" w:cs="Arial"/>
                <w:sz w:val="20"/>
                <w:szCs w:val="20"/>
                <w:lang w:eastAsia="en-IN"/>
              </w:rPr>
              <w:t xml:space="preserve"> </w:t>
            </w:r>
            <w:r w:rsidR="00C201C3" w:rsidRPr="007D6BFD">
              <w:rPr>
                <w:rFonts w:ascii="Arial" w:hAnsi="Arial" w:cs="Arial"/>
                <w:sz w:val="20"/>
                <w:szCs w:val="20"/>
              </w:rPr>
              <w:t>[94]</w:t>
            </w:r>
            <w:r w:rsidRPr="007D6BFD">
              <w:rPr>
                <w:rFonts w:ascii="Arial" w:eastAsia="Times New Roman" w:hAnsi="Arial" w:cs="Arial"/>
                <w:sz w:val="20"/>
                <w:szCs w:val="20"/>
                <w:lang w:eastAsia="en-IN"/>
              </w:rPr>
              <w:t>.</w:t>
            </w:r>
          </w:p>
          <w:p w14:paraId="3DEF2E63" w14:textId="77777777" w:rsidR="00D559C1" w:rsidRPr="007D6BFD" w:rsidRDefault="00D559C1" w:rsidP="007D6BFD">
            <w:pPr>
              <w:spacing w:line="276" w:lineRule="auto"/>
              <w:jc w:val="both"/>
              <w:rPr>
                <w:rFonts w:ascii="Arial" w:hAnsi="Arial" w:cs="Arial"/>
                <w:sz w:val="20"/>
                <w:szCs w:val="20"/>
              </w:rPr>
            </w:pPr>
          </w:p>
        </w:tc>
      </w:tr>
      <w:tr w:rsidR="00D559C1" w:rsidRPr="007D6BFD" w14:paraId="22C85F7F" w14:textId="77777777" w:rsidTr="00084D3C">
        <w:tc>
          <w:tcPr>
            <w:tcW w:w="2254" w:type="dxa"/>
          </w:tcPr>
          <w:p w14:paraId="18CA17F1" w14:textId="77777777" w:rsidR="00D559C1" w:rsidRPr="007D6BFD" w:rsidRDefault="00D559C1" w:rsidP="007D6BFD">
            <w:pPr>
              <w:spacing w:line="276" w:lineRule="auto"/>
              <w:jc w:val="both"/>
              <w:rPr>
                <w:rFonts w:ascii="Arial" w:hAnsi="Arial" w:cs="Arial"/>
                <w:b/>
                <w:bCs/>
                <w:sz w:val="20"/>
                <w:szCs w:val="20"/>
              </w:rPr>
            </w:pPr>
          </w:p>
          <w:p w14:paraId="1C052D87"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bCs/>
                <w:sz w:val="20"/>
                <w:szCs w:val="20"/>
              </w:rPr>
              <w:t xml:space="preserve">Clock Gene Modulators </w:t>
            </w:r>
          </w:p>
        </w:tc>
        <w:tc>
          <w:tcPr>
            <w:tcW w:w="2254" w:type="dxa"/>
          </w:tcPr>
          <w:p w14:paraId="0DB057A2" w14:textId="77777777" w:rsidR="00D559C1" w:rsidRPr="007D6BFD" w:rsidRDefault="00D559C1" w:rsidP="007D6BFD">
            <w:pPr>
              <w:spacing w:line="276" w:lineRule="auto"/>
              <w:jc w:val="both"/>
              <w:rPr>
                <w:rFonts w:ascii="Arial" w:hAnsi="Arial" w:cs="Arial"/>
                <w:sz w:val="20"/>
                <w:szCs w:val="20"/>
              </w:rPr>
            </w:pPr>
          </w:p>
          <w:p w14:paraId="411E8F2F"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Directly restore the amplitude and phase of the peripheral clock machinery.</w:t>
            </w:r>
          </w:p>
        </w:tc>
        <w:tc>
          <w:tcPr>
            <w:tcW w:w="2254" w:type="dxa"/>
          </w:tcPr>
          <w:p w14:paraId="4C67D3CB" w14:textId="77777777" w:rsidR="00D559C1" w:rsidRPr="007D6BFD" w:rsidRDefault="00D559C1" w:rsidP="007D6BFD">
            <w:pPr>
              <w:spacing w:line="276" w:lineRule="auto"/>
              <w:jc w:val="both"/>
              <w:rPr>
                <w:rFonts w:ascii="Arial" w:eastAsia="Times New Roman" w:hAnsi="Arial" w:cs="Arial"/>
                <w:sz w:val="20"/>
                <w:szCs w:val="20"/>
                <w:lang w:eastAsia="en-IN"/>
              </w:rPr>
            </w:pPr>
          </w:p>
          <w:p w14:paraId="4634E4CB" w14:textId="77777777" w:rsidR="00D559C1" w:rsidRPr="007D6BFD" w:rsidRDefault="00D559C1"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Future therapeutic agents that specifically upregulate BMAL1 expression in immune/bone cells.</w:t>
            </w:r>
          </w:p>
          <w:p w14:paraId="763A159C" w14:textId="77777777" w:rsidR="00D559C1" w:rsidRPr="007D6BFD" w:rsidRDefault="00D559C1" w:rsidP="007D6BFD">
            <w:pPr>
              <w:spacing w:line="276" w:lineRule="auto"/>
              <w:jc w:val="both"/>
              <w:rPr>
                <w:rFonts w:ascii="Arial" w:hAnsi="Arial" w:cs="Arial"/>
                <w:sz w:val="20"/>
                <w:szCs w:val="20"/>
              </w:rPr>
            </w:pPr>
          </w:p>
        </w:tc>
        <w:tc>
          <w:tcPr>
            <w:tcW w:w="2254" w:type="dxa"/>
          </w:tcPr>
          <w:p w14:paraId="2D5C0805" w14:textId="77777777" w:rsidR="00D559C1" w:rsidRPr="007D6BFD" w:rsidRDefault="00D559C1" w:rsidP="007D6BFD">
            <w:pPr>
              <w:spacing w:line="276" w:lineRule="auto"/>
              <w:jc w:val="both"/>
              <w:rPr>
                <w:rFonts w:ascii="Arial" w:eastAsia="Times New Roman" w:hAnsi="Arial" w:cs="Arial"/>
                <w:sz w:val="20"/>
                <w:szCs w:val="20"/>
                <w:lang w:eastAsia="en-IN"/>
              </w:rPr>
            </w:pPr>
          </w:p>
          <w:p w14:paraId="3EAC7584" w14:textId="77777777" w:rsidR="00D559C1" w:rsidRPr="007D6BFD" w:rsidRDefault="00D559C1"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Resynchronization of immune cell trafficking and RANKL/OPG rhythmicity</w:t>
            </w:r>
            <w:r w:rsidR="0041243E" w:rsidRPr="007D6BFD">
              <w:rPr>
                <w:rFonts w:ascii="Arial" w:eastAsia="Times New Roman" w:hAnsi="Arial" w:cs="Arial"/>
                <w:sz w:val="20"/>
                <w:szCs w:val="20"/>
                <w:lang w:eastAsia="en-IN"/>
              </w:rPr>
              <w:t xml:space="preserve"> </w:t>
            </w:r>
            <w:r w:rsidR="00C201C3" w:rsidRPr="007D6BFD">
              <w:rPr>
                <w:rFonts w:ascii="Arial" w:hAnsi="Arial" w:cs="Arial"/>
                <w:sz w:val="20"/>
                <w:szCs w:val="20"/>
              </w:rPr>
              <w:t>[95</w:t>
            </w:r>
            <w:r w:rsidR="0041243E" w:rsidRPr="007D6BFD">
              <w:rPr>
                <w:rFonts w:ascii="Arial" w:hAnsi="Arial" w:cs="Arial"/>
                <w:sz w:val="20"/>
                <w:szCs w:val="20"/>
              </w:rPr>
              <w:t>]</w:t>
            </w:r>
            <w:r w:rsidRPr="007D6BFD">
              <w:rPr>
                <w:rFonts w:ascii="Arial" w:eastAsia="Times New Roman" w:hAnsi="Arial" w:cs="Arial"/>
                <w:sz w:val="20"/>
                <w:szCs w:val="20"/>
                <w:lang w:eastAsia="en-IN"/>
              </w:rPr>
              <w:t>.</w:t>
            </w:r>
          </w:p>
          <w:p w14:paraId="792530A7" w14:textId="77777777" w:rsidR="00D559C1" w:rsidRPr="007D6BFD" w:rsidRDefault="00D559C1" w:rsidP="007D6BFD">
            <w:pPr>
              <w:spacing w:line="276" w:lineRule="auto"/>
              <w:jc w:val="both"/>
              <w:rPr>
                <w:rFonts w:ascii="Arial" w:hAnsi="Arial" w:cs="Arial"/>
                <w:sz w:val="20"/>
                <w:szCs w:val="20"/>
              </w:rPr>
            </w:pPr>
          </w:p>
        </w:tc>
      </w:tr>
    </w:tbl>
    <w:p w14:paraId="7C04431B" w14:textId="77777777" w:rsidR="00D559C1" w:rsidRPr="007D6BFD" w:rsidRDefault="00D559C1" w:rsidP="007D6BFD">
      <w:pPr>
        <w:pStyle w:val="NormalWeb"/>
        <w:spacing w:line="276" w:lineRule="auto"/>
        <w:jc w:val="both"/>
      </w:pPr>
    </w:p>
    <w:p w14:paraId="4A8F56F2" w14:textId="77777777" w:rsidR="00C42391" w:rsidRPr="007D6BFD" w:rsidRDefault="00E423F6" w:rsidP="007D6BFD">
      <w:pPr>
        <w:pStyle w:val="Heading2"/>
        <w:spacing w:line="276" w:lineRule="auto"/>
        <w:jc w:val="both"/>
        <w:rPr>
          <w:rFonts w:ascii="Arial" w:hAnsi="Arial" w:cs="Arial"/>
          <w:b/>
          <w:color w:val="auto"/>
          <w:sz w:val="22"/>
          <w:szCs w:val="22"/>
        </w:rPr>
      </w:pPr>
      <w:r w:rsidRPr="007D6BFD">
        <w:rPr>
          <w:rFonts w:ascii="Arial" w:hAnsi="Arial" w:cs="Arial"/>
          <w:b/>
          <w:color w:val="auto"/>
          <w:sz w:val="22"/>
          <w:szCs w:val="22"/>
        </w:rPr>
        <w:t xml:space="preserve">8. </w:t>
      </w:r>
      <w:r w:rsidR="00C220CE" w:rsidRPr="007D6BFD">
        <w:rPr>
          <w:rFonts w:ascii="Arial" w:hAnsi="Arial" w:cs="Arial"/>
          <w:b/>
          <w:color w:val="auto"/>
          <w:sz w:val="22"/>
          <w:szCs w:val="22"/>
        </w:rPr>
        <w:t>DISCUSSION</w:t>
      </w:r>
    </w:p>
    <w:p w14:paraId="780770BB" w14:textId="77777777" w:rsidR="00E34AE5" w:rsidRPr="007D6BFD" w:rsidRDefault="00E34AE5"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This narrative review synthesizes emerging evidence supporting a previously underexplored bidirectional neuro-immuno-metabolic axis linking periodontitis and circadian rhythm disruption. The central interpretation is that periodontitis should no longer be regarded as a purely localized oral inflammatory condition but rather as a chronically desynchronizing systemic inflammatory state capable of perturbing central and peripheral circadian regulation [26, 29, 71].</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This system</w:t>
      </w:r>
      <w:r w:rsidR="005E1A0B" w:rsidRPr="007D6BFD">
        <w:rPr>
          <w:rFonts w:ascii="Arial" w:eastAsia="Times New Roman" w:hAnsi="Arial" w:cs="Arial"/>
          <w:sz w:val="20"/>
          <w:szCs w:val="20"/>
          <w:lang w:eastAsia="en-IN"/>
        </w:rPr>
        <w:t>ic pertu</w:t>
      </w:r>
      <w:r w:rsidR="00F0687C" w:rsidRPr="007D6BFD">
        <w:rPr>
          <w:rFonts w:ascii="Arial" w:eastAsia="Times New Roman" w:hAnsi="Arial" w:cs="Arial"/>
          <w:sz w:val="20"/>
          <w:szCs w:val="20"/>
          <w:lang w:eastAsia="en-IN"/>
        </w:rPr>
        <w:t xml:space="preserve">rbation occurs via the cytokine brain axis </w:t>
      </w:r>
      <w:r w:rsidRPr="007D6BFD">
        <w:rPr>
          <w:rFonts w:ascii="Arial" w:eastAsia="Times New Roman" w:hAnsi="Arial" w:cs="Arial"/>
          <w:sz w:val="20"/>
          <w:szCs w:val="20"/>
          <w:lang w:eastAsia="en-IN"/>
        </w:rPr>
        <w:t xml:space="preserve">where oral-derived inflammatory mediators reach the hypothalamus, potentially altering the master pacemaker in the suprachiasmatic nucleus (SCN). Such findings align with broader literature demonstrating that chronic inflammatory diseases, including rheumatoid arthritis, </w:t>
      </w:r>
      <w:r w:rsidRPr="007D6BFD">
        <w:rPr>
          <w:rFonts w:ascii="Arial" w:eastAsia="Times New Roman" w:hAnsi="Arial" w:cs="Arial"/>
          <w:sz w:val="20"/>
          <w:szCs w:val="20"/>
          <w:lang w:eastAsia="en-IN"/>
        </w:rPr>
        <w:lastRenderedPageBreak/>
        <w:t>metabol</w:t>
      </w:r>
      <w:r w:rsidR="00F0687C" w:rsidRPr="007D6BFD">
        <w:rPr>
          <w:rFonts w:ascii="Arial" w:eastAsia="Times New Roman" w:hAnsi="Arial" w:cs="Arial"/>
          <w:sz w:val="20"/>
          <w:szCs w:val="20"/>
          <w:lang w:eastAsia="en-IN"/>
        </w:rPr>
        <w:t>ic syndrome</w:t>
      </w:r>
      <w:r w:rsidRPr="007D6BFD">
        <w:rPr>
          <w:rFonts w:ascii="Arial" w:eastAsia="Times New Roman" w:hAnsi="Arial" w:cs="Arial"/>
          <w:sz w:val="20"/>
          <w:szCs w:val="20"/>
          <w:lang w:eastAsia="en-IN"/>
        </w:rPr>
        <w:t xml:space="preserve"> </w:t>
      </w:r>
      <w:r w:rsidR="00F0687C" w:rsidRPr="007D6BFD">
        <w:rPr>
          <w:rFonts w:ascii="Arial" w:eastAsia="Times New Roman" w:hAnsi="Arial" w:cs="Arial"/>
          <w:sz w:val="20"/>
          <w:szCs w:val="20"/>
          <w:lang w:eastAsia="en-IN"/>
        </w:rPr>
        <w:t xml:space="preserve">and inflammatory bowel disease </w:t>
      </w:r>
      <w:r w:rsidRPr="007D6BFD">
        <w:rPr>
          <w:rFonts w:ascii="Arial" w:eastAsia="Times New Roman" w:hAnsi="Arial" w:cs="Arial"/>
          <w:sz w:val="20"/>
          <w:szCs w:val="20"/>
          <w:lang w:eastAsia="en-IN"/>
        </w:rPr>
        <w:t>exhibit strong circadian dependence in diseas</w:t>
      </w:r>
      <w:r w:rsidR="00F0687C" w:rsidRPr="007D6BFD">
        <w:rPr>
          <w:rFonts w:ascii="Arial" w:eastAsia="Times New Roman" w:hAnsi="Arial" w:cs="Arial"/>
          <w:sz w:val="20"/>
          <w:szCs w:val="20"/>
          <w:lang w:eastAsia="en-IN"/>
        </w:rPr>
        <w:t>e severity, cytokine expression</w:t>
      </w:r>
      <w:r w:rsidRPr="007D6BFD">
        <w:rPr>
          <w:rFonts w:ascii="Arial" w:eastAsia="Times New Roman" w:hAnsi="Arial" w:cs="Arial"/>
          <w:sz w:val="20"/>
          <w:szCs w:val="20"/>
          <w:lang w:eastAsia="en-IN"/>
        </w:rPr>
        <w:t xml:space="preserve"> and thera</w:t>
      </w:r>
      <w:r w:rsidR="006E15E0" w:rsidRPr="007D6BFD">
        <w:rPr>
          <w:rFonts w:ascii="Arial" w:eastAsia="Times New Roman" w:hAnsi="Arial" w:cs="Arial"/>
          <w:sz w:val="20"/>
          <w:szCs w:val="20"/>
          <w:lang w:eastAsia="en-IN"/>
        </w:rPr>
        <w:t xml:space="preserve">peutic responsiveness [69, 95]. </w:t>
      </w:r>
      <w:r w:rsidRPr="007D6BFD">
        <w:rPr>
          <w:rFonts w:ascii="Arial" w:eastAsia="Times New Roman" w:hAnsi="Arial" w:cs="Arial"/>
          <w:sz w:val="20"/>
          <w:szCs w:val="20"/>
          <w:lang w:eastAsia="en-IN"/>
        </w:rPr>
        <w:t xml:space="preserve">Similar to these conditions, periodontitis is characterized by sustained elevations of IL-6, </w:t>
      </w:r>
      <w:r w:rsidR="006E15E0" w:rsidRPr="007D6BFD">
        <w:rPr>
          <w:rFonts w:ascii="Arial" w:hAnsi="Arial" w:cs="Arial"/>
          <w:sz w:val="20"/>
          <w:szCs w:val="20"/>
        </w:rPr>
        <w:t>TNF-α</w:t>
      </w:r>
      <w:r w:rsidRPr="007D6BFD">
        <w:rPr>
          <w:rFonts w:ascii="Arial" w:eastAsia="Times New Roman" w:hAnsi="Arial" w:cs="Arial"/>
          <w:sz w:val="20"/>
          <w:szCs w:val="20"/>
          <w:lang w:eastAsia="en-IN"/>
        </w:rPr>
        <w:t xml:space="preserve">, </w:t>
      </w:r>
      <w:r w:rsidR="006E15E0" w:rsidRPr="007D6BFD">
        <w:rPr>
          <w:rFonts w:ascii="Arial" w:eastAsia="Times New Roman" w:hAnsi="Arial" w:cs="Arial"/>
          <w:sz w:val="20"/>
          <w:szCs w:val="20"/>
          <w:lang w:eastAsia="en-IN"/>
        </w:rPr>
        <w:t>PGE</w:t>
      </w:r>
      <w:r w:rsidR="006E15E0" w:rsidRPr="007D6BFD">
        <w:rPr>
          <w:rFonts w:ascii="Cambria Math" w:eastAsia="Times New Roman" w:hAnsi="Cambria Math" w:cs="Cambria Math"/>
          <w:sz w:val="20"/>
          <w:szCs w:val="20"/>
          <w:lang w:eastAsia="en-IN"/>
        </w:rPr>
        <w:t>₂</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and MMP mediators known to suppress core clock gene expression and dampen circadian amplitude [12, 15, 37]. At the molecular level, this </w:t>
      </w:r>
      <w:r w:rsidR="00F0687C" w:rsidRPr="007D6BFD">
        <w:rPr>
          <w:rFonts w:ascii="Arial" w:eastAsia="Times New Roman" w:hAnsi="Arial" w:cs="Arial"/>
          <w:sz w:val="20"/>
          <w:szCs w:val="20"/>
          <w:lang w:eastAsia="en-IN"/>
        </w:rPr>
        <w:t xml:space="preserve">clock </w:t>
      </w:r>
      <w:r w:rsidRPr="007D6BFD">
        <w:rPr>
          <w:rFonts w:ascii="Arial" w:eastAsia="Times New Roman" w:hAnsi="Arial" w:cs="Arial"/>
          <w:sz w:val="20"/>
          <w:szCs w:val="20"/>
          <w:lang w:eastAsia="en-IN"/>
        </w:rPr>
        <w:t xml:space="preserve">blunting </w:t>
      </w:r>
      <w:r w:rsidR="00F0687C" w:rsidRPr="007D6BFD">
        <w:rPr>
          <w:rFonts w:ascii="Arial" w:eastAsia="Times New Roman" w:hAnsi="Arial" w:cs="Arial"/>
          <w:sz w:val="20"/>
          <w:szCs w:val="20"/>
          <w:lang w:eastAsia="en-IN"/>
        </w:rPr>
        <w:t xml:space="preserve">effect creates a vicious cycle, </w:t>
      </w:r>
      <w:r w:rsidRPr="007D6BFD">
        <w:rPr>
          <w:rFonts w:ascii="Arial" w:eastAsia="Times New Roman" w:hAnsi="Arial" w:cs="Arial"/>
          <w:sz w:val="20"/>
          <w:szCs w:val="20"/>
          <w:lang w:eastAsia="en-IN"/>
        </w:rPr>
        <w:t>chronic inflammati</w:t>
      </w:r>
      <w:r w:rsidR="00F0687C" w:rsidRPr="007D6BFD">
        <w:rPr>
          <w:rFonts w:ascii="Arial" w:eastAsia="Times New Roman" w:hAnsi="Arial" w:cs="Arial"/>
          <w:sz w:val="20"/>
          <w:szCs w:val="20"/>
          <w:lang w:eastAsia="en-IN"/>
        </w:rPr>
        <w:t xml:space="preserve">on weakens the molecular clock </w:t>
      </w:r>
      <w:r w:rsidRPr="007D6BFD">
        <w:rPr>
          <w:rFonts w:ascii="Arial" w:eastAsia="Times New Roman" w:hAnsi="Arial" w:cs="Arial"/>
          <w:sz w:val="20"/>
          <w:szCs w:val="20"/>
          <w:lang w:eastAsia="en-IN"/>
        </w:rPr>
        <w:t xml:space="preserve">and a weakened clock loses its ability to suppress </w:t>
      </w:r>
      <w:r w:rsidR="006E15E0" w:rsidRPr="007D6BFD">
        <w:rPr>
          <w:rFonts w:ascii="Arial" w:hAnsi="Arial" w:cs="Arial"/>
          <w:sz w:val="20"/>
          <w:szCs w:val="20"/>
        </w:rPr>
        <w:t>NF-</w:t>
      </w:r>
      <w:proofErr w:type="spellStart"/>
      <w:r w:rsidR="006E15E0" w:rsidRPr="007D6BFD">
        <w:rPr>
          <w:rFonts w:ascii="Arial" w:hAnsi="Arial" w:cs="Arial"/>
          <w:sz w:val="20"/>
          <w:szCs w:val="20"/>
        </w:rPr>
        <w:t>κB</w:t>
      </w:r>
      <w:proofErr w:type="spellEnd"/>
      <w:r w:rsidR="006E15E0" w:rsidRPr="007D6BFD">
        <w:rPr>
          <w:rFonts w:ascii="Arial" w:hAnsi="Arial" w:cs="Arial"/>
          <w:sz w:val="20"/>
          <w:szCs w:val="20"/>
        </w:rPr>
        <w:t xml:space="preserve"> </w:t>
      </w:r>
      <w:r w:rsidRPr="007D6BFD">
        <w:rPr>
          <w:rFonts w:ascii="Arial" w:eastAsia="Times New Roman" w:hAnsi="Arial" w:cs="Arial"/>
          <w:sz w:val="20"/>
          <w:szCs w:val="20"/>
          <w:lang w:eastAsia="en-IN"/>
        </w:rPr>
        <w:t xml:space="preserve">activation, leading to a state of hyper-inflammation. Experimental studies have shown that </w:t>
      </w:r>
      <w:r w:rsidR="006E15E0" w:rsidRPr="007D6BFD">
        <w:rPr>
          <w:rFonts w:ascii="Arial" w:hAnsi="Arial" w:cs="Arial"/>
          <w:sz w:val="20"/>
          <w:szCs w:val="20"/>
        </w:rPr>
        <w:t>TNF-α</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mediated activation of </w:t>
      </w:r>
      <w:r w:rsidR="006E15E0" w:rsidRPr="007D6BFD">
        <w:rPr>
          <w:rFonts w:ascii="Arial" w:hAnsi="Arial" w:cs="Arial"/>
          <w:sz w:val="20"/>
          <w:szCs w:val="20"/>
        </w:rPr>
        <w:t>NF-</w:t>
      </w:r>
      <w:proofErr w:type="spellStart"/>
      <w:r w:rsidR="006E15E0" w:rsidRPr="007D6BFD">
        <w:rPr>
          <w:rFonts w:ascii="Arial" w:hAnsi="Arial" w:cs="Arial"/>
          <w:sz w:val="20"/>
          <w:szCs w:val="20"/>
        </w:rPr>
        <w:t>κB</w:t>
      </w:r>
      <w:proofErr w:type="spellEnd"/>
      <w:r w:rsidR="006E15E0" w:rsidRPr="007D6BFD">
        <w:rPr>
          <w:rFonts w:ascii="Arial" w:hAnsi="Arial" w:cs="Arial"/>
          <w:sz w:val="20"/>
          <w:szCs w:val="20"/>
        </w:rPr>
        <w:t xml:space="preserve"> </w:t>
      </w:r>
      <w:r w:rsidR="006E15E0" w:rsidRPr="007D6BFD">
        <w:rPr>
          <w:rFonts w:ascii="Arial" w:eastAsia="Times New Roman" w:hAnsi="Arial" w:cs="Arial"/>
          <w:sz w:val="20"/>
          <w:szCs w:val="20"/>
          <w:lang w:eastAsia="en-IN"/>
        </w:rPr>
        <w:t xml:space="preserve">directly represses BMAL1 </w:t>
      </w:r>
      <w:r w:rsidR="00F0687C" w:rsidRPr="007D6BFD">
        <w:rPr>
          <w:rFonts w:ascii="Arial" w:eastAsia="Times New Roman" w:hAnsi="Arial" w:cs="Arial"/>
          <w:sz w:val="20"/>
          <w:szCs w:val="20"/>
          <w:lang w:eastAsia="en-IN"/>
        </w:rPr>
        <w:t>transcription</w:t>
      </w:r>
      <w:r w:rsidRPr="007D6BFD">
        <w:rPr>
          <w:rFonts w:ascii="Arial" w:eastAsia="Times New Roman" w:hAnsi="Arial" w:cs="Arial"/>
          <w:sz w:val="20"/>
          <w:szCs w:val="20"/>
          <w:lang w:eastAsia="en-IN"/>
        </w:rPr>
        <w:t xml:space="preserve"> a mechanism consistent with the inflammatory milieu obse</w:t>
      </w:r>
      <w:r w:rsidR="006E15E0" w:rsidRPr="007D6BFD">
        <w:rPr>
          <w:rFonts w:ascii="Arial" w:eastAsia="Times New Roman" w:hAnsi="Arial" w:cs="Arial"/>
          <w:sz w:val="20"/>
          <w:szCs w:val="20"/>
          <w:lang w:eastAsia="en-IN"/>
        </w:rPr>
        <w:t xml:space="preserve">rved in periodontitis [15, 25]. </w:t>
      </w:r>
      <w:r w:rsidRPr="007D6BFD">
        <w:rPr>
          <w:rFonts w:ascii="Arial" w:eastAsia="Times New Roman" w:hAnsi="Arial" w:cs="Arial"/>
          <w:sz w:val="20"/>
          <w:szCs w:val="20"/>
          <w:lang w:eastAsia="en-IN"/>
        </w:rPr>
        <w:t xml:space="preserve">Epidemiological data further support this framework, as shift workers and individuals with sleep disorders demonstrate higher prevalence and severity of periodontal disease, even after adjustment for </w:t>
      </w:r>
      <w:proofErr w:type="spellStart"/>
      <w:r w:rsidRPr="007D6BFD">
        <w:rPr>
          <w:rFonts w:ascii="Arial" w:eastAsia="Times New Roman" w:hAnsi="Arial" w:cs="Arial"/>
          <w:sz w:val="20"/>
          <w:szCs w:val="20"/>
          <w:lang w:eastAsia="en-IN"/>
        </w:rPr>
        <w:t>behavioral</w:t>
      </w:r>
      <w:proofErr w:type="spellEnd"/>
      <w:r w:rsidRPr="007D6BFD">
        <w:rPr>
          <w:rFonts w:ascii="Arial" w:eastAsia="Times New Roman" w:hAnsi="Arial" w:cs="Arial"/>
          <w:sz w:val="20"/>
          <w:szCs w:val="20"/>
          <w:lang w:eastAsia="en-IN"/>
        </w:rPr>
        <w:t xml:space="preserve"> confounders [19]. This association is likely mediated by the dysregulation of the HPA axis</w:t>
      </w:r>
      <w:r w:rsidR="006E15E0" w:rsidRPr="007D6BFD">
        <w:rPr>
          <w:rFonts w:ascii="Arial" w:eastAsia="Times New Roman" w:hAnsi="Arial" w:cs="Arial"/>
          <w:sz w:val="20"/>
          <w:szCs w:val="20"/>
          <w:lang w:eastAsia="en-IN"/>
        </w:rPr>
        <w:t>,</w:t>
      </w:r>
      <w:r w:rsidRPr="007D6BFD">
        <w:rPr>
          <w:rFonts w:ascii="Arial" w:eastAsia="Times New Roman" w:hAnsi="Arial" w:cs="Arial"/>
          <w:sz w:val="20"/>
          <w:szCs w:val="20"/>
          <w:lang w:eastAsia="en-IN"/>
        </w:rPr>
        <w:t xml:space="preserve"> chronic CRD leads to flattened cortisol rhythms, stripping the perio</w:t>
      </w:r>
      <w:r w:rsidR="006E15E0" w:rsidRPr="007D6BFD">
        <w:rPr>
          <w:rFonts w:ascii="Arial" w:eastAsia="Times New Roman" w:hAnsi="Arial" w:cs="Arial"/>
          <w:sz w:val="20"/>
          <w:szCs w:val="20"/>
          <w:lang w:eastAsia="en-IN"/>
        </w:rPr>
        <w:t xml:space="preserve">dontium of its natural morning anti-inflammatory pulse. </w:t>
      </w:r>
      <w:r w:rsidRPr="007D6BFD">
        <w:rPr>
          <w:rFonts w:ascii="Arial" w:eastAsia="Times New Roman" w:hAnsi="Arial" w:cs="Arial"/>
          <w:sz w:val="20"/>
          <w:szCs w:val="20"/>
          <w:lang w:eastAsia="en-IN"/>
        </w:rPr>
        <w:t xml:space="preserve">Circadian disruption also compromises host </w:t>
      </w:r>
      <w:proofErr w:type="spellStart"/>
      <w:r w:rsidRPr="007D6BFD">
        <w:rPr>
          <w:rFonts w:ascii="Arial" w:eastAsia="Times New Roman" w:hAnsi="Arial" w:cs="Arial"/>
          <w:sz w:val="20"/>
          <w:szCs w:val="20"/>
          <w:lang w:eastAsia="en-IN"/>
        </w:rPr>
        <w:t>defense</w:t>
      </w:r>
      <w:proofErr w:type="spellEnd"/>
      <w:r w:rsidRPr="007D6BFD">
        <w:rPr>
          <w:rFonts w:ascii="Arial" w:eastAsia="Times New Roman" w:hAnsi="Arial" w:cs="Arial"/>
          <w:sz w:val="20"/>
          <w:szCs w:val="20"/>
          <w:lang w:eastAsia="en-IN"/>
        </w:rPr>
        <w:t xml:space="preserve"> by skewing macrophage polarization toward a sustained pro-inflammatory M1 phenotype and impairing the synthesis of specialized pro-resolving lipid mediators (SPMs), thereby preventing effective termination of inflammation [49–53]. Without the rhythmic rise and fall of these lipoxins and </w:t>
      </w:r>
      <w:proofErr w:type="spellStart"/>
      <w:r w:rsidRPr="007D6BFD">
        <w:rPr>
          <w:rFonts w:ascii="Arial" w:eastAsia="Times New Roman" w:hAnsi="Arial" w:cs="Arial"/>
          <w:sz w:val="20"/>
          <w:szCs w:val="20"/>
          <w:lang w:eastAsia="en-IN"/>
        </w:rPr>
        <w:t>resolvins</w:t>
      </w:r>
      <w:proofErr w:type="spellEnd"/>
      <w:r w:rsidRPr="007D6BFD">
        <w:rPr>
          <w:rFonts w:ascii="Arial" w:eastAsia="Times New Roman" w:hAnsi="Arial" w:cs="Arial"/>
          <w:sz w:val="20"/>
          <w:szCs w:val="20"/>
          <w:lang w:eastAsia="en-IN"/>
        </w:rPr>
        <w:t xml:space="preserve">, the periodontium remains in a state of catastrophic chronicity. In parallel, dysregulation of clock-controlled bone </w:t>
      </w:r>
      <w:proofErr w:type="spellStart"/>
      <w:r w:rsidRPr="007D6BFD">
        <w:rPr>
          <w:rFonts w:ascii="Arial" w:eastAsia="Times New Roman" w:hAnsi="Arial" w:cs="Arial"/>
          <w:sz w:val="20"/>
          <w:szCs w:val="20"/>
          <w:lang w:eastAsia="en-IN"/>
        </w:rPr>
        <w:t>remodeling</w:t>
      </w:r>
      <w:proofErr w:type="spellEnd"/>
      <w:r w:rsidRPr="007D6BFD">
        <w:rPr>
          <w:rFonts w:ascii="Arial" w:eastAsia="Times New Roman" w:hAnsi="Arial" w:cs="Arial"/>
          <w:sz w:val="20"/>
          <w:szCs w:val="20"/>
          <w:lang w:eastAsia="en-IN"/>
        </w:rPr>
        <w:t xml:space="preserve"> pathways amplifies alveolar bone loss through disruption of the </w:t>
      </w:r>
      <w:r w:rsidR="006E15E0" w:rsidRPr="007D6BFD">
        <w:rPr>
          <w:rFonts w:ascii="Arial" w:eastAsia="Times New Roman" w:hAnsi="Arial" w:cs="Arial"/>
          <w:sz w:val="20"/>
          <w:szCs w:val="20"/>
          <w:lang w:eastAsia="en-IN"/>
        </w:rPr>
        <w:t>R</w:t>
      </w:r>
      <w:r w:rsidRPr="007D6BFD">
        <w:rPr>
          <w:rFonts w:ascii="Arial" w:eastAsia="Times New Roman" w:hAnsi="Arial" w:cs="Arial"/>
          <w:sz w:val="20"/>
          <w:szCs w:val="20"/>
          <w:lang w:eastAsia="en-IN"/>
        </w:rPr>
        <w:t>ANKL/OPG axis [56–59]. Under normal conditions, BMAL1</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restricts osteoclast activity</w:t>
      </w:r>
      <w:r w:rsidR="006E15E0" w:rsidRPr="007D6BFD">
        <w:rPr>
          <w:rFonts w:ascii="Arial" w:eastAsia="Times New Roman" w:hAnsi="Arial" w:cs="Arial"/>
          <w:sz w:val="20"/>
          <w:szCs w:val="20"/>
          <w:lang w:eastAsia="en-IN"/>
        </w:rPr>
        <w:t>. H</w:t>
      </w:r>
      <w:r w:rsidRPr="007D6BFD">
        <w:rPr>
          <w:rFonts w:ascii="Arial" w:eastAsia="Times New Roman" w:hAnsi="Arial" w:cs="Arial"/>
          <w:sz w:val="20"/>
          <w:szCs w:val="20"/>
          <w:lang w:eastAsia="en-IN"/>
        </w:rPr>
        <w:t>owever, its repression in periodontitis allows</w:t>
      </w:r>
      <w:r w:rsidR="006E15E0" w:rsidRPr="007D6BFD">
        <w:rPr>
          <w:rFonts w:ascii="Arial" w:eastAsia="Times New Roman" w:hAnsi="Arial" w:cs="Arial"/>
          <w:sz w:val="20"/>
          <w:szCs w:val="20"/>
          <w:lang w:eastAsia="en-IN"/>
        </w:rPr>
        <w:t xml:space="preserve"> for uncoupled bone resorption. </w:t>
      </w:r>
      <w:r w:rsidRPr="007D6BFD">
        <w:rPr>
          <w:rFonts w:ascii="Arial" w:eastAsia="Times New Roman" w:hAnsi="Arial" w:cs="Arial"/>
          <w:sz w:val="20"/>
          <w:szCs w:val="20"/>
          <w:lang w:eastAsia="en-IN"/>
        </w:rPr>
        <w:t>Together, these findings challenge the traditional linear model of periodontal pathogenesis and introduce temporal biology as a critical determinant of disease progression and therapeutic response. This parad</w:t>
      </w:r>
      <w:r w:rsidR="006E15E0" w:rsidRPr="007D6BFD">
        <w:rPr>
          <w:rFonts w:ascii="Arial" w:eastAsia="Times New Roman" w:hAnsi="Arial" w:cs="Arial"/>
          <w:sz w:val="20"/>
          <w:szCs w:val="20"/>
          <w:lang w:eastAsia="en-IN"/>
        </w:rPr>
        <w:t xml:space="preserve">igm shift suggests that </w:t>
      </w:r>
      <w:r w:rsidRPr="007D6BFD">
        <w:rPr>
          <w:rFonts w:ascii="Arial" w:eastAsia="Times New Roman" w:hAnsi="Arial" w:cs="Arial"/>
          <w:sz w:val="20"/>
          <w:szCs w:val="20"/>
          <w:lang w:eastAsia="en-IN"/>
        </w:rPr>
        <w:t>chronotherapeutic interventions</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such as timing SRP</w:t>
      </w:r>
      <w:r w:rsidR="006E15E0" w:rsidRPr="007D6BFD">
        <w:rPr>
          <w:rFonts w:ascii="Arial" w:eastAsia="Times New Roman" w:hAnsi="Arial" w:cs="Arial"/>
          <w:sz w:val="20"/>
          <w:szCs w:val="20"/>
          <w:lang w:eastAsia="en-IN"/>
        </w:rPr>
        <w:t xml:space="preserve"> or the administration of host </w:t>
      </w:r>
      <w:r w:rsidRPr="007D6BFD">
        <w:rPr>
          <w:rFonts w:ascii="Arial" w:eastAsia="Times New Roman" w:hAnsi="Arial" w:cs="Arial"/>
          <w:sz w:val="20"/>
          <w:szCs w:val="20"/>
          <w:lang w:eastAsia="en-IN"/>
        </w:rPr>
        <w:t xml:space="preserve">modulation agents to coincide </w:t>
      </w:r>
      <w:r w:rsidR="006E15E0" w:rsidRPr="007D6BFD">
        <w:rPr>
          <w:rFonts w:ascii="Arial" w:eastAsia="Times New Roman" w:hAnsi="Arial" w:cs="Arial"/>
          <w:sz w:val="20"/>
          <w:szCs w:val="20"/>
          <w:lang w:eastAsia="en-IN"/>
        </w:rPr>
        <w:t xml:space="preserve">with specific circadian windows </w:t>
      </w:r>
      <w:r w:rsidRPr="007D6BFD">
        <w:rPr>
          <w:rFonts w:ascii="Arial" w:eastAsia="Times New Roman" w:hAnsi="Arial" w:cs="Arial"/>
          <w:sz w:val="20"/>
          <w:szCs w:val="20"/>
          <w:lang w:eastAsia="en-IN"/>
        </w:rPr>
        <w:t>may significantly enhance clinical outcomes.</w:t>
      </w:r>
    </w:p>
    <w:p w14:paraId="507CA893" w14:textId="77777777" w:rsidR="00D621B9" w:rsidRPr="007D6BFD" w:rsidRDefault="00D621B9"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9. Future Perspectives and Clinical Directions</w:t>
      </w:r>
    </w:p>
    <w:p w14:paraId="595BE5F1" w14:textId="77777777" w:rsidR="00D621B9" w:rsidRPr="007D6BFD" w:rsidRDefault="00D621B9" w:rsidP="007D6BFD">
      <w:pPr>
        <w:pStyle w:val="NormalWeb"/>
        <w:spacing w:line="276" w:lineRule="auto"/>
        <w:jc w:val="both"/>
        <w:rPr>
          <w:rFonts w:ascii="Arial" w:hAnsi="Arial" w:cs="Arial"/>
          <w:sz w:val="20"/>
          <w:szCs w:val="20"/>
        </w:rPr>
      </w:pPr>
      <w:r w:rsidRPr="007D6BFD">
        <w:rPr>
          <w:rStyle w:val="citation-145"/>
          <w:rFonts w:ascii="Arial" w:eastAsiaTheme="majorEastAsia" w:hAnsi="Arial" w:cs="Arial"/>
          <w:sz w:val="20"/>
          <w:szCs w:val="20"/>
        </w:rPr>
        <w:t xml:space="preserve">The identification of the </w:t>
      </w:r>
      <w:r w:rsidR="00F0687C" w:rsidRPr="007D6BFD">
        <w:rPr>
          <w:rStyle w:val="citation-145"/>
          <w:rFonts w:ascii="Arial" w:eastAsiaTheme="majorEastAsia" w:hAnsi="Arial" w:cs="Arial"/>
          <w:bCs/>
          <w:sz w:val="20"/>
          <w:szCs w:val="20"/>
        </w:rPr>
        <w:t>neuro-immuno-metabolic a</w:t>
      </w:r>
      <w:r w:rsidRPr="007D6BFD">
        <w:rPr>
          <w:rStyle w:val="citation-145"/>
          <w:rFonts w:ascii="Arial" w:eastAsiaTheme="majorEastAsia" w:hAnsi="Arial" w:cs="Arial"/>
          <w:bCs/>
          <w:sz w:val="20"/>
          <w:szCs w:val="20"/>
        </w:rPr>
        <w:t>xis</w:t>
      </w:r>
      <w:r w:rsidRPr="007D6BFD">
        <w:rPr>
          <w:rStyle w:val="citation-145"/>
          <w:rFonts w:ascii="Arial" w:eastAsiaTheme="majorEastAsia" w:hAnsi="Arial" w:cs="Arial"/>
          <w:sz w:val="20"/>
          <w:szCs w:val="20"/>
        </w:rPr>
        <w:t xml:space="preserve"> shifts the view of periodontitis from a localized infection to a temporally regulated systemic condition</w:t>
      </w:r>
      <w:r w:rsidRPr="007D6BFD">
        <w:rPr>
          <w:rFonts w:ascii="Arial" w:hAnsi="Arial" w:cs="Arial"/>
          <w:sz w:val="20"/>
          <w:szCs w:val="20"/>
        </w:rPr>
        <w:t>. To translate this framework into clinical practice, the following research priorities are proposed:</w:t>
      </w:r>
    </w:p>
    <w:p w14:paraId="359146E3" w14:textId="77777777" w:rsidR="00D621B9" w:rsidRPr="007D6BFD" w:rsidRDefault="00D621B9" w:rsidP="007D6BFD">
      <w:pPr>
        <w:pStyle w:val="NormalWeb"/>
        <w:spacing w:line="276" w:lineRule="auto"/>
        <w:rPr>
          <w:rStyle w:val="citation-144"/>
          <w:rFonts w:ascii="Arial" w:hAnsi="Arial" w:cs="Arial"/>
          <w:sz w:val="20"/>
          <w:szCs w:val="20"/>
        </w:rPr>
      </w:pPr>
      <w:r w:rsidRPr="007D6BFD">
        <w:rPr>
          <w:rStyle w:val="citation-144"/>
          <w:rFonts w:ascii="Arial" w:eastAsiaTheme="majorEastAsia" w:hAnsi="Arial" w:cs="Arial"/>
          <w:b/>
          <w:bCs/>
          <w:sz w:val="20"/>
          <w:szCs w:val="20"/>
        </w:rPr>
        <w:t xml:space="preserve">9.1 Diagnostic </w:t>
      </w:r>
      <w:proofErr w:type="spellStart"/>
      <w:r w:rsidRPr="007D6BFD">
        <w:rPr>
          <w:rStyle w:val="citation-144"/>
          <w:rFonts w:ascii="Arial" w:eastAsiaTheme="majorEastAsia" w:hAnsi="Arial" w:cs="Arial"/>
          <w:b/>
          <w:bCs/>
          <w:sz w:val="20"/>
          <w:szCs w:val="20"/>
        </w:rPr>
        <w:t>Chronotyping</w:t>
      </w:r>
      <w:proofErr w:type="spellEnd"/>
    </w:p>
    <w:p w14:paraId="2159415E" w14:textId="77777777" w:rsidR="00D621B9" w:rsidRPr="007D6BFD" w:rsidRDefault="00D621B9" w:rsidP="007D6BFD">
      <w:pPr>
        <w:pStyle w:val="NormalWeb"/>
        <w:spacing w:line="276" w:lineRule="auto"/>
        <w:jc w:val="both"/>
        <w:rPr>
          <w:rFonts w:ascii="Arial" w:hAnsi="Arial" w:cs="Arial"/>
          <w:sz w:val="20"/>
          <w:szCs w:val="20"/>
        </w:rPr>
      </w:pPr>
      <w:r w:rsidRPr="007D6BFD">
        <w:rPr>
          <w:rStyle w:val="citation-144"/>
          <w:rFonts w:ascii="Arial" w:eastAsiaTheme="majorEastAsia" w:hAnsi="Arial" w:cs="Arial"/>
          <w:sz w:val="20"/>
          <w:szCs w:val="20"/>
        </w:rPr>
        <w:t xml:space="preserve">Research should focus on establishing inflammatory chronotypes by profiling core clock genes like </w:t>
      </w:r>
      <w:r w:rsidRPr="007D6BFD">
        <w:rPr>
          <w:rStyle w:val="math-inline"/>
          <w:rFonts w:ascii="Arial" w:hAnsi="Arial" w:cs="Arial"/>
          <w:sz w:val="20"/>
          <w:szCs w:val="20"/>
        </w:rPr>
        <w:t xml:space="preserve">BMAL1 </w:t>
      </w:r>
      <w:r w:rsidRPr="007D6BFD">
        <w:rPr>
          <w:rStyle w:val="citation-144"/>
          <w:rFonts w:ascii="Arial" w:eastAsiaTheme="majorEastAsia" w:hAnsi="Arial" w:cs="Arial"/>
          <w:sz w:val="20"/>
          <w:szCs w:val="20"/>
        </w:rPr>
        <w:t xml:space="preserve">and </w:t>
      </w:r>
      <w:r w:rsidRPr="007D6BFD">
        <w:rPr>
          <w:rStyle w:val="math-inline"/>
          <w:rFonts w:ascii="Arial" w:hAnsi="Arial" w:cs="Arial"/>
          <w:sz w:val="20"/>
          <w:szCs w:val="20"/>
        </w:rPr>
        <w:t>PER2</w:t>
      </w:r>
      <w:r w:rsidRPr="007D6BFD">
        <w:rPr>
          <w:rStyle w:val="citation-144"/>
          <w:rFonts w:ascii="Arial" w:eastAsiaTheme="majorEastAsia" w:hAnsi="Arial" w:cs="Arial"/>
          <w:sz w:val="20"/>
          <w:szCs w:val="20"/>
        </w:rPr>
        <w:t xml:space="preserve"> in GCF</w:t>
      </w:r>
      <w:r w:rsidR="006E15E0" w:rsidRPr="007D6BFD">
        <w:rPr>
          <w:rStyle w:val="citation-144"/>
          <w:rFonts w:ascii="Arial" w:eastAsiaTheme="majorEastAsia" w:hAnsi="Arial" w:cs="Arial"/>
          <w:sz w:val="20"/>
          <w:szCs w:val="20"/>
        </w:rPr>
        <w:t xml:space="preserve"> </w:t>
      </w:r>
      <w:r w:rsidRPr="007D6BFD">
        <w:rPr>
          <w:rStyle w:val="citation-144"/>
          <w:rFonts w:ascii="Arial" w:eastAsiaTheme="majorEastAsia" w:hAnsi="Arial" w:cs="Arial"/>
          <w:sz w:val="20"/>
          <w:szCs w:val="20"/>
        </w:rPr>
        <w:t xml:space="preserve">alongside traditional markers like </w:t>
      </w:r>
      <w:r w:rsidRPr="007D6BFD">
        <w:rPr>
          <w:rStyle w:val="math-inline"/>
          <w:rFonts w:ascii="Arial" w:hAnsi="Arial" w:cs="Arial"/>
          <w:sz w:val="20"/>
          <w:szCs w:val="20"/>
        </w:rPr>
        <w:t>IL-6</w:t>
      </w:r>
      <w:r w:rsidRPr="007D6BFD">
        <w:rPr>
          <w:rFonts w:ascii="Arial" w:hAnsi="Arial" w:cs="Arial"/>
          <w:sz w:val="20"/>
          <w:szCs w:val="20"/>
        </w:rPr>
        <w:t>.</w:t>
      </w:r>
    </w:p>
    <w:p w14:paraId="782D70E3" w14:textId="77777777" w:rsidR="00D621B9" w:rsidRPr="007D6BFD" w:rsidRDefault="00D621B9" w:rsidP="007D6BFD">
      <w:pPr>
        <w:pStyle w:val="NormalWeb"/>
        <w:spacing w:line="276" w:lineRule="auto"/>
        <w:rPr>
          <w:rStyle w:val="citation-143"/>
          <w:rFonts w:ascii="Arial" w:hAnsi="Arial" w:cs="Arial"/>
          <w:b/>
          <w:bCs/>
          <w:sz w:val="20"/>
          <w:szCs w:val="20"/>
        </w:rPr>
      </w:pPr>
      <w:r w:rsidRPr="007D6BFD">
        <w:rPr>
          <w:rStyle w:val="citation-143"/>
          <w:rFonts w:ascii="Arial" w:hAnsi="Arial" w:cs="Arial"/>
          <w:b/>
          <w:bCs/>
          <w:sz w:val="20"/>
          <w:szCs w:val="20"/>
        </w:rPr>
        <w:t>9.2 Temporal Biomarker Mapping</w:t>
      </w:r>
    </w:p>
    <w:p w14:paraId="0250A815" w14:textId="77777777" w:rsidR="00D621B9" w:rsidRPr="007D6BFD" w:rsidRDefault="00D621B9" w:rsidP="007D6BFD">
      <w:pPr>
        <w:pStyle w:val="NormalWeb"/>
        <w:spacing w:line="276" w:lineRule="auto"/>
        <w:jc w:val="both"/>
        <w:rPr>
          <w:rFonts w:ascii="Arial" w:hAnsi="Arial" w:cs="Arial"/>
          <w:sz w:val="20"/>
          <w:szCs w:val="20"/>
        </w:rPr>
      </w:pPr>
      <w:r w:rsidRPr="007D6BFD">
        <w:rPr>
          <w:rStyle w:val="citation-143"/>
          <w:rFonts w:ascii="Arial" w:hAnsi="Arial" w:cs="Arial"/>
          <w:sz w:val="20"/>
          <w:szCs w:val="20"/>
        </w:rPr>
        <w:t xml:space="preserve">Studies must characterize the 24-hour rhythmic oscillations of </w:t>
      </w:r>
      <w:r w:rsidRPr="007D6BFD">
        <w:rPr>
          <w:rStyle w:val="math-inline"/>
          <w:rFonts w:ascii="Arial" w:hAnsi="Arial" w:cs="Arial"/>
          <w:sz w:val="20"/>
          <w:szCs w:val="20"/>
        </w:rPr>
        <w:t>MMP-8</w:t>
      </w:r>
      <w:r w:rsidRPr="007D6BFD">
        <w:rPr>
          <w:rStyle w:val="citation-143"/>
          <w:rFonts w:ascii="Arial" w:hAnsi="Arial" w:cs="Arial"/>
          <w:sz w:val="20"/>
          <w:szCs w:val="20"/>
        </w:rPr>
        <w:t xml:space="preserve"> and the </w:t>
      </w:r>
      <w:r w:rsidRPr="007D6BFD">
        <w:rPr>
          <w:rStyle w:val="math-inline"/>
          <w:rFonts w:ascii="Arial" w:hAnsi="Arial" w:cs="Arial"/>
          <w:sz w:val="20"/>
          <w:szCs w:val="20"/>
        </w:rPr>
        <w:t xml:space="preserve">RANKL/OPG </w:t>
      </w:r>
      <w:r w:rsidRPr="007D6BFD">
        <w:rPr>
          <w:rStyle w:val="citation-143"/>
          <w:rFonts w:ascii="Arial" w:hAnsi="Arial" w:cs="Arial"/>
          <w:sz w:val="20"/>
          <w:szCs w:val="20"/>
        </w:rPr>
        <w:t>ratio to determine if peak destruction occurs at specific diurnal intervals</w:t>
      </w:r>
      <w:r w:rsidRPr="007D6BFD">
        <w:rPr>
          <w:rFonts w:ascii="Arial" w:hAnsi="Arial" w:cs="Arial"/>
          <w:sz w:val="20"/>
          <w:szCs w:val="20"/>
        </w:rPr>
        <w:t>.</w:t>
      </w:r>
    </w:p>
    <w:p w14:paraId="6B4CEB98" w14:textId="77777777" w:rsidR="00D621B9" w:rsidRPr="007D6BFD" w:rsidRDefault="00D621B9" w:rsidP="007D6BFD">
      <w:pPr>
        <w:pStyle w:val="NormalWeb"/>
        <w:spacing w:line="276" w:lineRule="auto"/>
        <w:rPr>
          <w:rStyle w:val="citation-142"/>
          <w:rFonts w:ascii="Arial" w:hAnsi="Arial" w:cs="Arial"/>
          <w:b/>
          <w:bCs/>
          <w:sz w:val="20"/>
          <w:szCs w:val="20"/>
        </w:rPr>
      </w:pPr>
      <w:r w:rsidRPr="007D6BFD">
        <w:rPr>
          <w:rStyle w:val="citation-142"/>
          <w:rFonts w:ascii="Arial" w:hAnsi="Arial" w:cs="Arial"/>
          <w:b/>
          <w:bCs/>
          <w:sz w:val="20"/>
          <w:szCs w:val="20"/>
        </w:rPr>
        <w:t>9.3 Chronotherapeutic Validation</w:t>
      </w:r>
    </w:p>
    <w:p w14:paraId="00F70862" w14:textId="77777777" w:rsidR="00D621B9" w:rsidRPr="007D6BFD" w:rsidRDefault="00D621B9" w:rsidP="007D6BFD">
      <w:pPr>
        <w:pStyle w:val="NormalWeb"/>
        <w:spacing w:line="276" w:lineRule="auto"/>
        <w:rPr>
          <w:rFonts w:ascii="Arial" w:hAnsi="Arial" w:cs="Arial"/>
          <w:sz w:val="20"/>
          <w:szCs w:val="20"/>
        </w:rPr>
      </w:pPr>
      <w:r w:rsidRPr="007D6BFD">
        <w:rPr>
          <w:rStyle w:val="citation-142"/>
          <w:rFonts w:ascii="Arial" w:hAnsi="Arial" w:cs="Arial"/>
          <w:sz w:val="20"/>
          <w:szCs w:val="20"/>
        </w:rPr>
        <w:t>Clinical trials are needed to evaluate if aligning SRP with the morning cortisol surge or rest-phase lipid mediator synthesis significantly improves healing outcomes</w:t>
      </w:r>
      <w:r w:rsidRPr="007D6BFD">
        <w:rPr>
          <w:rFonts w:ascii="Arial" w:hAnsi="Arial" w:cs="Arial"/>
          <w:sz w:val="20"/>
          <w:szCs w:val="20"/>
        </w:rPr>
        <w:t>.</w:t>
      </w:r>
    </w:p>
    <w:p w14:paraId="200939D9" w14:textId="77777777" w:rsidR="00D621B9" w:rsidRPr="007D6BFD" w:rsidRDefault="00D621B9" w:rsidP="007D6BFD">
      <w:pPr>
        <w:pStyle w:val="NormalWeb"/>
        <w:spacing w:line="276" w:lineRule="auto"/>
        <w:rPr>
          <w:rStyle w:val="citation-141"/>
          <w:rFonts w:ascii="Arial" w:hAnsi="Arial" w:cs="Arial"/>
          <w:b/>
          <w:bCs/>
          <w:sz w:val="20"/>
          <w:szCs w:val="20"/>
        </w:rPr>
      </w:pPr>
      <w:r w:rsidRPr="007D6BFD">
        <w:rPr>
          <w:rStyle w:val="citation-141"/>
          <w:rFonts w:ascii="Arial" w:hAnsi="Arial" w:cs="Arial"/>
          <w:b/>
          <w:bCs/>
          <w:sz w:val="20"/>
          <w:szCs w:val="20"/>
        </w:rPr>
        <w:t xml:space="preserve">9.4 Adjuvant </w:t>
      </w:r>
      <w:proofErr w:type="spellStart"/>
      <w:r w:rsidRPr="007D6BFD">
        <w:rPr>
          <w:rStyle w:val="citation-141"/>
          <w:rFonts w:ascii="Arial" w:hAnsi="Arial" w:cs="Arial"/>
          <w:b/>
          <w:bCs/>
          <w:sz w:val="20"/>
          <w:szCs w:val="20"/>
        </w:rPr>
        <w:t>Chronomedicine</w:t>
      </w:r>
      <w:proofErr w:type="spellEnd"/>
    </w:p>
    <w:p w14:paraId="1CFCEDB0" w14:textId="77777777" w:rsidR="00D621B9" w:rsidRPr="007D6BFD" w:rsidRDefault="00D621B9" w:rsidP="007D6BFD">
      <w:pPr>
        <w:pStyle w:val="NormalWeb"/>
        <w:spacing w:line="276" w:lineRule="auto"/>
        <w:rPr>
          <w:rFonts w:ascii="Arial" w:hAnsi="Arial" w:cs="Arial"/>
          <w:sz w:val="20"/>
          <w:szCs w:val="20"/>
        </w:rPr>
      </w:pPr>
      <w:r w:rsidRPr="007D6BFD">
        <w:rPr>
          <w:rStyle w:val="citation-141"/>
          <w:rFonts w:ascii="Arial" w:hAnsi="Arial" w:cs="Arial"/>
          <w:sz w:val="20"/>
          <w:szCs w:val="20"/>
        </w:rPr>
        <w:t xml:space="preserve">Investigating the efficacy of timed melatonin supplementation or </w:t>
      </w:r>
      <w:r w:rsidR="006E15E0" w:rsidRPr="007D6BFD">
        <w:rPr>
          <w:rStyle w:val="citation-141"/>
          <w:rFonts w:ascii="Arial" w:hAnsi="Arial" w:cs="Arial"/>
          <w:sz w:val="20"/>
          <w:szCs w:val="20"/>
        </w:rPr>
        <w:t xml:space="preserve">specific clock </w:t>
      </w:r>
      <w:r w:rsidRPr="007D6BFD">
        <w:rPr>
          <w:rStyle w:val="citation-141"/>
          <w:rFonts w:ascii="Arial" w:hAnsi="Arial" w:cs="Arial"/>
          <w:sz w:val="20"/>
          <w:szCs w:val="20"/>
        </w:rPr>
        <w:t>gene modulators as adjuncts to conventional therapy could provide a new dimension of personalized periodontal care</w:t>
      </w:r>
      <w:r w:rsidRPr="007D6BFD">
        <w:rPr>
          <w:rFonts w:ascii="Arial" w:hAnsi="Arial" w:cs="Arial"/>
          <w:sz w:val="20"/>
          <w:szCs w:val="20"/>
        </w:rPr>
        <w:t>.</w:t>
      </w:r>
    </w:p>
    <w:p w14:paraId="2E372C3A" w14:textId="77777777" w:rsidR="00F97B7C" w:rsidRPr="007D6BFD" w:rsidRDefault="00E423F6"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lastRenderedPageBreak/>
        <w:t>10</w:t>
      </w:r>
      <w:r w:rsidR="000D3CE6" w:rsidRPr="007D6BFD">
        <w:rPr>
          <w:rFonts w:ascii="Arial" w:hAnsi="Arial" w:cs="Arial"/>
          <w:b/>
          <w:color w:val="auto"/>
          <w:sz w:val="22"/>
          <w:szCs w:val="22"/>
        </w:rPr>
        <w:t>. C</w:t>
      </w:r>
      <w:r w:rsidR="00E67380" w:rsidRPr="007D6BFD">
        <w:rPr>
          <w:rFonts w:ascii="Arial" w:hAnsi="Arial" w:cs="Arial"/>
          <w:b/>
          <w:color w:val="auto"/>
          <w:sz w:val="22"/>
          <w:szCs w:val="22"/>
        </w:rPr>
        <w:t>ONCLUSION</w:t>
      </w:r>
    </w:p>
    <w:p w14:paraId="15A88082" w14:textId="77777777" w:rsidR="000D3CE6" w:rsidRPr="007D6BFD" w:rsidRDefault="00AD7B6E" w:rsidP="007D6BFD">
      <w:pPr>
        <w:pStyle w:val="Heading3"/>
        <w:spacing w:line="276" w:lineRule="auto"/>
        <w:jc w:val="both"/>
        <w:rPr>
          <w:rFonts w:ascii="Arial" w:hAnsi="Arial" w:cs="Arial"/>
          <w:b/>
          <w:color w:val="auto"/>
          <w:sz w:val="20"/>
          <w:szCs w:val="20"/>
        </w:rPr>
      </w:pPr>
      <w:r w:rsidRPr="007D6BFD">
        <w:rPr>
          <w:rFonts w:ascii="Arial" w:hAnsi="Arial" w:cs="Arial"/>
          <w:color w:val="auto"/>
          <w:sz w:val="20"/>
          <w:szCs w:val="20"/>
        </w:rPr>
        <w:br/>
        <w:t xml:space="preserve">Periodontitis and circadian rhythm disruption share fundamental inflammatory, neuroendocrine, and osteoimmunological mechanisms mediated by common molecular pathways, including </w:t>
      </w:r>
      <w:r w:rsidR="006E15E0" w:rsidRPr="007D6BFD">
        <w:rPr>
          <w:rFonts w:ascii="Arial" w:hAnsi="Arial" w:cs="Arial"/>
          <w:color w:val="auto"/>
          <w:sz w:val="20"/>
          <w:szCs w:val="20"/>
        </w:rPr>
        <w:t>IL</w:t>
      </w:r>
      <w:r w:rsidRPr="007D6BFD">
        <w:rPr>
          <w:rFonts w:ascii="Arial" w:hAnsi="Arial" w:cs="Arial"/>
          <w:color w:val="auto"/>
          <w:sz w:val="20"/>
          <w:szCs w:val="20"/>
        </w:rPr>
        <w:t>-6, and</w:t>
      </w:r>
      <w:r w:rsidR="006E15E0" w:rsidRPr="007D6BFD">
        <w:rPr>
          <w:rFonts w:ascii="Arial" w:hAnsi="Arial" w:cs="Arial"/>
          <w:color w:val="auto"/>
          <w:sz w:val="20"/>
          <w:szCs w:val="20"/>
        </w:rPr>
        <w:t xml:space="preserve"> TNF-α</w:t>
      </w:r>
      <w:r w:rsidRPr="007D6BFD">
        <w:rPr>
          <w:rFonts w:ascii="Arial" w:hAnsi="Arial" w:cs="Arial"/>
          <w:color w:val="auto"/>
          <w:sz w:val="20"/>
          <w:szCs w:val="20"/>
        </w:rPr>
        <w:t xml:space="preserve"> dysregulation of the RANKL/OPG axis [29,56–59]. Recognizing periodontitis as both a contributor to and a consequence of circadian misal</w:t>
      </w:r>
      <w:r w:rsidR="00C201C3" w:rsidRPr="007D6BFD">
        <w:rPr>
          <w:rFonts w:ascii="Arial" w:hAnsi="Arial" w:cs="Arial"/>
          <w:color w:val="auto"/>
          <w:sz w:val="20"/>
          <w:szCs w:val="20"/>
        </w:rPr>
        <w:t xml:space="preserve">ignment introduces a novel oral </w:t>
      </w:r>
      <w:r w:rsidRPr="007D6BFD">
        <w:rPr>
          <w:rFonts w:ascii="Arial" w:hAnsi="Arial" w:cs="Arial"/>
          <w:color w:val="auto"/>
          <w:sz w:val="20"/>
          <w:szCs w:val="20"/>
        </w:rPr>
        <w:t>systemic paradigm in which chronic periodontal inflammation functions as a biologically desynchronizing state rather than a purely localized disease [</w:t>
      </w:r>
      <w:r w:rsidR="002D4905" w:rsidRPr="007D6BFD">
        <w:rPr>
          <w:rFonts w:ascii="Arial" w:hAnsi="Arial" w:cs="Arial"/>
          <w:color w:val="auto"/>
          <w:sz w:val="20"/>
          <w:szCs w:val="20"/>
        </w:rPr>
        <w:t>40,7</w:t>
      </w:r>
      <w:r w:rsidRPr="007D6BFD">
        <w:rPr>
          <w:rFonts w:ascii="Arial" w:hAnsi="Arial" w:cs="Arial"/>
          <w:color w:val="auto"/>
          <w:sz w:val="20"/>
          <w:szCs w:val="20"/>
        </w:rPr>
        <w:t>1]. This previously underexplored neuro-immuno-metabolic axis warrants focused experimental and clinical investigation and holds promise for t</w:t>
      </w:r>
      <w:r w:rsidR="006E15E0" w:rsidRPr="007D6BFD">
        <w:rPr>
          <w:rFonts w:ascii="Arial" w:hAnsi="Arial" w:cs="Arial"/>
          <w:color w:val="auto"/>
          <w:sz w:val="20"/>
          <w:szCs w:val="20"/>
        </w:rPr>
        <w:t xml:space="preserve">he development of chronobiology </w:t>
      </w:r>
      <w:r w:rsidRPr="007D6BFD">
        <w:rPr>
          <w:rFonts w:ascii="Arial" w:hAnsi="Arial" w:cs="Arial"/>
          <w:color w:val="auto"/>
          <w:sz w:val="20"/>
          <w:szCs w:val="20"/>
        </w:rPr>
        <w:t>informed diagnostic and therapeutic strategies to manage this highly prevalent chronic inflammatory disease and its systemic sequelae.</w:t>
      </w:r>
    </w:p>
    <w:p w14:paraId="7C56A55F" w14:textId="77777777" w:rsidR="00F97B7C" w:rsidRPr="007D6BFD" w:rsidRDefault="00F97B7C" w:rsidP="007D6BFD">
      <w:pPr>
        <w:pStyle w:val="AcknHead"/>
        <w:spacing w:after="0" w:line="276" w:lineRule="auto"/>
        <w:jc w:val="both"/>
        <w:rPr>
          <w:rFonts w:ascii="Arial" w:hAnsi="Arial" w:cs="Arial"/>
        </w:rPr>
      </w:pPr>
    </w:p>
    <w:p w14:paraId="202A7FE6" w14:textId="77777777" w:rsidR="00C220CE" w:rsidRPr="007D6BFD" w:rsidRDefault="00C220CE" w:rsidP="007D6BFD">
      <w:pPr>
        <w:spacing w:line="276" w:lineRule="auto"/>
        <w:jc w:val="both"/>
        <w:rPr>
          <w:rFonts w:ascii="Arial" w:hAnsi="Arial" w:cs="Arial"/>
          <w:b/>
          <w:bCs/>
        </w:rPr>
      </w:pPr>
      <w:bookmarkStart w:id="0" w:name="_GoBack"/>
      <w:bookmarkEnd w:id="0"/>
      <w:r w:rsidRPr="007D6BFD">
        <w:rPr>
          <w:rFonts w:ascii="Arial" w:hAnsi="Arial" w:cs="Arial"/>
          <w:b/>
        </w:rPr>
        <w:t xml:space="preserve">13. </w:t>
      </w:r>
      <w:r w:rsidRPr="007D6BFD">
        <w:rPr>
          <w:rFonts w:ascii="Arial" w:hAnsi="Arial" w:cs="Arial"/>
          <w:b/>
          <w:bCs/>
        </w:rPr>
        <w:t>CONSENT</w:t>
      </w:r>
    </w:p>
    <w:p w14:paraId="19795048" w14:textId="77777777" w:rsidR="00C220CE" w:rsidRPr="007D6BFD" w:rsidRDefault="00C220CE" w:rsidP="007D6BFD">
      <w:pPr>
        <w:spacing w:line="276" w:lineRule="auto"/>
        <w:jc w:val="both"/>
        <w:rPr>
          <w:rFonts w:ascii="Arial" w:hAnsi="Arial" w:cs="Arial"/>
          <w:sz w:val="20"/>
          <w:szCs w:val="20"/>
        </w:rPr>
      </w:pPr>
      <w:r w:rsidRPr="007D6BFD">
        <w:rPr>
          <w:rFonts w:ascii="Arial" w:hAnsi="Arial" w:cs="Arial"/>
          <w:sz w:val="20"/>
          <w:szCs w:val="20"/>
        </w:rPr>
        <w:t xml:space="preserve">Not Applicable </w:t>
      </w:r>
    </w:p>
    <w:p w14:paraId="5E0996B2" w14:textId="77777777" w:rsidR="00C220CE" w:rsidRPr="007D6BFD" w:rsidRDefault="00C220CE" w:rsidP="007D6BFD">
      <w:pPr>
        <w:spacing w:line="276" w:lineRule="auto"/>
        <w:jc w:val="both"/>
        <w:rPr>
          <w:rFonts w:ascii="Arial" w:hAnsi="Arial" w:cs="Arial"/>
          <w:b/>
          <w:bCs/>
        </w:rPr>
      </w:pPr>
      <w:r w:rsidRPr="007D6BFD">
        <w:rPr>
          <w:rFonts w:ascii="Arial" w:hAnsi="Arial" w:cs="Arial"/>
          <w:b/>
        </w:rPr>
        <w:t xml:space="preserve">14. </w:t>
      </w:r>
      <w:r w:rsidRPr="007D6BFD">
        <w:rPr>
          <w:rFonts w:ascii="Arial" w:hAnsi="Arial" w:cs="Arial"/>
          <w:b/>
          <w:bCs/>
        </w:rPr>
        <w:t>ETHICAL APPROVAL</w:t>
      </w:r>
    </w:p>
    <w:p w14:paraId="30E721E0" w14:textId="77777777" w:rsidR="00C220CE" w:rsidRPr="007D6BFD" w:rsidRDefault="00C220CE" w:rsidP="007D6BFD">
      <w:pPr>
        <w:spacing w:line="276" w:lineRule="auto"/>
        <w:jc w:val="both"/>
        <w:rPr>
          <w:rFonts w:ascii="Arial" w:hAnsi="Arial" w:cs="Arial"/>
          <w:sz w:val="20"/>
          <w:szCs w:val="20"/>
        </w:rPr>
      </w:pPr>
      <w:r w:rsidRPr="007D6BFD">
        <w:rPr>
          <w:rFonts w:ascii="Arial" w:hAnsi="Arial" w:cs="Arial"/>
          <w:sz w:val="20"/>
          <w:szCs w:val="20"/>
        </w:rPr>
        <w:t xml:space="preserve">Not Applicable </w:t>
      </w:r>
    </w:p>
    <w:p w14:paraId="1562E99B" w14:textId="77777777" w:rsidR="00663027" w:rsidRPr="00663027" w:rsidRDefault="00663027" w:rsidP="007D6BFD">
      <w:pPr>
        <w:spacing w:before="100" w:beforeAutospacing="1" w:after="100" w:afterAutospacing="1" w:line="276" w:lineRule="auto"/>
        <w:jc w:val="both"/>
        <w:rPr>
          <w:rFonts w:ascii="Arial" w:hAnsi="Arial" w:cs="Arial"/>
          <w:shd w:val="clear" w:color="auto" w:fill="FFFFFF"/>
        </w:rPr>
      </w:pPr>
      <w:r w:rsidRPr="00663027">
        <w:rPr>
          <w:rFonts w:ascii="Arial" w:eastAsia="Times New Roman" w:hAnsi="Arial" w:cs="Arial"/>
          <w:b/>
          <w:iCs/>
          <w:lang w:eastAsia="en-IN"/>
        </w:rPr>
        <w:t>16.</w:t>
      </w:r>
      <w:r w:rsidRPr="00663027">
        <w:rPr>
          <w:rFonts w:ascii="Arial" w:eastAsia="Times New Roman" w:hAnsi="Arial" w:cs="Arial"/>
          <w:iCs/>
          <w:lang w:eastAsia="en-IN"/>
        </w:rPr>
        <w:t xml:space="preserve"> </w:t>
      </w:r>
      <w:r w:rsidRPr="00663027">
        <w:rPr>
          <w:rFonts w:ascii="Arial" w:hAnsi="Arial" w:cs="Arial"/>
          <w:b/>
          <w:shd w:val="clear" w:color="auto" w:fill="FFFFFF"/>
        </w:rPr>
        <w:t>DISCLAIMER (ARTIFICIAL INTELLIGENCE)</w:t>
      </w:r>
    </w:p>
    <w:p w14:paraId="0EA8ABAA" w14:textId="77777777" w:rsidR="00663027" w:rsidRPr="00663027" w:rsidRDefault="00DE11CE" w:rsidP="00DE11CE">
      <w:pPr>
        <w:spacing w:before="100" w:beforeAutospacing="1" w:after="100" w:afterAutospacing="1" w:line="240" w:lineRule="auto"/>
        <w:jc w:val="both"/>
        <w:rPr>
          <w:rFonts w:ascii="Arial" w:eastAsia="Times New Roman" w:hAnsi="Arial" w:cs="Arial"/>
          <w:sz w:val="20"/>
          <w:szCs w:val="20"/>
          <w:lang w:eastAsia="en-IN"/>
        </w:rPr>
      </w:pPr>
      <w:r>
        <w:rPr>
          <w:rFonts w:ascii="Arial" w:hAnsi="Arial" w:cs="Arial"/>
          <w:sz w:val="20"/>
          <w:szCs w:val="20"/>
          <w:shd w:val="clear" w:color="auto" w:fill="FFFFFF"/>
        </w:rPr>
        <w:t xml:space="preserve">Author hereby </w:t>
      </w:r>
      <w:proofErr w:type="gramStart"/>
      <w:r w:rsidR="00663027" w:rsidRPr="00663027">
        <w:rPr>
          <w:rFonts w:ascii="Arial" w:hAnsi="Arial" w:cs="Arial"/>
          <w:sz w:val="20"/>
          <w:szCs w:val="20"/>
          <w:shd w:val="clear" w:color="auto" w:fill="FFFFFF"/>
        </w:rPr>
        <w:t>declares  that</w:t>
      </w:r>
      <w:proofErr w:type="gramEnd"/>
      <w:r w:rsidR="00663027" w:rsidRPr="00663027">
        <w:rPr>
          <w:rFonts w:ascii="Arial" w:hAnsi="Arial" w:cs="Arial"/>
          <w:sz w:val="20"/>
          <w:szCs w:val="20"/>
          <w:shd w:val="clear" w:color="auto" w:fill="FFFFFF"/>
        </w:rPr>
        <w:t xml:space="preserve">  NO  generative  AI technologies  such  as  Large  Language  Models(</w:t>
      </w:r>
      <w:proofErr w:type="spellStart"/>
      <w:r w:rsidR="00663027" w:rsidRPr="00663027">
        <w:rPr>
          <w:rFonts w:ascii="Arial" w:hAnsi="Arial" w:cs="Arial"/>
          <w:sz w:val="20"/>
          <w:szCs w:val="20"/>
          <w:shd w:val="clear" w:color="auto" w:fill="FFFFFF"/>
        </w:rPr>
        <w:t>ChatGPT</w:t>
      </w:r>
      <w:proofErr w:type="spellEnd"/>
      <w:r w:rsidR="00663027" w:rsidRPr="00663027">
        <w:rPr>
          <w:rFonts w:ascii="Arial" w:hAnsi="Arial" w:cs="Arial"/>
          <w:sz w:val="20"/>
          <w:szCs w:val="20"/>
          <w:shd w:val="clear" w:color="auto" w:fill="FFFFFF"/>
        </w:rPr>
        <w:t xml:space="preserve">,   COPILOT,   etc)   and   text-to-image generators  have  been  used  during  writing  or editing of this manuscript. </w:t>
      </w:r>
    </w:p>
    <w:p w14:paraId="00C824EC" w14:textId="77777777" w:rsidR="00C220CE" w:rsidRPr="007D6BFD" w:rsidRDefault="00F97B7C" w:rsidP="007D6BFD">
      <w:pPr>
        <w:spacing w:line="276" w:lineRule="auto"/>
        <w:jc w:val="both"/>
        <w:rPr>
          <w:rFonts w:ascii="Arial" w:hAnsi="Arial" w:cs="Arial"/>
          <w:b/>
        </w:rPr>
      </w:pPr>
      <w:r w:rsidRPr="007D6BFD">
        <w:rPr>
          <w:rFonts w:ascii="Arial" w:hAnsi="Arial" w:cs="Arial"/>
          <w:b/>
          <w:bCs/>
          <w:sz w:val="24"/>
        </w:rPr>
        <w:t>17</w:t>
      </w:r>
      <w:r w:rsidR="00C220CE" w:rsidRPr="007D6BFD">
        <w:rPr>
          <w:rFonts w:ascii="Arial" w:hAnsi="Arial" w:cs="Arial"/>
          <w:b/>
          <w:bCs/>
          <w:sz w:val="24"/>
        </w:rPr>
        <w:t xml:space="preserve">. </w:t>
      </w:r>
      <w:r w:rsidR="00C220CE" w:rsidRPr="007D6BFD">
        <w:rPr>
          <w:rFonts w:ascii="Arial" w:hAnsi="Arial" w:cs="Arial"/>
          <w:b/>
        </w:rPr>
        <w:t>REFERENCES</w:t>
      </w:r>
    </w:p>
    <w:p w14:paraId="3B96AB37"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Pihlstrom</w:t>
      </w:r>
      <w:proofErr w:type="spellEnd"/>
      <w:r w:rsidRPr="00AF664D">
        <w:rPr>
          <w:rFonts w:ascii="Arial" w:eastAsia="Times New Roman" w:hAnsi="Arial" w:cs="Arial"/>
          <w:sz w:val="18"/>
          <w:szCs w:val="18"/>
        </w:rPr>
        <w:t xml:space="preserve">, B. L., </w:t>
      </w:r>
      <w:proofErr w:type="spellStart"/>
      <w:r w:rsidRPr="00AF664D">
        <w:rPr>
          <w:rFonts w:ascii="Arial" w:eastAsia="Times New Roman" w:hAnsi="Arial" w:cs="Arial"/>
          <w:sz w:val="18"/>
          <w:szCs w:val="18"/>
        </w:rPr>
        <w:t>Michalowicz</w:t>
      </w:r>
      <w:proofErr w:type="spellEnd"/>
      <w:r w:rsidRPr="00AF664D">
        <w:rPr>
          <w:rFonts w:ascii="Arial" w:eastAsia="Times New Roman" w:hAnsi="Arial" w:cs="Arial"/>
          <w:sz w:val="18"/>
          <w:szCs w:val="18"/>
        </w:rPr>
        <w:t>, B. S., &amp; Johnson, N. W. (2005). Periodontal diseases. The Lancet. https://doi.org/10.1016/S0140-6736(05)67728-8</w:t>
      </w:r>
    </w:p>
    <w:p w14:paraId="2A545ED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Kinane, D. F., </w:t>
      </w:r>
      <w:proofErr w:type="spellStart"/>
      <w:r w:rsidRPr="00AF664D">
        <w:rPr>
          <w:rFonts w:ascii="Arial" w:eastAsia="Times New Roman" w:hAnsi="Arial" w:cs="Arial"/>
          <w:sz w:val="18"/>
          <w:szCs w:val="18"/>
        </w:rPr>
        <w:t>Stathopoulou</w:t>
      </w:r>
      <w:proofErr w:type="spellEnd"/>
      <w:r w:rsidRPr="00AF664D">
        <w:rPr>
          <w:rFonts w:ascii="Arial" w:eastAsia="Times New Roman" w:hAnsi="Arial" w:cs="Arial"/>
          <w:sz w:val="18"/>
          <w:szCs w:val="18"/>
        </w:rPr>
        <w:t xml:space="preserve">, P. G., &amp; </w:t>
      </w:r>
      <w:proofErr w:type="spellStart"/>
      <w:r w:rsidRPr="00AF664D">
        <w:rPr>
          <w:rFonts w:ascii="Arial" w:eastAsia="Times New Roman" w:hAnsi="Arial" w:cs="Arial"/>
          <w:sz w:val="18"/>
          <w:szCs w:val="18"/>
        </w:rPr>
        <w:t>Papapanou</w:t>
      </w:r>
      <w:proofErr w:type="spellEnd"/>
      <w:r w:rsidRPr="00AF664D">
        <w:rPr>
          <w:rFonts w:ascii="Arial" w:eastAsia="Times New Roman" w:hAnsi="Arial" w:cs="Arial"/>
          <w:sz w:val="18"/>
          <w:szCs w:val="18"/>
        </w:rPr>
        <w:t>, P. N. (2017). Periodontal diseases. Nature Reviews Disease Primers https://doi.org/10.1038/nrdp.2017.38</w:t>
      </w:r>
    </w:p>
    <w:p w14:paraId="5D36B27E"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Hajishengallis</w:t>
      </w:r>
      <w:proofErr w:type="spellEnd"/>
      <w:r w:rsidRPr="00AF664D">
        <w:rPr>
          <w:rFonts w:ascii="Arial" w:eastAsia="Times New Roman" w:hAnsi="Arial" w:cs="Arial"/>
          <w:sz w:val="18"/>
          <w:szCs w:val="18"/>
        </w:rPr>
        <w:t>, G. (2015). Periodontitis: From microbial immune subversion to systemic inflammation. Nature Reviews Immunology, 15(1), 30–44. https://doi.org/10.1038/nri3785</w:t>
      </w:r>
    </w:p>
    <w:p w14:paraId="12FE6BDC"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Graves, D. T., Li, J., &amp; Cochran, D. L. (2008). </w:t>
      </w:r>
      <w:r w:rsidRPr="00AF664D">
        <w:rPr>
          <w:rFonts w:ascii="Arial" w:eastAsia="Times New Roman" w:hAnsi="Arial" w:cs="Arial"/>
          <w:sz w:val="18"/>
          <w:szCs w:val="18"/>
        </w:rPr>
        <w:t xml:space="preserve">Inflammation and bone loss in periodontal disease. Journal of Periodontology, 79(8 </w:t>
      </w:r>
      <w:proofErr w:type="spellStart"/>
      <w:r w:rsidRPr="00AF664D">
        <w:rPr>
          <w:rFonts w:ascii="Arial" w:eastAsia="Times New Roman" w:hAnsi="Arial" w:cs="Arial"/>
          <w:sz w:val="18"/>
          <w:szCs w:val="18"/>
        </w:rPr>
        <w:t>Suppl</w:t>
      </w:r>
      <w:proofErr w:type="spellEnd"/>
      <w:r w:rsidRPr="00AF664D">
        <w:rPr>
          <w:rFonts w:ascii="Arial" w:eastAsia="Times New Roman" w:hAnsi="Arial" w:cs="Arial"/>
          <w:sz w:val="18"/>
          <w:szCs w:val="18"/>
        </w:rPr>
        <w:t>), 1569-1576. https://doi.org/10.1902/jop.2008.080233</w:t>
      </w:r>
    </w:p>
    <w:p w14:paraId="492AEAB9"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Sorsa</w:t>
      </w:r>
      <w:proofErr w:type="spellEnd"/>
      <w:r w:rsidRPr="00AF664D">
        <w:rPr>
          <w:rFonts w:ascii="Arial" w:eastAsia="Times New Roman" w:hAnsi="Arial" w:cs="Arial"/>
          <w:sz w:val="18"/>
          <w:szCs w:val="18"/>
        </w:rPr>
        <w:t xml:space="preserve">, T., </w:t>
      </w:r>
      <w:proofErr w:type="spellStart"/>
      <w:r w:rsidRPr="00AF664D">
        <w:rPr>
          <w:rFonts w:ascii="Arial" w:eastAsia="Times New Roman" w:hAnsi="Arial" w:cs="Arial"/>
          <w:sz w:val="18"/>
          <w:szCs w:val="18"/>
        </w:rPr>
        <w:t>Tjäderhane</w:t>
      </w:r>
      <w:proofErr w:type="spellEnd"/>
      <w:r w:rsidRPr="00AF664D">
        <w:rPr>
          <w:rFonts w:ascii="Arial" w:eastAsia="Times New Roman" w:hAnsi="Arial" w:cs="Arial"/>
          <w:sz w:val="18"/>
          <w:szCs w:val="18"/>
        </w:rPr>
        <w:t xml:space="preserve">, L., </w:t>
      </w:r>
      <w:proofErr w:type="spellStart"/>
      <w:r w:rsidRPr="00AF664D">
        <w:rPr>
          <w:rFonts w:ascii="Arial" w:eastAsia="Times New Roman" w:hAnsi="Arial" w:cs="Arial"/>
          <w:sz w:val="18"/>
          <w:szCs w:val="18"/>
        </w:rPr>
        <w:t>Konttinen</w:t>
      </w:r>
      <w:proofErr w:type="spellEnd"/>
      <w:r w:rsidRPr="00AF664D">
        <w:rPr>
          <w:rFonts w:ascii="Arial" w:eastAsia="Times New Roman" w:hAnsi="Arial" w:cs="Arial"/>
          <w:sz w:val="18"/>
          <w:szCs w:val="18"/>
        </w:rPr>
        <w:t xml:space="preserve">, Y. T., </w:t>
      </w:r>
      <w:proofErr w:type="spellStart"/>
      <w:r w:rsidRPr="00AF664D">
        <w:rPr>
          <w:rFonts w:ascii="Arial" w:eastAsia="Times New Roman" w:hAnsi="Arial" w:cs="Arial"/>
          <w:sz w:val="18"/>
          <w:szCs w:val="18"/>
        </w:rPr>
        <w:t>Lauhio</w:t>
      </w:r>
      <w:proofErr w:type="spellEnd"/>
      <w:r w:rsidRPr="00AF664D">
        <w:rPr>
          <w:rFonts w:ascii="Arial" w:eastAsia="Times New Roman" w:hAnsi="Arial" w:cs="Arial"/>
          <w:sz w:val="18"/>
          <w:szCs w:val="18"/>
        </w:rPr>
        <w:t xml:space="preserve">, A., </w:t>
      </w:r>
      <w:proofErr w:type="spellStart"/>
      <w:r w:rsidRPr="00AF664D">
        <w:rPr>
          <w:rFonts w:ascii="Arial" w:eastAsia="Times New Roman" w:hAnsi="Arial" w:cs="Arial"/>
          <w:sz w:val="18"/>
          <w:szCs w:val="18"/>
        </w:rPr>
        <w:t>Salo</w:t>
      </w:r>
      <w:proofErr w:type="spellEnd"/>
      <w:r w:rsidRPr="00AF664D">
        <w:rPr>
          <w:rFonts w:ascii="Arial" w:eastAsia="Times New Roman" w:hAnsi="Arial" w:cs="Arial"/>
          <w:sz w:val="18"/>
          <w:szCs w:val="18"/>
        </w:rPr>
        <w:t xml:space="preserve">, T., Lee, H. M., Golub, L. M., Brown, D. L., &amp; </w:t>
      </w:r>
      <w:proofErr w:type="spellStart"/>
      <w:r w:rsidRPr="00AF664D">
        <w:rPr>
          <w:rFonts w:ascii="Arial" w:eastAsia="Times New Roman" w:hAnsi="Arial" w:cs="Arial"/>
          <w:sz w:val="18"/>
          <w:szCs w:val="18"/>
        </w:rPr>
        <w:t>Mäntylä</w:t>
      </w:r>
      <w:proofErr w:type="spellEnd"/>
      <w:r w:rsidRPr="00AF664D">
        <w:rPr>
          <w:rFonts w:ascii="Arial" w:eastAsia="Times New Roman" w:hAnsi="Arial" w:cs="Arial"/>
          <w:sz w:val="18"/>
          <w:szCs w:val="18"/>
        </w:rPr>
        <w:t>, P. (2006). Matrix metalloproteinases: contribution to pathogenesis, diagnosis and treatment of periodontal inflammation. Annals of Medicine, 38(5), 306-321. https://doi.org/10.1080/07853890600800103</w:t>
      </w:r>
    </w:p>
    <w:p w14:paraId="6E63D801"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Tonetti</w:t>
      </w:r>
      <w:proofErr w:type="spellEnd"/>
      <w:r w:rsidRPr="00AF664D">
        <w:rPr>
          <w:rFonts w:ascii="Arial" w:eastAsia="Times New Roman" w:hAnsi="Arial" w:cs="Arial"/>
          <w:sz w:val="18"/>
          <w:szCs w:val="18"/>
        </w:rPr>
        <w:t>, M. S., &amp; Van Dyke, T. E. (2013). Periodontitis and atherosclerotic cardiovascular disease: consensus report of the Joint EFP/AAP Workshop on Periodontitis and Systemic Diseases. Journal of Clinical Periodontology, 40(</w:t>
      </w:r>
      <w:proofErr w:type="spellStart"/>
      <w:r w:rsidRPr="00AF664D">
        <w:rPr>
          <w:rFonts w:ascii="Arial" w:eastAsia="Times New Roman" w:hAnsi="Arial" w:cs="Arial"/>
          <w:sz w:val="18"/>
          <w:szCs w:val="18"/>
        </w:rPr>
        <w:t>Suppl</w:t>
      </w:r>
      <w:proofErr w:type="spellEnd"/>
      <w:r w:rsidRPr="00AF664D">
        <w:rPr>
          <w:rFonts w:ascii="Arial" w:eastAsia="Times New Roman" w:hAnsi="Arial" w:cs="Arial"/>
          <w:sz w:val="18"/>
          <w:szCs w:val="18"/>
        </w:rPr>
        <w:t xml:space="preserve"> 14), S24-S29. https://doi.org/10.1111/jcpe.12089</w:t>
      </w:r>
    </w:p>
    <w:p w14:paraId="67035B4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Chapple, I. L. C., Genco, R., &amp; Working Group 2 of the Joint EFP/AAP Workshop. (2013). Diabetes and periodontal diseases: Consensus report of the Joint EFP/AAP Workshop on Periodontitis and Systemic Diseases. Journal of Clinical Periodontology, 40(</w:t>
      </w:r>
      <w:proofErr w:type="spellStart"/>
      <w:r w:rsidRPr="00AF664D">
        <w:rPr>
          <w:rFonts w:ascii="Arial" w:eastAsia="Times New Roman" w:hAnsi="Arial" w:cs="Arial"/>
          <w:sz w:val="18"/>
          <w:szCs w:val="18"/>
        </w:rPr>
        <w:t>Suppl</w:t>
      </w:r>
      <w:proofErr w:type="spellEnd"/>
      <w:r w:rsidRPr="00AF664D">
        <w:rPr>
          <w:rFonts w:ascii="Arial" w:eastAsia="Times New Roman" w:hAnsi="Arial" w:cs="Arial"/>
          <w:sz w:val="18"/>
          <w:szCs w:val="18"/>
        </w:rPr>
        <w:t xml:space="preserve"> 14), S106-S112. https://doi.org/10.1111/jcpe.12077</w:t>
      </w:r>
    </w:p>
    <w:p w14:paraId="4C37474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Takahashi, J. S. (2017). Transcriptional architecture of the mammalian circadian clock. Nature Reviews Genetics https://doi.org/10.1038/nrg.2016.150</w:t>
      </w:r>
    </w:p>
    <w:p w14:paraId="763CFE3E" w14:textId="77777777" w:rsidR="007150E4" w:rsidRPr="00AF664D" w:rsidRDefault="007150E4" w:rsidP="00AF664D">
      <w:pPr>
        <w:pStyle w:val="ListParagraph"/>
        <w:numPr>
          <w:ilvl w:val="0"/>
          <w:numId w:val="22"/>
        </w:numPr>
        <w:rPr>
          <w:rFonts w:ascii="Arial" w:eastAsia="Times New Roman" w:hAnsi="Arial" w:cs="Arial"/>
          <w:sz w:val="18"/>
          <w:szCs w:val="18"/>
          <w:lang w:val="fr-FR"/>
        </w:rPr>
      </w:pPr>
      <w:r w:rsidRPr="00AF664D">
        <w:rPr>
          <w:rFonts w:ascii="Arial" w:eastAsia="Times New Roman" w:hAnsi="Arial" w:cs="Arial"/>
          <w:sz w:val="18"/>
          <w:szCs w:val="18"/>
        </w:rPr>
        <w:t xml:space="preserve">Panda, S. (2016). Circadian physiology of metabolism. </w:t>
      </w:r>
      <w:r w:rsidRPr="00AF664D">
        <w:rPr>
          <w:rFonts w:ascii="Arial" w:eastAsia="Times New Roman" w:hAnsi="Arial" w:cs="Arial"/>
          <w:sz w:val="18"/>
          <w:szCs w:val="18"/>
          <w:lang w:val="fr-FR"/>
        </w:rPr>
        <w:t>Science, 354(6315), 1008-1015. https://doi.org/10.1126/science.aah4967</w:t>
      </w:r>
    </w:p>
    <w:p w14:paraId="14C12E7B"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Scheiermann</w:t>
      </w:r>
      <w:proofErr w:type="spellEnd"/>
      <w:r w:rsidRPr="00AF664D">
        <w:rPr>
          <w:rFonts w:ascii="Arial" w:eastAsia="Times New Roman" w:hAnsi="Arial" w:cs="Arial"/>
          <w:sz w:val="18"/>
          <w:szCs w:val="18"/>
        </w:rPr>
        <w:t>, C., Gibbs, J., Ince, L., &amp; Loudon, A. (2018). Clocking in to immunity. Nature Reviews Immunology, 18(7), 423-437. https://doi.org/10.1038/s41577-018-0008-4</w:t>
      </w:r>
    </w:p>
    <w:p w14:paraId="2095D29D"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Curtis, A. M., Bellet, M. M., </w:t>
      </w:r>
      <w:proofErr w:type="spellStart"/>
      <w:r w:rsidRPr="00AF664D">
        <w:rPr>
          <w:rFonts w:ascii="Arial" w:eastAsia="Times New Roman" w:hAnsi="Arial" w:cs="Arial"/>
          <w:sz w:val="18"/>
          <w:szCs w:val="18"/>
          <w:lang w:val="fr-FR"/>
        </w:rPr>
        <w:t>Sassone-Corsi</w:t>
      </w:r>
      <w:proofErr w:type="spellEnd"/>
      <w:r w:rsidRPr="00AF664D">
        <w:rPr>
          <w:rFonts w:ascii="Arial" w:eastAsia="Times New Roman" w:hAnsi="Arial" w:cs="Arial"/>
          <w:sz w:val="18"/>
          <w:szCs w:val="18"/>
          <w:lang w:val="fr-FR"/>
        </w:rPr>
        <w:t xml:space="preserve">, P., &amp; O'Neill, L. A. J. (2014). </w:t>
      </w:r>
      <w:r w:rsidRPr="00AF664D">
        <w:rPr>
          <w:rFonts w:ascii="Arial" w:eastAsia="Times New Roman" w:hAnsi="Arial" w:cs="Arial"/>
          <w:sz w:val="18"/>
          <w:szCs w:val="18"/>
        </w:rPr>
        <w:t>Circadian clock proteins and immunity. Immunity, 40(2), 178-186. https://doi.org/10.1016/j.immuni.2014.02.002</w:t>
      </w:r>
    </w:p>
    <w:p w14:paraId="0543FAF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Spengler, M. L., </w:t>
      </w:r>
      <w:proofErr w:type="spellStart"/>
      <w:r w:rsidRPr="00AF664D">
        <w:rPr>
          <w:rFonts w:ascii="Arial" w:eastAsia="Times New Roman" w:hAnsi="Arial" w:cs="Arial"/>
          <w:sz w:val="18"/>
          <w:szCs w:val="18"/>
        </w:rPr>
        <w:t>Kuropatwinski</w:t>
      </w:r>
      <w:proofErr w:type="spellEnd"/>
      <w:r w:rsidRPr="00AF664D">
        <w:rPr>
          <w:rFonts w:ascii="Arial" w:eastAsia="Times New Roman" w:hAnsi="Arial" w:cs="Arial"/>
          <w:sz w:val="18"/>
          <w:szCs w:val="18"/>
        </w:rPr>
        <w:t xml:space="preserve">, K. K., Comas, M., </w:t>
      </w:r>
      <w:proofErr w:type="spellStart"/>
      <w:r w:rsidRPr="00AF664D">
        <w:rPr>
          <w:rFonts w:ascii="Arial" w:eastAsia="Times New Roman" w:hAnsi="Arial" w:cs="Arial"/>
          <w:sz w:val="18"/>
          <w:szCs w:val="18"/>
        </w:rPr>
        <w:t>Gasparian</w:t>
      </w:r>
      <w:proofErr w:type="spellEnd"/>
      <w:r w:rsidRPr="00AF664D">
        <w:rPr>
          <w:rFonts w:ascii="Arial" w:eastAsia="Times New Roman" w:hAnsi="Arial" w:cs="Arial"/>
          <w:sz w:val="18"/>
          <w:szCs w:val="18"/>
        </w:rPr>
        <w:t xml:space="preserve">, A. V., </w:t>
      </w:r>
      <w:proofErr w:type="spellStart"/>
      <w:r w:rsidRPr="00AF664D">
        <w:rPr>
          <w:rFonts w:ascii="Arial" w:eastAsia="Times New Roman" w:hAnsi="Arial" w:cs="Arial"/>
          <w:sz w:val="18"/>
          <w:szCs w:val="18"/>
        </w:rPr>
        <w:t>Fedtsova</w:t>
      </w:r>
      <w:proofErr w:type="spellEnd"/>
      <w:r w:rsidRPr="00AF664D">
        <w:rPr>
          <w:rFonts w:ascii="Arial" w:eastAsia="Times New Roman" w:hAnsi="Arial" w:cs="Arial"/>
          <w:sz w:val="18"/>
          <w:szCs w:val="18"/>
        </w:rPr>
        <w:t xml:space="preserve">, N., Gleiberman, A. S., Gitlin, I. I., </w:t>
      </w:r>
      <w:proofErr w:type="spellStart"/>
      <w:r w:rsidRPr="00AF664D">
        <w:rPr>
          <w:rFonts w:ascii="Arial" w:eastAsia="Times New Roman" w:hAnsi="Arial" w:cs="Arial"/>
          <w:sz w:val="18"/>
          <w:szCs w:val="18"/>
        </w:rPr>
        <w:t>Artemicheva</w:t>
      </w:r>
      <w:proofErr w:type="spellEnd"/>
      <w:r w:rsidRPr="00AF664D">
        <w:rPr>
          <w:rFonts w:ascii="Arial" w:eastAsia="Times New Roman" w:hAnsi="Arial" w:cs="Arial"/>
          <w:sz w:val="18"/>
          <w:szCs w:val="18"/>
        </w:rPr>
        <w:t xml:space="preserve">, N. M., Deluca, K. A., Gudkov, A. V., &amp; </w:t>
      </w:r>
      <w:proofErr w:type="spellStart"/>
      <w:r w:rsidRPr="00AF664D">
        <w:rPr>
          <w:rFonts w:ascii="Arial" w:eastAsia="Times New Roman" w:hAnsi="Arial" w:cs="Arial"/>
          <w:sz w:val="18"/>
          <w:szCs w:val="18"/>
        </w:rPr>
        <w:t>Antoch</w:t>
      </w:r>
      <w:proofErr w:type="spellEnd"/>
      <w:r w:rsidRPr="00AF664D">
        <w:rPr>
          <w:rFonts w:ascii="Arial" w:eastAsia="Times New Roman" w:hAnsi="Arial" w:cs="Arial"/>
          <w:sz w:val="18"/>
          <w:szCs w:val="18"/>
        </w:rPr>
        <w:t>, M. P. (2012). Core circadian protein CLOCK is a positive regulator of NF-</w:t>
      </w:r>
      <w:proofErr w:type="spellStart"/>
      <w:r w:rsidRPr="00AF664D">
        <w:rPr>
          <w:rFonts w:ascii="Arial" w:eastAsia="Times New Roman" w:hAnsi="Arial" w:cs="Arial"/>
          <w:sz w:val="18"/>
          <w:szCs w:val="18"/>
        </w:rPr>
        <w:t>κB</w:t>
      </w:r>
      <w:proofErr w:type="spellEnd"/>
      <w:r w:rsidRPr="00AF664D">
        <w:rPr>
          <w:rFonts w:ascii="Arial" w:eastAsia="Times New Roman" w:hAnsi="Arial" w:cs="Arial"/>
          <w:sz w:val="18"/>
          <w:szCs w:val="18"/>
        </w:rPr>
        <w:t xml:space="preserve">-mediated transcription. Proceedings of the National </w:t>
      </w:r>
      <w:r w:rsidRPr="00AF664D">
        <w:rPr>
          <w:rFonts w:ascii="Arial" w:eastAsia="Times New Roman" w:hAnsi="Arial" w:cs="Arial"/>
          <w:sz w:val="18"/>
          <w:szCs w:val="18"/>
        </w:rPr>
        <w:lastRenderedPageBreak/>
        <w:t>Academy of Sciences of the United States of America, 109(37), E2457–E2465. https://doi.org/10.1073/pnas.1206274109</w:t>
      </w:r>
    </w:p>
    <w:p w14:paraId="67141799"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Hong, H. K., Maury, E., Ramsey, K. M., </w:t>
      </w:r>
      <w:proofErr w:type="spellStart"/>
      <w:r w:rsidRPr="00AF664D">
        <w:rPr>
          <w:rFonts w:ascii="Arial" w:eastAsia="Times New Roman" w:hAnsi="Arial" w:cs="Arial"/>
          <w:sz w:val="18"/>
          <w:szCs w:val="18"/>
        </w:rPr>
        <w:t>Perelis</w:t>
      </w:r>
      <w:proofErr w:type="spellEnd"/>
      <w:r w:rsidRPr="00AF664D">
        <w:rPr>
          <w:rFonts w:ascii="Arial" w:eastAsia="Times New Roman" w:hAnsi="Arial" w:cs="Arial"/>
          <w:sz w:val="18"/>
          <w:szCs w:val="18"/>
        </w:rPr>
        <w:t xml:space="preserve">, M., </w:t>
      </w:r>
      <w:proofErr w:type="spellStart"/>
      <w:r w:rsidRPr="00AF664D">
        <w:rPr>
          <w:rFonts w:ascii="Arial" w:eastAsia="Times New Roman" w:hAnsi="Arial" w:cs="Arial"/>
          <w:sz w:val="18"/>
          <w:szCs w:val="18"/>
        </w:rPr>
        <w:t>Marcheva</w:t>
      </w:r>
      <w:proofErr w:type="spellEnd"/>
      <w:r w:rsidRPr="00AF664D">
        <w:rPr>
          <w:rFonts w:ascii="Arial" w:eastAsia="Times New Roman" w:hAnsi="Arial" w:cs="Arial"/>
          <w:sz w:val="18"/>
          <w:szCs w:val="18"/>
        </w:rPr>
        <w:t xml:space="preserve">, B., </w:t>
      </w:r>
      <w:proofErr w:type="spellStart"/>
      <w:r w:rsidRPr="00AF664D">
        <w:rPr>
          <w:rFonts w:ascii="Arial" w:eastAsia="Times New Roman" w:hAnsi="Arial" w:cs="Arial"/>
          <w:sz w:val="18"/>
          <w:szCs w:val="18"/>
        </w:rPr>
        <w:t>Omura</w:t>
      </w:r>
      <w:proofErr w:type="spellEnd"/>
      <w:r w:rsidRPr="00AF664D">
        <w:rPr>
          <w:rFonts w:ascii="Arial" w:eastAsia="Times New Roman" w:hAnsi="Arial" w:cs="Arial"/>
          <w:sz w:val="18"/>
          <w:szCs w:val="18"/>
        </w:rPr>
        <w:t xml:space="preserve">, C., Kobayashi, Y., Guttridge, D. C., </w:t>
      </w:r>
      <w:proofErr w:type="spellStart"/>
      <w:r w:rsidRPr="00AF664D">
        <w:rPr>
          <w:rFonts w:ascii="Arial" w:eastAsia="Times New Roman" w:hAnsi="Arial" w:cs="Arial"/>
          <w:sz w:val="18"/>
          <w:szCs w:val="18"/>
        </w:rPr>
        <w:t>Barish</w:t>
      </w:r>
      <w:proofErr w:type="spellEnd"/>
      <w:r w:rsidRPr="00AF664D">
        <w:rPr>
          <w:rFonts w:ascii="Arial" w:eastAsia="Times New Roman" w:hAnsi="Arial" w:cs="Arial"/>
          <w:sz w:val="18"/>
          <w:szCs w:val="18"/>
        </w:rPr>
        <w:t>, G. D., &amp; Bass, J. (2018). Requirement for NF-</w:t>
      </w:r>
      <w:proofErr w:type="spellStart"/>
      <w:r w:rsidRPr="00AF664D">
        <w:rPr>
          <w:rFonts w:ascii="Arial" w:eastAsia="Times New Roman" w:hAnsi="Arial" w:cs="Arial"/>
          <w:sz w:val="18"/>
          <w:szCs w:val="18"/>
        </w:rPr>
        <w:t>κB</w:t>
      </w:r>
      <w:proofErr w:type="spellEnd"/>
      <w:r w:rsidRPr="00AF664D">
        <w:rPr>
          <w:rFonts w:ascii="Arial" w:eastAsia="Times New Roman" w:hAnsi="Arial" w:cs="Arial"/>
          <w:sz w:val="18"/>
          <w:szCs w:val="18"/>
        </w:rPr>
        <w:t xml:space="preserve"> in maintenance of molecular and </w:t>
      </w:r>
      <w:proofErr w:type="spellStart"/>
      <w:r w:rsidRPr="00AF664D">
        <w:rPr>
          <w:rFonts w:ascii="Arial" w:eastAsia="Times New Roman" w:hAnsi="Arial" w:cs="Arial"/>
          <w:sz w:val="18"/>
          <w:szCs w:val="18"/>
        </w:rPr>
        <w:t>behavioral</w:t>
      </w:r>
      <w:proofErr w:type="spellEnd"/>
      <w:r w:rsidRPr="00AF664D">
        <w:rPr>
          <w:rFonts w:ascii="Arial" w:eastAsia="Times New Roman" w:hAnsi="Arial" w:cs="Arial"/>
          <w:sz w:val="18"/>
          <w:szCs w:val="18"/>
        </w:rPr>
        <w:t xml:space="preserve"> circadian rhythms in mice. Genes &amp; Development, 32(21-22), 1367-1379. https://doi.org/10.1101/gad.319228.118</w:t>
      </w:r>
    </w:p>
    <w:p w14:paraId="738733B4"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Masri</w:t>
      </w:r>
      <w:proofErr w:type="spellEnd"/>
      <w:r w:rsidRPr="00AF664D">
        <w:rPr>
          <w:rFonts w:ascii="Arial" w:eastAsia="Times New Roman" w:hAnsi="Arial" w:cs="Arial"/>
          <w:sz w:val="18"/>
          <w:szCs w:val="18"/>
        </w:rPr>
        <w:t xml:space="preserve">, S., &amp; </w:t>
      </w:r>
      <w:proofErr w:type="spellStart"/>
      <w:r w:rsidRPr="00AF664D">
        <w:rPr>
          <w:rFonts w:ascii="Arial" w:eastAsia="Times New Roman" w:hAnsi="Arial" w:cs="Arial"/>
          <w:sz w:val="18"/>
          <w:szCs w:val="18"/>
        </w:rPr>
        <w:t>Sassone-Corsi</w:t>
      </w:r>
      <w:proofErr w:type="spellEnd"/>
      <w:r w:rsidRPr="00AF664D">
        <w:rPr>
          <w:rFonts w:ascii="Arial" w:eastAsia="Times New Roman" w:hAnsi="Arial" w:cs="Arial"/>
          <w:sz w:val="18"/>
          <w:szCs w:val="18"/>
        </w:rPr>
        <w:t>, P. (2018). The emerging link between cancer, metabolism, and circadian rhythms. Nature Medicine, 24(12), 1795–1803. https://doi.org/10.1038/s41591-018-0271-8</w:t>
      </w:r>
    </w:p>
    <w:p w14:paraId="4B4FA1E4"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Lightman, S. L., </w:t>
      </w:r>
      <w:proofErr w:type="spellStart"/>
      <w:r w:rsidRPr="00AF664D">
        <w:rPr>
          <w:rFonts w:ascii="Arial" w:eastAsia="Times New Roman" w:hAnsi="Arial" w:cs="Arial"/>
          <w:sz w:val="18"/>
          <w:szCs w:val="18"/>
        </w:rPr>
        <w:t>Birnie</w:t>
      </w:r>
      <w:proofErr w:type="spellEnd"/>
      <w:r w:rsidRPr="00AF664D">
        <w:rPr>
          <w:rFonts w:ascii="Arial" w:eastAsia="Times New Roman" w:hAnsi="Arial" w:cs="Arial"/>
          <w:sz w:val="18"/>
          <w:szCs w:val="18"/>
        </w:rPr>
        <w:t>, M. T., &amp; Conway-Campbell, B. L. (2020). Dynamics of ACTH and Cortisol Secretion and Implications for Disease. Endocrine Reviews. https://doi.org/10.1210/endrev/bnaa002</w:t>
      </w:r>
    </w:p>
    <w:p w14:paraId="2764B16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pt-BR"/>
        </w:rPr>
        <w:t xml:space="preserve">Reiter, R. J., Tan, D. X., Rosales-Corral, S., Jou, M. J., Galano, A., &amp; Xu, B. (2017). </w:t>
      </w:r>
      <w:r w:rsidRPr="00AF664D">
        <w:rPr>
          <w:rFonts w:ascii="Arial" w:eastAsia="Times New Roman" w:hAnsi="Arial" w:cs="Arial"/>
          <w:sz w:val="18"/>
          <w:szCs w:val="18"/>
        </w:rPr>
        <w:t>Melatonin as a mitochondria-targeted antioxidant: one of evolution's best ideas. Cellular and Molecular Life Sciences. https://doi.org/10.1007/s00018-017-2609-7</w:t>
      </w:r>
    </w:p>
    <w:p w14:paraId="53B02675"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Permuy</w:t>
      </w:r>
      <w:proofErr w:type="spellEnd"/>
      <w:r w:rsidRPr="00AF664D">
        <w:rPr>
          <w:rFonts w:ascii="Arial" w:eastAsia="Times New Roman" w:hAnsi="Arial" w:cs="Arial"/>
          <w:sz w:val="18"/>
          <w:szCs w:val="18"/>
        </w:rPr>
        <w:t>, M., López-Peña, M., González-</w:t>
      </w:r>
      <w:proofErr w:type="spellStart"/>
      <w:r w:rsidRPr="00AF664D">
        <w:rPr>
          <w:rFonts w:ascii="Arial" w:eastAsia="Times New Roman" w:hAnsi="Arial" w:cs="Arial"/>
          <w:sz w:val="18"/>
          <w:szCs w:val="18"/>
        </w:rPr>
        <w:t>Cantalapiedra</w:t>
      </w:r>
      <w:proofErr w:type="spellEnd"/>
      <w:r w:rsidRPr="00AF664D">
        <w:rPr>
          <w:rFonts w:ascii="Arial" w:eastAsia="Times New Roman" w:hAnsi="Arial" w:cs="Arial"/>
          <w:sz w:val="18"/>
          <w:szCs w:val="18"/>
        </w:rPr>
        <w:t>, A., &amp; Muñoz, F. (2017). Melatonin: A Review of Its Potential Functions and Effects on Dental Diseases. International Journal of Molecular Sciences, 18(4), 865. https://doi.org/10.3390/ijms18040865</w:t>
      </w:r>
    </w:p>
    <w:p w14:paraId="29FAE478"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Bullon</w:t>
      </w:r>
      <w:proofErr w:type="spellEnd"/>
      <w:r w:rsidRPr="00AF664D">
        <w:rPr>
          <w:rFonts w:ascii="Arial" w:eastAsia="Times New Roman" w:hAnsi="Arial" w:cs="Arial"/>
          <w:sz w:val="18"/>
          <w:szCs w:val="18"/>
        </w:rPr>
        <w:t xml:space="preserve">, P., </w:t>
      </w:r>
      <w:proofErr w:type="spellStart"/>
      <w:r w:rsidRPr="00AF664D">
        <w:rPr>
          <w:rFonts w:ascii="Arial" w:eastAsia="Times New Roman" w:hAnsi="Arial" w:cs="Arial"/>
          <w:sz w:val="18"/>
          <w:szCs w:val="18"/>
        </w:rPr>
        <w:t>Giampieri</w:t>
      </w:r>
      <w:proofErr w:type="spellEnd"/>
      <w:r w:rsidRPr="00AF664D">
        <w:rPr>
          <w:rFonts w:ascii="Arial" w:eastAsia="Times New Roman" w:hAnsi="Arial" w:cs="Arial"/>
          <w:sz w:val="18"/>
          <w:szCs w:val="18"/>
        </w:rPr>
        <w:t xml:space="preserve">, F., </w:t>
      </w:r>
      <w:proofErr w:type="spellStart"/>
      <w:r w:rsidRPr="00AF664D">
        <w:rPr>
          <w:rFonts w:ascii="Arial" w:eastAsia="Times New Roman" w:hAnsi="Arial" w:cs="Arial"/>
          <w:sz w:val="18"/>
          <w:szCs w:val="18"/>
        </w:rPr>
        <w:t>Bullon</w:t>
      </w:r>
      <w:proofErr w:type="spellEnd"/>
      <w:r w:rsidRPr="00AF664D">
        <w:rPr>
          <w:rFonts w:ascii="Arial" w:eastAsia="Times New Roman" w:hAnsi="Arial" w:cs="Arial"/>
          <w:sz w:val="18"/>
          <w:szCs w:val="18"/>
        </w:rPr>
        <w:t xml:space="preserve">, B., &amp; </w:t>
      </w:r>
      <w:proofErr w:type="spellStart"/>
      <w:r w:rsidRPr="00AF664D">
        <w:rPr>
          <w:rFonts w:ascii="Arial" w:eastAsia="Times New Roman" w:hAnsi="Arial" w:cs="Arial"/>
          <w:sz w:val="18"/>
          <w:szCs w:val="18"/>
        </w:rPr>
        <w:t>Battino</w:t>
      </w:r>
      <w:proofErr w:type="spellEnd"/>
      <w:r w:rsidRPr="00AF664D">
        <w:rPr>
          <w:rFonts w:ascii="Arial" w:eastAsia="Times New Roman" w:hAnsi="Arial" w:cs="Arial"/>
          <w:sz w:val="18"/>
          <w:szCs w:val="18"/>
        </w:rPr>
        <w:t>, M. (2025). The Role of Oxidative Stress in Periodontitis. Journal of Periodontal Research. https://doi.org/10.1111/jre.70016</w:t>
      </w:r>
    </w:p>
    <w:p w14:paraId="543A4021"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Wright, K. P., Jr., Bogan, R. K., &amp; Wyatt, J. K. (2013). Shift work and the assessment and management of shift work disorder (SWD). Sleep Medicine Reviews https://doi.org/10.1016/j.smrv.2012.02.002</w:t>
      </w:r>
    </w:p>
    <w:p w14:paraId="65FF3B3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Han, D. H., </w:t>
      </w:r>
      <w:proofErr w:type="spellStart"/>
      <w:r w:rsidRPr="00AF664D">
        <w:rPr>
          <w:rFonts w:ascii="Arial" w:eastAsia="Times New Roman" w:hAnsi="Arial" w:cs="Arial"/>
          <w:sz w:val="18"/>
          <w:szCs w:val="18"/>
        </w:rPr>
        <w:t>Khang</w:t>
      </w:r>
      <w:proofErr w:type="spellEnd"/>
      <w:r w:rsidRPr="00AF664D">
        <w:rPr>
          <w:rFonts w:ascii="Arial" w:eastAsia="Times New Roman" w:hAnsi="Arial" w:cs="Arial"/>
          <w:sz w:val="18"/>
          <w:szCs w:val="18"/>
        </w:rPr>
        <w:t>, Y. H., Jung-Choi, K., &amp; Lim, S. (2013). Association between shift work and periodontal health in a representative sample of an Asian population. Scandinavian Journal of Work, Environment &amp; Health, 39(6), 559-567. https://doi.org/10.5271/sjweh.3370</w:t>
      </w:r>
    </w:p>
    <w:p w14:paraId="3D49CA27"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Serhan</w:t>
      </w:r>
      <w:proofErr w:type="spellEnd"/>
      <w:r w:rsidRPr="00AF664D">
        <w:rPr>
          <w:rFonts w:ascii="Arial" w:eastAsia="Times New Roman" w:hAnsi="Arial" w:cs="Arial"/>
          <w:sz w:val="18"/>
          <w:szCs w:val="18"/>
        </w:rPr>
        <w:t>, C. N. (2014). Pro-resolving lipid mediators are leads for resolution physiology. Nature. https://doi.org/10.1038/nature13479</w:t>
      </w:r>
    </w:p>
    <w:p w14:paraId="7970A01B"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Bazyar</w:t>
      </w:r>
      <w:proofErr w:type="spellEnd"/>
      <w:r w:rsidRPr="00AF664D">
        <w:rPr>
          <w:rFonts w:ascii="Arial" w:eastAsia="Times New Roman" w:hAnsi="Arial" w:cs="Arial"/>
          <w:sz w:val="18"/>
          <w:szCs w:val="18"/>
        </w:rPr>
        <w:t xml:space="preserve">, H., </w:t>
      </w:r>
      <w:proofErr w:type="spellStart"/>
      <w:r w:rsidRPr="00AF664D">
        <w:rPr>
          <w:rFonts w:ascii="Arial" w:eastAsia="Times New Roman" w:hAnsi="Arial" w:cs="Arial"/>
          <w:sz w:val="18"/>
          <w:szCs w:val="18"/>
        </w:rPr>
        <w:t>Zare</w:t>
      </w:r>
      <w:proofErr w:type="spellEnd"/>
      <w:r w:rsidRPr="00AF664D">
        <w:rPr>
          <w:rFonts w:ascii="Arial" w:eastAsia="Times New Roman" w:hAnsi="Arial" w:cs="Arial"/>
          <w:sz w:val="18"/>
          <w:szCs w:val="18"/>
        </w:rPr>
        <w:t xml:space="preserve"> Javid, A., </w:t>
      </w:r>
      <w:proofErr w:type="spellStart"/>
      <w:r w:rsidRPr="00AF664D">
        <w:rPr>
          <w:rFonts w:ascii="Arial" w:eastAsia="Times New Roman" w:hAnsi="Arial" w:cs="Arial"/>
          <w:sz w:val="18"/>
          <w:szCs w:val="18"/>
        </w:rPr>
        <w:t>Zakerkish</w:t>
      </w:r>
      <w:proofErr w:type="spellEnd"/>
      <w:r w:rsidRPr="00AF664D">
        <w:rPr>
          <w:rFonts w:ascii="Arial" w:eastAsia="Times New Roman" w:hAnsi="Arial" w:cs="Arial"/>
          <w:sz w:val="18"/>
          <w:szCs w:val="18"/>
        </w:rPr>
        <w:t xml:space="preserve">, M., </w:t>
      </w:r>
      <w:proofErr w:type="spellStart"/>
      <w:r w:rsidRPr="00AF664D">
        <w:rPr>
          <w:rFonts w:ascii="Arial" w:eastAsia="Times New Roman" w:hAnsi="Arial" w:cs="Arial"/>
          <w:sz w:val="18"/>
          <w:szCs w:val="18"/>
        </w:rPr>
        <w:t>Yousefimanesh</w:t>
      </w:r>
      <w:proofErr w:type="spellEnd"/>
      <w:r w:rsidRPr="00AF664D">
        <w:rPr>
          <w:rFonts w:ascii="Arial" w:eastAsia="Times New Roman" w:hAnsi="Arial" w:cs="Arial"/>
          <w:sz w:val="18"/>
          <w:szCs w:val="18"/>
        </w:rPr>
        <w:t xml:space="preserve">, H. A., &amp; </w:t>
      </w:r>
      <w:proofErr w:type="spellStart"/>
      <w:r w:rsidRPr="00AF664D">
        <w:rPr>
          <w:rFonts w:ascii="Arial" w:eastAsia="Times New Roman" w:hAnsi="Arial" w:cs="Arial"/>
          <w:sz w:val="18"/>
          <w:szCs w:val="18"/>
        </w:rPr>
        <w:t>Haghighi</w:t>
      </w:r>
      <w:proofErr w:type="spellEnd"/>
      <w:r w:rsidRPr="00AF664D">
        <w:rPr>
          <w:rFonts w:ascii="Arial" w:eastAsia="Times New Roman" w:hAnsi="Arial" w:cs="Arial"/>
          <w:sz w:val="18"/>
          <w:szCs w:val="18"/>
        </w:rPr>
        <w:t>-Zadeh, M. H. (2022). Effects of melatonin supplementation in patients with type 2 diabetes mellitus and chronic periodontitis under nonsurgical periodontal therapy: A double-blind randomized controlled trial. Journal of Research in Medical Sciences: The Official Journal of Isfahan University of Medical Sciences, 27, 52. https://doi.org/10.4103/jrms.JRMS_927_19</w:t>
      </w:r>
    </w:p>
    <w:p w14:paraId="03943954"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Gajendrareddy</w:t>
      </w:r>
      <w:proofErr w:type="spellEnd"/>
      <w:r w:rsidRPr="00AF664D">
        <w:rPr>
          <w:rFonts w:ascii="Arial" w:eastAsia="Times New Roman" w:hAnsi="Arial" w:cs="Arial"/>
          <w:sz w:val="18"/>
          <w:szCs w:val="18"/>
        </w:rPr>
        <w:t xml:space="preserve">, P. K., Sen, C. K., Horan, M. P., &amp; </w:t>
      </w:r>
      <w:proofErr w:type="spellStart"/>
      <w:r w:rsidRPr="00AF664D">
        <w:rPr>
          <w:rFonts w:ascii="Arial" w:eastAsia="Times New Roman" w:hAnsi="Arial" w:cs="Arial"/>
          <w:sz w:val="18"/>
          <w:szCs w:val="18"/>
        </w:rPr>
        <w:t>Marucha</w:t>
      </w:r>
      <w:proofErr w:type="spellEnd"/>
      <w:r w:rsidRPr="00AF664D">
        <w:rPr>
          <w:rFonts w:ascii="Arial" w:eastAsia="Times New Roman" w:hAnsi="Arial" w:cs="Arial"/>
          <w:sz w:val="18"/>
          <w:szCs w:val="18"/>
        </w:rPr>
        <w:t xml:space="preserve">, P. T. (2005). Hyperbaric oxygen therapy ameliorates stress-impaired dermal wound healing. Brain, </w:t>
      </w:r>
      <w:proofErr w:type="spellStart"/>
      <w:r w:rsidRPr="00AF664D">
        <w:rPr>
          <w:rFonts w:ascii="Arial" w:eastAsia="Times New Roman" w:hAnsi="Arial" w:cs="Arial"/>
          <w:sz w:val="18"/>
          <w:szCs w:val="18"/>
        </w:rPr>
        <w:t>Behavior</w:t>
      </w:r>
      <w:proofErr w:type="spellEnd"/>
      <w:r w:rsidRPr="00AF664D">
        <w:rPr>
          <w:rFonts w:ascii="Arial" w:eastAsia="Times New Roman" w:hAnsi="Arial" w:cs="Arial"/>
          <w:sz w:val="18"/>
          <w:szCs w:val="18"/>
        </w:rPr>
        <w:t>, and Immunity, 19(3), 217–222. https://doi.org/10.1016/j.bbi.2004.09.003</w:t>
      </w:r>
    </w:p>
    <w:p w14:paraId="0669E0F1"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Fu, L., Patel, M. S., Bradley, A., Wagner, E. F., &amp; </w:t>
      </w:r>
      <w:proofErr w:type="spellStart"/>
      <w:r w:rsidRPr="00AF664D">
        <w:rPr>
          <w:rFonts w:ascii="Arial" w:eastAsia="Times New Roman" w:hAnsi="Arial" w:cs="Arial"/>
          <w:sz w:val="18"/>
          <w:szCs w:val="18"/>
        </w:rPr>
        <w:t>Karsenty</w:t>
      </w:r>
      <w:proofErr w:type="spellEnd"/>
      <w:r w:rsidRPr="00AF664D">
        <w:rPr>
          <w:rFonts w:ascii="Arial" w:eastAsia="Times New Roman" w:hAnsi="Arial" w:cs="Arial"/>
          <w:sz w:val="18"/>
          <w:szCs w:val="18"/>
        </w:rPr>
        <w:t>, G. (2005). The molecular clock mediates leptin-regulated bone formation. Cell, 122(5), 803-815. https://doi.org/10.1016/j.cell.2005.06.028</w:t>
      </w:r>
    </w:p>
    <w:p w14:paraId="3AE0E9B3"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Samsa</w:t>
      </w:r>
      <w:proofErr w:type="spellEnd"/>
      <w:r w:rsidRPr="00AF664D">
        <w:rPr>
          <w:rFonts w:ascii="Arial" w:eastAsia="Times New Roman" w:hAnsi="Arial" w:cs="Arial"/>
          <w:sz w:val="18"/>
          <w:szCs w:val="18"/>
        </w:rPr>
        <w:t xml:space="preserve">, W. E., </w:t>
      </w:r>
      <w:proofErr w:type="spellStart"/>
      <w:r w:rsidRPr="00AF664D">
        <w:rPr>
          <w:rFonts w:ascii="Arial" w:eastAsia="Times New Roman" w:hAnsi="Arial" w:cs="Arial"/>
          <w:sz w:val="18"/>
          <w:szCs w:val="18"/>
        </w:rPr>
        <w:t>Vasanji</w:t>
      </w:r>
      <w:proofErr w:type="spellEnd"/>
      <w:r w:rsidRPr="00AF664D">
        <w:rPr>
          <w:rFonts w:ascii="Arial" w:eastAsia="Times New Roman" w:hAnsi="Arial" w:cs="Arial"/>
          <w:sz w:val="18"/>
          <w:szCs w:val="18"/>
        </w:rPr>
        <w:t xml:space="preserve">, A., </w:t>
      </w:r>
      <w:proofErr w:type="spellStart"/>
      <w:r w:rsidRPr="00AF664D">
        <w:rPr>
          <w:rFonts w:ascii="Arial" w:eastAsia="Times New Roman" w:hAnsi="Arial" w:cs="Arial"/>
          <w:sz w:val="18"/>
          <w:szCs w:val="18"/>
        </w:rPr>
        <w:t>Midura</w:t>
      </w:r>
      <w:proofErr w:type="spellEnd"/>
      <w:r w:rsidRPr="00AF664D">
        <w:rPr>
          <w:rFonts w:ascii="Arial" w:eastAsia="Times New Roman" w:hAnsi="Arial" w:cs="Arial"/>
          <w:sz w:val="18"/>
          <w:szCs w:val="18"/>
        </w:rPr>
        <w:t xml:space="preserve">, R. J., &amp; </w:t>
      </w:r>
      <w:proofErr w:type="spellStart"/>
      <w:r w:rsidRPr="00AF664D">
        <w:rPr>
          <w:rFonts w:ascii="Arial" w:eastAsia="Times New Roman" w:hAnsi="Arial" w:cs="Arial"/>
          <w:sz w:val="18"/>
          <w:szCs w:val="18"/>
        </w:rPr>
        <w:t>Kondratov</w:t>
      </w:r>
      <w:proofErr w:type="spellEnd"/>
      <w:r w:rsidRPr="00AF664D">
        <w:rPr>
          <w:rFonts w:ascii="Arial" w:eastAsia="Times New Roman" w:hAnsi="Arial" w:cs="Arial"/>
          <w:sz w:val="18"/>
          <w:szCs w:val="18"/>
        </w:rPr>
        <w:t>, R. V. (2016). Deficiency of circadian clock protein BMAL1 in mice results in a low bone mass phenotype. Bone. https://doi.org/10.1016/j.bone.2016.01.006</w:t>
      </w:r>
    </w:p>
    <w:p w14:paraId="4F3962CB"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Itani</w:t>
      </w:r>
      <w:proofErr w:type="spellEnd"/>
      <w:r w:rsidRPr="00AF664D">
        <w:rPr>
          <w:rFonts w:ascii="Arial" w:eastAsia="Times New Roman" w:hAnsi="Arial" w:cs="Arial"/>
          <w:sz w:val="18"/>
          <w:szCs w:val="18"/>
        </w:rPr>
        <w:t xml:space="preserve">, N., Skeffington, K. L., Beck, C., </w:t>
      </w:r>
      <w:proofErr w:type="spellStart"/>
      <w:r w:rsidRPr="00AF664D">
        <w:rPr>
          <w:rFonts w:ascii="Arial" w:eastAsia="Times New Roman" w:hAnsi="Arial" w:cs="Arial"/>
          <w:sz w:val="18"/>
          <w:szCs w:val="18"/>
        </w:rPr>
        <w:t>Niu</w:t>
      </w:r>
      <w:proofErr w:type="spellEnd"/>
      <w:r w:rsidRPr="00AF664D">
        <w:rPr>
          <w:rFonts w:ascii="Arial" w:eastAsia="Times New Roman" w:hAnsi="Arial" w:cs="Arial"/>
          <w:sz w:val="18"/>
          <w:szCs w:val="18"/>
        </w:rPr>
        <w:t xml:space="preserve">, Y., </w:t>
      </w:r>
      <w:proofErr w:type="spellStart"/>
      <w:r w:rsidRPr="00AF664D">
        <w:rPr>
          <w:rFonts w:ascii="Arial" w:eastAsia="Times New Roman" w:hAnsi="Arial" w:cs="Arial"/>
          <w:sz w:val="18"/>
          <w:szCs w:val="18"/>
        </w:rPr>
        <w:t>Katzilieris</w:t>
      </w:r>
      <w:r w:rsidRPr="00AF664D">
        <w:rPr>
          <w:rFonts w:ascii="Cambria Math" w:eastAsia="Times New Roman" w:hAnsi="Cambria Math" w:cs="Cambria Math"/>
          <w:sz w:val="18"/>
          <w:szCs w:val="18"/>
        </w:rPr>
        <w:t>‐</w:t>
      </w:r>
      <w:r w:rsidRPr="00AF664D">
        <w:rPr>
          <w:rFonts w:ascii="Arial" w:eastAsia="Times New Roman" w:hAnsi="Arial" w:cs="Arial"/>
          <w:sz w:val="18"/>
          <w:szCs w:val="18"/>
        </w:rPr>
        <w:t>Petras</w:t>
      </w:r>
      <w:proofErr w:type="spellEnd"/>
      <w:r w:rsidRPr="00AF664D">
        <w:rPr>
          <w:rFonts w:ascii="Arial" w:eastAsia="Times New Roman" w:hAnsi="Arial" w:cs="Arial"/>
          <w:sz w:val="18"/>
          <w:szCs w:val="18"/>
        </w:rPr>
        <w:t>, G., Smith, N., &amp; Giussani, D. A. (2020). Protective effects of pravastatin on the embryonic cardiovascular system during hypoxic development. The FASEB Journal, 34(12), 16504–16515. https://doi.org/10.1096/fj.202001743r</w:t>
      </w:r>
    </w:p>
    <w:p w14:paraId="3EE05861" w14:textId="77777777" w:rsidR="00663027" w:rsidRPr="00AF664D" w:rsidRDefault="00663027" w:rsidP="00AF664D">
      <w:pPr>
        <w:pStyle w:val="ListParagraph"/>
        <w:numPr>
          <w:ilvl w:val="0"/>
          <w:numId w:val="22"/>
        </w:numPr>
        <w:spacing w:after="0" w:line="276" w:lineRule="auto"/>
        <w:rPr>
          <w:rFonts w:ascii="Arial" w:eastAsia="Times New Roman" w:hAnsi="Arial" w:cs="Arial"/>
          <w:color w:val="000000" w:themeColor="text1"/>
          <w:sz w:val="20"/>
          <w:szCs w:val="20"/>
          <w:lang w:val="fr-FR"/>
        </w:rPr>
      </w:pPr>
      <w:proofErr w:type="spellStart"/>
      <w:r w:rsidRPr="00AF664D">
        <w:rPr>
          <w:rFonts w:ascii="Arial" w:eastAsia="Times New Roman" w:hAnsi="Arial" w:cs="Arial"/>
          <w:color w:val="000000" w:themeColor="text1"/>
          <w:sz w:val="20"/>
          <w:szCs w:val="20"/>
        </w:rPr>
        <w:t>Smolensky</w:t>
      </w:r>
      <w:proofErr w:type="spellEnd"/>
      <w:r w:rsidRPr="00AF664D">
        <w:rPr>
          <w:rFonts w:ascii="Arial" w:eastAsia="Times New Roman" w:hAnsi="Arial" w:cs="Arial"/>
          <w:color w:val="000000" w:themeColor="text1"/>
          <w:sz w:val="20"/>
          <w:szCs w:val="20"/>
        </w:rPr>
        <w:t xml:space="preserve">, M. H., </w:t>
      </w:r>
      <w:proofErr w:type="spellStart"/>
      <w:r w:rsidRPr="00AF664D">
        <w:rPr>
          <w:rFonts w:ascii="Arial" w:eastAsia="Times New Roman" w:hAnsi="Arial" w:cs="Arial"/>
          <w:color w:val="000000" w:themeColor="text1"/>
          <w:sz w:val="20"/>
          <w:szCs w:val="20"/>
        </w:rPr>
        <w:t>Hermida</w:t>
      </w:r>
      <w:proofErr w:type="spellEnd"/>
      <w:r w:rsidRPr="00AF664D">
        <w:rPr>
          <w:rFonts w:ascii="Arial" w:eastAsia="Times New Roman" w:hAnsi="Arial" w:cs="Arial"/>
          <w:color w:val="000000" w:themeColor="text1"/>
          <w:sz w:val="20"/>
          <w:szCs w:val="20"/>
        </w:rPr>
        <w:t xml:space="preserve">, R. C., &amp; </w:t>
      </w:r>
      <w:proofErr w:type="spellStart"/>
      <w:r w:rsidRPr="00AF664D">
        <w:rPr>
          <w:rFonts w:ascii="Arial" w:eastAsia="Times New Roman" w:hAnsi="Arial" w:cs="Arial"/>
          <w:color w:val="000000" w:themeColor="text1"/>
          <w:sz w:val="20"/>
          <w:szCs w:val="20"/>
        </w:rPr>
        <w:t>Portaluppi</w:t>
      </w:r>
      <w:proofErr w:type="spellEnd"/>
      <w:r w:rsidRPr="00AF664D">
        <w:rPr>
          <w:rFonts w:ascii="Arial" w:eastAsia="Times New Roman" w:hAnsi="Arial" w:cs="Arial"/>
          <w:color w:val="000000" w:themeColor="text1"/>
          <w:sz w:val="20"/>
          <w:szCs w:val="20"/>
        </w:rPr>
        <w:t xml:space="preserve">, F. (2015). Circadian mechanisms of chronotherapy. Chronobiology International, 32(2), 283-303. </w:t>
      </w:r>
      <w:hyperlink r:id="rId7" w:history="1">
        <w:r w:rsidRPr="00AF664D">
          <w:rPr>
            <w:rStyle w:val="Hyperlink"/>
            <w:rFonts w:ascii="Arial" w:eastAsia="Times New Roman" w:hAnsi="Arial" w:cs="Arial"/>
            <w:color w:val="000000" w:themeColor="text1"/>
            <w:sz w:val="20"/>
            <w:szCs w:val="20"/>
            <w:lang w:val="fr-FR"/>
          </w:rPr>
          <w:t>https://doi.org/10.3109/07420528.2014.964364</w:t>
        </w:r>
      </w:hyperlink>
    </w:p>
    <w:p w14:paraId="3D29F616" w14:textId="77777777" w:rsidR="007150E4" w:rsidRDefault="007150E4" w:rsidP="007150E4">
      <w:pPr>
        <w:rPr>
          <w:rFonts w:ascii="Arial" w:eastAsia="Times New Roman" w:hAnsi="Arial" w:cs="Arial"/>
          <w:sz w:val="18"/>
          <w:szCs w:val="18"/>
          <w:lang w:val="fr-FR"/>
        </w:rPr>
      </w:pPr>
    </w:p>
    <w:p w14:paraId="68BBFB74" w14:textId="0EAA7A7E"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Yuan, G., Hua, B., Yang, Y., Xu, L., Cai, T., Sun, N., Yan, Z., Lu, C., &amp; Qian, R. (2017). </w:t>
      </w:r>
      <w:r w:rsidRPr="00AF664D">
        <w:rPr>
          <w:rFonts w:ascii="Arial" w:eastAsia="Times New Roman" w:hAnsi="Arial" w:cs="Arial"/>
          <w:sz w:val="18"/>
          <w:szCs w:val="18"/>
        </w:rPr>
        <w:t>The Circadian Gene Clock Regulates Bone Formation Via PDIA3. Journal of Bone and Mineral Research, 32(4), 861–871. https://doi.org/10.1002/jbmr.3046</w:t>
      </w:r>
    </w:p>
    <w:p w14:paraId="7E07FC4D"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Cederroth</w:t>
      </w:r>
      <w:proofErr w:type="spellEnd"/>
      <w:r w:rsidRPr="00AF664D">
        <w:rPr>
          <w:rFonts w:ascii="Arial" w:eastAsia="Times New Roman" w:hAnsi="Arial" w:cs="Arial"/>
          <w:sz w:val="18"/>
          <w:szCs w:val="18"/>
        </w:rPr>
        <w:t xml:space="preserve">, C. R., Albrecht, U., Bass, J., Brown, S. A., </w:t>
      </w:r>
      <w:proofErr w:type="spellStart"/>
      <w:r w:rsidRPr="00AF664D">
        <w:rPr>
          <w:rFonts w:ascii="Arial" w:eastAsia="Times New Roman" w:hAnsi="Arial" w:cs="Arial"/>
          <w:sz w:val="18"/>
          <w:szCs w:val="18"/>
        </w:rPr>
        <w:t>Dyhrfjeld</w:t>
      </w:r>
      <w:proofErr w:type="spellEnd"/>
      <w:r w:rsidRPr="00AF664D">
        <w:rPr>
          <w:rFonts w:ascii="Arial" w:eastAsia="Times New Roman" w:hAnsi="Arial" w:cs="Arial"/>
          <w:sz w:val="18"/>
          <w:szCs w:val="18"/>
        </w:rPr>
        <w:t xml:space="preserve">-Johnsen, J., </w:t>
      </w:r>
      <w:proofErr w:type="spellStart"/>
      <w:r w:rsidRPr="00AF664D">
        <w:rPr>
          <w:rFonts w:ascii="Arial" w:eastAsia="Times New Roman" w:hAnsi="Arial" w:cs="Arial"/>
          <w:sz w:val="18"/>
          <w:szCs w:val="18"/>
        </w:rPr>
        <w:t>Gachon</w:t>
      </w:r>
      <w:proofErr w:type="spellEnd"/>
      <w:r w:rsidRPr="00AF664D">
        <w:rPr>
          <w:rFonts w:ascii="Arial" w:eastAsia="Times New Roman" w:hAnsi="Arial" w:cs="Arial"/>
          <w:sz w:val="18"/>
          <w:szCs w:val="18"/>
        </w:rPr>
        <w:t>, F., Green, C. B., Hastings, M. H., Helfrich-</w:t>
      </w:r>
      <w:proofErr w:type="spellStart"/>
      <w:r w:rsidRPr="00AF664D">
        <w:rPr>
          <w:rFonts w:ascii="Arial" w:eastAsia="Times New Roman" w:hAnsi="Arial" w:cs="Arial"/>
          <w:sz w:val="18"/>
          <w:szCs w:val="18"/>
        </w:rPr>
        <w:t>Förster</w:t>
      </w:r>
      <w:proofErr w:type="spellEnd"/>
      <w:r w:rsidRPr="00AF664D">
        <w:rPr>
          <w:rFonts w:ascii="Arial" w:eastAsia="Times New Roman" w:hAnsi="Arial" w:cs="Arial"/>
          <w:sz w:val="18"/>
          <w:szCs w:val="18"/>
        </w:rPr>
        <w:t xml:space="preserve">, C., </w:t>
      </w:r>
      <w:proofErr w:type="spellStart"/>
      <w:r w:rsidRPr="00AF664D">
        <w:rPr>
          <w:rFonts w:ascii="Arial" w:eastAsia="Times New Roman" w:hAnsi="Arial" w:cs="Arial"/>
          <w:sz w:val="18"/>
          <w:szCs w:val="18"/>
        </w:rPr>
        <w:t>Hogenesch</w:t>
      </w:r>
      <w:proofErr w:type="spellEnd"/>
      <w:r w:rsidRPr="00AF664D">
        <w:rPr>
          <w:rFonts w:ascii="Arial" w:eastAsia="Times New Roman" w:hAnsi="Arial" w:cs="Arial"/>
          <w:sz w:val="18"/>
          <w:szCs w:val="18"/>
        </w:rPr>
        <w:t xml:space="preserve">, J. B., Lévi, F., Loudon, A., </w:t>
      </w:r>
      <w:proofErr w:type="spellStart"/>
      <w:r w:rsidRPr="00AF664D">
        <w:rPr>
          <w:rFonts w:ascii="Arial" w:eastAsia="Times New Roman" w:hAnsi="Arial" w:cs="Arial"/>
          <w:sz w:val="18"/>
          <w:szCs w:val="18"/>
        </w:rPr>
        <w:t>Lundkvist</w:t>
      </w:r>
      <w:proofErr w:type="spellEnd"/>
      <w:r w:rsidRPr="00AF664D">
        <w:rPr>
          <w:rFonts w:ascii="Arial" w:eastAsia="Times New Roman" w:hAnsi="Arial" w:cs="Arial"/>
          <w:sz w:val="18"/>
          <w:szCs w:val="18"/>
        </w:rPr>
        <w:t xml:space="preserve">, G. B., Meijer, J. H., </w:t>
      </w:r>
      <w:proofErr w:type="spellStart"/>
      <w:r w:rsidRPr="00AF664D">
        <w:rPr>
          <w:rFonts w:ascii="Arial" w:eastAsia="Times New Roman" w:hAnsi="Arial" w:cs="Arial"/>
          <w:sz w:val="18"/>
          <w:szCs w:val="18"/>
        </w:rPr>
        <w:t>Rosbash</w:t>
      </w:r>
      <w:proofErr w:type="spellEnd"/>
      <w:r w:rsidRPr="00AF664D">
        <w:rPr>
          <w:rFonts w:ascii="Arial" w:eastAsia="Times New Roman" w:hAnsi="Arial" w:cs="Arial"/>
          <w:sz w:val="18"/>
          <w:szCs w:val="18"/>
        </w:rPr>
        <w:t xml:space="preserve">, M., Takahashi, J. S., Young, M., &amp; </w:t>
      </w:r>
      <w:proofErr w:type="spellStart"/>
      <w:r w:rsidRPr="00AF664D">
        <w:rPr>
          <w:rFonts w:ascii="Arial" w:eastAsia="Times New Roman" w:hAnsi="Arial" w:cs="Arial"/>
          <w:sz w:val="18"/>
          <w:szCs w:val="18"/>
        </w:rPr>
        <w:t>Canlon</w:t>
      </w:r>
      <w:proofErr w:type="spellEnd"/>
      <w:r w:rsidRPr="00AF664D">
        <w:rPr>
          <w:rFonts w:ascii="Arial" w:eastAsia="Times New Roman" w:hAnsi="Arial" w:cs="Arial"/>
          <w:sz w:val="18"/>
          <w:szCs w:val="18"/>
        </w:rPr>
        <w:t>, B. (2019). Medicine in the Fourth Dimension. Cell Metabolism, 30(2), 238–250. https://doi.org/10.1016/j.cmet.2019.06.019</w:t>
      </w:r>
    </w:p>
    <w:p w14:paraId="6E208280"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Serhan</w:t>
      </w:r>
      <w:proofErr w:type="spellEnd"/>
      <w:r w:rsidRPr="00AF664D">
        <w:rPr>
          <w:rFonts w:ascii="Arial" w:eastAsia="Times New Roman" w:hAnsi="Arial" w:cs="Arial"/>
          <w:sz w:val="18"/>
          <w:szCs w:val="18"/>
        </w:rPr>
        <w:t>, C. N., Chiang, N., &amp; Dalli, J. (2015). The resolution code of acute inflammation: Novel pro-resolving lipid mediators in resolution. Seminars in Immunology, 27(3), 200-215. https://doi.org/10.1016/j.smim.2015.03.004</w:t>
      </w:r>
    </w:p>
    <w:p w14:paraId="2567CE0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Loos, B. G. (2005). Systemic markers of inflammation in periodontitis. Journal of Periodontology, 76(11 </w:t>
      </w:r>
      <w:proofErr w:type="spellStart"/>
      <w:r w:rsidRPr="00AF664D">
        <w:rPr>
          <w:rFonts w:ascii="Arial" w:eastAsia="Times New Roman" w:hAnsi="Arial" w:cs="Arial"/>
          <w:sz w:val="18"/>
          <w:szCs w:val="18"/>
        </w:rPr>
        <w:t>Suppl</w:t>
      </w:r>
      <w:proofErr w:type="spellEnd"/>
      <w:r w:rsidRPr="00AF664D">
        <w:rPr>
          <w:rFonts w:ascii="Arial" w:eastAsia="Times New Roman" w:hAnsi="Arial" w:cs="Arial"/>
          <w:sz w:val="18"/>
          <w:szCs w:val="18"/>
        </w:rPr>
        <w:t>), 2106-2115. https://doi.org/10.1902/jop.2005.76.11-S.2106</w:t>
      </w:r>
    </w:p>
    <w:p w14:paraId="0AC67E95"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Bartold</w:t>
      </w:r>
      <w:proofErr w:type="spellEnd"/>
      <w:r w:rsidRPr="00AF664D">
        <w:rPr>
          <w:rFonts w:ascii="Arial" w:eastAsia="Times New Roman" w:hAnsi="Arial" w:cs="Arial"/>
          <w:sz w:val="18"/>
          <w:szCs w:val="18"/>
        </w:rPr>
        <w:t>, P. M., &amp; Van Dyke, T. E. (2013). Periodontitis: A host-mediated disruption of microbial homeostasis. Unlearning learned concepts. Periodontology 2000, 62(1), 203-217. https://doi.org/10.1111/j.1600-0757.2012.00450.x</w:t>
      </w:r>
    </w:p>
    <w:p w14:paraId="3A0BB303"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Early, J. O., Menon, D., Wyse, C. A., Cervantes-Silva, M. P., </w:t>
      </w:r>
      <w:proofErr w:type="spellStart"/>
      <w:r w:rsidRPr="00AF664D">
        <w:rPr>
          <w:rFonts w:ascii="Arial" w:eastAsia="Times New Roman" w:hAnsi="Arial" w:cs="Arial"/>
          <w:sz w:val="18"/>
          <w:szCs w:val="18"/>
        </w:rPr>
        <w:t>Zaslona</w:t>
      </w:r>
      <w:proofErr w:type="spellEnd"/>
      <w:r w:rsidRPr="00AF664D">
        <w:rPr>
          <w:rFonts w:ascii="Arial" w:eastAsia="Times New Roman" w:hAnsi="Arial" w:cs="Arial"/>
          <w:sz w:val="18"/>
          <w:szCs w:val="18"/>
        </w:rPr>
        <w:t xml:space="preserve">, Z., Carroll, R. G., </w:t>
      </w:r>
      <w:proofErr w:type="spellStart"/>
      <w:r w:rsidRPr="00AF664D">
        <w:rPr>
          <w:rFonts w:ascii="Arial" w:eastAsia="Times New Roman" w:hAnsi="Arial" w:cs="Arial"/>
          <w:sz w:val="18"/>
          <w:szCs w:val="18"/>
        </w:rPr>
        <w:t>Palsson</w:t>
      </w:r>
      <w:proofErr w:type="spellEnd"/>
      <w:r w:rsidRPr="00AF664D">
        <w:rPr>
          <w:rFonts w:ascii="Arial" w:eastAsia="Times New Roman" w:hAnsi="Arial" w:cs="Arial"/>
          <w:sz w:val="18"/>
          <w:szCs w:val="18"/>
        </w:rPr>
        <w:t xml:space="preserve">-McDermott, E. M., </w:t>
      </w:r>
      <w:proofErr w:type="spellStart"/>
      <w:r w:rsidRPr="00AF664D">
        <w:rPr>
          <w:rFonts w:ascii="Arial" w:eastAsia="Times New Roman" w:hAnsi="Arial" w:cs="Arial"/>
          <w:sz w:val="18"/>
          <w:szCs w:val="18"/>
        </w:rPr>
        <w:t>Angiari</w:t>
      </w:r>
      <w:proofErr w:type="spellEnd"/>
      <w:r w:rsidRPr="00AF664D">
        <w:rPr>
          <w:rFonts w:ascii="Arial" w:eastAsia="Times New Roman" w:hAnsi="Arial" w:cs="Arial"/>
          <w:sz w:val="18"/>
          <w:szCs w:val="18"/>
        </w:rPr>
        <w:t xml:space="preserve">, S., Ryan, D. G., Corcoran, S. E., Timmons, G., Geiger, S. S., Fitzpatrick, D. </w:t>
      </w:r>
      <w:r w:rsidRPr="00AF664D">
        <w:rPr>
          <w:rFonts w:ascii="Arial" w:eastAsia="Times New Roman" w:hAnsi="Arial" w:cs="Arial"/>
          <w:sz w:val="18"/>
          <w:szCs w:val="18"/>
        </w:rPr>
        <w:lastRenderedPageBreak/>
        <w:t xml:space="preserve">J., O’Connell, D., Xavier, R. J., </w:t>
      </w:r>
      <w:proofErr w:type="spellStart"/>
      <w:r w:rsidRPr="00AF664D">
        <w:rPr>
          <w:rFonts w:ascii="Arial" w:eastAsia="Times New Roman" w:hAnsi="Arial" w:cs="Arial"/>
          <w:sz w:val="18"/>
          <w:szCs w:val="18"/>
        </w:rPr>
        <w:t>Hokamp</w:t>
      </w:r>
      <w:proofErr w:type="spellEnd"/>
      <w:r w:rsidRPr="00AF664D">
        <w:rPr>
          <w:rFonts w:ascii="Arial" w:eastAsia="Times New Roman" w:hAnsi="Arial" w:cs="Arial"/>
          <w:sz w:val="18"/>
          <w:szCs w:val="18"/>
        </w:rPr>
        <w:t>, K., O’Neill, L. A. J., &amp; Curtis, A. M. (2018). Circadian clock protein BMAL1 regulates IL-1β in macrophages via NRF2. Proceedings of the National Academy of Sciences, 115(36). https://doi.org/10.1073/pnas.1800431115</w:t>
      </w:r>
    </w:p>
    <w:p w14:paraId="5FC46834"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Nguyen, K. D., </w:t>
      </w:r>
      <w:proofErr w:type="spellStart"/>
      <w:r w:rsidRPr="00AF664D">
        <w:rPr>
          <w:rFonts w:ascii="Arial" w:eastAsia="Times New Roman" w:hAnsi="Arial" w:cs="Arial"/>
          <w:sz w:val="18"/>
          <w:szCs w:val="18"/>
          <w:lang w:val="fr-FR"/>
        </w:rPr>
        <w:t>Fentress</w:t>
      </w:r>
      <w:proofErr w:type="spellEnd"/>
      <w:r w:rsidRPr="00AF664D">
        <w:rPr>
          <w:rFonts w:ascii="Arial" w:eastAsia="Times New Roman" w:hAnsi="Arial" w:cs="Arial"/>
          <w:sz w:val="18"/>
          <w:szCs w:val="18"/>
          <w:lang w:val="fr-FR"/>
        </w:rPr>
        <w:t xml:space="preserve">, S. J., Qiu, Y., Yun, K., Cox, J. S., &amp; </w:t>
      </w:r>
      <w:proofErr w:type="spellStart"/>
      <w:r w:rsidRPr="00AF664D">
        <w:rPr>
          <w:rFonts w:ascii="Arial" w:eastAsia="Times New Roman" w:hAnsi="Arial" w:cs="Arial"/>
          <w:sz w:val="18"/>
          <w:szCs w:val="18"/>
          <w:lang w:val="fr-FR"/>
        </w:rPr>
        <w:t>Chawla</w:t>
      </w:r>
      <w:proofErr w:type="spellEnd"/>
      <w:r w:rsidRPr="00AF664D">
        <w:rPr>
          <w:rFonts w:ascii="Arial" w:eastAsia="Times New Roman" w:hAnsi="Arial" w:cs="Arial"/>
          <w:sz w:val="18"/>
          <w:szCs w:val="18"/>
          <w:lang w:val="fr-FR"/>
        </w:rPr>
        <w:t xml:space="preserve">, A. (2013). </w:t>
      </w:r>
      <w:r w:rsidRPr="00AF664D">
        <w:rPr>
          <w:rFonts w:ascii="Arial" w:eastAsia="Times New Roman" w:hAnsi="Arial" w:cs="Arial"/>
          <w:sz w:val="18"/>
          <w:szCs w:val="18"/>
        </w:rPr>
        <w:t>Circadian gene Bmal1 regulates diurnal oscillations of Ly6C(hi) inflammatory monocytes. Science. https://doi.org/10.1126/science.1240636</w:t>
      </w:r>
    </w:p>
    <w:p w14:paraId="22ADA4B5"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Serhan</w:t>
      </w:r>
      <w:proofErr w:type="spellEnd"/>
      <w:r w:rsidRPr="00AF664D">
        <w:rPr>
          <w:rFonts w:ascii="Arial" w:eastAsia="Times New Roman" w:hAnsi="Arial" w:cs="Arial"/>
          <w:sz w:val="18"/>
          <w:szCs w:val="18"/>
        </w:rPr>
        <w:t>, C. N., Chiang, N., &amp; Dalli, J. (2015). The resolution code of acute inflammation: Novel pro-resolving lipid mediators in resolution. Seminars in Immunology, 27(3), 200–215. https://doi.org/10.1016/j.smim.2015.03.004</w:t>
      </w:r>
    </w:p>
    <w:p w14:paraId="2291B527"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Takahashi, J. S., Hong, H. K., Ko, C. H., &amp; </w:t>
      </w:r>
      <w:proofErr w:type="spellStart"/>
      <w:r w:rsidRPr="00AF664D">
        <w:rPr>
          <w:rFonts w:ascii="Arial" w:eastAsia="Times New Roman" w:hAnsi="Arial" w:cs="Arial"/>
          <w:sz w:val="18"/>
          <w:szCs w:val="18"/>
        </w:rPr>
        <w:t>McDearmon</w:t>
      </w:r>
      <w:proofErr w:type="spellEnd"/>
      <w:r w:rsidRPr="00AF664D">
        <w:rPr>
          <w:rFonts w:ascii="Arial" w:eastAsia="Times New Roman" w:hAnsi="Arial" w:cs="Arial"/>
          <w:sz w:val="18"/>
          <w:szCs w:val="18"/>
        </w:rPr>
        <w:t>, E. L. (2008). The genetics of mammalian circadian order and disorder: implications for physiology and disease. Nature Reviews Genetics. https://doi.org/10.1038/nrg2430</w:t>
      </w:r>
    </w:p>
    <w:p w14:paraId="37956373"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Keller, M., </w:t>
      </w:r>
      <w:proofErr w:type="spellStart"/>
      <w:r w:rsidRPr="00AF664D">
        <w:rPr>
          <w:rFonts w:ascii="Arial" w:eastAsia="Times New Roman" w:hAnsi="Arial" w:cs="Arial"/>
          <w:sz w:val="18"/>
          <w:szCs w:val="18"/>
        </w:rPr>
        <w:t>Mazuch</w:t>
      </w:r>
      <w:proofErr w:type="spellEnd"/>
      <w:r w:rsidRPr="00AF664D">
        <w:rPr>
          <w:rFonts w:ascii="Arial" w:eastAsia="Times New Roman" w:hAnsi="Arial" w:cs="Arial"/>
          <w:sz w:val="18"/>
          <w:szCs w:val="18"/>
        </w:rPr>
        <w:t xml:space="preserve">, J., Abraham, U., </w:t>
      </w:r>
      <w:proofErr w:type="spellStart"/>
      <w:r w:rsidRPr="00AF664D">
        <w:rPr>
          <w:rFonts w:ascii="Arial" w:eastAsia="Times New Roman" w:hAnsi="Arial" w:cs="Arial"/>
          <w:sz w:val="18"/>
          <w:szCs w:val="18"/>
        </w:rPr>
        <w:t>Eom</w:t>
      </w:r>
      <w:proofErr w:type="spellEnd"/>
      <w:r w:rsidRPr="00AF664D">
        <w:rPr>
          <w:rFonts w:ascii="Arial" w:eastAsia="Times New Roman" w:hAnsi="Arial" w:cs="Arial"/>
          <w:sz w:val="18"/>
          <w:szCs w:val="18"/>
        </w:rPr>
        <w:t>, G. D., Herzog, E. D., Volk, H. D., Kramer, A., &amp; Maier, B. (2009). A circadian clock in macrophages controls inflammatory immune responses. Proceedings of the National Academy of Sciences of the United States of America, 106(50), 21407-21412. https://doi.org/10.1073/pnas.0906361106</w:t>
      </w:r>
    </w:p>
    <w:p w14:paraId="0D212F8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Graves, D. T., &amp; Cochran, D. (2003). </w:t>
      </w:r>
      <w:r w:rsidRPr="00AF664D">
        <w:rPr>
          <w:rFonts w:ascii="Arial" w:eastAsia="Times New Roman" w:hAnsi="Arial" w:cs="Arial"/>
          <w:sz w:val="18"/>
          <w:szCs w:val="18"/>
        </w:rPr>
        <w:t xml:space="preserve">The contribution of interleukin-1 and </w:t>
      </w:r>
      <w:proofErr w:type="spellStart"/>
      <w:r w:rsidRPr="00AF664D">
        <w:rPr>
          <w:rFonts w:ascii="Arial" w:eastAsia="Times New Roman" w:hAnsi="Arial" w:cs="Arial"/>
          <w:sz w:val="18"/>
          <w:szCs w:val="18"/>
        </w:rPr>
        <w:t>tumor</w:t>
      </w:r>
      <w:proofErr w:type="spellEnd"/>
      <w:r w:rsidRPr="00AF664D">
        <w:rPr>
          <w:rFonts w:ascii="Arial" w:eastAsia="Times New Roman" w:hAnsi="Arial" w:cs="Arial"/>
          <w:sz w:val="18"/>
          <w:szCs w:val="18"/>
        </w:rPr>
        <w:t xml:space="preserve"> necrosis factor to periodontal tissue destruction. Journal of Periodontology, 74(3), 391–401. https://doi.org/10.1902/jop.2003.74.3.391</w:t>
      </w:r>
    </w:p>
    <w:p w14:paraId="6A218BF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Cochran, D. L. (2008). Inflammation and bone loss in periodontal disease. Journal of Periodontology, 79(8 </w:t>
      </w:r>
      <w:proofErr w:type="spellStart"/>
      <w:r w:rsidRPr="00AF664D">
        <w:rPr>
          <w:rFonts w:ascii="Arial" w:eastAsia="Times New Roman" w:hAnsi="Arial" w:cs="Arial"/>
          <w:sz w:val="18"/>
          <w:szCs w:val="18"/>
        </w:rPr>
        <w:t>Suppl</w:t>
      </w:r>
      <w:proofErr w:type="spellEnd"/>
      <w:r w:rsidRPr="00AF664D">
        <w:rPr>
          <w:rFonts w:ascii="Arial" w:eastAsia="Times New Roman" w:hAnsi="Arial" w:cs="Arial"/>
          <w:sz w:val="18"/>
          <w:szCs w:val="18"/>
        </w:rPr>
        <w:t>), 1569–1576. https://doi.org/10.1902/jop.2008.080233</w:t>
      </w:r>
    </w:p>
    <w:p w14:paraId="4A9F81D9"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D'Aiuto</w:t>
      </w:r>
      <w:proofErr w:type="spellEnd"/>
      <w:r w:rsidRPr="00AF664D">
        <w:rPr>
          <w:rFonts w:ascii="Arial" w:eastAsia="Times New Roman" w:hAnsi="Arial" w:cs="Arial"/>
          <w:sz w:val="18"/>
          <w:szCs w:val="18"/>
        </w:rPr>
        <w:t xml:space="preserve">, F., </w:t>
      </w:r>
      <w:proofErr w:type="spellStart"/>
      <w:r w:rsidRPr="00AF664D">
        <w:rPr>
          <w:rFonts w:ascii="Arial" w:eastAsia="Times New Roman" w:hAnsi="Arial" w:cs="Arial"/>
          <w:sz w:val="18"/>
          <w:szCs w:val="18"/>
        </w:rPr>
        <w:t>Parkar</w:t>
      </w:r>
      <w:proofErr w:type="spellEnd"/>
      <w:r w:rsidRPr="00AF664D">
        <w:rPr>
          <w:rFonts w:ascii="Arial" w:eastAsia="Times New Roman" w:hAnsi="Arial" w:cs="Arial"/>
          <w:sz w:val="18"/>
          <w:szCs w:val="18"/>
        </w:rPr>
        <w:t xml:space="preserve">, M., </w:t>
      </w:r>
      <w:proofErr w:type="spellStart"/>
      <w:r w:rsidRPr="00AF664D">
        <w:rPr>
          <w:rFonts w:ascii="Arial" w:eastAsia="Times New Roman" w:hAnsi="Arial" w:cs="Arial"/>
          <w:sz w:val="18"/>
          <w:szCs w:val="18"/>
        </w:rPr>
        <w:t>Andreou</w:t>
      </w:r>
      <w:proofErr w:type="spellEnd"/>
      <w:r w:rsidRPr="00AF664D">
        <w:rPr>
          <w:rFonts w:ascii="Arial" w:eastAsia="Times New Roman" w:hAnsi="Arial" w:cs="Arial"/>
          <w:sz w:val="18"/>
          <w:szCs w:val="18"/>
        </w:rPr>
        <w:t xml:space="preserve">, G., </w:t>
      </w:r>
      <w:proofErr w:type="spellStart"/>
      <w:r w:rsidRPr="00AF664D">
        <w:rPr>
          <w:rFonts w:ascii="Arial" w:eastAsia="Times New Roman" w:hAnsi="Arial" w:cs="Arial"/>
          <w:sz w:val="18"/>
          <w:szCs w:val="18"/>
        </w:rPr>
        <w:t>Suvan</w:t>
      </w:r>
      <w:proofErr w:type="spellEnd"/>
      <w:r w:rsidRPr="00AF664D">
        <w:rPr>
          <w:rFonts w:ascii="Arial" w:eastAsia="Times New Roman" w:hAnsi="Arial" w:cs="Arial"/>
          <w:sz w:val="18"/>
          <w:szCs w:val="18"/>
        </w:rPr>
        <w:t xml:space="preserve">, J., Brett, P. M., Ready, D., &amp; </w:t>
      </w:r>
      <w:proofErr w:type="spellStart"/>
      <w:r w:rsidRPr="00AF664D">
        <w:rPr>
          <w:rFonts w:ascii="Arial" w:eastAsia="Times New Roman" w:hAnsi="Arial" w:cs="Arial"/>
          <w:sz w:val="18"/>
          <w:szCs w:val="18"/>
        </w:rPr>
        <w:t>Tonetti</w:t>
      </w:r>
      <w:proofErr w:type="spellEnd"/>
      <w:r w:rsidRPr="00AF664D">
        <w:rPr>
          <w:rFonts w:ascii="Arial" w:eastAsia="Times New Roman" w:hAnsi="Arial" w:cs="Arial"/>
          <w:sz w:val="18"/>
          <w:szCs w:val="18"/>
        </w:rPr>
        <w:t>, M. S. (2004). Periodontitis and systemic inflammation: control of the local infection is associated with a reduction in serum inflammatory markers. Journal of Dental Research, 83(2), 156-160. https://doi.org/10.1177/154405910408300214</w:t>
      </w:r>
    </w:p>
    <w:p w14:paraId="6FEB298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Gibbs, J., Ince, L., Matthews, L., Christian, M., Bellingham, J., Chen, W., Ray, D. W., Loudon, A. S., &amp; </w:t>
      </w:r>
      <w:proofErr w:type="spellStart"/>
      <w:r w:rsidRPr="00AF664D">
        <w:rPr>
          <w:rFonts w:ascii="Arial" w:eastAsia="Times New Roman" w:hAnsi="Arial" w:cs="Arial"/>
          <w:sz w:val="18"/>
          <w:szCs w:val="18"/>
        </w:rPr>
        <w:t>Blaikley</w:t>
      </w:r>
      <w:proofErr w:type="spellEnd"/>
      <w:r w:rsidRPr="00AF664D">
        <w:rPr>
          <w:rFonts w:ascii="Arial" w:eastAsia="Times New Roman" w:hAnsi="Arial" w:cs="Arial"/>
          <w:sz w:val="18"/>
          <w:szCs w:val="18"/>
        </w:rPr>
        <w:t>, J. (2014). An epithelial circadian clock controls pulmonary inflammation and glucocorticoid action. Nature Medicine. https://doi.org/10.1038/nm.3599</w:t>
      </w:r>
    </w:p>
    <w:p w14:paraId="5090918F"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Labrecque</w:t>
      </w:r>
      <w:proofErr w:type="spellEnd"/>
      <w:r w:rsidRPr="00AF664D">
        <w:rPr>
          <w:rFonts w:ascii="Arial" w:eastAsia="Times New Roman" w:hAnsi="Arial" w:cs="Arial"/>
          <w:sz w:val="18"/>
          <w:szCs w:val="18"/>
        </w:rPr>
        <w:t xml:space="preserve">, N., &amp; </w:t>
      </w:r>
      <w:proofErr w:type="spellStart"/>
      <w:r w:rsidRPr="00AF664D">
        <w:rPr>
          <w:rFonts w:ascii="Arial" w:eastAsia="Times New Roman" w:hAnsi="Arial" w:cs="Arial"/>
          <w:sz w:val="18"/>
          <w:szCs w:val="18"/>
        </w:rPr>
        <w:t>Cermakian</w:t>
      </w:r>
      <w:proofErr w:type="spellEnd"/>
      <w:r w:rsidRPr="00AF664D">
        <w:rPr>
          <w:rFonts w:ascii="Arial" w:eastAsia="Times New Roman" w:hAnsi="Arial" w:cs="Arial"/>
          <w:sz w:val="18"/>
          <w:szCs w:val="18"/>
        </w:rPr>
        <w:t xml:space="preserve">, N. (2015). Circadian clocks in the immune system. J </w:t>
      </w:r>
      <w:proofErr w:type="spellStart"/>
      <w:r w:rsidRPr="00AF664D">
        <w:rPr>
          <w:rFonts w:ascii="Arial" w:eastAsia="Times New Roman" w:hAnsi="Arial" w:cs="Arial"/>
          <w:sz w:val="18"/>
          <w:szCs w:val="18"/>
        </w:rPr>
        <w:t>Biol</w:t>
      </w:r>
      <w:proofErr w:type="spellEnd"/>
      <w:r w:rsidRPr="00AF664D">
        <w:rPr>
          <w:rFonts w:ascii="Arial" w:eastAsia="Times New Roman" w:hAnsi="Arial" w:cs="Arial"/>
          <w:sz w:val="18"/>
          <w:szCs w:val="18"/>
        </w:rPr>
        <w:t xml:space="preserve"> Rhythms, 30(4), 277-290. https://doi.org/10.1177/0748730415577723</w:t>
      </w:r>
    </w:p>
    <w:p w14:paraId="0C61860F"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Darveau</w:t>
      </w:r>
      <w:proofErr w:type="spellEnd"/>
      <w:r w:rsidRPr="00AF664D">
        <w:rPr>
          <w:rFonts w:ascii="Arial" w:eastAsia="Times New Roman" w:hAnsi="Arial" w:cs="Arial"/>
          <w:sz w:val="18"/>
          <w:szCs w:val="18"/>
        </w:rPr>
        <w:t>, R. P. (2010). Periodontitis: a polymicrobial disruption of host homeostasis. Nature Reviews Microbiology https://doi.org/10.1038/nrmicro2337</w:t>
      </w:r>
    </w:p>
    <w:p w14:paraId="53B5C41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Spengler, M. L., </w:t>
      </w:r>
      <w:proofErr w:type="spellStart"/>
      <w:r w:rsidRPr="00AF664D">
        <w:rPr>
          <w:rFonts w:ascii="Arial" w:eastAsia="Times New Roman" w:hAnsi="Arial" w:cs="Arial"/>
          <w:sz w:val="18"/>
          <w:szCs w:val="18"/>
        </w:rPr>
        <w:t>Kuropatwinski</w:t>
      </w:r>
      <w:proofErr w:type="spellEnd"/>
      <w:r w:rsidRPr="00AF664D">
        <w:rPr>
          <w:rFonts w:ascii="Arial" w:eastAsia="Times New Roman" w:hAnsi="Arial" w:cs="Arial"/>
          <w:sz w:val="18"/>
          <w:szCs w:val="18"/>
        </w:rPr>
        <w:t xml:space="preserve">, K. K., Comas, M., </w:t>
      </w:r>
      <w:proofErr w:type="spellStart"/>
      <w:r w:rsidRPr="00AF664D">
        <w:rPr>
          <w:rFonts w:ascii="Arial" w:eastAsia="Times New Roman" w:hAnsi="Arial" w:cs="Arial"/>
          <w:sz w:val="18"/>
          <w:szCs w:val="18"/>
        </w:rPr>
        <w:t>Gasparian</w:t>
      </w:r>
      <w:proofErr w:type="spellEnd"/>
      <w:r w:rsidRPr="00AF664D">
        <w:rPr>
          <w:rFonts w:ascii="Arial" w:eastAsia="Times New Roman" w:hAnsi="Arial" w:cs="Arial"/>
          <w:sz w:val="18"/>
          <w:szCs w:val="18"/>
        </w:rPr>
        <w:t xml:space="preserve">, A. V., </w:t>
      </w:r>
      <w:proofErr w:type="spellStart"/>
      <w:r w:rsidRPr="00AF664D">
        <w:rPr>
          <w:rFonts w:ascii="Arial" w:eastAsia="Times New Roman" w:hAnsi="Arial" w:cs="Arial"/>
          <w:sz w:val="18"/>
          <w:szCs w:val="18"/>
        </w:rPr>
        <w:t>Fedtsova</w:t>
      </w:r>
      <w:proofErr w:type="spellEnd"/>
      <w:r w:rsidRPr="00AF664D">
        <w:rPr>
          <w:rFonts w:ascii="Arial" w:eastAsia="Times New Roman" w:hAnsi="Arial" w:cs="Arial"/>
          <w:sz w:val="18"/>
          <w:szCs w:val="18"/>
        </w:rPr>
        <w:t xml:space="preserve">, N., Gleiberman, A. S., Gitlin, I. I., </w:t>
      </w:r>
      <w:proofErr w:type="spellStart"/>
      <w:r w:rsidRPr="00AF664D">
        <w:rPr>
          <w:rFonts w:ascii="Arial" w:eastAsia="Times New Roman" w:hAnsi="Arial" w:cs="Arial"/>
          <w:sz w:val="18"/>
          <w:szCs w:val="18"/>
        </w:rPr>
        <w:t>Artemicheva</w:t>
      </w:r>
      <w:proofErr w:type="spellEnd"/>
      <w:r w:rsidRPr="00AF664D">
        <w:rPr>
          <w:rFonts w:ascii="Arial" w:eastAsia="Times New Roman" w:hAnsi="Arial" w:cs="Arial"/>
          <w:sz w:val="18"/>
          <w:szCs w:val="18"/>
        </w:rPr>
        <w:t xml:space="preserve">, N. M., Deluca, K. A., Gudkov, A. V., &amp; </w:t>
      </w:r>
      <w:proofErr w:type="spellStart"/>
      <w:r w:rsidRPr="00AF664D">
        <w:rPr>
          <w:rFonts w:ascii="Arial" w:eastAsia="Times New Roman" w:hAnsi="Arial" w:cs="Arial"/>
          <w:sz w:val="18"/>
          <w:szCs w:val="18"/>
        </w:rPr>
        <w:t>Antoch</w:t>
      </w:r>
      <w:proofErr w:type="spellEnd"/>
      <w:r w:rsidRPr="00AF664D">
        <w:rPr>
          <w:rFonts w:ascii="Arial" w:eastAsia="Times New Roman" w:hAnsi="Arial" w:cs="Arial"/>
          <w:sz w:val="18"/>
          <w:szCs w:val="18"/>
        </w:rPr>
        <w:t>, M. P. (2012). Core circadian protein CLOCK is a positive regulator of NF-</w:t>
      </w:r>
      <w:proofErr w:type="spellStart"/>
      <w:r w:rsidRPr="00AF664D">
        <w:rPr>
          <w:rFonts w:ascii="Arial" w:eastAsia="Times New Roman" w:hAnsi="Arial" w:cs="Arial"/>
          <w:sz w:val="18"/>
          <w:szCs w:val="18"/>
        </w:rPr>
        <w:t>κB</w:t>
      </w:r>
      <w:proofErr w:type="spellEnd"/>
      <w:r w:rsidRPr="00AF664D">
        <w:rPr>
          <w:rFonts w:ascii="Arial" w:eastAsia="Times New Roman" w:hAnsi="Arial" w:cs="Arial"/>
          <w:sz w:val="18"/>
          <w:szCs w:val="18"/>
        </w:rPr>
        <w:t>–mediated transcription. Proceedings of the National Academy of Sciences of the United States of America, 109(37), E2457–E2465. https://doi.org/10.1073/pnas.1206274109</w:t>
      </w:r>
    </w:p>
    <w:p w14:paraId="419080BF"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Cermakian</w:t>
      </w:r>
      <w:proofErr w:type="spellEnd"/>
      <w:r w:rsidRPr="00AF664D">
        <w:rPr>
          <w:rFonts w:ascii="Arial" w:eastAsia="Times New Roman" w:hAnsi="Arial" w:cs="Arial"/>
          <w:sz w:val="18"/>
          <w:szCs w:val="18"/>
        </w:rPr>
        <w:t xml:space="preserve">, N., Lange, T., </w:t>
      </w:r>
      <w:proofErr w:type="spellStart"/>
      <w:r w:rsidRPr="00AF664D">
        <w:rPr>
          <w:rFonts w:ascii="Arial" w:eastAsia="Times New Roman" w:hAnsi="Arial" w:cs="Arial"/>
          <w:sz w:val="18"/>
          <w:szCs w:val="18"/>
        </w:rPr>
        <w:t>Golombek</w:t>
      </w:r>
      <w:proofErr w:type="spellEnd"/>
      <w:r w:rsidRPr="00AF664D">
        <w:rPr>
          <w:rFonts w:ascii="Arial" w:eastAsia="Times New Roman" w:hAnsi="Arial" w:cs="Arial"/>
          <w:sz w:val="18"/>
          <w:szCs w:val="18"/>
        </w:rPr>
        <w:t xml:space="preserve">, D., Sarkar, D., Nakao, A., Shibata, S., &amp; </w:t>
      </w:r>
      <w:proofErr w:type="spellStart"/>
      <w:r w:rsidRPr="00AF664D">
        <w:rPr>
          <w:rFonts w:ascii="Arial" w:eastAsia="Times New Roman" w:hAnsi="Arial" w:cs="Arial"/>
          <w:sz w:val="18"/>
          <w:szCs w:val="18"/>
        </w:rPr>
        <w:t>Mazzoccoli</w:t>
      </w:r>
      <w:proofErr w:type="spellEnd"/>
      <w:r w:rsidRPr="00AF664D">
        <w:rPr>
          <w:rFonts w:ascii="Arial" w:eastAsia="Times New Roman" w:hAnsi="Arial" w:cs="Arial"/>
          <w:sz w:val="18"/>
          <w:szCs w:val="18"/>
        </w:rPr>
        <w:t>, G. (2013). Crosstalk between the circadian clock circuitry and the immune system. Chronobiology international, 30(7), 870–888. https://doi.org/10.3109/07420528.2013.782315</w:t>
      </w:r>
    </w:p>
    <w:p w14:paraId="60F77D7D"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Offenbacher</w:t>
      </w:r>
      <w:proofErr w:type="spellEnd"/>
      <w:r w:rsidRPr="00AF664D">
        <w:rPr>
          <w:rFonts w:ascii="Arial" w:eastAsia="Times New Roman" w:hAnsi="Arial" w:cs="Arial"/>
          <w:sz w:val="18"/>
          <w:szCs w:val="18"/>
        </w:rPr>
        <w:t xml:space="preserve">, S., </w:t>
      </w:r>
      <w:proofErr w:type="spellStart"/>
      <w:r w:rsidRPr="00AF664D">
        <w:rPr>
          <w:rFonts w:ascii="Arial" w:eastAsia="Times New Roman" w:hAnsi="Arial" w:cs="Arial"/>
          <w:sz w:val="18"/>
          <w:szCs w:val="18"/>
        </w:rPr>
        <w:t>Heasman</w:t>
      </w:r>
      <w:proofErr w:type="spellEnd"/>
      <w:r w:rsidRPr="00AF664D">
        <w:rPr>
          <w:rFonts w:ascii="Arial" w:eastAsia="Times New Roman" w:hAnsi="Arial" w:cs="Arial"/>
          <w:sz w:val="18"/>
          <w:szCs w:val="18"/>
        </w:rPr>
        <w:t>, P. A., &amp; Collins, J. G. (1993). Modulation of host PGE</w:t>
      </w:r>
      <w:r w:rsidRPr="00AF664D">
        <w:rPr>
          <w:rFonts w:ascii="Cambria Math" w:eastAsia="Times New Roman" w:hAnsi="Cambria Math" w:cs="Cambria Math"/>
          <w:sz w:val="18"/>
          <w:szCs w:val="18"/>
        </w:rPr>
        <w:t>₂</w:t>
      </w:r>
      <w:r w:rsidRPr="00AF664D">
        <w:rPr>
          <w:rFonts w:ascii="Arial" w:eastAsia="Times New Roman" w:hAnsi="Arial" w:cs="Arial"/>
          <w:sz w:val="18"/>
          <w:szCs w:val="18"/>
        </w:rPr>
        <w:t xml:space="preserve"> secretion as a determinant of periodontal disease expression. J </w:t>
      </w:r>
      <w:proofErr w:type="spellStart"/>
      <w:r w:rsidRPr="00AF664D">
        <w:rPr>
          <w:rFonts w:ascii="Arial" w:eastAsia="Times New Roman" w:hAnsi="Arial" w:cs="Arial"/>
          <w:sz w:val="18"/>
          <w:szCs w:val="18"/>
        </w:rPr>
        <w:t>Periodontol</w:t>
      </w:r>
      <w:proofErr w:type="spellEnd"/>
      <w:r w:rsidRPr="00AF664D">
        <w:rPr>
          <w:rFonts w:ascii="Arial" w:eastAsia="Times New Roman" w:hAnsi="Arial" w:cs="Arial"/>
          <w:sz w:val="18"/>
          <w:szCs w:val="18"/>
        </w:rPr>
        <w:t xml:space="preserve">, 64(5 </w:t>
      </w:r>
      <w:proofErr w:type="spellStart"/>
      <w:r w:rsidRPr="00AF664D">
        <w:rPr>
          <w:rFonts w:ascii="Arial" w:eastAsia="Times New Roman" w:hAnsi="Arial" w:cs="Arial"/>
          <w:sz w:val="18"/>
          <w:szCs w:val="18"/>
        </w:rPr>
        <w:t>Suppl</w:t>
      </w:r>
      <w:proofErr w:type="spellEnd"/>
      <w:r w:rsidRPr="00AF664D">
        <w:rPr>
          <w:rFonts w:ascii="Arial" w:eastAsia="Times New Roman" w:hAnsi="Arial" w:cs="Arial"/>
          <w:sz w:val="18"/>
          <w:szCs w:val="18"/>
        </w:rPr>
        <w:t>), 432-444. https://doi.org/10.1902/jop.1993.64.5s.432</w:t>
      </w:r>
    </w:p>
    <w:p w14:paraId="4351F660"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Smolensky</w:t>
      </w:r>
      <w:proofErr w:type="spellEnd"/>
      <w:r w:rsidRPr="00AF664D">
        <w:rPr>
          <w:rFonts w:ascii="Arial" w:eastAsia="Times New Roman" w:hAnsi="Arial" w:cs="Arial"/>
          <w:sz w:val="18"/>
          <w:szCs w:val="18"/>
        </w:rPr>
        <w:t xml:space="preserve">, M. H., &amp; </w:t>
      </w:r>
      <w:proofErr w:type="spellStart"/>
      <w:r w:rsidRPr="00AF664D">
        <w:rPr>
          <w:rFonts w:ascii="Arial" w:eastAsia="Times New Roman" w:hAnsi="Arial" w:cs="Arial"/>
          <w:sz w:val="18"/>
          <w:szCs w:val="18"/>
        </w:rPr>
        <w:t>Peppas</w:t>
      </w:r>
      <w:proofErr w:type="spellEnd"/>
      <w:r w:rsidRPr="00AF664D">
        <w:rPr>
          <w:rFonts w:ascii="Arial" w:eastAsia="Times New Roman" w:hAnsi="Arial" w:cs="Arial"/>
          <w:sz w:val="18"/>
          <w:szCs w:val="18"/>
        </w:rPr>
        <w:t xml:space="preserve">, N. A. (2007). Chronobiology, drug delivery, and </w:t>
      </w:r>
      <w:proofErr w:type="spellStart"/>
      <w:r w:rsidRPr="00AF664D">
        <w:rPr>
          <w:rFonts w:ascii="Arial" w:eastAsia="Times New Roman" w:hAnsi="Arial" w:cs="Arial"/>
          <w:sz w:val="18"/>
          <w:szCs w:val="18"/>
        </w:rPr>
        <w:t>chronotherapeutics</w:t>
      </w:r>
      <w:proofErr w:type="spellEnd"/>
      <w:r w:rsidRPr="00AF664D">
        <w:rPr>
          <w:rFonts w:ascii="Arial" w:eastAsia="Times New Roman" w:hAnsi="Arial" w:cs="Arial"/>
          <w:sz w:val="18"/>
          <w:szCs w:val="18"/>
        </w:rPr>
        <w:t>. Advanced drug delivery reviews, 59(9-10), 828–851. https://doi.org/10.1016/j.addr.2007.07.001</w:t>
      </w:r>
    </w:p>
    <w:p w14:paraId="73ABEF7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Lightman, S. L., </w:t>
      </w:r>
      <w:proofErr w:type="spellStart"/>
      <w:r w:rsidRPr="00AF664D">
        <w:rPr>
          <w:rFonts w:ascii="Arial" w:eastAsia="Times New Roman" w:hAnsi="Arial" w:cs="Arial"/>
          <w:sz w:val="18"/>
          <w:szCs w:val="18"/>
        </w:rPr>
        <w:t>Birnie</w:t>
      </w:r>
      <w:proofErr w:type="spellEnd"/>
      <w:r w:rsidRPr="00AF664D">
        <w:rPr>
          <w:rFonts w:ascii="Arial" w:eastAsia="Times New Roman" w:hAnsi="Arial" w:cs="Arial"/>
          <w:sz w:val="18"/>
          <w:szCs w:val="18"/>
        </w:rPr>
        <w:t>, M. T., &amp; Conway-Campbell, B. L. (2020). Dynamics of ACTH and cortisol secretion and implications for disease. Endocrine Reviews. https://doi.org/10.1210/endrev/bnaa002</w:t>
      </w:r>
    </w:p>
    <w:p w14:paraId="61B5636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Taubman, M. A., Valverde, P., Han, X., &amp; Kawai, T. (2005). Immune response: The key to bone resorption in periodontal disease. Journal of Periodontology, 76(11 </w:t>
      </w:r>
      <w:proofErr w:type="spellStart"/>
      <w:r w:rsidRPr="00AF664D">
        <w:rPr>
          <w:rFonts w:ascii="Arial" w:eastAsia="Times New Roman" w:hAnsi="Arial" w:cs="Arial"/>
          <w:sz w:val="18"/>
          <w:szCs w:val="18"/>
        </w:rPr>
        <w:t>Suppl</w:t>
      </w:r>
      <w:proofErr w:type="spellEnd"/>
      <w:r w:rsidRPr="00AF664D">
        <w:rPr>
          <w:rFonts w:ascii="Arial" w:eastAsia="Times New Roman" w:hAnsi="Arial" w:cs="Arial"/>
          <w:sz w:val="18"/>
          <w:szCs w:val="18"/>
        </w:rPr>
        <w:t>), 2033-2041. https://doi.org/10.1902/jop.2005.76.11-S.2033</w:t>
      </w:r>
    </w:p>
    <w:p w14:paraId="67E69E9B"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Kondratov</w:t>
      </w:r>
      <w:proofErr w:type="spellEnd"/>
      <w:r w:rsidRPr="00AF664D">
        <w:rPr>
          <w:rFonts w:ascii="Arial" w:eastAsia="Times New Roman" w:hAnsi="Arial" w:cs="Arial"/>
          <w:sz w:val="18"/>
          <w:szCs w:val="18"/>
        </w:rPr>
        <w:t xml:space="preserve">, R. V., </w:t>
      </w:r>
      <w:proofErr w:type="spellStart"/>
      <w:r w:rsidRPr="00AF664D">
        <w:rPr>
          <w:rFonts w:ascii="Arial" w:eastAsia="Times New Roman" w:hAnsi="Arial" w:cs="Arial"/>
          <w:sz w:val="18"/>
          <w:szCs w:val="18"/>
        </w:rPr>
        <w:t>Kondratova</w:t>
      </w:r>
      <w:proofErr w:type="spellEnd"/>
      <w:r w:rsidRPr="00AF664D">
        <w:rPr>
          <w:rFonts w:ascii="Arial" w:eastAsia="Times New Roman" w:hAnsi="Arial" w:cs="Arial"/>
          <w:sz w:val="18"/>
          <w:szCs w:val="18"/>
        </w:rPr>
        <w:t xml:space="preserve">, A. A., </w:t>
      </w:r>
      <w:proofErr w:type="spellStart"/>
      <w:r w:rsidRPr="00AF664D">
        <w:rPr>
          <w:rFonts w:ascii="Arial" w:eastAsia="Times New Roman" w:hAnsi="Arial" w:cs="Arial"/>
          <w:sz w:val="18"/>
          <w:szCs w:val="18"/>
        </w:rPr>
        <w:t>Gorbacheva</w:t>
      </w:r>
      <w:proofErr w:type="spellEnd"/>
      <w:r w:rsidRPr="00AF664D">
        <w:rPr>
          <w:rFonts w:ascii="Arial" w:eastAsia="Times New Roman" w:hAnsi="Arial" w:cs="Arial"/>
          <w:sz w:val="18"/>
          <w:szCs w:val="18"/>
        </w:rPr>
        <w:t xml:space="preserve">, V. Y., </w:t>
      </w:r>
      <w:proofErr w:type="spellStart"/>
      <w:r w:rsidRPr="00AF664D">
        <w:rPr>
          <w:rFonts w:ascii="Arial" w:eastAsia="Times New Roman" w:hAnsi="Arial" w:cs="Arial"/>
          <w:sz w:val="18"/>
          <w:szCs w:val="18"/>
        </w:rPr>
        <w:t>Vykhovanets</w:t>
      </w:r>
      <w:proofErr w:type="spellEnd"/>
      <w:r w:rsidRPr="00AF664D">
        <w:rPr>
          <w:rFonts w:ascii="Arial" w:eastAsia="Times New Roman" w:hAnsi="Arial" w:cs="Arial"/>
          <w:sz w:val="18"/>
          <w:szCs w:val="18"/>
        </w:rPr>
        <w:t xml:space="preserve">, O. V., &amp; </w:t>
      </w:r>
      <w:proofErr w:type="spellStart"/>
      <w:r w:rsidRPr="00AF664D">
        <w:rPr>
          <w:rFonts w:ascii="Arial" w:eastAsia="Times New Roman" w:hAnsi="Arial" w:cs="Arial"/>
          <w:sz w:val="18"/>
          <w:szCs w:val="18"/>
        </w:rPr>
        <w:t>Antoch</w:t>
      </w:r>
      <w:proofErr w:type="spellEnd"/>
      <w:r w:rsidRPr="00AF664D">
        <w:rPr>
          <w:rFonts w:ascii="Arial" w:eastAsia="Times New Roman" w:hAnsi="Arial" w:cs="Arial"/>
          <w:sz w:val="18"/>
          <w:szCs w:val="18"/>
        </w:rPr>
        <w:t xml:space="preserve">, M. P. (2006). Early aging and age-related pathologies in mice deficient in BMAL1, the core </w:t>
      </w:r>
      <w:proofErr w:type="spellStart"/>
      <w:r w:rsidRPr="00AF664D">
        <w:rPr>
          <w:rFonts w:ascii="Arial" w:eastAsia="Times New Roman" w:hAnsi="Arial" w:cs="Arial"/>
          <w:sz w:val="18"/>
          <w:szCs w:val="18"/>
        </w:rPr>
        <w:t>componentof</w:t>
      </w:r>
      <w:proofErr w:type="spellEnd"/>
      <w:r w:rsidRPr="00AF664D">
        <w:rPr>
          <w:rFonts w:ascii="Arial" w:eastAsia="Times New Roman" w:hAnsi="Arial" w:cs="Arial"/>
          <w:sz w:val="18"/>
          <w:szCs w:val="18"/>
        </w:rPr>
        <w:t xml:space="preserve"> the circadian clock. Genes &amp; development, 20(14), 1868–1873. https://doi.org/10.1101/gad.1432206</w:t>
      </w:r>
    </w:p>
    <w:p w14:paraId="6C779FD8"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Fu, L., Patel, M. S., Bradley, A., Wagner, E. F., &amp; </w:t>
      </w:r>
      <w:proofErr w:type="spellStart"/>
      <w:r w:rsidRPr="00AF664D">
        <w:rPr>
          <w:rFonts w:ascii="Arial" w:eastAsia="Times New Roman" w:hAnsi="Arial" w:cs="Arial"/>
          <w:sz w:val="18"/>
          <w:szCs w:val="18"/>
        </w:rPr>
        <w:t>Karsenty</w:t>
      </w:r>
      <w:proofErr w:type="spellEnd"/>
      <w:r w:rsidRPr="00AF664D">
        <w:rPr>
          <w:rFonts w:ascii="Arial" w:eastAsia="Times New Roman" w:hAnsi="Arial" w:cs="Arial"/>
          <w:sz w:val="18"/>
          <w:szCs w:val="18"/>
        </w:rPr>
        <w:t>, G. (2005). The molecular clock mediates leptin-regulated bone formation. Cell, 122(5), 803-815. https://doi.org/10.1016/j.cell.2005.06.028</w:t>
      </w:r>
    </w:p>
    <w:p w14:paraId="5D325F6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Lévi, F., </w:t>
      </w:r>
      <w:proofErr w:type="spellStart"/>
      <w:r w:rsidRPr="00AF664D">
        <w:rPr>
          <w:rFonts w:ascii="Arial" w:eastAsia="Times New Roman" w:hAnsi="Arial" w:cs="Arial"/>
          <w:sz w:val="18"/>
          <w:szCs w:val="18"/>
        </w:rPr>
        <w:t>Okyar</w:t>
      </w:r>
      <w:proofErr w:type="spellEnd"/>
      <w:r w:rsidRPr="00AF664D">
        <w:rPr>
          <w:rFonts w:ascii="Arial" w:eastAsia="Times New Roman" w:hAnsi="Arial" w:cs="Arial"/>
          <w:sz w:val="18"/>
          <w:szCs w:val="18"/>
        </w:rPr>
        <w:t xml:space="preserve">, A., Dulong, S., </w:t>
      </w:r>
      <w:proofErr w:type="spellStart"/>
      <w:r w:rsidRPr="00AF664D">
        <w:rPr>
          <w:rFonts w:ascii="Arial" w:eastAsia="Times New Roman" w:hAnsi="Arial" w:cs="Arial"/>
          <w:sz w:val="18"/>
          <w:szCs w:val="18"/>
        </w:rPr>
        <w:t>Innominato</w:t>
      </w:r>
      <w:proofErr w:type="spellEnd"/>
      <w:r w:rsidRPr="00AF664D">
        <w:rPr>
          <w:rFonts w:ascii="Arial" w:eastAsia="Times New Roman" w:hAnsi="Arial" w:cs="Arial"/>
          <w:sz w:val="18"/>
          <w:szCs w:val="18"/>
        </w:rPr>
        <w:t xml:space="preserve">, P. F., &amp; </w:t>
      </w:r>
      <w:proofErr w:type="spellStart"/>
      <w:r w:rsidRPr="00AF664D">
        <w:rPr>
          <w:rFonts w:ascii="Arial" w:eastAsia="Times New Roman" w:hAnsi="Arial" w:cs="Arial"/>
          <w:sz w:val="18"/>
          <w:szCs w:val="18"/>
        </w:rPr>
        <w:t>Clairambault</w:t>
      </w:r>
      <w:proofErr w:type="spellEnd"/>
      <w:r w:rsidRPr="00AF664D">
        <w:rPr>
          <w:rFonts w:ascii="Arial" w:eastAsia="Times New Roman" w:hAnsi="Arial" w:cs="Arial"/>
          <w:sz w:val="18"/>
          <w:szCs w:val="18"/>
        </w:rPr>
        <w:t>, J. (2010). Circadian timing in cancer treatments. Annual Review of Pharmacology and Toxicology. https://doi.org/10.1146/annurev.pharmtox.48.113006.094626</w:t>
      </w:r>
    </w:p>
    <w:p w14:paraId="6DB48285" w14:textId="601F2008" w:rsidR="00663027" w:rsidRPr="007150E4" w:rsidRDefault="00663027" w:rsidP="007150E4">
      <w:pPr>
        <w:spacing w:after="0" w:line="276" w:lineRule="auto"/>
        <w:ind w:left="360"/>
        <w:rPr>
          <w:rFonts w:ascii="Arial" w:eastAsia="Times New Roman" w:hAnsi="Arial" w:cs="Arial"/>
          <w:color w:val="000000" w:themeColor="text1"/>
          <w:sz w:val="20"/>
          <w:szCs w:val="20"/>
        </w:rPr>
      </w:pPr>
    </w:p>
    <w:p w14:paraId="42FDDBD4"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lastRenderedPageBreak/>
        <w:t xml:space="preserve">Labrecque, G., &amp; Bélanger, P. M. (1991). </w:t>
      </w:r>
      <w:r w:rsidRPr="00AF664D">
        <w:rPr>
          <w:rFonts w:ascii="Arial" w:eastAsia="Times New Roman" w:hAnsi="Arial" w:cs="Arial"/>
          <w:sz w:val="18"/>
          <w:szCs w:val="18"/>
        </w:rPr>
        <w:t>Biological rhythms in the absorption, distribution, metabolism and excretion of drugs. Pharmacology &amp; Therapeutics, 52(1), 95-107. https://doi.org/10.1016/0163-7258(91)90088-4</w:t>
      </w:r>
    </w:p>
    <w:p w14:paraId="703ABD2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Srinath, R., Acharya, A. B., &amp; Thakur, S. L. (2010). Salivary and gingival crevicular fluid melatonin in periodontal health and disease. Journal of Periodontology, 81(2), 277–283. https://doi.org/10.1902/jop.2009.090327</w:t>
      </w:r>
    </w:p>
    <w:p w14:paraId="35F47F1A"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Hardeland</w:t>
      </w:r>
      <w:proofErr w:type="spellEnd"/>
      <w:r w:rsidRPr="00AF664D">
        <w:rPr>
          <w:rFonts w:ascii="Arial" w:eastAsia="Times New Roman" w:hAnsi="Arial" w:cs="Arial"/>
          <w:sz w:val="18"/>
          <w:szCs w:val="18"/>
        </w:rPr>
        <w:t>, R. (2018). Melatonin and inflammation—Story of a double-edged blade. Journal of Pineal Research, 65(4), e12525. https://doi.org/10.1111/jpi.12525</w:t>
      </w:r>
    </w:p>
    <w:p w14:paraId="4D1CB8E2"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lang w:val="fr-FR"/>
        </w:rPr>
        <w:t>Nicolaides</w:t>
      </w:r>
      <w:proofErr w:type="spellEnd"/>
      <w:r w:rsidRPr="00AF664D">
        <w:rPr>
          <w:rFonts w:ascii="Arial" w:eastAsia="Times New Roman" w:hAnsi="Arial" w:cs="Arial"/>
          <w:sz w:val="18"/>
          <w:szCs w:val="18"/>
          <w:lang w:val="fr-FR"/>
        </w:rPr>
        <w:t xml:space="preserve">, N. C., </w:t>
      </w:r>
      <w:proofErr w:type="spellStart"/>
      <w:r w:rsidRPr="00AF664D">
        <w:rPr>
          <w:rFonts w:ascii="Arial" w:eastAsia="Times New Roman" w:hAnsi="Arial" w:cs="Arial"/>
          <w:sz w:val="18"/>
          <w:szCs w:val="18"/>
          <w:lang w:val="fr-FR"/>
        </w:rPr>
        <w:t>Kyratzi</w:t>
      </w:r>
      <w:proofErr w:type="spellEnd"/>
      <w:r w:rsidRPr="00AF664D">
        <w:rPr>
          <w:rFonts w:ascii="Arial" w:eastAsia="Times New Roman" w:hAnsi="Arial" w:cs="Arial"/>
          <w:sz w:val="18"/>
          <w:szCs w:val="18"/>
          <w:lang w:val="fr-FR"/>
        </w:rPr>
        <w:t xml:space="preserve">, E., </w:t>
      </w:r>
      <w:proofErr w:type="spellStart"/>
      <w:r w:rsidRPr="00AF664D">
        <w:rPr>
          <w:rFonts w:ascii="Arial" w:eastAsia="Times New Roman" w:hAnsi="Arial" w:cs="Arial"/>
          <w:sz w:val="18"/>
          <w:szCs w:val="18"/>
          <w:lang w:val="fr-FR"/>
        </w:rPr>
        <w:t>Lamprokostopoulou</w:t>
      </w:r>
      <w:proofErr w:type="spellEnd"/>
      <w:r w:rsidRPr="00AF664D">
        <w:rPr>
          <w:rFonts w:ascii="Arial" w:eastAsia="Times New Roman" w:hAnsi="Arial" w:cs="Arial"/>
          <w:sz w:val="18"/>
          <w:szCs w:val="18"/>
          <w:lang w:val="fr-FR"/>
        </w:rPr>
        <w:t xml:space="preserve">, A., </w:t>
      </w:r>
      <w:proofErr w:type="spellStart"/>
      <w:r w:rsidRPr="00AF664D">
        <w:rPr>
          <w:rFonts w:ascii="Arial" w:eastAsia="Times New Roman" w:hAnsi="Arial" w:cs="Arial"/>
          <w:sz w:val="18"/>
          <w:szCs w:val="18"/>
          <w:lang w:val="fr-FR"/>
        </w:rPr>
        <w:t>Chrousos</w:t>
      </w:r>
      <w:proofErr w:type="spellEnd"/>
      <w:r w:rsidRPr="00AF664D">
        <w:rPr>
          <w:rFonts w:ascii="Arial" w:eastAsia="Times New Roman" w:hAnsi="Arial" w:cs="Arial"/>
          <w:sz w:val="18"/>
          <w:szCs w:val="18"/>
          <w:lang w:val="fr-FR"/>
        </w:rPr>
        <w:t xml:space="preserve">, G. P., &amp; </w:t>
      </w:r>
      <w:proofErr w:type="spellStart"/>
      <w:r w:rsidRPr="00AF664D">
        <w:rPr>
          <w:rFonts w:ascii="Arial" w:eastAsia="Times New Roman" w:hAnsi="Arial" w:cs="Arial"/>
          <w:sz w:val="18"/>
          <w:szCs w:val="18"/>
          <w:lang w:val="fr-FR"/>
        </w:rPr>
        <w:t>Charmandari</w:t>
      </w:r>
      <w:proofErr w:type="spellEnd"/>
      <w:r w:rsidRPr="00AF664D">
        <w:rPr>
          <w:rFonts w:ascii="Arial" w:eastAsia="Times New Roman" w:hAnsi="Arial" w:cs="Arial"/>
          <w:sz w:val="18"/>
          <w:szCs w:val="18"/>
          <w:lang w:val="fr-FR"/>
        </w:rPr>
        <w:t xml:space="preserve">, E. (2015). </w:t>
      </w:r>
      <w:r w:rsidRPr="00AF664D">
        <w:rPr>
          <w:rFonts w:ascii="Arial" w:eastAsia="Times New Roman" w:hAnsi="Arial" w:cs="Arial"/>
          <w:sz w:val="18"/>
          <w:szCs w:val="18"/>
        </w:rPr>
        <w:t>Stress, the Stress System and the Role of Glucocorticoids. Neuroimmunomodulation, 22(1-2), 6-19. https://doi.org/10.1159/000362736</w:t>
      </w:r>
    </w:p>
    <w:p w14:paraId="7ACE3EDA"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Buttgereit</w:t>
      </w:r>
      <w:proofErr w:type="spellEnd"/>
      <w:r w:rsidRPr="00AF664D">
        <w:rPr>
          <w:rFonts w:ascii="Arial" w:eastAsia="Times New Roman" w:hAnsi="Arial" w:cs="Arial"/>
          <w:sz w:val="18"/>
          <w:szCs w:val="18"/>
        </w:rPr>
        <w:t xml:space="preserve">, F., Doering, G., Schaeffler, A., Witte, S., Sierakowski, S., </w:t>
      </w:r>
      <w:proofErr w:type="spellStart"/>
      <w:r w:rsidRPr="00AF664D">
        <w:rPr>
          <w:rFonts w:ascii="Arial" w:eastAsia="Times New Roman" w:hAnsi="Arial" w:cs="Arial"/>
          <w:sz w:val="18"/>
          <w:szCs w:val="18"/>
        </w:rPr>
        <w:t>Gromnica-Ihle</w:t>
      </w:r>
      <w:proofErr w:type="spellEnd"/>
      <w:r w:rsidRPr="00AF664D">
        <w:rPr>
          <w:rFonts w:ascii="Arial" w:eastAsia="Times New Roman" w:hAnsi="Arial" w:cs="Arial"/>
          <w:sz w:val="18"/>
          <w:szCs w:val="18"/>
        </w:rPr>
        <w:t xml:space="preserve">, E., </w:t>
      </w:r>
      <w:proofErr w:type="spellStart"/>
      <w:r w:rsidRPr="00AF664D">
        <w:rPr>
          <w:rFonts w:ascii="Arial" w:eastAsia="Times New Roman" w:hAnsi="Arial" w:cs="Arial"/>
          <w:sz w:val="18"/>
          <w:szCs w:val="18"/>
        </w:rPr>
        <w:t>Jeka</w:t>
      </w:r>
      <w:proofErr w:type="spellEnd"/>
      <w:r w:rsidRPr="00AF664D">
        <w:rPr>
          <w:rFonts w:ascii="Arial" w:eastAsia="Times New Roman" w:hAnsi="Arial" w:cs="Arial"/>
          <w:sz w:val="18"/>
          <w:szCs w:val="18"/>
        </w:rPr>
        <w:t xml:space="preserve">, S., Krueger, K., </w:t>
      </w:r>
      <w:proofErr w:type="spellStart"/>
      <w:r w:rsidRPr="00AF664D">
        <w:rPr>
          <w:rFonts w:ascii="Arial" w:eastAsia="Times New Roman" w:hAnsi="Arial" w:cs="Arial"/>
          <w:sz w:val="18"/>
          <w:szCs w:val="18"/>
        </w:rPr>
        <w:t>Szechinski</w:t>
      </w:r>
      <w:proofErr w:type="spellEnd"/>
      <w:r w:rsidRPr="00AF664D">
        <w:rPr>
          <w:rFonts w:ascii="Arial" w:eastAsia="Times New Roman" w:hAnsi="Arial" w:cs="Arial"/>
          <w:sz w:val="18"/>
          <w:szCs w:val="18"/>
        </w:rPr>
        <w:t xml:space="preserve">, J., &amp; </w:t>
      </w:r>
      <w:proofErr w:type="spellStart"/>
      <w:r w:rsidRPr="00AF664D">
        <w:rPr>
          <w:rFonts w:ascii="Arial" w:eastAsia="Times New Roman" w:hAnsi="Arial" w:cs="Arial"/>
          <w:sz w:val="18"/>
          <w:szCs w:val="18"/>
        </w:rPr>
        <w:t>Alten</w:t>
      </w:r>
      <w:proofErr w:type="spellEnd"/>
      <w:r w:rsidRPr="00AF664D">
        <w:rPr>
          <w:rFonts w:ascii="Arial" w:eastAsia="Times New Roman" w:hAnsi="Arial" w:cs="Arial"/>
          <w:sz w:val="18"/>
          <w:szCs w:val="18"/>
        </w:rPr>
        <w:t>, R. (2008). Efficacy of modified-release versus standard prednisone to reduce duration of morning stiffness of the joints in rheumatoid arthritis (CAPRA-1): A double-blind, randomised controlled trial. Lancet, 371(9608), 205-214. https://doi.org/10.1016/S0140-6736(08)60132-4</w:t>
      </w:r>
    </w:p>
    <w:p w14:paraId="224CEF4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Calder, P. C. (2010). Omega-3 fatty acids and inflammatory processes. Nutrients, 2(3), 355-374. https://doi.org/10.3390/nu2030355</w:t>
      </w:r>
    </w:p>
    <w:p w14:paraId="1B911917"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El-</w:t>
      </w:r>
      <w:proofErr w:type="spellStart"/>
      <w:r w:rsidRPr="00AF664D">
        <w:rPr>
          <w:rFonts w:ascii="Arial" w:eastAsia="Times New Roman" w:hAnsi="Arial" w:cs="Arial"/>
          <w:sz w:val="18"/>
          <w:szCs w:val="18"/>
        </w:rPr>
        <w:t>Sharkawy</w:t>
      </w:r>
      <w:proofErr w:type="spellEnd"/>
      <w:r w:rsidRPr="00AF664D">
        <w:rPr>
          <w:rFonts w:ascii="Arial" w:eastAsia="Times New Roman" w:hAnsi="Arial" w:cs="Arial"/>
          <w:sz w:val="18"/>
          <w:szCs w:val="18"/>
        </w:rPr>
        <w:t xml:space="preserve">, H., </w:t>
      </w:r>
      <w:proofErr w:type="spellStart"/>
      <w:r w:rsidRPr="00AF664D">
        <w:rPr>
          <w:rFonts w:ascii="Arial" w:eastAsia="Times New Roman" w:hAnsi="Arial" w:cs="Arial"/>
          <w:sz w:val="18"/>
          <w:szCs w:val="18"/>
        </w:rPr>
        <w:t>Aboelsaad</w:t>
      </w:r>
      <w:proofErr w:type="spellEnd"/>
      <w:r w:rsidRPr="00AF664D">
        <w:rPr>
          <w:rFonts w:ascii="Arial" w:eastAsia="Times New Roman" w:hAnsi="Arial" w:cs="Arial"/>
          <w:sz w:val="18"/>
          <w:szCs w:val="18"/>
        </w:rPr>
        <w:t xml:space="preserve">, N., </w:t>
      </w:r>
      <w:proofErr w:type="spellStart"/>
      <w:r w:rsidRPr="00AF664D">
        <w:rPr>
          <w:rFonts w:ascii="Arial" w:eastAsia="Times New Roman" w:hAnsi="Arial" w:cs="Arial"/>
          <w:sz w:val="18"/>
          <w:szCs w:val="18"/>
        </w:rPr>
        <w:t>Eliwa</w:t>
      </w:r>
      <w:proofErr w:type="spellEnd"/>
      <w:r w:rsidRPr="00AF664D">
        <w:rPr>
          <w:rFonts w:ascii="Arial" w:eastAsia="Times New Roman" w:hAnsi="Arial" w:cs="Arial"/>
          <w:sz w:val="18"/>
          <w:szCs w:val="18"/>
        </w:rPr>
        <w:t xml:space="preserve">, M., </w:t>
      </w:r>
      <w:proofErr w:type="spellStart"/>
      <w:r w:rsidRPr="00AF664D">
        <w:rPr>
          <w:rFonts w:ascii="Arial" w:eastAsia="Times New Roman" w:hAnsi="Arial" w:cs="Arial"/>
          <w:sz w:val="18"/>
          <w:szCs w:val="18"/>
        </w:rPr>
        <w:t>Darweesh</w:t>
      </w:r>
      <w:proofErr w:type="spellEnd"/>
      <w:r w:rsidRPr="00AF664D">
        <w:rPr>
          <w:rFonts w:ascii="Arial" w:eastAsia="Times New Roman" w:hAnsi="Arial" w:cs="Arial"/>
          <w:sz w:val="18"/>
          <w:szCs w:val="18"/>
        </w:rPr>
        <w:t xml:space="preserve">, M., </w:t>
      </w:r>
      <w:proofErr w:type="spellStart"/>
      <w:r w:rsidRPr="00AF664D">
        <w:rPr>
          <w:rFonts w:ascii="Arial" w:eastAsia="Times New Roman" w:hAnsi="Arial" w:cs="Arial"/>
          <w:sz w:val="18"/>
          <w:szCs w:val="18"/>
        </w:rPr>
        <w:t>Alshahat</w:t>
      </w:r>
      <w:proofErr w:type="spellEnd"/>
      <w:r w:rsidRPr="00AF664D">
        <w:rPr>
          <w:rFonts w:ascii="Arial" w:eastAsia="Times New Roman" w:hAnsi="Arial" w:cs="Arial"/>
          <w:sz w:val="18"/>
          <w:szCs w:val="18"/>
        </w:rPr>
        <w:t xml:space="preserve">, M., </w:t>
      </w:r>
      <w:proofErr w:type="spellStart"/>
      <w:r w:rsidRPr="00AF664D">
        <w:rPr>
          <w:rFonts w:ascii="Arial" w:eastAsia="Times New Roman" w:hAnsi="Arial" w:cs="Arial"/>
          <w:sz w:val="18"/>
          <w:szCs w:val="18"/>
        </w:rPr>
        <w:t>Kantarci</w:t>
      </w:r>
      <w:proofErr w:type="spellEnd"/>
      <w:r w:rsidRPr="00AF664D">
        <w:rPr>
          <w:rFonts w:ascii="Arial" w:eastAsia="Times New Roman" w:hAnsi="Arial" w:cs="Arial"/>
          <w:sz w:val="18"/>
          <w:szCs w:val="18"/>
        </w:rPr>
        <w:t xml:space="preserve">, A., </w:t>
      </w:r>
      <w:proofErr w:type="spellStart"/>
      <w:r w:rsidRPr="00AF664D">
        <w:rPr>
          <w:rFonts w:ascii="Arial" w:eastAsia="Times New Roman" w:hAnsi="Arial" w:cs="Arial"/>
          <w:sz w:val="18"/>
          <w:szCs w:val="18"/>
        </w:rPr>
        <w:t>Hasturk</w:t>
      </w:r>
      <w:proofErr w:type="spellEnd"/>
      <w:r w:rsidRPr="00AF664D">
        <w:rPr>
          <w:rFonts w:ascii="Arial" w:eastAsia="Times New Roman" w:hAnsi="Arial" w:cs="Arial"/>
          <w:sz w:val="18"/>
          <w:szCs w:val="18"/>
        </w:rPr>
        <w:t>, H., &amp; Van Dyke, T. E. (2010). Adjunctive treatment of chronic periodontitis with daily dietary supplementation with omega-3 fatty acids and low-dose aspirin. Journal of Periodontology, 81(11), 1635–1643. https://doi.org/10.1902/jop.2010.090628</w:t>
      </w:r>
    </w:p>
    <w:p w14:paraId="7A3A3BE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Bass, J., &amp; Takahashi, J. S. (2010). Circadian integration of metabolism and energetics. Science, 330(6009), 1349–1354. https://doi.org/10.1126/science.1195027</w:t>
      </w:r>
    </w:p>
    <w:p w14:paraId="051E9F4C" w14:textId="779BA2BF" w:rsidR="00663027" w:rsidRPr="00AF664D" w:rsidRDefault="00663027" w:rsidP="00AF664D">
      <w:pPr>
        <w:pStyle w:val="ListParagraph"/>
        <w:numPr>
          <w:ilvl w:val="0"/>
          <w:numId w:val="22"/>
        </w:numPr>
        <w:spacing w:after="0" w:line="276" w:lineRule="auto"/>
        <w:rPr>
          <w:rStyle w:val="Hyperlink"/>
          <w:rFonts w:ascii="Arial" w:eastAsia="Times New Roman" w:hAnsi="Arial" w:cs="Arial"/>
          <w:color w:val="000000" w:themeColor="text1"/>
          <w:sz w:val="20"/>
          <w:szCs w:val="20"/>
        </w:rPr>
      </w:pPr>
      <w:r w:rsidRPr="00AF664D">
        <w:rPr>
          <w:rFonts w:ascii="Arial" w:eastAsia="Times New Roman" w:hAnsi="Arial" w:cs="Arial"/>
          <w:color w:val="000000" w:themeColor="text1"/>
          <w:sz w:val="20"/>
          <w:szCs w:val="20"/>
        </w:rPr>
        <w:t xml:space="preserve">Yang, G., Chen, L., Grant, G. R., </w:t>
      </w:r>
      <w:proofErr w:type="spellStart"/>
      <w:r w:rsidRPr="00AF664D">
        <w:rPr>
          <w:rFonts w:ascii="Arial" w:eastAsia="Times New Roman" w:hAnsi="Arial" w:cs="Arial"/>
          <w:color w:val="000000" w:themeColor="text1"/>
          <w:sz w:val="20"/>
          <w:szCs w:val="20"/>
        </w:rPr>
        <w:t>Paschos</w:t>
      </w:r>
      <w:proofErr w:type="spellEnd"/>
      <w:r w:rsidRPr="00AF664D">
        <w:rPr>
          <w:rFonts w:ascii="Arial" w:eastAsia="Times New Roman" w:hAnsi="Arial" w:cs="Arial"/>
          <w:color w:val="000000" w:themeColor="text1"/>
          <w:sz w:val="20"/>
          <w:szCs w:val="20"/>
        </w:rPr>
        <w:t xml:space="preserve">, G., Song, W. L., </w:t>
      </w:r>
      <w:proofErr w:type="spellStart"/>
      <w:r w:rsidRPr="00AF664D">
        <w:rPr>
          <w:rFonts w:ascii="Arial" w:eastAsia="Times New Roman" w:hAnsi="Arial" w:cs="Arial"/>
          <w:color w:val="000000" w:themeColor="text1"/>
          <w:sz w:val="20"/>
          <w:szCs w:val="20"/>
        </w:rPr>
        <w:t>Musiek</w:t>
      </w:r>
      <w:proofErr w:type="spellEnd"/>
      <w:r w:rsidRPr="00AF664D">
        <w:rPr>
          <w:rFonts w:ascii="Arial" w:eastAsia="Times New Roman" w:hAnsi="Arial" w:cs="Arial"/>
          <w:color w:val="000000" w:themeColor="text1"/>
          <w:sz w:val="20"/>
          <w:szCs w:val="20"/>
        </w:rPr>
        <w:t xml:space="preserve">, E. S., Lee, V., McLoughlin, S. C., Grosser, T., </w:t>
      </w:r>
      <w:proofErr w:type="spellStart"/>
      <w:r w:rsidRPr="00AF664D">
        <w:rPr>
          <w:rFonts w:ascii="Arial" w:eastAsia="Times New Roman" w:hAnsi="Arial" w:cs="Arial"/>
          <w:color w:val="000000" w:themeColor="text1"/>
          <w:sz w:val="20"/>
          <w:szCs w:val="20"/>
        </w:rPr>
        <w:t>Cotsarelis</w:t>
      </w:r>
      <w:proofErr w:type="spellEnd"/>
      <w:r w:rsidRPr="00AF664D">
        <w:rPr>
          <w:rFonts w:ascii="Arial" w:eastAsia="Times New Roman" w:hAnsi="Arial" w:cs="Arial"/>
          <w:color w:val="000000" w:themeColor="text1"/>
          <w:sz w:val="20"/>
          <w:szCs w:val="20"/>
        </w:rPr>
        <w:t xml:space="preserve">, G., &amp; Fitzgerald, G. A. (2016). Timing of expression of the core clock gene Bmal1 influences its effects on aging and survival. Science Translational Medicine, 8(324), 324ra16. </w:t>
      </w:r>
      <w:hyperlink r:id="rId8" w:history="1">
        <w:r w:rsidRPr="00AF664D">
          <w:rPr>
            <w:rStyle w:val="Hyperlink"/>
            <w:rFonts w:ascii="Arial" w:eastAsia="Times New Roman" w:hAnsi="Arial" w:cs="Arial"/>
            <w:color w:val="000000" w:themeColor="text1"/>
            <w:sz w:val="20"/>
            <w:szCs w:val="20"/>
          </w:rPr>
          <w:t>https://doi.org/10.1126/scitranslmed.aad3305</w:t>
        </w:r>
      </w:hyperlink>
    </w:p>
    <w:p w14:paraId="28BF6B81" w14:textId="77777777" w:rsidR="007150E4" w:rsidRPr="007150E4" w:rsidRDefault="007150E4" w:rsidP="007150E4">
      <w:pPr>
        <w:spacing w:after="0" w:line="276" w:lineRule="auto"/>
        <w:rPr>
          <w:rFonts w:ascii="Arial" w:eastAsia="Times New Roman" w:hAnsi="Arial" w:cs="Arial"/>
          <w:color w:val="000000" w:themeColor="text1"/>
          <w:sz w:val="20"/>
          <w:szCs w:val="20"/>
        </w:rPr>
      </w:pPr>
    </w:p>
    <w:p w14:paraId="790D050A"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lang w:val="fr-FR"/>
        </w:rPr>
        <w:t>Feyen</w:t>
      </w:r>
      <w:proofErr w:type="spellEnd"/>
      <w:r w:rsidRPr="00AF664D">
        <w:rPr>
          <w:rFonts w:ascii="Arial" w:eastAsia="Times New Roman" w:hAnsi="Arial" w:cs="Arial"/>
          <w:sz w:val="18"/>
          <w:szCs w:val="18"/>
          <w:lang w:val="fr-FR"/>
        </w:rPr>
        <w:t xml:space="preserve">, J. H., </w:t>
      </w:r>
      <w:proofErr w:type="spellStart"/>
      <w:r w:rsidRPr="00AF664D">
        <w:rPr>
          <w:rFonts w:ascii="Arial" w:eastAsia="Times New Roman" w:hAnsi="Arial" w:cs="Arial"/>
          <w:sz w:val="18"/>
          <w:szCs w:val="18"/>
          <w:lang w:val="fr-FR"/>
        </w:rPr>
        <w:t>Elford</w:t>
      </w:r>
      <w:proofErr w:type="spellEnd"/>
      <w:r w:rsidRPr="00AF664D">
        <w:rPr>
          <w:rFonts w:ascii="Arial" w:eastAsia="Times New Roman" w:hAnsi="Arial" w:cs="Arial"/>
          <w:sz w:val="18"/>
          <w:szCs w:val="18"/>
          <w:lang w:val="fr-FR"/>
        </w:rPr>
        <w:t xml:space="preserve">, P., Di </w:t>
      </w:r>
      <w:proofErr w:type="spellStart"/>
      <w:r w:rsidRPr="00AF664D">
        <w:rPr>
          <w:rFonts w:ascii="Arial" w:eastAsia="Times New Roman" w:hAnsi="Arial" w:cs="Arial"/>
          <w:sz w:val="18"/>
          <w:szCs w:val="18"/>
          <w:lang w:val="fr-FR"/>
        </w:rPr>
        <w:t>Padova</w:t>
      </w:r>
      <w:proofErr w:type="spellEnd"/>
      <w:r w:rsidRPr="00AF664D">
        <w:rPr>
          <w:rFonts w:ascii="Arial" w:eastAsia="Times New Roman" w:hAnsi="Arial" w:cs="Arial"/>
          <w:sz w:val="18"/>
          <w:szCs w:val="18"/>
          <w:lang w:val="fr-FR"/>
        </w:rPr>
        <w:t xml:space="preserve">, F. E., &amp; </w:t>
      </w:r>
      <w:proofErr w:type="spellStart"/>
      <w:r w:rsidRPr="00AF664D">
        <w:rPr>
          <w:rFonts w:ascii="Arial" w:eastAsia="Times New Roman" w:hAnsi="Arial" w:cs="Arial"/>
          <w:sz w:val="18"/>
          <w:szCs w:val="18"/>
          <w:lang w:val="fr-FR"/>
        </w:rPr>
        <w:t>Trechsel</w:t>
      </w:r>
      <w:proofErr w:type="spellEnd"/>
      <w:r w:rsidRPr="00AF664D">
        <w:rPr>
          <w:rFonts w:ascii="Arial" w:eastAsia="Times New Roman" w:hAnsi="Arial" w:cs="Arial"/>
          <w:sz w:val="18"/>
          <w:szCs w:val="18"/>
          <w:lang w:val="fr-FR"/>
        </w:rPr>
        <w:t xml:space="preserve">, U. (1989). </w:t>
      </w:r>
      <w:r w:rsidRPr="00AF664D">
        <w:rPr>
          <w:rFonts w:ascii="Arial" w:eastAsia="Times New Roman" w:hAnsi="Arial" w:cs="Arial"/>
          <w:sz w:val="18"/>
          <w:szCs w:val="18"/>
        </w:rPr>
        <w:t>Interleukin-6 is produced by bone and modulated by parathyroid hormone. Journal of Bone and Mineral Research, 4(4), 633-638. https://doi.org/10.1002/jbmr.5650040422</w:t>
      </w:r>
    </w:p>
    <w:p w14:paraId="42C4D701"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Heinrich, P. C., Castell, J. V., &amp; </w:t>
      </w:r>
      <w:proofErr w:type="spellStart"/>
      <w:r w:rsidRPr="00AF664D">
        <w:rPr>
          <w:rFonts w:ascii="Arial" w:eastAsia="Times New Roman" w:hAnsi="Arial" w:cs="Arial"/>
          <w:sz w:val="18"/>
          <w:szCs w:val="18"/>
        </w:rPr>
        <w:t>Andus</w:t>
      </w:r>
      <w:proofErr w:type="spellEnd"/>
      <w:r w:rsidRPr="00AF664D">
        <w:rPr>
          <w:rFonts w:ascii="Arial" w:eastAsia="Times New Roman" w:hAnsi="Arial" w:cs="Arial"/>
          <w:sz w:val="18"/>
          <w:szCs w:val="18"/>
        </w:rPr>
        <w:t>, T. (1990). Interleukin-6 and the acute phase response. Biochemical Journal, 265(3), 621-636. https://doi.org/10.1042/bj2650621</w:t>
      </w:r>
    </w:p>
    <w:p w14:paraId="16791FF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Coogan, A. N., &amp; Wyse, C. A. (2008). Neuroimmunology of the circadian clock. Brain Research, 1232, 104–112. https://doi.org/10.1016/j.brainres.2008.07.087</w:t>
      </w:r>
    </w:p>
    <w:p w14:paraId="3031B1E8"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Buttgereit</w:t>
      </w:r>
      <w:proofErr w:type="spellEnd"/>
      <w:r w:rsidRPr="00AF664D">
        <w:rPr>
          <w:rFonts w:ascii="Arial" w:eastAsia="Times New Roman" w:hAnsi="Arial" w:cs="Arial"/>
          <w:sz w:val="18"/>
          <w:szCs w:val="18"/>
        </w:rPr>
        <w:t xml:space="preserve">, F., Smolen, J. S., Coogan, A. N., &amp; </w:t>
      </w:r>
      <w:proofErr w:type="spellStart"/>
      <w:r w:rsidRPr="00AF664D">
        <w:rPr>
          <w:rFonts w:ascii="Arial" w:eastAsia="Times New Roman" w:hAnsi="Arial" w:cs="Arial"/>
          <w:sz w:val="18"/>
          <w:szCs w:val="18"/>
        </w:rPr>
        <w:t>Cajochen</w:t>
      </w:r>
      <w:proofErr w:type="spellEnd"/>
      <w:r w:rsidRPr="00AF664D">
        <w:rPr>
          <w:rFonts w:ascii="Arial" w:eastAsia="Times New Roman" w:hAnsi="Arial" w:cs="Arial"/>
          <w:sz w:val="18"/>
          <w:szCs w:val="18"/>
        </w:rPr>
        <w:t xml:space="preserve">, C. (2015). Clocking in: chronobiology in rheumatoid arthritis. Nat Rev </w:t>
      </w:r>
      <w:proofErr w:type="spellStart"/>
      <w:r w:rsidRPr="00AF664D">
        <w:rPr>
          <w:rFonts w:ascii="Arial" w:eastAsia="Times New Roman" w:hAnsi="Arial" w:cs="Arial"/>
          <w:sz w:val="18"/>
          <w:szCs w:val="18"/>
        </w:rPr>
        <w:t>Rheumatol</w:t>
      </w:r>
      <w:proofErr w:type="spellEnd"/>
      <w:r w:rsidRPr="00AF664D">
        <w:rPr>
          <w:rFonts w:ascii="Arial" w:eastAsia="Times New Roman" w:hAnsi="Arial" w:cs="Arial"/>
          <w:sz w:val="18"/>
          <w:szCs w:val="18"/>
        </w:rPr>
        <w:t>, 11(6), 349-356. https://doi.org/10.1038/nrrheum.2015.31</w:t>
      </w:r>
    </w:p>
    <w:p w14:paraId="2EE42AFB"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Vassalli</w:t>
      </w:r>
      <w:proofErr w:type="spellEnd"/>
      <w:r w:rsidRPr="00AF664D">
        <w:rPr>
          <w:rFonts w:ascii="Arial" w:eastAsia="Times New Roman" w:hAnsi="Arial" w:cs="Arial"/>
          <w:sz w:val="18"/>
          <w:szCs w:val="18"/>
        </w:rPr>
        <w:t xml:space="preserve">, P. (1992). The pathophysiology of </w:t>
      </w:r>
      <w:proofErr w:type="spellStart"/>
      <w:r w:rsidRPr="00AF664D">
        <w:rPr>
          <w:rFonts w:ascii="Arial" w:eastAsia="Times New Roman" w:hAnsi="Arial" w:cs="Arial"/>
          <w:sz w:val="18"/>
          <w:szCs w:val="18"/>
        </w:rPr>
        <w:t>tumor</w:t>
      </w:r>
      <w:proofErr w:type="spellEnd"/>
      <w:r w:rsidRPr="00AF664D">
        <w:rPr>
          <w:rFonts w:ascii="Arial" w:eastAsia="Times New Roman" w:hAnsi="Arial" w:cs="Arial"/>
          <w:sz w:val="18"/>
          <w:szCs w:val="18"/>
        </w:rPr>
        <w:t xml:space="preserve"> necrosis factors. Annual Review of Immunology https://doi.org/10.1146/annurev.iy.10.040192.002211</w:t>
      </w:r>
    </w:p>
    <w:p w14:paraId="6E39878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Shen, Y., </w:t>
      </w:r>
      <w:proofErr w:type="spellStart"/>
      <w:r w:rsidRPr="00AF664D">
        <w:rPr>
          <w:rFonts w:ascii="Arial" w:eastAsia="Times New Roman" w:hAnsi="Arial" w:cs="Arial"/>
          <w:sz w:val="18"/>
          <w:szCs w:val="18"/>
        </w:rPr>
        <w:t>Endale</w:t>
      </w:r>
      <w:proofErr w:type="spellEnd"/>
      <w:r w:rsidRPr="00AF664D">
        <w:rPr>
          <w:rFonts w:ascii="Arial" w:eastAsia="Times New Roman" w:hAnsi="Arial" w:cs="Arial"/>
          <w:sz w:val="18"/>
          <w:szCs w:val="18"/>
        </w:rPr>
        <w:t xml:space="preserve">, M., Wang, W., Morris, A. R., </w:t>
      </w:r>
      <w:proofErr w:type="spellStart"/>
      <w:r w:rsidRPr="00AF664D">
        <w:rPr>
          <w:rFonts w:ascii="Arial" w:eastAsia="Times New Roman" w:hAnsi="Arial" w:cs="Arial"/>
          <w:sz w:val="18"/>
          <w:szCs w:val="18"/>
        </w:rPr>
        <w:t>Francey</w:t>
      </w:r>
      <w:proofErr w:type="spellEnd"/>
      <w:r w:rsidRPr="00AF664D">
        <w:rPr>
          <w:rFonts w:ascii="Arial" w:eastAsia="Times New Roman" w:hAnsi="Arial" w:cs="Arial"/>
          <w:sz w:val="18"/>
          <w:szCs w:val="18"/>
        </w:rPr>
        <w:t xml:space="preserve">, L. J., Harold, R. L., Hammers, D. W., </w:t>
      </w:r>
      <w:proofErr w:type="spellStart"/>
      <w:r w:rsidRPr="00AF664D">
        <w:rPr>
          <w:rFonts w:ascii="Arial" w:eastAsia="Times New Roman" w:hAnsi="Arial" w:cs="Arial"/>
          <w:sz w:val="18"/>
          <w:szCs w:val="18"/>
        </w:rPr>
        <w:t>Huo</w:t>
      </w:r>
      <w:proofErr w:type="spellEnd"/>
      <w:r w:rsidRPr="00AF664D">
        <w:rPr>
          <w:rFonts w:ascii="Arial" w:eastAsia="Times New Roman" w:hAnsi="Arial" w:cs="Arial"/>
          <w:sz w:val="18"/>
          <w:szCs w:val="18"/>
        </w:rPr>
        <w:t xml:space="preserve">, Z., </w:t>
      </w:r>
      <w:proofErr w:type="spellStart"/>
      <w:r w:rsidRPr="00AF664D">
        <w:rPr>
          <w:rFonts w:ascii="Arial" w:eastAsia="Times New Roman" w:hAnsi="Arial" w:cs="Arial"/>
          <w:sz w:val="18"/>
          <w:szCs w:val="18"/>
        </w:rPr>
        <w:t>Partch</w:t>
      </w:r>
      <w:proofErr w:type="spellEnd"/>
      <w:r w:rsidRPr="00AF664D">
        <w:rPr>
          <w:rFonts w:ascii="Arial" w:eastAsia="Times New Roman" w:hAnsi="Arial" w:cs="Arial"/>
          <w:sz w:val="18"/>
          <w:szCs w:val="18"/>
        </w:rPr>
        <w:t xml:space="preserve">, C. L., </w:t>
      </w:r>
      <w:proofErr w:type="spellStart"/>
      <w:r w:rsidRPr="00AF664D">
        <w:rPr>
          <w:rFonts w:ascii="Arial" w:eastAsia="Times New Roman" w:hAnsi="Arial" w:cs="Arial"/>
          <w:sz w:val="18"/>
          <w:szCs w:val="18"/>
        </w:rPr>
        <w:t>Hogenesch</w:t>
      </w:r>
      <w:proofErr w:type="spellEnd"/>
      <w:r w:rsidRPr="00AF664D">
        <w:rPr>
          <w:rFonts w:ascii="Arial" w:eastAsia="Times New Roman" w:hAnsi="Arial" w:cs="Arial"/>
          <w:sz w:val="18"/>
          <w:szCs w:val="18"/>
        </w:rPr>
        <w:t>, J. B., Wu, Z.-H., &amp; Liu, A. C. (2021). NF-</w:t>
      </w:r>
      <w:proofErr w:type="spellStart"/>
      <w:r w:rsidRPr="00AF664D">
        <w:rPr>
          <w:rFonts w:ascii="Arial" w:eastAsia="Times New Roman" w:hAnsi="Arial" w:cs="Arial"/>
          <w:sz w:val="18"/>
          <w:szCs w:val="18"/>
        </w:rPr>
        <w:t>κB</w:t>
      </w:r>
      <w:proofErr w:type="spellEnd"/>
      <w:r w:rsidRPr="00AF664D">
        <w:rPr>
          <w:rFonts w:ascii="Arial" w:eastAsia="Times New Roman" w:hAnsi="Arial" w:cs="Arial"/>
          <w:sz w:val="18"/>
          <w:szCs w:val="18"/>
        </w:rPr>
        <w:t xml:space="preserve"> modifies the mammalian circadian clock through interaction with the core clock protein BMAL1. </w:t>
      </w:r>
      <w:proofErr w:type="spellStart"/>
      <w:r w:rsidRPr="00AF664D">
        <w:rPr>
          <w:rFonts w:ascii="Arial" w:eastAsia="Times New Roman" w:hAnsi="Arial" w:cs="Arial"/>
          <w:sz w:val="18"/>
          <w:szCs w:val="18"/>
        </w:rPr>
        <w:t>PLoS</w:t>
      </w:r>
      <w:proofErr w:type="spellEnd"/>
      <w:r w:rsidRPr="00AF664D">
        <w:rPr>
          <w:rFonts w:ascii="Arial" w:eastAsia="Times New Roman" w:hAnsi="Arial" w:cs="Arial"/>
          <w:sz w:val="18"/>
          <w:szCs w:val="18"/>
        </w:rPr>
        <w:t xml:space="preserve"> Genetics https://doi.org/10.1371/journal.pgen.1009933</w:t>
      </w:r>
    </w:p>
    <w:p w14:paraId="6467464F"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Gibbs, J. E., &amp; Ray, D. W. (2013). The role of the circadian clock in rheumatoid arthritis. Arthritis research &amp; therapy, 15(1), 205. https://doi.org/10.1186/ar4146</w:t>
      </w:r>
    </w:p>
    <w:p w14:paraId="7310D501"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Besedovsky</w:t>
      </w:r>
      <w:proofErr w:type="spellEnd"/>
      <w:r w:rsidRPr="00AF664D">
        <w:rPr>
          <w:rFonts w:ascii="Arial" w:eastAsia="Times New Roman" w:hAnsi="Arial" w:cs="Arial"/>
          <w:sz w:val="18"/>
          <w:szCs w:val="18"/>
        </w:rPr>
        <w:t xml:space="preserve">, L., Lange, T., &amp; Born, J. (2012). Sleep and immune function. </w:t>
      </w:r>
      <w:proofErr w:type="spellStart"/>
      <w:r w:rsidRPr="00AF664D">
        <w:rPr>
          <w:rFonts w:ascii="Arial" w:eastAsia="Times New Roman" w:hAnsi="Arial" w:cs="Arial"/>
          <w:sz w:val="18"/>
          <w:szCs w:val="18"/>
        </w:rPr>
        <w:t>Pflugers</w:t>
      </w:r>
      <w:proofErr w:type="spellEnd"/>
      <w:r w:rsidRPr="00AF664D">
        <w:rPr>
          <w:rFonts w:ascii="Arial" w:eastAsia="Times New Roman" w:hAnsi="Arial" w:cs="Arial"/>
          <w:sz w:val="18"/>
          <w:szCs w:val="18"/>
        </w:rPr>
        <w:t xml:space="preserve"> </w:t>
      </w:r>
      <w:proofErr w:type="spellStart"/>
      <w:proofErr w:type="gramStart"/>
      <w:r w:rsidRPr="00AF664D">
        <w:rPr>
          <w:rFonts w:ascii="Arial" w:eastAsia="Times New Roman" w:hAnsi="Arial" w:cs="Arial"/>
          <w:sz w:val="18"/>
          <w:szCs w:val="18"/>
        </w:rPr>
        <w:t>Archiv</w:t>
      </w:r>
      <w:proofErr w:type="spellEnd"/>
      <w:r w:rsidRPr="00AF664D">
        <w:rPr>
          <w:rFonts w:ascii="Arial" w:eastAsia="Times New Roman" w:hAnsi="Arial" w:cs="Arial"/>
          <w:sz w:val="18"/>
          <w:szCs w:val="18"/>
        </w:rPr>
        <w:t xml:space="preserve"> :</w:t>
      </w:r>
      <w:proofErr w:type="gramEnd"/>
      <w:r w:rsidRPr="00AF664D">
        <w:rPr>
          <w:rFonts w:ascii="Arial" w:eastAsia="Times New Roman" w:hAnsi="Arial" w:cs="Arial"/>
          <w:sz w:val="18"/>
          <w:szCs w:val="18"/>
        </w:rPr>
        <w:t xml:space="preserve"> European journal of physiology, 463(1), 121–137. https://doi.org/10.1007/s00424-011-1044-0</w:t>
      </w:r>
    </w:p>
    <w:p w14:paraId="2D53E53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Raison, C. L., &amp; Miller, A. H. (2013). </w:t>
      </w:r>
      <w:r w:rsidRPr="00AF664D">
        <w:rPr>
          <w:rFonts w:ascii="Arial" w:eastAsia="Times New Roman" w:hAnsi="Arial" w:cs="Arial"/>
          <w:sz w:val="18"/>
          <w:szCs w:val="18"/>
        </w:rPr>
        <w:t xml:space="preserve">The evolutionary significance of depression in Pathogen Host </w:t>
      </w:r>
      <w:proofErr w:type="spellStart"/>
      <w:r w:rsidRPr="00AF664D">
        <w:rPr>
          <w:rFonts w:ascii="Arial" w:eastAsia="Times New Roman" w:hAnsi="Arial" w:cs="Arial"/>
          <w:sz w:val="18"/>
          <w:szCs w:val="18"/>
        </w:rPr>
        <w:t>Defense</w:t>
      </w:r>
      <w:proofErr w:type="spellEnd"/>
      <w:r w:rsidRPr="00AF664D">
        <w:rPr>
          <w:rFonts w:ascii="Arial" w:eastAsia="Times New Roman" w:hAnsi="Arial" w:cs="Arial"/>
          <w:sz w:val="18"/>
          <w:szCs w:val="18"/>
        </w:rPr>
        <w:t xml:space="preserve"> (PATHOS-D). Molecular psychiatry, 18(1), 15–37. https://doi.org/10.1038/mp.2012.2</w:t>
      </w:r>
    </w:p>
    <w:p w14:paraId="0E45915C"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Park, J. S., </w:t>
      </w:r>
      <w:proofErr w:type="spellStart"/>
      <w:r w:rsidRPr="00AF664D">
        <w:rPr>
          <w:rFonts w:ascii="Arial" w:eastAsia="Times New Roman" w:hAnsi="Arial" w:cs="Arial"/>
          <w:sz w:val="18"/>
          <w:szCs w:val="18"/>
        </w:rPr>
        <w:t>Jeong</w:t>
      </w:r>
      <w:proofErr w:type="spellEnd"/>
      <w:r w:rsidRPr="00AF664D">
        <w:rPr>
          <w:rFonts w:ascii="Arial" w:eastAsia="Times New Roman" w:hAnsi="Arial" w:cs="Arial"/>
          <w:sz w:val="18"/>
          <w:szCs w:val="18"/>
        </w:rPr>
        <w:t>, Y., Jung, J., Ryu, J. J., Lim, H. K., Jung, S. K., &amp; Song, I. S. (2021). Shift work sleep disorder is closely associated with an increased risk for periodontal disease. Journal of clinical periodontology, 48(8), 1066–1075. https://doi.org/10.1111/jcpe.13508</w:t>
      </w:r>
    </w:p>
    <w:p w14:paraId="2E442558"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He, Y., Lin, F., Chen, Y., Tan, Z., Bai, D., &amp; Zhao, Q. (2017). Bone resorption is regulated by circadian clock in osteoblasts. Journal of Bone and Mineral Research, 32(4), 872-881. https://doi.org/10.1002/jbmr.3053</w:t>
      </w:r>
    </w:p>
    <w:p w14:paraId="73ACD5AC"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Sato, K., </w:t>
      </w:r>
      <w:proofErr w:type="spellStart"/>
      <w:r w:rsidRPr="00AF664D">
        <w:rPr>
          <w:rFonts w:ascii="Arial" w:eastAsia="Times New Roman" w:hAnsi="Arial" w:cs="Arial"/>
          <w:sz w:val="18"/>
          <w:szCs w:val="18"/>
        </w:rPr>
        <w:t>Suematsu</w:t>
      </w:r>
      <w:proofErr w:type="spellEnd"/>
      <w:r w:rsidRPr="00AF664D">
        <w:rPr>
          <w:rFonts w:ascii="Arial" w:eastAsia="Times New Roman" w:hAnsi="Arial" w:cs="Arial"/>
          <w:sz w:val="18"/>
          <w:szCs w:val="18"/>
        </w:rPr>
        <w:t xml:space="preserve">, A., Nakashima, T., Takemoto-Kimura, S., Aoki, K., </w:t>
      </w:r>
      <w:proofErr w:type="spellStart"/>
      <w:r w:rsidRPr="00AF664D">
        <w:rPr>
          <w:rFonts w:ascii="Arial" w:eastAsia="Times New Roman" w:hAnsi="Arial" w:cs="Arial"/>
          <w:sz w:val="18"/>
          <w:szCs w:val="18"/>
        </w:rPr>
        <w:t>Morishita</w:t>
      </w:r>
      <w:proofErr w:type="spellEnd"/>
      <w:r w:rsidRPr="00AF664D">
        <w:rPr>
          <w:rFonts w:ascii="Arial" w:eastAsia="Times New Roman" w:hAnsi="Arial" w:cs="Arial"/>
          <w:sz w:val="18"/>
          <w:szCs w:val="18"/>
        </w:rPr>
        <w:t xml:space="preserve">, Y., </w:t>
      </w:r>
      <w:proofErr w:type="spellStart"/>
      <w:r w:rsidRPr="00AF664D">
        <w:rPr>
          <w:rFonts w:ascii="Arial" w:eastAsia="Times New Roman" w:hAnsi="Arial" w:cs="Arial"/>
          <w:sz w:val="18"/>
          <w:szCs w:val="18"/>
        </w:rPr>
        <w:t>Asahara</w:t>
      </w:r>
      <w:proofErr w:type="spellEnd"/>
      <w:r w:rsidRPr="00AF664D">
        <w:rPr>
          <w:rFonts w:ascii="Arial" w:eastAsia="Times New Roman" w:hAnsi="Arial" w:cs="Arial"/>
          <w:sz w:val="18"/>
          <w:szCs w:val="18"/>
        </w:rPr>
        <w:t xml:space="preserve">, H., </w:t>
      </w:r>
      <w:proofErr w:type="spellStart"/>
      <w:r w:rsidRPr="00AF664D">
        <w:rPr>
          <w:rFonts w:ascii="Arial" w:eastAsia="Times New Roman" w:hAnsi="Arial" w:cs="Arial"/>
          <w:sz w:val="18"/>
          <w:szCs w:val="18"/>
        </w:rPr>
        <w:t>Ohya</w:t>
      </w:r>
      <w:proofErr w:type="spellEnd"/>
      <w:r w:rsidRPr="00AF664D">
        <w:rPr>
          <w:rFonts w:ascii="Arial" w:eastAsia="Times New Roman" w:hAnsi="Arial" w:cs="Arial"/>
          <w:sz w:val="18"/>
          <w:szCs w:val="18"/>
        </w:rPr>
        <w:t xml:space="preserve">, K., Yamaguchi, A., </w:t>
      </w:r>
      <w:proofErr w:type="spellStart"/>
      <w:r w:rsidRPr="00AF664D">
        <w:rPr>
          <w:rFonts w:ascii="Arial" w:eastAsia="Times New Roman" w:hAnsi="Arial" w:cs="Arial"/>
          <w:sz w:val="18"/>
          <w:szCs w:val="18"/>
        </w:rPr>
        <w:t>Takai</w:t>
      </w:r>
      <w:proofErr w:type="spellEnd"/>
      <w:r w:rsidRPr="00AF664D">
        <w:rPr>
          <w:rFonts w:ascii="Arial" w:eastAsia="Times New Roman" w:hAnsi="Arial" w:cs="Arial"/>
          <w:sz w:val="18"/>
          <w:szCs w:val="18"/>
        </w:rPr>
        <w:t xml:space="preserve">, T., Kodama, T., </w:t>
      </w:r>
      <w:proofErr w:type="spellStart"/>
      <w:r w:rsidRPr="00AF664D">
        <w:rPr>
          <w:rFonts w:ascii="Arial" w:eastAsia="Times New Roman" w:hAnsi="Arial" w:cs="Arial"/>
          <w:sz w:val="18"/>
          <w:szCs w:val="18"/>
        </w:rPr>
        <w:t>Chatila</w:t>
      </w:r>
      <w:proofErr w:type="spellEnd"/>
      <w:r w:rsidRPr="00AF664D">
        <w:rPr>
          <w:rFonts w:ascii="Arial" w:eastAsia="Times New Roman" w:hAnsi="Arial" w:cs="Arial"/>
          <w:sz w:val="18"/>
          <w:szCs w:val="18"/>
        </w:rPr>
        <w:t xml:space="preserve">, T. A., </w:t>
      </w:r>
      <w:proofErr w:type="spellStart"/>
      <w:r w:rsidRPr="00AF664D">
        <w:rPr>
          <w:rFonts w:ascii="Arial" w:eastAsia="Times New Roman" w:hAnsi="Arial" w:cs="Arial"/>
          <w:sz w:val="18"/>
          <w:szCs w:val="18"/>
        </w:rPr>
        <w:t>Bito</w:t>
      </w:r>
      <w:proofErr w:type="spellEnd"/>
      <w:r w:rsidRPr="00AF664D">
        <w:rPr>
          <w:rFonts w:ascii="Arial" w:eastAsia="Times New Roman" w:hAnsi="Arial" w:cs="Arial"/>
          <w:sz w:val="18"/>
          <w:szCs w:val="18"/>
        </w:rPr>
        <w:t xml:space="preserve">, H., &amp; </w:t>
      </w:r>
      <w:proofErr w:type="spellStart"/>
      <w:r w:rsidRPr="00AF664D">
        <w:rPr>
          <w:rFonts w:ascii="Arial" w:eastAsia="Times New Roman" w:hAnsi="Arial" w:cs="Arial"/>
          <w:sz w:val="18"/>
          <w:szCs w:val="18"/>
        </w:rPr>
        <w:t>Takayanagi</w:t>
      </w:r>
      <w:proofErr w:type="spellEnd"/>
      <w:r w:rsidRPr="00AF664D">
        <w:rPr>
          <w:rFonts w:ascii="Arial" w:eastAsia="Times New Roman" w:hAnsi="Arial" w:cs="Arial"/>
          <w:sz w:val="18"/>
          <w:szCs w:val="18"/>
        </w:rPr>
        <w:t xml:space="preserve">, H. (2006). Regulation of osteoclast differentiation and function by the </w:t>
      </w:r>
      <w:proofErr w:type="spellStart"/>
      <w:r w:rsidRPr="00AF664D">
        <w:rPr>
          <w:rFonts w:ascii="Arial" w:eastAsia="Times New Roman" w:hAnsi="Arial" w:cs="Arial"/>
          <w:sz w:val="18"/>
          <w:szCs w:val="18"/>
        </w:rPr>
        <w:t>CaMK</w:t>
      </w:r>
      <w:proofErr w:type="spellEnd"/>
      <w:r w:rsidRPr="00AF664D">
        <w:rPr>
          <w:rFonts w:ascii="Arial" w:eastAsia="Times New Roman" w:hAnsi="Arial" w:cs="Arial"/>
          <w:sz w:val="18"/>
          <w:szCs w:val="18"/>
        </w:rPr>
        <w:t>-CREB pathway. Nature Medicine, 12(12), 1410–1416. https://doi.org/10.1038/nm1515</w:t>
      </w:r>
    </w:p>
    <w:p w14:paraId="7774897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lastRenderedPageBreak/>
        <w:t xml:space="preserve">Song, C., Wang, J., Kim, B., Lu, C., Zhang, Z., Liu, H., Kang, H., Sun, Y., Guan, H., Fang, Z., &amp; Li, F. (2018). Insights into the Role of Circadian Rhythms in Bone Metabolism: A Promising Intervention </w:t>
      </w:r>
      <w:proofErr w:type="gramStart"/>
      <w:r w:rsidRPr="00AF664D">
        <w:rPr>
          <w:rFonts w:ascii="Arial" w:eastAsia="Times New Roman" w:hAnsi="Arial" w:cs="Arial"/>
          <w:sz w:val="18"/>
          <w:szCs w:val="18"/>
        </w:rPr>
        <w:t>Target?.</w:t>
      </w:r>
      <w:proofErr w:type="gramEnd"/>
      <w:r w:rsidRPr="00AF664D">
        <w:rPr>
          <w:rFonts w:ascii="Arial" w:eastAsia="Times New Roman" w:hAnsi="Arial" w:cs="Arial"/>
          <w:sz w:val="18"/>
          <w:szCs w:val="18"/>
        </w:rPr>
        <w:t xml:space="preserve"> BioMed Research International, 2018, 9156478. https://doi.org/10.1155/2018/9156478</w:t>
      </w:r>
    </w:p>
    <w:p w14:paraId="6BB7B72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Chang, J., </w:t>
      </w:r>
      <w:proofErr w:type="spellStart"/>
      <w:r w:rsidRPr="00AF664D">
        <w:rPr>
          <w:rFonts w:ascii="Arial" w:eastAsia="Times New Roman" w:hAnsi="Arial" w:cs="Arial"/>
          <w:sz w:val="18"/>
          <w:szCs w:val="18"/>
        </w:rPr>
        <w:t>Garva</w:t>
      </w:r>
      <w:proofErr w:type="spellEnd"/>
      <w:r w:rsidRPr="00AF664D">
        <w:rPr>
          <w:rFonts w:ascii="Arial" w:eastAsia="Times New Roman" w:hAnsi="Arial" w:cs="Arial"/>
          <w:sz w:val="18"/>
          <w:szCs w:val="18"/>
        </w:rPr>
        <w:t xml:space="preserve">, R., Pickard, A., Yeung, C. C., Mallikarjun, V., Swift, J., Holmes, D. F., Calverley, B., Lu, Y., Adamson, A., Raymond-Hayling, H., Jensen, O., Shearer, T., Meng, Q. J., &amp; </w:t>
      </w:r>
      <w:proofErr w:type="spellStart"/>
      <w:r w:rsidRPr="00AF664D">
        <w:rPr>
          <w:rFonts w:ascii="Arial" w:eastAsia="Times New Roman" w:hAnsi="Arial" w:cs="Arial"/>
          <w:sz w:val="18"/>
          <w:szCs w:val="18"/>
        </w:rPr>
        <w:t>Kadler</w:t>
      </w:r>
      <w:proofErr w:type="spellEnd"/>
      <w:r w:rsidRPr="00AF664D">
        <w:rPr>
          <w:rFonts w:ascii="Arial" w:eastAsia="Times New Roman" w:hAnsi="Arial" w:cs="Arial"/>
          <w:sz w:val="18"/>
          <w:szCs w:val="18"/>
        </w:rPr>
        <w:t>, K. E. (2020). Circadian control of the secretory pathway maintains collagen homeostasis. Nature cell biology, 22(1), 74–86. https://doi.org/10.1038/s41556-019-0441-z</w:t>
      </w:r>
    </w:p>
    <w:p w14:paraId="4F543E8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Gossan, N., </w:t>
      </w:r>
      <w:proofErr w:type="spellStart"/>
      <w:r w:rsidRPr="00AF664D">
        <w:rPr>
          <w:rFonts w:ascii="Arial" w:eastAsia="Times New Roman" w:hAnsi="Arial" w:cs="Arial"/>
          <w:sz w:val="18"/>
          <w:szCs w:val="18"/>
        </w:rPr>
        <w:t>Zeef</w:t>
      </w:r>
      <w:proofErr w:type="spellEnd"/>
      <w:r w:rsidRPr="00AF664D">
        <w:rPr>
          <w:rFonts w:ascii="Arial" w:eastAsia="Times New Roman" w:hAnsi="Arial" w:cs="Arial"/>
          <w:sz w:val="18"/>
          <w:szCs w:val="18"/>
        </w:rPr>
        <w:t xml:space="preserve">, L., </w:t>
      </w:r>
      <w:proofErr w:type="spellStart"/>
      <w:r w:rsidRPr="00AF664D">
        <w:rPr>
          <w:rFonts w:ascii="Arial" w:eastAsia="Times New Roman" w:hAnsi="Arial" w:cs="Arial"/>
          <w:sz w:val="18"/>
          <w:szCs w:val="18"/>
        </w:rPr>
        <w:t>Hensman</w:t>
      </w:r>
      <w:proofErr w:type="spellEnd"/>
      <w:r w:rsidRPr="00AF664D">
        <w:rPr>
          <w:rFonts w:ascii="Arial" w:eastAsia="Times New Roman" w:hAnsi="Arial" w:cs="Arial"/>
          <w:sz w:val="18"/>
          <w:szCs w:val="18"/>
        </w:rPr>
        <w:t xml:space="preserve">, J., Hughes, A., Bateman, J. F., Rowley, L., Little, C. B., </w:t>
      </w:r>
      <w:proofErr w:type="spellStart"/>
      <w:r w:rsidRPr="00AF664D">
        <w:rPr>
          <w:rFonts w:ascii="Arial" w:eastAsia="Times New Roman" w:hAnsi="Arial" w:cs="Arial"/>
          <w:sz w:val="18"/>
          <w:szCs w:val="18"/>
        </w:rPr>
        <w:t>Piggins</w:t>
      </w:r>
      <w:proofErr w:type="spellEnd"/>
      <w:r w:rsidRPr="00AF664D">
        <w:rPr>
          <w:rFonts w:ascii="Arial" w:eastAsia="Times New Roman" w:hAnsi="Arial" w:cs="Arial"/>
          <w:sz w:val="18"/>
          <w:szCs w:val="18"/>
        </w:rPr>
        <w:t>, H. D., Rattray, M., Boot-</w:t>
      </w:r>
      <w:proofErr w:type="spellStart"/>
      <w:r w:rsidRPr="00AF664D">
        <w:rPr>
          <w:rFonts w:ascii="Arial" w:eastAsia="Times New Roman" w:hAnsi="Arial" w:cs="Arial"/>
          <w:sz w:val="18"/>
          <w:szCs w:val="18"/>
        </w:rPr>
        <w:t>Handford</w:t>
      </w:r>
      <w:proofErr w:type="spellEnd"/>
      <w:r w:rsidRPr="00AF664D">
        <w:rPr>
          <w:rFonts w:ascii="Arial" w:eastAsia="Times New Roman" w:hAnsi="Arial" w:cs="Arial"/>
          <w:sz w:val="18"/>
          <w:szCs w:val="18"/>
        </w:rPr>
        <w:t>, R. P., &amp; Meng, Q. J. (2013). The circadian clock in murine chondrocytes regulates genes controlling key aspects of cartilage homeostasis. Arthritis and rheumatism, 65(9), 2334–2345. https://doi.org/10.1002/art.38035</w:t>
      </w:r>
    </w:p>
    <w:p w14:paraId="574850D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Anafi, R. C., </w:t>
      </w:r>
      <w:proofErr w:type="spellStart"/>
      <w:r w:rsidRPr="00AF664D">
        <w:rPr>
          <w:rFonts w:ascii="Arial" w:eastAsia="Times New Roman" w:hAnsi="Arial" w:cs="Arial"/>
          <w:sz w:val="18"/>
          <w:szCs w:val="18"/>
        </w:rPr>
        <w:t>Kayser</w:t>
      </w:r>
      <w:proofErr w:type="spellEnd"/>
      <w:r w:rsidRPr="00AF664D">
        <w:rPr>
          <w:rFonts w:ascii="Arial" w:eastAsia="Times New Roman" w:hAnsi="Arial" w:cs="Arial"/>
          <w:sz w:val="18"/>
          <w:szCs w:val="18"/>
        </w:rPr>
        <w:t xml:space="preserve">, M. S., &amp; </w:t>
      </w:r>
      <w:proofErr w:type="spellStart"/>
      <w:r w:rsidRPr="00AF664D">
        <w:rPr>
          <w:rFonts w:ascii="Arial" w:eastAsia="Times New Roman" w:hAnsi="Arial" w:cs="Arial"/>
          <w:sz w:val="18"/>
          <w:szCs w:val="18"/>
        </w:rPr>
        <w:t>Raizen</w:t>
      </w:r>
      <w:proofErr w:type="spellEnd"/>
      <w:r w:rsidRPr="00AF664D">
        <w:rPr>
          <w:rFonts w:ascii="Arial" w:eastAsia="Times New Roman" w:hAnsi="Arial" w:cs="Arial"/>
          <w:sz w:val="18"/>
          <w:szCs w:val="18"/>
        </w:rPr>
        <w:t>, D. M. (2019). Exploring phylogeny to find the function of sleep. Nature Reviews. Neuroscience, 20(2), 109–116. https://doi.org/10.1038/s41583-018-0098-9</w:t>
      </w:r>
    </w:p>
    <w:p w14:paraId="2179EE5E"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Ebersole, J. L., &amp; Gonzalez, O. A. (2022). Mucosal circadian rhythm pathway genes altered by aging and periodontitis. </w:t>
      </w:r>
      <w:proofErr w:type="spellStart"/>
      <w:r w:rsidRPr="00AF664D">
        <w:rPr>
          <w:rFonts w:ascii="Arial" w:eastAsia="Times New Roman" w:hAnsi="Arial" w:cs="Arial"/>
          <w:sz w:val="18"/>
          <w:szCs w:val="18"/>
        </w:rPr>
        <w:t>PLoS</w:t>
      </w:r>
      <w:proofErr w:type="spellEnd"/>
      <w:r w:rsidRPr="00AF664D">
        <w:rPr>
          <w:rFonts w:ascii="Arial" w:eastAsia="Times New Roman" w:hAnsi="Arial" w:cs="Arial"/>
          <w:sz w:val="18"/>
          <w:szCs w:val="18"/>
        </w:rPr>
        <w:t xml:space="preserve"> One. https://doi.org/10.1371/journal.pone.0275199</w:t>
      </w:r>
    </w:p>
    <w:p w14:paraId="2092BED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pt-BR"/>
        </w:rPr>
        <w:t xml:space="preserve">Liu, X., Cao, N., Liu, X., Deng, Y., Xin, Y., Fu, R., &amp; Wang, Y. (2022). </w:t>
      </w:r>
      <w:r w:rsidRPr="00AF664D">
        <w:rPr>
          <w:rFonts w:ascii="Arial" w:eastAsia="Times New Roman" w:hAnsi="Arial" w:cs="Arial"/>
          <w:sz w:val="18"/>
          <w:szCs w:val="18"/>
        </w:rPr>
        <w:t>Circadian rhythm disorders aggravate periodontitis by modulating BMAL1. International Journal of Molecular Sciences, 24(1), 374. https://doi.org/10.3390/ijms24010374</w:t>
      </w:r>
    </w:p>
    <w:p w14:paraId="4DD6D87D"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Uhr</w:t>
      </w:r>
      <w:proofErr w:type="spellEnd"/>
      <w:r w:rsidRPr="00AF664D">
        <w:rPr>
          <w:rFonts w:ascii="Arial" w:eastAsia="Times New Roman" w:hAnsi="Arial" w:cs="Arial"/>
          <w:sz w:val="18"/>
          <w:szCs w:val="18"/>
        </w:rPr>
        <w:t xml:space="preserve">, G. T., </w:t>
      </w:r>
      <w:proofErr w:type="spellStart"/>
      <w:r w:rsidRPr="00AF664D">
        <w:rPr>
          <w:rFonts w:ascii="Arial" w:eastAsia="Times New Roman" w:hAnsi="Arial" w:cs="Arial"/>
          <w:sz w:val="18"/>
          <w:szCs w:val="18"/>
        </w:rPr>
        <w:t>Dohnalová</w:t>
      </w:r>
      <w:proofErr w:type="spellEnd"/>
      <w:r w:rsidRPr="00AF664D">
        <w:rPr>
          <w:rFonts w:ascii="Arial" w:eastAsia="Times New Roman" w:hAnsi="Arial" w:cs="Arial"/>
          <w:sz w:val="18"/>
          <w:szCs w:val="18"/>
        </w:rPr>
        <w:t xml:space="preserve">, L., &amp; </w:t>
      </w:r>
      <w:proofErr w:type="spellStart"/>
      <w:r w:rsidRPr="00AF664D">
        <w:rPr>
          <w:rFonts w:ascii="Arial" w:eastAsia="Times New Roman" w:hAnsi="Arial" w:cs="Arial"/>
          <w:sz w:val="18"/>
          <w:szCs w:val="18"/>
        </w:rPr>
        <w:t>Thaiss</w:t>
      </w:r>
      <w:proofErr w:type="spellEnd"/>
      <w:r w:rsidRPr="00AF664D">
        <w:rPr>
          <w:rFonts w:ascii="Arial" w:eastAsia="Times New Roman" w:hAnsi="Arial" w:cs="Arial"/>
          <w:sz w:val="18"/>
          <w:szCs w:val="18"/>
        </w:rPr>
        <w:t xml:space="preserve">, C. A. (2019). The Dimension of Time in Host-Microbiome Interactions. </w:t>
      </w:r>
      <w:proofErr w:type="spellStart"/>
      <w:r w:rsidRPr="00AF664D">
        <w:rPr>
          <w:rFonts w:ascii="Arial" w:eastAsia="Times New Roman" w:hAnsi="Arial" w:cs="Arial"/>
          <w:sz w:val="18"/>
          <w:szCs w:val="18"/>
        </w:rPr>
        <w:t>mSystems</w:t>
      </w:r>
      <w:proofErr w:type="spellEnd"/>
      <w:r w:rsidRPr="00AF664D">
        <w:rPr>
          <w:rFonts w:ascii="Arial" w:eastAsia="Times New Roman" w:hAnsi="Arial" w:cs="Arial"/>
          <w:sz w:val="18"/>
          <w:szCs w:val="18"/>
        </w:rPr>
        <w:t>, 4(1), e00216-18. https://doi.org/10.1128/mSystems.00216-18</w:t>
      </w:r>
    </w:p>
    <w:p w14:paraId="3045A98A"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Kervezee</w:t>
      </w:r>
      <w:proofErr w:type="spellEnd"/>
      <w:r w:rsidRPr="00AF664D">
        <w:rPr>
          <w:rFonts w:ascii="Arial" w:eastAsia="Times New Roman" w:hAnsi="Arial" w:cs="Arial"/>
          <w:sz w:val="18"/>
          <w:szCs w:val="18"/>
        </w:rPr>
        <w:t xml:space="preserve">, L., Cuesta, M., </w:t>
      </w:r>
      <w:proofErr w:type="spellStart"/>
      <w:r w:rsidRPr="00AF664D">
        <w:rPr>
          <w:rFonts w:ascii="Arial" w:eastAsia="Times New Roman" w:hAnsi="Arial" w:cs="Arial"/>
          <w:sz w:val="18"/>
          <w:szCs w:val="18"/>
        </w:rPr>
        <w:t>Cermakian</w:t>
      </w:r>
      <w:proofErr w:type="spellEnd"/>
      <w:r w:rsidRPr="00AF664D">
        <w:rPr>
          <w:rFonts w:ascii="Arial" w:eastAsia="Times New Roman" w:hAnsi="Arial" w:cs="Arial"/>
          <w:sz w:val="18"/>
          <w:szCs w:val="18"/>
        </w:rPr>
        <w:t>, N., &amp; Boivin, D. B. (2018). Simulated night shift work induces circadian misalignment of the human peripheral blood mononuclear cell transcriptome. Proceedings of the National Academy of Sciences of the United States of America, 115(21), 5540–5545. https://doi.org/10.1073/pnas.1720719115</w:t>
      </w:r>
    </w:p>
    <w:p w14:paraId="4C7EFAFE"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Papagiannakopoulos</w:t>
      </w:r>
      <w:proofErr w:type="spellEnd"/>
      <w:r w:rsidRPr="00AF664D">
        <w:rPr>
          <w:rFonts w:ascii="Arial" w:eastAsia="Times New Roman" w:hAnsi="Arial" w:cs="Arial"/>
          <w:sz w:val="18"/>
          <w:szCs w:val="18"/>
        </w:rPr>
        <w:t xml:space="preserve">, T., Bauer, M. R., Davidson, S. M., </w:t>
      </w:r>
      <w:proofErr w:type="spellStart"/>
      <w:r w:rsidRPr="00AF664D">
        <w:rPr>
          <w:rFonts w:ascii="Arial" w:eastAsia="Times New Roman" w:hAnsi="Arial" w:cs="Arial"/>
          <w:sz w:val="18"/>
          <w:szCs w:val="18"/>
        </w:rPr>
        <w:t>Heimann</w:t>
      </w:r>
      <w:proofErr w:type="spellEnd"/>
      <w:r w:rsidRPr="00AF664D">
        <w:rPr>
          <w:rFonts w:ascii="Arial" w:eastAsia="Times New Roman" w:hAnsi="Arial" w:cs="Arial"/>
          <w:sz w:val="18"/>
          <w:szCs w:val="18"/>
        </w:rPr>
        <w:t xml:space="preserve">, M., </w:t>
      </w:r>
      <w:proofErr w:type="spellStart"/>
      <w:r w:rsidRPr="00AF664D">
        <w:rPr>
          <w:rFonts w:ascii="Arial" w:eastAsia="Times New Roman" w:hAnsi="Arial" w:cs="Arial"/>
          <w:sz w:val="18"/>
          <w:szCs w:val="18"/>
        </w:rPr>
        <w:t>Subbaraj</w:t>
      </w:r>
      <w:proofErr w:type="spellEnd"/>
      <w:r w:rsidRPr="00AF664D">
        <w:rPr>
          <w:rFonts w:ascii="Arial" w:eastAsia="Times New Roman" w:hAnsi="Arial" w:cs="Arial"/>
          <w:sz w:val="18"/>
          <w:szCs w:val="18"/>
        </w:rPr>
        <w:t xml:space="preserve">, L., </w:t>
      </w:r>
      <w:proofErr w:type="spellStart"/>
      <w:r w:rsidRPr="00AF664D">
        <w:rPr>
          <w:rFonts w:ascii="Arial" w:eastAsia="Times New Roman" w:hAnsi="Arial" w:cs="Arial"/>
          <w:sz w:val="18"/>
          <w:szCs w:val="18"/>
        </w:rPr>
        <w:t>Bhutkar</w:t>
      </w:r>
      <w:proofErr w:type="spellEnd"/>
      <w:r w:rsidRPr="00AF664D">
        <w:rPr>
          <w:rFonts w:ascii="Arial" w:eastAsia="Times New Roman" w:hAnsi="Arial" w:cs="Arial"/>
          <w:sz w:val="18"/>
          <w:szCs w:val="18"/>
        </w:rPr>
        <w:t xml:space="preserve">, A., </w:t>
      </w:r>
      <w:proofErr w:type="spellStart"/>
      <w:r w:rsidRPr="00AF664D">
        <w:rPr>
          <w:rFonts w:ascii="Arial" w:eastAsia="Times New Roman" w:hAnsi="Arial" w:cs="Arial"/>
          <w:sz w:val="18"/>
          <w:szCs w:val="18"/>
        </w:rPr>
        <w:t>Bartlebaugh</w:t>
      </w:r>
      <w:proofErr w:type="spellEnd"/>
      <w:r w:rsidRPr="00AF664D">
        <w:rPr>
          <w:rFonts w:ascii="Arial" w:eastAsia="Times New Roman" w:hAnsi="Arial" w:cs="Arial"/>
          <w:sz w:val="18"/>
          <w:szCs w:val="18"/>
        </w:rPr>
        <w:t xml:space="preserve">, J., Vander </w:t>
      </w:r>
      <w:proofErr w:type="spellStart"/>
      <w:r w:rsidRPr="00AF664D">
        <w:rPr>
          <w:rFonts w:ascii="Arial" w:eastAsia="Times New Roman" w:hAnsi="Arial" w:cs="Arial"/>
          <w:sz w:val="18"/>
          <w:szCs w:val="18"/>
        </w:rPr>
        <w:t>Heiden</w:t>
      </w:r>
      <w:proofErr w:type="spellEnd"/>
      <w:r w:rsidRPr="00AF664D">
        <w:rPr>
          <w:rFonts w:ascii="Arial" w:eastAsia="Times New Roman" w:hAnsi="Arial" w:cs="Arial"/>
          <w:sz w:val="18"/>
          <w:szCs w:val="18"/>
        </w:rPr>
        <w:t>, M. G., &amp; Jacks, T. (2016). Circadian Rhythm Disruption Promotes Lung Tumorigenesis. Cell metabolism, 24(2), 324–331. https://doi.org/10.1016/j.cmet.2016.07.001</w:t>
      </w:r>
    </w:p>
    <w:p w14:paraId="7CBC8EB6"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Chrousos</w:t>
      </w:r>
      <w:proofErr w:type="spellEnd"/>
      <w:r w:rsidRPr="00AF664D">
        <w:rPr>
          <w:rFonts w:ascii="Arial" w:eastAsia="Times New Roman" w:hAnsi="Arial" w:cs="Arial"/>
          <w:sz w:val="18"/>
          <w:szCs w:val="18"/>
        </w:rPr>
        <w:t xml:space="preserve">, G. P. (1995). The hypothalamic-pituitary-adrenal axis and immune-mediated inflammation. N </w:t>
      </w:r>
      <w:proofErr w:type="spellStart"/>
      <w:r w:rsidRPr="00AF664D">
        <w:rPr>
          <w:rFonts w:ascii="Arial" w:eastAsia="Times New Roman" w:hAnsi="Arial" w:cs="Arial"/>
          <w:sz w:val="18"/>
          <w:szCs w:val="18"/>
        </w:rPr>
        <w:t>Engl</w:t>
      </w:r>
      <w:proofErr w:type="spellEnd"/>
      <w:r w:rsidRPr="00AF664D">
        <w:rPr>
          <w:rFonts w:ascii="Arial" w:eastAsia="Times New Roman" w:hAnsi="Arial" w:cs="Arial"/>
          <w:sz w:val="18"/>
          <w:szCs w:val="18"/>
        </w:rPr>
        <w:t xml:space="preserve"> J Med. https://doi.org/10.1056/NEJM199505183322008</w:t>
      </w:r>
    </w:p>
    <w:p w14:paraId="5036AF82"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Partch</w:t>
      </w:r>
      <w:proofErr w:type="spellEnd"/>
      <w:r w:rsidRPr="00AF664D">
        <w:rPr>
          <w:rFonts w:ascii="Arial" w:eastAsia="Times New Roman" w:hAnsi="Arial" w:cs="Arial"/>
          <w:sz w:val="18"/>
          <w:szCs w:val="18"/>
        </w:rPr>
        <w:t>, C. L., Green, C. B., &amp; Takahashi, J. S. (2014). Molecular architecture of the mammalian circadian clock. Trends in Cell Biology, 24(2), 90–99. https://doi.org/10.1016/j.tcb.2013.07.002</w:t>
      </w:r>
    </w:p>
    <w:p w14:paraId="262666AC"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Scheiermann</w:t>
      </w:r>
      <w:proofErr w:type="spellEnd"/>
      <w:r w:rsidRPr="00AF664D">
        <w:rPr>
          <w:rFonts w:ascii="Arial" w:eastAsia="Times New Roman" w:hAnsi="Arial" w:cs="Arial"/>
          <w:sz w:val="18"/>
          <w:szCs w:val="18"/>
        </w:rPr>
        <w:t xml:space="preserve">, C., </w:t>
      </w:r>
      <w:proofErr w:type="spellStart"/>
      <w:r w:rsidRPr="00AF664D">
        <w:rPr>
          <w:rFonts w:ascii="Arial" w:eastAsia="Times New Roman" w:hAnsi="Arial" w:cs="Arial"/>
          <w:sz w:val="18"/>
          <w:szCs w:val="18"/>
        </w:rPr>
        <w:t>Kunisaki</w:t>
      </w:r>
      <w:proofErr w:type="spellEnd"/>
      <w:r w:rsidRPr="00AF664D">
        <w:rPr>
          <w:rFonts w:ascii="Arial" w:eastAsia="Times New Roman" w:hAnsi="Arial" w:cs="Arial"/>
          <w:sz w:val="18"/>
          <w:szCs w:val="18"/>
        </w:rPr>
        <w:t xml:space="preserve">, Y., &amp; </w:t>
      </w:r>
      <w:proofErr w:type="spellStart"/>
      <w:r w:rsidRPr="00AF664D">
        <w:rPr>
          <w:rFonts w:ascii="Arial" w:eastAsia="Times New Roman" w:hAnsi="Arial" w:cs="Arial"/>
          <w:sz w:val="18"/>
          <w:szCs w:val="18"/>
        </w:rPr>
        <w:t>Frenette</w:t>
      </w:r>
      <w:proofErr w:type="spellEnd"/>
      <w:r w:rsidRPr="00AF664D">
        <w:rPr>
          <w:rFonts w:ascii="Arial" w:eastAsia="Times New Roman" w:hAnsi="Arial" w:cs="Arial"/>
          <w:sz w:val="18"/>
          <w:szCs w:val="18"/>
        </w:rPr>
        <w:t>, P. S. (2013). Circadian control of the immune system. Nature Reviews Immunology, 13(3), 190-198. https://doi.org/10.1038/nri3386</w:t>
      </w:r>
    </w:p>
    <w:p w14:paraId="47D168E4"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Serhan</w:t>
      </w:r>
      <w:proofErr w:type="spellEnd"/>
      <w:r w:rsidRPr="00AF664D">
        <w:rPr>
          <w:rFonts w:ascii="Arial" w:eastAsia="Times New Roman" w:hAnsi="Arial" w:cs="Arial"/>
          <w:sz w:val="18"/>
          <w:szCs w:val="18"/>
        </w:rPr>
        <w:t>, C. N. (2014). Pro-resolving lipid mediators are leads for resolution physiology. Nature, 510(7503), 92–101. https://doi.org/10.1038/nature13479</w:t>
      </w:r>
    </w:p>
    <w:p w14:paraId="4DCF62BB" w14:textId="77777777" w:rsidR="00663027" w:rsidRPr="00AF664D" w:rsidRDefault="00663027" w:rsidP="00AF664D">
      <w:pPr>
        <w:pStyle w:val="ListParagraph"/>
        <w:numPr>
          <w:ilvl w:val="0"/>
          <w:numId w:val="22"/>
        </w:numPr>
        <w:spacing w:after="0" w:line="276" w:lineRule="auto"/>
        <w:rPr>
          <w:rFonts w:ascii="Arial" w:eastAsia="Times New Roman" w:hAnsi="Arial" w:cs="Arial"/>
          <w:color w:val="000000" w:themeColor="text1"/>
          <w:sz w:val="20"/>
          <w:szCs w:val="20"/>
        </w:rPr>
      </w:pPr>
      <w:r w:rsidRPr="00AF664D">
        <w:rPr>
          <w:rFonts w:ascii="Arial" w:hAnsi="Arial" w:cs="Arial"/>
          <w:color w:val="000000" w:themeColor="text1"/>
          <w:sz w:val="20"/>
          <w:szCs w:val="20"/>
          <w:shd w:val="clear" w:color="auto" w:fill="FFFFFF"/>
        </w:rPr>
        <w:t xml:space="preserve">Yu, X., Rollins, D., </w:t>
      </w:r>
      <w:proofErr w:type="spellStart"/>
      <w:r w:rsidRPr="00AF664D">
        <w:rPr>
          <w:rFonts w:ascii="Arial" w:hAnsi="Arial" w:cs="Arial"/>
          <w:color w:val="000000" w:themeColor="text1"/>
          <w:sz w:val="20"/>
          <w:szCs w:val="20"/>
          <w:shd w:val="clear" w:color="auto" w:fill="FFFFFF"/>
        </w:rPr>
        <w:t>Ruhn</w:t>
      </w:r>
      <w:proofErr w:type="spellEnd"/>
      <w:r w:rsidRPr="00AF664D">
        <w:rPr>
          <w:rFonts w:ascii="Arial" w:hAnsi="Arial" w:cs="Arial"/>
          <w:color w:val="000000" w:themeColor="text1"/>
          <w:sz w:val="20"/>
          <w:szCs w:val="20"/>
          <w:shd w:val="clear" w:color="auto" w:fill="FFFFFF"/>
        </w:rPr>
        <w:t xml:space="preserve">, K. A., Stubblefield, J. J., Green, C. B., </w:t>
      </w:r>
      <w:proofErr w:type="spellStart"/>
      <w:r w:rsidRPr="00AF664D">
        <w:rPr>
          <w:rFonts w:ascii="Arial" w:hAnsi="Arial" w:cs="Arial"/>
          <w:color w:val="000000" w:themeColor="text1"/>
          <w:sz w:val="20"/>
          <w:szCs w:val="20"/>
          <w:shd w:val="clear" w:color="auto" w:fill="FFFFFF"/>
        </w:rPr>
        <w:t>Kashiwada</w:t>
      </w:r>
      <w:proofErr w:type="spellEnd"/>
      <w:r w:rsidRPr="00AF664D">
        <w:rPr>
          <w:rFonts w:ascii="Arial" w:hAnsi="Arial" w:cs="Arial"/>
          <w:color w:val="000000" w:themeColor="text1"/>
          <w:sz w:val="20"/>
          <w:szCs w:val="20"/>
          <w:shd w:val="clear" w:color="auto" w:fill="FFFFFF"/>
        </w:rPr>
        <w:t>, M., Rothman, P. B., Takahashi, J. S., &amp; Hooper, L. V. (2013). TH17 cell differentiation is regulated by the circadian clock. </w:t>
      </w:r>
      <w:r w:rsidRPr="00AF664D">
        <w:rPr>
          <w:rFonts w:ascii="Arial" w:hAnsi="Arial" w:cs="Arial"/>
          <w:i/>
          <w:iCs/>
          <w:color w:val="000000" w:themeColor="text1"/>
          <w:sz w:val="20"/>
          <w:szCs w:val="20"/>
          <w:shd w:val="clear" w:color="auto" w:fill="FFFFFF"/>
        </w:rPr>
        <w:t>Science (New York, N.Y.)</w:t>
      </w:r>
      <w:r w:rsidRPr="00AF664D">
        <w:rPr>
          <w:rFonts w:ascii="Arial" w:hAnsi="Arial" w:cs="Arial"/>
          <w:color w:val="000000" w:themeColor="text1"/>
          <w:sz w:val="20"/>
          <w:szCs w:val="20"/>
          <w:shd w:val="clear" w:color="auto" w:fill="FFFFFF"/>
        </w:rPr>
        <w:t>, </w:t>
      </w:r>
      <w:r w:rsidRPr="00AF664D">
        <w:rPr>
          <w:rFonts w:ascii="Arial" w:hAnsi="Arial" w:cs="Arial"/>
          <w:i/>
          <w:iCs/>
          <w:color w:val="000000" w:themeColor="text1"/>
          <w:sz w:val="20"/>
          <w:szCs w:val="20"/>
          <w:shd w:val="clear" w:color="auto" w:fill="FFFFFF"/>
        </w:rPr>
        <w:t>342</w:t>
      </w:r>
      <w:r w:rsidRPr="00AF664D">
        <w:rPr>
          <w:rFonts w:ascii="Arial" w:hAnsi="Arial" w:cs="Arial"/>
          <w:color w:val="000000" w:themeColor="text1"/>
          <w:sz w:val="20"/>
          <w:szCs w:val="20"/>
          <w:shd w:val="clear" w:color="auto" w:fill="FFFFFF"/>
        </w:rPr>
        <w:t xml:space="preserve">(6159), 727–730. </w:t>
      </w:r>
      <w:hyperlink r:id="rId9" w:history="1">
        <w:r w:rsidRPr="00AF664D">
          <w:rPr>
            <w:rStyle w:val="Hyperlink"/>
            <w:rFonts w:ascii="Arial" w:hAnsi="Arial" w:cs="Arial"/>
            <w:color w:val="000000" w:themeColor="text1"/>
            <w:sz w:val="20"/>
            <w:szCs w:val="20"/>
            <w:shd w:val="clear" w:color="auto" w:fill="FFFFFF"/>
          </w:rPr>
          <w:t>https://doi.org/10.1126/science.1243884</w:t>
        </w:r>
      </w:hyperlink>
    </w:p>
    <w:p w14:paraId="47DE3CEC" w14:textId="77777777" w:rsidR="007150E4" w:rsidRDefault="007150E4" w:rsidP="007150E4">
      <w:pPr>
        <w:spacing w:after="0" w:line="276" w:lineRule="auto"/>
        <w:ind w:left="360"/>
        <w:rPr>
          <w:rFonts w:ascii="Arial" w:hAnsi="Arial" w:cs="Arial"/>
          <w:color w:val="000000" w:themeColor="text1"/>
          <w:sz w:val="20"/>
          <w:szCs w:val="20"/>
          <w:shd w:val="clear" w:color="auto" w:fill="FFFFFF"/>
        </w:rPr>
      </w:pPr>
    </w:p>
    <w:p w14:paraId="4D44F98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Deng, S., Qi, M., Gong, P., &amp; Tan, Z. (2022). The circadian clock component BMAL1 regulates osteogenesis in osseointegration. Frontiers in </w:t>
      </w:r>
      <w:proofErr w:type="spellStart"/>
      <w:r w:rsidRPr="00AF664D">
        <w:rPr>
          <w:rFonts w:ascii="Arial" w:eastAsia="Times New Roman" w:hAnsi="Arial" w:cs="Arial"/>
          <w:sz w:val="18"/>
          <w:szCs w:val="18"/>
        </w:rPr>
        <w:t>Pediatrics</w:t>
      </w:r>
      <w:proofErr w:type="spellEnd"/>
      <w:r w:rsidRPr="00AF664D">
        <w:rPr>
          <w:rFonts w:ascii="Arial" w:eastAsia="Times New Roman" w:hAnsi="Arial" w:cs="Arial"/>
          <w:sz w:val="18"/>
          <w:szCs w:val="18"/>
        </w:rPr>
        <w:t>. https://doi.org/10.3389/fped.2022.1091296</w:t>
      </w:r>
    </w:p>
    <w:p w14:paraId="094A415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Gibbs, J. E., </w:t>
      </w:r>
      <w:proofErr w:type="spellStart"/>
      <w:r w:rsidRPr="00AF664D">
        <w:rPr>
          <w:rFonts w:ascii="Arial" w:eastAsia="Times New Roman" w:hAnsi="Arial" w:cs="Arial"/>
          <w:sz w:val="18"/>
          <w:szCs w:val="18"/>
        </w:rPr>
        <w:t>Blaikley</w:t>
      </w:r>
      <w:proofErr w:type="spellEnd"/>
      <w:r w:rsidRPr="00AF664D">
        <w:rPr>
          <w:rFonts w:ascii="Arial" w:eastAsia="Times New Roman" w:hAnsi="Arial" w:cs="Arial"/>
          <w:sz w:val="18"/>
          <w:szCs w:val="18"/>
        </w:rPr>
        <w:t xml:space="preserve">, J., </w:t>
      </w:r>
      <w:proofErr w:type="spellStart"/>
      <w:r w:rsidRPr="00AF664D">
        <w:rPr>
          <w:rFonts w:ascii="Arial" w:eastAsia="Times New Roman" w:hAnsi="Arial" w:cs="Arial"/>
          <w:sz w:val="18"/>
          <w:szCs w:val="18"/>
        </w:rPr>
        <w:t>Beesley</w:t>
      </w:r>
      <w:proofErr w:type="spellEnd"/>
      <w:r w:rsidRPr="00AF664D">
        <w:rPr>
          <w:rFonts w:ascii="Arial" w:eastAsia="Times New Roman" w:hAnsi="Arial" w:cs="Arial"/>
          <w:sz w:val="18"/>
          <w:szCs w:val="18"/>
        </w:rPr>
        <w:t>, S., Matthews, L., Simpson, K. D., Boyce, S. H., Farrow, S. N., Else, K. J., Singh, D., Ray, D. W., &amp; Loudon, A. S. I. (2012). The nuclear receptor REV-ERBα mediates circadian regulation of innate immunity through selective regulation of inflammatory cytokines. Proceedings of the National Academy of Sciences of the United States of America, 109(2), 582–587. https://doi.org/10.1073/pnas.1106750109</w:t>
      </w:r>
    </w:p>
    <w:p w14:paraId="15DC30B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Wang, H., Gao, S., &amp; </w:t>
      </w:r>
      <w:proofErr w:type="spellStart"/>
      <w:r w:rsidRPr="00AF664D">
        <w:rPr>
          <w:rFonts w:ascii="Arial" w:eastAsia="Times New Roman" w:hAnsi="Arial" w:cs="Arial"/>
          <w:sz w:val="18"/>
          <w:szCs w:val="18"/>
        </w:rPr>
        <w:t>Dissanayaka</w:t>
      </w:r>
      <w:proofErr w:type="spellEnd"/>
      <w:r w:rsidRPr="00AF664D">
        <w:rPr>
          <w:rFonts w:ascii="Arial" w:eastAsia="Times New Roman" w:hAnsi="Arial" w:cs="Arial"/>
          <w:sz w:val="18"/>
          <w:szCs w:val="18"/>
        </w:rPr>
        <w:t>, W. L. (2024). Circ_0003764 Regulates the Osteogenic Differentiation of Periodontal Ligament Stem Cells. International dental journal. https://doi.org/10.1016/j.identj.2024.03.004</w:t>
      </w:r>
    </w:p>
    <w:p w14:paraId="563CB6D4"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Ruben, M. D., Smith, D. F., FitzGerald, G. A., &amp; </w:t>
      </w:r>
      <w:proofErr w:type="spellStart"/>
      <w:r w:rsidRPr="00AF664D">
        <w:rPr>
          <w:rFonts w:ascii="Arial" w:eastAsia="Times New Roman" w:hAnsi="Arial" w:cs="Arial"/>
          <w:sz w:val="18"/>
          <w:szCs w:val="18"/>
        </w:rPr>
        <w:t>Hogenesch</w:t>
      </w:r>
      <w:proofErr w:type="spellEnd"/>
      <w:r w:rsidRPr="00AF664D">
        <w:rPr>
          <w:rFonts w:ascii="Arial" w:eastAsia="Times New Roman" w:hAnsi="Arial" w:cs="Arial"/>
          <w:sz w:val="18"/>
          <w:szCs w:val="18"/>
        </w:rPr>
        <w:t>, J. B. (2019). Dosing time matters. Science (New York, N.Y.), 365(6453), 547–549. https://doi.org/10.1126/science.aax7621</w:t>
      </w:r>
    </w:p>
    <w:p w14:paraId="5DBC928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pt-BR"/>
        </w:rPr>
        <w:t xml:space="preserve">Cipolla-Neto, J., &amp; Amaral, F. G. (2018). </w:t>
      </w:r>
      <w:r w:rsidRPr="00AF664D">
        <w:rPr>
          <w:rFonts w:ascii="Arial" w:eastAsia="Times New Roman" w:hAnsi="Arial" w:cs="Arial"/>
          <w:sz w:val="18"/>
          <w:szCs w:val="18"/>
        </w:rPr>
        <w:t>Melatonin as a hormone: New physiological and clinical insights. Endocrine Reviews, 39(6), 990-1028. https://doi.org/10.1210/er.2018-00084</w:t>
      </w:r>
    </w:p>
    <w:p w14:paraId="3BFB2CE6"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t>Buttgereit</w:t>
      </w:r>
      <w:proofErr w:type="spellEnd"/>
      <w:r w:rsidRPr="00AF664D">
        <w:rPr>
          <w:rFonts w:ascii="Arial" w:eastAsia="Times New Roman" w:hAnsi="Arial" w:cs="Arial"/>
          <w:sz w:val="18"/>
          <w:szCs w:val="18"/>
        </w:rPr>
        <w:t xml:space="preserve">, F., Doering, G., Schaeffler, A., Witte, S., Sierakowski, S., </w:t>
      </w:r>
      <w:proofErr w:type="spellStart"/>
      <w:r w:rsidRPr="00AF664D">
        <w:rPr>
          <w:rFonts w:ascii="Arial" w:eastAsia="Times New Roman" w:hAnsi="Arial" w:cs="Arial"/>
          <w:sz w:val="18"/>
          <w:szCs w:val="18"/>
        </w:rPr>
        <w:t>Gromnica-Ihle</w:t>
      </w:r>
      <w:proofErr w:type="spellEnd"/>
      <w:r w:rsidRPr="00AF664D">
        <w:rPr>
          <w:rFonts w:ascii="Arial" w:eastAsia="Times New Roman" w:hAnsi="Arial" w:cs="Arial"/>
          <w:sz w:val="18"/>
          <w:szCs w:val="18"/>
        </w:rPr>
        <w:t xml:space="preserve">, E., </w:t>
      </w:r>
      <w:proofErr w:type="spellStart"/>
      <w:r w:rsidRPr="00AF664D">
        <w:rPr>
          <w:rFonts w:ascii="Arial" w:eastAsia="Times New Roman" w:hAnsi="Arial" w:cs="Arial"/>
          <w:sz w:val="18"/>
          <w:szCs w:val="18"/>
        </w:rPr>
        <w:t>Jeka</w:t>
      </w:r>
      <w:proofErr w:type="spellEnd"/>
      <w:r w:rsidRPr="00AF664D">
        <w:rPr>
          <w:rFonts w:ascii="Arial" w:eastAsia="Times New Roman" w:hAnsi="Arial" w:cs="Arial"/>
          <w:sz w:val="18"/>
          <w:szCs w:val="18"/>
        </w:rPr>
        <w:t xml:space="preserve">, S., Krueger, K., </w:t>
      </w:r>
      <w:proofErr w:type="spellStart"/>
      <w:r w:rsidRPr="00AF664D">
        <w:rPr>
          <w:rFonts w:ascii="Arial" w:eastAsia="Times New Roman" w:hAnsi="Arial" w:cs="Arial"/>
          <w:sz w:val="18"/>
          <w:szCs w:val="18"/>
        </w:rPr>
        <w:t>Szechinski</w:t>
      </w:r>
      <w:proofErr w:type="spellEnd"/>
      <w:r w:rsidRPr="00AF664D">
        <w:rPr>
          <w:rFonts w:ascii="Arial" w:eastAsia="Times New Roman" w:hAnsi="Arial" w:cs="Arial"/>
          <w:sz w:val="18"/>
          <w:szCs w:val="18"/>
        </w:rPr>
        <w:t xml:space="preserve">, J., &amp; </w:t>
      </w:r>
      <w:proofErr w:type="spellStart"/>
      <w:r w:rsidRPr="00AF664D">
        <w:rPr>
          <w:rFonts w:ascii="Arial" w:eastAsia="Times New Roman" w:hAnsi="Arial" w:cs="Arial"/>
          <w:sz w:val="18"/>
          <w:szCs w:val="18"/>
        </w:rPr>
        <w:t>Alten</w:t>
      </w:r>
      <w:proofErr w:type="spellEnd"/>
      <w:r w:rsidRPr="00AF664D">
        <w:rPr>
          <w:rFonts w:ascii="Arial" w:eastAsia="Times New Roman" w:hAnsi="Arial" w:cs="Arial"/>
          <w:sz w:val="18"/>
          <w:szCs w:val="18"/>
        </w:rPr>
        <w:t>, R. (2008). Efficacy of modified-release versus standard prednisone to reduce duration of morning stiffness of the joints in rheumatoid arthritis (CAPRA-1): a double-blind, randomised controlled trial. Lancet (London, England), 371(9608), 205–214. https://doi.org/10.1016/S0140-6736(08)60132-4</w:t>
      </w:r>
    </w:p>
    <w:p w14:paraId="30990160"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Buckley, C. D., Gilroy, D. W., &amp; </w:t>
      </w:r>
      <w:proofErr w:type="spellStart"/>
      <w:r w:rsidRPr="00AF664D">
        <w:rPr>
          <w:rFonts w:ascii="Arial" w:eastAsia="Times New Roman" w:hAnsi="Arial" w:cs="Arial"/>
          <w:sz w:val="18"/>
          <w:szCs w:val="18"/>
        </w:rPr>
        <w:t>Serhan</w:t>
      </w:r>
      <w:proofErr w:type="spellEnd"/>
      <w:r w:rsidRPr="00AF664D">
        <w:rPr>
          <w:rFonts w:ascii="Arial" w:eastAsia="Times New Roman" w:hAnsi="Arial" w:cs="Arial"/>
          <w:sz w:val="18"/>
          <w:szCs w:val="18"/>
        </w:rPr>
        <w:t xml:space="preserve">, C. N. (2014). </w:t>
      </w:r>
      <w:proofErr w:type="spellStart"/>
      <w:r w:rsidRPr="00AF664D">
        <w:rPr>
          <w:rFonts w:ascii="Arial" w:eastAsia="Times New Roman" w:hAnsi="Arial" w:cs="Arial"/>
          <w:sz w:val="18"/>
          <w:szCs w:val="18"/>
        </w:rPr>
        <w:t>Proresolving</w:t>
      </w:r>
      <w:proofErr w:type="spellEnd"/>
      <w:r w:rsidRPr="00AF664D">
        <w:rPr>
          <w:rFonts w:ascii="Arial" w:eastAsia="Times New Roman" w:hAnsi="Arial" w:cs="Arial"/>
          <w:sz w:val="18"/>
          <w:szCs w:val="18"/>
        </w:rPr>
        <w:t xml:space="preserve"> lipid mediators and mechanisms in the resolution of acute inflammation. Immunity https://doi.org/10.1016/j.immuni.2014.02.009</w:t>
      </w:r>
    </w:p>
    <w:p w14:paraId="29174391" w14:textId="77777777" w:rsidR="007150E4" w:rsidRPr="00AF664D" w:rsidRDefault="007150E4" w:rsidP="00AF664D">
      <w:pPr>
        <w:pStyle w:val="ListParagraph"/>
        <w:numPr>
          <w:ilvl w:val="0"/>
          <w:numId w:val="22"/>
        </w:numPr>
        <w:rPr>
          <w:rFonts w:ascii="Arial" w:eastAsia="Times New Roman" w:hAnsi="Arial" w:cs="Arial"/>
          <w:sz w:val="18"/>
          <w:szCs w:val="18"/>
        </w:rPr>
      </w:pPr>
      <w:proofErr w:type="spellStart"/>
      <w:r w:rsidRPr="00AF664D">
        <w:rPr>
          <w:rFonts w:ascii="Arial" w:eastAsia="Times New Roman" w:hAnsi="Arial" w:cs="Arial"/>
          <w:sz w:val="18"/>
          <w:szCs w:val="18"/>
        </w:rPr>
        <w:lastRenderedPageBreak/>
        <w:t>Solt</w:t>
      </w:r>
      <w:proofErr w:type="spellEnd"/>
      <w:r w:rsidRPr="00AF664D">
        <w:rPr>
          <w:rFonts w:ascii="Arial" w:eastAsia="Times New Roman" w:hAnsi="Arial" w:cs="Arial"/>
          <w:sz w:val="18"/>
          <w:szCs w:val="18"/>
        </w:rPr>
        <w:t xml:space="preserve">, L. A., Wang, Y., Banerjee, S., Hughes, T., </w:t>
      </w:r>
      <w:proofErr w:type="spellStart"/>
      <w:r w:rsidRPr="00AF664D">
        <w:rPr>
          <w:rFonts w:ascii="Arial" w:eastAsia="Times New Roman" w:hAnsi="Arial" w:cs="Arial"/>
          <w:sz w:val="18"/>
          <w:szCs w:val="18"/>
        </w:rPr>
        <w:t>Kojetin</w:t>
      </w:r>
      <w:proofErr w:type="spellEnd"/>
      <w:r w:rsidRPr="00AF664D">
        <w:rPr>
          <w:rFonts w:ascii="Arial" w:eastAsia="Times New Roman" w:hAnsi="Arial" w:cs="Arial"/>
          <w:sz w:val="18"/>
          <w:szCs w:val="18"/>
        </w:rPr>
        <w:t xml:space="preserve">, D. J., </w:t>
      </w:r>
      <w:proofErr w:type="spellStart"/>
      <w:r w:rsidRPr="00AF664D">
        <w:rPr>
          <w:rFonts w:ascii="Arial" w:eastAsia="Times New Roman" w:hAnsi="Arial" w:cs="Arial"/>
          <w:sz w:val="18"/>
          <w:szCs w:val="18"/>
        </w:rPr>
        <w:t>Lundasen</w:t>
      </w:r>
      <w:proofErr w:type="spellEnd"/>
      <w:r w:rsidRPr="00AF664D">
        <w:rPr>
          <w:rFonts w:ascii="Arial" w:eastAsia="Times New Roman" w:hAnsi="Arial" w:cs="Arial"/>
          <w:sz w:val="18"/>
          <w:szCs w:val="18"/>
        </w:rPr>
        <w:t xml:space="preserve">, T., Shin, Y., Liu, J., Cameron, M. D., Noel, R., </w:t>
      </w:r>
      <w:proofErr w:type="spellStart"/>
      <w:r w:rsidRPr="00AF664D">
        <w:rPr>
          <w:rFonts w:ascii="Arial" w:eastAsia="Times New Roman" w:hAnsi="Arial" w:cs="Arial"/>
          <w:sz w:val="18"/>
          <w:szCs w:val="18"/>
        </w:rPr>
        <w:t>Yoo</w:t>
      </w:r>
      <w:proofErr w:type="spellEnd"/>
      <w:r w:rsidRPr="00AF664D">
        <w:rPr>
          <w:rFonts w:ascii="Arial" w:eastAsia="Times New Roman" w:hAnsi="Arial" w:cs="Arial"/>
          <w:sz w:val="18"/>
          <w:szCs w:val="18"/>
        </w:rPr>
        <w:t xml:space="preserve">, S. H., Takahashi, J. S., Butler, A. A., </w:t>
      </w:r>
      <w:proofErr w:type="spellStart"/>
      <w:r w:rsidRPr="00AF664D">
        <w:rPr>
          <w:rFonts w:ascii="Arial" w:eastAsia="Times New Roman" w:hAnsi="Arial" w:cs="Arial"/>
          <w:sz w:val="18"/>
          <w:szCs w:val="18"/>
        </w:rPr>
        <w:t>Kamenecka</w:t>
      </w:r>
      <w:proofErr w:type="spellEnd"/>
      <w:r w:rsidRPr="00AF664D">
        <w:rPr>
          <w:rFonts w:ascii="Arial" w:eastAsia="Times New Roman" w:hAnsi="Arial" w:cs="Arial"/>
          <w:sz w:val="18"/>
          <w:szCs w:val="18"/>
        </w:rPr>
        <w:t>, T. M., &amp; Burris, T. P. (2012). Regulation of circadian behaviour and metabolism by synthetic REV-ERB agonists. Nature, 485(7396), 62–68. https://doi.org/10.1038/nature11030</w:t>
      </w:r>
    </w:p>
    <w:p w14:paraId="1057CF80" w14:textId="77777777" w:rsidR="00663027" w:rsidRPr="00D424BE" w:rsidRDefault="00663027" w:rsidP="00663027">
      <w:pPr>
        <w:spacing w:line="276" w:lineRule="auto"/>
        <w:ind w:left="360"/>
        <w:rPr>
          <w:rFonts w:ascii="Arial" w:eastAsia="Times New Roman" w:hAnsi="Arial" w:cs="Arial"/>
          <w:color w:val="000000" w:themeColor="text1"/>
          <w:sz w:val="20"/>
          <w:szCs w:val="20"/>
        </w:rPr>
      </w:pPr>
    </w:p>
    <w:p w14:paraId="4FBD8EE2" w14:textId="77777777" w:rsidR="00F0687C" w:rsidRDefault="00F0687C" w:rsidP="007D6BFD">
      <w:pPr>
        <w:spacing w:before="100" w:beforeAutospacing="1" w:after="100" w:afterAutospacing="1" w:line="276" w:lineRule="auto"/>
      </w:pPr>
      <w:r w:rsidRPr="007D6BFD">
        <w:rPr>
          <w:rFonts w:ascii="Arial" w:eastAsia="Times New Roman" w:hAnsi="Arial" w:cs="Arial"/>
          <w:bCs/>
          <w:sz w:val="20"/>
          <w:szCs w:val="20"/>
          <w:lang w:eastAsia="en-IN"/>
        </w:rPr>
        <w:t>Figure 1.</w:t>
      </w:r>
      <w:r w:rsidRPr="007D6BFD">
        <w:rPr>
          <w:rFonts w:ascii="Arial" w:eastAsia="Times New Roman" w:hAnsi="Arial" w:cs="Arial"/>
          <w:sz w:val="20"/>
          <w:szCs w:val="20"/>
          <w:lang w:eastAsia="en-IN"/>
        </w:rPr>
        <w:t xml:space="preserve"> </w:t>
      </w:r>
      <w:r w:rsidR="00E46038" w:rsidRPr="007D6BFD">
        <w:t>The Bidirectional Neuro-Immuno-Metabolic Axis in Periodontal Pathogenesis</w:t>
      </w:r>
    </w:p>
    <w:p w14:paraId="361F6578" w14:textId="77777777" w:rsidR="0075796E" w:rsidRPr="007D6BFD" w:rsidRDefault="0075796E" w:rsidP="007D6BFD">
      <w:pPr>
        <w:spacing w:before="100" w:beforeAutospacing="1" w:after="100" w:afterAutospacing="1" w:line="276" w:lineRule="auto"/>
      </w:pPr>
      <w:r>
        <w:rPr>
          <w:rFonts w:ascii="Arial" w:hAnsi="Arial" w:cs="Arial"/>
          <w:noProof/>
          <w:lang w:eastAsia="en-IN"/>
        </w:rPr>
        <w:drawing>
          <wp:inline distT="0" distB="0" distL="0" distR="0" wp14:anchorId="6EEB690C" wp14:editId="5829F130">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rectional model.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D847F9D" w14:textId="77777777" w:rsidR="00C220CE" w:rsidRPr="007D6BFD" w:rsidRDefault="00E46038" w:rsidP="007D6BFD">
      <w:pPr>
        <w:pStyle w:val="NormalWeb"/>
        <w:spacing w:after="0" w:afterAutospacing="0" w:line="276" w:lineRule="auto"/>
        <w:rPr>
          <w:rFonts w:ascii="Arial" w:hAnsi="Arial" w:cs="Arial"/>
          <w:sz w:val="20"/>
          <w:szCs w:val="20"/>
        </w:rPr>
      </w:pPr>
      <w:r w:rsidRPr="007D6BFD">
        <w:rPr>
          <w:rFonts w:ascii="Arial" w:hAnsi="Arial" w:cs="Arial"/>
          <w:bCs/>
          <w:sz w:val="20"/>
          <w:szCs w:val="20"/>
        </w:rPr>
        <w:t xml:space="preserve">Description: </w:t>
      </w:r>
      <w:r w:rsidRPr="007D6BFD">
        <w:rPr>
          <w:rFonts w:ascii="Arial" w:hAnsi="Arial" w:cs="Arial"/>
          <w:sz w:val="20"/>
          <w:szCs w:val="20"/>
          <w:bdr w:val="none" w:sz="0" w:space="0" w:color="auto" w:frame="1"/>
        </w:rPr>
        <w:t xml:space="preserve">The proposed </w:t>
      </w:r>
      <w:r w:rsidR="00B0474F" w:rsidRPr="007D6BFD">
        <w:rPr>
          <w:rFonts w:ascii="Arial" w:hAnsi="Arial" w:cs="Arial"/>
          <w:b/>
          <w:bCs/>
          <w:sz w:val="20"/>
          <w:szCs w:val="20"/>
          <w:bdr w:val="none" w:sz="0" w:space="0" w:color="auto" w:frame="1"/>
        </w:rPr>
        <w:t>Neuro-I</w:t>
      </w:r>
      <w:r w:rsidRPr="007D6BFD">
        <w:rPr>
          <w:rFonts w:ascii="Arial" w:hAnsi="Arial" w:cs="Arial"/>
          <w:b/>
          <w:bCs/>
          <w:sz w:val="20"/>
          <w:szCs w:val="20"/>
          <w:bdr w:val="none" w:sz="0" w:space="0" w:color="auto" w:frame="1"/>
        </w:rPr>
        <w:t>mmuno-Metabolic Model</w:t>
      </w:r>
      <w:r w:rsidRPr="007D6BFD">
        <w:rPr>
          <w:rFonts w:ascii="Arial" w:hAnsi="Arial" w:cs="Arial"/>
          <w:sz w:val="20"/>
          <w:szCs w:val="20"/>
          <w:bdr w:val="none" w:sz="0" w:space="0" w:color="auto" w:frame="1"/>
        </w:rPr>
        <w:t xml:space="preserve"> illustrates a self-perpetuating cycle where chronic periodontitis acts as a systemic stressor, releasing pro-inflammatory mediators like </w:t>
      </w:r>
      <w:r w:rsidRPr="007D6BFD">
        <w:rPr>
          <w:rFonts w:ascii="Arial" w:hAnsi="Arial" w:cs="Arial"/>
          <w:bCs/>
          <w:sz w:val="20"/>
          <w:szCs w:val="20"/>
          <w:bdr w:val="none" w:sz="0" w:space="0" w:color="auto" w:frame="1"/>
        </w:rPr>
        <w:t>TNF-α, IL-6, and PGE</w:t>
      </w:r>
      <w:r w:rsidRPr="007D6BFD">
        <w:rPr>
          <w:rFonts w:ascii="Arial" w:hAnsi="Arial" w:cs="Arial"/>
          <w:bCs/>
          <w:sz w:val="20"/>
          <w:szCs w:val="20"/>
          <w:bdr w:val="none" w:sz="0" w:space="0" w:color="auto" w:frame="1"/>
          <w:vertAlign w:val="subscript"/>
        </w:rPr>
        <w:t>2</w:t>
      </w:r>
      <w:r w:rsidRPr="007D6BFD">
        <w:rPr>
          <w:rFonts w:ascii="Arial" w:hAnsi="Arial" w:cs="Arial"/>
          <w:sz w:val="20"/>
          <w:szCs w:val="20"/>
          <w:bdr w:val="none" w:sz="0" w:space="0" w:color="auto" w:frame="1"/>
        </w:rPr>
        <w:t xml:space="preserve"> into the circulation. These markers induce </w:t>
      </w:r>
      <w:r w:rsidRPr="007D6BFD">
        <w:rPr>
          <w:rFonts w:ascii="Arial" w:hAnsi="Arial" w:cs="Arial"/>
          <w:bCs/>
          <w:sz w:val="20"/>
          <w:szCs w:val="20"/>
          <w:bdr w:val="none" w:sz="0" w:space="0" w:color="auto" w:frame="1"/>
        </w:rPr>
        <w:t>Circadian Desynchronization</w:t>
      </w:r>
      <w:r w:rsidRPr="007D6BFD">
        <w:rPr>
          <w:rFonts w:ascii="Arial" w:hAnsi="Arial" w:cs="Arial"/>
          <w:sz w:val="20"/>
          <w:szCs w:val="20"/>
          <w:bdr w:val="none" w:sz="0" w:space="0" w:color="auto" w:frame="1"/>
        </w:rPr>
        <w:t xml:space="preserve"> by dampening clock amplitude and flattening the diurnal cortisol slope, which stri</w:t>
      </w:r>
      <w:r w:rsidR="00B0474F" w:rsidRPr="007D6BFD">
        <w:rPr>
          <w:rFonts w:ascii="Arial" w:hAnsi="Arial" w:cs="Arial"/>
          <w:sz w:val="20"/>
          <w:szCs w:val="20"/>
          <w:bdr w:val="none" w:sz="0" w:space="0" w:color="auto" w:frame="1"/>
        </w:rPr>
        <w:t>ps the body of its natural anti-</w:t>
      </w:r>
      <w:r w:rsidRPr="007D6BFD">
        <w:rPr>
          <w:rFonts w:ascii="Arial" w:hAnsi="Arial" w:cs="Arial"/>
          <w:sz w:val="20"/>
          <w:szCs w:val="20"/>
          <w:bdr w:val="none" w:sz="0" w:space="0" w:color="auto" w:frame="1"/>
        </w:rPr>
        <w:t xml:space="preserve">inflammatory rhythm. Reciprocally, this desynchronization leads to a </w:t>
      </w:r>
      <w:r w:rsidRPr="007D6BFD">
        <w:rPr>
          <w:rFonts w:ascii="Arial" w:hAnsi="Arial" w:cs="Arial"/>
          <w:bCs/>
          <w:sz w:val="20"/>
          <w:szCs w:val="20"/>
          <w:bdr w:val="none" w:sz="0" w:space="0" w:color="auto" w:frame="1"/>
        </w:rPr>
        <w:t>loss of immune organization</w:t>
      </w:r>
      <w:r w:rsidRPr="007D6BFD">
        <w:rPr>
          <w:rFonts w:ascii="Arial" w:hAnsi="Arial" w:cs="Arial"/>
          <w:sz w:val="20"/>
          <w:szCs w:val="20"/>
          <w:bdr w:val="none" w:sz="0" w:space="0" w:color="auto" w:frame="1"/>
        </w:rPr>
        <w:t xml:space="preserve"> and reduced levels of </w:t>
      </w:r>
      <w:r w:rsidRPr="007D6BFD">
        <w:rPr>
          <w:rFonts w:ascii="Arial" w:hAnsi="Arial" w:cs="Arial"/>
          <w:bCs/>
          <w:sz w:val="20"/>
          <w:szCs w:val="20"/>
          <w:bdr w:val="none" w:sz="0" w:space="0" w:color="auto" w:frame="1"/>
        </w:rPr>
        <w:t>Specialized Pro-resolving Lipid Mediators (SPMs)</w:t>
      </w:r>
      <w:r w:rsidRPr="007D6BFD">
        <w:rPr>
          <w:rFonts w:ascii="Arial" w:hAnsi="Arial" w:cs="Arial"/>
          <w:sz w:val="20"/>
          <w:szCs w:val="20"/>
          <w:bdr w:val="none" w:sz="0" w:space="0" w:color="auto" w:frame="1"/>
        </w:rPr>
        <w:t xml:space="preserve">, skewing the host response toward a persistent pro-inflammatory state. Ultimately, this axis elevates the </w:t>
      </w:r>
      <w:r w:rsidRPr="007D6BFD">
        <w:rPr>
          <w:rFonts w:ascii="Arial" w:hAnsi="Arial" w:cs="Arial"/>
          <w:bCs/>
          <w:sz w:val="20"/>
          <w:szCs w:val="20"/>
          <w:bdr w:val="none" w:sz="0" w:space="0" w:color="auto" w:frame="1"/>
        </w:rPr>
        <w:t>RANKL/OPG ratio</w:t>
      </w:r>
      <w:r w:rsidRPr="007D6BFD">
        <w:rPr>
          <w:rFonts w:ascii="Arial" w:hAnsi="Arial" w:cs="Arial"/>
          <w:sz w:val="20"/>
          <w:szCs w:val="20"/>
          <w:bdr w:val="none" w:sz="0" w:space="0" w:color="auto" w:frame="1"/>
        </w:rPr>
        <w:t xml:space="preserve">, </w:t>
      </w:r>
      <w:proofErr w:type="spellStart"/>
      <w:r w:rsidRPr="007D6BFD">
        <w:rPr>
          <w:rFonts w:ascii="Arial" w:hAnsi="Arial" w:cs="Arial"/>
          <w:sz w:val="20"/>
          <w:szCs w:val="20"/>
          <w:bdr w:val="none" w:sz="0" w:space="0" w:color="auto" w:frame="1"/>
        </w:rPr>
        <w:t>fueling</w:t>
      </w:r>
      <w:proofErr w:type="spellEnd"/>
      <w:r w:rsidRPr="007D6BFD">
        <w:rPr>
          <w:rFonts w:ascii="Arial" w:hAnsi="Arial" w:cs="Arial"/>
          <w:sz w:val="20"/>
          <w:szCs w:val="20"/>
          <w:bdr w:val="none" w:sz="0" w:space="0" w:color="auto" w:frame="1"/>
        </w:rPr>
        <w:t xml:space="preserve"> </w:t>
      </w:r>
      <w:r w:rsidRPr="007D6BFD">
        <w:rPr>
          <w:rFonts w:ascii="Arial" w:hAnsi="Arial" w:cs="Arial"/>
          <w:bCs/>
          <w:sz w:val="20"/>
          <w:szCs w:val="20"/>
          <w:bdr w:val="none" w:sz="0" w:space="0" w:color="auto" w:frame="1"/>
        </w:rPr>
        <w:t>Accelerated Periodontal Destruction</w:t>
      </w:r>
      <w:r w:rsidRPr="007D6BFD">
        <w:rPr>
          <w:rFonts w:ascii="Arial" w:hAnsi="Arial" w:cs="Arial"/>
          <w:sz w:val="20"/>
          <w:szCs w:val="20"/>
          <w:bdr w:val="none" w:sz="0" w:space="0" w:color="auto" w:frame="1"/>
        </w:rPr>
        <w:t xml:space="preserve"> through sustained alveolar bone loss and connective tissue degradation.</w:t>
      </w:r>
    </w:p>
    <w:p w14:paraId="0F208DC5" w14:textId="77777777" w:rsidR="00C220CE" w:rsidRPr="007D6BFD" w:rsidRDefault="00C220CE" w:rsidP="007D6BFD">
      <w:pPr>
        <w:spacing w:line="276" w:lineRule="auto"/>
        <w:jc w:val="both"/>
      </w:pPr>
    </w:p>
    <w:sectPr w:rsidR="00C220CE" w:rsidRPr="007D6BFD" w:rsidSect="00D434D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304EC" w14:textId="77777777" w:rsidR="00DD0FA1" w:rsidRDefault="00DD0FA1" w:rsidP="00B0474F">
      <w:pPr>
        <w:spacing w:after="0" w:line="240" w:lineRule="auto"/>
      </w:pPr>
      <w:r>
        <w:separator/>
      </w:r>
    </w:p>
  </w:endnote>
  <w:endnote w:type="continuationSeparator" w:id="0">
    <w:p w14:paraId="38561A29" w14:textId="77777777" w:rsidR="00DD0FA1" w:rsidRDefault="00DD0FA1" w:rsidP="00B0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A261" w14:textId="77777777" w:rsidR="008578F9" w:rsidRDefault="0085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182325"/>
      <w:docPartObj>
        <w:docPartGallery w:val="Page Numbers (Bottom of Page)"/>
        <w:docPartUnique/>
      </w:docPartObj>
    </w:sdtPr>
    <w:sdtEndPr>
      <w:rPr>
        <w:noProof/>
      </w:rPr>
    </w:sdtEndPr>
    <w:sdtContent>
      <w:p w14:paraId="3759EAD2" w14:textId="77777777" w:rsidR="00B0474F" w:rsidRDefault="00B0474F">
        <w:pPr>
          <w:pStyle w:val="Footer"/>
          <w:jc w:val="right"/>
        </w:pPr>
        <w:r>
          <w:fldChar w:fldCharType="begin"/>
        </w:r>
        <w:r>
          <w:instrText xml:space="preserve"> PAGE   \* MERGEFORMAT </w:instrText>
        </w:r>
        <w:r>
          <w:fldChar w:fldCharType="separate"/>
        </w:r>
        <w:r w:rsidR="00D26B29">
          <w:rPr>
            <w:noProof/>
          </w:rPr>
          <w:t>1</w:t>
        </w:r>
        <w:r>
          <w:rPr>
            <w:noProof/>
          </w:rPr>
          <w:fldChar w:fldCharType="end"/>
        </w:r>
      </w:p>
    </w:sdtContent>
  </w:sdt>
  <w:p w14:paraId="0F924898" w14:textId="77777777" w:rsidR="00B0474F" w:rsidRDefault="00B04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F4024" w14:textId="77777777" w:rsidR="008578F9" w:rsidRDefault="0085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0AC54" w14:textId="77777777" w:rsidR="00DD0FA1" w:rsidRDefault="00DD0FA1" w:rsidP="00B0474F">
      <w:pPr>
        <w:spacing w:after="0" w:line="240" w:lineRule="auto"/>
      </w:pPr>
      <w:r>
        <w:separator/>
      </w:r>
    </w:p>
  </w:footnote>
  <w:footnote w:type="continuationSeparator" w:id="0">
    <w:p w14:paraId="6D2F2450" w14:textId="77777777" w:rsidR="00DD0FA1" w:rsidRDefault="00DD0FA1" w:rsidP="00B04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7030" w14:textId="4B5EF98B" w:rsidR="008578F9" w:rsidRDefault="008578F9">
    <w:pPr>
      <w:pStyle w:val="Header"/>
    </w:pPr>
    <w:r>
      <w:rPr>
        <w:noProof/>
      </w:rPr>
      <w:pict w14:anchorId="2EB40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21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F369" w14:textId="0A79EF2E" w:rsidR="008578F9" w:rsidRDefault="008578F9">
    <w:pPr>
      <w:pStyle w:val="Header"/>
    </w:pPr>
    <w:r>
      <w:rPr>
        <w:noProof/>
      </w:rPr>
      <w:pict w14:anchorId="7DF71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21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9AB3" w14:textId="515BBA4B" w:rsidR="008578F9" w:rsidRDefault="008578F9">
    <w:pPr>
      <w:pStyle w:val="Header"/>
    </w:pPr>
    <w:r>
      <w:rPr>
        <w:noProof/>
      </w:rPr>
      <w:pict w14:anchorId="10C42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21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C02"/>
    <w:multiLevelType w:val="multilevel"/>
    <w:tmpl w:val="323A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12EF"/>
    <w:multiLevelType w:val="multilevel"/>
    <w:tmpl w:val="13EA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40D83"/>
    <w:multiLevelType w:val="multilevel"/>
    <w:tmpl w:val="207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E6EDD"/>
    <w:multiLevelType w:val="multilevel"/>
    <w:tmpl w:val="CAC2F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8043D"/>
    <w:multiLevelType w:val="multilevel"/>
    <w:tmpl w:val="6A6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838C9"/>
    <w:multiLevelType w:val="hybridMultilevel"/>
    <w:tmpl w:val="6024D9A0"/>
    <w:lvl w:ilvl="0" w:tplc="F7F03FA0">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C21694"/>
    <w:multiLevelType w:val="multilevel"/>
    <w:tmpl w:val="E5964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01BD2"/>
    <w:multiLevelType w:val="multilevel"/>
    <w:tmpl w:val="078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E0C4D"/>
    <w:multiLevelType w:val="multilevel"/>
    <w:tmpl w:val="3B98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974E0"/>
    <w:multiLevelType w:val="hybridMultilevel"/>
    <w:tmpl w:val="0A5A961C"/>
    <w:lvl w:ilvl="0" w:tplc="F7F03FA0">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71B246B"/>
    <w:multiLevelType w:val="hybridMultilevel"/>
    <w:tmpl w:val="BC5A6E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B943563"/>
    <w:multiLevelType w:val="multilevel"/>
    <w:tmpl w:val="88AC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80900"/>
    <w:multiLevelType w:val="multilevel"/>
    <w:tmpl w:val="DD4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BE5"/>
    <w:multiLevelType w:val="multilevel"/>
    <w:tmpl w:val="B8984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90774"/>
    <w:multiLevelType w:val="multilevel"/>
    <w:tmpl w:val="458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8F4164"/>
    <w:multiLevelType w:val="hybridMultilevel"/>
    <w:tmpl w:val="B83C8D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BCD1833"/>
    <w:multiLevelType w:val="hybridMultilevel"/>
    <w:tmpl w:val="383CAD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538589D"/>
    <w:multiLevelType w:val="hybridMultilevel"/>
    <w:tmpl w:val="78BC5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94D7F0C"/>
    <w:multiLevelType w:val="hybridMultilevel"/>
    <w:tmpl w:val="0D7233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A812397"/>
    <w:multiLevelType w:val="hybridMultilevel"/>
    <w:tmpl w:val="0F28AD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0D44A7E"/>
    <w:multiLevelType w:val="hybridMultilevel"/>
    <w:tmpl w:val="0100B0B6"/>
    <w:lvl w:ilvl="0" w:tplc="F7F03FA0">
      <w:numFmt w:val="bullet"/>
      <w:lvlText w:val=""/>
      <w:lvlJc w:val="left"/>
      <w:pPr>
        <w:ind w:left="1080" w:hanging="360"/>
      </w:pPr>
      <w:rPr>
        <w:rFonts w:ascii="Arial" w:eastAsia="Times New Roman"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7C42487E"/>
    <w:multiLevelType w:val="hybridMultilevel"/>
    <w:tmpl w:val="7D5EDE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2"/>
  </w:num>
  <w:num w:numId="3">
    <w:abstractNumId w:val="13"/>
  </w:num>
  <w:num w:numId="4">
    <w:abstractNumId w:val="4"/>
  </w:num>
  <w:num w:numId="5">
    <w:abstractNumId w:val="1"/>
  </w:num>
  <w:num w:numId="6">
    <w:abstractNumId w:val="11"/>
  </w:num>
  <w:num w:numId="7">
    <w:abstractNumId w:val="3"/>
  </w:num>
  <w:num w:numId="8">
    <w:abstractNumId w:val="0"/>
  </w:num>
  <w:num w:numId="9">
    <w:abstractNumId w:val="2"/>
  </w:num>
  <w:num w:numId="10">
    <w:abstractNumId w:val="7"/>
  </w:num>
  <w:num w:numId="11">
    <w:abstractNumId w:val="10"/>
  </w:num>
  <w:num w:numId="12">
    <w:abstractNumId w:val="15"/>
  </w:num>
  <w:num w:numId="13">
    <w:abstractNumId w:val="5"/>
  </w:num>
  <w:num w:numId="14">
    <w:abstractNumId w:val="20"/>
  </w:num>
  <w:num w:numId="15">
    <w:abstractNumId w:val="9"/>
  </w:num>
  <w:num w:numId="16">
    <w:abstractNumId w:val="19"/>
  </w:num>
  <w:num w:numId="17">
    <w:abstractNumId w:val="17"/>
  </w:num>
  <w:num w:numId="18">
    <w:abstractNumId w:val="18"/>
  </w:num>
  <w:num w:numId="19">
    <w:abstractNumId w:val="8"/>
  </w:num>
  <w:num w:numId="20">
    <w:abstractNumId w:val="6"/>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99E"/>
    <w:rsid w:val="0006135A"/>
    <w:rsid w:val="00084357"/>
    <w:rsid w:val="00084D3C"/>
    <w:rsid w:val="000D3CE6"/>
    <w:rsid w:val="00102D34"/>
    <w:rsid w:val="00115891"/>
    <w:rsid w:val="0012037D"/>
    <w:rsid w:val="00142953"/>
    <w:rsid w:val="001662F3"/>
    <w:rsid w:val="00166D88"/>
    <w:rsid w:val="001A443E"/>
    <w:rsid w:val="001B7FC2"/>
    <w:rsid w:val="001D4727"/>
    <w:rsid w:val="001D4D05"/>
    <w:rsid w:val="001E410A"/>
    <w:rsid w:val="00220DA7"/>
    <w:rsid w:val="00225A26"/>
    <w:rsid w:val="002A39FC"/>
    <w:rsid w:val="002D4905"/>
    <w:rsid w:val="00304676"/>
    <w:rsid w:val="003504F6"/>
    <w:rsid w:val="003D7258"/>
    <w:rsid w:val="003E4839"/>
    <w:rsid w:val="0041243E"/>
    <w:rsid w:val="00414133"/>
    <w:rsid w:val="004152BE"/>
    <w:rsid w:val="00513B39"/>
    <w:rsid w:val="00525865"/>
    <w:rsid w:val="005267D6"/>
    <w:rsid w:val="005A51A0"/>
    <w:rsid w:val="005A6089"/>
    <w:rsid w:val="005B5375"/>
    <w:rsid w:val="005E1A0B"/>
    <w:rsid w:val="00600F1C"/>
    <w:rsid w:val="00604F37"/>
    <w:rsid w:val="006135A7"/>
    <w:rsid w:val="00614F8F"/>
    <w:rsid w:val="00663027"/>
    <w:rsid w:val="006823E3"/>
    <w:rsid w:val="006E15E0"/>
    <w:rsid w:val="007150E4"/>
    <w:rsid w:val="00726D69"/>
    <w:rsid w:val="00747CE7"/>
    <w:rsid w:val="0075796E"/>
    <w:rsid w:val="00795D45"/>
    <w:rsid w:val="007A56D3"/>
    <w:rsid w:val="007D6BFD"/>
    <w:rsid w:val="008433A2"/>
    <w:rsid w:val="008561DD"/>
    <w:rsid w:val="008578F9"/>
    <w:rsid w:val="00880D9F"/>
    <w:rsid w:val="008C199E"/>
    <w:rsid w:val="009558DA"/>
    <w:rsid w:val="009A1E7E"/>
    <w:rsid w:val="00A46E5E"/>
    <w:rsid w:val="00A75C24"/>
    <w:rsid w:val="00A84DF9"/>
    <w:rsid w:val="00AB355E"/>
    <w:rsid w:val="00AD7B6E"/>
    <w:rsid w:val="00AF664D"/>
    <w:rsid w:val="00B01319"/>
    <w:rsid w:val="00B03B35"/>
    <w:rsid w:val="00B0474F"/>
    <w:rsid w:val="00BA5419"/>
    <w:rsid w:val="00BD10A8"/>
    <w:rsid w:val="00C0161B"/>
    <w:rsid w:val="00C201C3"/>
    <w:rsid w:val="00C220CE"/>
    <w:rsid w:val="00C42391"/>
    <w:rsid w:val="00C53249"/>
    <w:rsid w:val="00C62E5E"/>
    <w:rsid w:val="00C63B2A"/>
    <w:rsid w:val="00CC7889"/>
    <w:rsid w:val="00CC7FB3"/>
    <w:rsid w:val="00CD3AED"/>
    <w:rsid w:val="00CF3BDA"/>
    <w:rsid w:val="00D01BCB"/>
    <w:rsid w:val="00D26B29"/>
    <w:rsid w:val="00D434D9"/>
    <w:rsid w:val="00D47F53"/>
    <w:rsid w:val="00D559C1"/>
    <w:rsid w:val="00D621B9"/>
    <w:rsid w:val="00D654C2"/>
    <w:rsid w:val="00DD0FA1"/>
    <w:rsid w:val="00DD360D"/>
    <w:rsid w:val="00DE11CE"/>
    <w:rsid w:val="00E21CF0"/>
    <w:rsid w:val="00E32DF5"/>
    <w:rsid w:val="00E34AE5"/>
    <w:rsid w:val="00E423F6"/>
    <w:rsid w:val="00E46038"/>
    <w:rsid w:val="00E5670A"/>
    <w:rsid w:val="00E67380"/>
    <w:rsid w:val="00E7732B"/>
    <w:rsid w:val="00EA2E52"/>
    <w:rsid w:val="00F0687C"/>
    <w:rsid w:val="00F65C84"/>
    <w:rsid w:val="00F66060"/>
    <w:rsid w:val="00F85E22"/>
    <w:rsid w:val="00F87450"/>
    <w:rsid w:val="00F97B7C"/>
    <w:rsid w:val="00FA5CB6"/>
    <w:rsid w:val="00FD14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8595AF"/>
  <w15:chartTrackingRefBased/>
  <w15:docId w15:val="{D5F06F42-4D7C-41F5-9AFE-D1BEE9E7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C1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8C1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3B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3B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99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C199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8C199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513B3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13B39"/>
    <w:rPr>
      <w:rFonts w:asciiTheme="majorHAnsi" w:eastAsiaTheme="majorEastAsia" w:hAnsiTheme="majorHAnsi" w:cstheme="majorBidi"/>
      <w:i/>
      <w:iCs/>
      <w:color w:val="2E74B5" w:themeColor="accent1" w:themeShade="BF"/>
    </w:rPr>
  </w:style>
  <w:style w:type="character" w:customStyle="1" w:styleId="math-inline">
    <w:name w:val="math-inline"/>
    <w:basedOn w:val="DefaultParagraphFont"/>
    <w:rsid w:val="00513B39"/>
  </w:style>
  <w:style w:type="character" w:styleId="Strong">
    <w:name w:val="Strong"/>
    <w:basedOn w:val="DefaultParagraphFont"/>
    <w:uiPriority w:val="22"/>
    <w:qFormat/>
    <w:rsid w:val="00F87450"/>
    <w:rPr>
      <w:b/>
      <w:bCs/>
    </w:rPr>
  </w:style>
  <w:style w:type="character" w:styleId="Emphasis">
    <w:name w:val="Emphasis"/>
    <w:basedOn w:val="DefaultParagraphFont"/>
    <w:uiPriority w:val="20"/>
    <w:qFormat/>
    <w:rsid w:val="00F66060"/>
    <w:rPr>
      <w:i/>
      <w:iCs/>
    </w:rPr>
  </w:style>
  <w:style w:type="character" w:customStyle="1" w:styleId="citation-115">
    <w:name w:val="citation-115"/>
    <w:basedOn w:val="DefaultParagraphFont"/>
    <w:rsid w:val="001D4727"/>
  </w:style>
  <w:style w:type="character" w:customStyle="1" w:styleId="citation-114">
    <w:name w:val="citation-114"/>
    <w:basedOn w:val="DefaultParagraphFont"/>
    <w:rsid w:val="001D4727"/>
  </w:style>
  <w:style w:type="character" w:customStyle="1" w:styleId="citation-113">
    <w:name w:val="citation-113"/>
    <w:basedOn w:val="DefaultParagraphFont"/>
    <w:rsid w:val="001D4727"/>
  </w:style>
  <w:style w:type="character" w:customStyle="1" w:styleId="citation-112">
    <w:name w:val="citation-112"/>
    <w:basedOn w:val="DefaultParagraphFont"/>
    <w:rsid w:val="001D4727"/>
  </w:style>
  <w:style w:type="character" w:customStyle="1" w:styleId="citation-111">
    <w:name w:val="citation-111"/>
    <w:basedOn w:val="DefaultParagraphFont"/>
    <w:rsid w:val="001D4727"/>
  </w:style>
  <w:style w:type="character" w:customStyle="1" w:styleId="citation-110">
    <w:name w:val="citation-110"/>
    <w:basedOn w:val="DefaultParagraphFont"/>
    <w:rsid w:val="001D4727"/>
  </w:style>
  <w:style w:type="character" w:customStyle="1" w:styleId="citation-109">
    <w:name w:val="citation-109"/>
    <w:basedOn w:val="DefaultParagraphFont"/>
    <w:rsid w:val="001D4727"/>
  </w:style>
  <w:style w:type="character" w:customStyle="1" w:styleId="citation-108">
    <w:name w:val="citation-108"/>
    <w:basedOn w:val="DefaultParagraphFont"/>
    <w:rsid w:val="001D4727"/>
  </w:style>
  <w:style w:type="character" w:customStyle="1" w:styleId="citation-107">
    <w:name w:val="citation-107"/>
    <w:basedOn w:val="DefaultParagraphFont"/>
    <w:rsid w:val="001D4727"/>
  </w:style>
  <w:style w:type="character" w:customStyle="1" w:styleId="citation-106">
    <w:name w:val="citation-106"/>
    <w:basedOn w:val="DefaultParagraphFont"/>
    <w:rsid w:val="001D4727"/>
  </w:style>
  <w:style w:type="character" w:customStyle="1" w:styleId="citation-105">
    <w:name w:val="citation-105"/>
    <w:basedOn w:val="DefaultParagraphFont"/>
    <w:rsid w:val="001D4727"/>
  </w:style>
  <w:style w:type="character" w:customStyle="1" w:styleId="citation-104">
    <w:name w:val="citation-104"/>
    <w:basedOn w:val="DefaultParagraphFont"/>
    <w:rsid w:val="001D4727"/>
  </w:style>
  <w:style w:type="character" w:customStyle="1" w:styleId="citation-103">
    <w:name w:val="citation-103"/>
    <w:basedOn w:val="DefaultParagraphFont"/>
    <w:rsid w:val="001D4727"/>
  </w:style>
  <w:style w:type="character" w:customStyle="1" w:styleId="citation-102">
    <w:name w:val="citation-102"/>
    <w:basedOn w:val="DefaultParagraphFont"/>
    <w:rsid w:val="001D4727"/>
  </w:style>
  <w:style w:type="character" w:customStyle="1" w:styleId="citation-101">
    <w:name w:val="citation-101"/>
    <w:basedOn w:val="DefaultParagraphFont"/>
    <w:rsid w:val="001D4727"/>
  </w:style>
  <w:style w:type="character" w:customStyle="1" w:styleId="citation-100">
    <w:name w:val="citation-100"/>
    <w:basedOn w:val="DefaultParagraphFont"/>
    <w:rsid w:val="001D4727"/>
  </w:style>
  <w:style w:type="character" w:customStyle="1" w:styleId="citation-99">
    <w:name w:val="citation-99"/>
    <w:basedOn w:val="DefaultParagraphFont"/>
    <w:rsid w:val="001D4727"/>
  </w:style>
  <w:style w:type="character" w:customStyle="1" w:styleId="citation-98">
    <w:name w:val="citation-98"/>
    <w:basedOn w:val="DefaultParagraphFont"/>
    <w:rsid w:val="001D4727"/>
  </w:style>
  <w:style w:type="character" w:customStyle="1" w:styleId="citation-97">
    <w:name w:val="citation-97"/>
    <w:basedOn w:val="DefaultParagraphFont"/>
    <w:rsid w:val="001D4727"/>
  </w:style>
  <w:style w:type="character" w:customStyle="1" w:styleId="citation-96">
    <w:name w:val="citation-96"/>
    <w:basedOn w:val="DefaultParagraphFont"/>
    <w:rsid w:val="001D4727"/>
  </w:style>
  <w:style w:type="character" w:customStyle="1" w:styleId="citation-394">
    <w:name w:val="citation-394"/>
    <w:basedOn w:val="DefaultParagraphFont"/>
    <w:rsid w:val="00CD3AED"/>
  </w:style>
  <w:style w:type="character" w:customStyle="1" w:styleId="citation-393">
    <w:name w:val="citation-393"/>
    <w:basedOn w:val="DefaultParagraphFont"/>
    <w:rsid w:val="00CD3AED"/>
  </w:style>
  <w:style w:type="character" w:customStyle="1" w:styleId="citation-392">
    <w:name w:val="citation-392"/>
    <w:basedOn w:val="DefaultParagraphFont"/>
    <w:rsid w:val="00CD3AED"/>
  </w:style>
  <w:style w:type="character" w:customStyle="1" w:styleId="citation-391">
    <w:name w:val="citation-391"/>
    <w:basedOn w:val="DefaultParagraphFont"/>
    <w:rsid w:val="00CD3AED"/>
  </w:style>
  <w:style w:type="character" w:customStyle="1" w:styleId="citation-390">
    <w:name w:val="citation-390"/>
    <w:basedOn w:val="DefaultParagraphFont"/>
    <w:rsid w:val="00CD3AED"/>
  </w:style>
  <w:style w:type="character" w:customStyle="1" w:styleId="citation-389">
    <w:name w:val="citation-389"/>
    <w:basedOn w:val="DefaultParagraphFont"/>
    <w:rsid w:val="00CD3AED"/>
  </w:style>
  <w:style w:type="character" w:customStyle="1" w:styleId="citation-388">
    <w:name w:val="citation-388"/>
    <w:basedOn w:val="DefaultParagraphFont"/>
    <w:rsid w:val="00CD3AED"/>
  </w:style>
  <w:style w:type="character" w:customStyle="1" w:styleId="citation-387">
    <w:name w:val="citation-387"/>
    <w:basedOn w:val="DefaultParagraphFont"/>
    <w:rsid w:val="00CD3AED"/>
  </w:style>
  <w:style w:type="table" w:styleId="ListTable2-Accent1">
    <w:name w:val="List Table 2 Accent 1"/>
    <w:basedOn w:val="TableNormal"/>
    <w:uiPriority w:val="47"/>
    <w:rsid w:val="00D559C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4">
    <w:name w:val="Plain Table 4"/>
    <w:basedOn w:val="TableNormal"/>
    <w:uiPriority w:val="44"/>
    <w:rsid w:val="00CF3B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uthor">
    <w:name w:val="Author"/>
    <w:basedOn w:val="Normal"/>
    <w:rsid w:val="00CF3BDA"/>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CF3BDA"/>
    <w:pPr>
      <w:spacing w:after="240" w:line="240" w:lineRule="exact"/>
      <w:jc w:val="right"/>
    </w:pPr>
    <w:rPr>
      <w:rFonts w:ascii="Helvetica" w:eastAsia="Times New Roman" w:hAnsi="Helvetica" w:cs="Times New Roman"/>
      <w:sz w:val="20"/>
      <w:szCs w:val="20"/>
      <w:lang w:val="en-US"/>
    </w:rPr>
  </w:style>
  <w:style w:type="paragraph" w:customStyle="1" w:styleId="AcknHead">
    <w:name w:val="Ackn Head"/>
    <w:basedOn w:val="Normal"/>
    <w:rsid w:val="00E67380"/>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C220CE"/>
    <w:pPr>
      <w:keepNext/>
      <w:spacing w:after="240" w:line="240" w:lineRule="auto"/>
    </w:pPr>
    <w:rPr>
      <w:rFonts w:ascii="Helvetica" w:eastAsia="Times New Roman" w:hAnsi="Helvetica" w:cs="Times New Roman"/>
      <w:b/>
      <w:caps/>
      <w:szCs w:val="20"/>
      <w:lang w:val="en-US"/>
    </w:rPr>
  </w:style>
  <w:style w:type="table" w:styleId="PlainTable2">
    <w:name w:val="Plain Table 2"/>
    <w:basedOn w:val="TableNormal"/>
    <w:uiPriority w:val="42"/>
    <w:rsid w:val="00880D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14F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8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45">
    <w:name w:val="citation-145"/>
    <w:basedOn w:val="DefaultParagraphFont"/>
    <w:rsid w:val="00D621B9"/>
  </w:style>
  <w:style w:type="character" w:customStyle="1" w:styleId="citation-144">
    <w:name w:val="citation-144"/>
    <w:basedOn w:val="DefaultParagraphFont"/>
    <w:rsid w:val="00D621B9"/>
  </w:style>
  <w:style w:type="character" w:customStyle="1" w:styleId="citation-143">
    <w:name w:val="citation-143"/>
    <w:basedOn w:val="DefaultParagraphFont"/>
    <w:rsid w:val="00D621B9"/>
  </w:style>
  <w:style w:type="character" w:customStyle="1" w:styleId="citation-142">
    <w:name w:val="citation-142"/>
    <w:basedOn w:val="DefaultParagraphFont"/>
    <w:rsid w:val="00D621B9"/>
  </w:style>
  <w:style w:type="character" w:customStyle="1" w:styleId="citation-141">
    <w:name w:val="citation-141"/>
    <w:basedOn w:val="DefaultParagraphFont"/>
    <w:rsid w:val="00D621B9"/>
  </w:style>
  <w:style w:type="character" w:customStyle="1" w:styleId="citation-140">
    <w:name w:val="citation-140"/>
    <w:basedOn w:val="DefaultParagraphFont"/>
    <w:rsid w:val="00D621B9"/>
  </w:style>
  <w:style w:type="character" w:customStyle="1" w:styleId="citation-95">
    <w:name w:val="citation-95"/>
    <w:basedOn w:val="DefaultParagraphFont"/>
    <w:rsid w:val="00D621B9"/>
  </w:style>
  <w:style w:type="character" w:customStyle="1" w:styleId="citation-243">
    <w:name w:val="citation-243"/>
    <w:basedOn w:val="DefaultParagraphFont"/>
    <w:rsid w:val="00E7732B"/>
  </w:style>
  <w:style w:type="character" w:customStyle="1" w:styleId="citation-242">
    <w:name w:val="citation-242"/>
    <w:basedOn w:val="DefaultParagraphFont"/>
    <w:rsid w:val="00E7732B"/>
  </w:style>
  <w:style w:type="character" w:customStyle="1" w:styleId="citation-241">
    <w:name w:val="citation-241"/>
    <w:basedOn w:val="DefaultParagraphFont"/>
    <w:rsid w:val="00E7732B"/>
  </w:style>
  <w:style w:type="character" w:customStyle="1" w:styleId="citation-262">
    <w:name w:val="citation-262"/>
    <w:basedOn w:val="DefaultParagraphFont"/>
    <w:rsid w:val="00E7732B"/>
  </w:style>
  <w:style w:type="character" w:customStyle="1" w:styleId="citation-261">
    <w:name w:val="citation-261"/>
    <w:basedOn w:val="DefaultParagraphFont"/>
    <w:rsid w:val="00E7732B"/>
  </w:style>
  <w:style w:type="character" w:customStyle="1" w:styleId="citation-260">
    <w:name w:val="citation-260"/>
    <w:basedOn w:val="DefaultParagraphFont"/>
    <w:rsid w:val="00E7732B"/>
  </w:style>
  <w:style w:type="paragraph" w:styleId="ListParagraph">
    <w:name w:val="List Paragraph"/>
    <w:basedOn w:val="Normal"/>
    <w:uiPriority w:val="34"/>
    <w:qFormat/>
    <w:rsid w:val="00C63B2A"/>
    <w:pPr>
      <w:ind w:left="720"/>
      <w:contextualSpacing/>
    </w:pPr>
  </w:style>
  <w:style w:type="character" w:customStyle="1" w:styleId="citation-321">
    <w:name w:val="citation-321"/>
    <w:basedOn w:val="DefaultParagraphFont"/>
    <w:rsid w:val="00A84DF9"/>
  </w:style>
  <w:style w:type="character" w:customStyle="1" w:styleId="citation-320">
    <w:name w:val="citation-320"/>
    <w:basedOn w:val="DefaultParagraphFont"/>
    <w:rsid w:val="00A84DF9"/>
  </w:style>
  <w:style w:type="character" w:customStyle="1" w:styleId="citation-319">
    <w:name w:val="citation-319"/>
    <w:basedOn w:val="DefaultParagraphFont"/>
    <w:rsid w:val="00A84DF9"/>
  </w:style>
  <w:style w:type="character" w:customStyle="1" w:styleId="citation-318">
    <w:name w:val="citation-318"/>
    <w:basedOn w:val="DefaultParagraphFont"/>
    <w:rsid w:val="00A84DF9"/>
  </w:style>
  <w:style w:type="character" w:customStyle="1" w:styleId="citation-317">
    <w:name w:val="citation-317"/>
    <w:basedOn w:val="DefaultParagraphFont"/>
    <w:rsid w:val="00A84DF9"/>
  </w:style>
  <w:style w:type="character" w:customStyle="1" w:styleId="citation-379">
    <w:name w:val="citation-379"/>
    <w:basedOn w:val="DefaultParagraphFont"/>
    <w:rsid w:val="00E46038"/>
  </w:style>
  <w:style w:type="character" w:customStyle="1" w:styleId="citation-378">
    <w:name w:val="citation-378"/>
    <w:basedOn w:val="DefaultParagraphFont"/>
    <w:rsid w:val="00E46038"/>
  </w:style>
  <w:style w:type="character" w:customStyle="1" w:styleId="citation-377">
    <w:name w:val="citation-377"/>
    <w:basedOn w:val="DefaultParagraphFont"/>
    <w:rsid w:val="00E46038"/>
  </w:style>
  <w:style w:type="character" w:customStyle="1" w:styleId="citation-376">
    <w:name w:val="citation-376"/>
    <w:basedOn w:val="DefaultParagraphFont"/>
    <w:rsid w:val="00E46038"/>
  </w:style>
  <w:style w:type="character" w:customStyle="1" w:styleId="citation-375">
    <w:name w:val="citation-375"/>
    <w:basedOn w:val="DefaultParagraphFont"/>
    <w:rsid w:val="00E46038"/>
  </w:style>
  <w:style w:type="paragraph" w:styleId="Header">
    <w:name w:val="header"/>
    <w:basedOn w:val="Normal"/>
    <w:link w:val="HeaderChar"/>
    <w:uiPriority w:val="99"/>
    <w:unhideWhenUsed/>
    <w:rsid w:val="00B04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74F"/>
  </w:style>
  <w:style w:type="paragraph" w:styleId="Footer">
    <w:name w:val="footer"/>
    <w:basedOn w:val="Normal"/>
    <w:link w:val="FooterChar"/>
    <w:uiPriority w:val="99"/>
    <w:unhideWhenUsed/>
    <w:rsid w:val="00B04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74F"/>
  </w:style>
  <w:style w:type="character" w:styleId="Hyperlink">
    <w:name w:val="Hyperlink"/>
    <w:basedOn w:val="DefaultParagraphFont"/>
    <w:uiPriority w:val="99"/>
    <w:unhideWhenUsed/>
    <w:rsid w:val="00663027"/>
    <w:rPr>
      <w:color w:val="0563C1" w:themeColor="hyperlink"/>
      <w:u w:val="single"/>
    </w:rPr>
  </w:style>
  <w:style w:type="character" w:styleId="UnresolvedMention">
    <w:name w:val="Unresolved Mention"/>
    <w:basedOn w:val="DefaultParagraphFont"/>
    <w:uiPriority w:val="99"/>
    <w:semiHidden/>
    <w:unhideWhenUsed/>
    <w:rsid w:val="005A5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6654">
      <w:bodyDiv w:val="1"/>
      <w:marLeft w:val="0"/>
      <w:marRight w:val="0"/>
      <w:marTop w:val="0"/>
      <w:marBottom w:val="0"/>
      <w:divBdr>
        <w:top w:val="none" w:sz="0" w:space="0" w:color="auto"/>
        <w:left w:val="none" w:sz="0" w:space="0" w:color="auto"/>
        <w:bottom w:val="none" w:sz="0" w:space="0" w:color="auto"/>
        <w:right w:val="none" w:sz="0" w:space="0" w:color="auto"/>
      </w:divBdr>
    </w:div>
    <w:div w:id="115684486">
      <w:bodyDiv w:val="1"/>
      <w:marLeft w:val="0"/>
      <w:marRight w:val="0"/>
      <w:marTop w:val="0"/>
      <w:marBottom w:val="0"/>
      <w:divBdr>
        <w:top w:val="none" w:sz="0" w:space="0" w:color="auto"/>
        <w:left w:val="none" w:sz="0" w:space="0" w:color="auto"/>
        <w:bottom w:val="none" w:sz="0" w:space="0" w:color="auto"/>
        <w:right w:val="none" w:sz="0" w:space="0" w:color="auto"/>
      </w:divBdr>
    </w:div>
    <w:div w:id="124589884">
      <w:bodyDiv w:val="1"/>
      <w:marLeft w:val="0"/>
      <w:marRight w:val="0"/>
      <w:marTop w:val="0"/>
      <w:marBottom w:val="0"/>
      <w:divBdr>
        <w:top w:val="none" w:sz="0" w:space="0" w:color="auto"/>
        <w:left w:val="none" w:sz="0" w:space="0" w:color="auto"/>
        <w:bottom w:val="none" w:sz="0" w:space="0" w:color="auto"/>
        <w:right w:val="none" w:sz="0" w:space="0" w:color="auto"/>
      </w:divBdr>
    </w:div>
    <w:div w:id="125003481">
      <w:bodyDiv w:val="1"/>
      <w:marLeft w:val="0"/>
      <w:marRight w:val="0"/>
      <w:marTop w:val="0"/>
      <w:marBottom w:val="0"/>
      <w:divBdr>
        <w:top w:val="none" w:sz="0" w:space="0" w:color="auto"/>
        <w:left w:val="none" w:sz="0" w:space="0" w:color="auto"/>
        <w:bottom w:val="none" w:sz="0" w:space="0" w:color="auto"/>
        <w:right w:val="none" w:sz="0" w:space="0" w:color="auto"/>
      </w:divBdr>
    </w:div>
    <w:div w:id="206600971">
      <w:bodyDiv w:val="1"/>
      <w:marLeft w:val="0"/>
      <w:marRight w:val="0"/>
      <w:marTop w:val="0"/>
      <w:marBottom w:val="0"/>
      <w:divBdr>
        <w:top w:val="none" w:sz="0" w:space="0" w:color="auto"/>
        <w:left w:val="none" w:sz="0" w:space="0" w:color="auto"/>
        <w:bottom w:val="none" w:sz="0" w:space="0" w:color="auto"/>
        <w:right w:val="none" w:sz="0" w:space="0" w:color="auto"/>
      </w:divBdr>
    </w:div>
    <w:div w:id="235743889">
      <w:bodyDiv w:val="1"/>
      <w:marLeft w:val="0"/>
      <w:marRight w:val="0"/>
      <w:marTop w:val="0"/>
      <w:marBottom w:val="0"/>
      <w:divBdr>
        <w:top w:val="none" w:sz="0" w:space="0" w:color="auto"/>
        <w:left w:val="none" w:sz="0" w:space="0" w:color="auto"/>
        <w:bottom w:val="none" w:sz="0" w:space="0" w:color="auto"/>
        <w:right w:val="none" w:sz="0" w:space="0" w:color="auto"/>
      </w:divBdr>
    </w:div>
    <w:div w:id="277568073">
      <w:bodyDiv w:val="1"/>
      <w:marLeft w:val="0"/>
      <w:marRight w:val="0"/>
      <w:marTop w:val="0"/>
      <w:marBottom w:val="0"/>
      <w:divBdr>
        <w:top w:val="none" w:sz="0" w:space="0" w:color="auto"/>
        <w:left w:val="none" w:sz="0" w:space="0" w:color="auto"/>
        <w:bottom w:val="none" w:sz="0" w:space="0" w:color="auto"/>
        <w:right w:val="none" w:sz="0" w:space="0" w:color="auto"/>
      </w:divBdr>
    </w:div>
    <w:div w:id="349650169">
      <w:bodyDiv w:val="1"/>
      <w:marLeft w:val="0"/>
      <w:marRight w:val="0"/>
      <w:marTop w:val="0"/>
      <w:marBottom w:val="0"/>
      <w:divBdr>
        <w:top w:val="none" w:sz="0" w:space="0" w:color="auto"/>
        <w:left w:val="none" w:sz="0" w:space="0" w:color="auto"/>
        <w:bottom w:val="none" w:sz="0" w:space="0" w:color="auto"/>
        <w:right w:val="none" w:sz="0" w:space="0" w:color="auto"/>
      </w:divBdr>
    </w:div>
    <w:div w:id="352458108">
      <w:bodyDiv w:val="1"/>
      <w:marLeft w:val="0"/>
      <w:marRight w:val="0"/>
      <w:marTop w:val="0"/>
      <w:marBottom w:val="0"/>
      <w:divBdr>
        <w:top w:val="none" w:sz="0" w:space="0" w:color="auto"/>
        <w:left w:val="none" w:sz="0" w:space="0" w:color="auto"/>
        <w:bottom w:val="none" w:sz="0" w:space="0" w:color="auto"/>
        <w:right w:val="none" w:sz="0" w:space="0" w:color="auto"/>
      </w:divBdr>
    </w:div>
    <w:div w:id="433718136">
      <w:bodyDiv w:val="1"/>
      <w:marLeft w:val="0"/>
      <w:marRight w:val="0"/>
      <w:marTop w:val="0"/>
      <w:marBottom w:val="0"/>
      <w:divBdr>
        <w:top w:val="none" w:sz="0" w:space="0" w:color="auto"/>
        <w:left w:val="none" w:sz="0" w:space="0" w:color="auto"/>
        <w:bottom w:val="none" w:sz="0" w:space="0" w:color="auto"/>
        <w:right w:val="none" w:sz="0" w:space="0" w:color="auto"/>
      </w:divBdr>
    </w:div>
    <w:div w:id="576524791">
      <w:bodyDiv w:val="1"/>
      <w:marLeft w:val="0"/>
      <w:marRight w:val="0"/>
      <w:marTop w:val="0"/>
      <w:marBottom w:val="0"/>
      <w:divBdr>
        <w:top w:val="none" w:sz="0" w:space="0" w:color="auto"/>
        <w:left w:val="none" w:sz="0" w:space="0" w:color="auto"/>
        <w:bottom w:val="none" w:sz="0" w:space="0" w:color="auto"/>
        <w:right w:val="none" w:sz="0" w:space="0" w:color="auto"/>
      </w:divBdr>
    </w:div>
    <w:div w:id="586957599">
      <w:bodyDiv w:val="1"/>
      <w:marLeft w:val="0"/>
      <w:marRight w:val="0"/>
      <w:marTop w:val="0"/>
      <w:marBottom w:val="0"/>
      <w:divBdr>
        <w:top w:val="none" w:sz="0" w:space="0" w:color="auto"/>
        <w:left w:val="none" w:sz="0" w:space="0" w:color="auto"/>
        <w:bottom w:val="none" w:sz="0" w:space="0" w:color="auto"/>
        <w:right w:val="none" w:sz="0" w:space="0" w:color="auto"/>
      </w:divBdr>
    </w:div>
    <w:div w:id="617834108">
      <w:bodyDiv w:val="1"/>
      <w:marLeft w:val="0"/>
      <w:marRight w:val="0"/>
      <w:marTop w:val="0"/>
      <w:marBottom w:val="0"/>
      <w:divBdr>
        <w:top w:val="none" w:sz="0" w:space="0" w:color="auto"/>
        <w:left w:val="none" w:sz="0" w:space="0" w:color="auto"/>
        <w:bottom w:val="none" w:sz="0" w:space="0" w:color="auto"/>
        <w:right w:val="none" w:sz="0" w:space="0" w:color="auto"/>
      </w:divBdr>
    </w:div>
    <w:div w:id="740639006">
      <w:bodyDiv w:val="1"/>
      <w:marLeft w:val="0"/>
      <w:marRight w:val="0"/>
      <w:marTop w:val="0"/>
      <w:marBottom w:val="0"/>
      <w:divBdr>
        <w:top w:val="none" w:sz="0" w:space="0" w:color="auto"/>
        <w:left w:val="none" w:sz="0" w:space="0" w:color="auto"/>
        <w:bottom w:val="none" w:sz="0" w:space="0" w:color="auto"/>
        <w:right w:val="none" w:sz="0" w:space="0" w:color="auto"/>
      </w:divBdr>
    </w:div>
    <w:div w:id="742215191">
      <w:bodyDiv w:val="1"/>
      <w:marLeft w:val="0"/>
      <w:marRight w:val="0"/>
      <w:marTop w:val="0"/>
      <w:marBottom w:val="0"/>
      <w:divBdr>
        <w:top w:val="none" w:sz="0" w:space="0" w:color="auto"/>
        <w:left w:val="none" w:sz="0" w:space="0" w:color="auto"/>
        <w:bottom w:val="none" w:sz="0" w:space="0" w:color="auto"/>
        <w:right w:val="none" w:sz="0" w:space="0" w:color="auto"/>
      </w:divBdr>
    </w:div>
    <w:div w:id="746072631">
      <w:bodyDiv w:val="1"/>
      <w:marLeft w:val="0"/>
      <w:marRight w:val="0"/>
      <w:marTop w:val="0"/>
      <w:marBottom w:val="0"/>
      <w:divBdr>
        <w:top w:val="none" w:sz="0" w:space="0" w:color="auto"/>
        <w:left w:val="none" w:sz="0" w:space="0" w:color="auto"/>
        <w:bottom w:val="none" w:sz="0" w:space="0" w:color="auto"/>
        <w:right w:val="none" w:sz="0" w:space="0" w:color="auto"/>
      </w:divBdr>
    </w:div>
    <w:div w:id="920066446">
      <w:bodyDiv w:val="1"/>
      <w:marLeft w:val="0"/>
      <w:marRight w:val="0"/>
      <w:marTop w:val="0"/>
      <w:marBottom w:val="0"/>
      <w:divBdr>
        <w:top w:val="none" w:sz="0" w:space="0" w:color="auto"/>
        <w:left w:val="none" w:sz="0" w:space="0" w:color="auto"/>
        <w:bottom w:val="none" w:sz="0" w:space="0" w:color="auto"/>
        <w:right w:val="none" w:sz="0" w:space="0" w:color="auto"/>
      </w:divBdr>
    </w:div>
    <w:div w:id="938564610">
      <w:bodyDiv w:val="1"/>
      <w:marLeft w:val="0"/>
      <w:marRight w:val="0"/>
      <w:marTop w:val="0"/>
      <w:marBottom w:val="0"/>
      <w:divBdr>
        <w:top w:val="none" w:sz="0" w:space="0" w:color="auto"/>
        <w:left w:val="none" w:sz="0" w:space="0" w:color="auto"/>
        <w:bottom w:val="none" w:sz="0" w:space="0" w:color="auto"/>
        <w:right w:val="none" w:sz="0" w:space="0" w:color="auto"/>
      </w:divBdr>
    </w:div>
    <w:div w:id="949319636">
      <w:bodyDiv w:val="1"/>
      <w:marLeft w:val="0"/>
      <w:marRight w:val="0"/>
      <w:marTop w:val="0"/>
      <w:marBottom w:val="0"/>
      <w:divBdr>
        <w:top w:val="none" w:sz="0" w:space="0" w:color="auto"/>
        <w:left w:val="none" w:sz="0" w:space="0" w:color="auto"/>
        <w:bottom w:val="none" w:sz="0" w:space="0" w:color="auto"/>
        <w:right w:val="none" w:sz="0" w:space="0" w:color="auto"/>
      </w:divBdr>
    </w:div>
    <w:div w:id="1030838002">
      <w:bodyDiv w:val="1"/>
      <w:marLeft w:val="0"/>
      <w:marRight w:val="0"/>
      <w:marTop w:val="0"/>
      <w:marBottom w:val="0"/>
      <w:divBdr>
        <w:top w:val="none" w:sz="0" w:space="0" w:color="auto"/>
        <w:left w:val="none" w:sz="0" w:space="0" w:color="auto"/>
        <w:bottom w:val="none" w:sz="0" w:space="0" w:color="auto"/>
        <w:right w:val="none" w:sz="0" w:space="0" w:color="auto"/>
      </w:divBdr>
    </w:div>
    <w:div w:id="1040324812">
      <w:bodyDiv w:val="1"/>
      <w:marLeft w:val="0"/>
      <w:marRight w:val="0"/>
      <w:marTop w:val="0"/>
      <w:marBottom w:val="0"/>
      <w:divBdr>
        <w:top w:val="none" w:sz="0" w:space="0" w:color="auto"/>
        <w:left w:val="none" w:sz="0" w:space="0" w:color="auto"/>
        <w:bottom w:val="none" w:sz="0" w:space="0" w:color="auto"/>
        <w:right w:val="none" w:sz="0" w:space="0" w:color="auto"/>
      </w:divBdr>
    </w:div>
    <w:div w:id="1055665259">
      <w:bodyDiv w:val="1"/>
      <w:marLeft w:val="0"/>
      <w:marRight w:val="0"/>
      <w:marTop w:val="0"/>
      <w:marBottom w:val="0"/>
      <w:divBdr>
        <w:top w:val="none" w:sz="0" w:space="0" w:color="auto"/>
        <w:left w:val="none" w:sz="0" w:space="0" w:color="auto"/>
        <w:bottom w:val="none" w:sz="0" w:space="0" w:color="auto"/>
        <w:right w:val="none" w:sz="0" w:space="0" w:color="auto"/>
      </w:divBdr>
    </w:div>
    <w:div w:id="1322781006">
      <w:bodyDiv w:val="1"/>
      <w:marLeft w:val="0"/>
      <w:marRight w:val="0"/>
      <w:marTop w:val="0"/>
      <w:marBottom w:val="0"/>
      <w:divBdr>
        <w:top w:val="none" w:sz="0" w:space="0" w:color="auto"/>
        <w:left w:val="none" w:sz="0" w:space="0" w:color="auto"/>
        <w:bottom w:val="none" w:sz="0" w:space="0" w:color="auto"/>
        <w:right w:val="none" w:sz="0" w:space="0" w:color="auto"/>
      </w:divBdr>
    </w:div>
    <w:div w:id="1357391482">
      <w:bodyDiv w:val="1"/>
      <w:marLeft w:val="0"/>
      <w:marRight w:val="0"/>
      <w:marTop w:val="0"/>
      <w:marBottom w:val="0"/>
      <w:divBdr>
        <w:top w:val="none" w:sz="0" w:space="0" w:color="auto"/>
        <w:left w:val="none" w:sz="0" w:space="0" w:color="auto"/>
        <w:bottom w:val="none" w:sz="0" w:space="0" w:color="auto"/>
        <w:right w:val="none" w:sz="0" w:space="0" w:color="auto"/>
      </w:divBdr>
    </w:div>
    <w:div w:id="1369530637">
      <w:bodyDiv w:val="1"/>
      <w:marLeft w:val="0"/>
      <w:marRight w:val="0"/>
      <w:marTop w:val="0"/>
      <w:marBottom w:val="0"/>
      <w:divBdr>
        <w:top w:val="none" w:sz="0" w:space="0" w:color="auto"/>
        <w:left w:val="none" w:sz="0" w:space="0" w:color="auto"/>
        <w:bottom w:val="none" w:sz="0" w:space="0" w:color="auto"/>
        <w:right w:val="none" w:sz="0" w:space="0" w:color="auto"/>
      </w:divBdr>
    </w:div>
    <w:div w:id="1426878573">
      <w:bodyDiv w:val="1"/>
      <w:marLeft w:val="0"/>
      <w:marRight w:val="0"/>
      <w:marTop w:val="0"/>
      <w:marBottom w:val="0"/>
      <w:divBdr>
        <w:top w:val="none" w:sz="0" w:space="0" w:color="auto"/>
        <w:left w:val="none" w:sz="0" w:space="0" w:color="auto"/>
        <w:bottom w:val="none" w:sz="0" w:space="0" w:color="auto"/>
        <w:right w:val="none" w:sz="0" w:space="0" w:color="auto"/>
      </w:divBdr>
    </w:div>
    <w:div w:id="1448162086">
      <w:bodyDiv w:val="1"/>
      <w:marLeft w:val="0"/>
      <w:marRight w:val="0"/>
      <w:marTop w:val="0"/>
      <w:marBottom w:val="0"/>
      <w:divBdr>
        <w:top w:val="none" w:sz="0" w:space="0" w:color="auto"/>
        <w:left w:val="none" w:sz="0" w:space="0" w:color="auto"/>
        <w:bottom w:val="none" w:sz="0" w:space="0" w:color="auto"/>
        <w:right w:val="none" w:sz="0" w:space="0" w:color="auto"/>
      </w:divBdr>
    </w:div>
    <w:div w:id="1470631618">
      <w:bodyDiv w:val="1"/>
      <w:marLeft w:val="0"/>
      <w:marRight w:val="0"/>
      <w:marTop w:val="0"/>
      <w:marBottom w:val="0"/>
      <w:divBdr>
        <w:top w:val="none" w:sz="0" w:space="0" w:color="auto"/>
        <w:left w:val="none" w:sz="0" w:space="0" w:color="auto"/>
        <w:bottom w:val="none" w:sz="0" w:space="0" w:color="auto"/>
        <w:right w:val="none" w:sz="0" w:space="0" w:color="auto"/>
      </w:divBdr>
    </w:div>
    <w:div w:id="1558587177">
      <w:bodyDiv w:val="1"/>
      <w:marLeft w:val="0"/>
      <w:marRight w:val="0"/>
      <w:marTop w:val="0"/>
      <w:marBottom w:val="0"/>
      <w:divBdr>
        <w:top w:val="none" w:sz="0" w:space="0" w:color="auto"/>
        <w:left w:val="none" w:sz="0" w:space="0" w:color="auto"/>
        <w:bottom w:val="none" w:sz="0" w:space="0" w:color="auto"/>
        <w:right w:val="none" w:sz="0" w:space="0" w:color="auto"/>
      </w:divBdr>
    </w:div>
    <w:div w:id="1614677859">
      <w:bodyDiv w:val="1"/>
      <w:marLeft w:val="0"/>
      <w:marRight w:val="0"/>
      <w:marTop w:val="0"/>
      <w:marBottom w:val="0"/>
      <w:divBdr>
        <w:top w:val="none" w:sz="0" w:space="0" w:color="auto"/>
        <w:left w:val="none" w:sz="0" w:space="0" w:color="auto"/>
        <w:bottom w:val="none" w:sz="0" w:space="0" w:color="auto"/>
        <w:right w:val="none" w:sz="0" w:space="0" w:color="auto"/>
      </w:divBdr>
    </w:div>
    <w:div w:id="1710259879">
      <w:bodyDiv w:val="1"/>
      <w:marLeft w:val="0"/>
      <w:marRight w:val="0"/>
      <w:marTop w:val="0"/>
      <w:marBottom w:val="0"/>
      <w:divBdr>
        <w:top w:val="none" w:sz="0" w:space="0" w:color="auto"/>
        <w:left w:val="none" w:sz="0" w:space="0" w:color="auto"/>
        <w:bottom w:val="none" w:sz="0" w:space="0" w:color="auto"/>
        <w:right w:val="none" w:sz="0" w:space="0" w:color="auto"/>
      </w:divBdr>
    </w:div>
    <w:div w:id="1721440937">
      <w:bodyDiv w:val="1"/>
      <w:marLeft w:val="0"/>
      <w:marRight w:val="0"/>
      <w:marTop w:val="0"/>
      <w:marBottom w:val="0"/>
      <w:divBdr>
        <w:top w:val="none" w:sz="0" w:space="0" w:color="auto"/>
        <w:left w:val="none" w:sz="0" w:space="0" w:color="auto"/>
        <w:bottom w:val="none" w:sz="0" w:space="0" w:color="auto"/>
        <w:right w:val="none" w:sz="0" w:space="0" w:color="auto"/>
      </w:divBdr>
    </w:div>
    <w:div w:id="1737819774">
      <w:bodyDiv w:val="1"/>
      <w:marLeft w:val="0"/>
      <w:marRight w:val="0"/>
      <w:marTop w:val="0"/>
      <w:marBottom w:val="0"/>
      <w:divBdr>
        <w:top w:val="none" w:sz="0" w:space="0" w:color="auto"/>
        <w:left w:val="none" w:sz="0" w:space="0" w:color="auto"/>
        <w:bottom w:val="none" w:sz="0" w:space="0" w:color="auto"/>
        <w:right w:val="none" w:sz="0" w:space="0" w:color="auto"/>
      </w:divBdr>
    </w:div>
    <w:div w:id="1845196118">
      <w:bodyDiv w:val="1"/>
      <w:marLeft w:val="0"/>
      <w:marRight w:val="0"/>
      <w:marTop w:val="0"/>
      <w:marBottom w:val="0"/>
      <w:divBdr>
        <w:top w:val="none" w:sz="0" w:space="0" w:color="auto"/>
        <w:left w:val="none" w:sz="0" w:space="0" w:color="auto"/>
        <w:bottom w:val="none" w:sz="0" w:space="0" w:color="auto"/>
        <w:right w:val="none" w:sz="0" w:space="0" w:color="auto"/>
      </w:divBdr>
    </w:div>
    <w:div w:id="1905794127">
      <w:bodyDiv w:val="1"/>
      <w:marLeft w:val="0"/>
      <w:marRight w:val="0"/>
      <w:marTop w:val="0"/>
      <w:marBottom w:val="0"/>
      <w:divBdr>
        <w:top w:val="none" w:sz="0" w:space="0" w:color="auto"/>
        <w:left w:val="none" w:sz="0" w:space="0" w:color="auto"/>
        <w:bottom w:val="none" w:sz="0" w:space="0" w:color="auto"/>
        <w:right w:val="none" w:sz="0" w:space="0" w:color="auto"/>
      </w:divBdr>
    </w:div>
    <w:div w:id="1940672590">
      <w:bodyDiv w:val="1"/>
      <w:marLeft w:val="0"/>
      <w:marRight w:val="0"/>
      <w:marTop w:val="0"/>
      <w:marBottom w:val="0"/>
      <w:divBdr>
        <w:top w:val="none" w:sz="0" w:space="0" w:color="auto"/>
        <w:left w:val="none" w:sz="0" w:space="0" w:color="auto"/>
        <w:bottom w:val="none" w:sz="0" w:space="0" w:color="auto"/>
        <w:right w:val="none" w:sz="0" w:space="0" w:color="auto"/>
      </w:divBdr>
    </w:div>
    <w:div w:id="1953897044">
      <w:bodyDiv w:val="1"/>
      <w:marLeft w:val="0"/>
      <w:marRight w:val="0"/>
      <w:marTop w:val="0"/>
      <w:marBottom w:val="0"/>
      <w:divBdr>
        <w:top w:val="none" w:sz="0" w:space="0" w:color="auto"/>
        <w:left w:val="none" w:sz="0" w:space="0" w:color="auto"/>
        <w:bottom w:val="none" w:sz="0" w:space="0" w:color="auto"/>
        <w:right w:val="none" w:sz="0" w:space="0" w:color="auto"/>
      </w:divBdr>
    </w:div>
    <w:div w:id="2064526688">
      <w:bodyDiv w:val="1"/>
      <w:marLeft w:val="0"/>
      <w:marRight w:val="0"/>
      <w:marTop w:val="0"/>
      <w:marBottom w:val="0"/>
      <w:divBdr>
        <w:top w:val="none" w:sz="0" w:space="0" w:color="auto"/>
        <w:left w:val="none" w:sz="0" w:space="0" w:color="auto"/>
        <w:bottom w:val="none" w:sz="0" w:space="0" w:color="auto"/>
        <w:right w:val="none" w:sz="0" w:space="0" w:color="auto"/>
      </w:divBdr>
    </w:div>
    <w:div w:id="20871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6/scitranslmed.aad330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109/07420528.2014.96436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doi.org/10.1126/science.124388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2703</TotalTime>
  <Pages>17</Pages>
  <Words>8973</Words>
  <Characters>51150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36</cp:revision>
  <dcterms:created xsi:type="dcterms:W3CDTF">2025-12-14T14:30:00Z</dcterms:created>
  <dcterms:modified xsi:type="dcterms:W3CDTF">2025-12-27T06:46:00Z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ae433bcb-bfee-4624-b4b5-19142d632541</vt:lpwstr>
  </property>
</Properties>
</file>