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7C3577" w14:textId="77777777" w:rsidR="00CB0846" w:rsidRDefault="00CB0846" w:rsidP="00DE07E3">
      <w:pPr>
        <w:spacing w:line="276" w:lineRule="auto"/>
        <w:jc w:val="center"/>
        <w:rPr>
          <w:rFonts w:ascii="Times New Roman" w:hAnsi="Times New Roman" w:cs="Times New Roman"/>
          <w:b/>
          <w:bCs/>
          <w:i/>
          <w:iCs/>
          <w:sz w:val="32"/>
          <w:szCs w:val="32"/>
        </w:rPr>
      </w:pPr>
      <w:r w:rsidRPr="00EA3152">
        <w:rPr>
          <w:rFonts w:ascii="Times New Roman" w:hAnsi="Times New Roman" w:cs="Times New Roman"/>
          <w:b/>
          <w:bCs/>
          <w:i/>
          <w:iCs/>
          <w:sz w:val="32"/>
          <w:szCs w:val="32"/>
        </w:rPr>
        <w:t xml:space="preserve">In vitro evaluation of botanicals and fungicides against mango anthracnose caused by Colletotrichum </w:t>
      </w:r>
      <w:proofErr w:type="spellStart"/>
      <w:r w:rsidRPr="00EA3152">
        <w:rPr>
          <w:rFonts w:ascii="Times New Roman" w:hAnsi="Times New Roman" w:cs="Times New Roman"/>
          <w:b/>
          <w:bCs/>
          <w:i/>
          <w:iCs/>
          <w:sz w:val="32"/>
          <w:szCs w:val="32"/>
        </w:rPr>
        <w:t>gloeosporioides</w:t>
      </w:r>
      <w:proofErr w:type="spellEnd"/>
    </w:p>
    <w:p w14:paraId="02F3FCD0" w14:textId="77777777" w:rsidR="00914E13" w:rsidRDefault="00914E13" w:rsidP="00DE07E3">
      <w:pPr>
        <w:spacing w:line="276" w:lineRule="auto"/>
        <w:jc w:val="center"/>
        <w:rPr>
          <w:rFonts w:ascii="Times New Roman" w:hAnsi="Times New Roman" w:cs="Times New Roman"/>
          <w:b/>
          <w:bCs/>
          <w:i/>
          <w:iCs/>
          <w:sz w:val="32"/>
          <w:szCs w:val="32"/>
        </w:rPr>
      </w:pPr>
    </w:p>
    <w:p w14:paraId="738A123E" w14:textId="77777777" w:rsidR="00914E13" w:rsidRPr="00EA3152" w:rsidRDefault="00914E13" w:rsidP="00DE07E3">
      <w:pPr>
        <w:spacing w:line="276" w:lineRule="auto"/>
        <w:jc w:val="center"/>
        <w:rPr>
          <w:rFonts w:ascii="Times New Roman" w:hAnsi="Times New Roman" w:cs="Times New Roman"/>
          <w:b/>
          <w:bCs/>
          <w:i/>
          <w:iCs/>
          <w:sz w:val="32"/>
          <w:szCs w:val="32"/>
        </w:rPr>
      </w:pPr>
    </w:p>
    <w:p w14:paraId="5714E820" w14:textId="77777777" w:rsidR="00914E13" w:rsidRDefault="00914E13" w:rsidP="00DE07E3">
      <w:pPr>
        <w:spacing w:line="276" w:lineRule="auto"/>
        <w:jc w:val="center"/>
        <w:rPr>
          <w:rFonts w:ascii="Times New Roman" w:hAnsi="Times New Roman" w:cs="Times New Roman"/>
          <w:bCs/>
          <w:lang w:val="en-US"/>
        </w:rPr>
      </w:pPr>
      <w:bookmarkStart w:id="0" w:name="_GoBack"/>
      <w:bookmarkEnd w:id="0"/>
    </w:p>
    <w:p w14:paraId="76F111CE" w14:textId="77777777" w:rsidR="00914E13" w:rsidRPr="004327FA" w:rsidRDefault="00914E13" w:rsidP="00DE07E3">
      <w:pPr>
        <w:spacing w:line="276" w:lineRule="auto"/>
        <w:jc w:val="center"/>
        <w:rPr>
          <w:rFonts w:ascii="Times New Roman" w:hAnsi="Times New Roman" w:cs="Times New Roman"/>
          <w:bCs/>
          <w:lang w:val="en-US"/>
        </w:rPr>
      </w:pPr>
    </w:p>
    <w:p w14:paraId="42E0B383" w14:textId="77777777" w:rsidR="001E7A54" w:rsidRDefault="001E7A54" w:rsidP="00DE07E3">
      <w:pPr>
        <w:spacing w:line="276" w:lineRule="auto"/>
        <w:jc w:val="both"/>
        <w:rPr>
          <w:rFonts w:ascii="Times New Roman" w:hAnsi="Times New Roman" w:cs="Times New Roman"/>
          <w:b/>
          <w:bCs/>
          <w:lang w:val="en-US"/>
        </w:rPr>
      </w:pPr>
    </w:p>
    <w:p w14:paraId="41538B7F" w14:textId="77777777" w:rsidR="007743EA" w:rsidRPr="00642A9D" w:rsidRDefault="007743EA" w:rsidP="00DE07E3">
      <w:pPr>
        <w:spacing w:line="276" w:lineRule="auto"/>
        <w:jc w:val="both"/>
        <w:rPr>
          <w:rFonts w:ascii="Times New Roman" w:hAnsi="Times New Roman" w:cs="Times New Roman"/>
          <w:b/>
          <w:bCs/>
          <w:lang w:val="en-US"/>
        </w:rPr>
      </w:pPr>
      <w:r w:rsidRPr="00642A9D">
        <w:rPr>
          <w:rFonts w:ascii="Times New Roman" w:hAnsi="Times New Roman" w:cs="Times New Roman"/>
          <w:b/>
          <w:bCs/>
          <w:lang w:val="en-US"/>
        </w:rPr>
        <w:t xml:space="preserve">Abstract: </w:t>
      </w:r>
    </w:p>
    <w:p w14:paraId="3D1B57FC" w14:textId="77777777" w:rsidR="00EB7C50" w:rsidRPr="00EE14BE" w:rsidRDefault="00EB7C50" w:rsidP="00EB7C50">
      <w:pPr>
        <w:spacing w:line="276" w:lineRule="auto"/>
        <w:jc w:val="both"/>
        <w:rPr>
          <w:rFonts w:ascii="Times New Roman" w:hAnsi="Times New Roman" w:cs="Times New Roman"/>
        </w:rPr>
      </w:pPr>
      <w:r w:rsidRPr="00EE14BE">
        <w:rPr>
          <w:rFonts w:ascii="Times New Roman" w:hAnsi="Times New Roman" w:cs="Times New Roman"/>
        </w:rPr>
        <w:t xml:space="preserve">Mango (Mangifera indica L.) is one of the most important fruit crops in tropical and subtropical regions, but its productivity is severely constrained by anthracnose disease caused by Colletotrichum gloeosporioides. The present study was undertaken to evaluate the efficacy of selected fungicides and botanical extracts against C. gloeosporioides under in vitro conditions using the poisoned food technique. Diseased mango samples were collected and the pathogen was isolated and purified on Potato Dextrose Agar (PDA). Four fungicides, namely carbendazim, mancozeb, copper oxychloride, and carbendazim + mancozeb, were tested at three concentrations (0.1%, 0.2%, and 0.3%), while two botanicals, garlic (Allium sativum) and onion (Allium cepa), were evaluated at 5%, 10%, and 15% concentrations. Percent inhibition of mycelial growth was calculated and statistically </w:t>
      </w:r>
      <w:proofErr w:type="spellStart"/>
      <w:r w:rsidRPr="00EE14BE">
        <w:rPr>
          <w:rFonts w:ascii="Times New Roman" w:hAnsi="Times New Roman" w:cs="Times New Roman"/>
        </w:rPr>
        <w:t>analyzed</w:t>
      </w:r>
      <w:proofErr w:type="spellEnd"/>
      <w:r w:rsidRPr="00EE14BE">
        <w:rPr>
          <w:rFonts w:ascii="Times New Roman" w:hAnsi="Times New Roman" w:cs="Times New Roman"/>
        </w:rPr>
        <w:t>.</w:t>
      </w:r>
      <w:r>
        <w:rPr>
          <w:rFonts w:ascii="Times New Roman" w:hAnsi="Times New Roman" w:cs="Times New Roman"/>
        </w:rPr>
        <w:t xml:space="preserve"> </w:t>
      </w:r>
      <w:r w:rsidRPr="00EE14BE">
        <w:rPr>
          <w:rFonts w:ascii="Times New Roman" w:hAnsi="Times New Roman" w:cs="Times New Roman"/>
        </w:rPr>
        <w:t>Among the fungicides tested, carbendazim + mancozeb exhibited the highest inhibition of mycelial growth (up to 87.28%), followed by mancozeb (90.00%) at higher concentrations. Carbendazim showed moderate inhibition, whereas copper oxychloride was comparatively less effective. Among botanicals, garlic extract recorded the highest inhibition (90.00%) at 15% concentration, while onion extract showed moderate antifungal activity. The results indicated a clear dose-dependent increase in inhibition for both fungicides and botanicals. The study concludes that fungicides were more effective than botanicals under in vitro conditions; however, garlic extract demonstrated promising antifungal potential and could be integrated into sustainable disease management strategies for mango anthracnose.</w:t>
      </w:r>
    </w:p>
    <w:p w14:paraId="5D0B3803" w14:textId="77777777" w:rsidR="00430AE3" w:rsidRPr="00642A9D" w:rsidRDefault="007743EA" w:rsidP="00DE07E3">
      <w:pPr>
        <w:spacing w:line="276" w:lineRule="auto"/>
        <w:rPr>
          <w:rFonts w:ascii="Times New Roman" w:hAnsi="Times New Roman" w:cs="Times New Roman"/>
        </w:rPr>
      </w:pPr>
      <w:r w:rsidRPr="00642A9D">
        <w:rPr>
          <w:rFonts w:ascii="Times New Roman" w:hAnsi="Times New Roman" w:cs="Times New Roman"/>
          <w:b/>
          <w:bCs/>
          <w:lang w:val="en-US"/>
        </w:rPr>
        <w:t xml:space="preserve">Keywords: </w:t>
      </w:r>
      <w:bookmarkStart w:id="1" w:name="OLE_LINK1"/>
      <w:r w:rsidR="00CB0846" w:rsidRPr="00642A9D">
        <w:rPr>
          <w:rFonts w:ascii="Times New Roman" w:hAnsi="Times New Roman" w:cs="Times New Roman"/>
        </w:rPr>
        <w:t xml:space="preserve">Mango anthracnose, </w:t>
      </w:r>
      <w:r w:rsidR="00CB0846" w:rsidRPr="00642A9D">
        <w:rPr>
          <w:rFonts w:ascii="Times New Roman" w:hAnsi="Times New Roman" w:cs="Times New Roman"/>
          <w:i/>
          <w:iCs/>
        </w:rPr>
        <w:t xml:space="preserve">Colletotrichum </w:t>
      </w:r>
      <w:proofErr w:type="spellStart"/>
      <w:r w:rsidR="00CB0846" w:rsidRPr="00642A9D">
        <w:rPr>
          <w:rFonts w:ascii="Times New Roman" w:hAnsi="Times New Roman" w:cs="Times New Roman"/>
          <w:i/>
          <w:iCs/>
        </w:rPr>
        <w:t>gloeosporioides</w:t>
      </w:r>
      <w:proofErr w:type="spellEnd"/>
      <w:r w:rsidR="00CB0846" w:rsidRPr="00642A9D">
        <w:rPr>
          <w:rFonts w:ascii="Times New Roman" w:hAnsi="Times New Roman" w:cs="Times New Roman"/>
        </w:rPr>
        <w:t xml:space="preserve">, fungicides, botanicals, poisoned food </w:t>
      </w:r>
      <w:r w:rsidR="00CB0846" w:rsidRPr="00642A9D">
        <w:rPr>
          <w:rFonts w:ascii="Times New Roman" w:hAnsi="Times New Roman" w:cs="Times New Roman"/>
        </w:rPr>
        <w:tab/>
      </w:r>
      <w:r w:rsidR="00CB0846" w:rsidRPr="00642A9D">
        <w:rPr>
          <w:rFonts w:ascii="Times New Roman" w:hAnsi="Times New Roman" w:cs="Times New Roman"/>
        </w:rPr>
        <w:tab/>
      </w:r>
      <w:r w:rsidR="00CB0846" w:rsidRPr="00642A9D">
        <w:rPr>
          <w:rFonts w:ascii="Times New Roman" w:hAnsi="Times New Roman" w:cs="Times New Roman"/>
        </w:rPr>
        <w:tab/>
        <w:t>technique</w:t>
      </w:r>
    </w:p>
    <w:p w14:paraId="1270A049" w14:textId="77777777" w:rsidR="002D61A2" w:rsidRPr="00642A9D" w:rsidRDefault="00BB7CF0" w:rsidP="00DE07E3">
      <w:pPr>
        <w:spacing w:line="276" w:lineRule="auto"/>
        <w:rPr>
          <w:rFonts w:ascii="Times New Roman" w:hAnsi="Times New Roman" w:cs="Times New Roman"/>
          <w:b/>
          <w:bCs/>
          <w:lang w:val="en-US"/>
        </w:rPr>
      </w:pPr>
      <w:bookmarkStart w:id="2" w:name="OLE_LINK3"/>
      <w:r w:rsidRPr="00642A9D">
        <w:rPr>
          <w:rFonts w:ascii="Times New Roman" w:hAnsi="Times New Roman" w:cs="Times New Roman"/>
          <w:b/>
          <w:bCs/>
          <w:lang w:val="en-US"/>
        </w:rPr>
        <w:t>Introduction:</w:t>
      </w:r>
    </w:p>
    <w:p w14:paraId="05C1D828" w14:textId="77777777" w:rsidR="00DE2E2E" w:rsidRPr="007A79CE" w:rsidRDefault="006F28A8" w:rsidP="00DE2E2E">
      <w:pPr>
        <w:spacing w:line="276" w:lineRule="auto"/>
        <w:jc w:val="both"/>
        <w:rPr>
          <w:rFonts w:ascii="Times New Roman" w:hAnsi="Times New Roman" w:cs="Times New Roman"/>
        </w:rPr>
      </w:pPr>
      <w:r w:rsidRPr="00642A9D">
        <w:rPr>
          <w:rFonts w:ascii="Times New Roman" w:hAnsi="Times New Roman" w:cs="Times New Roman"/>
        </w:rPr>
        <w:tab/>
      </w:r>
      <w:r w:rsidR="00DE2E2E">
        <w:rPr>
          <w:rFonts w:ascii="Times New Roman" w:hAnsi="Times New Roman" w:cs="Times New Roman"/>
        </w:rPr>
        <w:tab/>
      </w:r>
      <w:r w:rsidR="00DE2E2E" w:rsidRPr="007A79CE">
        <w:rPr>
          <w:rFonts w:ascii="Times New Roman" w:hAnsi="Times New Roman" w:cs="Times New Roman"/>
        </w:rPr>
        <w:t>Mango (</w:t>
      </w:r>
      <w:r w:rsidR="00DE2E2E" w:rsidRPr="007A79CE">
        <w:rPr>
          <w:rFonts w:ascii="Times New Roman" w:hAnsi="Times New Roman" w:cs="Times New Roman"/>
          <w:i/>
          <w:iCs/>
        </w:rPr>
        <w:t>Mangifera indica L.</w:t>
      </w:r>
      <w:r w:rsidR="00DE2E2E" w:rsidRPr="007A79CE">
        <w:rPr>
          <w:rFonts w:ascii="Times New Roman" w:hAnsi="Times New Roman" w:cs="Times New Roman"/>
        </w:rPr>
        <w:t>) is one of the most economically important fruit crops cultivated in tropical and subtropical regions, particularly in India, which is the world’s largest producer. Despite its commercial importance, mango productivity and fruit quality are severely constrained by several biotic and abiotic stresses occurring at different stages of crop growth, from nursery to post-harvest handling. Among biotic factors, fungal diseases pose a major threat to mango cultivation by reducing yield, market value, and shelf life.</w:t>
      </w:r>
    </w:p>
    <w:p w14:paraId="788E1C84" w14:textId="77777777" w:rsidR="00DE2E2E" w:rsidRPr="007A79CE" w:rsidRDefault="00DE2E2E" w:rsidP="00DE2E2E">
      <w:pPr>
        <w:spacing w:line="276" w:lineRule="auto"/>
        <w:jc w:val="both"/>
        <w:rPr>
          <w:rFonts w:ascii="Times New Roman" w:hAnsi="Times New Roman" w:cs="Times New Roman"/>
          <w:i/>
          <w:iCs/>
        </w:rPr>
      </w:pPr>
      <w:r w:rsidRPr="007A79CE">
        <w:rPr>
          <w:rFonts w:ascii="Times New Roman" w:hAnsi="Times New Roman" w:cs="Times New Roman"/>
        </w:rPr>
        <w:t xml:space="preserve">Anthracnose, caused by </w:t>
      </w:r>
      <w:r w:rsidRPr="007A79CE">
        <w:rPr>
          <w:rFonts w:ascii="Times New Roman" w:hAnsi="Times New Roman" w:cs="Times New Roman"/>
          <w:i/>
          <w:iCs/>
        </w:rPr>
        <w:t xml:space="preserve">Colletotrichum </w:t>
      </w:r>
      <w:proofErr w:type="spellStart"/>
      <w:r w:rsidRPr="007A79CE">
        <w:rPr>
          <w:rFonts w:ascii="Times New Roman" w:hAnsi="Times New Roman" w:cs="Times New Roman"/>
          <w:i/>
          <w:iCs/>
        </w:rPr>
        <w:t>gloeosporioides</w:t>
      </w:r>
      <w:proofErr w:type="spellEnd"/>
      <w:r w:rsidRPr="007A79CE">
        <w:rPr>
          <w:rFonts w:ascii="Times New Roman" w:hAnsi="Times New Roman" w:cs="Times New Roman"/>
        </w:rPr>
        <w:t xml:space="preserve"> (</w:t>
      </w:r>
      <w:proofErr w:type="spellStart"/>
      <w:r w:rsidRPr="007A79CE">
        <w:rPr>
          <w:rFonts w:ascii="Times New Roman" w:hAnsi="Times New Roman" w:cs="Times New Roman"/>
        </w:rPr>
        <w:t>Penz</w:t>
      </w:r>
      <w:proofErr w:type="spellEnd"/>
      <w:r w:rsidRPr="007A79CE">
        <w:rPr>
          <w:rFonts w:ascii="Times New Roman" w:hAnsi="Times New Roman" w:cs="Times New Roman"/>
        </w:rPr>
        <w:t xml:space="preserve">.) Penz. &amp; </w:t>
      </w:r>
      <w:proofErr w:type="spellStart"/>
      <w:r w:rsidRPr="007A79CE">
        <w:rPr>
          <w:rFonts w:ascii="Times New Roman" w:hAnsi="Times New Roman" w:cs="Times New Roman"/>
        </w:rPr>
        <w:t>Sacc</w:t>
      </w:r>
      <w:proofErr w:type="spellEnd"/>
      <w:r w:rsidRPr="007A79CE">
        <w:rPr>
          <w:rFonts w:ascii="Times New Roman" w:hAnsi="Times New Roman" w:cs="Times New Roman"/>
        </w:rPr>
        <w:t xml:space="preserve">. (teleomorph </w:t>
      </w:r>
      <w:proofErr w:type="spellStart"/>
      <w:r w:rsidRPr="007A79CE">
        <w:rPr>
          <w:rFonts w:ascii="Times New Roman" w:hAnsi="Times New Roman" w:cs="Times New Roman"/>
        </w:rPr>
        <w:t>Glomerella</w:t>
      </w:r>
      <w:proofErr w:type="spellEnd"/>
      <w:r w:rsidRPr="007A79CE">
        <w:rPr>
          <w:rFonts w:ascii="Times New Roman" w:hAnsi="Times New Roman" w:cs="Times New Roman"/>
        </w:rPr>
        <w:t xml:space="preserve"> </w:t>
      </w:r>
      <w:proofErr w:type="spellStart"/>
      <w:r w:rsidRPr="007A79CE">
        <w:rPr>
          <w:rFonts w:ascii="Times New Roman" w:hAnsi="Times New Roman" w:cs="Times New Roman"/>
        </w:rPr>
        <w:t>cingulata</w:t>
      </w:r>
      <w:proofErr w:type="spellEnd"/>
      <w:r w:rsidRPr="007A79CE">
        <w:rPr>
          <w:rFonts w:ascii="Times New Roman" w:hAnsi="Times New Roman" w:cs="Times New Roman"/>
        </w:rPr>
        <w:t xml:space="preserve">), is considered the most destructive and widespread disease of mango worldwide </w:t>
      </w:r>
      <w:r w:rsidRPr="007A79CE">
        <w:rPr>
          <w:rFonts w:ascii="Times New Roman" w:hAnsi="Times New Roman" w:cs="Times New Roman"/>
          <w:i/>
          <w:iCs/>
        </w:rPr>
        <w:t>(Singh et al., 2019).</w:t>
      </w:r>
      <w:r w:rsidRPr="007A79CE">
        <w:rPr>
          <w:rFonts w:ascii="Times New Roman" w:hAnsi="Times New Roman" w:cs="Times New Roman"/>
        </w:rPr>
        <w:t xml:space="preserve"> The disease affects leaves, panicles, twigs, and fruits, leading to flower blight, fruit drop, and severe post-harvest losses. Typical symptoms include irregular dark necrotic lesions on leaves, blossom blight during flowering, and sunken black spots on fruits during ripening. Under favourable environmental conditions, the pathogen produces abundant conidia, facilitating rapid disease spread and persistence in orchards </w:t>
      </w:r>
      <w:r w:rsidRPr="007A79CE">
        <w:rPr>
          <w:rFonts w:ascii="Times New Roman" w:hAnsi="Times New Roman" w:cs="Times New Roman"/>
          <w:i/>
          <w:iCs/>
        </w:rPr>
        <w:t>(Patel et al., 2018).</w:t>
      </w:r>
    </w:p>
    <w:p w14:paraId="7EE8F7AC" w14:textId="77777777" w:rsidR="00DE2E2E" w:rsidRPr="007A79CE" w:rsidRDefault="00DE2E2E" w:rsidP="00DE2E2E">
      <w:pPr>
        <w:spacing w:line="276" w:lineRule="auto"/>
        <w:jc w:val="both"/>
        <w:rPr>
          <w:rFonts w:ascii="Times New Roman" w:hAnsi="Times New Roman" w:cs="Times New Roman"/>
        </w:rPr>
      </w:pPr>
      <w:r>
        <w:rPr>
          <w:rFonts w:ascii="Times New Roman" w:hAnsi="Times New Roman" w:cs="Times New Roman"/>
        </w:rPr>
        <w:tab/>
      </w:r>
      <w:r w:rsidRPr="007A79CE">
        <w:rPr>
          <w:rFonts w:ascii="Times New Roman" w:hAnsi="Times New Roman" w:cs="Times New Roman"/>
        </w:rPr>
        <w:t>Management of mango anthracnose largely relies on the application of chemical fungicides. Systemic fungicides such as carbendazim and contact fungicides like mancozeb and copper oxychloride are widely used for effective disease suppression (</w:t>
      </w:r>
      <w:r w:rsidRPr="007A79CE">
        <w:rPr>
          <w:rFonts w:ascii="Times New Roman" w:hAnsi="Times New Roman" w:cs="Times New Roman"/>
          <w:i/>
          <w:iCs/>
        </w:rPr>
        <w:t>Reddy et al., 2017; Meena et al., 2021</w:t>
      </w:r>
      <w:r w:rsidRPr="007A79CE">
        <w:rPr>
          <w:rFonts w:ascii="Times New Roman" w:hAnsi="Times New Roman" w:cs="Times New Roman"/>
        </w:rPr>
        <w:t>). Combination fungicides have gained importance due to their enhanced efficacy and reduced risk of resistance development through multiple modes of action (</w:t>
      </w:r>
      <w:r w:rsidRPr="007A79CE">
        <w:rPr>
          <w:rFonts w:ascii="Times New Roman" w:hAnsi="Times New Roman" w:cs="Times New Roman"/>
          <w:i/>
          <w:iCs/>
        </w:rPr>
        <w:t>Kumar and Sharma, 2020</w:t>
      </w:r>
      <w:r w:rsidRPr="007A79CE">
        <w:rPr>
          <w:rFonts w:ascii="Times New Roman" w:hAnsi="Times New Roman" w:cs="Times New Roman"/>
        </w:rPr>
        <w:t xml:space="preserve">). However, excessive and indiscriminate use of fungicides has raised </w:t>
      </w:r>
      <w:r w:rsidRPr="007A79CE">
        <w:rPr>
          <w:rFonts w:ascii="Times New Roman" w:hAnsi="Times New Roman" w:cs="Times New Roman"/>
        </w:rPr>
        <w:lastRenderedPageBreak/>
        <w:t>concerns related to fungicide resistance, environmental pollution, and food safety, emphasizing the need for alternative or supplementary disease management approaches.</w:t>
      </w:r>
    </w:p>
    <w:p w14:paraId="4A728E46" w14:textId="77777777" w:rsidR="00DE2E2E" w:rsidRPr="007A79CE" w:rsidRDefault="00DE2E2E" w:rsidP="00DE2E2E">
      <w:pPr>
        <w:spacing w:line="276" w:lineRule="auto"/>
        <w:jc w:val="both"/>
        <w:rPr>
          <w:rFonts w:ascii="Times New Roman" w:hAnsi="Times New Roman" w:cs="Times New Roman"/>
        </w:rPr>
      </w:pPr>
      <w:r>
        <w:rPr>
          <w:rFonts w:ascii="Times New Roman" w:hAnsi="Times New Roman" w:cs="Times New Roman"/>
        </w:rPr>
        <w:tab/>
      </w:r>
      <w:r w:rsidRPr="007A79CE">
        <w:rPr>
          <w:rFonts w:ascii="Times New Roman" w:hAnsi="Times New Roman" w:cs="Times New Roman"/>
        </w:rPr>
        <w:t xml:space="preserve">Botanical extracts have emerged as eco-friendly and cost-effective alternatives for managing plant diseases. Several plant-derived products possess antifungal properties due to the presence of bioactive compounds such as phenolics, flavonoids, and </w:t>
      </w:r>
      <w:proofErr w:type="spellStart"/>
      <w:r w:rsidRPr="007A79CE">
        <w:rPr>
          <w:rFonts w:ascii="Times New Roman" w:hAnsi="Times New Roman" w:cs="Times New Roman"/>
        </w:rPr>
        <w:t>sulfur</w:t>
      </w:r>
      <w:proofErr w:type="spellEnd"/>
      <w:r w:rsidRPr="007A79CE">
        <w:rPr>
          <w:rFonts w:ascii="Times New Roman" w:hAnsi="Times New Roman" w:cs="Times New Roman"/>
        </w:rPr>
        <w:t>-containing compounds. Garlic (</w:t>
      </w:r>
      <w:r w:rsidRPr="007A79CE">
        <w:rPr>
          <w:rFonts w:ascii="Times New Roman" w:hAnsi="Times New Roman" w:cs="Times New Roman"/>
          <w:i/>
          <w:iCs/>
        </w:rPr>
        <w:t>Allium sativum</w:t>
      </w:r>
      <w:r w:rsidRPr="007A79CE">
        <w:rPr>
          <w:rFonts w:ascii="Times New Roman" w:hAnsi="Times New Roman" w:cs="Times New Roman"/>
        </w:rPr>
        <w:t xml:space="preserve">) extract has been reported to exhibit strong antifungal activity against a wide range of phytopathogenic fungi, including </w:t>
      </w:r>
      <w:r w:rsidRPr="007A79CE">
        <w:rPr>
          <w:rFonts w:ascii="Times New Roman" w:hAnsi="Times New Roman" w:cs="Times New Roman"/>
          <w:i/>
          <w:iCs/>
        </w:rPr>
        <w:t>Colletotrichum species</w:t>
      </w:r>
      <w:r w:rsidRPr="007A79CE">
        <w:rPr>
          <w:rFonts w:ascii="Times New Roman" w:hAnsi="Times New Roman" w:cs="Times New Roman"/>
        </w:rPr>
        <w:t>, owing to compounds such as allicin and ajoene (</w:t>
      </w:r>
      <w:r w:rsidRPr="007A79CE">
        <w:rPr>
          <w:rFonts w:ascii="Times New Roman" w:hAnsi="Times New Roman" w:cs="Times New Roman"/>
          <w:i/>
          <w:iCs/>
        </w:rPr>
        <w:t>Bhardwaj et al., 2016; Verma et al., 2019</w:t>
      </w:r>
      <w:r w:rsidRPr="007A79CE">
        <w:rPr>
          <w:rFonts w:ascii="Times New Roman" w:hAnsi="Times New Roman" w:cs="Times New Roman"/>
        </w:rPr>
        <w:t>). Onion (</w:t>
      </w:r>
      <w:r w:rsidRPr="007A79CE">
        <w:rPr>
          <w:rFonts w:ascii="Times New Roman" w:hAnsi="Times New Roman" w:cs="Times New Roman"/>
          <w:i/>
          <w:iCs/>
        </w:rPr>
        <w:t>Allium cepa</w:t>
      </w:r>
      <w:r w:rsidRPr="007A79CE">
        <w:rPr>
          <w:rFonts w:ascii="Times New Roman" w:hAnsi="Times New Roman" w:cs="Times New Roman"/>
        </w:rPr>
        <w:t xml:space="preserve">) extract has also shown moderate antifungal potential, though its efficacy is generally lower than that of garlic </w:t>
      </w:r>
      <w:r w:rsidRPr="007A79CE">
        <w:rPr>
          <w:rFonts w:ascii="Times New Roman" w:hAnsi="Times New Roman" w:cs="Times New Roman"/>
          <w:i/>
          <w:iCs/>
        </w:rPr>
        <w:t>(Sharma and Tripathi, 2018</w:t>
      </w:r>
      <w:r w:rsidRPr="007A79CE">
        <w:rPr>
          <w:rFonts w:ascii="Times New Roman" w:hAnsi="Times New Roman" w:cs="Times New Roman"/>
        </w:rPr>
        <w:t>).</w:t>
      </w:r>
    </w:p>
    <w:p w14:paraId="27C8F8F6" w14:textId="77777777" w:rsidR="00DE2E2E" w:rsidRPr="007A79CE" w:rsidRDefault="00DE2E2E" w:rsidP="00DE2E2E">
      <w:pPr>
        <w:spacing w:line="276" w:lineRule="auto"/>
        <w:jc w:val="both"/>
        <w:rPr>
          <w:rFonts w:ascii="Times New Roman" w:hAnsi="Times New Roman" w:cs="Times New Roman"/>
        </w:rPr>
      </w:pPr>
      <w:r>
        <w:rPr>
          <w:rFonts w:ascii="Times New Roman" w:hAnsi="Times New Roman" w:cs="Times New Roman"/>
        </w:rPr>
        <w:tab/>
      </w:r>
      <w:r w:rsidRPr="007A79CE">
        <w:rPr>
          <w:rFonts w:ascii="Times New Roman" w:hAnsi="Times New Roman" w:cs="Times New Roman"/>
        </w:rPr>
        <w:t>In vitro evaluation of fungicides and botanicals using the poisoned food technique provides a reliable method to assess their antifungal efficacy before field application. Such studies help in identifying effective chemicals and plant-based products that can be incorporated into integrated disease management strategies.</w:t>
      </w:r>
    </w:p>
    <w:p w14:paraId="6403AD90" w14:textId="77777777" w:rsidR="00DE2E2E" w:rsidRDefault="00DE2E2E" w:rsidP="00DE2E2E">
      <w:pPr>
        <w:spacing w:line="276" w:lineRule="auto"/>
        <w:jc w:val="both"/>
        <w:rPr>
          <w:rFonts w:ascii="Times New Roman" w:hAnsi="Times New Roman" w:cs="Times New Roman"/>
        </w:rPr>
      </w:pPr>
      <w:r>
        <w:rPr>
          <w:rFonts w:ascii="Times New Roman" w:hAnsi="Times New Roman" w:cs="Times New Roman"/>
        </w:rPr>
        <w:tab/>
      </w:r>
      <w:r w:rsidRPr="007A79CE">
        <w:rPr>
          <w:rFonts w:ascii="Times New Roman" w:hAnsi="Times New Roman" w:cs="Times New Roman"/>
        </w:rPr>
        <w:t>In view of the economic importance of mango and the destructive nature of anthracnose disease, the present study was undertaken to evaluate the efficacy of selected fungicides and botanical extracts against Colletotrichum gloeosporioides under in vitro conditions. The findings aim to identify effective treatments that could contribute to sustainable management of mango anthracnose.</w:t>
      </w:r>
    </w:p>
    <w:p w14:paraId="1EC07370" w14:textId="77777777" w:rsidR="00D43428" w:rsidRPr="007A79CE" w:rsidRDefault="00D43428" w:rsidP="00DE2E2E">
      <w:pPr>
        <w:spacing w:line="276" w:lineRule="auto"/>
        <w:jc w:val="both"/>
        <w:rPr>
          <w:rFonts w:ascii="Times New Roman" w:hAnsi="Times New Roman" w:cs="Times New Roman"/>
        </w:rPr>
      </w:pPr>
    </w:p>
    <w:p w14:paraId="7C264FFD" w14:textId="77777777" w:rsidR="00BB7CF0" w:rsidRPr="00642A9D" w:rsidRDefault="00BB7CF0" w:rsidP="00DE2E2E">
      <w:pPr>
        <w:spacing w:line="276" w:lineRule="auto"/>
        <w:jc w:val="both"/>
        <w:rPr>
          <w:rFonts w:ascii="Times New Roman" w:hAnsi="Times New Roman" w:cs="Times New Roman"/>
          <w:b/>
          <w:bCs/>
        </w:rPr>
      </w:pPr>
      <w:r w:rsidRPr="00642A9D">
        <w:rPr>
          <w:rFonts w:ascii="Times New Roman" w:hAnsi="Times New Roman" w:cs="Times New Roman"/>
          <w:b/>
          <w:bCs/>
        </w:rPr>
        <w:t>Materials and methods:</w:t>
      </w:r>
    </w:p>
    <w:p w14:paraId="64D7A594" w14:textId="77777777" w:rsidR="00203CDD" w:rsidRPr="007A79CE" w:rsidRDefault="00203CDD" w:rsidP="00203CDD">
      <w:pPr>
        <w:spacing w:line="276" w:lineRule="auto"/>
        <w:jc w:val="both"/>
        <w:rPr>
          <w:rFonts w:ascii="Times New Roman" w:hAnsi="Times New Roman" w:cs="Times New Roman"/>
          <w:b/>
          <w:bCs/>
        </w:rPr>
      </w:pPr>
      <w:r w:rsidRPr="007A79CE">
        <w:rPr>
          <w:rFonts w:ascii="Times New Roman" w:hAnsi="Times New Roman" w:cs="Times New Roman"/>
          <w:b/>
          <w:bCs/>
        </w:rPr>
        <w:t>Experimental site and sample collection</w:t>
      </w:r>
      <w:r>
        <w:rPr>
          <w:rFonts w:ascii="Times New Roman" w:hAnsi="Times New Roman" w:cs="Times New Roman"/>
          <w:b/>
          <w:bCs/>
        </w:rPr>
        <w:t>:</w:t>
      </w:r>
    </w:p>
    <w:p w14:paraId="3FF80498" w14:textId="77777777" w:rsidR="00203CDD" w:rsidRPr="007A79CE" w:rsidRDefault="00203CDD" w:rsidP="00203CDD">
      <w:pPr>
        <w:spacing w:line="276" w:lineRule="auto"/>
        <w:jc w:val="both"/>
        <w:rPr>
          <w:rFonts w:ascii="Times New Roman" w:hAnsi="Times New Roman" w:cs="Times New Roman"/>
        </w:rPr>
      </w:pPr>
      <w:r>
        <w:rPr>
          <w:rFonts w:ascii="Times New Roman" w:hAnsi="Times New Roman" w:cs="Times New Roman"/>
        </w:rPr>
        <w:tab/>
      </w:r>
      <w:r w:rsidRPr="007A79CE">
        <w:rPr>
          <w:rFonts w:ascii="Times New Roman" w:hAnsi="Times New Roman" w:cs="Times New Roman"/>
        </w:rPr>
        <w:t xml:space="preserve">Diseased mango leaves showing typical symptoms of anthracnose were collected from mango orchards at Lara Green Fields, Vignan’s Foundation for Science, Technology and Research. The samples were placed in clean polythene bags, properly </w:t>
      </w:r>
      <w:proofErr w:type="spellStart"/>
      <w:r w:rsidRPr="007A79CE">
        <w:rPr>
          <w:rFonts w:ascii="Times New Roman" w:hAnsi="Times New Roman" w:cs="Times New Roman"/>
        </w:rPr>
        <w:t>labeled</w:t>
      </w:r>
      <w:proofErr w:type="spellEnd"/>
      <w:r w:rsidRPr="007A79CE">
        <w:rPr>
          <w:rFonts w:ascii="Times New Roman" w:hAnsi="Times New Roman" w:cs="Times New Roman"/>
        </w:rPr>
        <w:t>, and transported to the Plant Pathology Laboratory for further investigation.</w:t>
      </w:r>
    </w:p>
    <w:p w14:paraId="28D50F4A" w14:textId="77777777" w:rsidR="00203CDD" w:rsidRPr="007A79CE" w:rsidRDefault="00203CDD" w:rsidP="00203CDD">
      <w:pPr>
        <w:spacing w:line="276" w:lineRule="auto"/>
        <w:jc w:val="both"/>
        <w:rPr>
          <w:rFonts w:ascii="Times New Roman" w:hAnsi="Times New Roman" w:cs="Times New Roman"/>
          <w:b/>
          <w:bCs/>
        </w:rPr>
      </w:pPr>
      <w:r w:rsidRPr="007A79CE">
        <w:rPr>
          <w:rFonts w:ascii="Times New Roman" w:hAnsi="Times New Roman" w:cs="Times New Roman"/>
          <w:b/>
          <w:bCs/>
        </w:rPr>
        <w:t>Isolation and purification of the pathogen</w:t>
      </w:r>
      <w:r>
        <w:rPr>
          <w:rFonts w:ascii="Times New Roman" w:hAnsi="Times New Roman" w:cs="Times New Roman"/>
          <w:b/>
          <w:bCs/>
        </w:rPr>
        <w:t>:</w:t>
      </w:r>
    </w:p>
    <w:p w14:paraId="10B85C15" w14:textId="77777777" w:rsidR="00203CDD" w:rsidRPr="007A79CE" w:rsidRDefault="00203CDD" w:rsidP="00203CDD">
      <w:pPr>
        <w:spacing w:line="276" w:lineRule="auto"/>
        <w:jc w:val="both"/>
        <w:rPr>
          <w:rFonts w:ascii="Times New Roman" w:hAnsi="Times New Roman" w:cs="Times New Roman"/>
        </w:rPr>
      </w:pPr>
      <w:r>
        <w:rPr>
          <w:rFonts w:ascii="Times New Roman" w:hAnsi="Times New Roman" w:cs="Times New Roman"/>
        </w:rPr>
        <w:tab/>
      </w:r>
      <w:r w:rsidRPr="007A79CE">
        <w:rPr>
          <w:rFonts w:ascii="Times New Roman" w:hAnsi="Times New Roman" w:cs="Times New Roman"/>
        </w:rPr>
        <w:t>The collected diseased samples were thoroughly washed under running tap water to remove adhering debris. Small segments (approximately 5–7 mm) from the infected portions were cut using a sterile scalpel. These segments were surface sterilized with 70% ethanol for 30 seconds, followed by rinsing twice with sterile distilled water to remove traces of the sterilant. The sterilized pieces were blot-dried on sterile filter paper.</w:t>
      </w:r>
    </w:p>
    <w:p w14:paraId="0BB14F13" w14:textId="77777777" w:rsidR="00203CDD" w:rsidRPr="007A79CE" w:rsidRDefault="00203CDD" w:rsidP="00203CDD">
      <w:pPr>
        <w:spacing w:line="276" w:lineRule="auto"/>
        <w:jc w:val="both"/>
        <w:rPr>
          <w:rFonts w:ascii="Times New Roman" w:hAnsi="Times New Roman" w:cs="Times New Roman"/>
        </w:rPr>
      </w:pPr>
      <w:r>
        <w:rPr>
          <w:rFonts w:ascii="Times New Roman" w:hAnsi="Times New Roman" w:cs="Times New Roman"/>
        </w:rPr>
        <w:tab/>
      </w:r>
      <w:r w:rsidRPr="007A79CE">
        <w:rPr>
          <w:rFonts w:ascii="Times New Roman" w:hAnsi="Times New Roman" w:cs="Times New Roman"/>
        </w:rPr>
        <w:t>Potato Dextrose Agar (PDA) medium was prepared, sterilized by autoclaving at 121°C and 15 psi for 15 minutes, and poured into sterilized Petri plates under aseptic conditions. The surface-sterilized leaf segments were aseptically transferred onto PDA plates and incubated at 25 ± 2°C for 7–10 days.</w:t>
      </w:r>
    </w:p>
    <w:p w14:paraId="2C333D48" w14:textId="77777777" w:rsidR="00203CDD" w:rsidRPr="007A79CE" w:rsidRDefault="00203CDD" w:rsidP="00203CDD">
      <w:pPr>
        <w:spacing w:line="276" w:lineRule="auto"/>
        <w:jc w:val="both"/>
        <w:rPr>
          <w:rFonts w:ascii="Times New Roman" w:hAnsi="Times New Roman" w:cs="Times New Roman"/>
        </w:rPr>
      </w:pPr>
      <w:r>
        <w:rPr>
          <w:rFonts w:ascii="Times New Roman" w:hAnsi="Times New Roman" w:cs="Times New Roman"/>
        </w:rPr>
        <w:tab/>
      </w:r>
      <w:r w:rsidRPr="007A79CE">
        <w:rPr>
          <w:rFonts w:ascii="Times New Roman" w:hAnsi="Times New Roman" w:cs="Times New Roman"/>
        </w:rPr>
        <w:t>After incubation, fungal growth emerging from the tissues was observed. Subculturing was carried out by transferring actively growing mycelial tips onto fresh PDA plates to obtain pure cultures. The purified culture of Colletotrichum gloeosporioides was maintained on PDA slants and used for further experimentation.</w:t>
      </w:r>
    </w:p>
    <w:p w14:paraId="44C2C188" w14:textId="77777777" w:rsidR="00203CDD" w:rsidRPr="007A79CE" w:rsidRDefault="00203CDD" w:rsidP="00203CDD">
      <w:pPr>
        <w:spacing w:line="276" w:lineRule="auto"/>
        <w:jc w:val="both"/>
        <w:rPr>
          <w:rFonts w:ascii="Times New Roman" w:hAnsi="Times New Roman" w:cs="Times New Roman"/>
          <w:b/>
          <w:bCs/>
        </w:rPr>
      </w:pPr>
      <w:r w:rsidRPr="007A79CE">
        <w:rPr>
          <w:rFonts w:ascii="Times New Roman" w:hAnsi="Times New Roman" w:cs="Times New Roman"/>
          <w:b/>
          <w:bCs/>
        </w:rPr>
        <w:t>Preparation of botanical extracts</w:t>
      </w:r>
      <w:r>
        <w:rPr>
          <w:rFonts w:ascii="Times New Roman" w:hAnsi="Times New Roman" w:cs="Times New Roman"/>
          <w:b/>
          <w:bCs/>
        </w:rPr>
        <w:t>:</w:t>
      </w:r>
    </w:p>
    <w:p w14:paraId="7E875818" w14:textId="77777777" w:rsidR="00203CDD" w:rsidRPr="007A79CE" w:rsidRDefault="00203CDD" w:rsidP="00203CDD">
      <w:pPr>
        <w:spacing w:line="276" w:lineRule="auto"/>
        <w:jc w:val="both"/>
        <w:rPr>
          <w:rFonts w:ascii="Times New Roman" w:hAnsi="Times New Roman" w:cs="Times New Roman"/>
        </w:rPr>
      </w:pPr>
      <w:r>
        <w:rPr>
          <w:rFonts w:ascii="Times New Roman" w:hAnsi="Times New Roman" w:cs="Times New Roman"/>
        </w:rPr>
        <w:tab/>
      </w:r>
      <w:r w:rsidRPr="007A79CE">
        <w:rPr>
          <w:rFonts w:ascii="Times New Roman" w:hAnsi="Times New Roman" w:cs="Times New Roman"/>
        </w:rPr>
        <w:t>Fresh plant materials used for botanical extracts included garlic (</w:t>
      </w:r>
      <w:r w:rsidRPr="007A79CE">
        <w:rPr>
          <w:rFonts w:ascii="Times New Roman" w:hAnsi="Times New Roman" w:cs="Times New Roman"/>
          <w:i/>
          <w:iCs/>
        </w:rPr>
        <w:t>Allium sativum</w:t>
      </w:r>
      <w:r w:rsidRPr="007A79CE">
        <w:rPr>
          <w:rFonts w:ascii="Times New Roman" w:hAnsi="Times New Roman" w:cs="Times New Roman"/>
        </w:rPr>
        <w:t>) cloves and onion (</w:t>
      </w:r>
      <w:r w:rsidRPr="007A79CE">
        <w:rPr>
          <w:rFonts w:ascii="Times New Roman" w:hAnsi="Times New Roman" w:cs="Times New Roman"/>
          <w:i/>
          <w:iCs/>
        </w:rPr>
        <w:t>Allium cepa</w:t>
      </w:r>
      <w:r w:rsidRPr="007A79CE">
        <w:rPr>
          <w:rFonts w:ascii="Times New Roman" w:hAnsi="Times New Roman" w:cs="Times New Roman"/>
        </w:rPr>
        <w:t>) bulbs (Table 1). The collected plant parts were thoroughly washed with distilled water and crushed separately using a sterile mortar and pestle to obtain a fine paste.</w:t>
      </w:r>
    </w:p>
    <w:p w14:paraId="294B7AD2" w14:textId="77777777" w:rsidR="00203CDD" w:rsidRDefault="00203CDD" w:rsidP="00203CDD">
      <w:pPr>
        <w:spacing w:after="240" w:line="276" w:lineRule="auto"/>
        <w:jc w:val="both"/>
        <w:rPr>
          <w:rFonts w:ascii="Times New Roman" w:hAnsi="Times New Roman" w:cs="Times New Roman"/>
        </w:rPr>
      </w:pPr>
      <w:r>
        <w:rPr>
          <w:rFonts w:ascii="Times New Roman" w:hAnsi="Times New Roman" w:cs="Times New Roman"/>
        </w:rPr>
        <w:tab/>
      </w:r>
      <w:r w:rsidRPr="007A79CE">
        <w:rPr>
          <w:rFonts w:ascii="Times New Roman" w:hAnsi="Times New Roman" w:cs="Times New Roman"/>
        </w:rPr>
        <w:t xml:space="preserve">An equal volume of sterile distilled water was added to the paste, and the mixture was filtered through Whatman No. </w:t>
      </w:r>
      <w:r>
        <w:rPr>
          <w:rFonts w:ascii="Times New Roman" w:hAnsi="Times New Roman" w:cs="Times New Roman"/>
        </w:rPr>
        <w:t>45</w:t>
      </w:r>
      <w:r w:rsidRPr="007A79CE">
        <w:rPr>
          <w:rFonts w:ascii="Times New Roman" w:hAnsi="Times New Roman" w:cs="Times New Roman"/>
        </w:rPr>
        <w:t xml:space="preserve"> filter paper to obtain a clear aqueous extract. The filtrate was considered as 100% stock solution and further diluted with sterile distilled water to obtain required concentrations of 5%, 10%, and 15% for antifungal evaluation.</w:t>
      </w:r>
    </w:p>
    <w:p w14:paraId="5D99CF44" w14:textId="77777777" w:rsidR="00D43428" w:rsidRDefault="00D43428" w:rsidP="00203CDD">
      <w:pPr>
        <w:spacing w:after="240" w:line="276" w:lineRule="auto"/>
        <w:jc w:val="both"/>
        <w:rPr>
          <w:rFonts w:ascii="Times New Roman" w:hAnsi="Times New Roman" w:cs="Times New Roman"/>
        </w:rPr>
      </w:pPr>
    </w:p>
    <w:tbl>
      <w:tblPr>
        <w:tblStyle w:val="TableGrid"/>
        <w:tblW w:w="0" w:type="auto"/>
        <w:jc w:val="center"/>
        <w:tblLook w:val="04A0" w:firstRow="1" w:lastRow="0" w:firstColumn="1" w:lastColumn="0" w:noHBand="0" w:noVBand="1"/>
      </w:tblPr>
      <w:tblGrid>
        <w:gridCol w:w="3005"/>
        <w:gridCol w:w="3005"/>
        <w:gridCol w:w="3006"/>
      </w:tblGrid>
      <w:tr w:rsidR="00203CDD" w:rsidRPr="00642A9D" w14:paraId="4E7C6584" w14:textId="77777777" w:rsidTr="008F797C">
        <w:trPr>
          <w:jc w:val="center"/>
        </w:trPr>
        <w:tc>
          <w:tcPr>
            <w:tcW w:w="3005" w:type="dxa"/>
            <w:vAlign w:val="center"/>
          </w:tcPr>
          <w:p w14:paraId="4FB3858F" w14:textId="77777777" w:rsidR="00203CDD" w:rsidRPr="00642A9D" w:rsidRDefault="00203CDD" w:rsidP="008F797C">
            <w:pPr>
              <w:spacing w:line="276" w:lineRule="auto"/>
              <w:jc w:val="center"/>
              <w:rPr>
                <w:rFonts w:ascii="Times New Roman" w:hAnsi="Times New Roman" w:cs="Times New Roman"/>
                <w:lang w:val="en-US"/>
              </w:rPr>
            </w:pPr>
            <w:r w:rsidRPr="00642A9D">
              <w:rPr>
                <w:rFonts w:ascii="Times New Roman" w:hAnsi="Times New Roman" w:cs="Times New Roman"/>
                <w:lang w:val="en-US"/>
              </w:rPr>
              <w:t>Name</w:t>
            </w:r>
          </w:p>
        </w:tc>
        <w:tc>
          <w:tcPr>
            <w:tcW w:w="3005" w:type="dxa"/>
            <w:vAlign w:val="center"/>
          </w:tcPr>
          <w:p w14:paraId="35178C6D" w14:textId="77777777" w:rsidR="00203CDD" w:rsidRPr="00642A9D" w:rsidRDefault="00203CDD" w:rsidP="008F797C">
            <w:pPr>
              <w:spacing w:line="276" w:lineRule="auto"/>
              <w:jc w:val="center"/>
              <w:rPr>
                <w:rFonts w:ascii="Times New Roman" w:hAnsi="Times New Roman" w:cs="Times New Roman"/>
                <w:lang w:val="en-US"/>
              </w:rPr>
            </w:pPr>
            <w:r w:rsidRPr="00642A9D">
              <w:rPr>
                <w:rFonts w:ascii="Times New Roman" w:hAnsi="Times New Roman" w:cs="Times New Roman"/>
                <w:lang w:val="en-US"/>
              </w:rPr>
              <w:t>Scientific name</w:t>
            </w:r>
          </w:p>
        </w:tc>
        <w:tc>
          <w:tcPr>
            <w:tcW w:w="3006" w:type="dxa"/>
            <w:vAlign w:val="center"/>
          </w:tcPr>
          <w:p w14:paraId="63730464" w14:textId="77777777" w:rsidR="00203CDD" w:rsidRPr="00642A9D" w:rsidRDefault="00203CDD" w:rsidP="008F797C">
            <w:pPr>
              <w:spacing w:line="276" w:lineRule="auto"/>
              <w:jc w:val="center"/>
              <w:rPr>
                <w:rFonts w:ascii="Times New Roman" w:hAnsi="Times New Roman" w:cs="Times New Roman"/>
                <w:lang w:val="en-US"/>
              </w:rPr>
            </w:pPr>
            <w:r w:rsidRPr="00642A9D">
              <w:rPr>
                <w:rFonts w:ascii="Times New Roman" w:hAnsi="Times New Roman" w:cs="Times New Roman"/>
                <w:lang w:val="en-US"/>
              </w:rPr>
              <w:t>Part used</w:t>
            </w:r>
          </w:p>
        </w:tc>
      </w:tr>
      <w:tr w:rsidR="00203CDD" w:rsidRPr="00642A9D" w14:paraId="0BD73A7D" w14:textId="77777777" w:rsidTr="008F797C">
        <w:trPr>
          <w:jc w:val="center"/>
        </w:trPr>
        <w:tc>
          <w:tcPr>
            <w:tcW w:w="3005" w:type="dxa"/>
            <w:vAlign w:val="center"/>
          </w:tcPr>
          <w:p w14:paraId="154F5618" w14:textId="77777777" w:rsidR="00203CDD" w:rsidRPr="00642A9D" w:rsidRDefault="00203CDD" w:rsidP="008F797C">
            <w:pPr>
              <w:spacing w:line="276" w:lineRule="auto"/>
              <w:jc w:val="center"/>
              <w:rPr>
                <w:rFonts w:ascii="Times New Roman" w:hAnsi="Times New Roman" w:cs="Times New Roman"/>
                <w:lang w:val="en-US"/>
              </w:rPr>
            </w:pPr>
            <w:r w:rsidRPr="00642A9D">
              <w:rPr>
                <w:rFonts w:ascii="Times New Roman" w:hAnsi="Times New Roman" w:cs="Times New Roman"/>
                <w:lang w:val="en-US"/>
              </w:rPr>
              <w:t>Garlic</w:t>
            </w:r>
          </w:p>
        </w:tc>
        <w:tc>
          <w:tcPr>
            <w:tcW w:w="3005" w:type="dxa"/>
            <w:vAlign w:val="center"/>
          </w:tcPr>
          <w:p w14:paraId="1FA681BB" w14:textId="77777777" w:rsidR="00203CDD" w:rsidRPr="00642A9D" w:rsidRDefault="00203CDD" w:rsidP="008F797C">
            <w:pPr>
              <w:spacing w:line="276" w:lineRule="auto"/>
              <w:jc w:val="center"/>
              <w:rPr>
                <w:rFonts w:ascii="Times New Roman" w:hAnsi="Times New Roman" w:cs="Times New Roman"/>
                <w:i/>
                <w:iCs/>
                <w:lang w:val="en-US"/>
              </w:rPr>
            </w:pPr>
            <w:r w:rsidRPr="00642A9D">
              <w:rPr>
                <w:rFonts w:ascii="Times New Roman" w:hAnsi="Times New Roman" w:cs="Times New Roman"/>
                <w:i/>
                <w:iCs/>
                <w:lang w:val="en-US"/>
              </w:rPr>
              <w:t>Allium sativum</w:t>
            </w:r>
          </w:p>
        </w:tc>
        <w:tc>
          <w:tcPr>
            <w:tcW w:w="3006" w:type="dxa"/>
            <w:vAlign w:val="center"/>
          </w:tcPr>
          <w:p w14:paraId="51CBA073" w14:textId="77777777" w:rsidR="00203CDD" w:rsidRPr="00642A9D" w:rsidRDefault="00203CDD" w:rsidP="008F797C">
            <w:pPr>
              <w:spacing w:line="276" w:lineRule="auto"/>
              <w:jc w:val="center"/>
              <w:rPr>
                <w:rFonts w:ascii="Times New Roman" w:hAnsi="Times New Roman" w:cs="Times New Roman"/>
                <w:lang w:val="en-US"/>
              </w:rPr>
            </w:pPr>
            <w:r w:rsidRPr="00642A9D">
              <w:rPr>
                <w:rFonts w:ascii="Times New Roman" w:hAnsi="Times New Roman" w:cs="Times New Roman"/>
                <w:lang w:val="en-US"/>
              </w:rPr>
              <w:t>Cloves</w:t>
            </w:r>
          </w:p>
        </w:tc>
      </w:tr>
      <w:tr w:rsidR="00203CDD" w:rsidRPr="00642A9D" w14:paraId="633055AC" w14:textId="77777777" w:rsidTr="008F797C">
        <w:trPr>
          <w:jc w:val="center"/>
        </w:trPr>
        <w:tc>
          <w:tcPr>
            <w:tcW w:w="3005" w:type="dxa"/>
            <w:vAlign w:val="center"/>
          </w:tcPr>
          <w:p w14:paraId="5AEB97AA" w14:textId="77777777" w:rsidR="00203CDD" w:rsidRPr="00642A9D" w:rsidRDefault="00203CDD" w:rsidP="008F797C">
            <w:pPr>
              <w:spacing w:line="276" w:lineRule="auto"/>
              <w:jc w:val="center"/>
              <w:rPr>
                <w:rFonts w:ascii="Times New Roman" w:hAnsi="Times New Roman" w:cs="Times New Roman"/>
                <w:lang w:val="en-US"/>
              </w:rPr>
            </w:pPr>
            <w:r w:rsidRPr="00642A9D">
              <w:rPr>
                <w:rFonts w:ascii="Times New Roman" w:hAnsi="Times New Roman" w:cs="Times New Roman"/>
                <w:lang w:val="en-US"/>
              </w:rPr>
              <w:lastRenderedPageBreak/>
              <w:t>Onion</w:t>
            </w:r>
          </w:p>
        </w:tc>
        <w:tc>
          <w:tcPr>
            <w:tcW w:w="3005" w:type="dxa"/>
            <w:vAlign w:val="center"/>
          </w:tcPr>
          <w:p w14:paraId="1B262ED3" w14:textId="77777777" w:rsidR="00203CDD" w:rsidRPr="00642A9D" w:rsidRDefault="00203CDD" w:rsidP="008F797C">
            <w:pPr>
              <w:spacing w:line="276" w:lineRule="auto"/>
              <w:jc w:val="center"/>
              <w:rPr>
                <w:rFonts w:ascii="Times New Roman" w:hAnsi="Times New Roman" w:cs="Times New Roman"/>
                <w:i/>
                <w:iCs/>
                <w:lang w:val="en-US"/>
              </w:rPr>
            </w:pPr>
            <w:r w:rsidRPr="00642A9D">
              <w:rPr>
                <w:rFonts w:ascii="Times New Roman" w:hAnsi="Times New Roman" w:cs="Times New Roman"/>
                <w:i/>
                <w:iCs/>
                <w:lang w:val="en-US"/>
              </w:rPr>
              <w:t>Allium cepa</w:t>
            </w:r>
          </w:p>
        </w:tc>
        <w:tc>
          <w:tcPr>
            <w:tcW w:w="3006" w:type="dxa"/>
            <w:vAlign w:val="center"/>
          </w:tcPr>
          <w:p w14:paraId="22DF14DE" w14:textId="77777777" w:rsidR="00203CDD" w:rsidRPr="00642A9D" w:rsidRDefault="00203CDD" w:rsidP="008F797C">
            <w:pPr>
              <w:spacing w:line="276" w:lineRule="auto"/>
              <w:jc w:val="center"/>
              <w:rPr>
                <w:rFonts w:ascii="Times New Roman" w:hAnsi="Times New Roman" w:cs="Times New Roman"/>
                <w:lang w:val="en-US"/>
              </w:rPr>
            </w:pPr>
            <w:r w:rsidRPr="00642A9D">
              <w:rPr>
                <w:rFonts w:ascii="Times New Roman" w:hAnsi="Times New Roman" w:cs="Times New Roman"/>
                <w:lang w:val="en-US"/>
              </w:rPr>
              <w:t>Bulb</w:t>
            </w:r>
          </w:p>
        </w:tc>
      </w:tr>
    </w:tbl>
    <w:p w14:paraId="50539D32" w14:textId="77777777" w:rsidR="00203CDD" w:rsidRPr="007A79CE" w:rsidRDefault="00203CDD" w:rsidP="00203CDD">
      <w:pPr>
        <w:shd w:val="clear" w:color="auto" w:fill="FFFFFF" w:themeFill="background1"/>
        <w:spacing w:line="276" w:lineRule="auto"/>
        <w:jc w:val="center"/>
        <w:rPr>
          <w:rFonts w:ascii="Times New Roman" w:hAnsi="Times New Roman" w:cs="Times New Roman"/>
          <w:b/>
          <w:bCs/>
        </w:rPr>
      </w:pPr>
      <w:r w:rsidRPr="00642A9D">
        <w:rPr>
          <w:rFonts w:ascii="Times New Roman" w:hAnsi="Times New Roman" w:cs="Times New Roman"/>
          <w:b/>
          <w:bCs/>
        </w:rPr>
        <w:t xml:space="preserve">Table 1. </w:t>
      </w:r>
      <w:r w:rsidRPr="00C57AB0">
        <w:rPr>
          <w:rFonts w:ascii="Times New Roman" w:hAnsi="Times New Roman" w:cs="Times New Roman"/>
        </w:rPr>
        <w:t>List of botanicals used in the experiment</w:t>
      </w:r>
    </w:p>
    <w:p w14:paraId="32C26EB7" w14:textId="77777777" w:rsidR="00203CDD" w:rsidRPr="007A79CE" w:rsidRDefault="00203CDD" w:rsidP="00203CDD">
      <w:pPr>
        <w:spacing w:before="240" w:line="276" w:lineRule="auto"/>
        <w:jc w:val="both"/>
        <w:rPr>
          <w:rFonts w:ascii="Times New Roman" w:hAnsi="Times New Roman" w:cs="Times New Roman"/>
          <w:b/>
          <w:bCs/>
        </w:rPr>
      </w:pPr>
      <w:r w:rsidRPr="007A79CE">
        <w:rPr>
          <w:rFonts w:ascii="Times New Roman" w:hAnsi="Times New Roman" w:cs="Times New Roman"/>
          <w:b/>
          <w:bCs/>
        </w:rPr>
        <w:t>Fungicides used:</w:t>
      </w:r>
    </w:p>
    <w:p w14:paraId="681E3D5E" w14:textId="77777777" w:rsidR="00203CDD" w:rsidRPr="00C57AB0" w:rsidRDefault="00203CDD" w:rsidP="00203CDD">
      <w:pPr>
        <w:spacing w:after="240" w:line="276" w:lineRule="auto"/>
        <w:jc w:val="both"/>
        <w:rPr>
          <w:rFonts w:ascii="Times New Roman" w:hAnsi="Times New Roman" w:cs="Times New Roman"/>
        </w:rPr>
      </w:pPr>
      <w:r>
        <w:rPr>
          <w:rFonts w:ascii="Times New Roman" w:hAnsi="Times New Roman" w:cs="Times New Roman"/>
        </w:rPr>
        <w:tab/>
      </w:r>
      <w:r w:rsidRPr="007A79CE">
        <w:rPr>
          <w:rFonts w:ascii="Times New Roman" w:hAnsi="Times New Roman" w:cs="Times New Roman"/>
        </w:rPr>
        <w:t>Four fungicides commonly used for the management of mango anthracnose were evaluated in the present study. These included one systemic fungicide and two contact fungicides, along with a combination fungicide (Table 2). The fungicides were tested at three concentrations, namely 0.1%, 0.2%, and 0.3%, using the poisoned food technique.</w:t>
      </w:r>
    </w:p>
    <w:tbl>
      <w:tblPr>
        <w:tblStyle w:val="TableGrid"/>
        <w:tblW w:w="0" w:type="auto"/>
        <w:jc w:val="center"/>
        <w:tblLook w:val="04A0" w:firstRow="1" w:lastRow="0" w:firstColumn="1" w:lastColumn="0" w:noHBand="0" w:noVBand="1"/>
      </w:tblPr>
      <w:tblGrid>
        <w:gridCol w:w="3005"/>
        <w:gridCol w:w="3005"/>
        <w:gridCol w:w="3006"/>
      </w:tblGrid>
      <w:tr w:rsidR="00203CDD" w:rsidRPr="00642A9D" w14:paraId="0B5732AF" w14:textId="77777777" w:rsidTr="008F797C">
        <w:trPr>
          <w:jc w:val="center"/>
        </w:trPr>
        <w:tc>
          <w:tcPr>
            <w:tcW w:w="3005" w:type="dxa"/>
            <w:vAlign w:val="center"/>
          </w:tcPr>
          <w:p w14:paraId="6B2525A6" w14:textId="77777777" w:rsidR="00203CDD" w:rsidRPr="00642A9D" w:rsidRDefault="00203CDD" w:rsidP="008F797C">
            <w:pPr>
              <w:spacing w:line="276" w:lineRule="auto"/>
              <w:jc w:val="center"/>
              <w:rPr>
                <w:rFonts w:ascii="Times New Roman" w:hAnsi="Times New Roman" w:cs="Times New Roman"/>
                <w:lang w:val="en-US"/>
              </w:rPr>
            </w:pPr>
            <w:r w:rsidRPr="00642A9D">
              <w:rPr>
                <w:rFonts w:ascii="Times New Roman" w:hAnsi="Times New Roman" w:cs="Times New Roman"/>
                <w:lang w:val="en-US"/>
              </w:rPr>
              <w:t>Fungicide</w:t>
            </w:r>
          </w:p>
        </w:tc>
        <w:tc>
          <w:tcPr>
            <w:tcW w:w="3005" w:type="dxa"/>
            <w:vAlign w:val="center"/>
          </w:tcPr>
          <w:p w14:paraId="0B223DBB" w14:textId="77777777" w:rsidR="00203CDD" w:rsidRPr="00642A9D" w:rsidRDefault="00203CDD" w:rsidP="008F797C">
            <w:pPr>
              <w:spacing w:line="276" w:lineRule="auto"/>
              <w:jc w:val="center"/>
              <w:rPr>
                <w:rFonts w:ascii="Times New Roman" w:hAnsi="Times New Roman" w:cs="Times New Roman"/>
                <w:lang w:val="en-US"/>
              </w:rPr>
            </w:pPr>
            <w:r w:rsidRPr="00642A9D">
              <w:rPr>
                <w:rFonts w:ascii="Times New Roman" w:hAnsi="Times New Roman" w:cs="Times New Roman"/>
                <w:lang w:val="en-US"/>
              </w:rPr>
              <w:t>Concentration</w:t>
            </w:r>
          </w:p>
        </w:tc>
        <w:tc>
          <w:tcPr>
            <w:tcW w:w="3006" w:type="dxa"/>
            <w:vAlign w:val="center"/>
          </w:tcPr>
          <w:p w14:paraId="3BA6DC1E" w14:textId="77777777" w:rsidR="00203CDD" w:rsidRPr="00642A9D" w:rsidRDefault="00203CDD" w:rsidP="008F797C">
            <w:pPr>
              <w:spacing w:line="276" w:lineRule="auto"/>
              <w:jc w:val="center"/>
              <w:rPr>
                <w:rFonts w:ascii="Times New Roman" w:hAnsi="Times New Roman" w:cs="Times New Roman"/>
                <w:lang w:val="en-US"/>
              </w:rPr>
            </w:pPr>
            <w:r w:rsidRPr="00642A9D">
              <w:rPr>
                <w:rFonts w:ascii="Times New Roman" w:hAnsi="Times New Roman" w:cs="Times New Roman"/>
                <w:lang w:val="en-US"/>
              </w:rPr>
              <w:t>Mode of action</w:t>
            </w:r>
          </w:p>
        </w:tc>
      </w:tr>
      <w:tr w:rsidR="00203CDD" w:rsidRPr="00642A9D" w14:paraId="6FF0B811" w14:textId="77777777" w:rsidTr="008F797C">
        <w:trPr>
          <w:jc w:val="center"/>
        </w:trPr>
        <w:tc>
          <w:tcPr>
            <w:tcW w:w="3005" w:type="dxa"/>
            <w:vAlign w:val="center"/>
          </w:tcPr>
          <w:p w14:paraId="2B401780" w14:textId="77777777" w:rsidR="00203CDD" w:rsidRPr="00642A9D" w:rsidRDefault="00203CDD" w:rsidP="008F797C">
            <w:pPr>
              <w:spacing w:line="276" w:lineRule="auto"/>
              <w:jc w:val="center"/>
              <w:rPr>
                <w:rFonts w:ascii="Times New Roman" w:hAnsi="Times New Roman" w:cs="Times New Roman"/>
                <w:lang w:val="en-US"/>
              </w:rPr>
            </w:pPr>
            <w:r w:rsidRPr="00642A9D">
              <w:rPr>
                <w:rFonts w:ascii="Times New Roman" w:hAnsi="Times New Roman" w:cs="Times New Roman"/>
                <w:lang w:val="en-US"/>
              </w:rPr>
              <w:t>Carbendazim</w:t>
            </w:r>
          </w:p>
        </w:tc>
        <w:tc>
          <w:tcPr>
            <w:tcW w:w="3005" w:type="dxa"/>
            <w:vAlign w:val="center"/>
          </w:tcPr>
          <w:p w14:paraId="54D25E9E" w14:textId="77777777" w:rsidR="00203CDD" w:rsidRPr="00642A9D" w:rsidRDefault="00203CDD" w:rsidP="008F797C">
            <w:pPr>
              <w:spacing w:line="276" w:lineRule="auto"/>
              <w:jc w:val="center"/>
              <w:rPr>
                <w:rFonts w:ascii="Times New Roman" w:hAnsi="Times New Roman" w:cs="Times New Roman"/>
                <w:lang w:val="en-US"/>
              </w:rPr>
            </w:pPr>
            <w:r w:rsidRPr="00642A9D">
              <w:rPr>
                <w:rFonts w:ascii="Times New Roman" w:hAnsi="Times New Roman" w:cs="Times New Roman"/>
                <w:lang w:val="en-US"/>
              </w:rPr>
              <w:t>0.1%, 0.2%, 0.3%</w:t>
            </w:r>
          </w:p>
        </w:tc>
        <w:tc>
          <w:tcPr>
            <w:tcW w:w="3006" w:type="dxa"/>
            <w:vAlign w:val="center"/>
          </w:tcPr>
          <w:p w14:paraId="2584BA6D" w14:textId="77777777" w:rsidR="00203CDD" w:rsidRPr="00642A9D" w:rsidRDefault="00203CDD" w:rsidP="008F797C">
            <w:pPr>
              <w:spacing w:line="276" w:lineRule="auto"/>
              <w:jc w:val="center"/>
              <w:rPr>
                <w:rFonts w:ascii="Times New Roman" w:hAnsi="Times New Roman" w:cs="Times New Roman"/>
                <w:lang w:val="en-US"/>
              </w:rPr>
            </w:pPr>
            <w:r w:rsidRPr="00642A9D">
              <w:rPr>
                <w:rFonts w:ascii="Times New Roman" w:hAnsi="Times New Roman" w:cs="Times New Roman"/>
                <w:lang w:val="en-US"/>
              </w:rPr>
              <w:t>Systemic</w:t>
            </w:r>
          </w:p>
        </w:tc>
      </w:tr>
      <w:tr w:rsidR="00203CDD" w:rsidRPr="00642A9D" w14:paraId="79739766" w14:textId="77777777" w:rsidTr="008F797C">
        <w:trPr>
          <w:jc w:val="center"/>
        </w:trPr>
        <w:tc>
          <w:tcPr>
            <w:tcW w:w="3005" w:type="dxa"/>
            <w:vAlign w:val="center"/>
          </w:tcPr>
          <w:p w14:paraId="00D26787" w14:textId="77777777" w:rsidR="00203CDD" w:rsidRPr="00642A9D" w:rsidRDefault="00203CDD" w:rsidP="008F797C">
            <w:pPr>
              <w:spacing w:line="276" w:lineRule="auto"/>
              <w:jc w:val="center"/>
              <w:rPr>
                <w:rFonts w:ascii="Times New Roman" w:hAnsi="Times New Roman" w:cs="Times New Roman"/>
                <w:lang w:val="en-US"/>
              </w:rPr>
            </w:pPr>
            <w:r w:rsidRPr="00642A9D">
              <w:rPr>
                <w:rFonts w:ascii="Times New Roman" w:hAnsi="Times New Roman" w:cs="Times New Roman"/>
                <w:lang w:val="en-US"/>
              </w:rPr>
              <w:t>Mancozeb</w:t>
            </w:r>
          </w:p>
        </w:tc>
        <w:tc>
          <w:tcPr>
            <w:tcW w:w="3005" w:type="dxa"/>
            <w:vAlign w:val="center"/>
          </w:tcPr>
          <w:p w14:paraId="22DA698E" w14:textId="77777777" w:rsidR="00203CDD" w:rsidRPr="00642A9D" w:rsidRDefault="00203CDD" w:rsidP="008F797C">
            <w:pPr>
              <w:spacing w:line="276" w:lineRule="auto"/>
              <w:jc w:val="center"/>
              <w:rPr>
                <w:rFonts w:ascii="Times New Roman" w:hAnsi="Times New Roman" w:cs="Times New Roman"/>
                <w:lang w:val="en-US"/>
              </w:rPr>
            </w:pPr>
            <w:r w:rsidRPr="00642A9D">
              <w:rPr>
                <w:rFonts w:ascii="Times New Roman" w:hAnsi="Times New Roman" w:cs="Times New Roman"/>
                <w:lang w:val="en-US"/>
              </w:rPr>
              <w:t>0.1%, 0.2%, 0.3%</w:t>
            </w:r>
          </w:p>
        </w:tc>
        <w:tc>
          <w:tcPr>
            <w:tcW w:w="3006" w:type="dxa"/>
            <w:vAlign w:val="center"/>
          </w:tcPr>
          <w:p w14:paraId="30103951" w14:textId="77777777" w:rsidR="00203CDD" w:rsidRPr="00642A9D" w:rsidRDefault="00203CDD" w:rsidP="008F797C">
            <w:pPr>
              <w:spacing w:line="276" w:lineRule="auto"/>
              <w:jc w:val="center"/>
              <w:rPr>
                <w:rFonts w:ascii="Times New Roman" w:hAnsi="Times New Roman" w:cs="Times New Roman"/>
                <w:lang w:val="en-US"/>
              </w:rPr>
            </w:pPr>
            <w:r w:rsidRPr="00642A9D">
              <w:rPr>
                <w:rFonts w:ascii="Times New Roman" w:hAnsi="Times New Roman" w:cs="Times New Roman"/>
                <w:lang w:val="en-US"/>
              </w:rPr>
              <w:t>Contact</w:t>
            </w:r>
          </w:p>
        </w:tc>
      </w:tr>
      <w:tr w:rsidR="00203CDD" w:rsidRPr="00642A9D" w14:paraId="0DE7CF61" w14:textId="77777777" w:rsidTr="008F797C">
        <w:trPr>
          <w:jc w:val="center"/>
        </w:trPr>
        <w:tc>
          <w:tcPr>
            <w:tcW w:w="3005" w:type="dxa"/>
            <w:vAlign w:val="center"/>
          </w:tcPr>
          <w:p w14:paraId="62842ABD" w14:textId="77777777" w:rsidR="00203CDD" w:rsidRPr="00642A9D" w:rsidRDefault="00203CDD" w:rsidP="008F797C">
            <w:pPr>
              <w:spacing w:line="276" w:lineRule="auto"/>
              <w:jc w:val="center"/>
              <w:rPr>
                <w:rFonts w:ascii="Times New Roman" w:hAnsi="Times New Roman" w:cs="Times New Roman"/>
                <w:lang w:val="en-US"/>
              </w:rPr>
            </w:pPr>
            <w:r w:rsidRPr="00642A9D">
              <w:rPr>
                <w:rFonts w:ascii="Times New Roman" w:hAnsi="Times New Roman" w:cs="Times New Roman"/>
                <w:lang w:val="en-US"/>
              </w:rPr>
              <w:t>Copper oxychloride</w:t>
            </w:r>
          </w:p>
        </w:tc>
        <w:tc>
          <w:tcPr>
            <w:tcW w:w="3005" w:type="dxa"/>
            <w:vAlign w:val="center"/>
          </w:tcPr>
          <w:p w14:paraId="03686E81" w14:textId="77777777" w:rsidR="00203CDD" w:rsidRPr="00642A9D" w:rsidRDefault="00203CDD" w:rsidP="008F797C">
            <w:pPr>
              <w:spacing w:line="276" w:lineRule="auto"/>
              <w:jc w:val="center"/>
              <w:rPr>
                <w:rFonts w:ascii="Times New Roman" w:hAnsi="Times New Roman" w:cs="Times New Roman"/>
                <w:lang w:val="en-US"/>
              </w:rPr>
            </w:pPr>
            <w:r w:rsidRPr="00642A9D">
              <w:rPr>
                <w:rFonts w:ascii="Times New Roman" w:hAnsi="Times New Roman" w:cs="Times New Roman"/>
                <w:lang w:val="en-US"/>
              </w:rPr>
              <w:t>0.1%, 0.2%, 0.3%</w:t>
            </w:r>
          </w:p>
        </w:tc>
        <w:tc>
          <w:tcPr>
            <w:tcW w:w="3006" w:type="dxa"/>
            <w:vAlign w:val="center"/>
          </w:tcPr>
          <w:p w14:paraId="5863F62C" w14:textId="77777777" w:rsidR="00203CDD" w:rsidRPr="00642A9D" w:rsidRDefault="00203CDD" w:rsidP="008F797C">
            <w:pPr>
              <w:spacing w:line="276" w:lineRule="auto"/>
              <w:jc w:val="center"/>
              <w:rPr>
                <w:rFonts w:ascii="Times New Roman" w:hAnsi="Times New Roman" w:cs="Times New Roman"/>
                <w:lang w:val="en-US"/>
              </w:rPr>
            </w:pPr>
            <w:r w:rsidRPr="00642A9D">
              <w:rPr>
                <w:rFonts w:ascii="Times New Roman" w:hAnsi="Times New Roman" w:cs="Times New Roman"/>
                <w:lang w:val="en-US"/>
              </w:rPr>
              <w:t>Contact</w:t>
            </w:r>
          </w:p>
        </w:tc>
      </w:tr>
      <w:tr w:rsidR="00203CDD" w:rsidRPr="00642A9D" w14:paraId="434DD2E5" w14:textId="77777777" w:rsidTr="008F797C">
        <w:trPr>
          <w:jc w:val="center"/>
        </w:trPr>
        <w:tc>
          <w:tcPr>
            <w:tcW w:w="3005" w:type="dxa"/>
            <w:vAlign w:val="center"/>
          </w:tcPr>
          <w:p w14:paraId="110B641A" w14:textId="77777777" w:rsidR="00203CDD" w:rsidRPr="00642A9D" w:rsidRDefault="00203CDD" w:rsidP="008F797C">
            <w:pPr>
              <w:spacing w:line="276" w:lineRule="auto"/>
              <w:jc w:val="center"/>
              <w:rPr>
                <w:rFonts w:ascii="Times New Roman" w:hAnsi="Times New Roman" w:cs="Times New Roman"/>
                <w:lang w:val="en-US"/>
              </w:rPr>
            </w:pPr>
            <w:r w:rsidRPr="00642A9D">
              <w:rPr>
                <w:rFonts w:ascii="Times New Roman" w:hAnsi="Times New Roman" w:cs="Times New Roman"/>
                <w:lang w:val="en-US"/>
              </w:rPr>
              <w:t>Carbendazim + Mancozeb</w:t>
            </w:r>
          </w:p>
        </w:tc>
        <w:tc>
          <w:tcPr>
            <w:tcW w:w="3005" w:type="dxa"/>
            <w:vAlign w:val="center"/>
          </w:tcPr>
          <w:p w14:paraId="7D0C0532" w14:textId="77777777" w:rsidR="00203CDD" w:rsidRPr="00642A9D" w:rsidRDefault="00203CDD" w:rsidP="008F797C">
            <w:pPr>
              <w:spacing w:line="276" w:lineRule="auto"/>
              <w:jc w:val="center"/>
              <w:rPr>
                <w:rFonts w:ascii="Times New Roman" w:hAnsi="Times New Roman" w:cs="Times New Roman"/>
                <w:lang w:val="en-US"/>
              </w:rPr>
            </w:pPr>
            <w:r w:rsidRPr="00642A9D">
              <w:rPr>
                <w:rFonts w:ascii="Times New Roman" w:hAnsi="Times New Roman" w:cs="Times New Roman"/>
                <w:lang w:val="en-US"/>
              </w:rPr>
              <w:t>0.1%, 0.2%, 0.3%</w:t>
            </w:r>
          </w:p>
        </w:tc>
        <w:tc>
          <w:tcPr>
            <w:tcW w:w="3006" w:type="dxa"/>
            <w:vAlign w:val="center"/>
          </w:tcPr>
          <w:p w14:paraId="51304181" w14:textId="77777777" w:rsidR="00203CDD" w:rsidRPr="00642A9D" w:rsidRDefault="00203CDD" w:rsidP="008F797C">
            <w:pPr>
              <w:spacing w:line="276" w:lineRule="auto"/>
              <w:jc w:val="center"/>
              <w:rPr>
                <w:rFonts w:ascii="Times New Roman" w:hAnsi="Times New Roman" w:cs="Times New Roman"/>
                <w:lang w:val="en-US"/>
              </w:rPr>
            </w:pPr>
            <w:r w:rsidRPr="00642A9D">
              <w:rPr>
                <w:rFonts w:ascii="Times New Roman" w:hAnsi="Times New Roman" w:cs="Times New Roman"/>
                <w:lang w:val="en-US"/>
              </w:rPr>
              <w:t xml:space="preserve">Systemic </w:t>
            </w:r>
          </w:p>
        </w:tc>
      </w:tr>
    </w:tbl>
    <w:p w14:paraId="1BA07DA6" w14:textId="77777777" w:rsidR="00203CDD" w:rsidRPr="007A79CE" w:rsidRDefault="00203CDD" w:rsidP="00203CDD">
      <w:pPr>
        <w:shd w:val="clear" w:color="auto" w:fill="FFFFFF" w:themeFill="background1"/>
        <w:spacing w:line="276" w:lineRule="auto"/>
        <w:jc w:val="center"/>
        <w:rPr>
          <w:rFonts w:ascii="Times New Roman" w:hAnsi="Times New Roman" w:cs="Times New Roman"/>
          <w:lang w:val="en-US"/>
        </w:rPr>
      </w:pPr>
      <w:r w:rsidRPr="00642A9D">
        <w:rPr>
          <w:rFonts w:ascii="Times New Roman" w:hAnsi="Times New Roman" w:cs="Times New Roman"/>
          <w:b/>
          <w:bCs/>
          <w:lang w:val="en-US"/>
        </w:rPr>
        <w:t>Table 2.</w:t>
      </w:r>
      <w:r w:rsidRPr="00642A9D">
        <w:rPr>
          <w:rFonts w:ascii="Times New Roman" w:hAnsi="Times New Roman" w:cs="Times New Roman"/>
          <w:lang w:val="en-US"/>
        </w:rPr>
        <w:t xml:space="preserve"> List of fungicides used in experiment.</w:t>
      </w:r>
    </w:p>
    <w:p w14:paraId="770116B4" w14:textId="77777777" w:rsidR="00203CDD" w:rsidRPr="007A79CE" w:rsidRDefault="00203CDD" w:rsidP="00203CDD">
      <w:pPr>
        <w:spacing w:before="240" w:line="276" w:lineRule="auto"/>
        <w:jc w:val="both"/>
        <w:rPr>
          <w:rFonts w:ascii="Times New Roman" w:hAnsi="Times New Roman" w:cs="Times New Roman"/>
          <w:b/>
          <w:bCs/>
        </w:rPr>
      </w:pPr>
      <w:r w:rsidRPr="007A79CE">
        <w:rPr>
          <w:rFonts w:ascii="Times New Roman" w:hAnsi="Times New Roman" w:cs="Times New Roman"/>
          <w:b/>
          <w:bCs/>
        </w:rPr>
        <w:t>In vitro evaluation of fungicides and botanicals (Poisoned food technique)</w:t>
      </w:r>
      <w:r>
        <w:rPr>
          <w:rFonts w:ascii="Times New Roman" w:hAnsi="Times New Roman" w:cs="Times New Roman"/>
          <w:b/>
          <w:bCs/>
        </w:rPr>
        <w:t>:</w:t>
      </w:r>
    </w:p>
    <w:p w14:paraId="7FD0E994" w14:textId="77777777" w:rsidR="00203CDD" w:rsidRPr="007A79CE" w:rsidRDefault="00203CDD" w:rsidP="00203CDD">
      <w:pPr>
        <w:spacing w:line="276" w:lineRule="auto"/>
        <w:jc w:val="both"/>
        <w:rPr>
          <w:rFonts w:ascii="Times New Roman" w:hAnsi="Times New Roman" w:cs="Times New Roman"/>
        </w:rPr>
      </w:pPr>
      <w:r>
        <w:rPr>
          <w:rFonts w:ascii="Times New Roman" w:hAnsi="Times New Roman" w:cs="Times New Roman"/>
        </w:rPr>
        <w:tab/>
      </w:r>
      <w:r w:rsidRPr="007A79CE">
        <w:rPr>
          <w:rFonts w:ascii="Times New Roman" w:hAnsi="Times New Roman" w:cs="Times New Roman"/>
        </w:rPr>
        <w:t>The poisoned food technique was employed to assess the antifungal efficacy of fungicides and botanical extracts against Colletotrichum gloeosporioides. The required quantity of each fungicide or botanical extract was incorporated into sterilized molten PDA medium to obtain the desired concentrations. The medium was thoroughly mixed and poured into sterilized Petri plates.</w:t>
      </w:r>
    </w:p>
    <w:p w14:paraId="0C9DCC14" w14:textId="77777777" w:rsidR="00203CDD" w:rsidRPr="007A79CE" w:rsidRDefault="00203CDD" w:rsidP="00203CDD">
      <w:pPr>
        <w:spacing w:line="276" w:lineRule="auto"/>
        <w:jc w:val="both"/>
        <w:rPr>
          <w:rFonts w:ascii="Times New Roman" w:hAnsi="Times New Roman" w:cs="Times New Roman"/>
        </w:rPr>
      </w:pPr>
      <w:r>
        <w:rPr>
          <w:rFonts w:ascii="Times New Roman" w:hAnsi="Times New Roman" w:cs="Times New Roman"/>
        </w:rPr>
        <w:tab/>
      </w:r>
      <w:r w:rsidRPr="007A79CE">
        <w:rPr>
          <w:rFonts w:ascii="Times New Roman" w:hAnsi="Times New Roman" w:cs="Times New Roman"/>
        </w:rPr>
        <w:t xml:space="preserve">Plates without any fungicide or botanical extract served as control. After solidification, a 5 mm diameter mycelial disc cut from the periphery of a 7-day-old actively growing culture of C. gloeosporioides was placed at the </w:t>
      </w:r>
      <w:proofErr w:type="spellStart"/>
      <w:r w:rsidRPr="007A79CE">
        <w:rPr>
          <w:rFonts w:ascii="Times New Roman" w:hAnsi="Times New Roman" w:cs="Times New Roman"/>
        </w:rPr>
        <w:t>center</w:t>
      </w:r>
      <w:proofErr w:type="spellEnd"/>
      <w:r w:rsidRPr="007A79CE">
        <w:rPr>
          <w:rFonts w:ascii="Times New Roman" w:hAnsi="Times New Roman" w:cs="Times New Roman"/>
        </w:rPr>
        <w:t xml:space="preserve"> of each plate. All treatments were replicated thrice.</w:t>
      </w:r>
    </w:p>
    <w:p w14:paraId="1CAAD1BE" w14:textId="77777777" w:rsidR="00203CDD" w:rsidRPr="007A79CE" w:rsidRDefault="00203CDD" w:rsidP="00203CDD">
      <w:pPr>
        <w:spacing w:line="276" w:lineRule="auto"/>
        <w:jc w:val="both"/>
        <w:rPr>
          <w:rFonts w:ascii="Times New Roman" w:hAnsi="Times New Roman" w:cs="Times New Roman"/>
        </w:rPr>
      </w:pPr>
      <w:r>
        <w:rPr>
          <w:rFonts w:ascii="Times New Roman" w:hAnsi="Times New Roman" w:cs="Times New Roman"/>
        </w:rPr>
        <w:tab/>
      </w:r>
      <w:r w:rsidRPr="007A79CE">
        <w:rPr>
          <w:rFonts w:ascii="Times New Roman" w:hAnsi="Times New Roman" w:cs="Times New Roman"/>
        </w:rPr>
        <w:t>The inoculated plates were incubated at 25 ± 2°C, and observations on radial mycelial growth were recorded once the control plates attained full growth.</w:t>
      </w:r>
    </w:p>
    <w:p w14:paraId="603D1B85" w14:textId="77777777" w:rsidR="00203CDD" w:rsidRPr="007A79CE" w:rsidRDefault="00203CDD" w:rsidP="00203CDD">
      <w:pPr>
        <w:spacing w:line="276" w:lineRule="auto"/>
        <w:jc w:val="both"/>
        <w:rPr>
          <w:rFonts w:ascii="Times New Roman" w:hAnsi="Times New Roman" w:cs="Times New Roman"/>
          <w:b/>
          <w:bCs/>
        </w:rPr>
      </w:pPr>
      <w:r w:rsidRPr="007A79CE">
        <w:rPr>
          <w:rFonts w:ascii="Times New Roman" w:hAnsi="Times New Roman" w:cs="Times New Roman"/>
          <w:b/>
          <w:bCs/>
        </w:rPr>
        <w:t>Calculation of percent inhibition:</w:t>
      </w:r>
    </w:p>
    <w:p w14:paraId="2355B1AF" w14:textId="77777777" w:rsidR="00203CDD" w:rsidRDefault="00203CDD" w:rsidP="00203CDD">
      <w:pPr>
        <w:spacing w:line="276" w:lineRule="auto"/>
        <w:jc w:val="both"/>
        <w:rPr>
          <w:rFonts w:ascii="Times New Roman" w:hAnsi="Times New Roman" w:cs="Times New Roman"/>
        </w:rPr>
      </w:pPr>
      <w:r w:rsidRPr="007A79CE">
        <w:rPr>
          <w:rFonts w:ascii="Times New Roman" w:hAnsi="Times New Roman" w:cs="Times New Roman"/>
        </w:rPr>
        <w:t>The percent inhibition of mycelial growth was calculated using the formula:</w:t>
      </w:r>
    </w:p>
    <w:p w14:paraId="298E3D6C" w14:textId="77777777" w:rsidR="00203CDD" w:rsidRPr="007A79CE" w:rsidRDefault="00203CDD" w:rsidP="00203CDD">
      <w:pPr>
        <w:spacing w:line="276" w:lineRule="auto"/>
        <w:jc w:val="both"/>
        <w:rPr>
          <w:rFonts w:ascii="Times New Roman" w:hAnsi="Times New Roman" w:cs="Times New Roman"/>
          <w:sz w:val="4"/>
          <w:szCs w:val="4"/>
        </w:rPr>
      </w:pPr>
    </w:p>
    <w:p w14:paraId="50D73093" w14:textId="77777777" w:rsidR="00203CDD" w:rsidRDefault="00203CDD" w:rsidP="00203CDD">
      <w:pPr>
        <w:spacing w:line="276" w:lineRule="auto"/>
        <w:jc w:val="center"/>
        <w:rPr>
          <w:rFonts w:ascii="Times New Roman" w:hAnsi="Times New Roman" w:cs="Times New Roman"/>
        </w:rPr>
      </w:pPr>
      <w:r w:rsidRPr="007A79CE">
        <w:rPr>
          <w:rFonts w:ascii="Times New Roman" w:hAnsi="Times New Roman" w:cs="Times New Roman"/>
        </w:rPr>
        <w:t>Percent inhibition (</w:t>
      </w:r>
      <w:proofErr w:type="gramStart"/>
      <w:r w:rsidRPr="007A79CE">
        <w:rPr>
          <w:rFonts w:ascii="Times New Roman" w:hAnsi="Times New Roman" w:cs="Times New Roman"/>
        </w:rPr>
        <w:t>%)=</w:t>
      </w:r>
      <w:proofErr w:type="gramEnd"/>
      <w:r w:rsidRPr="007A79CE">
        <w:rPr>
          <w:rFonts w:ascii="Times New Roman"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c-t</m:t>
            </m:r>
          </m:num>
          <m:den>
            <m:r>
              <w:rPr>
                <w:rFonts w:ascii="Cambria Math" w:hAnsi="Cambria Math" w:cs="Times New Roman"/>
                <w:sz w:val="28"/>
                <w:szCs w:val="28"/>
              </w:rPr>
              <m:t>c</m:t>
            </m:r>
          </m:den>
        </m:f>
        <m:r>
          <w:rPr>
            <w:rFonts w:ascii="Cambria Math" w:hAnsi="Cambria Math" w:cs="Times New Roman"/>
            <w:sz w:val="28"/>
            <w:szCs w:val="28"/>
          </w:rPr>
          <m:t>×100</m:t>
        </m:r>
      </m:oMath>
    </w:p>
    <w:p w14:paraId="6A6F5729" w14:textId="77777777" w:rsidR="00203CDD" w:rsidRPr="00203CDD" w:rsidRDefault="00203CDD" w:rsidP="00203CDD">
      <w:pPr>
        <w:spacing w:line="276" w:lineRule="auto"/>
        <w:rPr>
          <w:rFonts w:ascii="Times New Roman" w:hAnsi="Times New Roman" w:cs="Times New Roman"/>
        </w:rPr>
      </w:pPr>
      <w:r w:rsidRPr="00203CDD">
        <w:rPr>
          <w:rFonts w:ascii="Times New Roman" w:hAnsi="Times New Roman" w:cs="Times New Roman"/>
        </w:rPr>
        <w:t>Where:</w:t>
      </w:r>
      <w:r w:rsidRPr="00203CDD">
        <w:rPr>
          <w:rFonts w:ascii="Times New Roman" w:hAnsi="Times New Roman" w:cs="Times New Roman"/>
        </w:rPr>
        <w:br/>
        <w:t>C = radial growth of the pathogen in control (mm)</w:t>
      </w:r>
      <w:r w:rsidRPr="00203CDD">
        <w:rPr>
          <w:rFonts w:ascii="Times New Roman" w:hAnsi="Times New Roman" w:cs="Times New Roman"/>
        </w:rPr>
        <w:br/>
        <w:t>T = radial growth of the pathogen in treated plate (mm)</w:t>
      </w:r>
    </w:p>
    <w:p w14:paraId="4C6F9EFA" w14:textId="77777777" w:rsidR="00203CDD" w:rsidRPr="007A79CE" w:rsidRDefault="00203CDD" w:rsidP="00203CDD">
      <w:pPr>
        <w:spacing w:line="276" w:lineRule="auto"/>
        <w:jc w:val="both"/>
        <w:rPr>
          <w:rFonts w:ascii="Times New Roman" w:hAnsi="Times New Roman" w:cs="Times New Roman"/>
          <w:b/>
          <w:bCs/>
        </w:rPr>
      </w:pPr>
      <w:r w:rsidRPr="007A79CE">
        <w:rPr>
          <w:rFonts w:ascii="Times New Roman" w:hAnsi="Times New Roman" w:cs="Times New Roman"/>
          <w:b/>
          <w:bCs/>
        </w:rPr>
        <w:t>Statistical analysis</w:t>
      </w:r>
      <w:r>
        <w:rPr>
          <w:rFonts w:ascii="Times New Roman" w:hAnsi="Times New Roman" w:cs="Times New Roman"/>
          <w:b/>
          <w:bCs/>
        </w:rPr>
        <w:t>:</w:t>
      </w:r>
    </w:p>
    <w:p w14:paraId="7132C9EA" w14:textId="77777777" w:rsidR="00203CDD" w:rsidRPr="007A79CE" w:rsidRDefault="00203CDD" w:rsidP="00203CDD">
      <w:pPr>
        <w:spacing w:line="276" w:lineRule="auto"/>
        <w:jc w:val="both"/>
        <w:rPr>
          <w:rFonts w:ascii="Times New Roman" w:hAnsi="Times New Roman" w:cs="Times New Roman"/>
        </w:rPr>
      </w:pPr>
      <w:r>
        <w:rPr>
          <w:rFonts w:ascii="Times New Roman" w:hAnsi="Times New Roman" w:cs="Times New Roman"/>
        </w:rPr>
        <w:tab/>
      </w:r>
      <w:r w:rsidRPr="007A79CE">
        <w:rPr>
          <w:rFonts w:ascii="Times New Roman" w:hAnsi="Times New Roman" w:cs="Times New Roman"/>
        </w:rPr>
        <w:t xml:space="preserve">The experiment was conducted using a Completely Randomized Design (CRD). The data obtained were statistically </w:t>
      </w:r>
      <w:proofErr w:type="spellStart"/>
      <w:r w:rsidRPr="007A79CE">
        <w:rPr>
          <w:rFonts w:ascii="Times New Roman" w:hAnsi="Times New Roman" w:cs="Times New Roman"/>
        </w:rPr>
        <w:t>analyzed</w:t>
      </w:r>
      <w:proofErr w:type="spellEnd"/>
      <w:r w:rsidRPr="007A79CE">
        <w:rPr>
          <w:rFonts w:ascii="Times New Roman" w:hAnsi="Times New Roman" w:cs="Times New Roman"/>
        </w:rPr>
        <w:t xml:space="preserve"> to determine the significance of treatments. Critical Difference (CD) at 5% probability level, Standard Error of Mean [SE(m)], Standard Error of Difference [SE(d)], and Coefficient of Variation (CV) were calculated to assess the reliability and precision of the results.</w:t>
      </w:r>
    </w:p>
    <w:p w14:paraId="447901D4" w14:textId="77777777" w:rsidR="00905CEC" w:rsidRPr="00642A9D" w:rsidRDefault="00905CEC" w:rsidP="00DE07E3">
      <w:pPr>
        <w:shd w:val="clear" w:color="auto" w:fill="FFFFFF" w:themeFill="background1"/>
        <w:spacing w:line="276" w:lineRule="auto"/>
        <w:rPr>
          <w:rFonts w:ascii="Times New Roman" w:hAnsi="Times New Roman" w:cs="Times New Roman"/>
          <w:b/>
          <w:bCs/>
          <w:lang w:val="en-US"/>
        </w:rPr>
      </w:pPr>
      <w:r w:rsidRPr="00642A9D">
        <w:rPr>
          <w:rFonts w:ascii="Times New Roman" w:hAnsi="Times New Roman" w:cs="Times New Roman"/>
          <w:b/>
          <w:bCs/>
          <w:lang w:val="en-US"/>
        </w:rPr>
        <w:t>Result:</w:t>
      </w:r>
    </w:p>
    <w:tbl>
      <w:tblPr>
        <w:tblW w:w="3900" w:type="dxa"/>
        <w:jc w:val="center"/>
        <w:tblLook w:val="04A0" w:firstRow="1" w:lastRow="0" w:firstColumn="1" w:lastColumn="0" w:noHBand="0" w:noVBand="1"/>
      </w:tblPr>
      <w:tblGrid>
        <w:gridCol w:w="1383"/>
        <w:gridCol w:w="1450"/>
        <w:gridCol w:w="1067"/>
      </w:tblGrid>
      <w:tr w:rsidR="00376A05" w:rsidRPr="00642A9D" w14:paraId="294C6670" w14:textId="77777777" w:rsidTr="00351D93">
        <w:trPr>
          <w:trHeight w:val="600"/>
          <w:jc w:val="center"/>
        </w:trPr>
        <w:tc>
          <w:tcPr>
            <w:tcW w:w="1305" w:type="dxa"/>
            <w:tcBorders>
              <w:top w:val="single" w:sz="4" w:space="0" w:color="auto"/>
              <w:left w:val="single" w:sz="4" w:space="0" w:color="auto"/>
              <w:bottom w:val="single" w:sz="4" w:space="0" w:color="auto"/>
              <w:right w:val="single" w:sz="4" w:space="0" w:color="auto"/>
            </w:tcBorders>
            <w:vAlign w:val="center"/>
            <w:hideMark/>
          </w:tcPr>
          <w:p w14:paraId="71480A8A" w14:textId="77777777" w:rsidR="00376A05" w:rsidRPr="00642A9D" w:rsidRDefault="00376A05" w:rsidP="00DE07E3">
            <w:pPr>
              <w:spacing w:line="276" w:lineRule="auto"/>
              <w:jc w:val="center"/>
              <w:rPr>
                <w:rFonts w:ascii="Times New Roman" w:eastAsia="Times New Roman" w:hAnsi="Times New Roman" w:cs="Times New Roman"/>
                <w:b/>
                <w:bCs/>
                <w:color w:val="000000"/>
                <w:kern w:val="0"/>
                <w:sz w:val="20"/>
                <w:szCs w:val="20"/>
                <w:lang w:eastAsia="en-GB"/>
                <w14:ligatures w14:val="none"/>
              </w:rPr>
            </w:pPr>
            <w:r w:rsidRPr="00642A9D">
              <w:rPr>
                <w:rFonts w:ascii="Times New Roman" w:eastAsia="Times New Roman" w:hAnsi="Times New Roman" w:cs="Times New Roman"/>
                <w:b/>
                <w:bCs/>
                <w:color w:val="000000"/>
                <w:kern w:val="0"/>
                <w:sz w:val="20"/>
                <w:szCs w:val="20"/>
                <w:lang w:eastAsia="en-GB"/>
                <w14:ligatures w14:val="none"/>
              </w:rPr>
              <w:t>Treatment</w:t>
            </w:r>
          </w:p>
        </w:tc>
        <w:tc>
          <w:tcPr>
            <w:tcW w:w="1401" w:type="dxa"/>
            <w:tcBorders>
              <w:top w:val="single" w:sz="4" w:space="0" w:color="auto"/>
              <w:left w:val="nil"/>
              <w:bottom w:val="single" w:sz="4" w:space="0" w:color="auto"/>
              <w:right w:val="single" w:sz="4" w:space="0" w:color="auto"/>
            </w:tcBorders>
            <w:vAlign w:val="center"/>
            <w:hideMark/>
          </w:tcPr>
          <w:p w14:paraId="73C938E1" w14:textId="77777777" w:rsidR="00376A05" w:rsidRPr="00642A9D" w:rsidRDefault="00376A05" w:rsidP="00DE07E3">
            <w:pPr>
              <w:spacing w:line="276" w:lineRule="auto"/>
              <w:rPr>
                <w:rFonts w:ascii="Times New Roman" w:eastAsia="Times New Roman" w:hAnsi="Times New Roman" w:cs="Times New Roman"/>
                <w:b/>
                <w:bCs/>
                <w:color w:val="000000"/>
                <w:kern w:val="0"/>
                <w:sz w:val="20"/>
                <w:szCs w:val="20"/>
                <w:lang w:eastAsia="en-GB"/>
                <w14:ligatures w14:val="none"/>
              </w:rPr>
            </w:pPr>
            <w:r w:rsidRPr="00642A9D">
              <w:rPr>
                <w:rFonts w:ascii="Times New Roman" w:eastAsia="Times New Roman" w:hAnsi="Times New Roman" w:cs="Times New Roman"/>
                <w:b/>
                <w:bCs/>
                <w:color w:val="000000"/>
                <w:kern w:val="0"/>
                <w:sz w:val="20"/>
                <w:szCs w:val="20"/>
                <w:lang w:eastAsia="en-GB"/>
                <w14:ligatures w14:val="none"/>
              </w:rPr>
              <w:t>Concentration</w:t>
            </w:r>
          </w:p>
        </w:tc>
        <w:tc>
          <w:tcPr>
            <w:tcW w:w="1194" w:type="dxa"/>
            <w:tcBorders>
              <w:top w:val="single" w:sz="4" w:space="0" w:color="auto"/>
              <w:left w:val="nil"/>
              <w:bottom w:val="single" w:sz="4" w:space="0" w:color="auto"/>
              <w:right w:val="single" w:sz="4" w:space="0" w:color="auto"/>
            </w:tcBorders>
            <w:vAlign w:val="center"/>
            <w:hideMark/>
          </w:tcPr>
          <w:p w14:paraId="09980D8C" w14:textId="77777777" w:rsidR="00376A05" w:rsidRPr="00642A9D" w:rsidRDefault="00376A05" w:rsidP="00DE07E3">
            <w:pPr>
              <w:spacing w:line="276" w:lineRule="auto"/>
              <w:jc w:val="center"/>
              <w:rPr>
                <w:rFonts w:ascii="Times New Roman" w:eastAsia="Times New Roman" w:hAnsi="Times New Roman" w:cs="Times New Roman"/>
                <w:b/>
                <w:bCs/>
                <w:color w:val="000000"/>
                <w:kern w:val="0"/>
                <w:sz w:val="20"/>
                <w:szCs w:val="20"/>
                <w:lang w:eastAsia="en-GB"/>
                <w14:ligatures w14:val="none"/>
              </w:rPr>
            </w:pPr>
            <w:r w:rsidRPr="00642A9D">
              <w:rPr>
                <w:rFonts w:ascii="Times New Roman" w:eastAsia="Times New Roman" w:hAnsi="Times New Roman" w:cs="Times New Roman"/>
                <w:b/>
                <w:bCs/>
                <w:color w:val="000000"/>
                <w:kern w:val="0"/>
                <w:sz w:val="20"/>
                <w:szCs w:val="20"/>
                <w:lang w:eastAsia="en-GB"/>
                <w14:ligatures w14:val="none"/>
              </w:rPr>
              <w:t xml:space="preserve">Percent </w:t>
            </w:r>
            <w:r w:rsidR="003F283C" w:rsidRPr="00642A9D">
              <w:rPr>
                <w:rFonts w:ascii="Times New Roman" w:eastAsia="Times New Roman" w:hAnsi="Times New Roman" w:cs="Times New Roman"/>
                <w:b/>
                <w:bCs/>
                <w:color w:val="000000"/>
                <w:kern w:val="0"/>
                <w:sz w:val="20"/>
                <w:szCs w:val="20"/>
                <w:lang w:eastAsia="en-GB"/>
                <w14:ligatures w14:val="none"/>
              </w:rPr>
              <w:t>inhibition</w:t>
            </w:r>
          </w:p>
        </w:tc>
      </w:tr>
      <w:tr w:rsidR="00351D93" w:rsidRPr="00642A9D" w14:paraId="6B810D59" w14:textId="77777777" w:rsidTr="00351D93">
        <w:trPr>
          <w:trHeight w:val="340"/>
          <w:jc w:val="center"/>
        </w:trPr>
        <w:tc>
          <w:tcPr>
            <w:tcW w:w="1305" w:type="dxa"/>
            <w:tcBorders>
              <w:top w:val="nil"/>
              <w:left w:val="single" w:sz="4" w:space="0" w:color="auto"/>
              <w:bottom w:val="single" w:sz="4" w:space="0" w:color="auto"/>
              <w:right w:val="single" w:sz="4" w:space="0" w:color="auto"/>
            </w:tcBorders>
            <w:vAlign w:val="center"/>
            <w:hideMark/>
          </w:tcPr>
          <w:p w14:paraId="7302A177" w14:textId="77777777" w:rsidR="00351D93" w:rsidRPr="00642A9D" w:rsidRDefault="00351D93" w:rsidP="00DE07E3">
            <w:pPr>
              <w:spacing w:line="276" w:lineRule="auto"/>
              <w:jc w:val="center"/>
              <w:rPr>
                <w:rFonts w:ascii="Times New Roman" w:eastAsia="Times New Roman" w:hAnsi="Times New Roman" w:cs="Times New Roman"/>
                <w:b/>
                <w:bCs/>
                <w:color w:val="000000"/>
                <w:kern w:val="0"/>
                <w:sz w:val="20"/>
                <w:szCs w:val="20"/>
                <w:lang w:eastAsia="en-GB"/>
                <w14:ligatures w14:val="none"/>
              </w:rPr>
            </w:pPr>
            <w:r w:rsidRPr="00642A9D">
              <w:rPr>
                <w:rFonts w:ascii="Times New Roman" w:eastAsia="Times New Roman" w:hAnsi="Times New Roman" w:cs="Times New Roman"/>
                <w:b/>
                <w:bCs/>
                <w:color w:val="000000"/>
                <w:kern w:val="0"/>
                <w:sz w:val="20"/>
                <w:szCs w:val="20"/>
                <w:lang w:eastAsia="en-GB"/>
                <w14:ligatures w14:val="none"/>
              </w:rPr>
              <w:t>Control</w:t>
            </w:r>
          </w:p>
        </w:tc>
        <w:tc>
          <w:tcPr>
            <w:tcW w:w="1401" w:type="dxa"/>
            <w:tcBorders>
              <w:top w:val="nil"/>
              <w:left w:val="nil"/>
              <w:bottom w:val="single" w:sz="4" w:space="0" w:color="auto"/>
              <w:right w:val="single" w:sz="4" w:space="0" w:color="auto"/>
            </w:tcBorders>
            <w:vAlign w:val="center"/>
            <w:hideMark/>
          </w:tcPr>
          <w:p w14:paraId="46F936B6" w14:textId="77777777" w:rsidR="00351D93" w:rsidRPr="00642A9D" w:rsidRDefault="00351D93" w:rsidP="00DE07E3">
            <w:pPr>
              <w:spacing w:line="276" w:lineRule="auto"/>
              <w:jc w:val="center"/>
              <w:rPr>
                <w:rFonts w:ascii="Times New Roman" w:eastAsia="Times New Roman" w:hAnsi="Times New Roman" w:cs="Times New Roman"/>
                <w:b/>
                <w:bCs/>
                <w:color w:val="000000"/>
                <w:kern w:val="0"/>
                <w:sz w:val="20"/>
                <w:szCs w:val="20"/>
                <w:lang w:eastAsia="en-GB"/>
                <w14:ligatures w14:val="none"/>
              </w:rPr>
            </w:pPr>
            <w:r w:rsidRPr="00642A9D">
              <w:rPr>
                <w:rFonts w:ascii="Times New Roman" w:eastAsia="Times New Roman" w:hAnsi="Times New Roman" w:cs="Times New Roman"/>
                <w:b/>
                <w:bCs/>
                <w:color w:val="000000"/>
                <w:kern w:val="0"/>
                <w:sz w:val="20"/>
                <w:szCs w:val="20"/>
                <w:lang w:eastAsia="en-GB"/>
                <w14:ligatures w14:val="none"/>
              </w:rPr>
              <w:t> </w:t>
            </w:r>
          </w:p>
        </w:tc>
        <w:tc>
          <w:tcPr>
            <w:tcW w:w="1194" w:type="dxa"/>
            <w:tcBorders>
              <w:top w:val="nil"/>
              <w:left w:val="nil"/>
              <w:bottom w:val="single" w:sz="4" w:space="0" w:color="auto"/>
              <w:right w:val="single" w:sz="4" w:space="0" w:color="auto"/>
            </w:tcBorders>
            <w:vAlign w:val="bottom"/>
            <w:hideMark/>
          </w:tcPr>
          <w:p w14:paraId="61B4ADEB"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0.000</w:t>
            </w:r>
          </w:p>
        </w:tc>
      </w:tr>
      <w:tr w:rsidR="00351D93" w:rsidRPr="00642A9D" w14:paraId="478038BC" w14:textId="77777777" w:rsidTr="00351D93">
        <w:trPr>
          <w:trHeight w:val="320"/>
          <w:jc w:val="center"/>
        </w:trPr>
        <w:tc>
          <w:tcPr>
            <w:tcW w:w="1305" w:type="dxa"/>
            <w:vMerge w:val="restart"/>
            <w:tcBorders>
              <w:top w:val="nil"/>
              <w:left w:val="single" w:sz="4" w:space="0" w:color="auto"/>
              <w:bottom w:val="single" w:sz="4" w:space="0" w:color="auto"/>
              <w:right w:val="single" w:sz="4" w:space="0" w:color="auto"/>
            </w:tcBorders>
            <w:vAlign w:val="center"/>
            <w:hideMark/>
          </w:tcPr>
          <w:p w14:paraId="50EA0EA2" w14:textId="77777777" w:rsidR="00351D93" w:rsidRPr="00642A9D" w:rsidRDefault="00351D93" w:rsidP="00DE07E3">
            <w:pPr>
              <w:spacing w:line="276" w:lineRule="auto"/>
              <w:jc w:val="center"/>
              <w:rPr>
                <w:rFonts w:ascii="Times New Roman" w:eastAsia="Times New Roman" w:hAnsi="Times New Roman" w:cs="Times New Roman"/>
                <w:b/>
                <w:bCs/>
                <w:color w:val="000000"/>
                <w:kern w:val="0"/>
                <w:sz w:val="20"/>
                <w:szCs w:val="20"/>
                <w:lang w:eastAsia="en-GB"/>
                <w14:ligatures w14:val="none"/>
              </w:rPr>
            </w:pPr>
            <w:r w:rsidRPr="00642A9D">
              <w:rPr>
                <w:rFonts w:ascii="Times New Roman" w:eastAsia="Times New Roman" w:hAnsi="Times New Roman" w:cs="Times New Roman"/>
                <w:b/>
                <w:bCs/>
                <w:color w:val="000000"/>
                <w:kern w:val="0"/>
                <w:sz w:val="20"/>
                <w:szCs w:val="20"/>
                <w:lang w:eastAsia="en-GB"/>
                <w14:ligatures w14:val="none"/>
              </w:rPr>
              <w:t>Carbendazim</w:t>
            </w:r>
          </w:p>
        </w:tc>
        <w:tc>
          <w:tcPr>
            <w:tcW w:w="1401" w:type="dxa"/>
            <w:tcBorders>
              <w:top w:val="nil"/>
              <w:left w:val="nil"/>
              <w:bottom w:val="single" w:sz="4" w:space="0" w:color="auto"/>
              <w:right w:val="single" w:sz="4" w:space="0" w:color="auto"/>
            </w:tcBorders>
            <w:vAlign w:val="center"/>
            <w:hideMark/>
          </w:tcPr>
          <w:p w14:paraId="3E404E12"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0.10%</w:t>
            </w:r>
          </w:p>
        </w:tc>
        <w:tc>
          <w:tcPr>
            <w:tcW w:w="1194" w:type="dxa"/>
            <w:tcBorders>
              <w:top w:val="nil"/>
              <w:left w:val="nil"/>
              <w:bottom w:val="single" w:sz="4" w:space="0" w:color="auto"/>
              <w:right w:val="single" w:sz="4" w:space="0" w:color="auto"/>
            </w:tcBorders>
            <w:vAlign w:val="bottom"/>
            <w:hideMark/>
          </w:tcPr>
          <w:p w14:paraId="43FFCD9F"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45.555</w:t>
            </w:r>
          </w:p>
        </w:tc>
      </w:tr>
      <w:tr w:rsidR="00351D93" w:rsidRPr="00642A9D" w14:paraId="63C75FB8" w14:textId="77777777" w:rsidTr="00351D93">
        <w:trPr>
          <w:trHeight w:val="320"/>
          <w:jc w:val="center"/>
        </w:trPr>
        <w:tc>
          <w:tcPr>
            <w:tcW w:w="1305" w:type="dxa"/>
            <w:vMerge/>
            <w:tcBorders>
              <w:top w:val="nil"/>
              <w:left w:val="single" w:sz="4" w:space="0" w:color="auto"/>
              <w:bottom w:val="single" w:sz="4" w:space="0" w:color="auto"/>
              <w:right w:val="single" w:sz="4" w:space="0" w:color="auto"/>
            </w:tcBorders>
            <w:vAlign w:val="center"/>
            <w:hideMark/>
          </w:tcPr>
          <w:p w14:paraId="1D0D5453" w14:textId="77777777" w:rsidR="00351D93" w:rsidRPr="00642A9D" w:rsidRDefault="00351D93" w:rsidP="00DE07E3">
            <w:pPr>
              <w:spacing w:line="276" w:lineRule="auto"/>
              <w:rPr>
                <w:rFonts w:ascii="Times New Roman" w:eastAsia="Times New Roman" w:hAnsi="Times New Roman" w:cs="Times New Roman"/>
                <w:b/>
                <w:bCs/>
                <w:color w:val="000000"/>
                <w:kern w:val="0"/>
                <w:sz w:val="20"/>
                <w:szCs w:val="20"/>
                <w:lang w:eastAsia="en-GB"/>
                <w14:ligatures w14:val="none"/>
              </w:rPr>
            </w:pPr>
          </w:p>
        </w:tc>
        <w:tc>
          <w:tcPr>
            <w:tcW w:w="1401" w:type="dxa"/>
            <w:tcBorders>
              <w:top w:val="nil"/>
              <w:left w:val="nil"/>
              <w:bottom w:val="single" w:sz="4" w:space="0" w:color="auto"/>
              <w:right w:val="single" w:sz="4" w:space="0" w:color="auto"/>
            </w:tcBorders>
            <w:vAlign w:val="center"/>
            <w:hideMark/>
          </w:tcPr>
          <w:p w14:paraId="2368A755"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0.20%</w:t>
            </w:r>
          </w:p>
        </w:tc>
        <w:tc>
          <w:tcPr>
            <w:tcW w:w="1194" w:type="dxa"/>
            <w:tcBorders>
              <w:top w:val="nil"/>
              <w:left w:val="nil"/>
              <w:bottom w:val="single" w:sz="4" w:space="0" w:color="auto"/>
              <w:right w:val="single" w:sz="4" w:space="0" w:color="auto"/>
            </w:tcBorders>
            <w:vAlign w:val="bottom"/>
            <w:hideMark/>
          </w:tcPr>
          <w:p w14:paraId="00E81DAE"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59.757</w:t>
            </w:r>
          </w:p>
        </w:tc>
      </w:tr>
      <w:tr w:rsidR="00351D93" w:rsidRPr="00642A9D" w14:paraId="07A57FA0" w14:textId="77777777" w:rsidTr="00351D93">
        <w:trPr>
          <w:trHeight w:val="340"/>
          <w:jc w:val="center"/>
        </w:trPr>
        <w:tc>
          <w:tcPr>
            <w:tcW w:w="1305" w:type="dxa"/>
            <w:vMerge/>
            <w:tcBorders>
              <w:top w:val="nil"/>
              <w:left w:val="single" w:sz="4" w:space="0" w:color="auto"/>
              <w:bottom w:val="single" w:sz="4" w:space="0" w:color="auto"/>
              <w:right w:val="single" w:sz="4" w:space="0" w:color="auto"/>
            </w:tcBorders>
            <w:vAlign w:val="center"/>
            <w:hideMark/>
          </w:tcPr>
          <w:p w14:paraId="72B008EF" w14:textId="77777777" w:rsidR="00351D93" w:rsidRPr="00642A9D" w:rsidRDefault="00351D93" w:rsidP="00DE07E3">
            <w:pPr>
              <w:spacing w:line="276" w:lineRule="auto"/>
              <w:rPr>
                <w:rFonts w:ascii="Times New Roman" w:eastAsia="Times New Roman" w:hAnsi="Times New Roman" w:cs="Times New Roman"/>
                <w:b/>
                <w:bCs/>
                <w:color w:val="000000"/>
                <w:kern w:val="0"/>
                <w:sz w:val="20"/>
                <w:szCs w:val="20"/>
                <w:lang w:eastAsia="en-GB"/>
                <w14:ligatures w14:val="none"/>
              </w:rPr>
            </w:pPr>
          </w:p>
        </w:tc>
        <w:tc>
          <w:tcPr>
            <w:tcW w:w="1401" w:type="dxa"/>
            <w:tcBorders>
              <w:top w:val="nil"/>
              <w:left w:val="nil"/>
              <w:bottom w:val="single" w:sz="4" w:space="0" w:color="auto"/>
              <w:right w:val="single" w:sz="4" w:space="0" w:color="auto"/>
            </w:tcBorders>
            <w:vAlign w:val="center"/>
            <w:hideMark/>
          </w:tcPr>
          <w:p w14:paraId="66539E20"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0.30%</w:t>
            </w:r>
          </w:p>
        </w:tc>
        <w:tc>
          <w:tcPr>
            <w:tcW w:w="1194" w:type="dxa"/>
            <w:tcBorders>
              <w:top w:val="nil"/>
              <w:left w:val="nil"/>
              <w:bottom w:val="single" w:sz="4" w:space="0" w:color="auto"/>
              <w:right w:val="single" w:sz="4" w:space="0" w:color="auto"/>
            </w:tcBorders>
            <w:vAlign w:val="bottom"/>
            <w:hideMark/>
          </w:tcPr>
          <w:p w14:paraId="30E621A5"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63.422</w:t>
            </w:r>
          </w:p>
        </w:tc>
      </w:tr>
      <w:tr w:rsidR="00351D93" w:rsidRPr="00642A9D" w14:paraId="4ADF527B" w14:textId="77777777" w:rsidTr="00351D93">
        <w:trPr>
          <w:trHeight w:val="320"/>
          <w:jc w:val="center"/>
        </w:trPr>
        <w:tc>
          <w:tcPr>
            <w:tcW w:w="1305" w:type="dxa"/>
            <w:vMerge w:val="restart"/>
            <w:tcBorders>
              <w:top w:val="nil"/>
              <w:left w:val="single" w:sz="4" w:space="0" w:color="auto"/>
              <w:bottom w:val="single" w:sz="4" w:space="0" w:color="auto"/>
              <w:right w:val="single" w:sz="4" w:space="0" w:color="auto"/>
            </w:tcBorders>
            <w:vAlign w:val="center"/>
            <w:hideMark/>
          </w:tcPr>
          <w:p w14:paraId="731DD7F1" w14:textId="77777777" w:rsidR="00351D93" w:rsidRPr="00642A9D" w:rsidRDefault="00351D93" w:rsidP="00DE07E3">
            <w:pPr>
              <w:spacing w:line="276" w:lineRule="auto"/>
              <w:jc w:val="center"/>
              <w:rPr>
                <w:rFonts w:ascii="Times New Roman" w:eastAsia="Times New Roman" w:hAnsi="Times New Roman" w:cs="Times New Roman"/>
                <w:b/>
                <w:bCs/>
                <w:color w:val="000000"/>
                <w:kern w:val="0"/>
                <w:sz w:val="20"/>
                <w:szCs w:val="20"/>
                <w:lang w:eastAsia="en-GB"/>
                <w14:ligatures w14:val="none"/>
              </w:rPr>
            </w:pPr>
            <w:r w:rsidRPr="00642A9D">
              <w:rPr>
                <w:rFonts w:ascii="Times New Roman" w:eastAsia="Times New Roman" w:hAnsi="Times New Roman" w:cs="Times New Roman"/>
                <w:b/>
                <w:bCs/>
                <w:color w:val="000000"/>
                <w:kern w:val="0"/>
                <w:sz w:val="20"/>
                <w:szCs w:val="20"/>
                <w:lang w:eastAsia="en-GB"/>
                <w14:ligatures w14:val="none"/>
              </w:rPr>
              <w:t>Carbendazim + Mancozeb</w:t>
            </w:r>
          </w:p>
        </w:tc>
        <w:tc>
          <w:tcPr>
            <w:tcW w:w="1401" w:type="dxa"/>
            <w:tcBorders>
              <w:top w:val="nil"/>
              <w:left w:val="nil"/>
              <w:bottom w:val="single" w:sz="4" w:space="0" w:color="auto"/>
              <w:right w:val="single" w:sz="4" w:space="0" w:color="auto"/>
            </w:tcBorders>
            <w:vAlign w:val="center"/>
            <w:hideMark/>
          </w:tcPr>
          <w:p w14:paraId="5AF228F1"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0.10%</w:t>
            </w:r>
          </w:p>
        </w:tc>
        <w:tc>
          <w:tcPr>
            <w:tcW w:w="1194" w:type="dxa"/>
            <w:tcBorders>
              <w:top w:val="nil"/>
              <w:left w:val="nil"/>
              <w:bottom w:val="single" w:sz="4" w:space="0" w:color="auto"/>
              <w:right w:val="single" w:sz="4" w:space="0" w:color="auto"/>
            </w:tcBorders>
            <w:vAlign w:val="bottom"/>
            <w:hideMark/>
          </w:tcPr>
          <w:p w14:paraId="17199113"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69.737</w:t>
            </w:r>
          </w:p>
        </w:tc>
      </w:tr>
      <w:tr w:rsidR="00351D93" w:rsidRPr="00642A9D" w14:paraId="31C20294" w14:textId="77777777" w:rsidTr="00351D93">
        <w:trPr>
          <w:trHeight w:val="320"/>
          <w:jc w:val="center"/>
        </w:trPr>
        <w:tc>
          <w:tcPr>
            <w:tcW w:w="1305" w:type="dxa"/>
            <w:vMerge/>
            <w:tcBorders>
              <w:top w:val="nil"/>
              <w:left w:val="single" w:sz="4" w:space="0" w:color="auto"/>
              <w:bottom w:val="single" w:sz="4" w:space="0" w:color="auto"/>
              <w:right w:val="single" w:sz="4" w:space="0" w:color="auto"/>
            </w:tcBorders>
            <w:vAlign w:val="center"/>
            <w:hideMark/>
          </w:tcPr>
          <w:p w14:paraId="746C0495" w14:textId="77777777" w:rsidR="00351D93" w:rsidRPr="00642A9D" w:rsidRDefault="00351D93" w:rsidP="00DE07E3">
            <w:pPr>
              <w:spacing w:line="276" w:lineRule="auto"/>
              <w:rPr>
                <w:rFonts w:ascii="Times New Roman" w:eastAsia="Times New Roman" w:hAnsi="Times New Roman" w:cs="Times New Roman"/>
                <w:b/>
                <w:bCs/>
                <w:color w:val="000000"/>
                <w:kern w:val="0"/>
                <w:sz w:val="20"/>
                <w:szCs w:val="20"/>
                <w:lang w:eastAsia="en-GB"/>
                <w14:ligatures w14:val="none"/>
              </w:rPr>
            </w:pPr>
          </w:p>
        </w:tc>
        <w:tc>
          <w:tcPr>
            <w:tcW w:w="1401" w:type="dxa"/>
            <w:tcBorders>
              <w:top w:val="nil"/>
              <w:left w:val="nil"/>
              <w:bottom w:val="single" w:sz="4" w:space="0" w:color="auto"/>
              <w:right w:val="single" w:sz="4" w:space="0" w:color="auto"/>
            </w:tcBorders>
            <w:vAlign w:val="center"/>
            <w:hideMark/>
          </w:tcPr>
          <w:p w14:paraId="6EF8C867"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0.20%</w:t>
            </w:r>
          </w:p>
        </w:tc>
        <w:tc>
          <w:tcPr>
            <w:tcW w:w="1194" w:type="dxa"/>
            <w:tcBorders>
              <w:top w:val="nil"/>
              <w:left w:val="nil"/>
              <w:bottom w:val="single" w:sz="4" w:space="0" w:color="auto"/>
              <w:right w:val="single" w:sz="4" w:space="0" w:color="auto"/>
            </w:tcBorders>
            <w:vAlign w:val="bottom"/>
            <w:hideMark/>
          </w:tcPr>
          <w:p w14:paraId="592D166C"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73.540</w:t>
            </w:r>
          </w:p>
        </w:tc>
      </w:tr>
      <w:tr w:rsidR="00351D93" w:rsidRPr="00642A9D" w14:paraId="76C52003" w14:textId="77777777" w:rsidTr="00351D93">
        <w:trPr>
          <w:trHeight w:val="340"/>
          <w:jc w:val="center"/>
        </w:trPr>
        <w:tc>
          <w:tcPr>
            <w:tcW w:w="1305" w:type="dxa"/>
            <w:vMerge/>
            <w:tcBorders>
              <w:top w:val="nil"/>
              <w:left w:val="single" w:sz="4" w:space="0" w:color="auto"/>
              <w:bottom w:val="single" w:sz="4" w:space="0" w:color="auto"/>
              <w:right w:val="single" w:sz="4" w:space="0" w:color="auto"/>
            </w:tcBorders>
            <w:vAlign w:val="center"/>
            <w:hideMark/>
          </w:tcPr>
          <w:p w14:paraId="7AE9BD55" w14:textId="77777777" w:rsidR="00351D93" w:rsidRPr="00642A9D" w:rsidRDefault="00351D93" w:rsidP="00DE07E3">
            <w:pPr>
              <w:spacing w:line="276" w:lineRule="auto"/>
              <w:rPr>
                <w:rFonts w:ascii="Times New Roman" w:eastAsia="Times New Roman" w:hAnsi="Times New Roman" w:cs="Times New Roman"/>
                <w:b/>
                <w:bCs/>
                <w:color w:val="000000"/>
                <w:kern w:val="0"/>
                <w:sz w:val="20"/>
                <w:szCs w:val="20"/>
                <w:lang w:eastAsia="en-GB"/>
                <w14:ligatures w14:val="none"/>
              </w:rPr>
            </w:pPr>
          </w:p>
        </w:tc>
        <w:tc>
          <w:tcPr>
            <w:tcW w:w="1401" w:type="dxa"/>
            <w:tcBorders>
              <w:top w:val="nil"/>
              <w:left w:val="nil"/>
              <w:bottom w:val="single" w:sz="4" w:space="0" w:color="auto"/>
              <w:right w:val="single" w:sz="4" w:space="0" w:color="auto"/>
            </w:tcBorders>
            <w:vAlign w:val="center"/>
            <w:hideMark/>
          </w:tcPr>
          <w:p w14:paraId="74115059"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0.30%</w:t>
            </w:r>
          </w:p>
        </w:tc>
        <w:tc>
          <w:tcPr>
            <w:tcW w:w="1194" w:type="dxa"/>
            <w:tcBorders>
              <w:top w:val="nil"/>
              <w:left w:val="nil"/>
              <w:bottom w:val="single" w:sz="4" w:space="0" w:color="auto"/>
              <w:right w:val="single" w:sz="4" w:space="0" w:color="auto"/>
            </w:tcBorders>
            <w:vAlign w:val="bottom"/>
            <w:hideMark/>
          </w:tcPr>
          <w:p w14:paraId="57446AE1"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87.279</w:t>
            </w:r>
          </w:p>
        </w:tc>
      </w:tr>
      <w:tr w:rsidR="00351D93" w:rsidRPr="00642A9D" w14:paraId="4AE57DC7" w14:textId="77777777" w:rsidTr="00351D93">
        <w:trPr>
          <w:trHeight w:val="320"/>
          <w:jc w:val="center"/>
        </w:trPr>
        <w:tc>
          <w:tcPr>
            <w:tcW w:w="1305" w:type="dxa"/>
            <w:vMerge w:val="restart"/>
            <w:tcBorders>
              <w:top w:val="nil"/>
              <w:left w:val="single" w:sz="4" w:space="0" w:color="auto"/>
              <w:bottom w:val="single" w:sz="4" w:space="0" w:color="auto"/>
              <w:right w:val="single" w:sz="4" w:space="0" w:color="auto"/>
            </w:tcBorders>
            <w:vAlign w:val="center"/>
            <w:hideMark/>
          </w:tcPr>
          <w:p w14:paraId="036A10F9" w14:textId="77777777" w:rsidR="00351D93" w:rsidRPr="00642A9D" w:rsidRDefault="00351D93" w:rsidP="00DE07E3">
            <w:pPr>
              <w:spacing w:line="276" w:lineRule="auto"/>
              <w:jc w:val="center"/>
              <w:rPr>
                <w:rFonts w:ascii="Times New Roman" w:eastAsia="Times New Roman" w:hAnsi="Times New Roman" w:cs="Times New Roman"/>
                <w:b/>
                <w:bCs/>
                <w:color w:val="000000"/>
                <w:kern w:val="0"/>
                <w:sz w:val="20"/>
                <w:szCs w:val="20"/>
                <w:lang w:eastAsia="en-GB"/>
                <w14:ligatures w14:val="none"/>
              </w:rPr>
            </w:pPr>
            <w:r w:rsidRPr="00642A9D">
              <w:rPr>
                <w:rFonts w:ascii="Times New Roman" w:eastAsia="Times New Roman" w:hAnsi="Times New Roman" w:cs="Times New Roman"/>
                <w:b/>
                <w:bCs/>
                <w:color w:val="000000"/>
                <w:kern w:val="0"/>
                <w:sz w:val="20"/>
                <w:szCs w:val="20"/>
                <w:lang w:eastAsia="en-GB"/>
                <w14:ligatures w14:val="none"/>
              </w:rPr>
              <w:t>Mancozeb</w:t>
            </w:r>
          </w:p>
        </w:tc>
        <w:tc>
          <w:tcPr>
            <w:tcW w:w="1401" w:type="dxa"/>
            <w:tcBorders>
              <w:top w:val="nil"/>
              <w:left w:val="nil"/>
              <w:bottom w:val="single" w:sz="4" w:space="0" w:color="auto"/>
              <w:right w:val="single" w:sz="4" w:space="0" w:color="auto"/>
            </w:tcBorders>
            <w:vAlign w:val="center"/>
            <w:hideMark/>
          </w:tcPr>
          <w:p w14:paraId="1719D9EE"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0.10%</w:t>
            </w:r>
          </w:p>
        </w:tc>
        <w:tc>
          <w:tcPr>
            <w:tcW w:w="1194" w:type="dxa"/>
            <w:tcBorders>
              <w:top w:val="nil"/>
              <w:left w:val="nil"/>
              <w:bottom w:val="single" w:sz="4" w:space="0" w:color="auto"/>
              <w:right w:val="single" w:sz="4" w:space="0" w:color="auto"/>
            </w:tcBorders>
            <w:vAlign w:val="bottom"/>
            <w:hideMark/>
          </w:tcPr>
          <w:p w14:paraId="55CA3F26"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64.137</w:t>
            </w:r>
          </w:p>
        </w:tc>
      </w:tr>
      <w:tr w:rsidR="00351D93" w:rsidRPr="00642A9D" w14:paraId="6F31F6F0" w14:textId="77777777" w:rsidTr="00351D93">
        <w:trPr>
          <w:trHeight w:val="320"/>
          <w:jc w:val="center"/>
        </w:trPr>
        <w:tc>
          <w:tcPr>
            <w:tcW w:w="1305" w:type="dxa"/>
            <w:vMerge/>
            <w:tcBorders>
              <w:top w:val="nil"/>
              <w:left w:val="single" w:sz="4" w:space="0" w:color="auto"/>
              <w:bottom w:val="single" w:sz="4" w:space="0" w:color="auto"/>
              <w:right w:val="single" w:sz="4" w:space="0" w:color="auto"/>
            </w:tcBorders>
            <w:vAlign w:val="center"/>
            <w:hideMark/>
          </w:tcPr>
          <w:p w14:paraId="6117277D" w14:textId="77777777" w:rsidR="00351D93" w:rsidRPr="00642A9D" w:rsidRDefault="00351D93" w:rsidP="00DE07E3">
            <w:pPr>
              <w:spacing w:line="276" w:lineRule="auto"/>
              <w:rPr>
                <w:rFonts w:ascii="Times New Roman" w:eastAsia="Times New Roman" w:hAnsi="Times New Roman" w:cs="Times New Roman"/>
                <w:b/>
                <w:bCs/>
                <w:color w:val="000000"/>
                <w:kern w:val="0"/>
                <w:sz w:val="20"/>
                <w:szCs w:val="20"/>
                <w:lang w:eastAsia="en-GB"/>
                <w14:ligatures w14:val="none"/>
              </w:rPr>
            </w:pPr>
          </w:p>
        </w:tc>
        <w:tc>
          <w:tcPr>
            <w:tcW w:w="1401" w:type="dxa"/>
            <w:tcBorders>
              <w:top w:val="nil"/>
              <w:left w:val="nil"/>
              <w:bottom w:val="single" w:sz="4" w:space="0" w:color="auto"/>
              <w:right w:val="single" w:sz="4" w:space="0" w:color="auto"/>
            </w:tcBorders>
            <w:vAlign w:val="center"/>
            <w:hideMark/>
          </w:tcPr>
          <w:p w14:paraId="5052CB57"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0.20%</w:t>
            </w:r>
          </w:p>
        </w:tc>
        <w:tc>
          <w:tcPr>
            <w:tcW w:w="1194" w:type="dxa"/>
            <w:tcBorders>
              <w:top w:val="nil"/>
              <w:left w:val="nil"/>
              <w:bottom w:val="single" w:sz="4" w:space="0" w:color="auto"/>
              <w:right w:val="single" w:sz="4" w:space="0" w:color="auto"/>
            </w:tcBorders>
            <w:vAlign w:val="bottom"/>
            <w:hideMark/>
          </w:tcPr>
          <w:p w14:paraId="134F95C9"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74.367</w:t>
            </w:r>
          </w:p>
        </w:tc>
      </w:tr>
      <w:tr w:rsidR="00351D93" w:rsidRPr="00642A9D" w14:paraId="495DC54D" w14:textId="77777777" w:rsidTr="00351D93">
        <w:trPr>
          <w:trHeight w:val="340"/>
          <w:jc w:val="center"/>
        </w:trPr>
        <w:tc>
          <w:tcPr>
            <w:tcW w:w="1305" w:type="dxa"/>
            <w:vMerge/>
            <w:tcBorders>
              <w:top w:val="nil"/>
              <w:left w:val="single" w:sz="4" w:space="0" w:color="auto"/>
              <w:bottom w:val="single" w:sz="4" w:space="0" w:color="auto"/>
              <w:right w:val="single" w:sz="4" w:space="0" w:color="auto"/>
            </w:tcBorders>
            <w:vAlign w:val="center"/>
            <w:hideMark/>
          </w:tcPr>
          <w:p w14:paraId="6ADB5ADB" w14:textId="77777777" w:rsidR="00351D93" w:rsidRPr="00642A9D" w:rsidRDefault="00351D93" w:rsidP="00DE07E3">
            <w:pPr>
              <w:spacing w:line="276" w:lineRule="auto"/>
              <w:rPr>
                <w:rFonts w:ascii="Times New Roman" w:eastAsia="Times New Roman" w:hAnsi="Times New Roman" w:cs="Times New Roman"/>
                <w:b/>
                <w:bCs/>
                <w:color w:val="000000"/>
                <w:kern w:val="0"/>
                <w:sz w:val="20"/>
                <w:szCs w:val="20"/>
                <w:lang w:eastAsia="en-GB"/>
                <w14:ligatures w14:val="none"/>
              </w:rPr>
            </w:pPr>
          </w:p>
        </w:tc>
        <w:tc>
          <w:tcPr>
            <w:tcW w:w="1401" w:type="dxa"/>
            <w:tcBorders>
              <w:top w:val="nil"/>
              <w:left w:val="nil"/>
              <w:bottom w:val="single" w:sz="4" w:space="0" w:color="auto"/>
              <w:right w:val="single" w:sz="4" w:space="0" w:color="auto"/>
            </w:tcBorders>
            <w:vAlign w:val="center"/>
            <w:hideMark/>
          </w:tcPr>
          <w:p w14:paraId="7C39858E"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0.30%</w:t>
            </w:r>
          </w:p>
        </w:tc>
        <w:tc>
          <w:tcPr>
            <w:tcW w:w="1194" w:type="dxa"/>
            <w:tcBorders>
              <w:top w:val="nil"/>
              <w:left w:val="nil"/>
              <w:bottom w:val="single" w:sz="4" w:space="0" w:color="auto"/>
              <w:right w:val="single" w:sz="4" w:space="0" w:color="auto"/>
            </w:tcBorders>
            <w:vAlign w:val="bottom"/>
            <w:hideMark/>
          </w:tcPr>
          <w:p w14:paraId="45C59E7C"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90.000</w:t>
            </w:r>
          </w:p>
        </w:tc>
      </w:tr>
      <w:tr w:rsidR="00351D93" w:rsidRPr="00642A9D" w14:paraId="39C77446" w14:textId="77777777" w:rsidTr="00351D93">
        <w:trPr>
          <w:trHeight w:val="320"/>
          <w:jc w:val="center"/>
        </w:trPr>
        <w:tc>
          <w:tcPr>
            <w:tcW w:w="1305" w:type="dxa"/>
            <w:vMerge w:val="restart"/>
            <w:tcBorders>
              <w:top w:val="nil"/>
              <w:left w:val="single" w:sz="4" w:space="0" w:color="auto"/>
              <w:bottom w:val="single" w:sz="4" w:space="0" w:color="auto"/>
              <w:right w:val="single" w:sz="4" w:space="0" w:color="auto"/>
            </w:tcBorders>
            <w:vAlign w:val="center"/>
            <w:hideMark/>
          </w:tcPr>
          <w:p w14:paraId="2D66F50A" w14:textId="77777777" w:rsidR="00351D93" w:rsidRPr="00642A9D" w:rsidRDefault="00351D93" w:rsidP="00DE07E3">
            <w:pPr>
              <w:spacing w:line="276" w:lineRule="auto"/>
              <w:jc w:val="center"/>
              <w:rPr>
                <w:rFonts w:ascii="Times New Roman" w:eastAsia="Times New Roman" w:hAnsi="Times New Roman" w:cs="Times New Roman"/>
                <w:b/>
                <w:bCs/>
                <w:color w:val="000000"/>
                <w:kern w:val="0"/>
                <w:sz w:val="20"/>
                <w:szCs w:val="20"/>
                <w:lang w:eastAsia="en-GB"/>
                <w14:ligatures w14:val="none"/>
              </w:rPr>
            </w:pPr>
            <w:r w:rsidRPr="00642A9D">
              <w:rPr>
                <w:rFonts w:ascii="Times New Roman" w:eastAsia="Times New Roman" w:hAnsi="Times New Roman" w:cs="Times New Roman"/>
                <w:b/>
                <w:bCs/>
                <w:color w:val="000000"/>
                <w:kern w:val="0"/>
                <w:sz w:val="20"/>
                <w:szCs w:val="20"/>
                <w:lang w:eastAsia="en-GB"/>
                <w14:ligatures w14:val="none"/>
              </w:rPr>
              <w:t>Copper oxy chloride</w:t>
            </w:r>
          </w:p>
        </w:tc>
        <w:tc>
          <w:tcPr>
            <w:tcW w:w="1401" w:type="dxa"/>
            <w:tcBorders>
              <w:top w:val="nil"/>
              <w:left w:val="nil"/>
              <w:bottom w:val="single" w:sz="4" w:space="0" w:color="auto"/>
              <w:right w:val="single" w:sz="4" w:space="0" w:color="auto"/>
            </w:tcBorders>
            <w:vAlign w:val="center"/>
            <w:hideMark/>
          </w:tcPr>
          <w:p w14:paraId="61D340D8"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0.10%</w:t>
            </w:r>
          </w:p>
        </w:tc>
        <w:tc>
          <w:tcPr>
            <w:tcW w:w="1194" w:type="dxa"/>
            <w:tcBorders>
              <w:top w:val="nil"/>
              <w:left w:val="nil"/>
              <w:bottom w:val="single" w:sz="4" w:space="0" w:color="auto"/>
              <w:right w:val="single" w:sz="4" w:space="0" w:color="auto"/>
            </w:tcBorders>
            <w:vAlign w:val="bottom"/>
            <w:hideMark/>
          </w:tcPr>
          <w:p w14:paraId="006B91DD"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52.122</w:t>
            </w:r>
          </w:p>
        </w:tc>
      </w:tr>
      <w:tr w:rsidR="00351D93" w:rsidRPr="00642A9D" w14:paraId="5A32C282" w14:textId="77777777" w:rsidTr="00351D93">
        <w:trPr>
          <w:trHeight w:val="320"/>
          <w:jc w:val="center"/>
        </w:trPr>
        <w:tc>
          <w:tcPr>
            <w:tcW w:w="1305" w:type="dxa"/>
            <w:vMerge/>
            <w:tcBorders>
              <w:top w:val="nil"/>
              <w:left w:val="single" w:sz="4" w:space="0" w:color="auto"/>
              <w:bottom w:val="single" w:sz="4" w:space="0" w:color="auto"/>
              <w:right w:val="single" w:sz="4" w:space="0" w:color="auto"/>
            </w:tcBorders>
            <w:vAlign w:val="center"/>
            <w:hideMark/>
          </w:tcPr>
          <w:p w14:paraId="33C4629F" w14:textId="77777777" w:rsidR="00351D93" w:rsidRPr="00642A9D" w:rsidRDefault="00351D93" w:rsidP="00DE07E3">
            <w:pPr>
              <w:spacing w:line="276" w:lineRule="auto"/>
              <w:rPr>
                <w:rFonts w:ascii="Times New Roman" w:eastAsia="Times New Roman" w:hAnsi="Times New Roman" w:cs="Times New Roman"/>
                <w:b/>
                <w:bCs/>
                <w:color w:val="000000"/>
                <w:kern w:val="0"/>
                <w:sz w:val="20"/>
                <w:szCs w:val="20"/>
                <w:lang w:eastAsia="en-GB"/>
                <w14:ligatures w14:val="none"/>
              </w:rPr>
            </w:pPr>
          </w:p>
        </w:tc>
        <w:tc>
          <w:tcPr>
            <w:tcW w:w="1401" w:type="dxa"/>
            <w:tcBorders>
              <w:top w:val="nil"/>
              <w:left w:val="nil"/>
              <w:bottom w:val="single" w:sz="4" w:space="0" w:color="auto"/>
              <w:right w:val="single" w:sz="4" w:space="0" w:color="auto"/>
            </w:tcBorders>
            <w:vAlign w:val="center"/>
            <w:hideMark/>
          </w:tcPr>
          <w:p w14:paraId="10082DC1"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0.20%</w:t>
            </w:r>
          </w:p>
        </w:tc>
        <w:tc>
          <w:tcPr>
            <w:tcW w:w="1194" w:type="dxa"/>
            <w:tcBorders>
              <w:top w:val="nil"/>
              <w:left w:val="nil"/>
              <w:bottom w:val="single" w:sz="4" w:space="0" w:color="auto"/>
              <w:right w:val="single" w:sz="4" w:space="0" w:color="auto"/>
            </w:tcBorders>
            <w:vAlign w:val="bottom"/>
            <w:hideMark/>
          </w:tcPr>
          <w:p w14:paraId="24CFFD3D"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53.709</w:t>
            </w:r>
          </w:p>
        </w:tc>
      </w:tr>
      <w:tr w:rsidR="00351D93" w:rsidRPr="00642A9D" w14:paraId="02DA3100" w14:textId="77777777" w:rsidTr="00351D93">
        <w:trPr>
          <w:trHeight w:val="320"/>
          <w:jc w:val="center"/>
        </w:trPr>
        <w:tc>
          <w:tcPr>
            <w:tcW w:w="1305" w:type="dxa"/>
            <w:vMerge/>
            <w:tcBorders>
              <w:top w:val="nil"/>
              <w:left w:val="single" w:sz="4" w:space="0" w:color="auto"/>
              <w:bottom w:val="single" w:sz="4" w:space="0" w:color="auto"/>
              <w:right w:val="single" w:sz="4" w:space="0" w:color="auto"/>
            </w:tcBorders>
            <w:vAlign w:val="center"/>
            <w:hideMark/>
          </w:tcPr>
          <w:p w14:paraId="685CDBA7" w14:textId="77777777" w:rsidR="00351D93" w:rsidRPr="00642A9D" w:rsidRDefault="00351D93" w:rsidP="00DE07E3">
            <w:pPr>
              <w:spacing w:line="276" w:lineRule="auto"/>
              <w:rPr>
                <w:rFonts w:ascii="Times New Roman" w:eastAsia="Times New Roman" w:hAnsi="Times New Roman" w:cs="Times New Roman"/>
                <w:b/>
                <w:bCs/>
                <w:color w:val="000000"/>
                <w:kern w:val="0"/>
                <w:sz w:val="20"/>
                <w:szCs w:val="20"/>
                <w:lang w:eastAsia="en-GB"/>
                <w14:ligatures w14:val="none"/>
              </w:rPr>
            </w:pPr>
          </w:p>
        </w:tc>
        <w:tc>
          <w:tcPr>
            <w:tcW w:w="1401" w:type="dxa"/>
            <w:tcBorders>
              <w:top w:val="nil"/>
              <w:left w:val="nil"/>
              <w:bottom w:val="single" w:sz="4" w:space="0" w:color="auto"/>
              <w:right w:val="single" w:sz="4" w:space="0" w:color="auto"/>
            </w:tcBorders>
            <w:vAlign w:val="center"/>
            <w:hideMark/>
          </w:tcPr>
          <w:p w14:paraId="4D637B1F"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0.30%</w:t>
            </w:r>
          </w:p>
        </w:tc>
        <w:tc>
          <w:tcPr>
            <w:tcW w:w="1194" w:type="dxa"/>
            <w:tcBorders>
              <w:top w:val="nil"/>
              <w:left w:val="nil"/>
              <w:bottom w:val="single" w:sz="4" w:space="0" w:color="auto"/>
              <w:right w:val="single" w:sz="4" w:space="0" w:color="auto"/>
            </w:tcBorders>
            <w:vAlign w:val="bottom"/>
            <w:hideMark/>
          </w:tcPr>
          <w:p w14:paraId="7C772BD9"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57.817</w:t>
            </w:r>
          </w:p>
        </w:tc>
      </w:tr>
      <w:tr w:rsidR="00351D93" w:rsidRPr="00642A9D" w14:paraId="14AF0035" w14:textId="77777777" w:rsidTr="00351D93">
        <w:trPr>
          <w:trHeight w:val="320"/>
          <w:jc w:val="center"/>
        </w:trPr>
        <w:tc>
          <w:tcPr>
            <w:tcW w:w="1305" w:type="dxa"/>
            <w:tcBorders>
              <w:top w:val="nil"/>
              <w:left w:val="single" w:sz="4" w:space="0" w:color="auto"/>
              <w:bottom w:val="single" w:sz="4" w:space="0" w:color="auto"/>
              <w:right w:val="single" w:sz="4" w:space="0" w:color="auto"/>
            </w:tcBorders>
            <w:vAlign w:val="center"/>
            <w:hideMark/>
          </w:tcPr>
          <w:p w14:paraId="07968892"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C.D.</w:t>
            </w:r>
          </w:p>
        </w:tc>
        <w:tc>
          <w:tcPr>
            <w:tcW w:w="1401" w:type="dxa"/>
            <w:tcBorders>
              <w:top w:val="nil"/>
              <w:left w:val="nil"/>
              <w:bottom w:val="single" w:sz="4" w:space="0" w:color="auto"/>
              <w:right w:val="single" w:sz="4" w:space="0" w:color="auto"/>
            </w:tcBorders>
            <w:vAlign w:val="center"/>
            <w:hideMark/>
          </w:tcPr>
          <w:p w14:paraId="35020C07"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 </w:t>
            </w:r>
          </w:p>
        </w:tc>
        <w:tc>
          <w:tcPr>
            <w:tcW w:w="1194" w:type="dxa"/>
            <w:tcBorders>
              <w:top w:val="nil"/>
              <w:left w:val="nil"/>
              <w:bottom w:val="single" w:sz="4" w:space="0" w:color="auto"/>
              <w:right w:val="single" w:sz="4" w:space="0" w:color="auto"/>
            </w:tcBorders>
            <w:vAlign w:val="bottom"/>
            <w:hideMark/>
          </w:tcPr>
          <w:p w14:paraId="2A9441DA"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2.734</w:t>
            </w:r>
          </w:p>
        </w:tc>
      </w:tr>
      <w:tr w:rsidR="00351D93" w:rsidRPr="00642A9D" w14:paraId="66F4E00E" w14:textId="77777777" w:rsidTr="00351D93">
        <w:trPr>
          <w:trHeight w:val="320"/>
          <w:jc w:val="center"/>
        </w:trPr>
        <w:tc>
          <w:tcPr>
            <w:tcW w:w="1305" w:type="dxa"/>
            <w:tcBorders>
              <w:top w:val="nil"/>
              <w:left w:val="single" w:sz="4" w:space="0" w:color="auto"/>
              <w:bottom w:val="single" w:sz="4" w:space="0" w:color="auto"/>
              <w:right w:val="single" w:sz="4" w:space="0" w:color="auto"/>
            </w:tcBorders>
            <w:vAlign w:val="center"/>
            <w:hideMark/>
          </w:tcPr>
          <w:p w14:paraId="18A7AF56"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SE(m)</w:t>
            </w:r>
          </w:p>
        </w:tc>
        <w:tc>
          <w:tcPr>
            <w:tcW w:w="1401" w:type="dxa"/>
            <w:tcBorders>
              <w:top w:val="nil"/>
              <w:left w:val="nil"/>
              <w:bottom w:val="single" w:sz="4" w:space="0" w:color="auto"/>
              <w:right w:val="single" w:sz="4" w:space="0" w:color="auto"/>
            </w:tcBorders>
            <w:vAlign w:val="center"/>
            <w:hideMark/>
          </w:tcPr>
          <w:p w14:paraId="73FE294E"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 </w:t>
            </w:r>
          </w:p>
        </w:tc>
        <w:tc>
          <w:tcPr>
            <w:tcW w:w="1194" w:type="dxa"/>
            <w:tcBorders>
              <w:top w:val="nil"/>
              <w:left w:val="nil"/>
              <w:bottom w:val="single" w:sz="4" w:space="0" w:color="auto"/>
              <w:right w:val="single" w:sz="4" w:space="0" w:color="auto"/>
            </w:tcBorders>
            <w:vAlign w:val="bottom"/>
            <w:hideMark/>
          </w:tcPr>
          <w:p w14:paraId="78837A39"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0.935</w:t>
            </w:r>
          </w:p>
        </w:tc>
      </w:tr>
      <w:tr w:rsidR="00351D93" w:rsidRPr="00642A9D" w14:paraId="366E0D9F" w14:textId="77777777" w:rsidTr="00351D93">
        <w:trPr>
          <w:trHeight w:val="320"/>
          <w:jc w:val="center"/>
        </w:trPr>
        <w:tc>
          <w:tcPr>
            <w:tcW w:w="1305" w:type="dxa"/>
            <w:tcBorders>
              <w:top w:val="nil"/>
              <w:left w:val="single" w:sz="4" w:space="0" w:color="auto"/>
              <w:bottom w:val="single" w:sz="4" w:space="0" w:color="auto"/>
              <w:right w:val="single" w:sz="4" w:space="0" w:color="auto"/>
            </w:tcBorders>
            <w:vAlign w:val="center"/>
            <w:hideMark/>
          </w:tcPr>
          <w:p w14:paraId="5B4462F5"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SE(d)</w:t>
            </w:r>
          </w:p>
        </w:tc>
        <w:tc>
          <w:tcPr>
            <w:tcW w:w="1401" w:type="dxa"/>
            <w:tcBorders>
              <w:top w:val="nil"/>
              <w:left w:val="nil"/>
              <w:bottom w:val="single" w:sz="4" w:space="0" w:color="auto"/>
              <w:right w:val="single" w:sz="4" w:space="0" w:color="auto"/>
            </w:tcBorders>
            <w:vAlign w:val="center"/>
            <w:hideMark/>
          </w:tcPr>
          <w:p w14:paraId="69954417"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 </w:t>
            </w:r>
          </w:p>
        </w:tc>
        <w:tc>
          <w:tcPr>
            <w:tcW w:w="1194" w:type="dxa"/>
            <w:tcBorders>
              <w:top w:val="nil"/>
              <w:left w:val="nil"/>
              <w:bottom w:val="single" w:sz="4" w:space="0" w:color="auto"/>
              <w:right w:val="single" w:sz="4" w:space="0" w:color="auto"/>
            </w:tcBorders>
            <w:vAlign w:val="bottom"/>
            <w:hideMark/>
          </w:tcPr>
          <w:p w14:paraId="1E62268F"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1.323</w:t>
            </w:r>
          </w:p>
        </w:tc>
      </w:tr>
      <w:tr w:rsidR="00351D93" w:rsidRPr="00642A9D" w14:paraId="16BCAB65" w14:textId="77777777" w:rsidTr="00351D93">
        <w:trPr>
          <w:trHeight w:val="320"/>
          <w:jc w:val="center"/>
        </w:trPr>
        <w:tc>
          <w:tcPr>
            <w:tcW w:w="1305" w:type="dxa"/>
            <w:tcBorders>
              <w:top w:val="nil"/>
              <w:left w:val="single" w:sz="4" w:space="0" w:color="auto"/>
              <w:bottom w:val="single" w:sz="4" w:space="0" w:color="auto"/>
              <w:right w:val="single" w:sz="4" w:space="0" w:color="auto"/>
            </w:tcBorders>
            <w:vAlign w:val="center"/>
            <w:hideMark/>
          </w:tcPr>
          <w:p w14:paraId="370D6627"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C.V.</w:t>
            </w:r>
          </w:p>
        </w:tc>
        <w:tc>
          <w:tcPr>
            <w:tcW w:w="1401" w:type="dxa"/>
            <w:tcBorders>
              <w:top w:val="nil"/>
              <w:left w:val="nil"/>
              <w:bottom w:val="single" w:sz="4" w:space="0" w:color="auto"/>
              <w:right w:val="single" w:sz="4" w:space="0" w:color="auto"/>
            </w:tcBorders>
            <w:vAlign w:val="center"/>
            <w:hideMark/>
          </w:tcPr>
          <w:p w14:paraId="1814B465"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 </w:t>
            </w:r>
          </w:p>
        </w:tc>
        <w:tc>
          <w:tcPr>
            <w:tcW w:w="1194" w:type="dxa"/>
            <w:tcBorders>
              <w:top w:val="nil"/>
              <w:left w:val="nil"/>
              <w:bottom w:val="single" w:sz="4" w:space="0" w:color="auto"/>
              <w:right w:val="single" w:sz="4" w:space="0" w:color="auto"/>
            </w:tcBorders>
            <w:vAlign w:val="bottom"/>
            <w:hideMark/>
          </w:tcPr>
          <w:p w14:paraId="6D595271"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2.661</w:t>
            </w:r>
          </w:p>
        </w:tc>
      </w:tr>
    </w:tbl>
    <w:p w14:paraId="5F07FC5C" w14:textId="77777777" w:rsidR="00376A05" w:rsidRPr="00642A9D" w:rsidRDefault="00376A05" w:rsidP="00DE07E3">
      <w:pPr>
        <w:shd w:val="clear" w:color="auto" w:fill="FFFFFF" w:themeFill="background1"/>
        <w:spacing w:line="276" w:lineRule="auto"/>
        <w:jc w:val="center"/>
        <w:rPr>
          <w:rFonts w:ascii="Times New Roman" w:hAnsi="Times New Roman" w:cs="Times New Roman"/>
          <w:sz w:val="21"/>
          <w:szCs w:val="21"/>
        </w:rPr>
      </w:pPr>
      <w:r w:rsidRPr="00642A9D">
        <w:rPr>
          <w:rFonts w:ascii="Times New Roman" w:hAnsi="Times New Roman" w:cs="Times New Roman"/>
          <w:b/>
          <w:bCs/>
          <w:sz w:val="21"/>
          <w:szCs w:val="21"/>
        </w:rPr>
        <w:t xml:space="preserve">Table 3. </w:t>
      </w:r>
      <w:r w:rsidRPr="00642A9D">
        <w:rPr>
          <w:rFonts w:ascii="Times New Roman" w:hAnsi="Times New Roman" w:cs="Times New Roman"/>
          <w:sz w:val="21"/>
          <w:szCs w:val="21"/>
        </w:rPr>
        <w:t>Efficacy of fungicides on pathogen control</w:t>
      </w:r>
    </w:p>
    <w:p w14:paraId="506937E1" w14:textId="77777777" w:rsidR="00376A05" w:rsidRPr="00642A9D" w:rsidRDefault="00376A05" w:rsidP="00DE07E3">
      <w:pPr>
        <w:shd w:val="clear" w:color="auto" w:fill="FFFFFF" w:themeFill="background1"/>
        <w:spacing w:line="276" w:lineRule="auto"/>
        <w:rPr>
          <w:rFonts w:ascii="Times New Roman" w:hAnsi="Times New Roman" w:cs="Times New Roman"/>
          <w:b/>
          <w:bCs/>
        </w:rPr>
      </w:pPr>
    </w:p>
    <w:tbl>
      <w:tblPr>
        <w:tblW w:w="3740" w:type="dxa"/>
        <w:jc w:val="center"/>
        <w:tblLook w:val="04A0" w:firstRow="1" w:lastRow="0" w:firstColumn="1" w:lastColumn="0" w:noHBand="0" w:noVBand="1"/>
      </w:tblPr>
      <w:tblGrid>
        <w:gridCol w:w="1218"/>
        <w:gridCol w:w="1450"/>
        <w:gridCol w:w="1072"/>
      </w:tblGrid>
      <w:tr w:rsidR="00376A05" w:rsidRPr="00642A9D" w14:paraId="645898D4" w14:textId="77777777" w:rsidTr="00351D93">
        <w:trPr>
          <w:trHeight w:val="560"/>
          <w:jc w:val="center"/>
        </w:trPr>
        <w:tc>
          <w:tcPr>
            <w:tcW w:w="1258" w:type="dxa"/>
            <w:tcBorders>
              <w:top w:val="single" w:sz="4" w:space="0" w:color="auto"/>
              <w:left w:val="single" w:sz="4" w:space="0" w:color="auto"/>
              <w:bottom w:val="single" w:sz="4" w:space="0" w:color="auto"/>
              <w:right w:val="single" w:sz="4" w:space="0" w:color="auto"/>
            </w:tcBorders>
            <w:vAlign w:val="center"/>
            <w:hideMark/>
          </w:tcPr>
          <w:p w14:paraId="6F918023" w14:textId="77777777" w:rsidR="00376A05" w:rsidRPr="00642A9D" w:rsidRDefault="00376A05" w:rsidP="00DE07E3">
            <w:pPr>
              <w:spacing w:line="276" w:lineRule="auto"/>
              <w:jc w:val="center"/>
              <w:rPr>
                <w:rFonts w:ascii="Times New Roman" w:eastAsia="Times New Roman" w:hAnsi="Times New Roman" w:cs="Times New Roman"/>
                <w:b/>
                <w:bCs/>
                <w:color w:val="000000"/>
                <w:kern w:val="0"/>
                <w:sz w:val="20"/>
                <w:szCs w:val="20"/>
                <w:lang w:eastAsia="en-GB"/>
                <w14:ligatures w14:val="none"/>
              </w:rPr>
            </w:pPr>
            <w:bookmarkStart w:id="3" w:name="OLE_LINK2"/>
            <w:r w:rsidRPr="00642A9D">
              <w:rPr>
                <w:rFonts w:ascii="Times New Roman" w:eastAsia="Times New Roman" w:hAnsi="Times New Roman" w:cs="Times New Roman"/>
                <w:b/>
                <w:bCs/>
                <w:color w:val="000000"/>
                <w:kern w:val="0"/>
                <w:sz w:val="20"/>
                <w:szCs w:val="20"/>
                <w:lang w:eastAsia="en-GB"/>
                <w14:ligatures w14:val="none"/>
              </w:rPr>
              <w:t>Treatment</w:t>
            </w:r>
          </w:p>
        </w:tc>
        <w:tc>
          <w:tcPr>
            <w:tcW w:w="1401" w:type="dxa"/>
            <w:tcBorders>
              <w:top w:val="single" w:sz="4" w:space="0" w:color="auto"/>
              <w:left w:val="nil"/>
              <w:bottom w:val="single" w:sz="4" w:space="0" w:color="auto"/>
              <w:right w:val="single" w:sz="4" w:space="0" w:color="auto"/>
            </w:tcBorders>
            <w:vAlign w:val="center"/>
            <w:hideMark/>
          </w:tcPr>
          <w:p w14:paraId="3BEDB0E8" w14:textId="77777777" w:rsidR="00376A05" w:rsidRPr="00642A9D" w:rsidRDefault="00376A05" w:rsidP="00DE07E3">
            <w:pPr>
              <w:spacing w:line="276" w:lineRule="auto"/>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b/>
                <w:bCs/>
                <w:color w:val="000000"/>
                <w:kern w:val="0"/>
                <w:sz w:val="20"/>
                <w:szCs w:val="20"/>
                <w:lang w:eastAsia="en-GB"/>
                <w14:ligatures w14:val="none"/>
              </w:rPr>
              <w:t>Concentration</w:t>
            </w:r>
          </w:p>
        </w:tc>
        <w:tc>
          <w:tcPr>
            <w:tcW w:w="1081" w:type="dxa"/>
            <w:tcBorders>
              <w:top w:val="single" w:sz="4" w:space="0" w:color="auto"/>
              <w:left w:val="nil"/>
              <w:bottom w:val="single" w:sz="4" w:space="0" w:color="auto"/>
              <w:right w:val="single" w:sz="4" w:space="0" w:color="auto"/>
            </w:tcBorders>
            <w:vAlign w:val="center"/>
            <w:hideMark/>
          </w:tcPr>
          <w:p w14:paraId="28A8873B" w14:textId="77777777" w:rsidR="00376A05" w:rsidRPr="00642A9D" w:rsidRDefault="00376A05" w:rsidP="00DE07E3">
            <w:pPr>
              <w:spacing w:line="276" w:lineRule="auto"/>
              <w:jc w:val="center"/>
              <w:rPr>
                <w:rFonts w:ascii="Times New Roman" w:eastAsia="Times New Roman" w:hAnsi="Times New Roman" w:cs="Times New Roman"/>
                <w:b/>
                <w:bCs/>
                <w:color w:val="000000"/>
                <w:kern w:val="0"/>
                <w:sz w:val="20"/>
                <w:szCs w:val="20"/>
                <w:lang w:eastAsia="en-GB"/>
                <w14:ligatures w14:val="none"/>
              </w:rPr>
            </w:pPr>
            <w:r w:rsidRPr="00642A9D">
              <w:rPr>
                <w:rFonts w:ascii="Times New Roman" w:eastAsia="Times New Roman" w:hAnsi="Times New Roman" w:cs="Times New Roman"/>
                <w:b/>
                <w:bCs/>
                <w:color w:val="000000"/>
                <w:kern w:val="0"/>
                <w:sz w:val="20"/>
                <w:szCs w:val="20"/>
                <w:lang w:eastAsia="en-GB"/>
                <w14:ligatures w14:val="none"/>
              </w:rPr>
              <w:t xml:space="preserve">Percent </w:t>
            </w:r>
            <w:r w:rsidR="003F283C" w:rsidRPr="00642A9D">
              <w:rPr>
                <w:rFonts w:ascii="Times New Roman" w:eastAsia="Times New Roman" w:hAnsi="Times New Roman" w:cs="Times New Roman"/>
                <w:b/>
                <w:bCs/>
                <w:color w:val="000000"/>
                <w:kern w:val="0"/>
                <w:sz w:val="20"/>
                <w:szCs w:val="20"/>
                <w:lang w:eastAsia="en-GB"/>
                <w14:ligatures w14:val="none"/>
              </w:rPr>
              <w:t>inhibition</w:t>
            </w:r>
          </w:p>
        </w:tc>
      </w:tr>
      <w:tr w:rsidR="00351D93" w:rsidRPr="00642A9D" w14:paraId="3D184050" w14:textId="77777777" w:rsidTr="00351D93">
        <w:trPr>
          <w:trHeight w:val="340"/>
          <w:jc w:val="center"/>
        </w:trPr>
        <w:tc>
          <w:tcPr>
            <w:tcW w:w="1258" w:type="dxa"/>
            <w:tcBorders>
              <w:top w:val="nil"/>
              <w:left w:val="single" w:sz="4" w:space="0" w:color="auto"/>
              <w:bottom w:val="single" w:sz="4" w:space="0" w:color="auto"/>
              <w:right w:val="single" w:sz="4" w:space="0" w:color="auto"/>
            </w:tcBorders>
            <w:vAlign w:val="center"/>
            <w:hideMark/>
          </w:tcPr>
          <w:p w14:paraId="35EBF846" w14:textId="77777777" w:rsidR="00351D93" w:rsidRPr="00642A9D" w:rsidRDefault="00351D93" w:rsidP="00DE07E3">
            <w:pPr>
              <w:spacing w:line="276" w:lineRule="auto"/>
              <w:jc w:val="center"/>
              <w:rPr>
                <w:rFonts w:ascii="Times New Roman" w:eastAsia="Times New Roman" w:hAnsi="Times New Roman" w:cs="Times New Roman"/>
                <w:b/>
                <w:bCs/>
                <w:color w:val="000000"/>
                <w:kern w:val="0"/>
                <w:sz w:val="20"/>
                <w:szCs w:val="20"/>
                <w:lang w:eastAsia="en-GB"/>
                <w14:ligatures w14:val="none"/>
              </w:rPr>
            </w:pPr>
            <w:r w:rsidRPr="00642A9D">
              <w:rPr>
                <w:rFonts w:ascii="Times New Roman" w:eastAsia="Times New Roman" w:hAnsi="Times New Roman" w:cs="Times New Roman"/>
                <w:b/>
                <w:bCs/>
                <w:color w:val="000000"/>
                <w:kern w:val="0"/>
                <w:sz w:val="20"/>
                <w:szCs w:val="20"/>
                <w:lang w:eastAsia="en-GB"/>
                <w14:ligatures w14:val="none"/>
              </w:rPr>
              <w:t>Control</w:t>
            </w:r>
          </w:p>
        </w:tc>
        <w:tc>
          <w:tcPr>
            <w:tcW w:w="1401" w:type="dxa"/>
            <w:tcBorders>
              <w:top w:val="nil"/>
              <w:left w:val="nil"/>
              <w:bottom w:val="single" w:sz="4" w:space="0" w:color="auto"/>
              <w:right w:val="single" w:sz="4" w:space="0" w:color="auto"/>
            </w:tcBorders>
            <w:vAlign w:val="center"/>
            <w:hideMark/>
          </w:tcPr>
          <w:p w14:paraId="38A0678D" w14:textId="77777777" w:rsidR="00351D93" w:rsidRPr="00642A9D" w:rsidRDefault="00351D93" w:rsidP="00DE07E3">
            <w:pPr>
              <w:spacing w:line="276" w:lineRule="auto"/>
              <w:jc w:val="center"/>
              <w:rPr>
                <w:rFonts w:ascii="Times New Roman" w:eastAsia="Times New Roman" w:hAnsi="Times New Roman" w:cs="Times New Roman"/>
                <w:b/>
                <w:bCs/>
                <w:color w:val="000000"/>
                <w:kern w:val="0"/>
                <w:sz w:val="20"/>
                <w:szCs w:val="20"/>
                <w:lang w:eastAsia="en-GB"/>
                <w14:ligatures w14:val="none"/>
              </w:rPr>
            </w:pPr>
            <w:r w:rsidRPr="00642A9D">
              <w:rPr>
                <w:rFonts w:ascii="Times New Roman" w:eastAsia="Times New Roman" w:hAnsi="Times New Roman" w:cs="Times New Roman"/>
                <w:b/>
                <w:bCs/>
                <w:color w:val="000000"/>
                <w:kern w:val="0"/>
                <w:sz w:val="20"/>
                <w:szCs w:val="20"/>
                <w:lang w:eastAsia="en-GB"/>
                <w14:ligatures w14:val="none"/>
              </w:rPr>
              <w:t> </w:t>
            </w:r>
          </w:p>
        </w:tc>
        <w:tc>
          <w:tcPr>
            <w:tcW w:w="1081" w:type="dxa"/>
            <w:tcBorders>
              <w:top w:val="nil"/>
              <w:left w:val="nil"/>
              <w:bottom w:val="single" w:sz="4" w:space="0" w:color="auto"/>
              <w:right w:val="single" w:sz="4" w:space="0" w:color="auto"/>
            </w:tcBorders>
            <w:vAlign w:val="bottom"/>
            <w:hideMark/>
          </w:tcPr>
          <w:p w14:paraId="7CB1690E"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0.000</w:t>
            </w:r>
          </w:p>
        </w:tc>
      </w:tr>
      <w:tr w:rsidR="00351D93" w:rsidRPr="00642A9D" w14:paraId="59FE467B" w14:textId="77777777" w:rsidTr="00351D93">
        <w:trPr>
          <w:trHeight w:val="320"/>
          <w:jc w:val="center"/>
        </w:trPr>
        <w:tc>
          <w:tcPr>
            <w:tcW w:w="1258" w:type="dxa"/>
            <w:vMerge w:val="restart"/>
            <w:tcBorders>
              <w:top w:val="nil"/>
              <w:left w:val="single" w:sz="4" w:space="0" w:color="auto"/>
              <w:bottom w:val="single" w:sz="4" w:space="0" w:color="auto"/>
              <w:right w:val="single" w:sz="4" w:space="0" w:color="auto"/>
            </w:tcBorders>
            <w:vAlign w:val="center"/>
            <w:hideMark/>
          </w:tcPr>
          <w:p w14:paraId="66680B36" w14:textId="77777777" w:rsidR="00351D93" w:rsidRPr="00642A9D" w:rsidRDefault="00351D93" w:rsidP="00DE07E3">
            <w:pPr>
              <w:spacing w:line="276" w:lineRule="auto"/>
              <w:jc w:val="center"/>
              <w:rPr>
                <w:rFonts w:ascii="Times New Roman" w:eastAsia="Times New Roman" w:hAnsi="Times New Roman" w:cs="Times New Roman"/>
                <w:b/>
                <w:bCs/>
                <w:color w:val="000000"/>
                <w:kern w:val="0"/>
                <w:sz w:val="20"/>
                <w:szCs w:val="20"/>
                <w:lang w:eastAsia="en-GB"/>
                <w14:ligatures w14:val="none"/>
              </w:rPr>
            </w:pPr>
            <w:r w:rsidRPr="00642A9D">
              <w:rPr>
                <w:rFonts w:ascii="Times New Roman" w:eastAsia="Times New Roman" w:hAnsi="Times New Roman" w:cs="Times New Roman"/>
                <w:b/>
                <w:bCs/>
                <w:color w:val="000000"/>
                <w:kern w:val="0"/>
                <w:sz w:val="20"/>
                <w:szCs w:val="20"/>
                <w:lang w:eastAsia="en-GB"/>
                <w14:ligatures w14:val="none"/>
              </w:rPr>
              <w:t>Garlic</w:t>
            </w:r>
          </w:p>
        </w:tc>
        <w:tc>
          <w:tcPr>
            <w:tcW w:w="1401" w:type="dxa"/>
            <w:tcBorders>
              <w:top w:val="nil"/>
              <w:left w:val="nil"/>
              <w:bottom w:val="single" w:sz="4" w:space="0" w:color="auto"/>
              <w:right w:val="single" w:sz="4" w:space="0" w:color="auto"/>
            </w:tcBorders>
            <w:vAlign w:val="center"/>
            <w:hideMark/>
          </w:tcPr>
          <w:p w14:paraId="408301C4"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5%</w:t>
            </w:r>
          </w:p>
        </w:tc>
        <w:tc>
          <w:tcPr>
            <w:tcW w:w="1081" w:type="dxa"/>
            <w:tcBorders>
              <w:top w:val="nil"/>
              <w:left w:val="nil"/>
              <w:bottom w:val="single" w:sz="4" w:space="0" w:color="auto"/>
              <w:right w:val="single" w:sz="4" w:space="0" w:color="auto"/>
            </w:tcBorders>
            <w:vAlign w:val="bottom"/>
            <w:hideMark/>
          </w:tcPr>
          <w:p w14:paraId="7CE78C4C"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56.772</w:t>
            </w:r>
          </w:p>
        </w:tc>
      </w:tr>
      <w:tr w:rsidR="00351D93" w:rsidRPr="00642A9D" w14:paraId="147DF75B" w14:textId="77777777" w:rsidTr="00351D93">
        <w:trPr>
          <w:trHeight w:val="320"/>
          <w:jc w:val="center"/>
        </w:trPr>
        <w:tc>
          <w:tcPr>
            <w:tcW w:w="1258" w:type="dxa"/>
            <w:vMerge/>
            <w:tcBorders>
              <w:top w:val="nil"/>
              <w:left w:val="single" w:sz="4" w:space="0" w:color="auto"/>
              <w:bottom w:val="single" w:sz="4" w:space="0" w:color="auto"/>
              <w:right w:val="single" w:sz="4" w:space="0" w:color="auto"/>
            </w:tcBorders>
            <w:vAlign w:val="center"/>
            <w:hideMark/>
          </w:tcPr>
          <w:p w14:paraId="0AE2B4BA" w14:textId="77777777" w:rsidR="00351D93" w:rsidRPr="00642A9D" w:rsidRDefault="00351D93" w:rsidP="00DE07E3">
            <w:pPr>
              <w:spacing w:line="276" w:lineRule="auto"/>
              <w:rPr>
                <w:rFonts w:ascii="Times New Roman" w:eastAsia="Times New Roman" w:hAnsi="Times New Roman" w:cs="Times New Roman"/>
                <w:b/>
                <w:bCs/>
                <w:color w:val="000000"/>
                <w:kern w:val="0"/>
                <w:sz w:val="20"/>
                <w:szCs w:val="20"/>
                <w:lang w:eastAsia="en-GB"/>
                <w14:ligatures w14:val="none"/>
              </w:rPr>
            </w:pPr>
          </w:p>
        </w:tc>
        <w:tc>
          <w:tcPr>
            <w:tcW w:w="1401" w:type="dxa"/>
            <w:tcBorders>
              <w:top w:val="nil"/>
              <w:left w:val="nil"/>
              <w:bottom w:val="single" w:sz="4" w:space="0" w:color="auto"/>
              <w:right w:val="single" w:sz="4" w:space="0" w:color="auto"/>
            </w:tcBorders>
            <w:vAlign w:val="center"/>
            <w:hideMark/>
          </w:tcPr>
          <w:p w14:paraId="363C0775"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10%</w:t>
            </w:r>
          </w:p>
        </w:tc>
        <w:tc>
          <w:tcPr>
            <w:tcW w:w="1081" w:type="dxa"/>
            <w:tcBorders>
              <w:top w:val="nil"/>
              <w:left w:val="nil"/>
              <w:bottom w:val="single" w:sz="4" w:space="0" w:color="auto"/>
              <w:right w:val="single" w:sz="4" w:space="0" w:color="auto"/>
            </w:tcBorders>
            <w:vAlign w:val="bottom"/>
            <w:hideMark/>
          </w:tcPr>
          <w:p w14:paraId="37F6DCB6"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58.247</w:t>
            </w:r>
          </w:p>
        </w:tc>
      </w:tr>
      <w:tr w:rsidR="00351D93" w:rsidRPr="00642A9D" w14:paraId="64644A3E" w14:textId="77777777" w:rsidTr="00351D93">
        <w:trPr>
          <w:trHeight w:val="320"/>
          <w:jc w:val="center"/>
        </w:trPr>
        <w:tc>
          <w:tcPr>
            <w:tcW w:w="1258" w:type="dxa"/>
            <w:vMerge/>
            <w:tcBorders>
              <w:top w:val="nil"/>
              <w:left w:val="single" w:sz="4" w:space="0" w:color="auto"/>
              <w:bottom w:val="single" w:sz="4" w:space="0" w:color="auto"/>
              <w:right w:val="single" w:sz="4" w:space="0" w:color="auto"/>
            </w:tcBorders>
            <w:vAlign w:val="center"/>
            <w:hideMark/>
          </w:tcPr>
          <w:p w14:paraId="3F870B3E" w14:textId="77777777" w:rsidR="00351D93" w:rsidRPr="00642A9D" w:rsidRDefault="00351D93" w:rsidP="00DE07E3">
            <w:pPr>
              <w:spacing w:line="276" w:lineRule="auto"/>
              <w:rPr>
                <w:rFonts w:ascii="Times New Roman" w:eastAsia="Times New Roman" w:hAnsi="Times New Roman" w:cs="Times New Roman"/>
                <w:b/>
                <w:bCs/>
                <w:color w:val="000000"/>
                <w:kern w:val="0"/>
                <w:sz w:val="20"/>
                <w:szCs w:val="20"/>
                <w:lang w:eastAsia="en-GB"/>
                <w14:ligatures w14:val="none"/>
              </w:rPr>
            </w:pPr>
          </w:p>
        </w:tc>
        <w:tc>
          <w:tcPr>
            <w:tcW w:w="1401" w:type="dxa"/>
            <w:tcBorders>
              <w:top w:val="nil"/>
              <w:left w:val="nil"/>
              <w:bottom w:val="single" w:sz="4" w:space="0" w:color="auto"/>
              <w:right w:val="single" w:sz="4" w:space="0" w:color="auto"/>
            </w:tcBorders>
            <w:vAlign w:val="center"/>
            <w:hideMark/>
          </w:tcPr>
          <w:p w14:paraId="3AC7114E"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15%</w:t>
            </w:r>
          </w:p>
        </w:tc>
        <w:tc>
          <w:tcPr>
            <w:tcW w:w="1081" w:type="dxa"/>
            <w:tcBorders>
              <w:top w:val="nil"/>
              <w:left w:val="nil"/>
              <w:bottom w:val="single" w:sz="4" w:space="0" w:color="auto"/>
              <w:right w:val="single" w:sz="4" w:space="0" w:color="auto"/>
            </w:tcBorders>
            <w:vAlign w:val="bottom"/>
            <w:hideMark/>
          </w:tcPr>
          <w:p w14:paraId="01EFB7A1"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90.000</w:t>
            </w:r>
          </w:p>
        </w:tc>
      </w:tr>
      <w:tr w:rsidR="00351D93" w:rsidRPr="00642A9D" w14:paraId="113D0369" w14:textId="77777777" w:rsidTr="00351D93">
        <w:trPr>
          <w:trHeight w:val="320"/>
          <w:jc w:val="center"/>
        </w:trPr>
        <w:tc>
          <w:tcPr>
            <w:tcW w:w="1258" w:type="dxa"/>
            <w:vMerge w:val="restart"/>
            <w:tcBorders>
              <w:top w:val="nil"/>
              <w:left w:val="single" w:sz="4" w:space="0" w:color="auto"/>
              <w:bottom w:val="single" w:sz="4" w:space="0" w:color="auto"/>
              <w:right w:val="single" w:sz="4" w:space="0" w:color="auto"/>
            </w:tcBorders>
            <w:vAlign w:val="center"/>
            <w:hideMark/>
          </w:tcPr>
          <w:p w14:paraId="7681138D" w14:textId="77777777" w:rsidR="00351D93" w:rsidRPr="00642A9D" w:rsidRDefault="00351D93" w:rsidP="00DE07E3">
            <w:pPr>
              <w:spacing w:line="276" w:lineRule="auto"/>
              <w:jc w:val="center"/>
              <w:rPr>
                <w:rFonts w:ascii="Times New Roman" w:eastAsia="Times New Roman" w:hAnsi="Times New Roman" w:cs="Times New Roman"/>
                <w:b/>
                <w:bCs/>
                <w:color w:val="000000"/>
                <w:kern w:val="0"/>
                <w:sz w:val="20"/>
                <w:szCs w:val="20"/>
                <w:lang w:eastAsia="en-GB"/>
                <w14:ligatures w14:val="none"/>
              </w:rPr>
            </w:pPr>
            <w:r w:rsidRPr="00642A9D">
              <w:rPr>
                <w:rFonts w:ascii="Times New Roman" w:eastAsia="Times New Roman" w:hAnsi="Times New Roman" w:cs="Times New Roman"/>
                <w:b/>
                <w:bCs/>
                <w:color w:val="000000"/>
                <w:kern w:val="0"/>
                <w:sz w:val="20"/>
                <w:szCs w:val="20"/>
                <w:lang w:eastAsia="en-GB"/>
                <w14:ligatures w14:val="none"/>
              </w:rPr>
              <w:t>Onion</w:t>
            </w:r>
          </w:p>
        </w:tc>
        <w:tc>
          <w:tcPr>
            <w:tcW w:w="1401" w:type="dxa"/>
            <w:tcBorders>
              <w:top w:val="nil"/>
              <w:left w:val="nil"/>
              <w:bottom w:val="single" w:sz="4" w:space="0" w:color="auto"/>
              <w:right w:val="single" w:sz="4" w:space="0" w:color="auto"/>
            </w:tcBorders>
            <w:vAlign w:val="center"/>
            <w:hideMark/>
          </w:tcPr>
          <w:p w14:paraId="50D7EFB3"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5%</w:t>
            </w:r>
          </w:p>
        </w:tc>
        <w:tc>
          <w:tcPr>
            <w:tcW w:w="1081" w:type="dxa"/>
            <w:tcBorders>
              <w:top w:val="nil"/>
              <w:left w:val="nil"/>
              <w:bottom w:val="single" w:sz="4" w:space="0" w:color="auto"/>
              <w:right w:val="single" w:sz="4" w:space="0" w:color="auto"/>
            </w:tcBorders>
            <w:vAlign w:val="bottom"/>
            <w:hideMark/>
          </w:tcPr>
          <w:p w14:paraId="07137A07"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43.261</w:t>
            </w:r>
          </w:p>
        </w:tc>
      </w:tr>
      <w:tr w:rsidR="00351D93" w:rsidRPr="00642A9D" w14:paraId="7411BA91" w14:textId="77777777" w:rsidTr="00351D93">
        <w:trPr>
          <w:trHeight w:val="320"/>
          <w:jc w:val="center"/>
        </w:trPr>
        <w:tc>
          <w:tcPr>
            <w:tcW w:w="1258" w:type="dxa"/>
            <w:vMerge/>
            <w:tcBorders>
              <w:top w:val="nil"/>
              <w:left w:val="single" w:sz="4" w:space="0" w:color="auto"/>
              <w:bottom w:val="single" w:sz="4" w:space="0" w:color="auto"/>
              <w:right w:val="single" w:sz="4" w:space="0" w:color="auto"/>
            </w:tcBorders>
            <w:vAlign w:val="center"/>
            <w:hideMark/>
          </w:tcPr>
          <w:p w14:paraId="6CB894B4" w14:textId="77777777" w:rsidR="00351D93" w:rsidRPr="00642A9D" w:rsidRDefault="00351D93" w:rsidP="00DE07E3">
            <w:pPr>
              <w:spacing w:line="276" w:lineRule="auto"/>
              <w:rPr>
                <w:rFonts w:ascii="Times New Roman" w:eastAsia="Times New Roman" w:hAnsi="Times New Roman" w:cs="Times New Roman"/>
                <w:b/>
                <w:bCs/>
                <w:color w:val="000000"/>
                <w:kern w:val="0"/>
                <w:sz w:val="20"/>
                <w:szCs w:val="20"/>
                <w:lang w:eastAsia="en-GB"/>
                <w14:ligatures w14:val="none"/>
              </w:rPr>
            </w:pPr>
          </w:p>
        </w:tc>
        <w:tc>
          <w:tcPr>
            <w:tcW w:w="1401" w:type="dxa"/>
            <w:tcBorders>
              <w:top w:val="nil"/>
              <w:left w:val="nil"/>
              <w:bottom w:val="single" w:sz="4" w:space="0" w:color="auto"/>
              <w:right w:val="single" w:sz="4" w:space="0" w:color="auto"/>
            </w:tcBorders>
            <w:vAlign w:val="center"/>
            <w:hideMark/>
          </w:tcPr>
          <w:p w14:paraId="002DBB20"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10%</w:t>
            </w:r>
          </w:p>
        </w:tc>
        <w:tc>
          <w:tcPr>
            <w:tcW w:w="1081" w:type="dxa"/>
            <w:tcBorders>
              <w:top w:val="nil"/>
              <w:left w:val="nil"/>
              <w:bottom w:val="single" w:sz="4" w:space="0" w:color="auto"/>
              <w:right w:val="single" w:sz="4" w:space="0" w:color="auto"/>
            </w:tcBorders>
            <w:vAlign w:val="bottom"/>
            <w:hideMark/>
          </w:tcPr>
          <w:p w14:paraId="7570664E"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56.976</w:t>
            </w:r>
          </w:p>
        </w:tc>
      </w:tr>
      <w:tr w:rsidR="00351D93" w:rsidRPr="00642A9D" w14:paraId="14F05DA1" w14:textId="77777777" w:rsidTr="00351D93">
        <w:trPr>
          <w:trHeight w:val="320"/>
          <w:jc w:val="center"/>
        </w:trPr>
        <w:tc>
          <w:tcPr>
            <w:tcW w:w="1258" w:type="dxa"/>
            <w:vMerge/>
            <w:tcBorders>
              <w:top w:val="nil"/>
              <w:left w:val="single" w:sz="4" w:space="0" w:color="auto"/>
              <w:bottom w:val="single" w:sz="4" w:space="0" w:color="auto"/>
              <w:right w:val="single" w:sz="4" w:space="0" w:color="auto"/>
            </w:tcBorders>
            <w:vAlign w:val="center"/>
            <w:hideMark/>
          </w:tcPr>
          <w:p w14:paraId="672F3B0B" w14:textId="77777777" w:rsidR="00351D93" w:rsidRPr="00642A9D" w:rsidRDefault="00351D93" w:rsidP="00DE07E3">
            <w:pPr>
              <w:spacing w:line="276" w:lineRule="auto"/>
              <w:rPr>
                <w:rFonts w:ascii="Times New Roman" w:eastAsia="Times New Roman" w:hAnsi="Times New Roman" w:cs="Times New Roman"/>
                <w:b/>
                <w:bCs/>
                <w:color w:val="000000"/>
                <w:kern w:val="0"/>
                <w:sz w:val="20"/>
                <w:szCs w:val="20"/>
                <w:lang w:eastAsia="en-GB"/>
                <w14:ligatures w14:val="none"/>
              </w:rPr>
            </w:pPr>
          </w:p>
        </w:tc>
        <w:tc>
          <w:tcPr>
            <w:tcW w:w="1401" w:type="dxa"/>
            <w:tcBorders>
              <w:top w:val="nil"/>
              <w:left w:val="nil"/>
              <w:bottom w:val="single" w:sz="4" w:space="0" w:color="auto"/>
              <w:right w:val="single" w:sz="4" w:space="0" w:color="auto"/>
            </w:tcBorders>
            <w:vAlign w:val="center"/>
            <w:hideMark/>
          </w:tcPr>
          <w:p w14:paraId="19F90444"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15%</w:t>
            </w:r>
          </w:p>
        </w:tc>
        <w:tc>
          <w:tcPr>
            <w:tcW w:w="1081" w:type="dxa"/>
            <w:tcBorders>
              <w:top w:val="nil"/>
              <w:left w:val="nil"/>
              <w:bottom w:val="single" w:sz="4" w:space="0" w:color="auto"/>
              <w:right w:val="single" w:sz="4" w:space="0" w:color="auto"/>
            </w:tcBorders>
            <w:vAlign w:val="bottom"/>
            <w:hideMark/>
          </w:tcPr>
          <w:p w14:paraId="0125746E"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60.433</w:t>
            </w:r>
          </w:p>
        </w:tc>
      </w:tr>
      <w:tr w:rsidR="00351D93" w:rsidRPr="00642A9D" w14:paraId="34C6D579" w14:textId="77777777" w:rsidTr="00351D93">
        <w:trPr>
          <w:trHeight w:val="340"/>
          <w:jc w:val="center"/>
        </w:trPr>
        <w:tc>
          <w:tcPr>
            <w:tcW w:w="1258" w:type="dxa"/>
            <w:tcBorders>
              <w:top w:val="nil"/>
              <w:left w:val="single" w:sz="4" w:space="0" w:color="auto"/>
              <w:bottom w:val="single" w:sz="4" w:space="0" w:color="auto"/>
              <w:right w:val="single" w:sz="4" w:space="0" w:color="auto"/>
            </w:tcBorders>
            <w:vAlign w:val="center"/>
            <w:hideMark/>
          </w:tcPr>
          <w:p w14:paraId="6444AFC5"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C.D.</w:t>
            </w:r>
          </w:p>
        </w:tc>
        <w:tc>
          <w:tcPr>
            <w:tcW w:w="1401" w:type="dxa"/>
            <w:tcBorders>
              <w:top w:val="nil"/>
              <w:left w:val="nil"/>
              <w:bottom w:val="single" w:sz="4" w:space="0" w:color="auto"/>
              <w:right w:val="single" w:sz="4" w:space="0" w:color="auto"/>
            </w:tcBorders>
            <w:vAlign w:val="center"/>
            <w:hideMark/>
          </w:tcPr>
          <w:p w14:paraId="3A180C72"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 </w:t>
            </w:r>
          </w:p>
        </w:tc>
        <w:tc>
          <w:tcPr>
            <w:tcW w:w="1081" w:type="dxa"/>
            <w:tcBorders>
              <w:top w:val="nil"/>
              <w:left w:val="nil"/>
              <w:bottom w:val="single" w:sz="4" w:space="0" w:color="auto"/>
              <w:right w:val="single" w:sz="4" w:space="0" w:color="auto"/>
            </w:tcBorders>
            <w:vAlign w:val="bottom"/>
            <w:hideMark/>
          </w:tcPr>
          <w:p w14:paraId="47A2348D"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1.791</w:t>
            </w:r>
          </w:p>
        </w:tc>
      </w:tr>
      <w:tr w:rsidR="00351D93" w:rsidRPr="00642A9D" w14:paraId="54042B87" w14:textId="77777777" w:rsidTr="00351D93">
        <w:trPr>
          <w:trHeight w:val="340"/>
          <w:jc w:val="center"/>
        </w:trPr>
        <w:tc>
          <w:tcPr>
            <w:tcW w:w="1258" w:type="dxa"/>
            <w:tcBorders>
              <w:top w:val="nil"/>
              <w:left w:val="single" w:sz="4" w:space="0" w:color="auto"/>
              <w:bottom w:val="single" w:sz="4" w:space="0" w:color="auto"/>
              <w:right w:val="single" w:sz="4" w:space="0" w:color="auto"/>
            </w:tcBorders>
            <w:vAlign w:val="center"/>
            <w:hideMark/>
          </w:tcPr>
          <w:p w14:paraId="4AF84B0A"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SE(m)</w:t>
            </w:r>
          </w:p>
        </w:tc>
        <w:tc>
          <w:tcPr>
            <w:tcW w:w="1401" w:type="dxa"/>
            <w:tcBorders>
              <w:top w:val="nil"/>
              <w:left w:val="nil"/>
              <w:bottom w:val="single" w:sz="4" w:space="0" w:color="auto"/>
              <w:right w:val="single" w:sz="4" w:space="0" w:color="auto"/>
            </w:tcBorders>
            <w:vAlign w:val="center"/>
            <w:hideMark/>
          </w:tcPr>
          <w:p w14:paraId="32638E6F"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 </w:t>
            </w:r>
          </w:p>
        </w:tc>
        <w:tc>
          <w:tcPr>
            <w:tcW w:w="1081" w:type="dxa"/>
            <w:tcBorders>
              <w:top w:val="nil"/>
              <w:left w:val="nil"/>
              <w:bottom w:val="single" w:sz="4" w:space="0" w:color="auto"/>
              <w:right w:val="single" w:sz="4" w:space="0" w:color="auto"/>
            </w:tcBorders>
            <w:vAlign w:val="bottom"/>
            <w:hideMark/>
          </w:tcPr>
          <w:p w14:paraId="305BFCF6"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0.585</w:t>
            </w:r>
          </w:p>
        </w:tc>
      </w:tr>
      <w:tr w:rsidR="00351D93" w:rsidRPr="00642A9D" w14:paraId="396FA75E" w14:textId="77777777" w:rsidTr="00351D93">
        <w:trPr>
          <w:trHeight w:val="340"/>
          <w:jc w:val="center"/>
        </w:trPr>
        <w:tc>
          <w:tcPr>
            <w:tcW w:w="1258" w:type="dxa"/>
            <w:tcBorders>
              <w:top w:val="nil"/>
              <w:left w:val="single" w:sz="4" w:space="0" w:color="auto"/>
              <w:bottom w:val="single" w:sz="4" w:space="0" w:color="auto"/>
              <w:right w:val="single" w:sz="4" w:space="0" w:color="auto"/>
            </w:tcBorders>
            <w:vAlign w:val="center"/>
            <w:hideMark/>
          </w:tcPr>
          <w:p w14:paraId="3F06C2CB"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SE(d)</w:t>
            </w:r>
          </w:p>
        </w:tc>
        <w:tc>
          <w:tcPr>
            <w:tcW w:w="1401" w:type="dxa"/>
            <w:tcBorders>
              <w:top w:val="nil"/>
              <w:left w:val="nil"/>
              <w:bottom w:val="single" w:sz="4" w:space="0" w:color="auto"/>
              <w:right w:val="single" w:sz="4" w:space="0" w:color="auto"/>
            </w:tcBorders>
            <w:vAlign w:val="center"/>
            <w:hideMark/>
          </w:tcPr>
          <w:p w14:paraId="016BBD0B"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 </w:t>
            </w:r>
          </w:p>
        </w:tc>
        <w:tc>
          <w:tcPr>
            <w:tcW w:w="1081" w:type="dxa"/>
            <w:tcBorders>
              <w:top w:val="nil"/>
              <w:left w:val="nil"/>
              <w:bottom w:val="single" w:sz="4" w:space="0" w:color="auto"/>
              <w:right w:val="single" w:sz="4" w:space="0" w:color="auto"/>
            </w:tcBorders>
            <w:vAlign w:val="bottom"/>
            <w:hideMark/>
          </w:tcPr>
          <w:p w14:paraId="1D3FF390"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0.827</w:t>
            </w:r>
          </w:p>
        </w:tc>
      </w:tr>
      <w:tr w:rsidR="00351D93" w:rsidRPr="00642A9D" w14:paraId="164DFAD3" w14:textId="77777777" w:rsidTr="00351D93">
        <w:trPr>
          <w:trHeight w:val="340"/>
          <w:jc w:val="center"/>
        </w:trPr>
        <w:tc>
          <w:tcPr>
            <w:tcW w:w="1258" w:type="dxa"/>
            <w:tcBorders>
              <w:top w:val="nil"/>
              <w:left w:val="single" w:sz="4" w:space="0" w:color="auto"/>
              <w:bottom w:val="single" w:sz="4" w:space="0" w:color="auto"/>
              <w:right w:val="single" w:sz="4" w:space="0" w:color="auto"/>
            </w:tcBorders>
            <w:vAlign w:val="center"/>
            <w:hideMark/>
          </w:tcPr>
          <w:p w14:paraId="0B748E24"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C.V.</w:t>
            </w:r>
          </w:p>
        </w:tc>
        <w:tc>
          <w:tcPr>
            <w:tcW w:w="1401" w:type="dxa"/>
            <w:tcBorders>
              <w:top w:val="nil"/>
              <w:left w:val="nil"/>
              <w:bottom w:val="single" w:sz="4" w:space="0" w:color="auto"/>
              <w:right w:val="single" w:sz="4" w:space="0" w:color="auto"/>
            </w:tcBorders>
            <w:vAlign w:val="center"/>
            <w:hideMark/>
          </w:tcPr>
          <w:p w14:paraId="117DB3BA" w14:textId="77777777" w:rsidR="00351D93" w:rsidRPr="00642A9D" w:rsidRDefault="00351D93" w:rsidP="00DE07E3">
            <w:pPr>
              <w:spacing w:line="276" w:lineRule="auto"/>
              <w:jc w:val="center"/>
              <w:rPr>
                <w:rFonts w:ascii="Times New Roman" w:eastAsia="Times New Roman" w:hAnsi="Times New Roman" w:cs="Times New Roman"/>
                <w:color w:val="000000"/>
                <w:kern w:val="0"/>
                <w:sz w:val="20"/>
                <w:szCs w:val="20"/>
                <w:lang w:eastAsia="en-GB"/>
                <w14:ligatures w14:val="none"/>
              </w:rPr>
            </w:pPr>
            <w:r w:rsidRPr="00642A9D">
              <w:rPr>
                <w:rFonts w:ascii="Times New Roman" w:eastAsia="Times New Roman" w:hAnsi="Times New Roman" w:cs="Times New Roman"/>
                <w:color w:val="000000"/>
                <w:kern w:val="0"/>
                <w:sz w:val="20"/>
                <w:szCs w:val="20"/>
                <w:lang w:eastAsia="en-GB"/>
                <w14:ligatures w14:val="none"/>
              </w:rPr>
              <w:t> </w:t>
            </w:r>
          </w:p>
        </w:tc>
        <w:tc>
          <w:tcPr>
            <w:tcW w:w="1081" w:type="dxa"/>
            <w:tcBorders>
              <w:top w:val="nil"/>
              <w:left w:val="nil"/>
              <w:bottom w:val="single" w:sz="4" w:space="0" w:color="auto"/>
              <w:right w:val="single" w:sz="4" w:space="0" w:color="auto"/>
            </w:tcBorders>
            <w:vAlign w:val="bottom"/>
            <w:hideMark/>
          </w:tcPr>
          <w:p w14:paraId="1E64A656" w14:textId="77777777" w:rsidR="00351D93" w:rsidRPr="00642A9D" w:rsidRDefault="00351D93" w:rsidP="00DE07E3">
            <w:pPr>
              <w:spacing w:line="276" w:lineRule="auto"/>
              <w:rPr>
                <w:rFonts w:ascii="Times New Roman" w:hAnsi="Times New Roman" w:cs="Times New Roman"/>
                <w:color w:val="000000"/>
                <w:sz w:val="20"/>
                <w:szCs w:val="20"/>
              </w:rPr>
            </w:pPr>
            <w:r w:rsidRPr="00642A9D">
              <w:rPr>
                <w:rFonts w:ascii="Times New Roman" w:hAnsi="Times New Roman" w:cs="Times New Roman"/>
                <w:color w:val="000000"/>
                <w:sz w:val="20"/>
                <w:szCs w:val="20"/>
              </w:rPr>
              <w:t>1.938</w:t>
            </w:r>
          </w:p>
        </w:tc>
      </w:tr>
    </w:tbl>
    <w:bookmarkEnd w:id="3"/>
    <w:p w14:paraId="489C325D" w14:textId="77777777" w:rsidR="00DE07E3" w:rsidRDefault="00F17100" w:rsidP="00DE07E3">
      <w:pPr>
        <w:shd w:val="clear" w:color="auto" w:fill="FFFFFF" w:themeFill="background1"/>
        <w:spacing w:line="276" w:lineRule="auto"/>
        <w:jc w:val="center"/>
        <w:rPr>
          <w:rFonts w:ascii="Times New Roman" w:hAnsi="Times New Roman" w:cs="Times New Roman"/>
          <w:i/>
          <w:iCs/>
          <w:sz w:val="21"/>
          <w:szCs w:val="21"/>
        </w:rPr>
      </w:pPr>
      <w:r w:rsidRPr="00642A9D">
        <w:rPr>
          <w:rFonts w:ascii="Times New Roman" w:hAnsi="Times New Roman" w:cs="Times New Roman"/>
          <w:b/>
          <w:bCs/>
          <w:sz w:val="21"/>
          <w:szCs w:val="21"/>
        </w:rPr>
        <w:t>Table</w:t>
      </w:r>
      <w:r w:rsidR="003243FF" w:rsidRPr="00642A9D">
        <w:rPr>
          <w:rFonts w:ascii="Times New Roman" w:hAnsi="Times New Roman" w:cs="Times New Roman"/>
          <w:b/>
          <w:bCs/>
          <w:sz w:val="21"/>
          <w:szCs w:val="21"/>
        </w:rPr>
        <w:t xml:space="preserve"> </w:t>
      </w:r>
      <w:r w:rsidR="00AC65F3" w:rsidRPr="00642A9D">
        <w:rPr>
          <w:rFonts w:ascii="Times New Roman" w:hAnsi="Times New Roman" w:cs="Times New Roman"/>
          <w:b/>
          <w:bCs/>
          <w:sz w:val="21"/>
          <w:szCs w:val="21"/>
        </w:rPr>
        <w:t>4</w:t>
      </w:r>
      <w:r w:rsidR="003243FF" w:rsidRPr="00642A9D">
        <w:rPr>
          <w:rFonts w:ascii="Times New Roman" w:hAnsi="Times New Roman" w:cs="Times New Roman"/>
          <w:b/>
          <w:bCs/>
          <w:sz w:val="21"/>
          <w:szCs w:val="21"/>
        </w:rPr>
        <w:t>.</w:t>
      </w:r>
      <w:r w:rsidRPr="00642A9D">
        <w:rPr>
          <w:rFonts w:ascii="Times New Roman" w:hAnsi="Times New Roman" w:cs="Times New Roman"/>
          <w:sz w:val="21"/>
          <w:szCs w:val="21"/>
        </w:rPr>
        <w:t xml:space="preserve"> </w:t>
      </w:r>
      <w:r w:rsidR="00AC65F3" w:rsidRPr="00642A9D">
        <w:rPr>
          <w:rFonts w:ascii="Times New Roman" w:hAnsi="Times New Roman" w:cs="Times New Roman"/>
          <w:i/>
          <w:iCs/>
          <w:sz w:val="21"/>
          <w:szCs w:val="21"/>
        </w:rPr>
        <w:t>Efficacy of botanicals on pathogen control</w:t>
      </w:r>
    </w:p>
    <w:p w14:paraId="2B44FF17" w14:textId="77777777" w:rsidR="00B246FD" w:rsidRPr="003A6465" w:rsidRDefault="00B246FD" w:rsidP="00B246FD">
      <w:pPr>
        <w:spacing w:line="276" w:lineRule="auto"/>
        <w:jc w:val="both"/>
        <w:rPr>
          <w:rFonts w:ascii="Times New Roman" w:hAnsi="Times New Roman" w:cs="Times New Roman"/>
          <w:b/>
          <w:bCs/>
        </w:rPr>
      </w:pPr>
      <w:r w:rsidRPr="003A6465">
        <w:rPr>
          <w:rFonts w:ascii="Times New Roman" w:hAnsi="Times New Roman" w:cs="Times New Roman"/>
          <w:b/>
          <w:bCs/>
        </w:rPr>
        <w:t>Effect of fungicides on mycelial growth of Colletotrichum gloeosporioides under in vitro conditions</w:t>
      </w:r>
      <w:r>
        <w:rPr>
          <w:rFonts w:ascii="Times New Roman" w:hAnsi="Times New Roman" w:cs="Times New Roman"/>
          <w:b/>
          <w:bCs/>
        </w:rPr>
        <w:t>:</w:t>
      </w:r>
    </w:p>
    <w:p w14:paraId="10FADF03" w14:textId="77777777" w:rsidR="00B246FD" w:rsidRPr="003A6465" w:rsidRDefault="00B246FD" w:rsidP="00B246FD">
      <w:pPr>
        <w:spacing w:line="276" w:lineRule="auto"/>
        <w:jc w:val="both"/>
        <w:rPr>
          <w:rFonts w:ascii="Times New Roman" w:hAnsi="Times New Roman" w:cs="Times New Roman"/>
        </w:rPr>
      </w:pPr>
      <w:r>
        <w:rPr>
          <w:rFonts w:ascii="Times New Roman" w:hAnsi="Times New Roman" w:cs="Times New Roman"/>
        </w:rPr>
        <w:tab/>
      </w:r>
      <w:r w:rsidRPr="003A6465">
        <w:rPr>
          <w:rFonts w:ascii="Times New Roman" w:hAnsi="Times New Roman" w:cs="Times New Roman"/>
        </w:rPr>
        <w:t>The in vitro evaluation of different fungicides against Colletotrichum gloeosporioides revealed significant variation in their efficacy in inhibiting mycelial growth when compared to the untreated control (Table 3). The untreated control recorded 0.00% inhibition, indicating unrestricted growth of the pathogen under laboratory conditions.</w:t>
      </w:r>
    </w:p>
    <w:p w14:paraId="034A3EC6" w14:textId="77777777" w:rsidR="00B246FD" w:rsidRPr="003A6465" w:rsidRDefault="00B246FD" w:rsidP="00B246FD">
      <w:pPr>
        <w:spacing w:line="276" w:lineRule="auto"/>
        <w:jc w:val="both"/>
        <w:rPr>
          <w:rFonts w:ascii="Times New Roman" w:hAnsi="Times New Roman" w:cs="Times New Roman"/>
        </w:rPr>
      </w:pPr>
      <w:r>
        <w:rPr>
          <w:rFonts w:ascii="Times New Roman" w:hAnsi="Times New Roman" w:cs="Times New Roman"/>
        </w:rPr>
        <w:tab/>
      </w:r>
      <w:r w:rsidRPr="003A6465">
        <w:rPr>
          <w:rFonts w:ascii="Times New Roman" w:hAnsi="Times New Roman" w:cs="Times New Roman"/>
        </w:rPr>
        <w:t>Among the fungicides tested, mancozeb proved to be the most effective at higher concentrations, recording the maximum percent inhibition of 90.00% at 0.30% concentration, followed by carbendazim + mancozeb, which showed 87.28% inhibition at 0.30% concentration. At lower concentrations, carbendazim + mancozeb recorded 69.74% inhibition at 0.10% and 73.54% at 0.20% concentration, indicating its consistent efficacy across concentrations.</w:t>
      </w:r>
    </w:p>
    <w:p w14:paraId="5256ECBF" w14:textId="77777777" w:rsidR="00B246FD" w:rsidRPr="003A6465" w:rsidRDefault="00B246FD" w:rsidP="00B246FD">
      <w:pPr>
        <w:spacing w:line="276" w:lineRule="auto"/>
        <w:jc w:val="both"/>
        <w:rPr>
          <w:rFonts w:ascii="Times New Roman" w:hAnsi="Times New Roman" w:cs="Times New Roman"/>
        </w:rPr>
      </w:pPr>
      <w:r>
        <w:rPr>
          <w:rFonts w:ascii="Times New Roman" w:hAnsi="Times New Roman" w:cs="Times New Roman"/>
        </w:rPr>
        <w:tab/>
      </w:r>
      <w:r w:rsidRPr="003A6465">
        <w:rPr>
          <w:rFonts w:ascii="Times New Roman" w:hAnsi="Times New Roman" w:cs="Times New Roman"/>
        </w:rPr>
        <w:t>Carbendazim alone exhibited moderate antifungal activity with a gradual increase in percent inhibition as the concentration increased. It recorded 45.56% inhibition at 0.10%, 59.76% at 0.20%, and 63.42% at 0.30% concentration.</w:t>
      </w:r>
    </w:p>
    <w:p w14:paraId="6BC54BC7" w14:textId="77777777" w:rsidR="00B246FD" w:rsidRPr="003A6465" w:rsidRDefault="00B246FD" w:rsidP="00B246FD">
      <w:pPr>
        <w:spacing w:line="276" w:lineRule="auto"/>
        <w:jc w:val="both"/>
        <w:rPr>
          <w:rFonts w:ascii="Times New Roman" w:hAnsi="Times New Roman" w:cs="Times New Roman"/>
        </w:rPr>
      </w:pPr>
      <w:r>
        <w:rPr>
          <w:rFonts w:ascii="Times New Roman" w:hAnsi="Times New Roman" w:cs="Times New Roman"/>
        </w:rPr>
        <w:tab/>
      </w:r>
      <w:r w:rsidRPr="003A6465">
        <w:rPr>
          <w:rFonts w:ascii="Times New Roman" w:hAnsi="Times New Roman" w:cs="Times New Roman"/>
        </w:rPr>
        <w:t>Copper oxychloride showed comparatively lower efficacy among the fungicides tested. The percent inhibition recorded was 52.12% at 0.10%, 53.71% at 0.20%, and 57.82% at 0.30% concentration, indicating limited effectiveness even at higher doses.</w:t>
      </w:r>
    </w:p>
    <w:p w14:paraId="0AF913D2" w14:textId="77777777" w:rsidR="00B246FD" w:rsidRPr="003A6465" w:rsidRDefault="00B246FD" w:rsidP="00B246FD">
      <w:pPr>
        <w:spacing w:line="276" w:lineRule="auto"/>
        <w:jc w:val="both"/>
        <w:rPr>
          <w:rFonts w:ascii="Times New Roman" w:hAnsi="Times New Roman" w:cs="Times New Roman"/>
        </w:rPr>
      </w:pPr>
      <w:r>
        <w:rPr>
          <w:rFonts w:ascii="Times New Roman" w:hAnsi="Times New Roman" w:cs="Times New Roman"/>
        </w:rPr>
        <w:lastRenderedPageBreak/>
        <w:tab/>
      </w:r>
      <w:r w:rsidRPr="003A6465">
        <w:rPr>
          <w:rFonts w:ascii="Times New Roman" w:hAnsi="Times New Roman" w:cs="Times New Roman"/>
        </w:rPr>
        <w:t>Statistical analysis indicated that the differences among treatments were significant at the 5% level. The calculated CD (2.734), SE(m) (0.935), SE(d) (1.323), and CV (2.661%) values confirmed the reliability and precision of the experimental data.</w:t>
      </w:r>
    </w:p>
    <w:p w14:paraId="107A22F4" w14:textId="77777777" w:rsidR="00B246FD" w:rsidRPr="003A6465" w:rsidRDefault="00B246FD" w:rsidP="00B246FD">
      <w:pPr>
        <w:spacing w:line="276" w:lineRule="auto"/>
        <w:jc w:val="both"/>
        <w:rPr>
          <w:rFonts w:ascii="Times New Roman" w:hAnsi="Times New Roman" w:cs="Times New Roman"/>
          <w:b/>
          <w:bCs/>
        </w:rPr>
      </w:pPr>
      <w:r w:rsidRPr="003A6465">
        <w:rPr>
          <w:rFonts w:ascii="Times New Roman" w:hAnsi="Times New Roman" w:cs="Times New Roman"/>
          <w:b/>
          <w:bCs/>
        </w:rPr>
        <w:t>Effect of botanicals on mycelial growth of Colletotrichum gloeosporioides</w:t>
      </w:r>
      <w:r>
        <w:rPr>
          <w:rFonts w:ascii="Times New Roman" w:hAnsi="Times New Roman" w:cs="Times New Roman"/>
          <w:b/>
          <w:bCs/>
        </w:rPr>
        <w:t>:</w:t>
      </w:r>
    </w:p>
    <w:p w14:paraId="389B9EF1" w14:textId="77777777" w:rsidR="00B246FD" w:rsidRPr="003A6465" w:rsidRDefault="00B246FD" w:rsidP="00B246FD">
      <w:pPr>
        <w:spacing w:line="276" w:lineRule="auto"/>
        <w:jc w:val="both"/>
        <w:rPr>
          <w:rFonts w:ascii="Times New Roman" w:hAnsi="Times New Roman" w:cs="Times New Roman"/>
        </w:rPr>
      </w:pPr>
      <w:r>
        <w:rPr>
          <w:rFonts w:ascii="Times New Roman" w:hAnsi="Times New Roman" w:cs="Times New Roman"/>
        </w:rPr>
        <w:tab/>
      </w:r>
      <w:r w:rsidRPr="003A6465">
        <w:rPr>
          <w:rFonts w:ascii="Times New Roman" w:hAnsi="Times New Roman" w:cs="Times New Roman"/>
        </w:rPr>
        <w:t>The antifungal activity of selected botanicals against Colletotrichum gloeosporioides was evaluated at three concentrations (5%, 10%, and 15%) using the poisoned food technique (Table 4). All botanical treatments significantly reduced mycelial growth compared to the untreated control, which recorded 0.00% inhibition.</w:t>
      </w:r>
    </w:p>
    <w:p w14:paraId="452D5526" w14:textId="77777777" w:rsidR="00B246FD" w:rsidRPr="003A6465" w:rsidRDefault="00B246FD" w:rsidP="00B246FD">
      <w:pPr>
        <w:spacing w:line="276" w:lineRule="auto"/>
        <w:jc w:val="both"/>
        <w:rPr>
          <w:rFonts w:ascii="Times New Roman" w:hAnsi="Times New Roman" w:cs="Times New Roman"/>
        </w:rPr>
      </w:pPr>
      <w:r>
        <w:rPr>
          <w:rFonts w:ascii="Times New Roman" w:hAnsi="Times New Roman" w:cs="Times New Roman"/>
        </w:rPr>
        <w:tab/>
      </w:r>
      <w:r w:rsidRPr="003A6465">
        <w:rPr>
          <w:rFonts w:ascii="Times New Roman" w:hAnsi="Times New Roman" w:cs="Times New Roman"/>
        </w:rPr>
        <w:t>Among the botanicals tested, garlic extract exhibited the highest antifungal activity. The percent inhibition recorded was 56.77% at 5%, 58.25% at 10%, and 90.00% at 15% concentration, indicating a strong dose-dependent response and high antifungal potential at higher concentrations.</w:t>
      </w:r>
    </w:p>
    <w:p w14:paraId="77286539" w14:textId="77777777" w:rsidR="00B246FD" w:rsidRPr="003A6465" w:rsidRDefault="00B246FD" w:rsidP="00B246FD">
      <w:pPr>
        <w:spacing w:line="276" w:lineRule="auto"/>
        <w:jc w:val="both"/>
        <w:rPr>
          <w:rFonts w:ascii="Times New Roman" w:hAnsi="Times New Roman" w:cs="Times New Roman"/>
        </w:rPr>
      </w:pPr>
      <w:r>
        <w:rPr>
          <w:rFonts w:ascii="Times New Roman" w:hAnsi="Times New Roman" w:cs="Times New Roman"/>
        </w:rPr>
        <w:tab/>
      </w:r>
      <w:r w:rsidRPr="003A6465">
        <w:rPr>
          <w:rFonts w:ascii="Times New Roman" w:hAnsi="Times New Roman" w:cs="Times New Roman"/>
        </w:rPr>
        <w:t>Onion extract showed moderate inhibition of mycelial growth. The percent inhibition values were 43.26% at 5%, 56.98% at 10%, and 60.43% at 15% concentration, which were lower compared to garlic extract at corresponding concentrations.</w:t>
      </w:r>
    </w:p>
    <w:p w14:paraId="63C0346A" w14:textId="77777777" w:rsidR="00B246FD" w:rsidRPr="003A6465" w:rsidRDefault="00B246FD" w:rsidP="00B246FD">
      <w:pPr>
        <w:spacing w:line="276" w:lineRule="auto"/>
        <w:jc w:val="both"/>
        <w:rPr>
          <w:rFonts w:ascii="Times New Roman" w:hAnsi="Times New Roman" w:cs="Times New Roman"/>
        </w:rPr>
      </w:pPr>
      <w:r>
        <w:rPr>
          <w:rFonts w:ascii="Times New Roman" w:hAnsi="Times New Roman" w:cs="Times New Roman"/>
        </w:rPr>
        <w:tab/>
      </w:r>
      <w:r w:rsidRPr="003A6465">
        <w:rPr>
          <w:rFonts w:ascii="Times New Roman" w:hAnsi="Times New Roman" w:cs="Times New Roman"/>
        </w:rPr>
        <w:t>The statistical parameters revealed significant differences among treatments. The CD value (1.791), SE(m) (0.585), SE(d) (0.827), and CV (1.938%) indicated consistency and reliability of the experimental results.</w:t>
      </w:r>
    </w:p>
    <w:p w14:paraId="5FA7B853" w14:textId="77777777" w:rsidR="00802EDD" w:rsidRPr="00642A9D" w:rsidRDefault="00351D93" w:rsidP="00DE07E3">
      <w:pPr>
        <w:shd w:val="clear" w:color="auto" w:fill="FFFFFF" w:themeFill="background1"/>
        <w:spacing w:line="276" w:lineRule="auto"/>
        <w:jc w:val="center"/>
        <w:rPr>
          <w:rFonts w:ascii="Times New Roman" w:hAnsi="Times New Roman" w:cs="Times New Roman"/>
          <w:lang w:val="en-US"/>
        </w:rPr>
      </w:pPr>
      <w:r w:rsidRPr="00642A9D">
        <w:rPr>
          <w:rFonts w:ascii="Times New Roman" w:hAnsi="Times New Roman" w:cs="Times New Roman"/>
          <w:noProof/>
        </w:rPr>
        <w:drawing>
          <wp:inline distT="0" distB="0" distL="0" distR="0" wp14:anchorId="291CF57C" wp14:editId="57025C7A">
            <wp:extent cx="3609047" cy="2152481"/>
            <wp:effectExtent l="0" t="0" r="10795" b="6985"/>
            <wp:docPr id="406449103" name="Chart 1">
              <a:extLst xmlns:a="http://schemas.openxmlformats.org/drawingml/2006/main">
                <a:ext uri="{FF2B5EF4-FFF2-40B4-BE49-F238E27FC236}">
                  <a16:creationId xmlns:a16="http://schemas.microsoft.com/office/drawing/2014/main" id="{8C33F98C-DB73-C436-FA3A-21B7755DB0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0571E9F" w14:textId="77777777" w:rsidR="0043270E" w:rsidRPr="00642A9D" w:rsidRDefault="003F283C" w:rsidP="00DE07E3">
      <w:pPr>
        <w:shd w:val="clear" w:color="auto" w:fill="FFFFFF" w:themeFill="background1"/>
        <w:spacing w:line="276" w:lineRule="auto"/>
        <w:jc w:val="center"/>
        <w:rPr>
          <w:rFonts w:ascii="Times New Roman" w:hAnsi="Times New Roman" w:cs="Times New Roman"/>
        </w:rPr>
      </w:pPr>
      <w:r w:rsidRPr="00642A9D">
        <w:rPr>
          <w:rFonts w:ascii="Times New Roman" w:hAnsi="Times New Roman" w:cs="Times New Roman"/>
          <w:b/>
          <w:bCs/>
        </w:rPr>
        <w:t xml:space="preserve">Figure 1. </w:t>
      </w:r>
      <w:r w:rsidRPr="00642A9D">
        <w:rPr>
          <w:rFonts w:ascii="Times New Roman" w:hAnsi="Times New Roman" w:cs="Times New Roman"/>
        </w:rPr>
        <w:t xml:space="preserve">Effect of fungicides on mycelial growth inhibition of </w:t>
      </w:r>
      <w:r w:rsidRPr="00642A9D">
        <w:rPr>
          <w:rFonts w:ascii="Times New Roman" w:hAnsi="Times New Roman" w:cs="Times New Roman"/>
          <w:i/>
          <w:iCs/>
        </w:rPr>
        <w:t>Colletotrichum gloeosporioides</w:t>
      </w:r>
    </w:p>
    <w:p w14:paraId="693E84C3" w14:textId="77777777" w:rsidR="003D5F67" w:rsidRPr="00642A9D" w:rsidRDefault="00351D93" w:rsidP="00DE07E3">
      <w:pPr>
        <w:shd w:val="clear" w:color="auto" w:fill="FFFFFF" w:themeFill="background1"/>
        <w:spacing w:line="276" w:lineRule="auto"/>
        <w:jc w:val="center"/>
        <w:rPr>
          <w:rFonts w:ascii="Times New Roman" w:hAnsi="Times New Roman" w:cs="Times New Roman"/>
          <w:lang w:val="en-US"/>
        </w:rPr>
      </w:pPr>
      <w:r w:rsidRPr="00642A9D">
        <w:rPr>
          <w:rFonts w:ascii="Times New Roman" w:hAnsi="Times New Roman" w:cs="Times New Roman"/>
          <w:noProof/>
        </w:rPr>
        <w:drawing>
          <wp:inline distT="0" distB="0" distL="0" distR="0" wp14:anchorId="10A2AAA3" wp14:editId="4B78DB6C">
            <wp:extent cx="3374378" cy="1942088"/>
            <wp:effectExtent l="0" t="0" r="17145" b="13970"/>
            <wp:docPr id="1678123317" name="Chart 1">
              <a:extLst xmlns:a="http://schemas.openxmlformats.org/drawingml/2006/main">
                <a:ext uri="{FF2B5EF4-FFF2-40B4-BE49-F238E27FC236}">
                  <a16:creationId xmlns:a16="http://schemas.microsoft.com/office/drawing/2014/main" id="{956718DD-115F-93D5-7DDD-7C6CD38777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E78263A" w14:textId="77777777" w:rsidR="003F283C" w:rsidRPr="00642A9D" w:rsidRDefault="003F283C" w:rsidP="00DE07E3">
      <w:pPr>
        <w:shd w:val="clear" w:color="auto" w:fill="FFFFFF" w:themeFill="background1"/>
        <w:spacing w:line="276" w:lineRule="auto"/>
        <w:jc w:val="center"/>
        <w:rPr>
          <w:rFonts w:ascii="Times New Roman" w:hAnsi="Times New Roman" w:cs="Times New Roman"/>
          <w:i/>
          <w:iCs/>
        </w:rPr>
      </w:pPr>
      <w:r w:rsidRPr="00642A9D">
        <w:rPr>
          <w:rFonts w:ascii="Times New Roman" w:hAnsi="Times New Roman" w:cs="Times New Roman"/>
          <w:b/>
          <w:bCs/>
        </w:rPr>
        <w:t>Figure 2.</w:t>
      </w:r>
      <w:r w:rsidRPr="00642A9D">
        <w:rPr>
          <w:rFonts w:ascii="Times New Roman" w:hAnsi="Times New Roman" w:cs="Times New Roman"/>
        </w:rPr>
        <w:t xml:space="preserve"> Effect of botanical extracts on mycelial growth inhibition of </w:t>
      </w:r>
      <w:r w:rsidRPr="00642A9D">
        <w:rPr>
          <w:rFonts w:ascii="Times New Roman" w:hAnsi="Times New Roman" w:cs="Times New Roman"/>
          <w:i/>
          <w:iCs/>
        </w:rPr>
        <w:t>Colletotrichum gloeosporioides</w:t>
      </w:r>
    </w:p>
    <w:p w14:paraId="025F3C71" w14:textId="77777777" w:rsidR="000A3E27" w:rsidRPr="00642A9D" w:rsidRDefault="000A3E27" w:rsidP="00DE07E3">
      <w:pPr>
        <w:shd w:val="clear" w:color="auto" w:fill="FFFFFF" w:themeFill="background1"/>
        <w:spacing w:line="276" w:lineRule="auto"/>
        <w:rPr>
          <w:rFonts w:ascii="Times New Roman" w:hAnsi="Times New Roman" w:cs="Times New Roman"/>
          <w:b/>
          <w:bCs/>
          <w:lang w:val="en-US"/>
        </w:rPr>
      </w:pPr>
      <w:r w:rsidRPr="00642A9D">
        <w:rPr>
          <w:rFonts w:ascii="Times New Roman" w:hAnsi="Times New Roman" w:cs="Times New Roman"/>
          <w:b/>
          <w:bCs/>
          <w:lang w:val="en-US"/>
        </w:rPr>
        <w:t>Discussion:</w:t>
      </w:r>
    </w:p>
    <w:p w14:paraId="1A9E6576" w14:textId="77777777" w:rsidR="00EB7C50" w:rsidRPr="00EE14BE" w:rsidRDefault="00EB7C50" w:rsidP="00EB7C50">
      <w:pPr>
        <w:spacing w:line="276" w:lineRule="auto"/>
        <w:jc w:val="both"/>
        <w:rPr>
          <w:rFonts w:ascii="Times New Roman" w:hAnsi="Times New Roman" w:cs="Times New Roman"/>
          <w:i/>
          <w:iCs/>
        </w:rPr>
      </w:pPr>
      <w:r w:rsidRPr="00DE07E3">
        <w:rPr>
          <w:rFonts w:ascii="Times New Roman" w:hAnsi="Times New Roman" w:cs="Times New Roman"/>
        </w:rPr>
        <w:tab/>
      </w:r>
      <w:r w:rsidRPr="00EE14BE">
        <w:rPr>
          <w:rFonts w:ascii="Times New Roman" w:hAnsi="Times New Roman" w:cs="Times New Roman"/>
        </w:rPr>
        <w:t xml:space="preserve">The present investigation demonstrated that fungicides were more effective than botanicals in suppressing the mycelial growth of Colletotrichum gloeosporioides under in vitro conditions. Among the fungicides tested, the combination of carbendazim + mancozeb was the most effective, achieving near-complete inhibition at higher concentrations. Similar findings have been reported earlier, where combination fungicides provided superior control of anthracnose pathogens due to their dual mode of action </w:t>
      </w:r>
      <w:r w:rsidRPr="00EE14BE">
        <w:rPr>
          <w:rFonts w:ascii="Times New Roman" w:hAnsi="Times New Roman" w:cs="Times New Roman"/>
          <w:i/>
          <w:iCs/>
        </w:rPr>
        <w:t>(Singh et al., 2019; Kumar and Sharma, 2020).</w:t>
      </w:r>
    </w:p>
    <w:p w14:paraId="49A7325E" w14:textId="77777777" w:rsidR="00EB7C50" w:rsidRPr="00EE14BE" w:rsidRDefault="00EB7C50" w:rsidP="00EB7C50">
      <w:pPr>
        <w:spacing w:line="276" w:lineRule="auto"/>
        <w:jc w:val="both"/>
        <w:rPr>
          <w:rFonts w:ascii="Times New Roman" w:hAnsi="Times New Roman" w:cs="Times New Roman"/>
        </w:rPr>
      </w:pPr>
      <w:r w:rsidRPr="00DE07E3">
        <w:rPr>
          <w:rFonts w:ascii="Times New Roman" w:hAnsi="Times New Roman" w:cs="Times New Roman"/>
        </w:rPr>
        <w:lastRenderedPageBreak/>
        <w:tab/>
      </w:r>
      <w:r w:rsidRPr="00EE14BE">
        <w:rPr>
          <w:rFonts w:ascii="Times New Roman" w:hAnsi="Times New Roman" w:cs="Times New Roman"/>
        </w:rPr>
        <w:t xml:space="preserve">The strong efficacy of carbendazim observed in the present study corroborates earlier reports that documented significant inhibition of C. gloeosporioides due to interference with fungal mitosis and nuclear division </w:t>
      </w:r>
      <w:r w:rsidRPr="00EE14BE">
        <w:rPr>
          <w:rFonts w:ascii="Times New Roman" w:hAnsi="Times New Roman" w:cs="Times New Roman"/>
          <w:i/>
          <w:iCs/>
        </w:rPr>
        <w:t>(Patel et al., 2018)</w:t>
      </w:r>
      <w:r w:rsidRPr="00EE14BE">
        <w:rPr>
          <w:rFonts w:ascii="Times New Roman" w:hAnsi="Times New Roman" w:cs="Times New Roman"/>
        </w:rPr>
        <w:t xml:space="preserve">. Mancozeb also exhibited high antifungal activity, particularly at higher concentrations, which may be attributed to its multisite inhibition of fungal enzymes, reducing the likelihood of resistance development </w:t>
      </w:r>
      <w:r w:rsidRPr="00EE14BE">
        <w:rPr>
          <w:rFonts w:ascii="Times New Roman" w:hAnsi="Times New Roman" w:cs="Times New Roman"/>
          <w:i/>
          <w:iCs/>
        </w:rPr>
        <w:t>(Meena et al., 2021).</w:t>
      </w:r>
    </w:p>
    <w:p w14:paraId="2E440A1B" w14:textId="77777777" w:rsidR="00EB7C50" w:rsidRPr="00EE14BE" w:rsidRDefault="00EB7C50" w:rsidP="00EB7C50">
      <w:pPr>
        <w:spacing w:line="276" w:lineRule="auto"/>
        <w:jc w:val="both"/>
        <w:rPr>
          <w:rFonts w:ascii="Times New Roman" w:hAnsi="Times New Roman" w:cs="Times New Roman"/>
          <w:i/>
          <w:iCs/>
        </w:rPr>
      </w:pPr>
      <w:r w:rsidRPr="00DE07E3">
        <w:rPr>
          <w:rFonts w:ascii="Times New Roman" w:hAnsi="Times New Roman" w:cs="Times New Roman"/>
        </w:rPr>
        <w:tab/>
      </w:r>
      <w:r w:rsidRPr="00EE14BE">
        <w:rPr>
          <w:rFonts w:ascii="Times New Roman" w:hAnsi="Times New Roman" w:cs="Times New Roman"/>
        </w:rPr>
        <w:t xml:space="preserve">Copper oxychloride, though effective, showed comparatively lower inhibition. This reduced efficacy may be due to its contact mode of action and limited penetration into fungal tissues, as reported earlier </w:t>
      </w:r>
      <w:r w:rsidRPr="00EE14BE">
        <w:rPr>
          <w:rFonts w:ascii="Times New Roman" w:hAnsi="Times New Roman" w:cs="Times New Roman"/>
          <w:i/>
          <w:iCs/>
        </w:rPr>
        <w:t>(Reddy et al., 2017).</w:t>
      </w:r>
    </w:p>
    <w:p w14:paraId="03446C01" w14:textId="77777777" w:rsidR="00EB7C50" w:rsidRPr="00EE14BE" w:rsidRDefault="00EB7C50" w:rsidP="00EB7C50">
      <w:pPr>
        <w:spacing w:line="276" w:lineRule="auto"/>
        <w:jc w:val="both"/>
        <w:rPr>
          <w:rFonts w:ascii="Times New Roman" w:hAnsi="Times New Roman" w:cs="Times New Roman"/>
        </w:rPr>
      </w:pPr>
      <w:r w:rsidRPr="00DE07E3">
        <w:rPr>
          <w:rFonts w:ascii="Times New Roman" w:hAnsi="Times New Roman" w:cs="Times New Roman"/>
        </w:rPr>
        <w:tab/>
      </w:r>
      <w:r w:rsidRPr="00EE14BE">
        <w:rPr>
          <w:rFonts w:ascii="Times New Roman" w:hAnsi="Times New Roman" w:cs="Times New Roman"/>
        </w:rPr>
        <w:t xml:space="preserve">Among botanicals, garlic extract exhibited the highest antifungal activity. The strong inhibitory effect of garlic extract observed in the present study </w:t>
      </w:r>
      <w:proofErr w:type="gramStart"/>
      <w:r w:rsidRPr="00EE14BE">
        <w:rPr>
          <w:rFonts w:ascii="Times New Roman" w:hAnsi="Times New Roman" w:cs="Times New Roman"/>
        </w:rPr>
        <w:t>is in agreement</w:t>
      </w:r>
      <w:proofErr w:type="gramEnd"/>
      <w:r w:rsidRPr="00EE14BE">
        <w:rPr>
          <w:rFonts w:ascii="Times New Roman" w:hAnsi="Times New Roman" w:cs="Times New Roman"/>
        </w:rPr>
        <w:t xml:space="preserve"> with earlier findings that reported significant suppression of phytopathogenic fungi due to </w:t>
      </w:r>
      <w:proofErr w:type="spellStart"/>
      <w:r w:rsidRPr="00EE14BE">
        <w:rPr>
          <w:rFonts w:ascii="Times New Roman" w:hAnsi="Times New Roman" w:cs="Times New Roman"/>
        </w:rPr>
        <w:t>sulfur</w:t>
      </w:r>
      <w:proofErr w:type="spellEnd"/>
      <w:r w:rsidRPr="00EE14BE">
        <w:rPr>
          <w:rFonts w:ascii="Times New Roman" w:hAnsi="Times New Roman" w:cs="Times New Roman"/>
        </w:rPr>
        <w:t xml:space="preserve">-containing compounds such as allicin and ajoene </w:t>
      </w:r>
      <w:r w:rsidRPr="00EE14BE">
        <w:rPr>
          <w:rFonts w:ascii="Times New Roman" w:hAnsi="Times New Roman" w:cs="Times New Roman"/>
          <w:i/>
          <w:iCs/>
        </w:rPr>
        <w:t>(Bhardwaj et al., 2016; Verma et al., 2019)</w:t>
      </w:r>
      <w:r w:rsidRPr="00EE14BE">
        <w:rPr>
          <w:rFonts w:ascii="Times New Roman" w:hAnsi="Times New Roman" w:cs="Times New Roman"/>
        </w:rPr>
        <w:t>. These compounds are known to disrupt cell membrane integrity and inhibit essential metabolic pathways in fungi.</w:t>
      </w:r>
    </w:p>
    <w:p w14:paraId="72F00CB2" w14:textId="77777777" w:rsidR="00EB7C50" w:rsidRPr="00EE14BE" w:rsidRDefault="00EB7C50" w:rsidP="00EB7C50">
      <w:pPr>
        <w:spacing w:line="276" w:lineRule="auto"/>
        <w:jc w:val="both"/>
        <w:rPr>
          <w:rFonts w:ascii="Times New Roman" w:hAnsi="Times New Roman" w:cs="Times New Roman"/>
        </w:rPr>
      </w:pPr>
      <w:r w:rsidRPr="00DE07E3">
        <w:rPr>
          <w:rFonts w:ascii="Times New Roman" w:hAnsi="Times New Roman" w:cs="Times New Roman"/>
        </w:rPr>
        <w:tab/>
      </w:r>
      <w:r w:rsidRPr="00EE14BE">
        <w:rPr>
          <w:rFonts w:ascii="Times New Roman" w:hAnsi="Times New Roman" w:cs="Times New Roman"/>
        </w:rPr>
        <w:t xml:space="preserve">Onion extract showed moderate antifungal activity, which may be attributed to the presence of phenolic and flavonoid compounds, though in lower concentrations compared to garlic </w:t>
      </w:r>
      <w:r w:rsidRPr="00EE14BE">
        <w:rPr>
          <w:rFonts w:ascii="Times New Roman" w:hAnsi="Times New Roman" w:cs="Times New Roman"/>
          <w:i/>
          <w:iCs/>
        </w:rPr>
        <w:t>(Sharma and Tripathi, 2018).</w:t>
      </w:r>
      <w:r w:rsidRPr="00EE14BE">
        <w:rPr>
          <w:rFonts w:ascii="Times New Roman" w:hAnsi="Times New Roman" w:cs="Times New Roman"/>
        </w:rPr>
        <w:t xml:space="preserve"> The comparatively lower efficacy of onion extract observed in the present study aligns with earlier reports.</w:t>
      </w:r>
    </w:p>
    <w:p w14:paraId="7E23FA8E" w14:textId="77777777" w:rsidR="00EB7C50" w:rsidRPr="00EE14BE" w:rsidRDefault="00EB7C50" w:rsidP="00EB7C50">
      <w:pPr>
        <w:spacing w:line="276" w:lineRule="auto"/>
        <w:jc w:val="both"/>
        <w:rPr>
          <w:rFonts w:ascii="Times New Roman" w:hAnsi="Times New Roman" w:cs="Times New Roman"/>
        </w:rPr>
      </w:pPr>
      <w:r w:rsidRPr="00DE07E3">
        <w:rPr>
          <w:rFonts w:ascii="Times New Roman" w:hAnsi="Times New Roman" w:cs="Times New Roman"/>
        </w:rPr>
        <w:tab/>
      </w:r>
      <w:r w:rsidRPr="00EE14BE">
        <w:rPr>
          <w:rFonts w:ascii="Times New Roman" w:hAnsi="Times New Roman" w:cs="Times New Roman"/>
        </w:rPr>
        <w:t>The dose-dependent increase in inhibition observed for both fungicides and botanicals emphasizes the importance of concentration in effective disease management. Higher concentrations consistently resulted in greater suppression of mycelial growth, highlighting the need for optimized application rates.</w:t>
      </w:r>
    </w:p>
    <w:p w14:paraId="45500E19" w14:textId="77777777" w:rsidR="00EB7C50" w:rsidRDefault="00EB7C50" w:rsidP="00EB7C50">
      <w:pPr>
        <w:spacing w:line="276" w:lineRule="auto"/>
        <w:jc w:val="both"/>
        <w:rPr>
          <w:rFonts w:ascii="Times New Roman" w:hAnsi="Times New Roman" w:cs="Times New Roman"/>
        </w:rPr>
      </w:pPr>
      <w:r w:rsidRPr="00DE07E3">
        <w:rPr>
          <w:rFonts w:ascii="Times New Roman" w:hAnsi="Times New Roman" w:cs="Times New Roman"/>
        </w:rPr>
        <w:tab/>
      </w:r>
      <w:r w:rsidRPr="00EE14BE">
        <w:rPr>
          <w:rFonts w:ascii="Times New Roman" w:hAnsi="Times New Roman" w:cs="Times New Roman"/>
        </w:rPr>
        <w:t>Overall, the findings suggest that while fungicides remain the most effective means of controlling mango anthracnose, botanicals—particularly garlic extract—can play a supportive role in integrated disease management strategies aimed at reducing chemical load and promoting sustainable agriculture.</w:t>
      </w:r>
    </w:p>
    <w:bookmarkEnd w:id="2"/>
    <w:p w14:paraId="2B39C04E" w14:textId="77777777" w:rsidR="00430AE3" w:rsidRPr="00642A9D" w:rsidRDefault="00430AE3" w:rsidP="00EB7C50">
      <w:pPr>
        <w:shd w:val="clear" w:color="auto" w:fill="FFFFFF" w:themeFill="background1"/>
        <w:spacing w:line="276" w:lineRule="auto"/>
        <w:jc w:val="both"/>
        <w:rPr>
          <w:rFonts w:ascii="Times New Roman" w:hAnsi="Times New Roman" w:cs="Times New Roman"/>
          <w:b/>
          <w:bCs/>
          <w:lang w:val="en-US"/>
        </w:rPr>
      </w:pPr>
      <w:r w:rsidRPr="00642A9D">
        <w:rPr>
          <w:rFonts w:ascii="Times New Roman" w:hAnsi="Times New Roman" w:cs="Times New Roman"/>
          <w:b/>
          <w:bCs/>
          <w:lang w:val="en-US"/>
        </w:rPr>
        <w:t>Conclusion:</w:t>
      </w:r>
    </w:p>
    <w:p w14:paraId="61934767" w14:textId="77777777" w:rsidR="00EB7C50" w:rsidRPr="00EE14BE" w:rsidRDefault="00EB7C50" w:rsidP="00EB7C50">
      <w:pPr>
        <w:spacing w:line="276" w:lineRule="auto"/>
        <w:jc w:val="both"/>
        <w:rPr>
          <w:rFonts w:ascii="Times New Roman" w:hAnsi="Times New Roman" w:cs="Times New Roman"/>
        </w:rPr>
      </w:pPr>
      <w:r>
        <w:rPr>
          <w:rFonts w:ascii="Times New Roman" w:hAnsi="Times New Roman" w:cs="Times New Roman"/>
        </w:rPr>
        <w:tab/>
      </w:r>
      <w:r w:rsidRPr="00EE14BE">
        <w:rPr>
          <w:rFonts w:ascii="Times New Roman" w:hAnsi="Times New Roman" w:cs="Times New Roman"/>
        </w:rPr>
        <w:t>The present investigation clearly demonstrated that Colletotrichum gloeosporioides, the causal agent of mango anthracnose, can be effectively suppressed under in vitro conditions through the use of fungicides and botanical extracts. Among the fungicides evaluated, the combination fungicide carbendazim + mancozeb proved to be the most effective, followed by mancozeb alone, indicating the advantage of combined systemic and contact modes of action. Carbendazim showed moderate efficacy, while copper oxychloride was comparatively less effective in inhibiting mycelial growth.</w:t>
      </w:r>
    </w:p>
    <w:p w14:paraId="6A2716CD" w14:textId="77777777" w:rsidR="00EB7C50" w:rsidRPr="00EE14BE" w:rsidRDefault="00EB7C50" w:rsidP="00EB7C50">
      <w:pPr>
        <w:spacing w:line="276" w:lineRule="auto"/>
        <w:jc w:val="both"/>
        <w:rPr>
          <w:rFonts w:ascii="Times New Roman" w:hAnsi="Times New Roman" w:cs="Times New Roman"/>
        </w:rPr>
      </w:pPr>
      <w:r>
        <w:rPr>
          <w:rFonts w:ascii="Times New Roman" w:hAnsi="Times New Roman" w:cs="Times New Roman"/>
        </w:rPr>
        <w:tab/>
      </w:r>
      <w:r w:rsidRPr="00EE14BE">
        <w:rPr>
          <w:rFonts w:ascii="Times New Roman" w:hAnsi="Times New Roman" w:cs="Times New Roman"/>
        </w:rPr>
        <w:t>Among the botanical treatments, garlic extract exhibited strong antifungal activity, particularly at higher concentrations, whereas onion extract showed moderate inhibition. The results revealed a clear concentration-dependent response for both fungicides and botanicals, emphasizing the importance of optimized dosage in disease management.</w:t>
      </w:r>
    </w:p>
    <w:p w14:paraId="78A2B540" w14:textId="77777777" w:rsidR="00EB7C50" w:rsidRDefault="00EB7C50" w:rsidP="00EB7C50">
      <w:pPr>
        <w:spacing w:line="276" w:lineRule="auto"/>
        <w:jc w:val="both"/>
        <w:rPr>
          <w:rFonts w:ascii="Times New Roman" w:hAnsi="Times New Roman" w:cs="Times New Roman"/>
        </w:rPr>
      </w:pPr>
      <w:r>
        <w:rPr>
          <w:rFonts w:ascii="Times New Roman" w:hAnsi="Times New Roman" w:cs="Times New Roman"/>
        </w:rPr>
        <w:tab/>
      </w:r>
      <w:r w:rsidRPr="00EE14BE">
        <w:rPr>
          <w:rFonts w:ascii="Times New Roman" w:hAnsi="Times New Roman" w:cs="Times New Roman"/>
        </w:rPr>
        <w:t>Although chemical fungicides provided superior control under laboratory conditions, the promising performance of garlic extract highlights its potential as an eco-friendly alternative or supplementary component in integrated disease management programs. The incorporation of botanicals along with judicious fungicide use may help reduce chemical dependency and promote sustainable management of mango anthracnose. Further studies under field conditions are recommended to validate the effectiveness of these treatments.</w:t>
      </w:r>
    </w:p>
    <w:p w14:paraId="5A3F72EB" w14:textId="77777777" w:rsidR="00D43428" w:rsidRDefault="00D43428" w:rsidP="00EB7C50">
      <w:pPr>
        <w:spacing w:line="276" w:lineRule="auto"/>
        <w:jc w:val="both"/>
        <w:rPr>
          <w:rFonts w:ascii="Times New Roman" w:hAnsi="Times New Roman" w:cs="Times New Roman"/>
        </w:rPr>
      </w:pPr>
    </w:p>
    <w:p w14:paraId="579D1652" w14:textId="77777777" w:rsidR="00D43428" w:rsidRPr="00D43428" w:rsidRDefault="00D43428" w:rsidP="00D43428">
      <w:pPr>
        <w:spacing w:after="200" w:line="276" w:lineRule="auto"/>
        <w:jc w:val="both"/>
        <w:outlineLvl w:val="0"/>
        <w:rPr>
          <w:rFonts w:ascii="Arial" w:eastAsia="Times New Roman" w:hAnsi="Arial" w:cs="Arial"/>
          <w:kern w:val="0"/>
          <w:sz w:val="22"/>
          <w:szCs w:val="22"/>
          <w:lang w:val="en-GB" w:eastAsia="en-GB"/>
          <w14:ligatures w14:val="none"/>
        </w:rPr>
      </w:pPr>
      <w:r w:rsidRPr="00D43428">
        <w:rPr>
          <w:rFonts w:ascii="Arial" w:eastAsia="Times New Roman" w:hAnsi="Arial" w:cs="Arial"/>
          <w:b/>
          <w:bCs/>
          <w:kern w:val="0"/>
          <w:sz w:val="22"/>
          <w:szCs w:val="22"/>
          <w:lang w:val="en-GB" w:eastAsia="en-GB"/>
          <w14:ligatures w14:val="none"/>
        </w:rPr>
        <w:t>COMPETING INTERESTS DISCLAIMER:</w:t>
      </w:r>
    </w:p>
    <w:p w14:paraId="406E24A0" w14:textId="77777777" w:rsidR="00D43428" w:rsidRPr="00D43428" w:rsidRDefault="00D43428" w:rsidP="00D43428">
      <w:pPr>
        <w:spacing w:after="200" w:line="276" w:lineRule="auto"/>
        <w:rPr>
          <w:rFonts w:ascii="Calibri" w:eastAsia="Times New Roman" w:hAnsi="Calibri" w:cs="Times New Roman"/>
          <w:kern w:val="0"/>
          <w:sz w:val="22"/>
          <w:szCs w:val="22"/>
          <w:lang w:val="en-GB" w:eastAsia="en-GB"/>
          <w14:ligatures w14:val="none"/>
        </w:rPr>
      </w:pPr>
      <w:r w:rsidRPr="00D43428">
        <w:rPr>
          <w:rFonts w:ascii="Calibri" w:eastAsia="Times New Roman" w:hAnsi="Calibri" w:cs="Times New Roman"/>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5FA6D14E" w14:textId="77777777" w:rsidR="00D43428" w:rsidRDefault="00D43428" w:rsidP="00EB7C50">
      <w:pPr>
        <w:spacing w:line="276" w:lineRule="auto"/>
        <w:jc w:val="both"/>
        <w:rPr>
          <w:rFonts w:ascii="Times New Roman" w:hAnsi="Times New Roman" w:cs="Times New Roman"/>
        </w:rPr>
      </w:pPr>
    </w:p>
    <w:p w14:paraId="49D4BE9B" w14:textId="77777777" w:rsidR="00D43428" w:rsidRDefault="00D43428" w:rsidP="00EB7C50">
      <w:pPr>
        <w:spacing w:line="276" w:lineRule="auto"/>
        <w:jc w:val="both"/>
        <w:rPr>
          <w:rFonts w:ascii="Times New Roman" w:hAnsi="Times New Roman" w:cs="Times New Roman"/>
        </w:rPr>
      </w:pPr>
    </w:p>
    <w:p w14:paraId="1A97CAF2" w14:textId="77777777" w:rsidR="00D43428" w:rsidRDefault="00D43428" w:rsidP="00EB7C50">
      <w:pPr>
        <w:spacing w:line="276" w:lineRule="auto"/>
        <w:jc w:val="both"/>
        <w:rPr>
          <w:rFonts w:ascii="Times New Roman" w:hAnsi="Times New Roman" w:cs="Times New Roman"/>
        </w:rPr>
      </w:pPr>
    </w:p>
    <w:p w14:paraId="6C96782F" w14:textId="77777777" w:rsidR="00D43428" w:rsidRPr="00EE14BE" w:rsidRDefault="00D43428" w:rsidP="00EB7C50">
      <w:pPr>
        <w:spacing w:line="276" w:lineRule="auto"/>
        <w:jc w:val="both"/>
        <w:rPr>
          <w:rFonts w:ascii="Times New Roman" w:hAnsi="Times New Roman" w:cs="Times New Roman"/>
        </w:rPr>
      </w:pPr>
    </w:p>
    <w:p w14:paraId="15103EFB" w14:textId="77777777" w:rsidR="00E10774" w:rsidRPr="00642A9D" w:rsidRDefault="00E10774" w:rsidP="00DE07E3">
      <w:pPr>
        <w:shd w:val="clear" w:color="auto" w:fill="FFFFFF" w:themeFill="background1"/>
        <w:spacing w:line="276" w:lineRule="auto"/>
        <w:rPr>
          <w:rFonts w:ascii="Times New Roman" w:hAnsi="Times New Roman" w:cs="Times New Roman"/>
          <w:b/>
          <w:bCs/>
          <w:lang w:val="en-US"/>
        </w:rPr>
      </w:pPr>
      <w:r w:rsidRPr="00642A9D">
        <w:rPr>
          <w:rFonts w:ascii="Times New Roman" w:hAnsi="Times New Roman" w:cs="Times New Roman"/>
          <w:b/>
          <w:bCs/>
          <w:lang w:val="en-US"/>
        </w:rPr>
        <w:t>Reference:</w:t>
      </w:r>
    </w:p>
    <w:p w14:paraId="2B4CD7DC" w14:textId="77777777" w:rsidR="00586696" w:rsidRPr="00642A9D" w:rsidRDefault="00586696" w:rsidP="00DE07E3">
      <w:pPr>
        <w:pStyle w:val="ListParagraph"/>
        <w:numPr>
          <w:ilvl w:val="0"/>
          <w:numId w:val="3"/>
        </w:numPr>
        <w:shd w:val="clear" w:color="auto" w:fill="FFFFFF" w:themeFill="background1"/>
        <w:spacing w:line="276" w:lineRule="auto"/>
        <w:jc w:val="both"/>
        <w:rPr>
          <w:rFonts w:ascii="Times New Roman" w:hAnsi="Times New Roman" w:cs="Times New Roman"/>
        </w:rPr>
      </w:pPr>
      <w:r w:rsidRPr="00642A9D">
        <w:rPr>
          <w:rFonts w:ascii="Times New Roman" w:hAnsi="Times New Roman" w:cs="Times New Roman"/>
        </w:rPr>
        <w:t>Cornago, D. F., Amor, E. C., &amp; Rivera, W. L. (2011). Antifungal activity of onion (</w:t>
      </w:r>
      <w:r w:rsidRPr="00642A9D">
        <w:rPr>
          <w:rFonts w:ascii="Times New Roman" w:hAnsi="Times New Roman" w:cs="Times New Roman"/>
          <w:i/>
          <w:iCs/>
        </w:rPr>
        <w:t>Allium cepa</w:t>
      </w:r>
      <w:r w:rsidRPr="00642A9D">
        <w:rPr>
          <w:rFonts w:ascii="Times New Roman" w:hAnsi="Times New Roman" w:cs="Times New Roman"/>
        </w:rPr>
        <w:t> L.) bulb extracts</w:t>
      </w:r>
      <w:r w:rsidR="00AE2685" w:rsidRPr="00642A9D">
        <w:rPr>
          <w:rFonts w:ascii="Times New Roman" w:hAnsi="Times New Roman" w:cs="Times New Roman"/>
        </w:rPr>
        <w:t xml:space="preserve"> </w:t>
      </w:r>
      <w:r w:rsidRPr="00642A9D">
        <w:rPr>
          <w:rFonts w:ascii="Times New Roman" w:hAnsi="Times New Roman" w:cs="Times New Roman"/>
        </w:rPr>
        <w:t>against </w:t>
      </w:r>
      <w:r w:rsidRPr="00642A9D">
        <w:rPr>
          <w:rFonts w:ascii="Times New Roman" w:hAnsi="Times New Roman" w:cs="Times New Roman"/>
          <w:i/>
          <w:iCs/>
        </w:rPr>
        <w:t>Fusarium</w:t>
      </w:r>
      <w:r w:rsidR="00AE2685" w:rsidRPr="00642A9D">
        <w:rPr>
          <w:rFonts w:ascii="Times New Roman" w:hAnsi="Times New Roman" w:cs="Times New Roman"/>
          <w:i/>
          <w:iCs/>
        </w:rPr>
        <w:t xml:space="preserve"> </w:t>
      </w:r>
      <w:r w:rsidRPr="00642A9D">
        <w:rPr>
          <w:rFonts w:ascii="Times New Roman" w:hAnsi="Times New Roman" w:cs="Times New Roman"/>
          <w:i/>
          <w:iCs/>
        </w:rPr>
        <w:t>oxysporum</w:t>
      </w:r>
      <w:r w:rsidRPr="00642A9D">
        <w:rPr>
          <w:rFonts w:ascii="Times New Roman" w:hAnsi="Times New Roman" w:cs="Times New Roman"/>
        </w:rPr>
        <w:t> and </w:t>
      </w:r>
      <w:r w:rsidRPr="00642A9D">
        <w:rPr>
          <w:rFonts w:ascii="Times New Roman" w:hAnsi="Times New Roman" w:cs="Times New Roman"/>
          <w:i/>
          <w:iCs/>
        </w:rPr>
        <w:t>Colletotrichum</w:t>
      </w:r>
      <w:r w:rsidRPr="00642A9D">
        <w:rPr>
          <w:rFonts w:ascii="Times New Roman" w:hAnsi="Times New Roman" w:cs="Times New Roman"/>
        </w:rPr>
        <w:t> sp. </w:t>
      </w:r>
      <w:r w:rsidRPr="00642A9D">
        <w:rPr>
          <w:rFonts w:ascii="Times New Roman" w:hAnsi="Times New Roman" w:cs="Times New Roman"/>
          <w:i/>
          <w:iCs/>
        </w:rPr>
        <w:t>Philippine Agricultural Scientist, 94</w:t>
      </w:r>
      <w:r w:rsidRPr="00642A9D">
        <w:rPr>
          <w:rFonts w:ascii="Times New Roman" w:hAnsi="Times New Roman" w:cs="Times New Roman"/>
        </w:rPr>
        <w:t>(1), 78-82.</w:t>
      </w:r>
    </w:p>
    <w:p w14:paraId="3E01E0FF" w14:textId="77777777" w:rsidR="00586696" w:rsidRPr="00642A9D" w:rsidRDefault="00586696" w:rsidP="00DE07E3">
      <w:pPr>
        <w:pStyle w:val="ListParagraph"/>
        <w:numPr>
          <w:ilvl w:val="0"/>
          <w:numId w:val="3"/>
        </w:numPr>
        <w:shd w:val="clear" w:color="auto" w:fill="FFFFFF" w:themeFill="background1"/>
        <w:spacing w:line="276" w:lineRule="auto"/>
        <w:jc w:val="both"/>
        <w:rPr>
          <w:rFonts w:ascii="Times New Roman" w:hAnsi="Times New Roman" w:cs="Times New Roman"/>
        </w:rPr>
      </w:pPr>
      <w:r w:rsidRPr="00642A9D">
        <w:rPr>
          <w:rFonts w:ascii="Times New Roman" w:hAnsi="Times New Roman" w:cs="Times New Roman"/>
        </w:rPr>
        <w:t xml:space="preserve">Gireesh Chand, J.N. Srivastava, Sunil Kumar And Sanjeev Kumar, Efficacy of different </w:t>
      </w:r>
      <w:r w:rsidRPr="00642A9D">
        <w:rPr>
          <w:rFonts w:ascii="Times New Roman" w:hAnsi="Times New Roman" w:cs="Times New Roman"/>
        </w:rPr>
        <w:tab/>
        <w:t>fungicide against anthracnose of mango (Mangifera indica L.) in Eastern Bihar,</w:t>
      </w:r>
      <w:r w:rsidRPr="00642A9D">
        <w:rPr>
          <w:rFonts w:ascii="Times New Roman" w:eastAsia="Times New Roman" w:hAnsi="Times New Roman" w:cs="Times New Roman"/>
          <w:kern w:val="0"/>
          <w:lang w:eastAsia="en-GB"/>
          <w14:ligatures w14:val="none"/>
        </w:rPr>
        <w:t xml:space="preserve"> </w:t>
      </w:r>
      <w:r w:rsidRPr="00642A9D">
        <w:rPr>
          <w:rFonts w:ascii="Times New Roman" w:hAnsi="Times New Roman" w:cs="Times New Roman"/>
          <w:i/>
          <w:iCs/>
        </w:rPr>
        <w:t>International Journal of Agricultural Sciences</w:t>
      </w:r>
      <w:r w:rsidRPr="00642A9D">
        <w:rPr>
          <w:rFonts w:ascii="Times New Roman" w:hAnsi="Times New Roman" w:cs="Times New Roman"/>
        </w:rPr>
        <w:t>, 9(1), 204-206.</w:t>
      </w:r>
    </w:p>
    <w:p w14:paraId="69217AD0" w14:textId="77777777" w:rsidR="00586696" w:rsidRPr="00642A9D" w:rsidRDefault="00586696" w:rsidP="00DE07E3">
      <w:pPr>
        <w:pStyle w:val="ListParagraph"/>
        <w:numPr>
          <w:ilvl w:val="0"/>
          <w:numId w:val="3"/>
        </w:numPr>
        <w:shd w:val="clear" w:color="auto" w:fill="FFFFFF" w:themeFill="background1"/>
        <w:spacing w:line="276" w:lineRule="auto"/>
        <w:jc w:val="both"/>
        <w:rPr>
          <w:rFonts w:ascii="Times New Roman" w:hAnsi="Times New Roman" w:cs="Times New Roman"/>
          <w:lang w:val="en-US"/>
        </w:rPr>
      </w:pPr>
      <w:r w:rsidRPr="00642A9D">
        <w:rPr>
          <w:rFonts w:ascii="Times New Roman" w:hAnsi="Times New Roman" w:cs="Times New Roman"/>
        </w:rPr>
        <w:t>Inayat, S., Ullah, A., Anwar, A., &amp; Kaleem, A. (2024), In vitro evaluation of fungicides against mango anthracnose caused by </w:t>
      </w:r>
      <w:r w:rsidRPr="00642A9D">
        <w:rPr>
          <w:rFonts w:ascii="Times New Roman" w:hAnsi="Times New Roman" w:cs="Times New Roman"/>
          <w:i/>
          <w:iCs/>
        </w:rPr>
        <w:t>Colletotrichum gloeosporioides</w:t>
      </w:r>
      <w:r w:rsidRPr="00642A9D">
        <w:rPr>
          <w:rFonts w:ascii="Times New Roman" w:hAnsi="Times New Roman" w:cs="Times New Roman"/>
        </w:rPr>
        <w:t>. </w:t>
      </w:r>
      <w:r w:rsidRPr="00642A9D">
        <w:rPr>
          <w:rFonts w:ascii="Times New Roman" w:hAnsi="Times New Roman" w:cs="Times New Roman"/>
          <w:i/>
          <w:iCs/>
        </w:rPr>
        <w:t>American Journal of Biomedical and Life Sciences, 12</w:t>
      </w:r>
      <w:r w:rsidRPr="00642A9D">
        <w:rPr>
          <w:rFonts w:ascii="Times New Roman" w:hAnsi="Times New Roman" w:cs="Times New Roman"/>
        </w:rPr>
        <w:t>(2), 16-21.</w:t>
      </w:r>
    </w:p>
    <w:p w14:paraId="44717825" w14:textId="77777777" w:rsidR="00586696" w:rsidRPr="00642A9D" w:rsidRDefault="00586696" w:rsidP="00DE07E3">
      <w:pPr>
        <w:pStyle w:val="ListParagraph"/>
        <w:numPr>
          <w:ilvl w:val="0"/>
          <w:numId w:val="3"/>
        </w:numPr>
        <w:shd w:val="clear" w:color="auto" w:fill="FFFFFF" w:themeFill="background1"/>
        <w:spacing w:line="276" w:lineRule="auto"/>
        <w:jc w:val="both"/>
        <w:rPr>
          <w:rFonts w:ascii="Times New Roman" w:hAnsi="Times New Roman" w:cs="Times New Roman"/>
        </w:rPr>
      </w:pPr>
      <w:r w:rsidRPr="00642A9D">
        <w:rPr>
          <w:rFonts w:ascii="Times New Roman" w:hAnsi="Times New Roman" w:cs="Times New Roman"/>
        </w:rPr>
        <w:t xml:space="preserve">N. Ranjitha, V. Devappa* and C.G. Sangeetha, Evaluating Eco-friendly Botanicals against </w:t>
      </w:r>
      <w:r w:rsidR="00AE2685" w:rsidRPr="00642A9D">
        <w:rPr>
          <w:rFonts w:ascii="Times New Roman" w:hAnsi="Times New Roman" w:cs="Times New Roman"/>
        </w:rPr>
        <w:t xml:space="preserve">Colletotrichum gloeosporioides causing Anthracnose of Mango, </w:t>
      </w:r>
      <w:r w:rsidR="00AE2685" w:rsidRPr="00642A9D">
        <w:rPr>
          <w:rFonts w:ascii="Times New Roman" w:hAnsi="Times New Roman" w:cs="Times New Roman"/>
          <w:i/>
          <w:iCs/>
        </w:rPr>
        <w:t xml:space="preserve">International Journal </w:t>
      </w:r>
      <w:r w:rsidR="00AE2685" w:rsidRPr="00642A9D">
        <w:rPr>
          <w:rFonts w:ascii="Times New Roman" w:hAnsi="Times New Roman" w:cs="Times New Roman"/>
          <w:i/>
          <w:iCs/>
        </w:rPr>
        <w:tab/>
        <w:t>of Current Microbiology and Applied Sciences</w:t>
      </w:r>
      <w:r w:rsidR="00AE2685" w:rsidRPr="00642A9D">
        <w:rPr>
          <w:rFonts w:ascii="Times New Roman" w:hAnsi="Times New Roman" w:cs="Times New Roman"/>
        </w:rPr>
        <w:t>, (2019) 8(5), 1809-1816.</w:t>
      </w:r>
    </w:p>
    <w:p w14:paraId="501B0393" w14:textId="77777777" w:rsidR="0043270E" w:rsidRPr="00642A9D" w:rsidRDefault="00586696" w:rsidP="00DE07E3">
      <w:pPr>
        <w:pStyle w:val="ListParagraph"/>
        <w:numPr>
          <w:ilvl w:val="0"/>
          <w:numId w:val="3"/>
        </w:numPr>
        <w:shd w:val="clear" w:color="auto" w:fill="FFFFFF" w:themeFill="background1"/>
        <w:spacing w:line="276" w:lineRule="auto"/>
        <w:jc w:val="both"/>
        <w:rPr>
          <w:rFonts w:ascii="Times New Roman" w:hAnsi="Times New Roman" w:cs="Times New Roman"/>
        </w:rPr>
      </w:pPr>
      <w:r w:rsidRPr="00642A9D">
        <w:rPr>
          <w:rFonts w:ascii="Times New Roman" w:hAnsi="Times New Roman" w:cs="Times New Roman"/>
        </w:rPr>
        <w:t xml:space="preserve">Niazi, M., Karuna, K., Somashekar, Y. M., &amp; Padmashri, H. S. (2022), Evaluation of botanicals </w:t>
      </w:r>
      <w:r w:rsidRPr="00642A9D">
        <w:rPr>
          <w:rFonts w:ascii="Times New Roman" w:hAnsi="Times New Roman" w:cs="Times New Roman"/>
        </w:rPr>
        <w:tab/>
        <w:t>and bio-agents against </w:t>
      </w:r>
      <w:r w:rsidRPr="00642A9D">
        <w:rPr>
          <w:rFonts w:ascii="Times New Roman" w:hAnsi="Times New Roman" w:cs="Times New Roman"/>
          <w:i/>
          <w:iCs/>
        </w:rPr>
        <w:t>Colletotrichum gloeosporioides</w:t>
      </w:r>
      <w:r w:rsidRPr="00642A9D">
        <w:rPr>
          <w:rFonts w:ascii="Times New Roman" w:hAnsi="Times New Roman" w:cs="Times New Roman"/>
        </w:rPr>
        <w:t> (Penz.) Penz. and Sacc. causing anthracnose of mango. </w:t>
      </w:r>
      <w:r w:rsidRPr="00642A9D">
        <w:rPr>
          <w:rFonts w:ascii="Times New Roman" w:hAnsi="Times New Roman" w:cs="Times New Roman"/>
          <w:i/>
          <w:iCs/>
        </w:rPr>
        <w:t>Mysore Journal of Agricultural Sciences, 56</w:t>
      </w:r>
      <w:r w:rsidRPr="00642A9D">
        <w:rPr>
          <w:rFonts w:ascii="Times New Roman" w:hAnsi="Times New Roman" w:cs="Times New Roman"/>
        </w:rPr>
        <w:t>(4), 277-288.</w:t>
      </w:r>
    </w:p>
    <w:p w14:paraId="3764F9F7" w14:textId="77777777" w:rsidR="009018D4" w:rsidRDefault="00586696" w:rsidP="00DE07E3">
      <w:pPr>
        <w:pStyle w:val="ListParagraph"/>
        <w:numPr>
          <w:ilvl w:val="0"/>
          <w:numId w:val="3"/>
        </w:numPr>
        <w:shd w:val="clear" w:color="auto" w:fill="FFFFFF" w:themeFill="background1"/>
        <w:spacing w:line="276" w:lineRule="auto"/>
        <w:jc w:val="both"/>
        <w:rPr>
          <w:rFonts w:ascii="Times New Roman" w:hAnsi="Times New Roman" w:cs="Times New Roman"/>
        </w:rPr>
      </w:pPr>
      <w:r w:rsidRPr="00642A9D">
        <w:rPr>
          <w:rFonts w:ascii="Times New Roman" w:hAnsi="Times New Roman" w:cs="Times New Roman"/>
          <w:lang w:val="en-US"/>
        </w:rPr>
        <w:t>R. G. Bhagwat1, B. P. Mehta2, V. A. Patil3,</w:t>
      </w:r>
      <w:r w:rsidRPr="00642A9D">
        <w:rPr>
          <w:rFonts w:ascii="Times New Roman" w:hAnsi="Times New Roman" w:cs="Times New Roman"/>
        </w:rPr>
        <w:t xml:space="preserve"> </w:t>
      </w:r>
      <w:r w:rsidRPr="00642A9D">
        <w:rPr>
          <w:rFonts w:ascii="Times New Roman" w:hAnsi="Times New Roman" w:cs="Times New Roman"/>
          <w:lang w:val="en-US"/>
        </w:rPr>
        <w:t>Evaluation of fungicides and biological agents for the management of mango anthracnose.</w:t>
      </w:r>
      <w:r w:rsidRPr="00642A9D">
        <w:rPr>
          <w:rFonts w:ascii="Times New Roman" w:eastAsia="Times New Roman" w:hAnsi="Times New Roman" w:cs="Times New Roman"/>
          <w:kern w:val="0"/>
          <w:lang w:eastAsia="en-GB"/>
          <w14:ligatures w14:val="none"/>
        </w:rPr>
        <w:t xml:space="preserve"> </w:t>
      </w:r>
      <w:r w:rsidRPr="00642A9D">
        <w:rPr>
          <w:rFonts w:ascii="Times New Roman" w:hAnsi="Times New Roman" w:cs="Times New Roman"/>
          <w:i/>
          <w:iCs/>
        </w:rPr>
        <w:t xml:space="preserve">International Journal of Environmental &amp; </w:t>
      </w:r>
      <w:r w:rsidRPr="00642A9D">
        <w:rPr>
          <w:rFonts w:ascii="Times New Roman" w:hAnsi="Times New Roman" w:cs="Times New Roman"/>
          <w:i/>
          <w:iCs/>
        </w:rPr>
        <w:tab/>
        <w:t>Agriculture Research</w:t>
      </w:r>
      <w:r w:rsidRPr="00642A9D">
        <w:rPr>
          <w:rFonts w:ascii="Times New Roman" w:hAnsi="Times New Roman" w:cs="Times New Roman"/>
        </w:rPr>
        <w:t>,2(4), 49-52.</w:t>
      </w:r>
      <w:bookmarkEnd w:id="1"/>
    </w:p>
    <w:p w14:paraId="37D65139" w14:textId="77777777" w:rsidR="00741DCA" w:rsidRDefault="00741DCA" w:rsidP="00DE07E3">
      <w:pPr>
        <w:pStyle w:val="ListParagraph"/>
        <w:numPr>
          <w:ilvl w:val="0"/>
          <w:numId w:val="3"/>
        </w:numPr>
        <w:spacing w:line="276" w:lineRule="auto"/>
        <w:rPr>
          <w:rFonts w:ascii="Times New Roman" w:hAnsi="Times New Roman" w:cs="Times New Roman"/>
        </w:rPr>
      </w:pPr>
      <w:r w:rsidRPr="00741DCA">
        <w:rPr>
          <w:rFonts w:ascii="Times New Roman" w:hAnsi="Times New Roman" w:cs="Times New Roman"/>
        </w:rPr>
        <w:t>T. Umamaheswari</w:t>
      </w:r>
      <w:proofErr w:type="gramStart"/>
      <w:r w:rsidRPr="00741DCA">
        <w:rPr>
          <w:rFonts w:ascii="Times New Roman" w:hAnsi="Times New Roman" w:cs="Times New Roman"/>
        </w:rPr>
        <w:t>1,S.K.</w:t>
      </w:r>
      <w:proofErr w:type="gramEnd"/>
      <w:r w:rsidRPr="00741DCA">
        <w:rPr>
          <w:rFonts w:ascii="Times New Roman" w:hAnsi="Times New Roman" w:cs="Times New Roman"/>
        </w:rPr>
        <w:t xml:space="preserve"> Beura1,A. Sahoo2,S. Pattanayak2</w:t>
      </w:r>
      <w:r>
        <w:rPr>
          <w:rFonts w:ascii="Times New Roman" w:hAnsi="Times New Roman" w:cs="Times New Roman"/>
        </w:rPr>
        <w:t xml:space="preserve">, </w:t>
      </w:r>
      <w:r w:rsidRPr="00741DCA">
        <w:rPr>
          <w:rFonts w:ascii="Times New Roman" w:hAnsi="Times New Roman" w:cs="Times New Roman"/>
        </w:rPr>
        <w:t>Physiological Studies of Myrothecium Roridum: An Inciting Agent of Myrothecium Leaf Blight in Cotton</w:t>
      </w:r>
      <w:r>
        <w:rPr>
          <w:rFonts w:ascii="Times New Roman" w:hAnsi="Times New Roman" w:cs="Times New Roman"/>
        </w:rPr>
        <w:t>,</w:t>
      </w:r>
      <w:r w:rsidRPr="00741DCA">
        <w:t xml:space="preserve"> </w:t>
      </w:r>
      <w:r w:rsidRPr="00B246FD">
        <w:rPr>
          <w:rFonts w:ascii="Times New Roman" w:hAnsi="Times New Roman" w:cs="Times New Roman"/>
          <w:i/>
          <w:iCs/>
        </w:rPr>
        <w:t>Indian Journal of Agricultural Research</w:t>
      </w:r>
      <w:r>
        <w:rPr>
          <w:rFonts w:ascii="Times New Roman" w:hAnsi="Times New Roman" w:cs="Times New Roman"/>
        </w:rPr>
        <w:t>,</w:t>
      </w:r>
      <w:r w:rsidRPr="00741DCA">
        <w:t xml:space="preserve"> </w:t>
      </w:r>
      <w:r w:rsidRPr="00741DCA">
        <w:rPr>
          <w:rFonts w:ascii="Times New Roman" w:hAnsi="Times New Roman" w:cs="Times New Roman"/>
        </w:rPr>
        <w:t>volume 56 issue 6 (</w:t>
      </w:r>
      <w:proofErr w:type="spellStart"/>
      <w:r w:rsidRPr="00741DCA">
        <w:rPr>
          <w:rFonts w:ascii="Times New Roman" w:hAnsi="Times New Roman" w:cs="Times New Roman"/>
        </w:rPr>
        <w:t>december</w:t>
      </w:r>
      <w:proofErr w:type="spellEnd"/>
      <w:r w:rsidRPr="00741DCA">
        <w:rPr>
          <w:rFonts w:ascii="Times New Roman" w:hAnsi="Times New Roman" w:cs="Times New Roman"/>
        </w:rPr>
        <w:t xml:space="preserve"> 2022) : 746-750</w:t>
      </w:r>
    </w:p>
    <w:p w14:paraId="33F6BF0A" w14:textId="77777777" w:rsidR="00EB7C50" w:rsidRPr="00EB7C50" w:rsidRDefault="00EB7C50" w:rsidP="00EB7C50">
      <w:pPr>
        <w:pStyle w:val="ListParagraph"/>
        <w:numPr>
          <w:ilvl w:val="0"/>
          <w:numId w:val="3"/>
        </w:numPr>
        <w:spacing w:before="100" w:beforeAutospacing="1" w:after="100" w:afterAutospacing="1" w:line="276" w:lineRule="auto"/>
        <w:rPr>
          <w:rFonts w:ascii="Times New Roman" w:eastAsia="Times New Roman" w:hAnsi="Times New Roman" w:cs="Times New Roman"/>
          <w:kern w:val="0"/>
          <w:lang w:eastAsia="en-GB"/>
          <w14:ligatures w14:val="none"/>
        </w:rPr>
      </w:pPr>
      <w:r w:rsidRPr="00EB7C50">
        <w:rPr>
          <w:rFonts w:ascii="Times New Roman" w:eastAsia="Times New Roman" w:hAnsi="Times New Roman" w:cs="Times New Roman"/>
          <w:kern w:val="0"/>
          <w:lang w:eastAsia="en-GB"/>
          <w14:ligatures w14:val="none"/>
        </w:rPr>
        <w:t xml:space="preserve">Bhardwaj NR, Singh A, Sharma RL. 2016. Antifungal activity of garlic (Allium sativum L.) extracts against plant pathogenic fungi. </w:t>
      </w:r>
      <w:r w:rsidRPr="00B246FD">
        <w:rPr>
          <w:rFonts w:ascii="Times New Roman" w:eastAsia="Times New Roman" w:hAnsi="Times New Roman" w:cs="Times New Roman"/>
          <w:i/>
          <w:iCs/>
          <w:kern w:val="0"/>
          <w:lang w:eastAsia="en-GB"/>
          <w14:ligatures w14:val="none"/>
        </w:rPr>
        <w:t>Journal of Plant Protection Sciences</w:t>
      </w:r>
      <w:r w:rsidRPr="00EB7C50">
        <w:rPr>
          <w:rFonts w:ascii="Times New Roman" w:eastAsia="Times New Roman" w:hAnsi="Times New Roman" w:cs="Times New Roman"/>
          <w:kern w:val="0"/>
          <w:lang w:eastAsia="en-GB"/>
          <w14:ligatures w14:val="none"/>
        </w:rPr>
        <w:t>. 8(2):45–49.</w:t>
      </w:r>
    </w:p>
    <w:p w14:paraId="1C0BB97A" w14:textId="77777777" w:rsidR="00EB7C50" w:rsidRPr="00EB7C50" w:rsidRDefault="00EB7C50" w:rsidP="00EB7C50">
      <w:pPr>
        <w:pStyle w:val="ListParagraph"/>
        <w:numPr>
          <w:ilvl w:val="0"/>
          <w:numId w:val="3"/>
        </w:numPr>
        <w:spacing w:before="100" w:beforeAutospacing="1" w:after="100" w:afterAutospacing="1" w:line="276" w:lineRule="auto"/>
        <w:rPr>
          <w:rFonts w:ascii="Times New Roman" w:eastAsia="Times New Roman" w:hAnsi="Times New Roman" w:cs="Times New Roman"/>
          <w:kern w:val="0"/>
          <w:lang w:eastAsia="en-GB"/>
          <w14:ligatures w14:val="none"/>
        </w:rPr>
      </w:pPr>
      <w:r w:rsidRPr="00EB7C50">
        <w:rPr>
          <w:rFonts w:ascii="Times New Roman" w:eastAsia="Times New Roman" w:hAnsi="Times New Roman" w:cs="Times New Roman"/>
          <w:kern w:val="0"/>
          <w:lang w:eastAsia="en-GB"/>
          <w14:ligatures w14:val="none"/>
        </w:rPr>
        <w:t>Kumar S, Sharma R. 2020. Efficacy of combination fungicides against anthracnose disease caused by Colletotrichum gloeosporioides</w:t>
      </w:r>
      <w:r w:rsidRPr="00B246FD">
        <w:rPr>
          <w:rFonts w:ascii="Times New Roman" w:eastAsia="Times New Roman" w:hAnsi="Times New Roman" w:cs="Times New Roman"/>
          <w:i/>
          <w:iCs/>
          <w:kern w:val="0"/>
          <w:lang w:eastAsia="en-GB"/>
          <w14:ligatures w14:val="none"/>
        </w:rPr>
        <w:t>. International Journal of Chemical Studies</w:t>
      </w:r>
      <w:r w:rsidRPr="00EB7C50">
        <w:rPr>
          <w:rFonts w:ascii="Times New Roman" w:eastAsia="Times New Roman" w:hAnsi="Times New Roman" w:cs="Times New Roman"/>
          <w:kern w:val="0"/>
          <w:lang w:eastAsia="en-GB"/>
          <w14:ligatures w14:val="none"/>
        </w:rPr>
        <w:t>. 8(3):2134–2138.</w:t>
      </w:r>
    </w:p>
    <w:p w14:paraId="08D744CE" w14:textId="77777777" w:rsidR="00EB7C50" w:rsidRPr="00EB7C50" w:rsidRDefault="00EB7C50" w:rsidP="00EB7C50">
      <w:pPr>
        <w:pStyle w:val="ListParagraph"/>
        <w:numPr>
          <w:ilvl w:val="0"/>
          <w:numId w:val="3"/>
        </w:numPr>
        <w:spacing w:before="100" w:beforeAutospacing="1" w:after="100" w:afterAutospacing="1" w:line="276" w:lineRule="auto"/>
        <w:rPr>
          <w:rFonts w:ascii="Times New Roman" w:eastAsia="Times New Roman" w:hAnsi="Times New Roman" w:cs="Times New Roman"/>
          <w:kern w:val="0"/>
          <w:lang w:eastAsia="en-GB"/>
          <w14:ligatures w14:val="none"/>
        </w:rPr>
      </w:pPr>
      <w:r w:rsidRPr="00EB7C50">
        <w:rPr>
          <w:rFonts w:ascii="Times New Roman" w:eastAsia="Times New Roman" w:hAnsi="Times New Roman" w:cs="Times New Roman"/>
          <w:kern w:val="0"/>
          <w:lang w:eastAsia="en-GB"/>
          <w14:ligatures w14:val="none"/>
        </w:rPr>
        <w:t xml:space="preserve">Meena PD, Singh D, Chaudhary S. 2021. Evaluation of fungicides against Colletotrichum species causing anthracnose in fruit crops. </w:t>
      </w:r>
      <w:r w:rsidRPr="00B246FD">
        <w:rPr>
          <w:rFonts w:ascii="Times New Roman" w:eastAsia="Times New Roman" w:hAnsi="Times New Roman" w:cs="Times New Roman"/>
          <w:i/>
          <w:iCs/>
          <w:kern w:val="0"/>
          <w:lang w:eastAsia="en-GB"/>
          <w14:ligatures w14:val="none"/>
        </w:rPr>
        <w:t xml:space="preserve">Journal of </w:t>
      </w:r>
      <w:proofErr w:type="spellStart"/>
      <w:r w:rsidRPr="00B246FD">
        <w:rPr>
          <w:rFonts w:ascii="Times New Roman" w:eastAsia="Times New Roman" w:hAnsi="Times New Roman" w:cs="Times New Roman"/>
          <w:i/>
          <w:iCs/>
          <w:kern w:val="0"/>
          <w:lang w:eastAsia="en-GB"/>
          <w14:ligatures w14:val="none"/>
        </w:rPr>
        <w:t>Mycopathological</w:t>
      </w:r>
      <w:proofErr w:type="spellEnd"/>
      <w:r w:rsidRPr="00B246FD">
        <w:rPr>
          <w:rFonts w:ascii="Times New Roman" w:eastAsia="Times New Roman" w:hAnsi="Times New Roman" w:cs="Times New Roman"/>
          <w:i/>
          <w:iCs/>
          <w:kern w:val="0"/>
          <w:lang w:eastAsia="en-GB"/>
          <w14:ligatures w14:val="none"/>
        </w:rPr>
        <w:t xml:space="preserve"> Research.</w:t>
      </w:r>
      <w:r w:rsidRPr="00EB7C50">
        <w:rPr>
          <w:rFonts w:ascii="Times New Roman" w:eastAsia="Times New Roman" w:hAnsi="Times New Roman" w:cs="Times New Roman"/>
          <w:kern w:val="0"/>
          <w:lang w:eastAsia="en-GB"/>
          <w14:ligatures w14:val="none"/>
        </w:rPr>
        <w:t xml:space="preserve"> 59(1):67–72.</w:t>
      </w:r>
    </w:p>
    <w:p w14:paraId="45775140" w14:textId="77777777" w:rsidR="00EB7C50" w:rsidRPr="00EB7C50" w:rsidRDefault="00EB7C50" w:rsidP="00EB7C50">
      <w:pPr>
        <w:pStyle w:val="ListParagraph"/>
        <w:numPr>
          <w:ilvl w:val="0"/>
          <w:numId w:val="3"/>
        </w:numPr>
        <w:spacing w:before="100" w:beforeAutospacing="1" w:after="100" w:afterAutospacing="1" w:line="276" w:lineRule="auto"/>
        <w:rPr>
          <w:rFonts w:ascii="Times New Roman" w:eastAsia="Times New Roman" w:hAnsi="Times New Roman" w:cs="Times New Roman"/>
          <w:kern w:val="0"/>
          <w:lang w:eastAsia="en-GB"/>
          <w14:ligatures w14:val="none"/>
        </w:rPr>
      </w:pPr>
      <w:r w:rsidRPr="00EB7C50">
        <w:rPr>
          <w:rFonts w:ascii="Times New Roman" w:eastAsia="Times New Roman" w:hAnsi="Times New Roman" w:cs="Times New Roman"/>
          <w:kern w:val="0"/>
          <w:lang w:eastAsia="en-GB"/>
          <w14:ligatures w14:val="none"/>
        </w:rPr>
        <w:t xml:space="preserve">Patel JK, Pandey AK, Verma OP. 2018. In vitro evaluation of fungicides against Colletotrichum gloeosporioides causing mango anthracnose. </w:t>
      </w:r>
      <w:r w:rsidRPr="00B246FD">
        <w:rPr>
          <w:rFonts w:ascii="Times New Roman" w:eastAsia="Times New Roman" w:hAnsi="Times New Roman" w:cs="Times New Roman"/>
          <w:i/>
          <w:iCs/>
          <w:kern w:val="0"/>
          <w:lang w:eastAsia="en-GB"/>
          <w14:ligatures w14:val="none"/>
        </w:rPr>
        <w:t>Indian Phytopathology</w:t>
      </w:r>
      <w:r w:rsidRPr="00EB7C50">
        <w:rPr>
          <w:rFonts w:ascii="Times New Roman" w:eastAsia="Times New Roman" w:hAnsi="Times New Roman" w:cs="Times New Roman"/>
          <w:kern w:val="0"/>
          <w:lang w:eastAsia="en-GB"/>
          <w14:ligatures w14:val="none"/>
        </w:rPr>
        <w:t>. 71(4):589–594.</w:t>
      </w:r>
    </w:p>
    <w:p w14:paraId="0D74E9DB" w14:textId="77777777" w:rsidR="00EB7C50" w:rsidRPr="00EB7C50" w:rsidRDefault="00EB7C50" w:rsidP="00EB7C50">
      <w:pPr>
        <w:pStyle w:val="ListParagraph"/>
        <w:numPr>
          <w:ilvl w:val="0"/>
          <w:numId w:val="3"/>
        </w:numPr>
        <w:spacing w:before="100" w:beforeAutospacing="1" w:after="100" w:afterAutospacing="1" w:line="276" w:lineRule="auto"/>
        <w:rPr>
          <w:rFonts w:ascii="Times New Roman" w:eastAsia="Times New Roman" w:hAnsi="Times New Roman" w:cs="Times New Roman"/>
          <w:kern w:val="0"/>
          <w:lang w:eastAsia="en-GB"/>
          <w14:ligatures w14:val="none"/>
        </w:rPr>
      </w:pPr>
      <w:r w:rsidRPr="00EB7C50">
        <w:rPr>
          <w:rFonts w:ascii="Times New Roman" w:eastAsia="Times New Roman" w:hAnsi="Times New Roman" w:cs="Times New Roman"/>
          <w:kern w:val="0"/>
          <w:lang w:eastAsia="en-GB"/>
          <w14:ligatures w14:val="none"/>
        </w:rPr>
        <w:t xml:space="preserve">Reddy PN, Rao KC, Prasad Y. 2017. </w:t>
      </w:r>
      <w:proofErr w:type="spellStart"/>
      <w:r w:rsidRPr="00EB7C50">
        <w:rPr>
          <w:rFonts w:ascii="Times New Roman" w:eastAsia="Times New Roman" w:hAnsi="Times New Roman" w:cs="Times New Roman"/>
          <w:kern w:val="0"/>
          <w:lang w:eastAsia="en-GB"/>
          <w14:ligatures w14:val="none"/>
        </w:rPr>
        <w:t>Bioefficacy</w:t>
      </w:r>
      <w:proofErr w:type="spellEnd"/>
      <w:r w:rsidRPr="00EB7C50">
        <w:rPr>
          <w:rFonts w:ascii="Times New Roman" w:eastAsia="Times New Roman" w:hAnsi="Times New Roman" w:cs="Times New Roman"/>
          <w:kern w:val="0"/>
          <w:lang w:eastAsia="en-GB"/>
          <w14:ligatures w14:val="none"/>
        </w:rPr>
        <w:t xml:space="preserve"> of copper fungicides against anthracnose of mango under laboratory conditions. </w:t>
      </w:r>
      <w:r w:rsidRPr="00B246FD">
        <w:rPr>
          <w:rFonts w:ascii="Times New Roman" w:eastAsia="Times New Roman" w:hAnsi="Times New Roman" w:cs="Times New Roman"/>
          <w:i/>
          <w:iCs/>
          <w:kern w:val="0"/>
          <w:lang w:eastAsia="en-GB"/>
          <w14:ligatures w14:val="none"/>
        </w:rPr>
        <w:t>Plant Disease Research</w:t>
      </w:r>
      <w:r w:rsidRPr="00EB7C50">
        <w:rPr>
          <w:rFonts w:ascii="Times New Roman" w:eastAsia="Times New Roman" w:hAnsi="Times New Roman" w:cs="Times New Roman"/>
          <w:kern w:val="0"/>
          <w:lang w:eastAsia="en-GB"/>
          <w14:ligatures w14:val="none"/>
        </w:rPr>
        <w:t>. 32(2):165–169.</w:t>
      </w:r>
    </w:p>
    <w:p w14:paraId="593C35B9" w14:textId="77777777" w:rsidR="00EB7C50" w:rsidRPr="00EB7C50" w:rsidRDefault="00EB7C50" w:rsidP="00EB7C50">
      <w:pPr>
        <w:pStyle w:val="ListParagraph"/>
        <w:numPr>
          <w:ilvl w:val="0"/>
          <w:numId w:val="3"/>
        </w:numPr>
        <w:spacing w:before="100" w:beforeAutospacing="1" w:after="100" w:afterAutospacing="1" w:line="276" w:lineRule="auto"/>
        <w:rPr>
          <w:rFonts w:ascii="Times New Roman" w:eastAsia="Times New Roman" w:hAnsi="Times New Roman" w:cs="Times New Roman"/>
          <w:kern w:val="0"/>
          <w:lang w:eastAsia="en-GB"/>
          <w14:ligatures w14:val="none"/>
        </w:rPr>
      </w:pPr>
      <w:r w:rsidRPr="00EB7C50">
        <w:rPr>
          <w:rFonts w:ascii="Times New Roman" w:eastAsia="Times New Roman" w:hAnsi="Times New Roman" w:cs="Times New Roman"/>
          <w:kern w:val="0"/>
          <w:lang w:eastAsia="en-GB"/>
          <w14:ligatures w14:val="none"/>
        </w:rPr>
        <w:t xml:space="preserve">Sharma P, Tripathi A. 2018. Antifungal activity of plant extracts against phytopathogenic fungi. </w:t>
      </w:r>
      <w:r w:rsidRPr="00B246FD">
        <w:rPr>
          <w:rFonts w:ascii="Times New Roman" w:eastAsia="Times New Roman" w:hAnsi="Times New Roman" w:cs="Times New Roman"/>
          <w:i/>
          <w:iCs/>
          <w:kern w:val="0"/>
          <w:lang w:eastAsia="en-GB"/>
          <w14:ligatures w14:val="none"/>
        </w:rPr>
        <w:t>Journal of Applied and Natural Science.</w:t>
      </w:r>
      <w:r w:rsidRPr="00EB7C50">
        <w:rPr>
          <w:rFonts w:ascii="Times New Roman" w:eastAsia="Times New Roman" w:hAnsi="Times New Roman" w:cs="Times New Roman"/>
          <w:kern w:val="0"/>
          <w:lang w:eastAsia="en-GB"/>
          <w14:ligatures w14:val="none"/>
        </w:rPr>
        <w:t xml:space="preserve"> 10(1):412–417.</w:t>
      </w:r>
    </w:p>
    <w:p w14:paraId="75E5D8C3" w14:textId="77777777" w:rsidR="00EB7C50" w:rsidRPr="00EB7C50" w:rsidRDefault="00EB7C50" w:rsidP="00EB7C50">
      <w:pPr>
        <w:pStyle w:val="ListParagraph"/>
        <w:numPr>
          <w:ilvl w:val="0"/>
          <w:numId w:val="3"/>
        </w:numPr>
        <w:spacing w:before="100" w:beforeAutospacing="1" w:after="100" w:afterAutospacing="1" w:line="276" w:lineRule="auto"/>
        <w:rPr>
          <w:rFonts w:ascii="Times New Roman" w:eastAsia="Times New Roman" w:hAnsi="Times New Roman" w:cs="Times New Roman"/>
          <w:kern w:val="0"/>
          <w:lang w:eastAsia="en-GB"/>
          <w14:ligatures w14:val="none"/>
        </w:rPr>
      </w:pPr>
      <w:r w:rsidRPr="00EB7C50">
        <w:rPr>
          <w:rFonts w:ascii="Times New Roman" w:eastAsia="Times New Roman" w:hAnsi="Times New Roman" w:cs="Times New Roman"/>
          <w:kern w:val="0"/>
          <w:lang w:eastAsia="en-GB"/>
          <w14:ligatures w14:val="none"/>
        </w:rPr>
        <w:t>Singh R, Yadav RK, Mishra VK. 2019. Management of mango anthracnose using fungicides and botanicals</w:t>
      </w:r>
      <w:r w:rsidRPr="00B246FD">
        <w:rPr>
          <w:rFonts w:ascii="Times New Roman" w:eastAsia="Times New Roman" w:hAnsi="Times New Roman" w:cs="Times New Roman"/>
          <w:i/>
          <w:iCs/>
          <w:kern w:val="0"/>
          <w:lang w:eastAsia="en-GB"/>
          <w14:ligatures w14:val="none"/>
        </w:rPr>
        <w:t>. Journal of Plant Disease Sciences</w:t>
      </w:r>
      <w:r w:rsidRPr="00EB7C50">
        <w:rPr>
          <w:rFonts w:ascii="Times New Roman" w:eastAsia="Times New Roman" w:hAnsi="Times New Roman" w:cs="Times New Roman"/>
          <w:kern w:val="0"/>
          <w:lang w:eastAsia="en-GB"/>
          <w14:ligatures w14:val="none"/>
        </w:rPr>
        <w:t>. 14(2):120–125.</w:t>
      </w:r>
    </w:p>
    <w:p w14:paraId="0DB9B9E3" w14:textId="77777777" w:rsidR="00EB7C50" w:rsidRPr="00EB7C50" w:rsidRDefault="00EB7C50" w:rsidP="00EB7C50">
      <w:pPr>
        <w:pStyle w:val="ListParagraph"/>
        <w:numPr>
          <w:ilvl w:val="0"/>
          <w:numId w:val="3"/>
        </w:numPr>
        <w:spacing w:before="100" w:beforeAutospacing="1" w:after="100" w:afterAutospacing="1" w:line="276" w:lineRule="auto"/>
        <w:rPr>
          <w:rFonts w:ascii="Times New Roman" w:eastAsia="Times New Roman" w:hAnsi="Times New Roman" w:cs="Times New Roman"/>
          <w:kern w:val="0"/>
          <w:lang w:eastAsia="en-GB"/>
          <w14:ligatures w14:val="none"/>
        </w:rPr>
      </w:pPr>
      <w:r w:rsidRPr="00EB7C50">
        <w:rPr>
          <w:rFonts w:ascii="Times New Roman" w:eastAsia="Times New Roman" w:hAnsi="Times New Roman" w:cs="Times New Roman"/>
          <w:kern w:val="0"/>
          <w:lang w:eastAsia="en-GB"/>
          <w14:ligatures w14:val="none"/>
        </w:rPr>
        <w:t xml:space="preserve">Verma RK, Gupta VK, Singh SP. 2019. Antifungal potential of garlic extracts against Colletotrichum species. </w:t>
      </w:r>
      <w:r w:rsidRPr="00B246FD">
        <w:rPr>
          <w:rFonts w:ascii="Times New Roman" w:eastAsia="Times New Roman" w:hAnsi="Times New Roman" w:cs="Times New Roman"/>
          <w:i/>
          <w:iCs/>
          <w:kern w:val="0"/>
          <w:lang w:eastAsia="en-GB"/>
          <w14:ligatures w14:val="none"/>
        </w:rPr>
        <w:t>International Journal of Current Microbiology and Applied Sciences.</w:t>
      </w:r>
      <w:r w:rsidRPr="00EB7C50">
        <w:rPr>
          <w:rFonts w:ascii="Times New Roman" w:eastAsia="Times New Roman" w:hAnsi="Times New Roman" w:cs="Times New Roman"/>
          <w:kern w:val="0"/>
          <w:lang w:eastAsia="en-GB"/>
          <w14:ligatures w14:val="none"/>
        </w:rPr>
        <w:t xml:space="preserve"> 8(6):1450–1456.</w:t>
      </w:r>
    </w:p>
    <w:sectPr w:rsidR="00EB7C50" w:rsidRPr="00EB7C50" w:rsidSect="00671EF7">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5978A" w14:textId="77777777" w:rsidR="00FA4422" w:rsidRDefault="00FA4422" w:rsidP="00D57F27">
      <w:r>
        <w:separator/>
      </w:r>
    </w:p>
  </w:endnote>
  <w:endnote w:type="continuationSeparator" w:id="0">
    <w:p w14:paraId="3B4C94C2" w14:textId="77777777" w:rsidR="00FA4422" w:rsidRDefault="00FA4422"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198B2" w14:textId="77777777" w:rsidR="00D57F27" w:rsidRDefault="00D57F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24BC4" w14:textId="77777777" w:rsidR="00D57F27" w:rsidRDefault="00D57F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A27E8" w14:textId="77777777" w:rsidR="00D57F27" w:rsidRDefault="00D57F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A8988" w14:textId="77777777" w:rsidR="00FA4422" w:rsidRDefault="00FA4422" w:rsidP="00D57F27">
      <w:r>
        <w:separator/>
      </w:r>
    </w:p>
  </w:footnote>
  <w:footnote w:type="continuationSeparator" w:id="0">
    <w:p w14:paraId="4317E844" w14:textId="77777777" w:rsidR="00FA4422" w:rsidRDefault="00FA4422"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18E61" w14:textId="2B2C85F2" w:rsidR="00D57F27" w:rsidRDefault="00D57F27">
    <w:pPr>
      <w:pStyle w:val="Header"/>
    </w:pPr>
    <w:r>
      <w:rPr>
        <w:noProof/>
      </w:rPr>
      <w:pict w14:anchorId="197150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39657" o:spid="_x0000_s2050" type="#_x0000_t136" style="position:absolute;margin-left:0;margin-top:0;width:620.7pt;height:117.0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3B1C3" w14:textId="765031B4" w:rsidR="00D57F27" w:rsidRDefault="00D57F27">
    <w:pPr>
      <w:pStyle w:val="Header"/>
    </w:pPr>
    <w:r>
      <w:rPr>
        <w:noProof/>
      </w:rPr>
      <w:pict w14:anchorId="70688F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39658" o:spid="_x0000_s2051" type="#_x0000_t136" style="position:absolute;margin-left:0;margin-top:0;width:620.7pt;height:117.0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DB984" w14:textId="5AC76B1B" w:rsidR="00D57F27" w:rsidRDefault="00D57F27">
    <w:pPr>
      <w:pStyle w:val="Header"/>
    </w:pPr>
    <w:r>
      <w:rPr>
        <w:noProof/>
      </w:rPr>
      <w:pict w14:anchorId="2AF6D7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39656" o:spid="_x0000_s2049" type="#_x0000_t136" style="position:absolute;margin-left:0;margin-top:0;width:620.7pt;height:117.0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00298"/>
    <w:multiLevelType w:val="hybridMultilevel"/>
    <w:tmpl w:val="82FA21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D5233B"/>
    <w:multiLevelType w:val="hybridMultilevel"/>
    <w:tmpl w:val="691E3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04718A"/>
    <w:multiLevelType w:val="multilevel"/>
    <w:tmpl w:val="00681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DA72B2"/>
    <w:multiLevelType w:val="hybridMultilevel"/>
    <w:tmpl w:val="D8E69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7060B4"/>
    <w:multiLevelType w:val="multilevel"/>
    <w:tmpl w:val="2A0C5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AB42C9"/>
    <w:multiLevelType w:val="multilevel"/>
    <w:tmpl w:val="D90A0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141777"/>
    <w:multiLevelType w:val="multilevel"/>
    <w:tmpl w:val="BB7C1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5"/>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66"/>
    <w:rsid w:val="00014C1B"/>
    <w:rsid w:val="000221E2"/>
    <w:rsid w:val="00031485"/>
    <w:rsid w:val="00084961"/>
    <w:rsid w:val="000A3E27"/>
    <w:rsid w:val="000D4530"/>
    <w:rsid w:val="000E261E"/>
    <w:rsid w:val="000F3D7E"/>
    <w:rsid w:val="00103F34"/>
    <w:rsid w:val="001063C7"/>
    <w:rsid w:val="00140850"/>
    <w:rsid w:val="0015767E"/>
    <w:rsid w:val="001606EA"/>
    <w:rsid w:val="001713DB"/>
    <w:rsid w:val="00174869"/>
    <w:rsid w:val="001974E7"/>
    <w:rsid w:val="001B006E"/>
    <w:rsid w:val="001E7A54"/>
    <w:rsid w:val="001F53A2"/>
    <w:rsid w:val="001F71E8"/>
    <w:rsid w:val="00203CDD"/>
    <w:rsid w:val="002702CC"/>
    <w:rsid w:val="00293786"/>
    <w:rsid w:val="002B4530"/>
    <w:rsid w:val="002B6ABE"/>
    <w:rsid w:val="002D61A2"/>
    <w:rsid w:val="002F0327"/>
    <w:rsid w:val="003243FF"/>
    <w:rsid w:val="00351D93"/>
    <w:rsid w:val="00372685"/>
    <w:rsid w:val="003760E9"/>
    <w:rsid w:val="00376A05"/>
    <w:rsid w:val="003A6203"/>
    <w:rsid w:val="003D1DB8"/>
    <w:rsid w:val="003D5F67"/>
    <w:rsid w:val="003F283C"/>
    <w:rsid w:val="0042537A"/>
    <w:rsid w:val="00430AE3"/>
    <w:rsid w:val="004324E7"/>
    <w:rsid w:val="0043270E"/>
    <w:rsid w:val="00467C49"/>
    <w:rsid w:val="004B5FD1"/>
    <w:rsid w:val="004C4C2C"/>
    <w:rsid w:val="005037EB"/>
    <w:rsid w:val="0051253B"/>
    <w:rsid w:val="0053268D"/>
    <w:rsid w:val="00532EC6"/>
    <w:rsid w:val="00586696"/>
    <w:rsid w:val="005D5ADE"/>
    <w:rsid w:val="005E0C90"/>
    <w:rsid w:val="006102EE"/>
    <w:rsid w:val="00620584"/>
    <w:rsid w:val="00620640"/>
    <w:rsid w:val="00642A9D"/>
    <w:rsid w:val="00671248"/>
    <w:rsid w:val="00671EF7"/>
    <w:rsid w:val="006D794E"/>
    <w:rsid w:val="006F28A8"/>
    <w:rsid w:val="007043EC"/>
    <w:rsid w:val="00707B46"/>
    <w:rsid w:val="0071291C"/>
    <w:rsid w:val="00730780"/>
    <w:rsid w:val="007349A2"/>
    <w:rsid w:val="00741DCA"/>
    <w:rsid w:val="007743EA"/>
    <w:rsid w:val="007B0B19"/>
    <w:rsid w:val="007B2394"/>
    <w:rsid w:val="007E2444"/>
    <w:rsid w:val="007E60D1"/>
    <w:rsid w:val="00802EDD"/>
    <w:rsid w:val="00821F95"/>
    <w:rsid w:val="008432FC"/>
    <w:rsid w:val="008626CD"/>
    <w:rsid w:val="008A0591"/>
    <w:rsid w:val="009018D4"/>
    <w:rsid w:val="00905CEC"/>
    <w:rsid w:val="00914E13"/>
    <w:rsid w:val="00945C72"/>
    <w:rsid w:val="00947D63"/>
    <w:rsid w:val="00976804"/>
    <w:rsid w:val="009A5D63"/>
    <w:rsid w:val="009A6690"/>
    <w:rsid w:val="009B15D5"/>
    <w:rsid w:val="009C5A7A"/>
    <w:rsid w:val="009C7F1B"/>
    <w:rsid w:val="00A14F27"/>
    <w:rsid w:val="00A3464B"/>
    <w:rsid w:val="00A5321B"/>
    <w:rsid w:val="00A839F0"/>
    <w:rsid w:val="00A97A3F"/>
    <w:rsid w:val="00AC65F3"/>
    <w:rsid w:val="00AE2685"/>
    <w:rsid w:val="00AE34D6"/>
    <w:rsid w:val="00B0578F"/>
    <w:rsid w:val="00B23493"/>
    <w:rsid w:val="00B246FD"/>
    <w:rsid w:val="00B25404"/>
    <w:rsid w:val="00B2755B"/>
    <w:rsid w:val="00B310BF"/>
    <w:rsid w:val="00B43759"/>
    <w:rsid w:val="00B76933"/>
    <w:rsid w:val="00B85128"/>
    <w:rsid w:val="00B9312C"/>
    <w:rsid w:val="00B964A9"/>
    <w:rsid w:val="00BA5730"/>
    <w:rsid w:val="00BB7CF0"/>
    <w:rsid w:val="00C00D73"/>
    <w:rsid w:val="00C07669"/>
    <w:rsid w:val="00C22659"/>
    <w:rsid w:val="00C2394D"/>
    <w:rsid w:val="00C25C05"/>
    <w:rsid w:val="00C46B74"/>
    <w:rsid w:val="00C601AB"/>
    <w:rsid w:val="00C746B6"/>
    <w:rsid w:val="00C83D66"/>
    <w:rsid w:val="00C908E4"/>
    <w:rsid w:val="00CB0846"/>
    <w:rsid w:val="00CF6731"/>
    <w:rsid w:val="00D02689"/>
    <w:rsid w:val="00D237F1"/>
    <w:rsid w:val="00D43428"/>
    <w:rsid w:val="00D57F27"/>
    <w:rsid w:val="00D63C2E"/>
    <w:rsid w:val="00D83EF0"/>
    <w:rsid w:val="00DC7679"/>
    <w:rsid w:val="00DE07E3"/>
    <w:rsid w:val="00DE2E2E"/>
    <w:rsid w:val="00DF2563"/>
    <w:rsid w:val="00E10774"/>
    <w:rsid w:val="00E1232B"/>
    <w:rsid w:val="00E24167"/>
    <w:rsid w:val="00E41708"/>
    <w:rsid w:val="00E51647"/>
    <w:rsid w:val="00E51E8D"/>
    <w:rsid w:val="00E52C01"/>
    <w:rsid w:val="00E63823"/>
    <w:rsid w:val="00E8746F"/>
    <w:rsid w:val="00EA2BA1"/>
    <w:rsid w:val="00EA3152"/>
    <w:rsid w:val="00EB27A8"/>
    <w:rsid w:val="00EB4179"/>
    <w:rsid w:val="00EB7C50"/>
    <w:rsid w:val="00ED1D05"/>
    <w:rsid w:val="00F17100"/>
    <w:rsid w:val="00F94866"/>
    <w:rsid w:val="00FA4422"/>
    <w:rsid w:val="00FD2CD5"/>
    <w:rsid w:val="00FD2F27"/>
    <w:rsid w:val="00FE1D7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E8FD69"/>
  <w15:chartTrackingRefBased/>
  <w15:docId w15:val="{17A273B0-1F8A-C24C-AFE4-B1076A5CD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1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606EA"/>
    <w:rPr>
      <w:rFonts w:ascii="Times New Roman" w:hAnsi="Times New Roman" w:cs="Times New Roman"/>
    </w:rPr>
  </w:style>
  <w:style w:type="paragraph" w:styleId="ListParagraph">
    <w:name w:val="List Paragraph"/>
    <w:basedOn w:val="Normal"/>
    <w:uiPriority w:val="34"/>
    <w:qFormat/>
    <w:rsid w:val="00AE2685"/>
    <w:pPr>
      <w:ind w:left="720"/>
      <w:contextualSpacing/>
    </w:pPr>
  </w:style>
  <w:style w:type="character" w:styleId="PlaceholderText">
    <w:name w:val="Placeholder Text"/>
    <w:basedOn w:val="DefaultParagraphFont"/>
    <w:uiPriority w:val="99"/>
    <w:semiHidden/>
    <w:rsid w:val="00C25C05"/>
    <w:rPr>
      <w:color w:val="666666"/>
    </w:rPr>
  </w:style>
  <w:style w:type="character" w:styleId="Hyperlink">
    <w:name w:val="Hyperlink"/>
    <w:basedOn w:val="DefaultParagraphFont"/>
    <w:uiPriority w:val="99"/>
    <w:unhideWhenUsed/>
    <w:rsid w:val="00741DCA"/>
    <w:rPr>
      <w:color w:val="0563C1" w:themeColor="hyperlink"/>
      <w:u w:val="single"/>
    </w:rPr>
  </w:style>
  <w:style w:type="character" w:styleId="UnresolvedMention">
    <w:name w:val="Unresolved Mention"/>
    <w:basedOn w:val="DefaultParagraphFont"/>
    <w:uiPriority w:val="99"/>
    <w:semiHidden/>
    <w:unhideWhenUsed/>
    <w:rsid w:val="00741DCA"/>
    <w:rPr>
      <w:color w:val="605E5C"/>
      <w:shd w:val="clear" w:color="auto" w:fill="E1DFDD"/>
    </w:rPr>
  </w:style>
  <w:style w:type="character" w:styleId="Emphasis">
    <w:name w:val="Emphasis"/>
    <w:basedOn w:val="DefaultParagraphFont"/>
    <w:uiPriority w:val="20"/>
    <w:qFormat/>
    <w:rsid w:val="00EB7C50"/>
    <w:rPr>
      <w:i/>
      <w:iCs/>
    </w:rPr>
  </w:style>
  <w:style w:type="paragraph" w:styleId="Header">
    <w:name w:val="header"/>
    <w:basedOn w:val="Normal"/>
    <w:link w:val="HeaderChar"/>
    <w:uiPriority w:val="99"/>
    <w:unhideWhenUsed/>
    <w:rsid w:val="00D57F27"/>
    <w:pPr>
      <w:tabs>
        <w:tab w:val="center" w:pos="4680"/>
        <w:tab w:val="right" w:pos="9360"/>
      </w:tabs>
    </w:pPr>
  </w:style>
  <w:style w:type="character" w:customStyle="1" w:styleId="HeaderChar">
    <w:name w:val="Header Char"/>
    <w:basedOn w:val="DefaultParagraphFont"/>
    <w:link w:val="Header"/>
    <w:uiPriority w:val="99"/>
    <w:rsid w:val="00D57F27"/>
  </w:style>
  <w:style w:type="paragraph" w:styleId="Footer">
    <w:name w:val="footer"/>
    <w:basedOn w:val="Normal"/>
    <w:link w:val="FooterChar"/>
    <w:uiPriority w:val="99"/>
    <w:unhideWhenUsed/>
    <w:rsid w:val="00D57F27"/>
    <w:pPr>
      <w:tabs>
        <w:tab w:val="center" w:pos="4680"/>
        <w:tab w:val="right" w:pos="9360"/>
      </w:tabs>
    </w:pPr>
  </w:style>
  <w:style w:type="character" w:customStyle="1" w:styleId="FooterChar">
    <w:name w:val="Footer Char"/>
    <w:basedOn w:val="DefaultParagraphFont"/>
    <w:link w:val="Footer"/>
    <w:uiPriority w:val="99"/>
    <w:rsid w:val="00D57F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61109">
      <w:bodyDiv w:val="1"/>
      <w:marLeft w:val="0"/>
      <w:marRight w:val="0"/>
      <w:marTop w:val="0"/>
      <w:marBottom w:val="0"/>
      <w:divBdr>
        <w:top w:val="none" w:sz="0" w:space="0" w:color="auto"/>
        <w:left w:val="none" w:sz="0" w:space="0" w:color="auto"/>
        <w:bottom w:val="none" w:sz="0" w:space="0" w:color="auto"/>
        <w:right w:val="none" w:sz="0" w:space="0" w:color="auto"/>
      </w:divBdr>
      <w:divsChild>
        <w:div w:id="2075466597">
          <w:marLeft w:val="0"/>
          <w:marRight w:val="0"/>
          <w:marTop w:val="0"/>
          <w:marBottom w:val="0"/>
          <w:divBdr>
            <w:top w:val="none" w:sz="0" w:space="0" w:color="auto"/>
            <w:left w:val="none" w:sz="0" w:space="0" w:color="auto"/>
            <w:bottom w:val="none" w:sz="0" w:space="0" w:color="auto"/>
            <w:right w:val="none" w:sz="0" w:space="0" w:color="auto"/>
          </w:divBdr>
          <w:divsChild>
            <w:div w:id="858735667">
              <w:marLeft w:val="0"/>
              <w:marRight w:val="0"/>
              <w:marTop w:val="0"/>
              <w:marBottom w:val="0"/>
              <w:divBdr>
                <w:top w:val="none" w:sz="0" w:space="0" w:color="auto"/>
                <w:left w:val="none" w:sz="0" w:space="0" w:color="auto"/>
                <w:bottom w:val="none" w:sz="0" w:space="0" w:color="auto"/>
                <w:right w:val="none" w:sz="0" w:space="0" w:color="auto"/>
              </w:divBdr>
              <w:divsChild>
                <w:div w:id="1225945821">
                  <w:marLeft w:val="0"/>
                  <w:marRight w:val="0"/>
                  <w:marTop w:val="0"/>
                  <w:marBottom w:val="0"/>
                  <w:divBdr>
                    <w:top w:val="none" w:sz="0" w:space="0" w:color="auto"/>
                    <w:left w:val="none" w:sz="0" w:space="0" w:color="auto"/>
                    <w:bottom w:val="none" w:sz="0" w:space="0" w:color="auto"/>
                    <w:right w:val="none" w:sz="0" w:space="0" w:color="auto"/>
                  </w:divBdr>
                  <w:divsChild>
                    <w:div w:id="8072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79761">
      <w:bodyDiv w:val="1"/>
      <w:marLeft w:val="0"/>
      <w:marRight w:val="0"/>
      <w:marTop w:val="0"/>
      <w:marBottom w:val="0"/>
      <w:divBdr>
        <w:top w:val="none" w:sz="0" w:space="0" w:color="auto"/>
        <w:left w:val="none" w:sz="0" w:space="0" w:color="auto"/>
        <w:bottom w:val="none" w:sz="0" w:space="0" w:color="auto"/>
        <w:right w:val="none" w:sz="0" w:space="0" w:color="auto"/>
      </w:divBdr>
    </w:div>
    <w:div w:id="221602276">
      <w:bodyDiv w:val="1"/>
      <w:marLeft w:val="0"/>
      <w:marRight w:val="0"/>
      <w:marTop w:val="0"/>
      <w:marBottom w:val="0"/>
      <w:divBdr>
        <w:top w:val="none" w:sz="0" w:space="0" w:color="auto"/>
        <w:left w:val="none" w:sz="0" w:space="0" w:color="auto"/>
        <w:bottom w:val="none" w:sz="0" w:space="0" w:color="auto"/>
        <w:right w:val="none" w:sz="0" w:space="0" w:color="auto"/>
      </w:divBdr>
      <w:divsChild>
        <w:div w:id="914097319">
          <w:marLeft w:val="0"/>
          <w:marRight w:val="0"/>
          <w:marTop w:val="0"/>
          <w:marBottom w:val="0"/>
          <w:divBdr>
            <w:top w:val="none" w:sz="0" w:space="0" w:color="auto"/>
            <w:left w:val="none" w:sz="0" w:space="0" w:color="auto"/>
            <w:bottom w:val="none" w:sz="0" w:space="0" w:color="auto"/>
            <w:right w:val="none" w:sz="0" w:space="0" w:color="auto"/>
          </w:divBdr>
          <w:divsChild>
            <w:div w:id="877471338">
              <w:marLeft w:val="0"/>
              <w:marRight w:val="0"/>
              <w:marTop w:val="0"/>
              <w:marBottom w:val="0"/>
              <w:divBdr>
                <w:top w:val="none" w:sz="0" w:space="0" w:color="auto"/>
                <w:left w:val="none" w:sz="0" w:space="0" w:color="auto"/>
                <w:bottom w:val="none" w:sz="0" w:space="0" w:color="auto"/>
                <w:right w:val="none" w:sz="0" w:space="0" w:color="auto"/>
              </w:divBdr>
              <w:divsChild>
                <w:div w:id="116347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800551">
      <w:bodyDiv w:val="1"/>
      <w:marLeft w:val="0"/>
      <w:marRight w:val="0"/>
      <w:marTop w:val="0"/>
      <w:marBottom w:val="0"/>
      <w:divBdr>
        <w:top w:val="none" w:sz="0" w:space="0" w:color="auto"/>
        <w:left w:val="none" w:sz="0" w:space="0" w:color="auto"/>
        <w:bottom w:val="none" w:sz="0" w:space="0" w:color="auto"/>
        <w:right w:val="none" w:sz="0" w:space="0" w:color="auto"/>
      </w:divBdr>
      <w:divsChild>
        <w:div w:id="126509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8757780">
      <w:bodyDiv w:val="1"/>
      <w:marLeft w:val="0"/>
      <w:marRight w:val="0"/>
      <w:marTop w:val="0"/>
      <w:marBottom w:val="0"/>
      <w:divBdr>
        <w:top w:val="none" w:sz="0" w:space="0" w:color="auto"/>
        <w:left w:val="none" w:sz="0" w:space="0" w:color="auto"/>
        <w:bottom w:val="none" w:sz="0" w:space="0" w:color="auto"/>
        <w:right w:val="none" w:sz="0" w:space="0" w:color="auto"/>
      </w:divBdr>
    </w:div>
    <w:div w:id="239147234">
      <w:bodyDiv w:val="1"/>
      <w:marLeft w:val="0"/>
      <w:marRight w:val="0"/>
      <w:marTop w:val="0"/>
      <w:marBottom w:val="0"/>
      <w:divBdr>
        <w:top w:val="none" w:sz="0" w:space="0" w:color="auto"/>
        <w:left w:val="none" w:sz="0" w:space="0" w:color="auto"/>
        <w:bottom w:val="none" w:sz="0" w:space="0" w:color="auto"/>
        <w:right w:val="none" w:sz="0" w:space="0" w:color="auto"/>
      </w:divBdr>
      <w:divsChild>
        <w:div w:id="616108265">
          <w:marLeft w:val="0"/>
          <w:marRight w:val="0"/>
          <w:marTop w:val="0"/>
          <w:marBottom w:val="0"/>
          <w:divBdr>
            <w:top w:val="none" w:sz="0" w:space="0" w:color="auto"/>
            <w:left w:val="none" w:sz="0" w:space="0" w:color="auto"/>
            <w:bottom w:val="none" w:sz="0" w:space="0" w:color="auto"/>
            <w:right w:val="none" w:sz="0" w:space="0" w:color="auto"/>
          </w:divBdr>
          <w:divsChild>
            <w:div w:id="591091469">
              <w:marLeft w:val="0"/>
              <w:marRight w:val="0"/>
              <w:marTop w:val="0"/>
              <w:marBottom w:val="0"/>
              <w:divBdr>
                <w:top w:val="none" w:sz="0" w:space="0" w:color="auto"/>
                <w:left w:val="none" w:sz="0" w:space="0" w:color="auto"/>
                <w:bottom w:val="none" w:sz="0" w:space="0" w:color="auto"/>
                <w:right w:val="none" w:sz="0" w:space="0" w:color="auto"/>
              </w:divBdr>
              <w:divsChild>
                <w:div w:id="47737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47863">
          <w:marLeft w:val="0"/>
          <w:marRight w:val="0"/>
          <w:marTop w:val="0"/>
          <w:marBottom w:val="0"/>
          <w:divBdr>
            <w:top w:val="none" w:sz="0" w:space="0" w:color="auto"/>
            <w:left w:val="none" w:sz="0" w:space="0" w:color="auto"/>
            <w:bottom w:val="none" w:sz="0" w:space="0" w:color="auto"/>
            <w:right w:val="none" w:sz="0" w:space="0" w:color="auto"/>
          </w:divBdr>
          <w:divsChild>
            <w:div w:id="965356563">
              <w:marLeft w:val="0"/>
              <w:marRight w:val="0"/>
              <w:marTop w:val="0"/>
              <w:marBottom w:val="0"/>
              <w:divBdr>
                <w:top w:val="none" w:sz="0" w:space="0" w:color="auto"/>
                <w:left w:val="none" w:sz="0" w:space="0" w:color="auto"/>
                <w:bottom w:val="none" w:sz="0" w:space="0" w:color="auto"/>
                <w:right w:val="none" w:sz="0" w:space="0" w:color="auto"/>
              </w:divBdr>
            </w:div>
            <w:div w:id="1044868523">
              <w:marLeft w:val="0"/>
              <w:marRight w:val="0"/>
              <w:marTop w:val="0"/>
              <w:marBottom w:val="0"/>
              <w:divBdr>
                <w:top w:val="none" w:sz="0" w:space="0" w:color="auto"/>
                <w:left w:val="none" w:sz="0" w:space="0" w:color="auto"/>
                <w:bottom w:val="none" w:sz="0" w:space="0" w:color="auto"/>
                <w:right w:val="none" w:sz="0" w:space="0" w:color="auto"/>
              </w:divBdr>
              <w:divsChild>
                <w:div w:id="181221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9881">
          <w:marLeft w:val="0"/>
          <w:marRight w:val="0"/>
          <w:marTop w:val="0"/>
          <w:marBottom w:val="0"/>
          <w:divBdr>
            <w:top w:val="none" w:sz="0" w:space="0" w:color="auto"/>
            <w:left w:val="none" w:sz="0" w:space="0" w:color="auto"/>
            <w:bottom w:val="none" w:sz="0" w:space="0" w:color="auto"/>
            <w:right w:val="none" w:sz="0" w:space="0" w:color="auto"/>
          </w:divBdr>
          <w:divsChild>
            <w:div w:id="895241658">
              <w:marLeft w:val="0"/>
              <w:marRight w:val="0"/>
              <w:marTop w:val="0"/>
              <w:marBottom w:val="0"/>
              <w:divBdr>
                <w:top w:val="none" w:sz="0" w:space="0" w:color="auto"/>
                <w:left w:val="none" w:sz="0" w:space="0" w:color="auto"/>
                <w:bottom w:val="none" w:sz="0" w:space="0" w:color="auto"/>
                <w:right w:val="none" w:sz="0" w:space="0" w:color="auto"/>
              </w:divBdr>
            </w:div>
            <w:div w:id="459305482">
              <w:marLeft w:val="0"/>
              <w:marRight w:val="0"/>
              <w:marTop w:val="0"/>
              <w:marBottom w:val="0"/>
              <w:divBdr>
                <w:top w:val="none" w:sz="0" w:space="0" w:color="auto"/>
                <w:left w:val="none" w:sz="0" w:space="0" w:color="auto"/>
                <w:bottom w:val="none" w:sz="0" w:space="0" w:color="auto"/>
                <w:right w:val="none" w:sz="0" w:space="0" w:color="auto"/>
              </w:divBdr>
              <w:divsChild>
                <w:div w:id="198982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354654">
          <w:marLeft w:val="0"/>
          <w:marRight w:val="0"/>
          <w:marTop w:val="0"/>
          <w:marBottom w:val="0"/>
          <w:divBdr>
            <w:top w:val="none" w:sz="0" w:space="0" w:color="auto"/>
            <w:left w:val="none" w:sz="0" w:space="0" w:color="auto"/>
            <w:bottom w:val="none" w:sz="0" w:space="0" w:color="auto"/>
            <w:right w:val="none" w:sz="0" w:space="0" w:color="auto"/>
          </w:divBdr>
          <w:divsChild>
            <w:div w:id="390077808">
              <w:marLeft w:val="0"/>
              <w:marRight w:val="0"/>
              <w:marTop w:val="0"/>
              <w:marBottom w:val="0"/>
              <w:divBdr>
                <w:top w:val="none" w:sz="0" w:space="0" w:color="auto"/>
                <w:left w:val="none" w:sz="0" w:space="0" w:color="auto"/>
                <w:bottom w:val="none" w:sz="0" w:space="0" w:color="auto"/>
                <w:right w:val="none" w:sz="0" w:space="0" w:color="auto"/>
              </w:divBdr>
            </w:div>
            <w:div w:id="1656838956">
              <w:marLeft w:val="0"/>
              <w:marRight w:val="0"/>
              <w:marTop w:val="0"/>
              <w:marBottom w:val="0"/>
              <w:divBdr>
                <w:top w:val="none" w:sz="0" w:space="0" w:color="auto"/>
                <w:left w:val="none" w:sz="0" w:space="0" w:color="auto"/>
                <w:bottom w:val="none" w:sz="0" w:space="0" w:color="auto"/>
                <w:right w:val="none" w:sz="0" w:space="0" w:color="auto"/>
              </w:divBdr>
              <w:divsChild>
                <w:div w:id="13696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544742">
      <w:bodyDiv w:val="1"/>
      <w:marLeft w:val="0"/>
      <w:marRight w:val="0"/>
      <w:marTop w:val="0"/>
      <w:marBottom w:val="0"/>
      <w:divBdr>
        <w:top w:val="none" w:sz="0" w:space="0" w:color="auto"/>
        <w:left w:val="none" w:sz="0" w:space="0" w:color="auto"/>
        <w:bottom w:val="none" w:sz="0" w:space="0" w:color="auto"/>
        <w:right w:val="none" w:sz="0" w:space="0" w:color="auto"/>
      </w:divBdr>
      <w:divsChild>
        <w:div w:id="1761487071">
          <w:marLeft w:val="0"/>
          <w:marRight w:val="0"/>
          <w:marTop w:val="0"/>
          <w:marBottom w:val="0"/>
          <w:divBdr>
            <w:top w:val="none" w:sz="0" w:space="0" w:color="auto"/>
            <w:left w:val="none" w:sz="0" w:space="0" w:color="auto"/>
            <w:bottom w:val="none" w:sz="0" w:space="0" w:color="auto"/>
            <w:right w:val="none" w:sz="0" w:space="0" w:color="auto"/>
          </w:divBdr>
          <w:divsChild>
            <w:div w:id="46883593">
              <w:marLeft w:val="0"/>
              <w:marRight w:val="0"/>
              <w:marTop w:val="0"/>
              <w:marBottom w:val="0"/>
              <w:divBdr>
                <w:top w:val="none" w:sz="0" w:space="0" w:color="auto"/>
                <w:left w:val="none" w:sz="0" w:space="0" w:color="auto"/>
                <w:bottom w:val="none" w:sz="0" w:space="0" w:color="auto"/>
                <w:right w:val="none" w:sz="0" w:space="0" w:color="auto"/>
              </w:divBdr>
              <w:divsChild>
                <w:div w:id="876085828">
                  <w:marLeft w:val="0"/>
                  <w:marRight w:val="0"/>
                  <w:marTop w:val="0"/>
                  <w:marBottom w:val="0"/>
                  <w:divBdr>
                    <w:top w:val="none" w:sz="0" w:space="0" w:color="auto"/>
                    <w:left w:val="none" w:sz="0" w:space="0" w:color="auto"/>
                    <w:bottom w:val="none" w:sz="0" w:space="0" w:color="auto"/>
                    <w:right w:val="none" w:sz="0" w:space="0" w:color="auto"/>
                  </w:divBdr>
                  <w:divsChild>
                    <w:div w:id="1481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685903">
      <w:bodyDiv w:val="1"/>
      <w:marLeft w:val="0"/>
      <w:marRight w:val="0"/>
      <w:marTop w:val="0"/>
      <w:marBottom w:val="0"/>
      <w:divBdr>
        <w:top w:val="none" w:sz="0" w:space="0" w:color="auto"/>
        <w:left w:val="none" w:sz="0" w:space="0" w:color="auto"/>
        <w:bottom w:val="none" w:sz="0" w:space="0" w:color="auto"/>
        <w:right w:val="none" w:sz="0" w:space="0" w:color="auto"/>
      </w:divBdr>
      <w:divsChild>
        <w:div w:id="732507793">
          <w:marLeft w:val="0"/>
          <w:marRight w:val="0"/>
          <w:marTop w:val="0"/>
          <w:marBottom w:val="0"/>
          <w:divBdr>
            <w:top w:val="none" w:sz="0" w:space="0" w:color="auto"/>
            <w:left w:val="none" w:sz="0" w:space="0" w:color="auto"/>
            <w:bottom w:val="none" w:sz="0" w:space="0" w:color="auto"/>
            <w:right w:val="none" w:sz="0" w:space="0" w:color="auto"/>
          </w:divBdr>
          <w:divsChild>
            <w:div w:id="283390303">
              <w:marLeft w:val="0"/>
              <w:marRight w:val="0"/>
              <w:marTop w:val="0"/>
              <w:marBottom w:val="0"/>
              <w:divBdr>
                <w:top w:val="none" w:sz="0" w:space="0" w:color="auto"/>
                <w:left w:val="none" w:sz="0" w:space="0" w:color="auto"/>
                <w:bottom w:val="none" w:sz="0" w:space="0" w:color="auto"/>
                <w:right w:val="none" w:sz="0" w:space="0" w:color="auto"/>
              </w:divBdr>
              <w:divsChild>
                <w:div w:id="179444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152323">
      <w:bodyDiv w:val="1"/>
      <w:marLeft w:val="0"/>
      <w:marRight w:val="0"/>
      <w:marTop w:val="0"/>
      <w:marBottom w:val="0"/>
      <w:divBdr>
        <w:top w:val="none" w:sz="0" w:space="0" w:color="auto"/>
        <w:left w:val="none" w:sz="0" w:space="0" w:color="auto"/>
        <w:bottom w:val="none" w:sz="0" w:space="0" w:color="auto"/>
        <w:right w:val="none" w:sz="0" w:space="0" w:color="auto"/>
      </w:divBdr>
    </w:div>
    <w:div w:id="481387212">
      <w:bodyDiv w:val="1"/>
      <w:marLeft w:val="0"/>
      <w:marRight w:val="0"/>
      <w:marTop w:val="0"/>
      <w:marBottom w:val="0"/>
      <w:divBdr>
        <w:top w:val="none" w:sz="0" w:space="0" w:color="auto"/>
        <w:left w:val="none" w:sz="0" w:space="0" w:color="auto"/>
        <w:bottom w:val="none" w:sz="0" w:space="0" w:color="auto"/>
        <w:right w:val="none" w:sz="0" w:space="0" w:color="auto"/>
      </w:divBdr>
    </w:div>
    <w:div w:id="496967994">
      <w:bodyDiv w:val="1"/>
      <w:marLeft w:val="0"/>
      <w:marRight w:val="0"/>
      <w:marTop w:val="0"/>
      <w:marBottom w:val="0"/>
      <w:divBdr>
        <w:top w:val="none" w:sz="0" w:space="0" w:color="auto"/>
        <w:left w:val="none" w:sz="0" w:space="0" w:color="auto"/>
        <w:bottom w:val="none" w:sz="0" w:space="0" w:color="auto"/>
        <w:right w:val="none" w:sz="0" w:space="0" w:color="auto"/>
      </w:divBdr>
    </w:div>
    <w:div w:id="597905214">
      <w:bodyDiv w:val="1"/>
      <w:marLeft w:val="0"/>
      <w:marRight w:val="0"/>
      <w:marTop w:val="0"/>
      <w:marBottom w:val="0"/>
      <w:divBdr>
        <w:top w:val="none" w:sz="0" w:space="0" w:color="auto"/>
        <w:left w:val="none" w:sz="0" w:space="0" w:color="auto"/>
        <w:bottom w:val="none" w:sz="0" w:space="0" w:color="auto"/>
        <w:right w:val="none" w:sz="0" w:space="0" w:color="auto"/>
      </w:divBdr>
    </w:div>
    <w:div w:id="645277415">
      <w:bodyDiv w:val="1"/>
      <w:marLeft w:val="0"/>
      <w:marRight w:val="0"/>
      <w:marTop w:val="0"/>
      <w:marBottom w:val="0"/>
      <w:divBdr>
        <w:top w:val="none" w:sz="0" w:space="0" w:color="auto"/>
        <w:left w:val="none" w:sz="0" w:space="0" w:color="auto"/>
        <w:bottom w:val="none" w:sz="0" w:space="0" w:color="auto"/>
        <w:right w:val="none" w:sz="0" w:space="0" w:color="auto"/>
      </w:divBdr>
    </w:div>
    <w:div w:id="714231364">
      <w:bodyDiv w:val="1"/>
      <w:marLeft w:val="0"/>
      <w:marRight w:val="0"/>
      <w:marTop w:val="0"/>
      <w:marBottom w:val="0"/>
      <w:divBdr>
        <w:top w:val="none" w:sz="0" w:space="0" w:color="auto"/>
        <w:left w:val="none" w:sz="0" w:space="0" w:color="auto"/>
        <w:bottom w:val="none" w:sz="0" w:space="0" w:color="auto"/>
        <w:right w:val="none" w:sz="0" w:space="0" w:color="auto"/>
      </w:divBdr>
      <w:divsChild>
        <w:div w:id="776296782">
          <w:marLeft w:val="0"/>
          <w:marRight w:val="0"/>
          <w:marTop w:val="0"/>
          <w:marBottom w:val="0"/>
          <w:divBdr>
            <w:top w:val="none" w:sz="0" w:space="0" w:color="auto"/>
            <w:left w:val="none" w:sz="0" w:space="0" w:color="auto"/>
            <w:bottom w:val="none" w:sz="0" w:space="0" w:color="auto"/>
            <w:right w:val="none" w:sz="0" w:space="0" w:color="auto"/>
          </w:divBdr>
          <w:divsChild>
            <w:div w:id="762609230">
              <w:marLeft w:val="0"/>
              <w:marRight w:val="0"/>
              <w:marTop w:val="0"/>
              <w:marBottom w:val="0"/>
              <w:divBdr>
                <w:top w:val="none" w:sz="0" w:space="0" w:color="auto"/>
                <w:left w:val="none" w:sz="0" w:space="0" w:color="auto"/>
                <w:bottom w:val="none" w:sz="0" w:space="0" w:color="auto"/>
                <w:right w:val="none" w:sz="0" w:space="0" w:color="auto"/>
              </w:divBdr>
              <w:divsChild>
                <w:div w:id="207716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734431">
      <w:bodyDiv w:val="1"/>
      <w:marLeft w:val="0"/>
      <w:marRight w:val="0"/>
      <w:marTop w:val="0"/>
      <w:marBottom w:val="0"/>
      <w:divBdr>
        <w:top w:val="none" w:sz="0" w:space="0" w:color="auto"/>
        <w:left w:val="none" w:sz="0" w:space="0" w:color="auto"/>
        <w:bottom w:val="none" w:sz="0" w:space="0" w:color="auto"/>
        <w:right w:val="none" w:sz="0" w:space="0" w:color="auto"/>
      </w:divBdr>
      <w:divsChild>
        <w:div w:id="985167051">
          <w:marLeft w:val="0"/>
          <w:marRight w:val="0"/>
          <w:marTop w:val="0"/>
          <w:marBottom w:val="0"/>
          <w:divBdr>
            <w:top w:val="none" w:sz="0" w:space="0" w:color="auto"/>
            <w:left w:val="none" w:sz="0" w:space="0" w:color="auto"/>
            <w:bottom w:val="none" w:sz="0" w:space="0" w:color="auto"/>
            <w:right w:val="none" w:sz="0" w:space="0" w:color="auto"/>
          </w:divBdr>
          <w:divsChild>
            <w:div w:id="2025669084">
              <w:marLeft w:val="0"/>
              <w:marRight w:val="0"/>
              <w:marTop w:val="0"/>
              <w:marBottom w:val="0"/>
              <w:divBdr>
                <w:top w:val="none" w:sz="0" w:space="0" w:color="auto"/>
                <w:left w:val="none" w:sz="0" w:space="0" w:color="auto"/>
                <w:bottom w:val="none" w:sz="0" w:space="0" w:color="auto"/>
                <w:right w:val="none" w:sz="0" w:space="0" w:color="auto"/>
              </w:divBdr>
              <w:divsChild>
                <w:div w:id="101919847">
                  <w:marLeft w:val="0"/>
                  <w:marRight w:val="0"/>
                  <w:marTop w:val="0"/>
                  <w:marBottom w:val="0"/>
                  <w:divBdr>
                    <w:top w:val="none" w:sz="0" w:space="0" w:color="auto"/>
                    <w:left w:val="none" w:sz="0" w:space="0" w:color="auto"/>
                    <w:bottom w:val="none" w:sz="0" w:space="0" w:color="auto"/>
                    <w:right w:val="none" w:sz="0" w:space="0" w:color="auto"/>
                  </w:divBdr>
                  <w:divsChild>
                    <w:div w:id="139770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788353">
      <w:bodyDiv w:val="1"/>
      <w:marLeft w:val="0"/>
      <w:marRight w:val="0"/>
      <w:marTop w:val="0"/>
      <w:marBottom w:val="0"/>
      <w:divBdr>
        <w:top w:val="none" w:sz="0" w:space="0" w:color="auto"/>
        <w:left w:val="none" w:sz="0" w:space="0" w:color="auto"/>
        <w:bottom w:val="none" w:sz="0" w:space="0" w:color="auto"/>
        <w:right w:val="none" w:sz="0" w:space="0" w:color="auto"/>
      </w:divBdr>
      <w:divsChild>
        <w:div w:id="1991784867">
          <w:marLeft w:val="0"/>
          <w:marRight w:val="0"/>
          <w:marTop w:val="0"/>
          <w:marBottom w:val="0"/>
          <w:divBdr>
            <w:top w:val="none" w:sz="0" w:space="0" w:color="auto"/>
            <w:left w:val="none" w:sz="0" w:space="0" w:color="auto"/>
            <w:bottom w:val="none" w:sz="0" w:space="0" w:color="auto"/>
            <w:right w:val="none" w:sz="0" w:space="0" w:color="auto"/>
          </w:divBdr>
          <w:divsChild>
            <w:div w:id="894439211">
              <w:marLeft w:val="0"/>
              <w:marRight w:val="0"/>
              <w:marTop w:val="0"/>
              <w:marBottom w:val="0"/>
              <w:divBdr>
                <w:top w:val="none" w:sz="0" w:space="0" w:color="auto"/>
                <w:left w:val="none" w:sz="0" w:space="0" w:color="auto"/>
                <w:bottom w:val="none" w:sz="0" w:space="0" w:color="auto"/>
                <w:right w:val="none" w:sz="0" w:space="0" w:color="auto"/>
              </w:divBdr>
              <w:divsChild>
                <w:div w:id="143578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261409">
      <w:bodyDiv w:val="1"/>
      <w:marLeft w:val="0"/>
      <w:marRight w:val="0"/>
      <w:marTop w:val="0"/>
      <w:marBottom w:val="0"/>
      <w:divBdr>
        <w:top w:val="none" w:sz="0" w:space="0" w:color="auto"/>
        <w:left w:val="none" w:sz="0" w:space="0" w:color="auto"/>
        <w:bottom w:val="none" w:sz="0" w:space="0" w:color="auto"/>
        <w:right w:val="none" w:sz="0" w:space="0" w:color="auto"/>
      </w:divBdr>
      <w:divsChild>
        <w:div w:id="199517836">
          <w:marLeft w:val="0"/>
          <w:marRight w:val="0"/>
          <w:marTop w:val="0"/>
          <w:marBottom w:val="0"/>
          <w:divBdr>
            <w:top w:val="none" w:sz="0" w:space="0" w:color="auto"/>
            <w:left w:val="none" w:sz="0" w:space="0" w:color="auto"/>
            <w:bottom w:val="none" w:sz="0" w:space="0" w:color="auto"/>
            <w:right w:val="none" w:sz="0" w:space="0" w:color="auto"/>
          </w:divBdr>
          <w:divsChild>
            <w:div w:id="800657363">
              <w:marLeft w:val="0"/>
              <w:marRight w:val="0"/>
              <w:marTop w:val="0"/>
              <w:marBottom w:val="0"/>
              <w:divBdr>
                <w:top w:val="none" w:sz="0" w:space="0" w:color="auto"/>
                <w:left w:val="none" w:sz="0" w:space="0" w:color="auto"/>
                <w:bottom w:val="none" w:sz="0" w:space="0" w:color="auto"/>
                <w:right w:val="none" w:sz="0" w:space="0" w:color="auto"/>
              </w:divBdr>
              <w:divsChild>
                <w:div w:id="172610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072015">
      <w:bodyDiv w:val="1"/>
      <w:marLeft w:val="0"/>
      <w:marRight w:val="0"/>
      <w:marTop w:val="0"/>
      <w:marBottom w:val="0"/>
      <w:divBdr>
        <w:top w:val="none" w:sz="0" w:space="0" w:color="auto"/>
        <w:left w:val="none" w:sz="0" w:space="0" w:color="auto"/>
        <w:bottom w:val="none" w:sz="0" w:space="0" w:color="auto"/>
        <w:right w:val="none" w:sz="0" w:space="0" w:color="auto"/>
      </w:divBdr>
    </w:div>
    <w:div w:id="847213373">
      <w:bodyDiv w:val="1"/>
      <w:marLeft w:val="0"/>
      <w:marRight w:val="0"/>
      <w:marTop w:val="0"/>
      <w:marBottom w:val="0"/>
      <w:divBdr>
        <w:top w:val="none" w:sz="0" w:space="0" w:color="auto"/>
        <w:left w:val="none" w:sz="0" w:space="0" w:color="auto"/>
        <w:bottom w:val="none" w:sz="0" w:space="0" w:color="auto"/>
        <w:right w:val="none" w:sz="0" w:space="0" w:color="auto"/>
      </w:divBdr>
    </w:div>
    <w:div w:id="863900894">
      <w:bodyDiv w:val="1"/>
      <w:marLeft w:val="0"/>
      <w:marRight w:val="0"/>
      <w:marTop w:val="0"/>
      <w:marBottom w:val="0"/>
      <w:divBdr>
        <w:top w:val="none" w:sz="0" w:space="0" w:color="auto"/>
        <w:left w:val="none" w:sz="0" w:space="0" w:color="auto"/>
        <w:bottom w:val="none" w:sz="0" w:space="0" w:color="auto"/>
        <w:right w:val="none" w:sz="0" w:space="0" w:color="auto"/>
      </w:divBdr>
    </w:div>
    <w:div w:id="880480848">
      <w:bodyDiv w:val="1"/>
      <w:marLeft w:val="0"/>
      <w:marRight w:val="0"/>
      <w:marTop w:val="0"/>
      <w:marBottom w:val="0"/>
      <w:divBdr>
        <w:top w:val="none" w:sz="0" w:space="0" w:color="auto"/>
        <w:left w:val="none" w:sz="0" w:space="0" w:color="auto"/>
        <w:bottom w:val="none" w:sz="0" w:space="0" w:color="auto"/>
        <w:right w:val="none" w:sz="0" w:space="0" w:color="auto"/>
      </w:divBdr>
      <w:divsChild>
        <w:div w:id="583882065">
          <w:marLeft w:val="0"/>
          <w:marRight w:val="0"/>
          <w:marTop w:val="0"/>
          <w:marBottom w:val="0"/>
          <w:divBdr>
            <w:top w:val="none" w:sz="0" w:space="0" w:color="auto"/>
            <w:left w:val="none" w:sz="0" w:space="0" w:color="auto"/>
            <w:bottom w:val="none" w:sz="0" w:space="0" w:color="auto"/>
            <w:right w:val="none" w:sz="0" w:space="0" w:color="auto"/>
          </w:divBdr>
          <w:divsChild>
            <w:div w:id="445740441">
              <w:marLeft w:val="0"/>
              <w:marRight w:val="0"/>
              <w:marTop w:val="0"/>
              <w:marBottom w:val="0"/>
              <w:divBdr>
                <w:top w:val="none" w:sz="0" w:space="0" w:color="auto"/>
                <w:left w:val="none" w:sz="0" w:space="0" w:color="auto"/>
                <w:bottom w:val="none" w:sz="0" w:space="0" w:color="auto"/>
                <w:right w:val="none" w:sz="0" w:space="0" w:color="auto"/>
              </w:divBdr>
              <w:divsChild>
                <w:div w:id="1775173763">
                  <w:marLeft w:val="0"/>
                  <w:marRight w:val="0"/>
                  <w:marTop w:val="0"/>
                  <w:marBottom w:val="0"/>
                  <w:divBdr>
                    <w:top w:val="none" w:sz="0" w:space="0" w:color="auto"/>
                    <w:left w:val="none" w:sz="0" w:space="0" w:color="auto"/>
                    <w:bottom w:val="none" w:sz="0" w:space="0" w:color="auto"/>
                    <w:right w:val="none" w:sz="0" w:space="0" w:color="auto"/>
                  </w:divBdr>
                  <w:divsChild>
                    <w:div w:id="206753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789597">
      <w:bodyDiv w:val="1"/>
      <w:marLeft w:val="0"/>
      <w:marRight w:val="0"/>
      <w:marTop w:val="0"/>
      <w:marBottom w:val="0"/>
      <w:divBdr>
        <w:top w:val="none" w:sz="0" w:space="0" w:color="auto"/>
        <w:left w:val="none" w:sz="0" w:space="0" w:color="auto"/>
        <w:bottom w:val="none" w:sz="0" w:space="0" w:color="auto"/>
        <w:right w:val="none" w:sz="0" w:space="0" w:color="auto"/>
      </w:divBdr>
    </w:div>
    <w:div w:id="919019774">
      <w:bodyDiv w:val="1"/>
      <w:marLeft w:val="0"/>
      <w:marRight w:val="0"/>
      <w:marTop w:val="0"/>
      <w:marBottom w:val="0"/>
      <w:divBdr>
        <w:top w:val="none" w:sz="0" w:space="0" w:color="auto"/>
        <w:left w:val="none" w:sz="0" w:space="0" w:color="auto"/>
        <w:bottom w:val="none" w:sz="0" w:space="0" w:color="auto"/>
        <w:right w:val="none" w:sz="0" w:space="0" w:color="auto"/>
      </w:divBdr>
      <w:divsChild>
        <w:div w:id="1178152067">
          <w:marLeft w:val="0"/>
          <w:marRight w:val="0"/>
          <w:marTop w:val="0"/>
          <w:marBottom w:val="0"/>
          <w:divBdr>
            <w:top w:val="none" w:sz="0" w:space="0" w:color="auto"/>
            <w:left w:val="none" w:sz="0" w:space="0" w:color="auto"/>
            <w:bottom w:val="none" w:sz="0" w:space="0" w:color="auto"/>
            <w:right w:val="none" w:sz="0" w:space="0" w:color="auto"/>
          </w:divBdr>
          <w:divsChild>
            <w:div w:id="421099603">
              <w:marLeft w:val="0"/>
              <w:marRight w:val="0"/>
              <w:marTop w:val="0"/>
              <w:marBottom w:val="0"/>
              <w:divBdr>
                <w:top w:val="none" w:sz="0" w:space="0" w:color="auto"/>
                <w:left w:val="none" w:sz="0" w:space="0" w:color="auto"/>
                <w:bottom w:val="none" w:sz="0" w:space="0" w:color="auto"/>
                <w:right w:val="none" w:sz="0" w:space="0" w:color="auto"/>
              </w:divBdr>
              <w:divsChild>
                <w:div w:id="601644776">
                  <w:marLeft w:val="0"/>
                  <w:marRight w:val="0"/>
                  <w:marTop w:val="0"/>
                  <w:marBottom w:val="0"/>
                  <w:divBdr>
                    <w:top w:val="none" w:sz="0" w:space="0" w:color="auto"/>
                    <w:left w:val="none" w:sz="0" w:space="0" w:color="auto"/>
                    <w:bottom w:val="none" w:sz="0" w:space="0" w:color="auto"/>
                    <w:right w:val="none" w:sz="0" w:space="0" w:color="auto"/>
                  </w:divBdr>
                  <w:divsChild>
                    <w:div w:id="154902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778287">
      <w:bodyDiv w:val="1"/>
      <w:marLeft w:val="0"/>
      <w:marRight w:val="0"/>
      <w:marTop w:val="0"/>
      <w:marBottom w:val="0"/>
      <w:divBdr>
        <w:top w:val="none" w:sz="0" w:space="0" w:color="auto"/>
        <w:left w:val="none" w:sz="0" w:space="0" w:color="auto"/>
        <w:bottom w:val="none" w:sz="0" w:space="0" w:color="auto"/>
        <w:right w:val="none" w:sz="0" w:space="0" w:color="auto"/>
      </w:divBdr>
    </w:div>
    <w:div w:id="1035272502">
      <w:bodyDiv w:val="1"/>
      <w:marLeft w:val="0"/>
      <w:marRight w:val="0"/>
      <w:marTop w:val="0"/>
      <w:marBottom w:val="0"/>
      <w:divBdr>
        <w:top w:val="none" w:sz="0" w:space="0" w:color="auto"/>
        <w:left w:val="none" w:sz="0" w:space="0" w:color="auto"/>
        <w:bottom w:val="none" w:sz="0" w:space="0" w:color="auto"/>
        <w:right w:val="none" w:sz="0" w:space="0" w:color="auto"/>
      </w:divBdr>
    </w:div>
    <w:div w:id="1086003111">
      <w:bodyDiv w:val="1"/>
      <w:marLeft w:val="0"/>
      <w:marRight w:val="0"/>
      <w:marTop w:val="0"/>
      <w:marBottom w:val="0"/>
      <w:divBdr>
        <w:top w:val="none" w:sz="0" w:space="0" w:color="auto"/>
        <w:left w:val="none" w:sz="0" w:space="0" w:color="auto"/>
        <w:bottom w:val="none" w:sz="0" w:space="0" w:color="auto"/>
        <w:right w:val="none" w:sz="0" w:space="0" w:color="auto"/>
      </w:divBdr>
    </w:div>
    <w:div w:id="1116675387">
      <w:bodyDiv w:val="1"/>
      <w:marLeft w:val="0"/>
      <w:marRight w:val="0"/>
      <w:marTop w:val="0"/>
      <w:marBottom w:val="0"/>
      <w:divBdr>
        <w:top w:val="none" w:sz="0" w:space="0" w:color="auto"/>
        <w:left w:val="none" w:sz="0" w:space="0" w:color="auto"/>
        <w:bottom w:val="none" w:sz="0" w:space="0" w:color="auto"/>
        <w:right w:val="none" w:sz="0" w:space="0" w:color="auto"/>
      </w:divBdr>
      <w:divsChild>
        <w:div w:id="1773276459">
          <w:marLeft w:val="0"/>
          <w:marRight w:val="0"/>
          <w:marTop w:val="0"/>
          <w:marBottom w:val="0"/>
          <w:divBdr>
            <w:top w:val="none" w:sz="0" w:space="0" w:color="auto"/>
            <w:left w:val="none" w:sz="0" w:space="0" w:color="auto"/>
            <w:bottom w:val="none" w:sz="0" w:space="0" w:color="auto"/>
            <w:right w:val="none" w:sz="0" w:space="0" w:color="auto"/>
          </w:divBdr>
          <w:divsChild>
            <w:div w:id="275791195">
              <w:marLeft w:val="0"/>
              <w:marRight w:val="0"/>
              <w:marTop w:val="0"/>
              <w:marBottom w:val="0"/>
              <w:divBdr>
                <w:top w:val="none" w:sz="0" w:space="0" w:color="auto"/>
                <w:left w:val="none" w:sz="0" w:space="0" w:color="auto"/>
                <w:bottom w:val="none" w:sz="0" w:space="0" w:color="auto"/>
                <w:right w:val="none" w:sz="0" w:space="0" w:color="auto"/>
              </w:divBdr>
              <w:divsChild>
                <w:div w:id="70976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022376">
      <w:bodyDiv w:val="1"/>
      <w:marLeft w:val="0"/>
      <w:marRight w:val="0"/>
      <w:marTop w:val="0"/>
      <w:marBottom w:val="0"/>
      <w:divBdr>
        <w:top w:val="none" w:sz="0" w:space="0" w:color="auto"/>
        <w:left w:val="none" w:sz="0" w:space="0" w:color="auto"/>
        <w:bottom w:val="none" w:sz="0" w:space="0" w:color="auto"/>
        <w:right w:val="none" w:sz="0" w:space="0" w:color="auto"/>
      </w:divBdr>
      <w:divsChild>
        <w:div w:id="145559728">
          <w:marLeft w:val="0"/>
          <w:marRight w:val="0"/>
          <w:marTop w:val="0"/>
          <w:marBottom w:val="0"/>
          <w:divBdr>
            <w:top w:val="none" w:sz="0" w:space="0" w:color="auto"/>
            <w:left w:val="none" w:sz="0" w:space="0" w:color="auto"/>
            <w:bottom w:val="none" w:sz="0" w:space="0" w:color="auto"/>
            <w:right w:val="none" w:sz="0" w:space="0" w:color="auto"/>
          </w:divBdr>
          <w:divsChild>
            <w:div w:id="1485706201">
              <w:marLeft w:val="0"/>
              <w:marRight w:val="0"/>
              <w:marTop w:val="0"/>
              <w:marBottom w:val="0"/>
              <w:divBdr>
                <w:top w:val="none" w:sz="0" w:space="0" w:color="auto"/>
                <w:left w:val="none" w:sz="0" w:space="0" w:color="auto"/>
                <w:bottom w:val="none" w:sz="0" w:space="0" w:color="auto"/>
                <w:right w:val="none" w:sz="0" w:space="0" w:color="auto"/>
              </w:divBdr>
              <w:divsChild>
                <w:div w:id="123589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077310">
      <w:bodyDiv w:val="1"/>
      <w:marLeft w:val="0"/>
      <w:marRight w:val="0"/>
      <w:marTop w:val="0"/>
      <w:marBottom w:val="0"/>
      <w:divBdr>
        <w:top w:val="none" w:sz="0" w:space="0" w:color="auto"/>
        <w:left w:val="none" w:sz="0" w:space="0" w:color="auto"/>
        <w:bottom w:val="none" w:sz="0" w:space="0" w:color="auto"/>
        <w:right w:val="none" w:sz="0" w:space="0" w:color="auto"/>
      </w:divBdr>
      <w:divsChild>
        <w:div w:id="1693454088">
          <w:marLeft w:val="0"/>
          <w:marRight w:val="0"/>
          <w:marTop w:val="0"/>
          <w:marBottom w:val="0"/>
          <w:divBdr>
            <w:top w:val="none" w:sz="0" w:space="0" w:color="auto"/>
            <w:left w:val="none" w:sz="0" w:space="0" w:color="auto"/>
            <w:bottom w:val="none" w:sz="0" w:space="0" w:color="auto"/>
            <w:right w:val="none" w:sz="0" w:space="0" w:color="auto"/>
          </w:divBdr>
          <w:divsChild>
            <w:div w:id="763262390">
              <w:marLeft w:val="0"/>
              <w:marRight w:val="0"/>
              <w:marTop w:val="0"/>
              <w:marBottom w:val="0"/>
              <w:divBdr>
                <w:top w:val="none" w:sz="0" w:space="0" w:color="auto"/>
                <w:left w:val="none" w:sz="0" w:space="0" w:color="auto"/>
                <w:bottom w:val="none" w:sz="0" w:space="0" w:color="auto"/>
                <w:right w:val="none" w:sz="0" w:space="0" w:color="auto"/>
              </w:divBdr>
              <w:divsChild>
                <w:div w:id="58885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36649">
      <w:bodyDiv w:val="1"/>
      <w:marLeft w:val="0"/>
      <w:marRight w:val="0"/>
      <w:marTop w:val="0"/>
      <w:marBottom w:val="0"/>
      <w:divBdr>
        <w:top w:val="none" w:sz="0" w:space="0" w:color="auto"/>
        <w:left w:val="none" w:sz="0" w:space="0" w:color="auto"/>
        <w:bottom w:val="none" w:sz="0" w:space="0" w:color="auto"/>
        <w:right w:val="none" w:sz="0" w:space="0" w:color="auto"/>
      </w:divBdr>
      <w:divsChild>
        <w:div w:id="521869559">
          <w:marLeft w:val="0"/>
          <w:marRight w:val="0"/>
          <w:marTop w:val="0"/>
          <w:marBottom w:val="0"/>
          <w:divBdr>
            <w:top w:val="none" w:sz="0" w:space="0" w:color="auto"/>
            <w:left w:val="none" w:sz="0" w:space="0" w:color="auto"/>
            <w:bottom w:val="none" w:sz="0" w:space="0" w:color="auto"/>
            <w:right w:val="none" w:sz="0" w:space="0" w:color="auto"/>
          </w:divBdr>
          <w:divsChild>
            <w:div w:id="532883803">
              <w:marLeft w:val="0"/>
              <w:marRight w:val="0"/>
              <w:marTop w:val="0"/>
              <w:marBottom w:val="0"/>
              <w:divBdr>
                <w:top w:val="none" w:sz="0" w:space="0" w:color="auto"/>
                <w:left w:val="none" w:sz="0" w:space="0" w:color="auto"/>
                <w:bottom w:val="none" w:sz="0" w:space="0" w:color="auto"/>
                <w:right w:val="none" w:sz="0" w:space="0" w:color="auto"/>
              </w:divBdr>
              <w:divsChild>
                <w:div w:id="192715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061561">
      <w:bodyDiv w:val="1"/>
      <w:marLeft w:val="0"/>
      <w:marRight w:val="0"/>
      <w:marTop w:val="0"/>
      <w:marBottom w:val="0"/>
      <w:divBdr>
        <w:top w:val="none" w:sz="0" w:space="0" w:color="auto"/>
        <w:left w:val="none" w:sz="0" w:space="0" w:color="auto"/>
        <w:bottom w:val="none" w:sz="0" w:space="0" w:color="auto"/>
        <w:right w:val="none" w:sz="0" w:space="0" w:color="auto"/>
      </w:divBdr>
    </w:div>
    <w:div w:id="1231697748">
      <w:bodyDiv w:val="1"/>
      <w:marLeft w:val="0"/>
      <w:marRight w:val="0"/>
      <w:marTop w:val="0"/>
      <w:marBottom w:val="0"/>
      <w:divBdr>
        <w:top w:val="none" w:sz="0" w:space="0" w:color="auto"/>
        <w:left w:val="none" w:sz="0" w:space="0" w:color="auto"/>
        <w:bottom w:val="none" w:sz="0" w:space="0" w:color="auto"/>
        <w:right w:val="none" w:sz="0" w:space="0" w:color="auto"/>
      </w:divBdr>
    </w:div>
    <w:div w:id="1268003187">
      <w:bodyDiv w:val="1"/>
      <w:marLeft w:val="0"/>
      <w:marRight w:val="0"/>
      <w:marTop w:val="0"/>
      <w:marBottom w:val="0"/>
      <w:divBdr>
        <w:top w:val="none" w:sz="0" w:space="0" w:color="auto"/>
        <w:left w:val="none" w:sz="0" w:space="0" w:color="auto"/>
        <w:bottom w:val="none" w:sz="0" w:space="0" w:color="auto"/>
        <w:right w:val="none" w:sz="0" w:space="0" w:color="auto"/>
      </w:divBdr>
    </w:div>
    <w:div w:id="1273126275">
      <w:bodyDiv w:val="1"/>
      <w:marLeft w:val="0"/>
      <w:marRight w:val="0"/>
      <w:marTop w:val="0"/>
      <w:marBottom w:val="0"/>
      <w:divBdr>
        <w:top w:val="none" w:sz="0" w:space="0" w:color="auto"/>
        <w:left w:val="none" w:sz="0" w:space="0" w:color="auto"/>
        <w:bottom w:val="none" w:sz="0" w:space="0" w:color="auto"/>
        <w:right w:val="none" w:sz="0" w:space="0" w:color="auto"/>
      </w:divBdr>
    </w:div>
    <w:div w:id="1283994882">
      <w:bodyDiv w:val="1"/>
      <w:marLeft w:val="0"/>
      <w:marRight w:val="0"/>
      <w:marTop w:val="0"/>
      <w:marBottom w:val="0"/>
      <w:divBdr>
        <w:top w:val="none" w:sz="0" w:space="0" w:color="auto"/>
        <w:left w:val="none" w:sz="0" w:space="0" w:color="auto"/>
        <w:bottom w:val="none" w:sz="0" w:space="0" w:color="auto"/>
        <w:right w:val="none" w:sz="0" w:space="0" w:color="auto"/>
      </w:divBdr>
    </w:div>
    <w:div w:id="1296330513">
      <w:bodyDiv w:val="1"/>
      <w:marLeft w:val="0"/>
      <w:marRight w:val="0"/>
      <w:marTop w:val="0"/>
      <w:marBottom w:val="0"/>
      <w:divBdr>
        <w:top w:val="none" w:sz="0" w:space="0" w:color="auto"/>
        <w:left w:val="none" w:sz="0" w:space="0" w:color="auto"/>
        <w:bottom w:val="none" w:sz="0" w:space="0" w:color="auto"/>
        <w:right w:val="none" w:sz="0" w:space="0" w:color="auto"/>
      </w:divBdr>
    </w:div>
    <w:div w:id="1315136905">
      <w:bodyDiv w:val="1"/>
      <w:marLeft w:val="0"/>
      <w:marRight w:val="0"/>
      <w:marTop w:val="0"/>
      <w:marBottom w:val="0"/>
      <w:divBdr>
        <w:top w:val="none" w:sz="0" w:space="0" w:color="auto"/>
        <w:left w:val="none" w:sz="0" w:space="0" w:color="auto"/>
        <w:bottom w:val="none" w:sz="0" w:space="0" w:color="auto"/>
        <w:right w:val="none" w:sz="0" w:space="0" w:color="auto"/>
      </w:divBdr>
      <w:divsChild>
        <w:div w:id="1703747792">
          <w:marLeft w:val="0"/>
          <w:marRight w:val="0"/>
          <w:marTop w:val="0"/>
          <w:marBottom w:val="0"/>
          <w:divBdr>
            <w:top w:val="none" w:sz="0" w:space="0" w:color="auto"/>
            <w:left w:val="none" w:sz="0" w:space="0" w:color="auto"/>
            <w:bottom w:val="none" w:sz="0" w:space="0" w:color="auto"/>
            <w:right w:val="none" w:sz="0" w:space="0" w:color="auto"/>
          </w:divBdr>
          <w:divsChild>
            <w:div w:id="710419708">
              <w:marLeft w:val="0"/>
              <w:marRight w:val="0"/>
              <w:marTop w:val="0"/>
              <w:marBottom w:val="0"/>
              <w:divBdr>
                <w:top w:val="none" w:sz="0" w:space="0" w:color="auto"/>
                <w:left w:val="none" w:sz="0" w:space="0" w:color="auto"/>
                <w:bottom w:val="none" w:sz="0" w:space="0" w:color="auto"/>
                <w:right w:val="none" w:sz="0" w:space="0" w:color="auto"/>
              </w:divBdr>
              <w:divsChild>
                <w:div w:id="208013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835076">
      <w:bodyDiv w:val="1"/>
      <w:marLeft w:val="0"/>
      <w:marRight w:val="0"/>
      <w:marTop w:val="0"/>
      <w:marBottom w:val="0"/>
      <w:divBdr>
        <w:top w:val="none" w:sz="0" w:space="0" w:color="auto"/>
        <w:left w:val="none" w:sz="0" w:space="0" w:color="auto"/>
        <w:bottom w:val="none" w:sz="0" w:space="0" w:color="auto"/>
        <w:right w:val="none" w:sz="0" w:space="0" w:color="auto"/>
      </w:divBdr>
      <w:divsChild>
        <w:div w:id="1617253000">
          <w:marLeft w:val="0"/>
          <w:marRight w:val="0"/>
          <w:marTop w:val="0"/>
          <w:marBottom w:val="0"/>
          <w:divBdr>
            <w:top w:val="none" w:sz="0" w:space="0" w:color="auto"/>
            <w:left w:val="none" w:sz="0" w:space="0" w:color="auto"/>
            <w:bottom w:val="none" w:sz="0" w:space="0" w:color="auto"/>
            <w:right w:val="none" w:sz="0" w:space="0" w:color="auto"/>
          </w:divBdr>
          <w:divsChild>
            <w:div w:id="1541554059">
              <w:marLeft w:val="0"/>
              <w:marRight w:val="0"/>
              <w:marTop w:val="0"/>
              <w:marBottom w:val="0"/>
              <w:divBdr>
                <w:top w:val="none" w:sz="0" w:space="0" w:color="auto"/>
                <w:left w:val="none" w:sz="0" w:space="0" w:color="auto"/>
                <w:bottom w:val="none" w:sz="0" w:space="0" w:color="auto"/>
                <w:right w:val="none" w:sz="0" w:space="0" w:color="auto"/>
              </w:divBdr>
              <w:divsChild>
                <w:div w:id="66751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03693">
      <w:bodyDiv w:val="1"/>
      <w:marLeft w:val="0"/>
      <w:marRight w:val="0"/>
      <w:marTop w:val="0"/>
      <w:marBottom w:val="0"/>
      <w:divBdr>
        <w:top w:val="none" w:sz="0" w:space="0" w:color="auto"/>
        <w:left w:val="none" w:sz="0" w:space="0" w:color="auto"/>
        <w:bottom w:val="none" w:sz="0" w:space="0" w:color="auto"/>
        <w:right w:val="none" w:sz="0" w:space="0" w:color="auto"/>
      </w:divBdr>
    </w:div>
    <w:div w:id="1488202000">
      <w:bodyDiv w:val="1"/>
      <w:marLeft w:val="0"/>
      <w:marRight w:val="0"/>
      <w:marTop w:val="0"/>
      <w:marBottom w:val="0"/>
      <w:divBdr>
        <w:top w:val="none" w:sz="0" w:space="0" w:color="auto"/>
        <w:left w:val="none" w:sz="0" w:space="0" w:color="auto"/>
        <w:bottom w:val="none" w:sz="0" w:space="0" w:color="auto"/>
        <w:right w:val="none" w:sz="0" w:space="0" w:color="auto"/>
      </w:divBdr>
    </w:div>
    <w:div w:id="1496871696">
      <w:bodyDiv w:val="1"/>
      <w:marLeft w:val="0"/>
      <w:marRight w:val="0"/>
      <w:marTop w:val="0"/>
      <w:marBottom w:val="0"/>
      <w:divBdr>
        <w:top w:val="none" w:sz="0" w:space="0" w:color="auto"/>
        <w:left w:val="none" w:sz="0" w:space="0" w:color="auto"/>
        <w:bottom w:val="none" w:sz="0" w:space="0" w:color="auto"/>
        <w:right w:val="none" w:sz="0" w:space="0" w:color="auto"/>
      </w:divBdr>
    </w:div>
    <w:div w:id="1503273169">
      <w:bodyDiv w:val="1"/>
      <w:marLeft w:val="0"/>
      <w:marRight w:val="0"/>
      <w:marTop w:val="0"/>
      <w:marBottom w:val="0"/>
      <w:divBdr>
        <w:top w:val="none" w:sz="0" w:space="0" w:color="auto"/>
        <w:left w:val="none" w:sz="0" w:space="0" w:color="auto"/>
        <w:bottom w:val="none" w:sz="0" w:space="0" w:color="auto"/>
        <w:right w:val="none" w:sz="0" w:space="0" w:color="auto"/>
      </w:divBdr>
    </w:div>
    <w:div w:id="1523935076">
      <w:bodyDiv w:val="1"/>
      <w:marLeft w:val="0"/>
      <w:marRight w:val="0"/>
      <w:marTop w:val="0"/>
      <w:marBottom w:val="0"/>
      <w:divBdr>
        <w:top w:val="none" w:sz="0" w:space="0" w:color="auto"/>
        <w:left w:val="none" w:sz="0" w:space="0" w:color="auto"/>
        <w:bottom w:val="none" w:sz="0" w:space="0" w:color="auto"/>
        <w:right w:val="none" w:sz="0" w:space="0" w:color="auto"/>
      </w:divBdr>
      <w:divsChild>
        <w:div w:id="1319337635">
          <w:marLeft w:val="0"/>
          <w:marRight w:val="0"/>
          <w:marTop w:val="0"/>
          <w:marBottom w:val="0"/>
          <w:divBdr>
            <w:top w:val="none" w:sz="0" w:space="0" w:color="auto"/>
            <w:left w:val="none" w:sz="0" w:space="0" w:color="auto"/>
            <w:bottom w:val="none" w:sz="0" w:space="0" w:color="auto"/>
            <w:right w:val="none" w:sz="0" w:space="0" w:color="auto"/>
          </w:divBdr>
          <w:divsChild>
            <w:div w:id="336424716">
              <w:marLeft w:val="0"/>
              <w:marRight w:val="0"/>
              <w:marTop w:val="0"/>
              <w:marBottom w:val="0"/>
              <w:divBdr>
                <w:top w:val="none" w:sz="0" w:space="0" w:color="auto"/>
                <w:left w:val="none" w:sz="0" w:space="0" w:color="auto"/>
                <w:bottom w:val="none" w:sz="0" w:space="0" w:color="auto"/>
                <w:right w:val="none" w:sz="0" w:space="0" w:color="auto"/>
              </w:divBdr>
              <w:divsChild>
                <w:div w:id="17191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567186">
      <w:bodyDiv w:val="1"/>
      <w:marLeft w:val="0"/>
      <w:marRight w:val="0"/>
      <w:marTop w:val="0"/>
      <w:marBottom w:val="0"/>
      <w:divBdr>
        <w:top w:val="none" w:sz="0" w:space="0" w:color="auto"/>
        <w:left w:val="none" w:sz="0" w:space="0" w:color="auto"/>
        <w:bottom w:val="none" w:sz="0" w:space="0" w:color="auto"/>
        <w:right w:val="none" w:sz="0" w:space="0" w:color="auto"/>
      </w:divBdr>
    </w:div>
    <w:div w:id="1600677684">
      <w:bodyDiv w:val="1"/>
      <w:marLeft w:val="0"/>
      <w:marRight w:val="0"/>
      <w:marTop w:val="0"/>
      <w:marBottom w:val="0"/>
      <w:divBdr>
        <w:top w:val="none" w:sz="0" w:space="0" w:color="auto"/>
        <w:left w:val="none" w:sz="0" w:space="0" w:color="auto"/>
        <w:bottom w:val="none" w:sz="0" w:space="0" w:color="auto"/>
        <w:right w:val="none" w:sz="0" w:space="0" w:color="auto"/>
      </w:divBdr>
    </w:div>
    <w:div w:id="1638754691">
      <w:bodyDiv w:val="1"/>
      <w:marLeft w:val="0"/>
      <w:marRight w:val="0"/>
      <w:marTop w:val="0"/>
      <w:marBottom w:val="0"/>
      <w:divBdr>
        <w:top w:val="none" w:sz="0" w:space="0" w:color="auto"/>
        <w:left w:val="none" w:sz="0" w:space="0" w:color="auto"/>
        <w:bottom w:val="none" w:sz="0" w:space="0" w:color="auto"/>
        <w:right w:val="none" w:sz="0" w:space="0" w:color="auto"/>
      </w:divBdr>
      <w:divsChild>
        <w:div w:id="887572137">
          <w:marLeft w:val="0"/>
          <w:marRight w:val="0"/>
          <w:marTop w:val="0"/>
          <w:marBottom w:val="0"/>
          <w:divBdr>
            <w:top w:val="none" w:sz="0" w:space="0" w:color="auto"/>
            <w:left w:val="none" w:sz="0" w:space="0" w:color="auto"/>
            <w:bottom w:val="none" w:sz="0" w:space="0" w:color="auto"/>
            <w:right w:val="none" w:sz="0" w:space="0" w:color="auto"/>
          </w:divBdr>
          <w:divsChild>
            <w:div w:id="1996567767">
              <w:marLeft w:val="0"/>
              <w:marRight w:val="0"/>
              <w:marTop w:val="0"/>
              <w:marBottom w:val="0"/>
              <w:divBdr>
                <w:top w:val="none" w:sz="0" w:space="0" w:color="auto"/>
                <w:left w:val="none" w:sz="0" w:space="0" w:color="auto"/>
                <w:bottom w:val="none" w:sz="0" w:space="0" w:color="auto"/>
                <w:right w:val="none" w:sz="0" w:space="0" w:color="auto"/>
              </w:divBdr>
              <w:divsChild>
                <w:div w:id="56494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542111">
      <w:bodyDiv w:val="1"/>
      <w:marLeft w:val="0"/>
      <w:marRight w:val="0"/>
      <w:marTop w:val="0"/>
      <w:marBottom w:val="0"/>
      <w:divBdr>
        <w:top w:val="none" w:sz="0" w:space="0" w:color="auto"/>
        <w:left w:val="none" w:sz="0" w:space="0" w:color="auto"/>
        <w:bottom w:val="none" w:sz="0" w:space="0" w:color="auto"/>
        <w:right w:val="none" w:sz="0" w:space="0" w:color="auto"/>
      </w:divBdr>
      <w:divsChild>
        <w:div w:id="806825302">
          <w:marLeft w:val="0"/>
          <w:marRight w:val="0"/>
          <w:marTop w:val="0"/>
          <w:marBottom w:val="0"/>
          <w:divBdr>
            <w:top w:val="none" w:sz="0" w:space="0" w:color="auto"/>
            <w:left w:val="none" w:sz="0" w:space="0" w:color="auto"/>
            <w:bottom w:val="none" w:sz="0" w:space="0" w:color="auto"/>
            <w:right w:val="none" w:sz="0" w:space="0" w:color="auto"/>
          </w:divBdr>
          <w:divsChild>
            <w:div w:id="646782549">
              <w:marLeft w:val="0"/>
              <w:marRight w:val="0"/>
              <w:marTop w:val="0"/>
              <w:marBottom w:val="0"/>
              <w:divBdr>
                <w:top w:val="none" w:sz="0" w:space="0" w:color="auto"/>
                <w:left w:val="none" w:sz="0" w:space="0" w:color="auto"/>
                <w:bottom w:val="none" w:sz="0" w:space="0" w:color="auto"/>
                <w:right w:val="none" w:sz="0" w:space="0" w:color="auto"/>
              </w:divBdr>
              <w:divsChild>
                <w:div w:id="18949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478636">
      <w:bodyDiv w:val="1"/>
      <w:marLeft w:val="0"/>
      <w:marRight w:val="0"/>
      <w:marTop w:val="0"/>
      <w:marBottom w:val="0"/>
      <w:divBdr>
        <w:top w:val="none" w:sz="0" w:space="0" w:color="auto"/>
        <w:left w:val="none" w:sz="0" w:space="0" w:color="auto"/>
        <w:bottom w:val="none" w:sz="0" w:space="0" w:color="auto"/>
        <w:right w:val="none" w:sz="0" w:space="0" w:color="auto"/>
      </w:divBdr>
    </w:div>
    <w:div w:id="1720278757">
      <w:bodyDiv w:val="1"/>
      <w:marLeft w:val="0"/>
      <w:marRight w:val="0"/>
      <w:marTop w:val="0"/>
      <w:marBottom w:val="0"/>
      <w:divBdr>
        <w:top w:val="none" w:sz="0" w:space="0" w:color="auto"/>
        <w:left w:val="none" w:sz="0" w:space="0" w:color="auto"/>
        <w:bottom w:val="none" w:sz="0" w:space="0" w:color="auto"/>
        <w:right w:val="none" w:sz="0" w:space="0" w:color="auto"/>
      </w:divBdr>
      <w:divsChild>
        <w:div w:id="1703284252">
          <w:marLeft w:val="0"/>
          <w:marRight w:val="0"/>
          <w:marTop w:val="0"/>
          <w:marBottom w:val="0"/>
          <w:divBdr>
            <w:top w:val="none" w:sz="0" w:space="0" w:color="auto"/>
            <w:left w:val="none" w:sz="0" w:space="0" w:color="auto"/>
            <w:bottom w:val="none" w:sz="0" w:space="0" w:color="auto"/>
            <w:right w:val="none" w:sz="0" w:space="0" w:color="auto"/>
          </w:divBdr>
          <w:divsChild>
            <w:div w:id="2012683402">
              <w:marLeft w:val="0"/>
              <w:marRight w:val="0"/>
              <w:marTop w:val="0"/>
              <w:marBottom w:val="0"/>
              <w:divBdr>
                <w:top w:val="none" w:sz="0" w:space="0" w:color="auto"/>
                <w:left w:val="none" w:sz="0" w:space="0" w:color="auto"/>
                <w:bottom w:val="none" w:sz="0" w:space="0" w:color="auto"/>
                <w:right w:val="none" w:sz="0" w:space="0" w:color="auto"/>
              </w:divBdr>
              <w:divsChild>
                <w:div w:id="117252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062391">
      <w:bodyDiv w:val="1"/>
      <w:marLeft w:val="0"/>
      <w:marRight w:val="0"/>
      <w:marTop w:val="0"/>
      <w:marBottom w:val="0"/>
      <w:divBdr>
        <w:top w:val="none" w:sz="0" w:space="0" w:color="auto"/>
        <w:left w:val="none" w:sz="0" w:space="0" w:color="auto"/>
        <w:bottom w:val="none" w:sz="0" w:space="0" w:color="auto"/>
        <w:right w:val="none" w:sz="0" w:space="0" w:color="auto"/>
      </w:divBdr>
    </w:div>
    <w:div w:id="1726634791">
      <w:bodyDiv w:val="1"/>
      <w:marLeft w:val="0"/>
      <w:marRight w:val="0"/>
      <w:marTop w:val="0"/>
      <w:marBottom w:val="0"/>
      <w:divBdr>
        <w:top w:val="none" w:sz="0" w:space="0" w:color="auto"/>
        <w:left w:val="none" w:sz="0" w:space="0" w:color="auto"/>
        <w:bottom w:val="none" w:sz="0" w:space="0" w:color="auto"/>
        <w:right w:val="none" w:sz="0" w:space="0" w:color="auto"/>
      </w:divBdr>
    </w:div>
    <w:div w:id="1767581741">
      <w:bodyDiv w:val="1"/>
      <w:marLeft w:val="0"/>
      <w:marRight w:val="0"/>
      <w:marTop w:val="0"/>
      <w:marBottom w:val="0"/>
      <w:divBdr>
        <w:top w:val="none" w:sz="0" w:space="0" w:color="auto"/>
        <w:left w:val="none" w:sz="0" w:space="0" w:color="auto"/>
        <w:bottom w:val="none" w:sz="0" w:space="0" w:color="auto"/>
        <w:right w:val="none" w:sz="0" w:space="0" w:color="auto"/>
      </w:divBdr>
      <w:divsChild>
        <w:div w:id="1954239393">
          <w:marLeft w:val="0"/>
          <w:marRight w:val="0"/>
          <w:marTop w:val="0"/>
          <w:marBottom w:val="0"/>
          <w:divBdr>
            <w:top w:val="none" w:sz="0" w:space="0" w:color="auto"/>
            <w:left w:val="none" w:sz="0" w:space="0" w:color="auto"/>
            <w:bottom w:val="none" w:sz="0" w:space="0" w:color="auto"/>
            <w:right w:val="none" w:sz="0" w:space="0" w:color="auto"/>
          </w:divBdr>
          <w:divsChild>
            <w:div w:id="244993319">
              <w:marLeft w:val="0"/>
              <w:marRight w:val="0"/>
              <w:marTop w:val="0"/>
              <w:marBottom w:val="0"/>
              <w:divBdr>
                <w:top w:val="none" w:sz="0" w:space="0" w:color="auto"/>
                <w:left w:val="none" w:sz="0" w:space="0" w:color="auto"/>
                <w:bottom w:val="none" w:sz="0" w:space="0" w:color="auto"/>
                <w:right w:val="none" w:sz="0" w:space="0" w:color="auto"/>
              </w:divBdr>
              <w:divsChild>
                <w:div w:id="186000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65482">
      <w:bodyDiv w:val="1"/>
      <w:marLeft w:val="0"/>
      <w:marRight w:val="0"/>
      <w:marTop w:val="0"/>
      <w:marBottom w:val="0"/>
      <w:divBdr>
        <w:top w:val="none" w:sz="0" w:space="0" w:color="auto"/>
        <w:left w:val="none" w:sz="0" w:space="0" w:color="auto"/>
        <w:bottom w:val="none" w:sz="0" w:space="0" w:color="auto"/>
        <w:right w:val="none" w:sz="0" w:space="0" w:color="auto"/>
      </w:divBdr>
      <w:divsChild>
        <w:div w:id="15544654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4727638">
      <w:bodyDiv w:val="1"/>
      <w:marLeft w:val="0"/>
      <w:marRight w:val="0"/>
      <w:marTop w:val="0"/>
      <w:marBottom w:val="0"/>
      <w:divBdr>
        <w:top w:val="none" w:sz="0" w:space="0" w:color="auto"/>
        <w:left w:val="none" w:sz="0" w:space="0" w:color="auto"/>
        <w:bottom w:val="none" w:sz="0" w:space="0" w:color="auto"/>
        <w:right w:val="none" w:sz="0" w:space="0" w:color="auto"/>
      </w:divBdr>
    </w:div>
    <w:div w:id="1935701587">
      <w:bodyDiv w:val="1"/>
      <w:marLeft w:val="0"/>
      <w:marRight w:val="0"/>
      <w:marTop w:val="0"/>
      <w:marBottom w:val="0"/>
      <w:divBdr>
        <w:top w:val="none" w:sz="0" w:space="0" w:color="auto"/>
        <w:left w:val="none" w:sz="0" w:space="0" w:color="auto"/>
        <w:bottom w:val="none" w:sz="0" w:space="0" w:color="auto"/>
        <w:right w:val="none" w:sz="0" w:space="0" w:color="auto"/>
      </w:divBdr>
    </w:div>
    <w:div w:id="1943763131">
      <w:bodyDiv w:val="1"/>
      <w:marLeft w:val="0"/>
      <w:marRight w:val="0"/>
      <w:marTop w:val="0"/>
      <w:marBottom w:val="0"/>
      <w:divBdr>
        <w:top w:val="none" w:sz="0" w:space="0" w:color="auto"/>
        <w:left w:val="none" w:sz="0" w:space="0" w:color="auto"/>
        <w:bottom w:val="none" w:sz="0" w:space="0" w:color="auto"/>
        <w:right w:val="none" w:sz="0" w:space="0" w:color="auto"/>
      </w:divBdr>
    </w:div>
    <w:div w:id="1969967669">
      <w:bodyDiv w:val="1"/>
      <w:marLeft w:val="0"/>
      <w:marRight w:val="0"/>
      <w:marTop w:val="0"/>
      <w:marBottom w:val="0"/>
      <w:divBdr>
        <w:top w:val="none" w:sz="0" w:space="0" w:color="auto"/>
        <w:left w:val="none" w:sz="0" w:space="0" w:color="auto"/>
        <w:bottom w:val="none" w:sz="0" w:space="0" w:color="auto"/>
        <w:right w:val="none" w:sz="0" w:space="0" w:color="auto"/>
      </w:divBdr>
      <w:divsChild>
        <w:div w:id="553349147">
          <w:marLeft w:val="0"/>
          <w:marRight w:val="0"/>
          <w:marTop w:val="0"/>
          <w:marBottom w:val="0"/>
          <w:divBdr>
            <w:top w:val="none" w:sz="0" w:space="0" w:color="auto"/>
            <w:left w:val="none" w:sz="0" w:space="0" w:color="auto"/>
            <w:bottom w:val="none" w:sz="0" w:space="0" w:color="auto"/>
            <w:right w:val="none" w:sz="0" w:space="0" w:color="auto"/>
          </w:divBdr>
          <w:divsChild>
            <w:div w:id="1642156706">
              <w:marLeft w:val="0"/>
              <w:marRight w:val="0"/>
              <w:marTop w:val="0"/>
              <w:marBottom w:val="0"/>
              <w:divBdr>
                <w:top w:val="none" w:sz="0" w:space="0" w:color="auto"/>
                <w:left w:val="none" w:sz="0" w:space="0" w:color="auto"/>
                <w:bottom w:val="none" w:sz="0" w:space="0" w:color="auto"/>
                <w:right w:val="none" w:sz="0" w:space="0" w:color="auto"/>
              </w:divBdr>
              <w:divsChild>
                <w:div w:id="6636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276878">
      <w:bodyDiv w:val="1"/>
      <w:marLeft w:val="0"/>
      <w:marRight w:val="0"/>
      <w:marTop w:val="0"/>
      <w:marBottom w:val="0"/>
      <w:divBdr>
        <w:top w:val="none" w:sz="0" w:space="0" w:color="auto"/>
        <w:left w:val="none" w:sz="0" w:space="0" w:color="auto"/>
        <w:bottom w:val="none" w:sz="0" w:space="0" w:color="auto"/>
        <w:right w:val="none" w:sz="0" w:space="0" w:color="auto"/>
      </w:divBdr>
      <w:divsChild>
        <w:div w:id="2022927360">
          <w:marLeft w:val="0"/>
          <w:marRight w:val="0"/>
          <w:marTop w:val="0"/>
          <w:marBottom w:val="0"/>
          <w:divBdr>
            <w:top w:val="none" w:sz="0" w:space="0" w:color="auto"/>
            <w:left w:val="none" w:sz="0" w:space="0" w:color="auto"/>
            <w:bottom w:val="none" w:sz="0" w:space="0" w:color="auto"/>
            <w:right w:val="none" w:sz="0" w:space="0" w:color="auto"/>
          </w:divBdr>
          <w:divsChild>
            <w:div w:id="1846549149">
              <w:marLeft w:val="0"/>
              <w:marRight w:val="0"/>
              <w:marTop w:val="0"/>
              <w:marBottom w:val="0"/>
              <w:divBdr>
                <w:top w:val="none" w:sz="0" w:space="0" w:color="auto"/>
                <w:left w:val="none" w:sz="0" w:space="0" w:color="auto"/>
                <w:bottom w:val="none" w:sz="0" w:space="0" w:color="auto"/>
                <w:right w:val="none" w:sz="0" w:space="0" w:color="auto"/>
              </w:divBdr>
              <w:divsChild>
                <w:div w:id="648557775">
                  <w:marLeft w:val="0"/>
                  <w:marRight w:val="0"/>
                  <w:marTop w:val="0"/>
                  <w:marBottom w:val="0"/>
                  <w:divBdr>
                    <w:top w:val="none" w:sz="0" w:space="0" w:color="auto"/>
                    <w:left w:val="none" w:sz="0" w:space="0" w:color="auto"/>
                    <w:bottom w:val="none" w:sz="0" w:space="0" w:color="auto"/>
                    <w:right w:val="none" w:sz="0" w:space="0" w:color="auto"/>
                  </w:divBdr>
                  <w:divsChild>
                    <w:div w:id="16381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245830">
      <w:bodyDiv w:val="1"/>
      <w:marLeft w:val="0"/>
      <w:marRight w:val="0"/>
      <w:marTop w:val="0"/>
      <w:marBottom w:val="0"/>
      <w:divBdr>
        <w:top w:val="none" w:sz="0" w:space="0" w:color="auto"/>
        <w:left w:val="none" w:sz="0" w:space="0" w:color="auto"/>
        <w:bottom w:val="none" w:sz="0" w:space="0" w:color="auto"/>
        <w:right w:val="none" w:sz="0" w:space="0" w:color="auto"/>
      </w:divBdr>
      <w:divsChild>
        <w:div w:id="2066173870">
          <w:marLeft w:val="0"/>
          <w:marRight w:val="0"/>
          <w:marTop w:val="0"/>
          <w:marBottom w:val="0"/>
          <w:divBdr>
            <w:top w:val="none" w:sz="0" w:space="0" w:color="auto"/>
            <w:left w:val="none" w:sz="0" w:space="0" w:color="auto"/>
            <w:bottom w:val="none" w:sz="0" w:space="0" w:color="auto"/>
            <w:right w:val="none" w:sz="0" w:space="0" w:color="auto"/>
          </w:divBdr>
          <w:divsChild>
            <w:div w:id="1946882676">
              <w:marLeft w:val="0"/>
              <w:marRight w:val="0"/>
              <w:marTop w:val="0"/>
              <w:marBottom w:val="0"/>
              <w:divBdr>
                <w:top w:val="none" w:sz="0" w:space="0" w:color="auto"/>
                <w:left w:val="none" w:sz="0" w:space="0" w:color="auto"/>
                <w:bottom w:val="none" w:sz="0" w:space="0" w:color="auto"/>
                <w:right w:val="none" w:sz="0" w:space="0" w:color="auto"/>
              </w:divBdr>
              <w:divsChild>
                <w:div w:id="146908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694282">
      <w:bodyDiv w:val="1"/>
      <w:marLeft w:val="0"/>
      <w:marRight w:val="0"/>
      <w:marTop w:val="0"/>
      <w:marBottom w:val="0"/>
      <w:divBdr>
        <w:top w:val="none" w:sz="0" w:space="0" w:color="auto"/>
        <w:left w:val="none" w:sz="0" w:space="0" w:color="auto"/>
        <w:bottom w:val="none" w:sz="0" w:space="0" w:color="auto"/>
        <w:right w:val="none" w:sz="0" w:space="0" w:color="auto"/>
      </w:divBdr>
    </w:div>
    <w:div w:id="207608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Users\sivaparvathi\Downloads\resul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sivaparvathi\Downloads\result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Chemicals!$A$2:$A$14</c:f>
              <c:strCache>
                <c:ptCount val="11"/>
                <c:pt idx="0">
                  <c:v>Control</c:v>
                </c:pt>
                <c:pt idx="1">
                  <c:v>Carbendazim</c:v>
                </c:pt>
                <c:pt idx="4">
                  <c:v>Carbendazim + Mancozeb</c:v>
                </c:pt>
                <c:pt idx="7">
                  <c:v>Mancozeb</c:v>
                </c:pt>
                <c:pt idx="10">
                  <c:v>Copper oxy chloride</c:v>
                </c:pt>
              </c:strCache>
            </c:strRef>
          </c:cat>
          <c:val>
            <c:numRef>
              <c:f>Chemicals!$B$2:$B$14</c:f>
              <c:numCache>
                <c:formatCode>0.00%</c:formatCode>
                <c:ptCount val="13"/>
                <c:pt idx="1">
                  <c:v>1E-3</c:v>
                </c:pt>
                <c:pt idx="2">
                  <c:v>2E-3</c:v>
                </c:pt>
                <c:pt idx="3">
                  <c:v>3.0000000000000001E-3</c:v>
                </c:pt>
                <c:pt idx="4">
                  <c:v>1E-3</c:v>
                </c:pt>
                <c:pt idx="5">
                  <c:v>2E-3</c:v>
                </c:pt>
                <c:pt idx="6">
                  <c:v>3.0000000000000001E-3</c:v>
                </c:pt>
                <c:pt idx="7">
                  <c:v>1E-3</c:v>
                </c:pt>
                <c:pt idx="8">
                  <c:v>2E-3</c:v>
                </c:pt>
                <c:pt idx="9">
                  <c:v>3.0000000000000001E-3</c:v>
                </c:pt>
                <c:pt idx="10">
                  <c:v>1E-3</c:v>
                </c:pt>
                <c:pt idx="11">
                  <c:v>2E-3</c:v>
                </c:pt>
                <c:pt idx="12">
                  <c:v>3.0000000000000001E-3</c:v>
                </c:pt>
              </c:numCache>
            </c:numRef>
          </c:val>
          <c:extLst>
            <c:ext xmlns:c16="http://schemas.microsoft.com/office/drawing/2014/chart" uri="{C3380CC4-5D6E-409C-BE32-E72D297353CC}">
              <c16:uniqueId val="{00000000-005C-2449-ABC9-BED744B14DB4}"/>
            </c:ext>
          </c:extLst>
        </c:ser>
        <c:ser>
          <c:idx val="1"/>
          <c:order val="1"/>
          <c:spPr>
            <a:solidFill>
              <a:schemeClr val="accent2"/>
            </a:solidFill>
            <a:ln>
              <a:noFill/>
            </a:ln>
            <a:effectLst/>
          </c:spPr>
          <c:invertIfNegative val="0"/>
          <c:cat>
            <c:strRef>
              <c:f>Chemicals!$A$2:$A$14</c:f>
              <c:strCache>
                <c:ptCount val="11"/>
                <c:pt idx="0">
                  <c:v>Control</c:v>
                </c:pt>
                <c:pt idx="1">
                  <c:v>Carbendazim</c:v>
                </c:pt>
                <c:pt idx="4">
                  <c:v>Carbendazim + Mancozeb</c:v>
                </c:pt>
                <c:pt idx="7">
                  <c:v>Mancozeb</c:v>
                </c:pt>
                <c:pt idx="10">
                  <c:v>Copper oxy chloride</c:v>
                </c:pt>
              </c:strCache>
            </c:strRef>
          </c:cat>
          <c:val>
            <c:numRef>
              <c:f>Chemicals!$C$2:$C$14</c:f>
              <c:numCache>
                <c:formatCode>General</c:formatCode>
                <c:ptCount val="13"/>
                <c:pt idx="0">
                  <c:v>0</c:v>
                </c:pt>
                <c:pt idx="1">
                  <c:v>0</c:v>
                </c:pt>
                <c:pt idx="2">
                  <c:v>0</c:v>
                </c:pt>
                <c:pt idx="3">
                  <c:v>0</c:v>
                </c:pt>
                <c:pt idx="4">
                  <c:v>0</c:v>
                </c:pt>
                <c:pt idx="5">
                  <c:v>0</c:v>
                </c:pt>
                <c:pt idx="6">
                  <c:v>0</c:v>
                </c:pt>
                <c:pt idx="7">
                  <c:v>0</c:v>
                </c:pt>
                <c:pt idx="8">
                  <c:v>0</c:v>
                </c:pt>
                <c:pt idx="9">
                  <c:v>0</c:v>
                </c:pt>
                <c:pt idx="10">
                  <c:v>0</c:v>
                </c:pt>
                <c:pt idx="11">
                  <c:v>0</c:v>
                </c:pt>
                <c:pt idx="12">
                  <c:v>0</c:v>
                </c:pt>
              </c:numCache>
            </c:numRef>
          </c:val>
          <c:extLst>
            <c:ext xmlns:c16="http://schemas.microsoft.com/office/drawing/2014/chart" uri="{C3380CC4-5D6E-409C-BE32-E72D297353CC}">
              <c16:uniqueId val="{00000001-005C-2449-ABC9-BED744B14DB4}"/>
            </c:ext>
          </c:extLst>
        </c:ser>
        <c:dLbls>
          <c:showLegendKey val="0"/>
          <c:showVal val="0"/>
          <c:showCatName val="0"/>
          <c:showSerName val="0"/>
          <c:showPercent val="0"/>
          <c:showBubbleSize val="0"/>
        </c:dLbls>
        <c:gapWidth val="182"/>
        <c:axId val="836547775"/>
        <c:axId val="799574159"/>
      </c:barChart>
      <c:catAx>
        <c:axId val="83654777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9574159"/>
        <c:crosses val="autoZero"/>
        <c:auto val="1"/>
        <c:lblAlgn val="ctr"/>
        <c:lblOffset val="100"/>
        <c:noMultiLvlLbl val="0"/>
      </c:catAx>
      <c:valAx>
        <c:axId val="799574159"/>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65477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solidFill>
              <a:schemeClr val="accent1"/>
            </a:solidFill>
            <a:ln>
              <a:noFill/>
            </a:ln>
            <a:effectLst/>
          </c:spPr>
          <c:invertIfNegative val="0"/>
          <c:cat>
            <c:strRef>
              <c:f>Botanicals!$A$2:$A$8</c:f>
              <c:strCache>
                <c:ptCount val="5"/>
                <c:pt idx="0">
                  <c:v>Control</c:v>
                </c:pt>
                <c:pt idx="1">
                  <c:v>Garlic</c:v>
                </c:pt>
                <c:pt idx="4">
                  <c:v>Onion</c:v>
                </c:pt>
              </c:strCache>
            </c:strRef>
          </c:cat>
          <c:val>
            <c:numRef>
              <c:f>Botanicals!$B$2:$B$8</c:f>
              <c:numCache>
                <c:formatCode>0%</c:formatCode>
                <c:ptCount val="7"/>
                <c:pt idx="1">
                  <c:v>0.05</c:v>
                </c:pt>
                <c:pt idx="2">
                  <c:v>0.1</c:v>
                </c:pt>
                <c:pt idx="3">
                  <c:v>0.15</c:v>
                </c:pt>
                <c:pt idx="4">
                  <c:v>0.05</c:v>
                </c:pt>
                <c:pt idx="5">
                  <c:v>0.1</c:v>
                </c:pt>
                <c:pt idx="6">
                  <c:v>0.15</c:v>
                </c:pt>
              </c:numCache>
            </c:numRef>
          </c:val>
          <c:extLst>
            <c:ext xmlns:c16="http://schemas.microsoft.com/office/drawing/2014/chart" uri="{C3380CC4-5D6E-409C-BE32-E72D297353CC}">
              <c16:uniqueId val="{00000000-EC0E-8746-9455-4B4C4B15E9BE}"/>
            </c:ext>
          </c:extLst>
        </c:ser>
        <c:ser>
          <c:idx val="1"/>
          <c:order val="1"/>
          <c:spPr>
            <a:solidFill>
              <a:schemeClr val="accent2"/>
            </a:solidFill>
            <a:ln>
              <a:noFill/>
            </a:ln>
            <a:effectLst/>
          </c:spPr>
          <c:invertIfNegative val="0"/>
          <c:cat>
            <c:strRef>
              <c:f>Botanicals!$A$2:$A$8</c:f>
              <c:strCache>
                <c:ptCount val="5"/>
                <c:pt idx="0">
                  <c:v>Control</c:v>
                </c:pt>
                <c:pt idx="1">
                  <c:v>Garlic</c:v>
                </c:pt>
                <c:pt idx="4">
                  <c:v>Onion</c:v>
                </c:pt>
              </c:strCache>
            </c:strRef>
          </c:cat>
          <c:val>
            <c:numRef>
              <c:f>Botanicals!$C$2:$C$8</c:f>
              <c:numCache>
                <c:formatCode>General</c:formatCode>
                <c:ptCount val="7"/>
                <c:pt idx="0">
                  <c:v>0</c:v>
                </c:pt>
                <c:pt idx="1">
                  <c:v>0</c:v>
                </c:pt>
                <c:pt idx="2">
                  <c:v>0</c:v>
                </c:pt>
                <c:pt idx="3">
                  <c:v>0</c:v>
                </c:pt>
                <c:pt idx="4">
                  <c:v>0</c:v>
                </c:pt>
                <c:pt idx="5">
                  <c:v>0</c:v>
                </c:pt>
                <c:pt idx="6">
                  <c:v>0</c:v>
                </c:pt>
              </c:numCache>
            </c:numRef>
          </c:val>
          <c:extLst>
            <c:ext xmlns:c16="http://schemas.microsoft.com/office/drawing/2014/chart" uri="{C3380CC4-5D6E-409C-BE32-E72D297353CC}">
              <c16:uniqueId val="{00000001-EC0E-8746-9455-4B4C4B15E9BE}"/>
            </c:ext>
          </c:extLst>
        </c:ser>
        <c:dLbls>
          <c:showLegendKey val="0"/>
          <c:showVal val="0"/>
          <c:showCatName val="0"/>
          <c:showSerName val="0"/>
          <c:showPercent val="0"/>
          <c:showBubbleSize val="0"/>
        </c:dLbls>
        <c:gapWidth val="150"/>
        <c:overlap val="100"/>
        <c:axId val="801206783"/>
        <c:axId val="837024543"/>
      </c:barChart>
      <c:catAx>
        <c:axId val="8012067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7024543"/>
        <c:crosses val="autoZero"/>
        <c:auto val="1"/>
        <c:lblAlgn val="ctr"/>
        <c:lblOffset val="100"/>
        <c:noMultiLvlLbl val="0"/>
      </c:catAx>
      <c:valAx>
        <c:axId val="83702454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12067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CEA19-FA19-4DFA-974C-4E6C14323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7</Pages>
  <Words>3085</Words>
  <Characters>17586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eswar teja</dc:creator>
  <cp:keywords/>
  <dc:description/>
  <cp:lastModifiedBy>SDI 1084</cp:lastModifiedBy>
  <cp:revision>36</cp:revision>
  <dcterms:created xsi:type="dcterms:W3CDTF">2025-12-24T14:31:00Z</dcterms:created>
  <dcterms:modified xsi:type="dcterms:W3CDTF">2026-01-08T11:13:00Z</dcterms:modified>
</cp:coreProperties>
</file>