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205EF" w14:textId="614E2773" w:rsidR="00930F53" w:rsidRPr="00930F53" w:rsidRDefault="00930F53" w:rsidP="00930F53">
      <w:pPr>
        <w:spacing w:line="360" w:lineRule="auto"/>
        <w:jc w:val="center"/>
        <w:rPr>
          <w:rFonts w:ascii="Times New Roman" w:hAnsi="Times New Roman" w:cs="Times New Roman"/>
          <w:b/>
          <w:sz w:val="24"/>
          <w:szCs w:val="24"/>
        </w:rPr>
      </w:pPr>
      <w:r w:rsidRPr="00930F53">
        <w:rPr>
          <w:rFonts w:ascii="Times New Roman" w:hAnsi="Times New Roman" w:cs="Times New Roman"/>
          <w:b/>
          <w:sz w:val="24"/>
          <w:szCs w:val="24"/>
        </w:rPr>
        <w:t>Effects of Fertilizers on Growth and Yield Parameters of Mirriah Pepper (</w:t>
      </w:r>
      <w:r w:rsidRPr="00930F53">
        <w:rPr>
          <w:rFonts w:ascii="Times New Roman" w:hAnsi="Times New Roman" w:cs="Times New Roman"/>
          <w:b/>
          <w:i/>
          <w:iCs/>
          <w:sz w:val="24"/>
          <w:szCs w:val="24"/>
        </w:rPr>
        <w:t>Capsicum frutescens</w:t>
      </w:r>
      <w:r w:rsidRPr="00930F53">
        <w:rPr>
          <w:rFonts w:ascii="Times New Roman" w:hAnsi="Times New Roman" w:cs="Times New Roman"/>
          <w:b/>
          <w:sz w:val="24"/>
          <w:szCs w:val="24"/>
        </w:rPr>
        <w:t xml:space="preserve"> L.) in Zinder, Niger</w:t>
      </w:r>
    </w:p>
    <w:p w14:paraId="5ADAD546" w14:textId="77777777" w:rsidR="00CF35C2" w:rsidRPr="00C6697D" w:rsidRDefault="00CF35C2" w:rsidP="00A815AC">
      <w:pPr>
        <w:spacing w:line="276" w:lineRule="auto"/>
        <w:rPr>
          <w:rFonts w:ascii="Times New Roman" w:eastAsia="Times New Roman" w:hAnsi="Times New Roman" w:cs="Times New Roman"/>
          <w:bCs/>
          <w:color w:val="000000"/>
          <w:kern w:val="2"/>
          <w:sz w:val="24"/>
          <w:szCs w:val="24"/>
          <w:lang w:eastAsia="fr-FR"/>
          <w14:ligatures w14:val="standardContextual"/>
        </w:rPr>
      </w:pPr>
      <w:bookmarkStart w:id="0" w:name="_GoBack"/>
      <w:bookmarkEnd w:id="0"/>
    </w:p>
    <w:p w14:paraId="1A4876D1" w14:textId="77777777" w:rsidR="00A815AC" w:rsidRDefault="00A815AC" w:rsidP="00A815AC">
      <w:pPr>
        <w:spacing w:line="360" w:lineRule="auto"/>
        <w:rPr>
          <w:rFonts w:ascii="Times New Roman" w:hAnsi="Times New Roman" w:cs="Times New Roman"/>
          <w:b/>
          <w:bCs/>
          <w:sz w:val="24"/>
          <w:szCs w:val="24"/>
        </w:rPr>
      </w:pPr>
      <w:r w:rsidRPr="00AF5141">
        <w:rPr>
          <w:rFonts w:ascii="Times New Roman" w:hAnsi="Times New Roman" w:cs="Times New Roman"/>
          <w:b/>
          <w:bCs/>
          <w:sz w:val="24"/>
          <w:szCs w:val="24"/>
        </w:rPr>
        <w:t>Abstract</w:t>
      </w:r>
    </w:p>
    <w:p w14:paraId="19065D7E" w14:textId="5A117832" w:rsidR="00A815AC" w:rsidRDefault="00A815AC" w:rsidP="00A815AC">
      <w:pPr>
        <w:pStyle w:val="NormalWeb"/>
        <w:spacing w:before="0" w:beforeAutospacing="0" w:after="0" w:afterAutospacing="0" w:line="360" w:lineRule="auto"/>
        <w:jc w:val="both"/>
        <w:rPr>
          <w:rFonts w:eastAsia="Calibri"/>
          <w:bCs/>
          <w:color w:val="000000"/>
          <w:kern w:val="24"/>
          <w:szCs w:val="64"/>
          <w:lang w:val="en-US"/>
        </w:rPr>
      </w:pPr>
      <w:r w:rsidRPr="00A815AC">
        <w:rPr>
          <w:rFonts w:eastAsia="Calibri"/>
          <w:bCs/>
          <w:color w:val="000000"/>
          <w:kern w:val="24"/>
          <w:szCs w:val="64"/>
          <w:lang w:val="en-US"/>
        </w:rPr>
        <w:t>This study, conducted in the botanical garden of André Salifou University in Zinder, aims to evaluate the effects of mineral and organic fertilizers on the growth and yield parameters of the local variety of Mirriah long chili pepper (Zinder region).</w:t>
      </w:r>
      <w:r>
        <w:rPr>
          <w:rFonts w:eastAsia="Calibri"/>
          <w:bCs/>
          <w:color w:val="000000"/>
          <w:kern w:val="24"/>
          <w:szCs w:val="64"/>
          <w:lang w:val="en-US"/>
        </w:rPr>
        <w:t xml:space="preserve"> </w:t>
      </w:r>
      <w:r w:rsidRPr="00A815AC">
        <w:rPr>
          <w:rFonts w:eastAsia="Calibri"/>
          <w:bCs/>
          <w:color w:val="000000"/>
          <w:kern w:val="24"/>
          <w:szCs w:val="64"/>
          <w:lang w:val="en-US"/>
        </w:rPr>
        <w:t>An experimental design using a factorial block with total randomization and three replicates was set up, and two factors were studied. The factor (block) had three levels, b1 to b3, and the factor (fertilization or treatment) had seven levels (T0, T1, T2, T3, T4, T5, and T6).</w:t>
      </w:r>
      <w:r>
        <w:rPr>
          <w:rFonts w:eastAsia="Calibri"/>
          <w:bCs/>
          <w:color w:val="000000"/>
          <w:kern w:val="24"/>
          <w:szCs w:val="64"/>
          <w:lang w:val="en-US"/>
        </w:rPr>
        <w:t xml:space="preserve"> </w:t>
      </w:r>
      <w:r w:rsidRPr="00A815AC">
        <w:rPr>
          <w:rFonts w:eastAsia="Calibri"/>
          <w:bCs/>
          <w:color w:val="000000"/>
          <w:kern w:val="24"/>
          <w:szCs w:val="64"/>
          <w:lang w:val="en-US"/>
        </w:rPr>
        <w:t>The collected data were analyzed using Minitab-v18 and Rv4.3.1 software. Comparison of average performance and Principal Component Analysis (PCA) showed significant differences between the different treatments on the variables studied</w:t>
      </w:r>
      <w:r>
        <w:rPr>
          <w:rFonts w:eastAsia="Calibri"/>
          <w:bCs/>
          <w:color w:val="000000"/>
          <w:kern w:val="24"/>
          <w:szCs w:val="64"/>
          <w:lang w:val="en-US"/>
        </w:rPr>
        <w:t>.</w:t>
      </w:r>
      <w:r w:rsidRPr="00A815AC">
        <w:t xml:space="preserve"> </w:t>
      </w:r>
      <w:r w:rsidRPr="00A815AC">
        <w:rPr>
          <w:rFonts w:eastAsia="Calibri"/>
          <w:bCs/>
          <w:color w:val="000000"/>
          <w:kern w:val="24"/>
          <w:szCs w:val="64"/>
          <w:lang w:val="en-US"/>
        </w:rPr>
        <w:t>In addition, the results show variability between treatments.</w:t>
      </w:r>
      <w:r>
        <w:rPr>
          <w:rFonts w:eastAsia="Calibri"/>
          <w:bCs/>
          <w:color w:val="000000"/>
          <w:kern w:val="24"/>
          <w:szCs w:val="64"/>
          <w:lang w:val="en-US"/>
        </w:rPr>
        <w:t xml:space="preserve"> </w:t>
      </w:r>
      <w:r w:rsidRPr="00A815AC">
        <w:rPr>
          <w:rFonts w:eastAsia="Calibri"/>
          <w:bCs/>
          <w:color w:val="000000"/>
          <w:kern w:val="24"/>
          <w:szCs w:val="64"/>
          <w:lang w:val="en-US"/>
        </w:rPr>
        <w:t>In fact, in terms of fertilization, organic fertilizers performed better than mineral fertilizers, which in turn outperformed the control.</w:t>
      </w:r>
      <w:r>
        <w:rPr>
          <w:rFonts w:eastAsia="Calibri"/>
          <w:bCs/>
          <w:color w:val="000000"/>
          <w:kern w:val="24"/>
          <w:szCs w:val="64"/>
          <w:lang w:val="en-US"/>
        </w:rPr>
        <w:t xml:space="preserve"> </w:t>
      </w:r>
      <w:r w:rsidRPr="00A815AC">
        <w:rPr>
          <w:rFonts w:eastAsia="Calibri"/>
          <w:bCs/>
          <w:color w:val="000000"/>
          <w:kern w:val="24"/>
          <w:szCs w:val="64"/>
          <w:lang w:val="en-US"/>
        </w:rPr>
        <w:t>Composted poultry manure recorded the best averages for almost all of the parameters studied.</w:t>
      </w:r>
      <w:r>
        <w:rPr>
          <w:rFonts w:eastAsia="Calibri"/>
          <w:bCs/>
          <w:color w:val="000000"/>
          <w:kern w:val="24"/>
          <w:szCs w:val="64"/>
          <w:lang w:val="en-US"/>
        </w:rPr>
        <w:t xml:space="preserve"> </w:t>
      </w:r>
      <w:r w:rsidRPr="00A815AC">
        <w:rPr>
          <w:rFonts w:eastAsia="Calibri"/>
          <w:bCs/>
          <w:color w:val="000000"/>
          <w:kern w:val="24"/>
          <w:szCs w:val="64"/>
          <w:lang w:val="en-US"/>
        </w:rPr>
        <w:t>However, this treatment should be widely adopted in order to obtain better yields for chili pepper cultivation.</w:t>
      </w:r>
    </w:p>
    <w:p w14:paraId="6B3CFD0A" w14:textId="2F39C09A" w:rsidR="00A815AC" w:rsidRDefault="00776D24" w:rsidP="00A815AC">
      <w:pPr>
        <w:pStyle w:val="NormalWeb"/>
        <w:spacing w:before="0" w:beforeAutospacing="0" w:after="0" w:afterAutospacing="0" w:line="360" w:lineRule="auto"/>
        <w:jc w:val="both"/>
        <w:rPr>
          <w:color w:val="000000"/>
        </w:rPr>
      </w:pPr>
      <w:r w:rsidRPr="00A815AC">
        <w:rPr>
          <w:b/>
          <w:bCs/>
          <w:color w:val="000000"/>
        </w:rPr>
        <w:t>Keywords :</w:t>
      </w:r>
      <w:r w:rsidR="00A815AC" w:rsidRPr="00A815AC">
        <w:rPr>
          <w:color w:val="000000"/>
        </w:rPr>
        <w:t xml:space="preserve"> Effects, mineral and organic fertilization, </w:t>
      </w:r>
      <w:r w:rsidR="00A815AC">
        <w:rPr>
          <w:color w:val="000000"/>
        </w:rPr>
        <w:t>m</w:t>
      </w:r>
      <w:r w:rsidR="00A815AC" w:rsidRPr="00A815AC">
        <w:rPr>
          <w:color w:val="000000"/>
        </w:rPr>
        <w:t xml:space="preserve">irriah pepper, </w:t>
      </w:r>
      <w:r w:rsidR="00A815AC">
        <w:rPr>
          <w:color w:val="000000"/>
        </w:rPr>
        <w:t>Z</w:t>
      </w:r>
      <w:r w:rsidR="00A815AC" w:rsidRPr="00A815AC">
        <w:rPr>
          <w:color w:val="000000"/>
        </w:rPr>
        <w:t xml:space="preserve">inder, </w:t>
      </w:r>
      <w:r w:rsidR="00A815AC">
        <w:rPr>
          <w:color w:val="000000"/>
        </w:rPr>
        <w:t>N</w:t>
      </w:r>
      <w:r w:rsidR="00A815AC" w:rsidRPr="00A815AC">
        <w:rPr>
          <w:color w:val="000000"/>
        </w:rPr>
        <w:t>iger.</w:t>
      </w:r>
    </w:p>
    <w:p w14:paraId="559EA923" w14:textId="42CB91B6" w:rsidR="00776D24" w:rsidRDefault="00776D24" w:rsidP="00A815AC">
      <w:pPr>
        <w:pStyle w:val="NormalWeb"/>
        <w:spacing w:before="0" w:beforeAutospacing="0" w:after="0" w:afterAutospacing="0" w:line="360" w:lineRule="auto"/>
        <w:jc w:val="both"/>
        <w:rPr>
          <w:color w:val="000000"/>
        </w:rPr>
      </w:pPr>
    </w:p>
    <w:p w14:paraId="16A1BF79" w14:textId="563B3BF4" w:rsidR="00776D24" w:rsidRDefault="00776D24" w:rsidP="00A815AC">
      <w:pPr>
        <w:pStyle w:val="NormalWeb"/>
        <w:spacing w:before="0" w:beforeAutospacing="0" w:after="0" w:afterAutospacing="0" w:line="360" w:lineRule="auto"/>
        <w:jc w:val="both"/>
        <w:rPr>
          <w:color w:val="000000"/>
        </w:rPr>
      </w:pPr>
    </w:p>
    <w:p w14:paraId="3977E5EB" w14:textId="47BC3FE3" w:rsidR="00776D24" w:rsidRDefault="00776D24" w:rsidP="00A815AC">
      <w:pPr>
        <w:pStyle w:val="NormalWeb"/>
        <w:spacing w:before="0" w:beforeAutospacing="0" w:after="0" w:afterAutospacing="0" w:line="360" w:lineRule="auto"/>
        <w:jc w:val="both"/>
        <w:rPr>
          <w:color w:val="000000"/>
        </w:rPr>
      </w:pPr>
    </w:p>
    <w:p w14:paraId="13F00259" w14:textId="081BCA3D" w:rsidR="00776D24" w:rsidRPr="001A2447" w:rsidRDefault="00776D24" w:rsidP="00776D24">
      <w:pPr>
        <w:spacing w:line="360" w:lineRule="auto"/>
        <w:rPr>
          <w:rFonts w:ascii="Times New Roman" w:hAnsi="Times New Roman" w:cs="Times New Roman"/>
          <w:b/>
          <w:bCs/>
          <w:sz w:val="24"/>
          <w:szCs w:val="24"/>
        </w:rPr>
      </w:pPr>
      <w:r w:rsidRPr="001A2447">
        <w:rPr>
          <w:rFonts w:ascii="Times New Roman" w:hAnsi="Times New Roman" w:cs="Times New Roman"/>
          <w:b/>
          <w:bCs/>
          <w:sz w:val="24"/>
          <w:szCs w:val="24"/>
        </w:rPr>
        <w:t>INTRODUCTION</w:t>
      </w:r>
    </w:p>
    <w:p w14:paraId="2D2A4E05" w14:textId="300EDB7D" w:rsidR="00E97ED8" w:rsidRDefault="00E97ED8" w:rsidP="00E97ED8">
      <w:pPr>
        <w:spacing w:line="360" w:lineRule="auto"/>
        <w:jc w:val="both"/>
        <w:rPr>
          <w:rFonts w:ascii="Times New Roman" w:hAnsi="Times New Roman" w:cs="Times New Roman"/>
          <w:sz w:val="24"/>
          <w:szCs w:val="24"/>
        </w:rPr>
      </w:pPr>
      <w:r w:rsidRPr="00E97ED8">
        <w:rPr>
          <w:rFonts w:ascii="Times New Roman" w:hAnsi="Times New Roman" w:cs="Times New Roman"/>
          <w:sz w:val="24"/>
          <w:szCs w:val="24"/>
        </w:rPr>
        <w:t>Peppers (</w:t>
      </w:r>
      <w:r w:rsidRPr="00E97ED8">
        <w:rPr>
          <w:rFonts w:ascii="Times New Roman" w:hAnsi="Times New Roman" w:cs="Times New Roman"/>
          <w:i/>
          <w:iCs/>
          <w:sz w:val="24"/>
          <w:szCs w:val="24"/>
        </w:rPr>
        <w:t>Capsicum</w:t>
      </w:r>
      <w:r w:rsidRPr="00E97ED8">
        <w:rPr>
          <w:rFonts w:ascii="Times New Roman" w:hAnsi="Times New Roman" w:cs="Times New Roman"/>
          <w:sz w:val="24"/>
          <w:szCs w:val="24"/>
        </w:rPr>
        <w:t xml:space="preserve"> spp</w:t>
      </w:r>
      <w:r>
        <w:rPr>
          <w:rFonts w:ascii="Times New Roman" w:hAnsi="Times New Roman" w:cs="Times New Roman"/>
          <w:sz w:val="24"/>
          <w:szCs w:val="24"/>
        </w:rPr>
        <w:t>.</w:t>
      </w:r>
      <w:r w:rsidRPr="00E97ED8">
        <w:rPr>
          <w:rFonts w:ascii="Times New Roman" w:hAnsi="Times New Roman" w:cs="Times New Roman"/>
          <w:sz w:val="24"/>
          <w:szCs w:val="24"/>
        </w:rPr>
        <w:t>) are vegetable crops that are of great nutritional and commercial</w:t>
      </w:r>
      <w:r>
        <w:rPr>
          <w:rFonts w:ascii="Times New Roman" w:hAnsi="Times New Roman" w:cs="Times New Roman"/>
          <w:sz w:val="24"/>
          <w:szCs w:val="24"/>
        </w:rPr>
        <w:t xml:space="preserve"> </w:t>
      </w:r>
      <w:r w:rsidRPr="00E97ED8">
        <w:rPr>
          <w:rFonts w:ascii="Times New Roman" w:hAnsi="Times New Roman" w:cs="Times New Roman"/>
          <w:sz w:val="24"/>
          <w:szCs w:val="24"/>
        </w:rPr>
        <w:t>interest worldwide. A species of the Solanaceae family, the pepper is an annual herbaceous plant (Fernando et al., 2016) found on every continent (Eric et al., 2020).</w:t>
      </w:r>
      <w:r>
        <w:rPr>
          <w:rFonts w:ascii="Times New Roman" w:hAnsi="Times New Roman" w:cs="Times New Roman"/>
          <w:sz w:val="24"/>
          <w:szCs w:val="24"/>
        </w:rPr>
        <w:t xml:space="preserve"> </w:t>
      </w:r>
      <w:r w:rsidRPr="00E97ED8">
        <w:rPr>
          <w:rFonts w:ascii="Times New Roman" w:hAnsi="Times New Roman" w:cs="Times New Roman"/>
          <w:sz w:val="24"/>
          <w:szCs w:val="24"/>
        </w:rPr>
        <w:t>Global chili pepper production is 41,881,815.15 tons spread over an area of 3,666,266 ha (Faostat, 2022).</w:t>
      </w:r>
      <w:r>
        <w:rPr>
          <w:rFonts w:ascii="Times New Roman" w:hAnsi="Times New Roman" w:cs="Times New Roman"/>
          <w:sz w:val="24"/>
          <w:szCs w:val="24"/>
        </w:rPr>
        <w:t xml:space="preserve"> </w:t>
      </w:r>
      <w:r w:rsidRPr="00E97ED8">
        <w:rPr>
          <w:rFonts w:ascii="Times New Roman" w:hAnsi="Times New Roman" w:cs="Times New Roman"/>
          <w:sz w:val="24"/>
          <w:szCs w:val="24"/>
        </w:rPr>
        <w:t>In Africa, chili pepper production is 4,581,740.98 tons spread over an area of 738,756 (Faostat, 2022).</w:t>
      </w:r>
      <w:r>
        <w:rPr>
          <w:rFonts w:ascii="Times New Roman" w:hAnsi="Times New Roman" w:cs="Times New Roman"/>
          <w:sz w:val="24"/>
          <w:szCs w:val="24"/>
        </w:rPr>
        <w:t xml:space="preserve"> </w:t>
      </w:r>
      <w:r w:rsidRPr="00E97ED8">
        <w:rPr>
          <w:rFonts w:ascii="Times New Roman" w:hAnsi="Times New Roman" w:cs="Times New Roman"/>
          <w:sz w:val="24"/>
          <w:szCs w:val="24"/>
        </w:rPr>
        <w:t>There are currently estimated to be more than 30 wild species of chili pepper, five of which have been domesticated (C</w:t>
      </w:r>
      <w:r w:rsidRPr="00E97ED8">
        <w:rPr>
          <w:rFonts w:ascii="Times New Roman" w:hAnsi="Times New Roman" w:cs="Times New Roman"/>
          <w:i/>
          <w:iCs/>
          <w:sz w:val="24"/>
          <w:szCs w:val="24"/>
        </w:rPr>
        <w:t>. frutescens</w:t>
      </w:r>
      <w:r w:rsidRPr="00E97ED8">
        <w:rPr>
          <w:rFonts w:ascii="Times New Roman" w:hAnsi="Times New Roman" w:cs="Times New Roman"/>
          <w:sz w:val="24"/>
          <w:szCs w:val="24"/>
        </w:rPr>
        <w:t xml:space="preserve"> L., </w:t>
      </w:r>
      <w:r w:rsidRPr="00E97ED8">
        <w:rPr>
          <w:rFonts w:ascii="Times New Roman" w:hAnsi="Times New Roman" w:cs="Times New Roman"/>
          <w:i/>
          <w:iCs/>
          <w:sz w:val="24"/>
          <w:szCs w:val="24"/>
        </w:rPr>
        <w:t>C. annum</w:t>
      </w:r>
      <w:r w:rsidRPr="00E97ED8">
        <w:rPr>
          <w:rFonts w:ascii="Times New Roman" w:hAnsi="Times New Roman" w:cs="Times New Roman"/>
          <w:sz w:val="24"/>
          <w:szCs w:val="24"/>
        </w:rPr>
        <w:t xml:space="preserve"> L</w:t>
      </w:r>
      <w:r w:rsidRPr="00E97ED8">
        <w:rPr>
          <w:rFonts w:ascii="Times New Roman" w:hAnsi="Times New Roman" w:cs="Times New Roman"/>
          <w:i/>
          <w:iCs/>
          <w:sz w:val="24"/>
          <w:szCs w:val="24"/>
        </w:rPr>
        <w:t>., C. baccatum</w:t>
      </w:r>
      <w:r w:rsidRPr="00E97ED8">
        <w:rPr>
          <w:rFonts w:ascii="Times New Roman" w:hAnsi="Times New Roman" w:cs="Times New Roman"/>
          <w:sz w:val="24"/>
          <w:szCs w:val="24"/>
        </w:rPr>
        <w:t xml:space="preserve"> L., </w:t>
      </w:r>
      <w:r w:rsidRPr="00E97ED8">
        <w:rPr>
          <w:rFonts w:ascii="Times New Roman" w:hAnsi="Times New Roman" w:cs="Times New Roman"/>
          <w:i/>
          <w:iCs/>
          <w:sz w:val="24"/>
          <w:szCs w:val="24"/>
        </w:rPr>
        <w:t>C. pubescens</w:t>
      </w:r>
      <w:r w:rsidRPr="00E97ED8">
        <w:rPr>
          <w:rFonts w:ascii="Times New Roman" w:hAnsi="Times New Roman" w:cs="Times New Roman"/>
          <w:sz w:val="24"/>
          <w:szCs w:val="24"/>
        </w:rPr>
        <w:t xml:space="preserve"> Ruiz &amp; Pav., and C. chinense Jacq are the most widely cultivated in the world.</w:t>
      </w:r>
      <w:r>
        <w:rPr>
          <w:rFonts w:ascii="Times New Roman" w:hAnsi="Times New Roman" w:cs="Times New Roman"/>
          <w:sz w:val="24"/>
          <w:szCs w:val="24"/>
        </w:rPr>
        <w:t xml:space="preserve"> </w:t>
      </w:r>
      <w:r w:rsidRPr="00E97ED8">
        <w:rPr>
          <w:rFonts w:ascii="Times New Roman" w:hAnsi="Times New Roman" w:cs="Times New Roman"/>
          <w:sz w:val="24"/>
          <w:szCs w:val="24"/>
        </w:rPr>
        <w:t>Each species is distinguished by its wide diversity of traits in terms of vegetative parts and/or fruits (Nicéphore et al., 2021, Akaza et al., 2022).</w:t>
      </w:r>
      <w:r>
        <w:rPr>
          <w:rFonts w:ascii="Times New Roman" w:hAnsi="Times New Roman" w:cs="Times New Roman"/>
          <w:sz w:val="24"/>
          <w:szCs w:val="24"/>
        </w:rPr>
        <w:t xml:space="preserve"> </w:t>
      </w:r>
      <w:r w:rsidRPr="00E97ED8">
        <w:rPr>
          <w:rFonts w:ascii="Times New Roman" w:hAnsi="Times New Roman" w:cs="Times New Roman"/>
          <w:sz w:val="24"/>
          <w:szCs w:val="24"/>
        </w:rPr>
        <w:t xml:space="preserve">Therefore, identifying these varieties is crucial for their </w:t>
      </w:r>
      <w:r w:rsidRPr="00E97ED8">
        <w:rPr>
          <w:rFonts w:ascii="Times New Roman" w:hAnsi="Times New Roman" w:cs="Times New Roman"/>
          <w:sz w:val="24"/>
          <w:szCs w:val="24"/>
        </w:rPr>
        <w:lastRenderedPageBreak/>
        <w:t>conservation and promotion.</w:t>
      </w:r>
      <w:r>
        <w:rPr>
          <w:rFonts w:ascii="Times New Roman" w:hAnsi="Times New Roman" w:cs="Times New Roman"/>
          <w:sz w:val="24"/>
          <w:szCs w:val="24"/>
        </w:rPr>
        <w:t xml:space="preserve"> </w:t>
      </w:r>
      <w:r w:rsidRPr="00E97ED8">
        <w:rPr>
          <w:rFonts w:ascii="Times New Roman" w:hAnsi="Times New Roman" w:cs="Times New Roman"/>
          <w:sz w:val="24"/>
          <w:szCs w:val="24"/>
        </w:rPr>
        <w:t>The genetic resources of chili peppers are a vital source for diversifying varieties to meet food needs.</w:t>
      </w:r>
      <w:r>
        <w:rPr>
          <w:rFonts w:ascii="Times New Roman" w:hAnsi="Times New Roman" w:cs="Times New Roman"/>
          <w:sz w:val="24"/>
          <w:szCs w:val="24"/>
        </w:rPr>
        <w:t xml:space="preserve"> </w:t>
      </w:r>
      <w:r w:rsidRPr="00E97ED8">
        <w:rPr>
          <w:rFonts w:ascii="Times New Roman" w:hAnsi="Times New Roman" w:cs="Times New Roman"/>
          <w:sz w:val="24"/>
          <w:szCs w:val="24"/>
        </w:rPr>
        <w:t>Chili peppers have high nutritional value due to the presence of capsaicinoids, which are responsible for their spicy taste, carotenoids, phenolic compounds, vitamins C and E, and other chemical elements with antioxidant and hypoglycemic properties (Lahbib et al., 2021).</w:t>
      </w:r>
      <w:r>
        <w:rPr>
          <w:rFonts w:ascii="Times New Roman" w:hAnsi="Times New Roman" w:cs="Times New Roman"/>
          <w:sz w:val="24"/>
          <w:szCs w:val="24"/>
        </w:rPr>
        <w:t xml:space="preserve"> </w:t>
      </w:r>
      <w:r w:rsidRPr="00E97ED8">
        <w:rPr>
          <w:rFonts w:ascii="Times New Roman" w:hAnsi="Times New Roman" w:cs="Times New Roman"/>
          <w:sz w:val="24"/>
          <w:szCs w:val="24"/>
        </w:rPr>
        <w:t>For the integrated pest management program for agricultural products, it acts as a biopesticide (Simo et al., 2019).</w:t>
      </w:r>
      <w:r>
        <w:rPr>
          <w:rFonts w:ascii="Times New Roman" w:hAnsi="Times New Roman" w:cs="Times New Roman"/>
          <w:sz w:val="24"/>
          <w:szCs w:val="24"/>
        </w:rPr>
        <w:t xml:space="preserve"> </w:t>
      </w:r>
      <w:r w:rsidRPr="00E97ED8">
        <w:rPr>
          <w:rFonts w:ascii="Times New Roman" w:hAnsi="Times New Roman" w:cs="Times New Roman"/>
          <w:sz w:val="24"/>
          <w:szCs w:val="24"/>
        </w:rPr>
        <w:t>Chili peppers also contain many compounds that are beneficial to the proper functioning of the human body, such as minerals and other substances with antibacterial, antiseptic, diuretic, sudorific, digestive, anticonvulsant, and antioxidant properties.</w:t>
      </w:r>
      <w:r>
        <w:rPr>
          <w:rFonts w:ascii="Times New Roman" w:hAnsi="Times New Roman" w:cs="Times New Roman"/>
          <w:sz w:val="24"/>
          <w:szCs w:val="24"/>
        </w:rPr>
        <w:t xml:space="preserve"> </w:t>
      </w:r>
      <w:r w:rsidR="00921D1D">
        <w:rPr>
          <w:rFonts w:ascii="Times New Roman" w:hAnsi="Times New Roman" w:cs="Times New Roman"/>
          <w:sz w:val="24"/>
          <w:szCs w:val="24"/>
        </w:rPr>
        <w:t>I</w:t>
      </w:r>
      <w:r w:rsidR="00921D1D" w:rsidRPr="00921D1D">
        <w:rPr>
          <w:rFonts w:ascii="Times New Roman" w:hAnsi="Times New Roman" w:cs="Times New Roman"/>
          <w:sz w:val="24"/>
          <w:szCs w:val="24"/>
        </w:rPr>
        <w:t>t can be used as an environmentally friendly compound due to its repellent properties against mice, squirrels, and rabbits.</w:t>
      </w:r>
      <w:r w:rsidR="00921D1D">
        <w:rPr>
          <w:rFonts w:ascii="Times New Roman" w:hAnsi="Times New Roman" w:cs="Times New Roman"/>
          <w:sz w:val="24"/>
          <w:szCs w:val="24"/>
        </w:rPr>
        <w:t xml:space="preserve"> </w:t>
      </w:r>
      <w:r w:rsidR="00135133" w:rsidRPr="00135133">
        <w:rPr>
          <w:rFonts w:ascii="Times New Roman" w:hAnsi="Times New Roman" w:cs="Times New Roman"/>
          <w:sz w:val="24"/>
          <w:szCs w:val="24"/>
        </w:rPr>
        <w:t xml:space="preserve">In Niger, according to the final report of the survey on horticultural production (RDEPH, 2022), chili peppers are grown in all regions on an area of 3,033.58 ha, with production estimated at 31,824.47 </w:t>
      </w:r>
      <w:r w:rsidR="00135133">
        <w:rPr>
          <w:rFonts w:ascii="Times New Roman" w:hAnsi="Times New Roman" w:cs="Times New Roman"/>
          <w:sz w:val="24"/>
          <w:szCs w:val="24"/>
        </w:rPr>
        <w:t>T</w:t>
      </w:r>
      <w:r w:rsidR="00135133" w:rsidRPr="00135133">
        <w:rPr>
          <w:rFonts w:ascii="Times New Roman" w:hAnsi="Times New Roman" w:cs="Times New Roman"/>
          <w:sz w:val="24"/>
          <w:szCs w:val="24"/>
        </w:rPr>
        <w:t>.</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The region with the highest production is Tahoua, with 1,692.98 ha and a production of 18,758.85 tons (58.94%), followed by the regions of Maradi and Zinder, which account for 21.67% and 7.68% of the area under cultivation, respectively.</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The other regions account for the remaining 11.71% of the area. However, numerous constraints still limit the development of these crops.</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These include the low productivity of local cultivars, high pest pressure, poor control of technical itineraries, and above all, soil degradation and depletion, which remain at the heart of debates on rural development and the future of agriculture (N'Guessan et al., 2015).</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Fertilization is the lifeblood of modern agriculture. It ensures that plants receive the nutrients they need, which in turn influences crop yield and quality (Coulibaly et al., 2021).</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However, excessive use of chemical fertilizers is harmful to the environment (Yannick et al., 2012). These risks make fertilization one of the most problematic agricultural practices today, especially for market gardening crops, which have very high nutritional requirements.</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This is why the use of organic fertilizers, which is one of the traditional methods, is currently being revived (Dada and Sayah, 2020).</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The</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traditionally</w:t>
      </w:r>
      <w:r w:rsidR="00135133">
        <w:rPr>
          <w:rFonts w:ascii="Times New Roman" w:hAnsi="Times New Roman" w:cs="Times New Roman"/>
          <w:sz w:val="24"/>
          <w:szCs w:val="24"/>
        </w:rPr>
        <w:t xml:space="preserve"> question</w:t>
      </w:r>
      <w:r w:rsidR="00135133" w:rsidRPr="00135133">
        <w:rPr>
          <w:rFonts w:ascii="Times New Roman" w:hAnsi="Times New Roman" w:cs="Times New Roman"/>
          <w:sz w:val="24"/>
          <w:szCs w:val="24"/>
        </w:rPr>
        <w:t xml:space="preserve"> asked by producers is “how can we meet the demands of customers who are increasingly interested in organic products, while at the same time achieving high yields without over-relying on mineral fertilizers (MOHAMEDI, 2023)?” Furthermore, mineral fertilization has long been considered the essential means of improving fertility and soil amendments in Africa (Pypers et al., 2011).</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Experience shows that mineral fertilizers do not always produce the desired results. It is essential to apply the best fertilizer at the optimal dose, at the right time, and in the best place (Coulbaly et al, 2017).</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 xml:space="preserve">Thus, given the importance of chili peppers in our country's agri-food and agro-economic sectors, and with a view to providing producers with suitable chili peppers to address the issues of climate change, environmental </w:t>
      </w:r>
      <w:r w:rsidR="009307AD" w:rsidRPr="009307AD">
        <w:rPr>
          <w:rFonts w:ascii="Times New Roman" w:hAnsi="Times New Roman" w:cs="Times New Roman"/>
          <w:sz w:val="24"/>
          <w:szCs w:val="24"/>
        </w:rPr>
        <w:lastRenderedPageBreak/>
        <w:t>pollution, and the selection of varieties with desirable characteristics, as well as the production of local seeds for the conservation of genetic heritage, these issues deserve special attention.</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It is important to emphasize that a better understanding of the genetic material of chili peppers is necessary in order to carry out variety selection programs.</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Several studies have focused on chili pepper cultivation in Africa, but few have examined the agromorphological characteristics and fertilization of chili peppers in Niger.</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In this context, the main objective of this study is to evaluate the effect of mineral and organic fertilization on a variety of chili pepper (Mirriah chili pepper) from the Zinder region.</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Specifically, this involves: (i) identifying the fertilizers best suited to chili pepper development and productivity in the Zinder region.</w:t>
      </w:r>
      <w:r w:rsidR="009307AD">
        <w:rPr>
          <w:rFonts w:ascii="Times New Roman" w:hAnsi="Times New Roman" w:cs="Times New Roman"/>
          <w:sz w:val="24"/>
          <w:szCs w:val="24"/>
        </w:rPr>
        <w:t xml:space="preserve"> </w:t>
      </w:r>
      <w:r w:rsidR="001E33C5" w:rsidRPr="001E33C5">
        <w:rPr>
          <w:rFonts w:ascii="Times New Roman" w:hAnsi="Times New Roman" w:cs="Times New Roman"/>
          <w:sz w:val="24"/>
          <w:szCs w:val="24"/>
        </w:rPr>
        <w:t>The hypothesis assigned to this objective is: The growth of chili peppers depends on the type of fertilizer used.</w:t>
      </w:r>
    </w:p>
    <w:p w14:paraId="13183B9E" w14:textId="77777777" w:rsidR="001E33C5" w:rsidRPr="001A2447" w:rsidRDefault="001E33C5" w:rsidP="001E33C5">
      <w:pPr>
        <w:spacing w:line="360" w:lineRule="auto"/>
        <w:jc w:val="both"/>
        <w:rPr>
          <w:rFonts w:ascii="Times New Roman" w:hAnsi="Times New Roman" w:cs="Times New Roman"/>
          <w:b/>
          <w:bCs/>
          <w:sz w:val="24"/>
          <w:szCs w:val="24"/>
        </w:rPr>
      </w:pPr>
      <w:r w:rsidRPr="001A2447">
        <w:rPr>
          <w:rFonts w:ascii="Times New Roman" w:hAnsi="Times New Roman" w:cs="Times New Roman"/>
          <w:b/>
          <w:bCs/>
          <w:sz w:val="24"/>
          <w:szCs w:val="24"/>
        </w:rPr>
        <w:t>1. MATERIALS AND METHODS</w:t>
      </w:r>
    </w:p>
    <w:p w14:paraId="450723E0" w14:textId="23B3D652" w:rsidR="001E33C5" w:rsidRPr="001A2447" w:rsidRDefault="001E33C5" w:rsidP="001E33C5">
      <w:pPr>
        <w:spacing w:line="360" w:lineRule="auto"/>
        <w:jc w:val="both"/>
        <w:rPr>
          <w:rFonts w:ascii="Times New Roman" w:hAnsi="Times New Roman" w:cs="Times New Roman"/>
          <w:b/>
          <w:bCs/>
          <w:i/>
          <w:iCs/>
          <w:sz w:val="24"/>
          <w:szCs w:val="24"/>
        </w:rPr>
      </w:pPr>
      <w:r w:rsidRPr="001A2447">
        <w:rPr>
          <w:rFonts w:ascii="Times New Roman" w:hAnsi="Times New Roman" w:cs="Times New Roman"/>
          <w:b/>
          <w:bCs/>
          <w:i/>
          <w:iCs/>
          <w:sz w:val="24"/>
          <w:szCs w:val="24"/>
        </w:rPr>
        <w:t>1.1. Study site</w:t>
      </w:r>
    </w:p>
    <w:p w14:paraId="1BEBC74D" w14:textId="274E6C2C" w:rsidR="00776D24" w:rsidRDefault="001E33C5" w:rsidP="00A815AC">
      <w:pPr>
        <w:pStyle w:val="NormalWeb"/>
        <w:spacing w:before="0" w:beforeAutospacing="0" w:after="0" w:afterAutospacing="0" w:line="360" w:lineRule="auto"/>
        <w:jc w:val="both"/>
        <w:rPr>
          <w:color w:val="000000"/>
        </w:rPr>
      </w:pPr>
      <w:r w:rsidRPr="001E33C5">
        <w:rPr>
          <w:color w:val="000000"/>
        </w:rPr>
        <w:t>The trial was conducted in the experimental field (Figure 1) of the Faculty of Science and Technology at André Salifou University in Zinder during the 2023 growing season.</w:t>
      </w:r>
      <w:r>
        <w:rPr>
          <w:color w:val="000000"/>
        </w:rPr>
        <w:t xml:space="preserve"> </w:t>
      </w:r>
      <w:r w:rsidRPr="001E33C5">
        <w:rPr>
          <w:color w:val="000000"/>
        </w:rPr>
        <w:t>The FST/UAS experimental site, located between (Latitude: 13.84538° and Longitude: 8.984°), was created in 2016 on the university campus as part of biological science research. It covers an area of 2,045 m² and its purpose and missions are agricultural experimentation, seed conditioning and production, animal testing and experimentation, and participating in the dissemination of knowledge to users (farmers, pastoralists, etc.).</w:t>
      </w:r>
      <w:r>
        <w:rPr>
          <w:color w:val="000000"/>
        </w:rPr>
        <w:t xml:space="preserve"> </w:t>
      </w:r>
      <w:r w:rsidRPr="001E33C5">
        <w:rPr>
          <w:color w:val="000000"/>
        </w:rPr>
        <w:t>Since its creation, several research projects have been carried out. This area includes plantations of annual crops, vegetables, and fruit plants, as well as a section set aside for poultry and small ruminants. The manure from these animals is used as fertilizer in the experiments.</w:t>
      </w:r>
      <w:r>
        <w:rPr>
          <w:color w:val="000000"/>
        </w:rPr>
        <w:t xml:space="preserve"> </w:t>
      </w:r>
      <w:r w:rsidRPr="001E33C5">
        <w:rPr>
          <w:color w:val="000000"/>
        </w:rPr>
        <w:t>The soil in this experimental area is mainly sandy-clay (Mamadou, 2015). The climate in the city of Zinder is Sahelian, characterized by a short rainy season from June to September (Amadou et al., 2014) and a long dry season from October to May.</w:t>
      </w:r>
      <w:r w:rsidR="00ED7AA4">
        <w:rPr>
          <w:color w:val="000000"/>
        </w:rPr>
        <w:t xml:space="preserve"> </w:t>
      </w:r>
      <w:r w:rsidR="00ED7AA4" w:rsidRPr="00ED7AA4">
        <w:rPr>
          <w:color w:val="000000"/>
        </w:rPr>
        <w:t>The city of Zinder is located between the 350 and 450 mm isohyets. Average annual temperatures range from 21.6°C to 35.51°C. May is the hottest month with an average temperature of 40.6°C, while January has the lowest temperature with an average of 14.7°C (Mamadou, 2015).</w:t>
      </w:r>
      <w:r w:rsidR="00ED7AA4">
        <w:rPr>
          <w:color w:val="000000"/>
        </w:rPr>
        <w:t xml:space="preserve"> </w:t>
      </w:r>
      <w:r w:rsidR="00ED7AA4" w:rsidRPr="00ED7AA4">
        <w:rPr>
          <w:color w:val="000000"/>
        </w:rPr>
        <w:t>The monthly rainfall totals recorded during the trial period in 2023 are shown in Figure 2.</w:t>
      </w:r>
      <w:r w:rsidR="00ED7AA4">
        <w:rPr>
          <w:color w:val="000000"/>
        </w:rPr>
        <w:t xml:space="preserve"> </w:t>
      </w:r>
      <w:r w:rsidR="00ED7AA4" w:rsidRPr="00ED7AA4">
        <w:rPr>
          <w:color w:val="000000"/>
        </w:rPr>
        <w:t>We can see that humidity rises during the rainy season, specifically in August with 166 mm, but it is low in May with 15 mm.</w:t>
      </w:r>
      <w:r w:rsidR="00ED7AA4">
        <w:rPr>
          <w:color w:val="000000"/>
        </w:rPr>
        <w:t xml:space="preserve"> </w:t>
      </w:r>
      <w:r w:rsidR="00ED7AA4" w:rsidRPr="00ED7AA4">
        <w:rPr>
          <w:color w:val="000000"/>
        </w:rPr>
        <w:t>The total shows us that the 2023 campaign was in surplus, as it exceeded the 500 mm threshold.</w:t>
      </w:r>
      <w:r w:rsidR="00ED7AA4">
        <w:rPr>
          <w:color w:val="000000"/>
        </w:rPr>
        <w:t xml:space="preserve"> </w:t>
      </w:r>
      <w:r w:rsidR="00ED7AA4" w:rsidRPr="00ED7AA4">
        <w:rPr>
          <w:color w:val="000000"/>
        </w:rPr>
        <w:t>It is also important to note that this year was disrupted by a drought lasting almost thirty days in August.</w:t>
      </w:r>
      <w:r w:rsidR="00ED7AA4">
        <w:rPr>
          <w:color w:val="000000"/>
        </w:rPr>
        <w:t xml:space="preserve"> </w:t>
      </w:r>
    </w:p>
    <w:p w14:paraId="06989507" w14:textId="2699D422" w:rsidR="00ED7AA4" w:rsidRDefault="00ED7AA4" w:rsidP="00A815AC">
      <w:pPr>
        <w:pStyle w:val="NormalWeb"/>
        <w:spacing w:before="0" w:beforeAutospacing="0" w:after="0" w:afterAutospacing="0" w:line="360" w:lineRule="auto"/>
        <w:jc w:val="both"/>
        <w:rPr>
          <w:color w:val="000000"/>
        </w:rPr>
      </w:pPr>
      <w:r>
        <w:rPr>
          <w:noProof/>
        </w:rPr>
        <w:lastRenderedPageBreak/>
        <w:drawing>
          <wp:inline distT="0" distB="0" distL="0" distR="0" wp14:anchorId="766BE4BB" wp14:editId="08FBF8A2">
            <wp:extent cx="5890501" cy="5162550"/>
            <wp:effectExtent l="0" t="0" r="0" b="0"/>
            <wp:docPr id="16" name="Image 16" descr="C:\Users\HP\AppData\Local\Microsoft\Windows\INetCache\Content.Word\carte jardin issa mé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carte jardin issa mén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1862" cy="5181271"/>
                    </a:xfrm>
                    <a:prstGeom prst="rect">
                      <a:avLst/>
                    </a:prstGeom>
                    <a:noFill/>
                    <a:ln>
                      <a:noFill/>
                    </a:ln>
                  </pic:spPr>
                </pic:pic>
              </a:graphicData>
            </a:graphic>
          </wp:inline>
        </w:drawing>
      </w:r>
    </w:p>
    <w:p w14:paraId="64E7AE8F" w14:textId="77777777" w:rsidR="00776D24" w:rsidRDefault="00776D24" w:rsidP="00A815AC">
      <w:pPr>
        <w:pStyle w:val="NormalWeb"/>
        <w:spacing w:before="0" w:beforeAutospacing="0" w:after="0" w:afterAutospacing="0" w:line="360" w:lineRule="auto"/>
        <w:jc w:val="both"/>
        <w:rPr>
          <w:color w:val="000000"/>
        </w:rPr>
      </w:pPr>
    </w:p>
    <w:p w14:paraId="1D7C0A06" w14:textId="0C74797F" w:rsidR="00A815AC" w:rsidRPr="00ED7AA4" w:rsidRDefault="00ED7AA4" w:rsidP="00ED7AA4">
      <w:pPr>
        <w:pStyle w:val="NormalWeb"/>
        <w:spacing w:before="0" w:beforeAutospacing="0" w:after="0" w:afterAutospacing="0" w:line="360" w:lineRule="auto"/>
        <w:jc w:val="center"/>
        <w:rPr>
          <w:rFonts w:eastAsia="Calibri"/>
          <w:bCs/>
          <w:color w:val="000000"/>
          <w:kern w:val="24"/>
          <w:szCs w:val="64"/>
          <w:lang w:val="en-US"/>
        </w:rPr>
      </w:pPr>
      <w:r w:rsidRPr="00ED7AA4">
        <w:rPr>
          <w:rFonts w:eastAsia="Calibri"/>
          <w:b/>
          <w:color w:val="000000"/>
          <w:kern w:val="24"/>
          <w:szCs w:val="64"/>
          <w:lang w:val="en-US"/>
        </w:rPr>
        <w:t xml:space="preserve">Figure 1: </w:t>
      </w:r>
      <w:r w:rsidRPr="00ED7AA4">
        <w:rPr>
          <w:rFonts w:eastAsia="Calibri"/>
          <w:bCs/>
          <w:color w:val="000000"/>
          <w:kern w:val="24"/>
          <w:szCs w:val="64"/>
          <w:lang w:val="en-US"/>
        </w:rPr>
        <w:t>Study site</w:t>
      </w:r>
      <w:r w:rsidR="00C072F7">
        <w:rPr>
          <w:rFonts w:eastAsia="Calibri"/>
          <w:bCs/>
          <w:color w:val="000000"/>
          <w:kern w:val="24"/>
          <w:szCs w:val="64"/>
          <w:lang w:val="en-US"/>
        </w:rPr>
        <w:t xml:space="preserve"> presentation</w:t>
      </w:r>
    </w:p>
    <w:p w14:paraId="0D14207C" w14:textId="77777777" w:rsidR="00930F53" w:rsidRPr="0017737C" w:rsidRDefault="00930F53" w:rsidP="00930F53">
      <w:pPr>
        <w:spacing w:line="276" w:lineRule="auto"/>
        <w:rPr>
          <w:rFonts w:ascii="Times New Roman" w:hAnsi="Times New Roman" w:cs="Times New Roman"/>
          <w:bCs/>
          <w:sz w:val="24"/>
          <w:szCs w:val="24"/>
          <w:vertAlign w:val="superscript"/>
        </w:rPr>
      </w:pPr>
    </w:p>
    <w:p w14:paraId="03E9F5AB" w14:textId="3CB5420C" w:rsidR="00B50CE3" w:rsidRDefault="00ED7AA4">
      <w:pPr>
        <w:rPr>
          <w:rFonts w:ascii="Times New Roman" w:hAnsi="Times New Roman" w:cs="Times New Roman"/>
          <w:sz w:val="24"/>
          <w:szCs w:val="24"/>
        </w:rPr>
      </w:pPr>
      <w:r w:rsidRPr="005B75E0">
        <w:rPr>
          <w:b/>
          <w:noProof/>
          <w:lang w:eastAsia="fr-FR"/>
        </w:rPr>
        <w:drawing>
          <wp:inline distT="0" distB="0" distL="0" distR="0" wp14:anchorId="123E3EEC" wp14:editId="187D97EB">
            <wp:extent cx="5676900" cy="2619375"/>
            <wp:effectExtent l="0" t="0" r="0"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B3A7B2" w14:textId="00545774" w:rsidR="00B32CDB" w:rsidRDefault="00B32CDB">
      <w:pPr>
        <w:rPr>
          <w:rFonts w:ascii="Times New Roman" w:hAnsi="Times New Roman" w:cs="Times New Roman"/>
          <w:sz w:val="24"/>
          <w:szCs w:val="24"/>
        </w:rPr>
      </w:pPr>
      <w:r w:rsidRPr="00B32CDB">
        <w:rPr>
          <w:rFonts w:ascii="Times New Roman" w:hAnsi="Times New Roman" w:cs="Times New Roman"/>
          <w:sz w:val="24"/>
          <w:szCs w:val="24"/>
        </w:rPr>
        <w:lastRenderedPageBreak/>
        <w:t>Source : Field data (Méno, 2023)</w:t>
      </w:r>
    </w:p>
    <w:p w14:paraId="3EABAA9F" w14:textId="7AADBDB1" w:rsidR="00B32CDB" w:rsidRDefault="00B32CDB" w:rsidP="00B32CDB">
      <w:pPr>
        <w:jc w:val="center"/>
        <w:rPr>
          <w:rFonts w:ascii="Times New Roman" w:hAnsi="Times New Roman" w:cs="Times New Roman"/>
          <w:sz w:val="24"/>
          <w:szCs w:val="24"/>
        </w:rPr>
      </w:pPr>
      <w:r w:rsidRPr="00B32CDB">
        <w:rPr>
          <w:rFonts w:ascii="Times New Roman" w:hAnsi="Times New Roman" w:cs="Times New Roman"/>
          <w:b/>
          <w:bCs/>
          <w:sz w:val="24"/>
          <w:szCs w:val="24"/>
        </w:rPr>
        <w:t>Figure 2</w:t>
      </w:r>
      <w:r>
        <w:rPr>
          <w:rFonts w:ascii="Times New Roman" w:hAnsi="Times New Roman" w:cs="Times New Roman"/>
          <w:b/>
          <w:bCs/>
          <w:sz w:val="24"/>
          <w:szCs w:val="24"/>
        </w:rPr>
        <w:t xml:space="preserve"> </w:t>
      </w:r>
      <w:r w:rsidRPr="00B32CDB">
        <w:rPr>
          <w:rFonts w:ascii="Times New Roman" w:hAnsi="Times New Roman" w:cs="Times New Roman"/>
          <w:b/>
          <w:bCs/>
          <w:sz w:val="24"/>
          <w:szCs w:val="24"/>
        </w:rPr>
        <w:t>:</w:t>
      </w:r>
      <w:r w:rsidRPr="00B32CDB">
        <w:rPr>
          <w:rFonts w:ascii="Times New Roman" w:hAnsi="Times New Roman" w:cs="Times New Roman"/>
          <w:sz w:val="24"/>
          <w:szCs w:val="24"/>
        </w:rPr>
        <w:t xml:space="preserve"> Monthly rainfall totals for the 2023 season</w:t>
      </w:r>
    </w:p>
    <w:p w14:paraId="33DB2F2E" w14:textId="3BE0C670" w:rsidR="00B32CDB" w:rsidRDefault="00B32CDB" w:rsidP="00B32CDB">
      <w:pPr>
        <w:rPr>
          <w:rFonts w:ascii="Times New Roman" w:hAnsi="Times New Roman" w:cs="Times New Roman"/>
          <w:b/>
          <w:bCs/>
          <w:i/>
          <w:iCs/>
          <w:sz w:val="24"/>
          <w:szCs w:val="24"/>
        </w:rPr>
      </w:pPr>
      <w:r w:rsidRPr="00B32CDB">
        <w:rPr>
          <w:rFonts w:ascii="Times New Roman" w:hAnsi="Times New Roman" w:cs="Times New Roman"/>
          <w:b/>
          <w:bCs/>
          <w:i/>
          <w:iCs/>
          <w:sz w:val="24"/>
          <w:szCs w:val="24"/>
        </w:rPr>
        <w:t xml:space="preserve">1.2. Plant </w:t>
      </w:r>
      <w:r>
        <w:rPr>
          <w:rFonts w:ascii="Times New Roman" w:hAnsi="Times New Roman" w:cs="Times New Roman"/>
          <w:b/>
          <w:bCs/>
          <w:i/>
          <w:iCs/>
          <w:sz w:val="24"/>
          <w:szCs w:val="24"/>
        </w:rPr>
        <w:t>m</w:t>
      </w:r>
      <w:r w:rsidRPr="00B32CDB">
        <w:rPr>
          <w:rFonts w:ascii="Times New Roman" w:hAnsi="Times New Roman" w:cs="Times New Roman"/>
          <w:b/>
          <w:bCs/>
          <w:i/>
          <w:iCs/>
          <w:sz w:val="24"/>
          <w:szCs w:val="24"/>
        </w:rPr>
        <w:t>aterial</w:t>
      </w:r>
    </w:p>
    <w:p w14:paraId="306C0AA2" w14:textId="211F9E58" w:rsidR="003714F5" w:rsidRDefault="003714F5" w:rsidP="003714F5">
      <w:pPr>
        <w:spacing w:line="360" w:lineRule="auto"/>
        <w:jc w:val="both"/>
        <w:rPr>
          <w:rFonts w:ascii="Times New Roman" w:hAnsi="Times New Roman" w:cs="Times New Roman"/>
          <w:sz w:val="24"/>
          <w:szCs w:val="24"/>
        </w:rPr>
      </w:pPr>
      <w:r w:rsidRPr="003714F5">
        <w:rPr>
          <w:rFonts w:ascii="Times New Roman" w:hAnsi="Times New Roman" w:cs="Times New Roman"/>
          <w:sz w:val="24"/>
          <w:szCs w:val="24"/>
        </w:rPr>
        <w:t xml:space="preserve">The plant material used (Table 1) in this study consists of the Capsicum frutescens variety known as “Mirriah pepper,” collected from producers in the locality of Tessaoua, which is the pepper production area in the Zinder region (Ouma, 2022). </w:t>
      </w:r>
    </w:p>
    <w:p w14:paraId="550A6504" w14:textId="164DD91E" w:rsidR="003714F5" w:rsidRDefault="003714F5" w:rsidP="00C6346E">
      <w:pPr>
        <w:spacing w:line="360" w:lineRule="auto"/>
        <w:rPr>
          <w:rFonts w:ascii="Times New Roman" w:hAnsi="Times New Roman" w:cs="Times New Roman"/>
          <w:sz w:val="24"/>
          <w:szCs w:val="24"/>
        </w:rPr>
      </w:pPr>
      <w:r w:rsidRPr="003714F5">
        <w:rPr>
          <w:rFonts w:ascii="Times New Roman" w:hAnsi="Times New Roman" w:cs="Times New Roman"/>
          <w:b/>
          <w:bCs/>
          <w:sz w:val="24"/>
          <w:szCs w:val="24"/>
        </w:rPr>
        <w:t>Table 1</w:t>
      </w:r>
      <w:r>
        <w:rPr>
          <w:rFonts w:ascii="Times New Roman" w:hAnsi="Times New Roman" w:cs="Times New Roman"/>
          <w:b/>
          <w:bCs/>
          <w:sz w:val="24"/>
          <w:szCs w:val="24"/>
        </w:rPr>
        <w:t xml:space="preserve"> </w:t>
      </w:r>
      <w:r w:rsidRPr="003714F5">
        <w:rPr>
          <w:rFonts w:ascii="Times New Roman" w:hAnsi="Times New Roman" w:cs="Times New Roman"/>
          <w:b/>
          <w:bCs/>
          <w:sz w:val="24"/>
          <w:szCs w:val="24"/>
        </w:rPr>
        <w:t>:</w:t>
      </w:r>
      <w:r w:rsidRPr="003714F5">
        <w:rPr>
          <w:rFonts w:ascii="Times New Roman" w:hAnsi="Times New Roman" w:cs="Times New Roman"/>
          <w:sz w:val="24"/>
          <w:szCs w:val="24"/>
        </w:rPr>
        <w:t xml:space="preserve"> Characteristics of the variety and its </w:t>
      </w:r>
      <w:bookmarkStart w:id="1" w:name="_Hlk217404201"/>
      <w:r w:rsidRPr="003714F5">
        <w:rPr>
          <w:rFonts w:ascii="Times New Roman" w:hAnsi="Times New Roman" w:cs="Times New Roman"/>
          <w:sz w:val="24"/>
          <w:szCs w:val="24"/>
        </w:rPr>
        <w:t>origin</w:t>
      </w:r>
      <w:bookmarkEnd w:id="1"/>
    </w:p>
    <w:p w14:paraId="3DF209B0" w14:textId="51824A03" w:rsidR="006065BF" w:rsidRDefault="003714F5" w:rsidP="006065BF">
      <w:pPr>
        <w:pBdr>
          <w:top w:val="thinThickSmallGap" w:sz="24" w:space="1" w:color="auto"/>
          <w:bottom w:val="thickThinSmallGap" w:sz="24" w:space="1" w:color="auto"/>
        </w:pBdr>
        <w:spacing w:line="360" w:lineRule="auto"/>
        <w:jc w:val="both"/>
        <w:rPr>
          <w:rFonts w:ascii="Times New Roman" w:hAnsi="Times New Roman" w:cs="Times New Roman"/>
          <w:b/>
        </w:rPr>
      </w:pPr>
      <w:r w:rsidRPr="003714F5">
        <w:rPr>
          <w:rFonts w:ascii="Times New Roman" w:hAnsi="Times New Roman" w:cs="Times New Roman"/>
          <w:b/>
        </w:rPr>
        <w:t>Variety type</w:t>
      </w:r>
      <w:r>
        <w:rPr>
          <w:rFonts w:ascii="Times New Roman" w:hAnsi="Times New Roman" w:cs="Times New Roman"/>
          <w:b/>
        </w:rPr>
        <w:t xml:space="preserve">     </w:t>
      </w:r>
      <w:r>
        <w:rPr>
          <w:rFonts w:ascii="Times New Roman" w:hAnsi="Times New Roman" w:cs="Times New Roman"/>
          <w:b/>
        </w:rPr>
        <w:tab/>
      </w:r>
      <w:r w:rsidRPr="003714F5">
        <w:rPr>
          <w:rFonts w:ascii="Times New Roman" w:hAnsi="Times New Roman" w:cs="Times New Roman"/>
          <w:b/>
        </w:rPr>
        <w:t>Variety</w:t>
      </w:r>
      <w:r w:rsidRPr="005020CD">
        <w:rPr>
          <w:rFonts w:ascii="Times New Roman" w:hAnsi="Times New Roman" w:cs="Times New Roman"/>
          <w:b/>
        </w:rPr>
        <w:t xml:space="preserve">                    </w:t>
      </w:r>
      <w:r>
        <w:rPr>
          <w:rFonts w:ascii="Times New Roman" w:hAnsi="Times New Roman" w:cs="Times New Roman"/>
          <w:b/>
        </w:rPr>
        <w:t>O</w:t>
      </w:r>
      <w:r w:rsidRPr="003714F5">
        <w:rPr>
          <w:rFonts w:ascii="Times New Roman" w:hAnsi="Times New Roman" w:cs="Times New Roman"/>
          <w:b/>
        </w:rPr>
        <w:t>rigin</w:t>
      </w:r>
      <w:r w:rsidRPr="005020CD">
        <w:rPr>
          <w:rFonts w:ascii="Times New Roman" w:hAnsi="Times New Roman" w:cs="Times New Roman"/>
          <w:b/>
        </w:rPr>
        <w:tab/>
      </w:r>
      <w:r w:rsidR="006065BF" w:rsidRPr="006065BF">
        <w:rPr>
          <w:rFonts w:ascii="Times New Roman" w:hAnsi="Times New Roman" w:cs="Times New Roman"/>
          <w:b/>
        </w:rPr>
        <w:t xml:space="preserve">  </w:t>
      </w:r>
      <w:r w:rsidR="006065BF">
        <w:rPr>
          <w:rFonts w:ascii="Times New Roman" w:hAnsi="Times New Roman" w:cs="Times New Roman"/>
          <w:b/>
        </w:rPr>
        <w:t xml:space="preserve">               </w:t>
      </w:r>
      <w:r w:rsidR="006065BF" w:rsidRPr="006065BF">
        <w:rPr>
          <w:rFonts w:ascii="Times New Roman" w:hAnsi="Times New Roman" w:cs="Times New Roman"/>
          <w:b/>
        </w:rPr>
        <w:t>Characteristics of the fruit</w:t>
      </w:r>
    </w:p>
    <w:p w14:paraId="2C8B0066" w14:textId="613544EA" w:rsidR="003714F5" w:rsidRPr="00A3212C" w:rsidRDefault="003714F5" w:rsidP="006065BF">
      <w:pPr>
        <w:pBdr>
          <w:top w:val="thinThickSmallGap" w:sz="24" w:space="1" w:color="auto"/>
          <w:bottom w:val="thickThinSmallGap" w:sz="24" w:space="1" w:color="auto"/>
        </w:pBdr>
        <w:spacing w:line="360" w:lineRule="auto"/>
        <w:jc w:val="both"/>
        <w:rPr>
          <w:rFonts w:ascii="Times New Roman" w:hAnsi="Times New Roman" w:cs="Times New Roman"/>
        </w:rPr>
      </w:pPr>
      <w:r w:rsidRPr="005020CD">
        <w:rPr>
          <w:rFonts w:ascii="Times New Roman" w:hAnsi="Times New Roman" w:cs="Times New Roman"/>
        </w:rPr>
        <w:t>Local</w:t>
      </w:r>
      <w:r w:rsidRPr="005020CD">
        <w:rPr>
          <w:rFonts w:ascii="Times New Roman" w:hAnsi="Times New Roman" w:cs="Times New Roman"/>
        </w:rPr>
        <w:tab/>
      </w:r>
      <w:r w:rsidRPr="005020CD">
        <w:rPr>
          <w:rFonts w:ascii="Times New Roman" w:hAnsi="Times New Roman" w:cs="Times New Roman"/>
        </w:rPr>
        <w:tab/>
      </w:r>
      <w:r>
        <w:rPr>
          <w:rFonts w:ascii="Times New Roman" w:hAnsi="Times New Roman" w:cs="Times New Roman"/>
        </w:rPr>
        <w:t xml:space="preserve">     </w:t>
      </w:r>
      <w:r w:rsidR="006065BF" w:rsidRPr="006065BF">
        <w:rPr>
          <w:rFonts w:ascii="Times New Roman" w:hAnsi="Times New Roman" w:cs="Times New Roman"/>
        </w:rPr>
        <w:t>Long Chili Pepper</w:t>
      </w:r>
      <w:r w:rsidRPr="005020CD">
        <w:rPr>
          <w:rFonts w:ascii="Times New Roman" w:hAnsi="Times New Roman" w:cs="Times New Roman"/>
        </w:rPr>
        <w:tab/>
      </w:r>
      <w:r>
        <w:rPr>
          <w:rFonts w:ascii="Times New Roman" w:hAnsi="Times New Roman" w:cs="Times New Roman"/>
        </w:rPr>
        <w:t xml:space="preserve">        </w:t>
      </w:r>
      <w:r w:rsidRPr="005020CD">
        <w:rPr>
          <w:rFonts w:ascii="Times New Roman" w:hAnsi="Times New Roman" w:cs="Times New Roman"/>
        </w:rPr>
        <w:t>Mirriah</w:t>
      </w:r>
      <w:r w:rsidRPr="005020CD">
        <w:rPr>
          <w:rFonts w:ascii="Times New Roman" w:hAnsi="Times New Roman" w:cs="Times New Roman"/>
        </w:rPr>
        <w:tab/>
        <w:t xml:space="preserve">           </w:t>
      </w:r>
      <w:r w:rsidR="006065BF">
        <w:rPr>
          <w:rFonts w:ascii="Times New Roman" w:hAnsi="Times New Roman" w:cs="Times New Roman"/>
        </w:rPr>
        <w:t xml:space="preserve">     </w:t>
      </w:r>
      <w:r w:rsidRPr="005020CD">
        <w:rPr>
          <w:rFonts w:ascii="Times New Roman" w:hAnsi="Times New Roman" w:cs="Times New Roman"/>
        </w:rPr>
        <w:t xml:space="preserve">      </w:t>
      </w:r>
      <w:r w:rsidR="006065BF" w:rsidRPr="006065BF">
        <w:rPr>
          <w:rFonts w:ascii="Times New Roman" w:hAnsi="Times New Roman" w:cs="Times New Roman"/>
        </w:rPr>
        <w:t>Elongated and pointed</w:t>
      </w:r>
    </w:p>
    <w:p w14:paraId="6B9B0273" w14:textId="4395C164" w:rsidR="003714F5" w:rsidRDefault="00C6346E" w:rsidP="003714F5">
      <w:pPr>
        <w:rPr>
          <w:rFonts w:ascii="Times New Roman" w:hAnsi="Times New Roman" w:cs="Times New Roman"/>
          <w:b/>
          <w:bCs/>
          <w:i/>
          <w:iCs/>
          <w:sz w:val="24"/>
        </w:rPr>
      </w:pPr>
      <w:r w:rsidRPr="00C6346E">
        <w:rPr>
          <w:rFonts w:ascii="Times New Roman" w:hAnsi="Times New Roman" w:cs="Times New Roman"/>
          <w:b/>
          <w:bCs/>
          <w:i/>
          <w:iCs/>
          <w:sz w:val="24"/>
        </w:rPr>
        <w:t>1.3. Experimental design</w:t>
      </w:r>
    </w:p>
    <w:p w14:paraId="6328F6B0" w14:textId="34B65258" w:rsidR="00C6346E" w:rsidRDefault="00C6346E" w:rsidP="00C6346E">
      <w:pPr>
        <w:spacing w:line="360" w:lineRule="auto"/>
        <w:jc w:val="both"/>
        <w:rPr>
          <w:rFonts w:ascii="Times New Roman" w:hAnsi="Times New Roman" w:cs="Times New Roman"/>
          <w:sz w:val="24"/>
        </w:rPr>
      </w:pPr>
      <w:r w:rsidRPr="00C6346E">
        <w:rPr>
          <w:rFonts w:ascii="Times New Roman" w:hAnsi="Times New Roman" w:cs="Times New Roman"/>
          <w:sz w:val="24"/>
        </w:rPr>
        <w:t>This study focused on a local variety of Mirriah long chili pepper. To this end, two (2) factors were studied: the factor (block) with three (3) levels b1 to b3, and the factor (fertilization or treatment). Thus, the factor (fertilization or treatment) comprises eight (7) levels</w:t>
      </w:r>
      <w:r>
        <w:rPr>
          <w:rFonts w:ascii="Times New Roman" w:hAnsi="Times New Roman" w:cs="Times New Roman"/>
          <w:sz w:val="24"/>
        </w:rPr>
        <w:t xml:space="preserve"> </w:t>
      </w:r>
      <w:r w:rsidRPr="00C6346E">
        <w:rPr>
          <w:rFonts w:ascii="Times New Roman" w:hAnsi="Times New Roman" w:cs="Times New Roman"/>
          <w:sz w:val="24"/>
        </w:rPr>
        <w:t>:</w:t>
      </w:r>
    </w:p>
    <w:p w14:paraId="40E587BD" w14:textId="6327CC95"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0 (T0)</w:t>
      </w:r>
      <w:r>
        <w:rPr>
          <w:rFonts w:ascii="Times New Roman" w:hAnsi="Times New Roman" w:cs="Times New Roman"/>
          <w:sz w:val="24"/>
        </w:rPr>
        <w:t xml:space="preserve"> </w:t>
      </w:r>
      <w:r w:rsidRPr="00B00445">
        <w:rPr>
          <w:rFonts w:ascii="Times New Roman" w:hAnsi="Times New Roman" w:cs="Times New Roman"/>
          <w:sz w:val="24"/>
        </w:rPr>
        <w:t>: Treatment without fertilizer application (control)</w:t>
      </w:r>
      <w:r>
        <w:rPr>
          <w:rFonts w:ascii="Times New Roman" w:hAnsi="Times New Roman" w:cs="Times New Roman"/>
          <w:sz w:val="24"/>
        </w:rPr>
        <w:t xml:space="preserve"> </w:t>
      </w:r>
      <w:r w:rsidRPr="00B00445">
        <w:rPr>
          <w:rFonts w:ascii="Times New Roman" w:hAnsi="Times New Roman" w:cs="Times New Roman"/>
          <w:sz w:val="24"/>
        </w:rPr>
        <w:t>;</w:t>
      </w:r>
    </w:p>
    <w:p w14:paraId="40953630" w14:textId="1309038F"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1 (T1)</w:t>
      </w:r>
      <w:r>
        <w:rPr>
          <w:rFonts w:ascii="Times New Roman" w:hAnsi="Times New Roman" w:cs="Times New Roman"/>
          <w:sz w:val="24"/>
        </w:rPr>
        <w:t xml:space="preserve"> </w:t>
      </w:r>
      <w:r w:rsidRPr="00B00445">
        <w:rPr>
          <w:rFonts w:ascii="Times New Roman" w:hAnsi="Times New Roman" w:cs="Times New Roman"/>
          <w:sz w:val="24"/>
        </w:rPr>
        <w:t>: Treatment with NPK application at a rate of 300 kg/ha</w:t>
      </w:r>
      <w:r>
        <w:rPr>
          <w:rFonts w:ascii="Times New Roman" w:hAnsi="Times New Roman" w:cs="Times New Roman"/>
          <w:sz w:val="24"/>
        </w:rPr>
        <w:t xml:space="preserve"> </w:t>
      </w:r>
      <w:r w:rsidRPr="00B00445">
        <w:rPr>
          <w:rFonts w:ascii="Times New Roman" w:hAnsi="Times New Roman" w:cs="Times New Roman"/>
          <w:sz w:val="24"/>
        </w:rPr>
        <w:t>;</w:t>
      </w:r>
    </w:p>
    <w:p w14:paraId="374CAD66" w14:textId="553181A3"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2 (T2)</w:t>
      </w:r>
      <w:r>
        <w:rPr>
          <w:rFonts w:ascii="Times New Roman" w:hAnsi="Times New Roman" w:cs="Times New Roman"/>
          <w:sz w:val="24"/>
        </w:rPr>
        <w:t xml:space="preserve"> </w:t>
      </w:r>
      <w:r w:rsidRPr="00B00445">
        <w:rPr>
          <w:rFonts w:ascii="Times New Roman" w:hAnsi="Times New Roman" w:cs="Times New Roman"/>
          <w:sz w:val="24"/>
        </w:rPr>
        <w:t>: Treatment with urea application at a rate of 300 kg/ha ;</w:t>
      </w:r>
    </w:p>
    <w:p w14:paraId="13A4F35B" w14:textId="30B78DD1"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3 (T3)</w:t>
      </w:r>
      <w:r>
        <w:rPr>
          <w:rFonts w:ascii="Times New Roman" w:hAnsi="Times New Roman" w:cs="Times New Roman"/>
          <w:sz w:val="24"/>
        </w:rPr>
        <w:t xml:space="preserve"> </w:t>
      </w:r>
      <w:r w:rsidRPr="00B00445">
        <w:rPr>
          <w:rFonts w:ascii="Times New Roman" w:hAnsi="Times New Roman" w:cs="Times New Roman"/>
          <w:sz w:val="24"/>
        </w:rPr>
        <w:t>: Treatment with composted poultry manure at a dose of 30 t/ha</w:t>
      </w:r>
      <w:r>
        <w:rPr>
          <w:rFonts w:ascii="Times New Roman" w:hAnsi="Times New Roman" w:cs="Times New Roman"/>
          <w:sz w:val="24"/>
        </w:rPr>
        <w:t xml:space="preserve"> </w:t>
      </w:r>
      <w:r w:rsidRPr="00B00445">
        <w:rPr>
          <w:rFonts w:ascii="Times New Roman" w:hAnsi="Times New Roman" w:cs="Times New Roman"/>
          <w:sz w:val="24"/>
        </w:rPr>
        <w:t>;</w:t>
      </w:r>
    </w:p>
    <w:p w14:paraId="3A18A09B" w14:textId="7E52EA6F"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4 (T4)</w:t>
      </w:r>
      <w:r>
        <w:rPr>
          <w:rFonts w:ascii="Times New Roman" w:hAnsi="Times New Roman" w:cs="Times New Roman"/>
          <w:sz w:val="24"/>
        </w:rPr>
        <w:t xml:space="preserve"> </w:t>
      </w:r>
      <w:r w:rsidRPr="00B00445">
        <w:rPr>
          <w:rFonts w:ascii="Times New Roman" w:hAnsi="Times New Roman" w:cs="Times New Roman"/>
          <w:sz w:val="24"/>
        </w:rPr>
        <w:t>: Treatment with composted cow manure at a dose of 30 t/ha</w:t>
      </w:r>
      <w:r>
        <w:rPr>
          <w:rFonts w:ascii="Times New Roman" w:hAnsi="Times New Roman" w:cs="Times New Roman"/>
          <w:sz w:val="24"/>
        </w:rPr>
        <w:t xml:space="preserve"> </w:t>
      </w:r>
      <w:r w:rsidRPr="00B00445">
        <w:rPr>
          <w:rFonts w:ascii="Times New Roman" w:hAnsi="Times New Roman" w:cs="Times New Roman"/>
          <w:sz w:val="24"/>
        </w:rPr>
        <w:t>;</w:t>
      </w:r>
    </w:p>
    <w:p w14:paraId="5181C5DF" w14:textId="6DFB0196" w:rsidR="00C6346E" w:rsidRDefault="00B00445" w:rsidP="00B00445">
      <w:pPr>
        <w:spacing w:line="360" w:lineRule="auto"/>
        <w:jc w:val="both"/>
        <w:rPr>
          <w:rFonts w:ascii="Times New Roman" w:hAnsi="Times New Roman" w:cs="Times New Roman"/>
          <w:sz w:val="24"/>
        </w:rPr>
      </w:pPr>
      <w:r w:rsidRPr="00B00445">
        <w:rPr>
          <w:rFonts w:ascii="Times New Roman" w:hAnsi="Times New Roman" w:cs="Times New Roman"/>
          <w:sz w:val="24"/>
        </w:rPr>
        <w:t>Level 5 (T5)</w:t>
      </w:r>
      <w:r>
        <w:rPr>
          <w:rFonts w:ascii="Times New Roman" w:hAnsi="Times New Roman" w:cs="Times New Roman"/>
          <w:sz w:val="24"/>
        </w:rPr>
        <w:t xml:space="preserve"> </w:t>
      </w:r>
      <w:r w:rsidRPr="00B00445">
        <w:rPr>
          <w:rFonts w:ascii="Times New Roman" w:hAnsi="Times New Roman" w:cs="Times New Roman"/>
          <w:sz w:val="24"/>
        </w:rPr>
        <w:t>: Treatment with a combination of NPK + composted cow manure at a dose of 300 kg/ha (Segnou et al., 2011) for the mineral dose and 30 t/ha for the organic dose (ITCM, 2022);</w:t>
      </w:r>
    </w:p>
    <w:p w14:paraId="7EDF8D60" w14:textId="77777777" w:rsidR="00B00445" w:rsidRDefault="00B00445" w:rsidP="00B00445">
      <w:pPr>
        <w:spacing w:line="360" w:lineRule="auto"/>
        <w:jc w:val="both"/>
        <w:rPr>
          <w:rFonts w:ascii="Times New Roman" w:hAnsi="Times New Roman" w:cs="Times New Roman"/>
          <w:sz w:val="24"/>
        </w:rPr>
      </w:pPr>
      <w:r w:rsidRPr="00B00445">
        <w:rPr>
          <w:rFonts w:ascii="Times New Roman" w:hAnsi="Times New Roman" w:cs="Times New Roman"/>
          <w:sz w:val="24"/>
        </w:rPr>
        <w:t>Level 6 (T6)</w:t>
      </w:r>
      <w:r>
        <w:rPr>
          <w:rFonts w:ascii="Times New Roman" w:hAnsi="Times New Roman" w:cs="Times New Roman"/>
          <w:sz w:val="24"/>
        </w:rPr>
        <w:t xml:space="preserve"> </w:t>
      </w:r>
      <w:r w:rsidRPr="00B00445">
        <w:rPr>
          <w:rFonts w:ascii="Times New Roman" w:hAnsi="Times New Roman" w:cs="Times New Roman"/>
          <w:sz w:val="24"/>
        </w:rPr>
        <w:t>: Treatment with a combination of composted manure and composted cow dung at a rate of 300 kg/ha (Segnou et al., 2011) for the mineral dose and 30 t/ha for the organic dose (ITCM, 2022). Table 2 shows the list of different treatments applied and their recommended doses.</w:t>
      </w:r>
      <w:r>
        <w:rPr>
          <w:rFonts w:ascii="Times New Roman" w:hAnsi="Times New Roman" w:cs="Times New Roman"/>
          <w:sz w:val="24"/>
        </w:rPr>
        <w:t xml:space="preserve"> </w:t>
      </w:r>
    </w:p>
    <w:p w14:paraId="5178C543" w14:textId="3076A337" w:rsidR="00B00445" w:rsidRDefault="00B00445" w:rsidP="00B00445">
      <w:pPr>
        <w:spacing w:line="360" w:lineRule="auto"/>
        <w:jc w:val="both"/>
        <w:rPr>
          <w:rFonts w:ascii="Times New Roman" w:hAnsi="Times New Roman" w:cs="Times New Roman"/>
          <w:sz w:val="24"/>
        </w:rPr>
      </w:pPr>
      <w:r w:rsidRPr="00B00445">
        <w:rPr>
          <w:rFonts w:ascii="Times New Roman" w:hAnsi="Times New Roman" w:cs="Times New Roman"/>
          <w:sz w:val="24"/>
        </w:rPr>
        <w:t>Each level of the first factor was combined with each level of the second factor, resulting in 3*7 = 21 treatments.</w:t>
      </w:r>
      <w:r>
        <w:rPr>
          <w:rFonts w:ascii="Times New Roman" w:hAnsi="Times New Roman" w:cs="Times New Roman"/>
          <w:sz w:val="24"/>
        </w:rPr>
        <w:t xml:space="preserve"> </w:t>
      </w:r>
      <w:r w:rsidRPr="00B00445">
        <w:rPr>
          <w:rFonts w:ascii="Times New Roman" w:hAnsi="Times New Roman" w:cs="Times New Roman"/>
          <w:sz w:val="24"/>
        </w:rPr>
        <w:t>The experimental design is a factorial block design with complete randomization and three (3) replicates.</w:t>
      </w:r>
      <w:r>
        <w:rPr>
          <w:rFonts w:ascii="Times New Roman" w:hAnsi="Times New Roman" w:cs="Times New Roman"/>
          <w:sz w:val="24"/>
        </w:rPr>
        <w:t xml:space="preserve"> </w:t>
      </w:r>
      <w:r w:rsidRPr="00B00445">
        <w:rPr>
          <w:rFonts w:ascii="Times New Roman" w:hAnsi="Times New Roman" w:cs="Times New Roman"/>
          <w:sz w:val="24"/>
        </w:rPr>
        <w:t xml:space="preserve">The area of each plot was 1.5m² (1.5m x 1m), giving a total area of 10.5m² per block, or 31.5m² for the entire area. Each block also consists of seven </w:t>
      </w:r>
      <w:r w:rsidRPr="00B00445">
        <w:rPr>
          <w:rFonts w:ascii="Times New Roman" w:hAnsi="Times New Roman" w:cs="Times New Roman"/>
          <w:sz w:val="24"/>
        </w:rPr>
        <w:lastRenderedPageBreak/>
        <w:t>plots, giving a total of twenty-four plots, and these blocks are also 1 m apart.</w:t>
      </w:r>
      <w:r w:rsidR="00D458DC">
        <w:rPr>
          <w:rFonts w:ascii="Times New Roman" w:hAnsi="Times New Roman" w:cs="Times New Roman"/>
          <w:sz w:val="24"/>
        </w:rPr>
        <w:t xml:space="preserve"> </w:t>
      </w:r>
      <w:r w:rsidR="00D458DC" w:rsidRPr="00D458DC">
        <w:rPr>
          <w:rFonts w:ascii="Times New Roman" w:hAnsi="Times New Roman" w:cs="Times New Roman"/>
          <w:sz w:val="24"/>
        </w:rPr>
        <w:t>Each plot has 12 holes spaced 40 cm apart. The choice of treatments in all blocks is random (Figure 3).</w:t>
      </w:r>
    </w:p>
    <w:p w14:paraId="52604FB8" w14:textId="16835E6A" w:rsidR="00D458DC" w:rsidRDefault="00D458DC" w:rsidP="00B00445">
      <w:pPr>
        <w:spacing w:line="360" w:lineRule="auto"/>
        <w:jc w:val="both"/>
        <w:rPr>
          <w:rFonts w:ascii="Times New Roman" w:hAnsi="Times New Roman" w:cs="Times New Roman"/>
          <w:sz w:val="24"/>
        </w:rPr>
      </w:pPr>
      <w:r w:rsidRPr="00D458DC">
        <w:rPr>
          <w:rFonts w:ascii="Times New Roman" w:hAnsi="Times New Roman" w:cs="Times New Roman"/>
          <w:b/>
          <w:bCs/>
          <w:sz w:val="24"/>
        </w:rPr>
        <w:t>Table 2</w:t>
      </w:r>
      <w:r>
        <w:rPr>
          <w:rFonts w:ascii="Times New Roman" w:hAnsi="Times New Roman" w:cs="Times New Roman"/>
          <w:b/>
          <w:bCs/>
          <w:sz w:val="24"/>
        </w:rPr>
        <w:t xml:space="preserve"> </w:t>
      </w:r>
      <w:r w:rsidRPr="00D458DC">
        <w:rPr>
          <w:rFonts w:ascii="Times New Roman" w:hAnsi="Times New Roman" w:cs="Times New Roman"/>
          <w:sz w:val="24"/>
        </w:rPr>
        <w:t>: Treatments applied according to fertilizer doses used</w:t>
      </w:r>
      <w:r>
        <w:rPr>
          <w:rFonts w:ascii="Times New Roman" w:hAnsi="Times New Roman" w:cs="Times New Roman"/>
          <w:sz w:val="24"/>
        </w:rPr>
        <w:t>.</w:t>
      </w:r>
    </w:p>
    <w:tbl>
      <w:tblPr>
        <w:tblStyle w:val="TableGrid"/>
        <w:tblW w:w="9333" w:type="dxa"/>
        <w:tblLook w:val="04A0" w:firstRow="1" w:lastRow="0" w:firstColumn="1" w:lastColumn="0" w:noHBand="0" w:noVBand="1"/>
      </w:tblPr>
      <w:tblGrid>
        <w:gridCol w:w="3341"/>
        <w:gridCol w:w="3691"/>
        <w:gridCol w:w="2301"/>
      </w:tblGrid>
      <w:tr w:rsidR="00D458DC" w14:paraId="187AB44F" w14:textId="77777777" w:rsidTr="0050427C">
        <w:trPr>
          <w:trHeight w:val="718"/>
        </w:trPr>
        <w:tc>
          <w:tcPr>
            <w:tcW w:w="3341" w:type="dxa"/>
            <w:tcBorders>
              <w:top w:val="thinThickSmallGap" w:sz="24" w:space="0" w:color="auto"/>
              <w:left w:val="thinThickSmallGap" w:sz="24" w:space="0" w:color="auto"/>
              <w:bottom w:val="thinThickSmallGap" w:sz="24" w:space="0" w:color="auto"/>
            </w:tcBorders>
            <w:vAlign w:val="center"/>
          </w:tcPr>
          <w:p w14:paraId="3DD6CB6C" w14:textId="2DD7CA91" w:rsidR="00D458DC" w:rsidRPr="00BC3A15" w:rsidRDefault="00D458DC" w:rsidP="0050427C">
            <w:pPr>
              <w:spacing w:line="360" w:lineRule="auto"/>
              <w:rPr>
                <w:rFonts w:ascii="Times New Roman" w:hAnsi="Times New Roman" w:cs="Times New Roman"/>
                <w:b/>
                <w:sz w:val="24"/>
                <w:szCs w:val="24"/>
              </w:rPr>
            </w:pPr>
            <w:r w:rsidRPr="00D458DC">
              <w:rPr>
                <w:rFonts w:ascii="Times New Roman" w:hAnsi="Times New Roman" w:cs="Times New Roman"/>
                <w:b/>
                <w:sz w:val="24"/>
                <w:szCs w:val="24"/>
              </w:rPr>
              <w:t>Treatments</w:t>
            </w:r>
          </w:p>
        </w:tc>
        <w:tc>
          <w:tcPr>
            <w:tcW w:w="3691" w:type="dxa"/>
            <w:tcBorders>
              <w:top w:val="thinThickSmallGap" w:sz="24" w:space="0" w:color="auto"/>
              <w:bottom w:val="thinThickSmallGap" w:sz="24" w:space="0" w:color="auto"/>
            </w:tcBorders>
            <w:vAlign w:val="center"/>
          </w:tcPr>
          <w:p w14:paraId="7446B6B0" w14:textId="77761B4B" w:rsidR="00D458DC" w:rsidRPr="00BC3A15" w:rsidRDefault="00D458DC" w:rsidP="0050427C">
            <w:pPr>
              <w:spacing w:line="360" w:lineRule="auto"/>
              <w:jc w:val="center"/>
              <w:rPr>
                <w:rFonts w:ascii="Times New Roman" w:hAnsi="Times New Roman" w:cs="Times New Roman"/>
                <w:b/>
                <w:sz w:val="24"/>
                <w:szCs w:val="24"/>
              </w:rPr>
            </w:pPr>
            <w:r w:rsidRPr="00D458DC">
              <w:rPr>
                <w:rFonts w:ascii="Times New Roman" w:hAnsi="Times New Roman" w:cs="Times New Roman"/>
                <w:b/>
                <w:sz w:val="24"/>
                <w:szCs w:val="24"/>
              </w:rPr>
              <w:t>Organic fertilizers (</w:t>
            </w:r>
            <w:r>
              <w:rPr>
                <w:rFonts w:ascii="Times New Roman" w:hAnsi="Times New Roman" w:cs="Times New Roman"/>
                <w:b/>
                <w:sz w:val="24"/>
                <w:szCs w:val="24"/>
              </w:rPr>
              <w:t>T</w:t>
            </w:r>
            <w:r w:rsidRPr="00D458DC">
              <w:rPr>
                <w:rFonts w:ascii="Times New Roman" w:hAnsi="Times New Roman" w:cs="Times New Roman"/>
                <w:b/>
                <w:sz w:val="24"/>
                <w:szCs w:val="24"/>
              </w:rPr>
              <w:t>/hectare)</w:t>
            </w:r>
          </w:p>
        </w:tc>
        <w:tc>
          <w:tcPr>
            <w:tcW w:w="2301" w:type="dxa"/>
            <w:tcBorders>
              <w:top w:val="thinThickSmallGap" w:sz="24" w:space="0" w:color="auto"/>
              <w:bottom w:val="thinThickSmallGap" w:sz="24" w:space="0" w:color="auto"/>
              <w:right w:val="thinThickSmallGap" w:sz="24" w:space="0" w:color="auto"/>
            </w:tcBorders>
            <w:vAlign w:val="center"/>
          </w:tcPr>
          <w:p w14:paraId="57DB7094" w14:textId="41E2551C" w:rsidR="00D458DC" w:rsidRPr="00BC3A15" w:rsidRDefault="00D458DC" w:rsidP="0050427C">
            <w:pPr>
              <w:spacing w:line="360" w:lineRule="auto"/>
              <w:jc w:val="center"/>
              <w:rPr>
                <w:rFonts w:ascii="Times New Roman" w:hAnsi="Times New Roman" w:cs="Times New Roman"/>
                <w:b/>
                <w:sz w:val="24"/>
                <w:szCs w:val="24"/>
              </w:rPr>
            </w:pPr>
            <w:r w:rsidRPr="00D458DC">
              <w:rPr>
                <w:rFonts w:ascii="Times New Roman" w:hAnsi="Times New Roman" w:cs="Times New Roman"/>
                <w:b/>
                <w:sz w:val="24"/>
                <w:szCs w:val="24"/>
              </w:rPr>
              <w:t>Mineral fertilizers (kg/ha)</w:t>
            </w:r>
          </w:p>
        </w:tc>
      </w:tr>
      <w:tr w:rsidR="00D458DC" w14:paraId="219E8D02" w14:textId="77777777" w:rsidTr="0050427C">
        <w:trPr>
          <w:trHeight w:val="704"/>
        </w:trPr>
        <w:tc>
          <w:tcPr>
            <w:tcW w:w="3341" w:type="dxa"/>
            <w:tcBorders>
              <w:top w:val="thinThickSmallGap" w:sz="24" w:space="0" w:color="auto"/>
              <w:left w:val="thinThickSmallGap" w:sz="24" w:space="0" w:color="auto"/>
            </w:tcBorders>
          </w:tcPr>
          <w:p w14:paraId="36640CAC"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T1</w:t>
            </w:r>
          </w:p>
        </w:tc>
        <w:tc>
          <w:tcPr>
            <w:tcW w:w="3691" w:type="dxa"/>
            <w:tcBorders>
              <w:top w:val="thinThickSmallGap" w:sz="24" w:space="0" w:color="auto"/>
            </w:tcBorders>
          </w:tcPr>
          <w:p w14:paraId="3746F162"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301" w:type="dxa"/>
            <w:tcBorders>
              <w:top w:val="thinThickSmallGap" w:sz="24" w:space="0" w:color="auto"/>
              <w:right w:val="thinThickSmallGap" w:sz="24" w:space="0" w:color="auto"/>
            </w:tcBorders>
          </w:tcPr>
          <w:p w14:paraId="37A720B5"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300kg/ha</w:t>
            </w:r>
          </w:p>
        </w:tc>
      </w:tr>
      <w:tr w:rsidR="00D458DC" w14:paraId="480E85CD" w14:textId="77777777" w:rsidTr="0050427C">
        <w:trPr>
          <w:trHeight w:val="679"/>
        </w:trPr>
        <w:tc>
          <w:tcPr>
            <w:tcW w:w="3341" w:type="dxa"/>
            <w:tcBorders>
              <w:left w:val="thinThickSmallGap" w:sz="24" w:space="0" w:color="auto"/>
            </w:tcBorders>
          </w:tcPr>
          <w:p w14:paraId="5A94439E"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T2</w:t>
            </w:r>
          </w:p>
        </w:tc>
        <w:tc>
          <w:tcPr>
            <w:tcW w:w="3691" w:type="dxa"/>
          </w:tcPr>
          <w:p w14:paraId="04F2DF97"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301" w:type="dxa"/>
            <w:tcBorders>
              <w:right w:val="thinThickSmallGap" w:sz="24" w:space="0" w:color="auto"/>
            </w:tcBorders>
          </w:tcPr>
          <w:p w14:paraId="74785980"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300 kg/ha</w:t>
            </w:r>
          </w:p>
        </w:tc>
      </w:tr>
      <w:tr w:rsidR="00D458DC" w14:paraId="3894DF01" w14:textId="77777777" w:rsidTr="0050427C">
        <w:trPr>
          <w:trHeight w:val="1385"/>
        </w:trPr>
        <w:tc>
          <w:tcPr>
            <w:tcW w:w="3341" w:type="dxa"/>
            <w:tcBorders>
              <w:left w:val="thinThickSmallGap" w:sz="24" w:space="0" w:color="auto"/>
            </w:tcBorders>
          </w:tcPr>
          <w:p w14:paraId="702FDE83"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T3</w:t>
            </w:r>
          </w:p>
        </w:tc>
        <w:tc>
          <w:tcPr>
            <w:tcW w:w="3691" w:type="dxa"/>
          </w:tcPr>
          <w:p w14:paraId="77784E02" w14:textId="4A287DAA" w:rsidR="00D458DC" w:rsidRDefault="003A2BF3"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3A2BF3">
              <w:rPr>
                <w:rFonts w:ascii="Times New Roman" w:hAnsi="Times New Roman" w:cs="Times New Roman"/>
                <w:sz w:val="24"/>
                <w:szCs w:val="24"/>
              </w:rPr>
              <w:t xml:space="preserve">0 </w:t>
            </w:r>
            <w:r>
              <w:rPr>
                <w:rFonts w:ascii="Times New Roman" w:hAnsi="Times New Roman" w:cs="Times New Roman"/>
                <w:sz w:val="24"/>
                <w:szCs w:val="24"/>
              </w:rPr>
              <w:t xml:space="preserve">tons </w:t>
            </w:r>
            <w:r w:rsidRPr="003A2BF3">
              <w:rPr>
                <w:rFonts w:ascii="Times New Roman" w:hAnsi="Times New Roman" w:cs="Times New Roman"/>
                <w:sz w:val="24"/>
                <w:szCs w:val="24"/>
              </w:rPr>
              <w:t>per hectare of</w:t>
            </w:r>
            <w:r w:rsidR="0050427C">
              <w:rPr>
                <w:rFonts w:ascii="Times New Roman" w:hAnsi="Times New Roman" w:cs="Times New Roman"/>
                <w:sz w:val="24"/>
                <w:szCs w:val="24"/>
              </w:rPr>
              <w:t xml:space="preserve"> </w:t>
            </w:r>
            <w:r w:rsidR="0050427C" w:rsidRPr="00B00445">
              <w:rPr>
                <w:rFonts w:ascii="Times New Roman" w:hAnsi="Times New Roman" w:cs="Times New Roman"/>
                <w:sz w:val="24"/>
              </w:rPr>
              <w:t>composted poultry manure</w:t>
            </w:r>
          </w:p>
        </w:tc>
        <w:tc>
          <w:tcPr>
            <w:tcW w:w="2301" w:type="dxa"/>
            <w:tcBorders>
              <w:right w:val="thinThickSmallGap" w:sz="24" w:space="0" w:color="auto"/>
            </w:tcBorders>
          </w:tcPr>
          <w:p w14:paraId="5D559DD5"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2085A513" w14:textId="77777777" w:rsidTr="0050427C">
        <w:trPr>
          <w:trHeight w:val="531"/>
        </w:trPr>
        <w:tc>
          <w:tcPr>
            <w:tcW w:w="3341" w:type="dxa"/>
            <w:tcBorders>
              <w:left w:val="thinThickSmallGap" w:sz="24" w:space="0" w:color="auto"/>
            </w:tcBorders>
          </w:tcPr>
          <w:p w14:paraId="423BEF0C"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T4</w:t>
            </w:r>
          </w:p>
        </w:tc>
        <w:tc>
          <w:tcPr>
            <w:tcW w:w="3691" w:type="dxa"/>
          </w:tcPr>
          <w:p w14:paraId="104E765B" w14:textId="3E1A2A9D" w:rsidR="00D458DC" w:rsidRDefault="003A2BF3" w:rsidP="00C434C0">
            <w:pPr>
              <w:spacing w:line="360" w:lineRule="auto"/>
              <w:jc w:val="both"/>
              <w:rPr>
                <w:rFonts w:ascii="Times New Roman" w:hAnsi="Times New Roman" w:cs="Times New Roman"/>
                <w:sz w:val="24"/>
                <w:szCs w:val="24"/>
              </w:rPr>
            </w:pPr>
            <w:r w:rsidRPr="003A2BF3">
              <w:rPr>
                <w:rFonts w:ascii="Times New Roman" w:hAnsi="Times New Roman" w:cs="Times New Roman"/>
                <w:sz w:val="24"/>
                <w:szCs w:val="24"/>
              </w:rPr>
              <w:t>30 tons per hectare of cow manure</w:t>
            </w:r>
          </w:p>
        </w:tc>
        <w:tc>
          <w:tcPr>
            <w:tcW w:w="2301" w:type="dxa"/>
            <w:tcBorders>
              <w:right w:val="thinThickSmallGap" w:sz="24" w:space="0" w:color="auto"/>
            </w:tcBorders>
          </w:tcPr>
          <w:p w14:paraId="2D1F301D"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5C60C85B" w14:textId="77777777" w:rsidTr="0050427C">
        <w:trPr>
          <w:trHeight w:val="679"/>
        </w:trPr>
        <w:tc>
          <w:tcPr>
            <w:tcW w:w="3341" w:type="dxa"/>
            <w:tcBorders>
              <w:left w:val="thinThickSmallGap" w:sz="24" w:space="0" w:color="auto"/>
            </w:tcBorders>
          </w:tcPr>
          <w:p w14:paraId="421A89E4"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T0</w:t>
            </w:r>
          </w:p>
        </w:tc>
        <w:tc>
          <w:tcPr>
            <w:tcW w:w="3691" w:type="dxa"/>
          </w:tcPr>
          <w:p w14:paraId="0F28CE51"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301" w:type="dxa"/>
            <w:tcBorders>
              <w:right w:val="thinThickSmallGap" w:sz="24" w:space="0" w:color="auto"/>
            </w:tcBorders>
          </w:tcPr>
          <w:p w14:paraId="2B7FAEC7"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23873386" w14:textId="77777777" w:rsidTr="0050427C">
        <w:trPr>
          <w:trHeight w:val="679"/>
        </w:trPr>
        <w:tc>
          <w:tcPr>
            <w:tcW w:w="3341" w:type="dxa"/>
            <w:tcBorders>
              <w:left w:val="thinThickSmallGap" w:sz="24" w:space="0" w:color="auto"/>
              <w:bottom w:val="single" w:sz="4" w:space="0" w:color="auto"/>
            </w:tcBorders>
          </w:tcPr>
          <w:p w14:paraId="07F33084"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T6</w:t>
            </w:r>
          </w:p>
        </w:tc>
        <w:tc>
          <w:tcPr>
            <w:tcW w:w="3691" w:type="dxa"/>
            <w:tcBorders>
              <w:bottom w:val="single" w:sz="4" w:space="0" w:color="auto"/>
            </w:tcBorders>
          </w:tcPr>
          <w:p w14:paraId="1798E92F"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30t/ha </w:t>
            </w:r>
          </w:p>
        </w:tc>
        <w:tc>
          <w:tcPr>
            <w:tcW w:w="2301" w:type="dxa"/>
            <w:tcBorders>
              <w:bottom w:val="single" w:sz="4" w:space="0" w:color="auto"/>
              <w:right w:val="thinThickSmallGap" w:sz="24" w:space="0" w:color="auto"/>
            </w:tcBorders>
          </w:tcPr>
          <w:p w14:paraId="60367083"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44C2E15B" w14:textId="77777777" w:rsidTr="0050427C">
        <w:trPr>
          <w:trHeight w:val="704"/>
        </w:trPr>
        <w:tc>
          <w:tcPr>
            <w:tcW w:w="3341" w:type="dxa"/>
            <w:tcBorders>
              <w:left w:val="thinThickSmallGap" w:sz="24" w:space="0" w:color="auto"/>
              <w:bottom w:val="thinThickSmallGap" w:sz="24" w:space="0" w:color="auto"/>
            </w:tcBorders>
          </w:tcPr>
          <w:p w14:paraId="14D05EAB"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T5</w:t>
            </w:r>
          </w:p>
        </w:tc>
        <w:tc>
          <w:tcPr>
            <w:tcW w:w="3691" w:type="dxa"/>
            <w:tcBorders>
              <w:bottom w:val="thinThickSmallGap" w:sz="24" w:space="0" w:color="auto"/>
            </w:tcBorders>
          </w:tcPr>
          <w:p w14:paraId="18CC886F"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30t/ha</w:t>
            </w:r>
          </w:p>
        </w:tc>
        <w:tc>
          <w:tcPr>
            <w:tcW w:w="2301" w:type="dxa"/>
            <w:tcBorders>
              <w:bottom w:val="thinThickSmallGap" w:sz="24" w:space="0" w:color="auto"/>
              <w:right w:val="thinThickSmallGap" w:sz="24" w:space="0" w:color="auto"/>
            </w:tcBorders>
          </w:tcPr>
          <w:p w14:paraId="799ADAA5"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300 kg/ha</w:t>
            </w:r>
          </w:p>
        </w:tc>
      </w:tr>
    </w:tbl>
    <w:p w14:paraId="2645276B" w14:textId="78F38329" w:rsidR="00D458DC" w:rsidRPr="0050427C" w:rsidRDefault="0050427C" w:rsidP="0050427C">
      <w:pPr>
        <w:spacing w:line="240" w:lineRule="auto"/>
        <w:jc w:val="both"/>
        <w:rPr>
          <w:rFonts w:ascii="Times New Roman" w:hAnsi="Times New Roman" w:cs="Times New Roman"/>
          <w:sz w:val="20"/>
          <w:szCs w:val="18"/>
        </w:rPr>
      </w:pPr>
      <w:r w:rsidRPr="0050427C">
        <w:rPr>
          <w:rFonts w:ascii="Times New Roman" w:hAnsi="Times New Roman" w:cs="Times New Roman"/>
          <w:sz w:val="20"/>
          <w:szCs w:val="18"/>
        </w:rPr>
        <w:t>T1</w:t>
      </w:r>
      <w:r>
        <w:rPr>
          <w:rFonts w:ascii="Times New Roman" w:hAnsi="Times New Roman" w:cs="Times New Roman"/>
          <w:sz w:val="20"/>
          <w:szCs w:val="18"/>
        </w:rPr>
        <w:t xml:space="preserve"> </w:t>
      </w:r>
      <w:r w:rsidRPr="0050427C">
        <w:rPr>
          <w:rFonts w:ascii="Times New Roman" w:hAnsi="Times New Roman" w:cs="Times New Roman"/>
          <w:sz w:val="20"/>
          <w:szCs w:val="18"/>
        </w:rPr>
        <w:t>: NPK, T2</w:t>
      </w:r>
      <w:r>
        <w:rPr>
          <w:rFonts w:ascii="Times New Roman" w:hAnsi="Times New Roman" w:cs="Times New Roman"/>
          <w:sz w:val="20"/>
          <w:szCs w:val="18"/>
        </w:rPr>
        <w:t xml:space="preserve"> </w:t>
      </w:r>
      <w:r w:rsidRPr="0050427C">
        <w:rPr>
          <w:rFonts w:ascii="Times New Roman" w:hAnsi="Times New Roman" w:cs="Times New Roman"/>
          <w:sz w:val="20"/>
          <w:szCs w:val="18"/>
        </w:rPr>
        <w:t>: Urea, T3</w:t>
      </w:r>
      <w:r>
        <w:rPr>
          <w:rFonts w:ascii="Times New Roman" w:hAnsi="Times New Roman" w:cs="Times New Roman"/>
          <w:sz w:val="20"/>
          <w:szCs w:val="18"/>
        </w:rPr>
        <w:t xml:space="preserve"> </w:t>
      </w:r>
      <w:r w:rsidRPr="0050427C">
        <w:rPr>
          <w:rFonts w:ascii="Times New Roman" w:hAnsi="Times New Roman" w:cs="Times New Roman"/>
          <w:sz w:val="20"/>
          <w:szCs w:val="18"/>
        </w:rPr>
        <w:t>: composted poultry manure, T4</w:t>
      </w:r>
      <w:r>
        <w:rPr>
          <w:rFonts w:ascii="Times New Roman" w:hAnsi="Times New Roman" w:cs="Times New Roman"/>
          <w:sz w:val="20"/>
          <w:szCs w:val="18"/>
        </w:rPr>
        <w:t xml:space="preserve"> </w:t>
      </w:r>
      <w:r w:rsidRPr="0050427C">
        <w:rPr>
          <w:rFonts w:ascii="Times New Roman" w:hAnsi="Times New Roman" w:cs="Times New Roman"/>
          <w:sz w:val="20"/>
          <w:szCs w:val="18"/>
        </w:rPr>
        <w:t>: composted cow manure, T0</w:t>
      </w:r>
      <w:r>
        <w:rPr>
          <w:rFonts w:ascii="Times New Roman" w:hAnsi="Times New Roman" w:cs="Times New Roman"/>
          <w:sz w:val="20"/>
          <w:szCs w:val="18"/>
        </w:rPr>
        <w:t xml:space="preserve"> </w:t>
      </w:r>
      <w:r w:rsidRPr="0050427C">
        <w:rPr>
          <w:rFonts w:ascii="Times New Roman" w:hAnsi="Times New Roman" w:cs="Times New Roman"/>
          <w:sz w:val="20"/>
          <w:szCs w:val="18"/>
        </w:rPr>
        <w:t>: control, T6</w:t>
      </w:r>
      <w:r>
        <w:rPr>
          <w:rFonts w:ascii="Times New Roman" w:hAnsi="Times New Roman" w:cs="Times New Roman"/>
          <w:sz w:val="20"/>
          <w:szCs w:val="18"/>
        </w:rPr>
        <w:t xml:space="preserve"> </w:t>
      </w:r>
      <w:r w:rsidRPr="0050427C">
        <w:rPr>
          <w:rFonts w:ascii="Times New Roman" w:hAnsi="Times New Roman" w:cs="Times New Roman"/>
          <w:sz w:val="20"/>
          <w:szCs w:val="18"/>
        </w:rPr>
        <w:t>: combination of composted manure + composted cow manure, T5</w:t>
      </w:r>
      <w:r>
        <w:rPr>
          <w:rFonts w:ascii="Times New Roman" w:hAnsi="Times New Roman" w:cs="Times New Roman"/>
          <w:sz w:val="20"/>
          <w:szCs w:val="18"/>
        </w:rPr>
        <w:t xml:space="preserve"> </w:t>
      </w:r>
      <w:r w:rsidRPr="0050427C">
        <w:rPr>
          <w:rFonts w:ascii="Times New Roman" w:hAnsi="Times New Roman" w:cs="Times New Roman"/>
          <w:sz w:val="20"/>
          <w:szCs w:val="18"/>
        </w:rPr>
        <w:t>: combination of NPK + composted cow manure, (ITCM, 2022) for organic doses and (Segnou et al., 2011) for mineral doses.</w:t>
      </w:r>
    </w:p>
    <w:p w14:paraId="7EDF2F96" w14:textId="69FAE17F" w:rsidR="00B00445" w:rsidRPr="00C6346E" w:rsidRDefault="0050427C" w:rsidP="00B00445">
      <w:pPr>
        <w:spacing w:line="360" w:lineRule="auto"/>
        <w:jc w:val="both"/>
        <w:rPr>
          <w:rFonts w:ascii="Times New Roman" w:hAnsi="Times New Roman" w:cs="Times New Roman"/>
          <w:sz w:val="24"/>
        </w:rPr>
      </w:pPr>
      <w:r w:rsidRPr="00564BAA">
        <w:rPr>
          <w:rFonts w:ascii="Times New Roman" w:hAnsi="Times New Roman" w:cs="Times New Roman"/>
          <w:noProof/>
          <w:sz w:val="24"/>
          <w:szCs w:val="24"/>
          <w:lang w:eastAsia="fr-FR"/>
        </w:rPr>
        <w:drawing>
          <wp:inline distT="0" distB="0" distL="0" distR="0" wp14:anchorId="58A9B29B" wp14:editId="127E644D">
            <wp:extent cx="5760720" cy="3056951"/>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056951"/>
                    </a:xfrm>
                    <a:prstGeom prst="rect">
                      <a:avLst/>
                    </a:prstGeom>
                    <a:noFill/>
                  </pic:spPr>
                </pic:pic>
              </a:graphicData>
            </a:graphic>
          </wp:inline>
        </w:drawing>
      </w:r>
    </w:p>
    <w:p w14:paraId="438F0D38" w14:textId="039E799C" w:rsidR="003714F5" w:rsidRDefault="0050427C" w:rsidP="0050427C">
      <w:pPr>
        <w:spacing w:line="360" w:lineRule="auto"/>
        <w:jc w:val="center"/>
        <w:rPr>
          <w:rFonts w:ascii="Times New Roman" w:hAnsi="Times New Roman" w:cs="Times New Roman"/>
          <w:sz w:val="24"/>
          <w:szCs w:val="24"/>
        </w:rPr>
      </w:pPr>
      <w:r w:rsidRPr="0050427C">
        <w:rPr>
          <w:rFonts w:ascii="Times New Roman" w:hAnsi="Times New Roman" w:cs="Times New Roman"/>
          <w:b/>
          <w:bCs/>
          <w:sz w:val="24"/>
          <w:szCs w:val="24"/>
        </w:rPr>
        <w:lastRenderedPageBreak/>
        <w:t>Figure 3</w:t>
      </w:r>
      <w:r>
        <w:rPr>
          <w:rFonts w:ascii="Times New Roman" w:hAnsi="Times New Roman" w:cs="Times New Roman"/>
          <w:b/>
          <w:bCs/>
          <w:sz w:val="24"/>
          <w:szCs w:val="24"/>
        </w:rPr>
        <w:t xml:space="preserve"> </w:t>
      </w:r>
      <w:r w:rsidRPr="0050427C">
        <w:rPr>
          <w:rFonts w:ascii="Times New Roman" w:hAnsi="Times New Roman" w:cs="Times New Roman"/>
          <w:b/>
          <w:bCs/>
          <w:sz w:val="24"/>
          <w:szCs w:val="24"/>
        </w:rPr>
        <w:t>:</w:t>
      </w:r>
      <w:r w:rsidRPr="0050427C">
        <w:rPr>
          <w:rFonts w:ascii="Times New Roman" w:hAnsi="Times New Roman" w:cs="Times New Roman"/>
          <w:sz w:val="24"/>
          <w:szCs w:val="24"/>
        </w:rPr>
        <w:t xml:space="preserve"> Experimental</w:t>
      </w:r>
      <w:r w:rsidR="006D5147">
        <w:rPr>
          <w:rFonts w:ascii="Times New Roman" w:hAnsi="Times New Roman" w:cs="Times New Roman"/>
          <w:sz w:val="24"/>
          <w:szCs w:val="24"/>
        </w:rPr>
        <w:t xml:space="preserve"> design</w:t>
      </w:r>
      <w:r w:rsidRPr="0050427C">
        <w:rPr>
          <w:rFonts w:ascii="Times New Roman" w:hAnsi="Times New Roman" w:cs="Times New Roman"/>
          <w:sz w:val="24"/>
          <w:szCs w:val="24"/>
        </w:rPr>
        <w:t xml:space="preserve"> for mineral and organic fertilization.</w:t>
      </w:r>
    </w:p>
    <w:p w14:paraId="71AC1B0E" w14:textId="573785EA" w:rsidR="008E0E91" w:rsidRDefault="008E0E91" w:rsidP="008E0E91">
      <w:pPr>
        <w:spacing w:line="360" w:lineRule="auto"/>
        <w:rPr>
          <w:rFonts w:ascii="Times New Roman" w:hAnsi="Times New Roman" w:cs="Times New Roman"/>
          <w:b/>
          <w:bCs/>
          <w:i/>
          <w:iCs/>
          <w:sz w:val="24"/>
          <w:szCs w:val="24"/>
        </w:rPr>
      </w:pPr>
      <w:r w:rsidRPr="008E0E91">
        <w:rPr>
          <w:rFonts w:ascii="Times New Roman" w:hAnsi="Times New Roman" w:cs="Times New Roman"/>
          <w:b/>
          <w:bCs/>
          <w:i/>
          <w:iCs/>
          <w:sz w:val="24"/>
          <w:szCs w:val="24"/>
        </w:rPr>
        <w:t>1.4. Conducting the test</w:t>
      </w:r>
    </w:p>
    <w:p w14:paraId="08195972" w14:textId="2333988D" w:rsidR="008E0E91" w:rsidRDefault="008E0E91" w:rsidP="008E0E91">
      <w:pPr>
        <w:spacing w:line="360" w:lineRule="auto"/>
        <w:jc w:val="both"/>
        <w:rPr>
          <w:rFonts w:ascii="Times New Roman" w:hAnsi="Times New Roman" w:cs="Times New Roman"/>
          <w:sz w:val="24"/>
          <w:szCs w:val="24"/>
        </w:rPr>
      </w:pPr>
      <w:r w:rsidRPr="008E0E91">
        <w:rPr>
          <w:rFonts w:ascii="Times New Roman" w:hAnsi="Times New Roman" w:cs="Times New Roman"/>
          <w:sz w:val="24"/>
          <w:szCs w:val="24"/>
        </w:rPr>
        <w:t>Sowing in the nursery will take place on April 8, 2023, at the UAS Experimental Farm.</w:t>
      </w:r>
      <w:r>
        <w:rPr>
          <w:rFonts w:ascii="Times New Roman" w:hAnsi="Times New Roman" w:cs="Times New Roman"/>
          <w:sz w:val="24"/>
          <w:szCs w:val="24"/>
        </w:rPr>
        <w:t xml:space="preserve"> </w:t>
      </w:r>
      <w:r w:rsidRPr="008E0E91">
        <w:rPr>
          <w:rFonts w:ascii="Times New Roman" w:hAnsi="Times New Roman" w:cs="Times New Roman"/>
          <w:sz w:val="24"/>
          <w:szCs w:val="24"/>
        </w:rPr>
        <w:t>The seeds of the variety are selected following a flotation test and are sown covered with a thin layer of soil. The plants remained in the nursery for 30 to 60 days (IFATI). Daily watering (morning and evening) and manual weeding are also carried out.</w:t>
      </w:r>
      <w:r>
        <w:rPr>
          <w:rFonts w:ascii="Times New Roman" w:hAnsi="Times New Roman" w:cs="Times New Roman"/>
          <w:sz w:val="24"/>
          <w:szCs w:val="24"/>
        </w:rPr>
        <w:t xml:space="preserve"> </w:t>
      </w:r>
      <w:r w:rsidRPr="008E0E91">
        <w:rPr>
          <w:rFonts w:ascii="Times New Roman" w:hAnsi="Times New Roman" w:cs="Times New Roman"/>
          <w:sz w:val="24"/>
          <w:szCs w:val="24"/>
        </w:rPr>
        <w:t>Two weeks before planting, the soil is tilled to loosen it and clear the site of brush and shrubs. Tilling is done using rudimentary tools such as the daba or hoe, shovel, rake, machete, hoes, etc.</w:t>
      </w:r>
      <w:r>
        <w:rPr>
          <w:rFonts w:ascii="Times New Roman" w:hAnsi="Times New Roman" w:cs="Times New Roman"/>
          <w:sz w:val="24"/>
          <w:szCs w:val="24"/>
        </w:rPr>
        <w:t xml:space="preserve"> </w:t>
      </w:r>
      <w:r w:rsidRPr="008E0E91">
        <w:rPr>
          <w:rFonts w:ascii="Times New Roman" w:hAnsi="Times New Roman" w:cs="Times New Roman"/>
          <w:sz w:val="24"/>
          <w:szCs w:val="24"/>
        </w:rPr>
        <w:t>Transplanting took place two weeks after the application of basal fertilizer and was carried out in the evening. The seedlings in the pots were watered before being transplanted, as were the plots. Only vigorous seedlings were selected and pulled up with the clods of earth around their roots.</w:t>
      </w:r>
      <w:r>
        <w:rPr>
          <w:rFonts w:ascii="Times New Roman" w:hAnsi="Times New Roman" w:cs="Times New Roman"/>
          <w:sz w:val="24"/>
          <w:szCs w:val="24"/>
        </w:rPr>
        <w:t xml:space="preserve"> </w:t>
      </w:r>
      <w:r w:rsidRPr="008E0E91">
        <w:rPr>
          <w:rFonts w:ascii="Times New Roman" w:hAnsi="Times New Roman" w:cs="Times New Roman"/>
          <w:sz w:val="24"/>
          <w:szCs w:val="24"/>
        </w:rPr>
        <w:t>The soil is firmly packed around the roots without damaging the seedling's root collar.</w:t>
      </w:r>
      <w:r>
        <w:rPr>
          <w:rFonts w:ascii="Times New Roman" w:hAnsi="Times New Roman" w:cs="Times New Roman"/>
          <w:sz w:val="24"/>
          <w:szCs w:val="24"/>
        </w:rPr>
        <w:t xml:space="preserve"> </w:t>
      </w:r>
      <w:r w:rsidRPr="008E0E91">
        <w:rPr>
          <w:rFonts w:ascii="Times New Roman" w:hAnsi="Times New Roman" w:cs="Times New Roman"/>
          <w:sz w:val="24"/>
          <w:szCs w:val="24"/>
        </w:rPr>
        <w:t>Transplanting for the fertilization trial took place on June 20, 2023. Weeding is done manually so as not to interfere with the development or growth of the chili pepper crop.</w:t>
      </w:r>
      <w:r>
        <w:rPr>
          <w:rFonts w:ascii="Times New Roman" w:hAnsi="Times New Roman" w:cs="Times New Roman"/>
          <w:sz w:val="24"/>
          <w:szCs w:val="24"/>
        </w:rPr>
        <w:t xml:space="preserve"> </w:t>
      </w:r>
      <w:r w:rsidR="009C6851" w:rsidRPr="009C6851">
        <w:rPr>
          <w:rFonts w:ascii="Times New Roman" w:hAnsi="Times New Roman" w:cs="Times New Roman"/>
          <w:sz w:val="24"/>
          <w:szCs w:val="24"/>
        </w:rPr>
        <w:t>Weeding and hoeing involved turning over the surface of the soil to break up the crust to a depth of a few centimeters.</w:t>
      </w:r>
      <w:r w:rsidR="009C6851">
        <w:rPr>
          <w:rFonts w:ascii="Times New Roman" w:hAnsi="Times New Roman" w:cs="Times New Roman"/>
          <w:sz w:val="24"/>
          <w:szCs w:val="24"/>
        </w:rPr>
        <w:t xml:space="preserve"> </w:t>
      </w:r>
      <w:r w:rsidR="009C6851" w:rsidRPr="009C6851">
        <w:rPr>
          <w:rFonts w:ascii="Times New Roman" w:hAnsi="Times New Roman" w:cs="Times New Roman"/>
          <w:sz w:val="24"/>
          <w:szCs w:val="24"/>
        </w:rPr>
        <w:t>It is used to aerate the soil and control weeds. It is done with a hoe and/or a rake.</w:t>
      </w:r>
      <w:r w:rsidR="009C6851">
        <w:rPr>
          <w:rFonts w:ascii="Times New Roman" w:hAnsi="Times New Roman" w:cs="Times New Roman"/>
          <w:sz w:val="24"/>
          <w:szCs w:val="24"/>
        </w:rPr>
        <w:t xml:space="preserve"> </w:t>
      </w:r>
      <w:r w:rsidR="009C6851" w:rsidRPr="009C6851">
        <w:rPr>
          <w:rFonts w:ascii="Times New Roman" w:hAnsi="Times New Roman" w:cs="Times New Roman"/>
          <w:sz w:val="24"/>
          <w:szCs w:val="24"/>
        </w:rPr>
        <w:t>This operation was carried out each time before adding nutrients. For organic fertilizer, 4 to 6 kg per m² is applied, and for mineral fertilizer, 40 to 60 g is also used.</w:t>
      </w:r>
      <w:r w:rsidR="009C6851">
        <w:rPr>
          <w:rFonts w:ascii="Times New Roman" w:hAnsi="Times New Roman" w:cs="Times New Roman"/>
          <w:sz w:val="24"/>
          <w:szCs w:val="24"/>
        </w:rPr>
        <w:t xml:space="preserve"> </w:t>
      </w:r>
      <w:r w:rsidR="009C6851" w:rsidRPr="009C6851">
        <w:rPr>
          <w:rFonts w:ascii="Times New Roman" w:hAnsi="Times New Roman" w:cs="Times New Roman"/>
          <w:sz w:val="24"/>
          <w:szCs w:val="24"/>
        </w:rPr>
        <w:t>In addition, phytosanitary treatment was carried out on the thirty-seventh (37th) day after sowing with Sunhalontrin, which is an insecticide with rapid elimination and long residual action.</w:t>
      </w:r>
      <w:r w:rsidR="009C6851">
        <w:rPr>
          <w:rFonts w:ascii="Times New Roman" w:hAnsi="Times New Roman" w:cs="Times New Roman"/>
          <w:sz w:val="24"/>
          <w:szCs w:val="24"/>
        </w:rPr>
        <w:t xml:space="preserve"> </w:t>
      </w:r>
    </w:p>
    <w:p w14:paraId="0D700C54" w14:textId="6E54C214" w:rsidR="009C6851" w:rsidRDefault="009C6851" w:rsidP="008E0E91">
      <w:pPr>
        <w:spacing w:line="360" w:lineRule="auto"/>
        <w:jc w:val="both"/>
        <w:rPr>
          <w:rFonts w:ascii="Times New Roman" w:hAnsi="Times New Roman" w:cs="Times New Roman"/>
          <w:b/>
          <w:bCs/>
          <w:i/>
          <w:iCs/>
          <w:sz w:val="24"/>
          <w:szCs w:val="24"/>
        </w:rPr>
      </w:pPr>
      <w:r w:rsidRPr="009C6851">
        <w:rPr>
          <w:rFonts w:ascii="Times New Roman" w:hAnsi="Times New Roman" w:cs="Times New Roman"/>
          <w:b/>
          <w:bCs/>
          <w:i/>
          <w:iCs/>
          <w:sz w:val="24"/>
          <w:szCs w:val="24"/>
        </w:rPr>
        <w:t>1.5. Observation of characteristics</w:t>
      </w:r>
    </w:p>
    <w:p w14:paraId="44A67D11" w14:textId="45C7DF5C" w:rsid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sz w:val="24"/>
          <w:szCs w:val="24"/>
        </w:rPr>
        <w:t>Twenty (20) characters defined according to the slightly modified 1995 IPGR chili pepper descriptors were evaluated.</w:t>
      </w:r>
      <w:r>
        <w:rPr>
          <w:rFonts w:ascii="Times New Roman" w:hAnsi="Times New Roman" w:cs="Times New Roman"/>
          <w:sz w:val="24"/>
          <w:szCs w:val="24"/>
        </w:rPr>
        <w:t xml:space="preserve"> </w:t>
      </w:r>
      <w:r w:rsidRPr="009C6851">
        <w:rPr>
          <w:rFonts w:ascii="Times New Roman" w:hAnsi="Times New Roman" w:cs="Times New Roman"/>
          <w:sz w:val="24"/>
          <w:szCs w:val="24"/>
        </w:rPr>
        <w:t>These consist of 19 quantitative characteristics described in Table 3 and one qualitative characteristic (Table 4).</w:t>
      </w:r>
      <w:r>
        <w:rPr>
          <w:rFonts w:ascii="Times New Roman" w:hAnsi="Times New Roman" w:cs="Times New Roman"/>
          <w:sz w:val="24"/>
          <w:szCs w:val="24"/>
        </w:rPr>
        <w:t xml:space="preserve"> </w:t>
      </w:r>
      <w:r w:rsidRPr="009C6851">
        <w:rPr>
          <w:rFonts w:ascii="Times New Roman" w:hAnsi="Times New Roman" w:cs="Times New Roman"/>
          <w:sz w:val="24"/>
          <w:szCs w:val="24"/>
        </w:rPr>
        <w:t>Measurements and observations of the various parameters were taken at the 50% phenological stage and on the date of the first appearance of secondary shoots, inflorescence, flowering, fruiting, and ripening for all treatments.</w:t>
      </w:r>
      <w:r>
        <w:rPr>
          <w:rFonts w:ascii="Times New Roman" w:hAnsi="Times New Roman" w:cs="Times New Roman"/>
          <w:sz w:val="24"/>
          <w:szCs w:val="24"/>
        </w:rPr>
        <w:t xml:space="preserve"> </w:t>
      </w:r>
      <w:r w:rsidRPr="009C6851">
        <w:rPr>
          <w:rFonts w:ascii="Times New Roman" w:hAnsi="Times New Roman" w:cs="Times New Roman"/>
          <w:sz w:val="24"/>
          <w:szCs w:val="24"/>
        </w:rPr>
        <w:t>From an agronomic perspective, observations focused on assessing plant development 60 days after transplanting in all twelve plots (Table 3).</w:t>
      </w:r>
      <w:r>
        <w:rPr>
          <w:rFonts w:ascii="Times New Roman" w:hAnsi="Times New Roman" w:cs="Times New Roman"/>
          <w:sz w:val="24"/>
          <w:szCs w:val="24"/>
        </w:rPr>
        <w:t xml:space="preserve"> </w:t>
      </w:r>
      <w:r w:rsidRPr="009C6851">
        <w:rPr>
          <w:rFonts w:ascii="Times New Roman" w:hAnsi="Times New Roman" w:cs="Times New Roman"/>
          <w:sz w:val="24"/>
          <w:szCs w:val="24"/>
        </w:rPr>
        <w:t>The characteristics of vegetative development are also observed after the first fruits set: at this stage, the vegetative organs are at their maximum development.</w:t>
      </w:r>
      <w:r>
        <w:rPr>
          <w:rFonts w:ascii="Times New Roman" w:hAnsi="Times New Roman" w:cs="Times New Roman"/>
          <w:sz w:val="24"/>
          <w:szCs w:val="24"/>
        </w:rPr>
        <w:t xml:space="preserve"> </w:t>
      </w:r>
    </w:p>
    <w:p w14:paraId="37FC7F11" w14:textId="6F710DF1"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sz w:val="24"/>
          <w:szCs w:val="24"/>
        </w:rPr>
        <w:lastRenderedPageBreak/>
        <w:t xml:space="preserve">• </w:t>
      </w:r>
      <w:r w:rsidRPr="009C6851">
        <w:rPr>
          <w:rFonts w:ascii="Times New Roman" w:hAnsi="Times New Roman" w:cs="Times New Roman"/>
          <w:b/>
          <w:bCs/>
          <w:sz w:val="24"/>
          <w:szCs w:val="24"/>
        </w:rPr>
        <w:t>Plant height</w:t>
      </w:r>
      <w:r>
        <w:rPr>
          <w:rFonts w:ascii="Times New Roman" w:hAnsi="Times New Roman" w:cs="Times New Roman"/>
          <w:sz w:val="24"/>
          <w:szCs w:val="24"/>
        </w:rPr>
        <w:t xml:space="preserve"> </w:t>
      </w:r>
      <w:r w:rsidRPr="009C6851">
        <w:rPr>
          <w:rFonts w:ascii="Times New Roman" w:hAnsi="Times New Roman" w:cs="Times New Roman"/>
          <w:sz w:val="24"/>
          <w:szCs w:val="24"/>
        </w:rPr>
        <w:t>: Plant height measurements were taken on days 30, 60, and 90 after transplanting. They were taken on all 12 plants in each plot using a tape measure or geometry ruler.</w:t>
      </w:r>
    </w:p>
    <w:p w14:paraId="6CA37C0D" w14:textId="5F30C512"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sz w:val="24"/>
          <w:szCs w:val="24"/>
        </w:rPr>
        <w:t xml:space="preserve">• </w:t>
      </w:r>
      <w:r w:rsidRPr="009C6851">
        <w:rPr>
          <w:rFonts w:ascii="Times New Roman" w:hAnsi="Times New Roman" w:cs="Times New Roman"/>
          <w:b/>
          <w:bCs/>
          <w:sz w:val="24"/>
          <w:szCs w:val="24"/>
        </w:rPr>
        <w:t>Number of days to 50% flowering (NJF)</w:t>
      </w:r>
      <w:r>
        <w:rPr>
          <w:rFonts w:ascii="Times New Roman" w:hAnsi="Times New Roman" w:cs="Times New Roman"/>
          <w:b/>
          <w:bCs/>
          <w:sz w:val="24"/>
          <w:szCs w:val="24"/>
        </w:rPr>
        <w:t xml:space="preserve"> </w:t>
      </w:r>
      <w:r w:rsidRPr="009C6851">
        <w:rPr>
          <w:rFonts w:ascii="Times New Roman" w:hAnsi="Times New Roman" w:cs="Times New Roman"/>
          <w:sz w:val="24"/>
          <w:szCs w:val="24"/>
        </w:rPr>
        <w:t xml:space="preserve">: Through visual observation, we noted the date on which 50% of the plants produced flowers. </w:t>
      </w:r>
    </w:p>
    <w:p w14:paraId="56DAE67F" w14:textId="6D051A61"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Number of days to 50% fruiting</w:t>
      </w:r>
      <w:r>
        <w:rPr>
          <w:rFonts w:ascii="Times New Roman" w:hAnsi="Times New Roman" w:cs="Times New Roman"/>
          <w:sz w:val="24"/>
          <w:szCs w:val="24"/>
        </w:rPr>
        <w:t xml:space="preserve"> </w:t>
      </w:r>
      <w:r w:rsidRPr="009C6851">
        <w:rPr>
          <w:rFonts w:ascii="Times New Roman" w:hAnsi="Times New Roman" w:cs="Times New Roman"/>
          <w:sz w:val="24"/>
          <w:szCs w:val="24"/>
        </w:rPr>
        <w:t>: We noted the date on which 50% of the plants produced fruit.</w:t>
      </w:r>
    </w:p>
    <w:p w14:paraId="26C98602" w14:textId="77D1E915"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Number of days to 50% maturity (NJM)</w:t>
      </w:r>
      <w:r>
        <w:rPr>
          <w:rFonts w:ascii="Times New Roman" w:hAnsi="Times New Roman" w:cs="Times New Roman"/>
          <w:b/>
          <w:bCs/>
          <w:sz w:val="24"/>
          <w:szCs w:val="24"/>
        </w:rPr>
        <w:t xml:space="preserve"> </w:t>
      </w:r>
      <w:r w:rsidRPr="009C6851">
        <w:rPr>
          <w:rFonts w:ascii="Times New Roman" w:hAnsi="Times New Roman" w:cs="Times New Roman"/>
          <w:b/>
          <w:bCs/>
          <w:sz w:val="24"/>
          <w:szCs w:val="24"/>
        </w:rPr>
        <w:t>:</w:t>
      </w:r>
      <w:r w:rsidRPr="009C6851">
        <w:rPr>
          <w:rFonts w:ascii="Times New Roman" w:hAnsi="Times New Roman" w:cs="Times New Roman"/>
          <w:sz w:val="24"/>
          <w:szCs w:val="24"/>
        </w:rPr>
        <w:t xml:space="preserve"> Through visual observation, we noted the date on which 50% of the fruits on the plants reached maturity.</w:t>
      </w:r>
    </w:p>
    <w:p w14:paraId="1C26B579" w14:textId="5DE6AF8E"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Average fruit weight (AFW)</w:t>
      </w:r>
      <w:r>
        <w:rPr>
          <w:rFonts w:ascii="Times New Roman" w:hAnsi="Times New Roman" w:cs="Times New Roman"/>
          <w:b/>
          <w:bCs/>
          <w:sz w:val="24"/>
          <w:szCs w:val="24"/>
        </w:rPr>
        <w:t xml:space="preserve"> </w:t>
      </w:r>
      <w:r w:rsidRPr="009C6851">
        <w:rPr>
          <w:rFonts w:ascii="Times New Roman" w:hAnsi="Times New Roman" w:cs="Times New Roman"/>
          <w:b/>
          <w:bCs/>
          <w:sz w:val="24"/>
          <w:szCs w:val="24"/>
        </w:rPr>
        <w:t>:</w:t>
      </w:r>
      <w:r w:rsidRPr="009C6851">
        <w:rPr>
          <w:rFonts w:ascii="Times New Roman" w:hAnsi="Times New Roman" w:cs="Times New Roman"/>
          <w:sz w:val="24"/>
          <w:szCs w:val="24"/>
        </w:rPr>
        <w:t xml:space="preserve"> This was the average weight obtained from a sample of one fruit from each selected plant that was representative of all the fruits for each plant from all twelve pockets.</w:t>
      </w:r>
    </w:p>
    <w:p w14:paraId="140CA605" w14:textId="7824AC39"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Average fruit length (AFL):</w:t>
      </w:r>
      <w:r w:rsidRPr="009C6851">
        <w:rPr>
          <w:rFonts w:ascii="Times New Roman" w:hAnsi="Times New Roman" w:cs="Times New Roman"/>
          <w:sz w:val="24"/>
          <w:szCs w:val="24"/>
        </w:rPr>
        <w:t xml:space="preserve"> At harvest, we measured the length of the fruits from each randomly selected plant, which was also representative of all the fruits for each plant in all twelve pockets.</w:t>
      </w:r>
    </w:p>
    <w:p w14:paraId="4449D719" w14:textId="322392AB"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Leaf length and width</w:t>
      </w:r>
      <w:r>
        <w:rPr>
          <w:rFonts w:ascii="Times New Roman" w:hAnsi="Times New Roman" w:cs="Times New Roman"/>
          <w:sz w:val="24"/>
          <w:szCs w:val="24"/>
        </w:rPr>
        <w:t xml:space="preserve"> </w:t>
      </w:r>
      <w:r w:rsidRPr="009C6851">
        <w:rPr>
          <w:rFonts w:ascii="Times New Roman" w:hAnsi="Times New Roman" w:cs="Times New Roman"/>
          <w:sz w:val="24"/>
          <w:szCs w:val="24"/>
        </w:rPr>
        <w:t>: On the 60th day, we sampled three leaves from each plant at random and calculated their averages.</w:t>
      </w:r>
    </w:p>
    <w:p w14:paraId="1FD0A630" w14:textId="3B1BBA16" w:rsid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Number of branches NbrB</w:t>
      </w:r>
      <w:r>
        <w:rPr>
          <w:rFonts w:ascii="Times New Roman" w:hAnsi="Times New Roman" w:cs="Times New Roman"/>
          <w:sz w:val="24"/>
          <w:szCs w:val="24"/>
        </w:rPr>
        <w:t xml:space="preserve"> </w:t>
      </w:r>
      <w:r w:rsidRPr="009C6851">
        <w:rPr>
          <w:rFonts w:ascii="Times New Roman" w:hAnsi="Times New Roman" w:cs="Times New Roman"/>
          <w:sz w:val="24"/>
          <w:szCs w:val="24"/>
        </w:rPr>
        <w:t>: Only primary branches were considered for this study.</w:t>
      </w:r>
    </w:p>
    <w:p w14:paraId="31BEA9F8" w14:textId="7A8B6FF9" w:rsidR="009C6851" w:rsidRDefault="009C6851" w:rsidP="009C6851">
      <w:pPr>
        <w:spacing w:line="360" w:lineRule="auto"/>
        <w:jc w:val="both"/>
        <w:rPr>
          <w:rFonts w:ascii="Times New Roman" w:hAnsi="Times New Roman" w:cs="Times New Roman"/>
          <w:sz w:val="24"/>
          <w:szCs w:val="24"/>
        </w:rPr>
      </w:pPr>
    </w:p>
    <w:p w14:paraId="52539E57" w14:textId="765860BF" w:rsidR="009C6851" w:rsidRDefault="009C6851" w:rsidP="009C6851">
      <w:pPr>
        <w:spacing w:line="360" w:lineRule="auto"/>
        <w:jc w:val="center"/>
        <w:rPr>
          <w:rFonts w:ascii="Times New Roman" w:hAnsi="Times New Roman" w:cs="Times New Roman"/>
          <w:sz w:val="24"/>
          <w:szCs w:val="24"/>
        </w:rPr>
      </w:pPr>
      <w:r w:rsidRPr="009C6851">
        <w:rPr>
          <w:rFonts w:ascii="Times New Roman" w:hAnsi="Times New Roman" w:cs="Times New Roman"/>
          <w:b/>
          <w:bCs/>
          <w:sz w:val="24"/>
          <w:szCs w:val="24"/>
        </w:rPr>
        <w:t>Table 3</w:t>
      </w:r>
      <w:r>
        <w:rPr>
          <w:rFonts w:ascii="Times New Roman" w:hAnsi="Times New Roman" w:cs="Times New Roman"/>
          <w:b/>
          <w:bCs/>
          <w:sz w:val="24"/>
          <w:szCs w:val="24"/>
        </w:rPr>
        <w:t xml:space="preserve"> </w:t>
      </w:r>
      <w:r w:rsidRPr="009C6851">
        <w:rPr>
          <w:rFonts w:ascii="Times New Roman" w:hAnsi="Times New Roman" w:cs="Times New Roman"/>
          <w:b/>
          <w:bCs/>
          <w:sz w:val="24"/>
          <w:szCs w:val="24"/>
        </w:rPr>
        <w:t>:</w:t>
      </w:r>
      <w:r w:rsidRPr="009C6851">
        <w:rPr>
          <w:rFonts w:ascii="Times New Roman" w:hAnsi="Times New Roman" w:cs="Times New Roman"/>
          <w:sz w:val="24"/>
          <w:szCs w:val="24"/>
        </w:rPr>
        <w:t xml:space="preserve"> Quantitative variables used to evaluate the effect of treatment on Mirriah chili peppers.</w:t>
      </w:r>
    </w:p>
    <w:tbl>
      <w:tblPr>
        <w:tblStyle w:val="GridTable5Dark-Accent5"/>
        <w:tblW w:w="11002" w:type="dxa"/>
        <w:jc w:val="center"/>
        <w:tblLook w:val="04A0" w:firstRow="1" w:lastRow="0" w:firstColumn="1" w:lastColumn="0" w:noHBand="0" w:noVBand="1"/>
      </w:tblPr>
      <w:tblGrid>
        <w:gridCol w:w="789"/>
        <w:gridCol w:w="2917"/>
        <w:gridCol w:w="1118"/>
        <w:gridCol w:w="6178"/>
      </w:tblGrid>
      <w:tr w:rsidR="0010477B" w:rsidRPr="0042055B" w14:paraId="39907745" w14:textId="77777777" w:rsidTr="00C74C32">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05C116D5"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N</w:t>
            </w:r>
          </w:p>
        </w:tc>
        <w:tc>
          <w:tcPr>
            <w:tcW w:w="2917" w:type="dxa"/>
          </w:tcPr>
          <w:p w14:paraId="5B958C5E" w14:textId="608750DF" w:rsidR="009C6851" w:rsidRPr="009C6851" w:rsidRDefault="00934698" w:rsidP="00C434C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34698">
              <w:rPr>
                <w:rFonts w:ascii="Times New Roman" w:hAnsi="Times New Roman" w:cs="Times New Roman"/>
                <w:sz w:val="24"/>
                <w:szCs w:val="24"/>
              </w:rPr>
              <w:t>Quantitative variables</w:t>
            </w:r>
          </w:p>
        </w:tc>
        <w:tc>
          <w:tcPr>
            <w:tcW w:w="1118" w:type="dxa"/>
          </w:tcPr>
          <w:p w14:paraId="1336EBAF" w14:textId="77777777" w:rsidR="009C6851" w:rsidRPr="009C6851" w:rsidRDefault="009C6851" w:rsidP="00C434C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C6851">
              <w:rPr>
                <w:rFonts w:ascii="Times New Roman" w:hAnsi="Times New Roman" w:cs="Times New Roman"/>
                <w:sz w:val="24"/>
                <w:szCs w:val="24"/>
              </w:rPr>
              <w:t>Code</w:t>
            </w:r>
          </w:p>
        </w:tc>
        <w:tc>
          <w:tcPr>
            <w:tcW w:w="6178" w:type="dxa"/>
          </w:tcPr>
          <w:p w14:paraId="3CFC63E1" w14:textId="76C4F6B2" w:rsidR="009C6851" w:rsidRPr="009C6851" w:rsidRDefault="00934698" w:rsidP="00C434C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34698">
              <w:rPr>
                <w:rFonts w:ascii="Times New Roman" w:hAnsi="Times New Roman" w:cs="Times New Roman"/>
                <w:sz w:val="24"/>
                <w:szCs w:val="24"/>
              </w:rPr>
              <w:t>Description and data collection</w:t>
            </w:r>
          </w:p>
        </w:tc>
      </w:tr>
      <w:tr w:rsidR="0010477B" w:rsidRPr="0042055B" w14:paraId="3D558A6A" w14:textId="77777777" w:rsidTr="00C74C3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89" w:type="dxa"/>
          </w:tcPr>
          <w:p w14:paraId="763C654F"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w:t>
            </w:r>
          </w:p>
        </w:tc>
        <w:tc>
          <w:tcPr>
            <w:tcW w:w="2917" w:type="dxa"/>
          </w:tcPr>
          <w:p w14:paraId="06078056" w14:textId="0143A322" w:rsidR="009C6851" w:rsidRPr="009C6851" w:rsidRDefault="00934698" w:rsidP="0093469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Secondary shoot emergence</w:t>
            </w:r>
          </w:p>
        </w:tc>
        <w:tc>
          <w:tcPr>
            <w:tcW w:w="1118" w:type="dxa"/>
          </w:tcPr>
          <w:p w14:paraId="68D327CD"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APS</w:t>
            </w:r>
          </w:p>
        </w:tc>
        <w:tc>
          <w:tcPr>
            <w:tcW w:w="6178" w:type="dxa"/>
          </w:tcPr>
          <w:p w14:paraId="07AAC508" w14:textId="1867B4B8"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Date 50% Emergence of first secondary growth</w:t>
            </w:r>
          </w:p>
        </w:tc>
      </w:tr>
      <w:tr w:rsidR="0010477B" w:rsidRPr="0042055B" w14:paraId="453F94B5" w14:textId="77777777" w:rsidTr="00C74C32">
        <w:trPr>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15ABDB6D"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2</w:t>
            </w:r>
          </w:p>
        </w:tc>
        <w:tc>
          <w:tcPr>
            <w:tcW w:w="2917" w:type="dxa"/>
          </w:tcPr>
          <w:p w14:paraId="7D0DB30B" w14:textId="1B919EF0"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Flowering Time</w:t>
            </w:r>
          </w:p>
        </w:tc>
        <w:tc>
          <w:tcPr>
            <w:tcW w:w="1118" w:type="dxa"/>
          </w:tcPr>
          <w:p w14:paraId="119AB405"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TFl</w:t>
            </w:r>
          </w:p>
        </w:tc>
        <w:tc>
          <w:tcPr>
            <w:tcW w:w="6178" w:type="dxa"/>
          </w:tcPr>
          <w:p w14:paraId="76F8E394" w14:textId="4A8D495B"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Date 50% Flowering</w:t>
            </w:r>
          </w:p>
        </w:tc>
      </w:tr>
      <w:tr w:rsidR="0010477B" w:rsidRPr="0042055B" w14:paraId="7D90C6A3" w14:textId="77777777" w:rsidTr="00C74C3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3338CBFB"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3</w:t>
            </w:r>
          </w:p>
        </w:tc>
        <w:tc>
          <w:tcPr>
            <w:tcW w:w="2917" w:type="dxa"/>
          </w:tcPr>
          <w:p w14:paraId="24F62910" w14:textId="5E157F35"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Fruiting time</w:t>
            </w:r>
          </w:p>
        </w:tc>
        <w:tc>
          <w:tcPr>
            <w:tcW w:w="1118" w:type="dxa"/>
          </w:tcPr>
          <w:p w14:paraId="12920C3A"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TeF</w:t>
            </w:r>
          </w:p>
        </w:tc>
        <w:tc>
          <w:tcPr>
            <w:tcW w:w="6178" w:type="dxa"/>
          </w:tcPr>
          <w:p w14:paraId="07EBD681" w14:textId="70C0C848"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Date 50% Fruiting</w:t>
            </w:r>
          </w:p>
        </w:tc>
      </w:tr>
      <w:tr w:rsidR="0010477B" w:rsidRPr="0042055B" w14:paraId="7C5F23A7" w14:textId="77777777" w:rsidTr="00C74C32">
        <w:trPr>
          <w:trHeight w:val="110"/>
          <w:jc w:val="center"/>
        </w:trPr>
        <w:tc>
          <w:tcPr>
            <w:cnfStyle w:val="001000000000" w:firstRow="0" w:lastRow="0" w:firstColumn="1" w:lastColumn="0" w:oddVBand="0" w:evenVBand="0" w:oddHBand="0" w:evenHBand="0" w:firstRowFirstColumn="0" w:firstRowLastColumn="0" w:lastRowFirstColumn="0" w:lastRowLastColumn="0"/>
            <w:tcW w:w="789" w:type="dxa"/>
          </w:tcPr>
          <w:p w14:paraId="362148C3"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4</w:t>
            </w:r>
          </w:p>
        </w:tc>
        <w:tc>
          <w:tcPr>
            <w:tcW w:w="2917" w:type="dxa"/>
          </w:tcPr>
          <w:p w14:paraId="35F129E5" w14:textId="790A9C63"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Maturation Time</w:t>
            </w:r>
          </w:p>
        </w:tc>
        <w:tc>
          <w:tcPr>
            <w:tcW w:w="1118" w:type="dxa"/>
          </w:tcPr>
          <w:p w14:paraId="7FE113D9"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Tma</w:t>
            </w:r>
          </w:p>
        </w:tc>
        <w:tc>
          <w:tcPr>
            <w:tcW w:w="6178" w:type="dxa"/>
          </w:tcPr>
          <w:p w14:paraId="78C36DFB" w14:textId="3776685E"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Date 50% Maturation</w:t>
            </w:r>
          </w:p>
        </w:tc>
      </w:tr>
      <w:tr w:rsidR="0010477B" w:rsidRPr="0042055B" w14:paraId="5DCBD39E" w14:textId="77777777" w:rsidTr="00C74C32">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789" w:type="dxa"/>
          </w:tcPr>
          <w:p w14:paraId="68E7A60A"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5</w:t>
            </w:r>
          </w:p>
        </w:tc>
        <w:tc>
          <w:tcPr>
            <w:tcW w:w="2917" w:type="dxa"/>
          </w:tcPr>
          <w:p w14:paraId="19D9CEE3" w14:textId="6ED4EF9C"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Leaf length</w:t>
            </w:r>
          </w:p>
        </w:tc>
        <w:tc>
          <w:tcPr>
            <w:tcW w:w="1118" w:type="dxa"/>
          </w:tcPr>
          <w:p w14:paraId="53E29A9A"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Lof</w:t>
            </w:r>
          </w:p>
        </w:tc>
        <w:tc>
          <w:tcPr>
            <w:tcW w:w="6178" w:type="dxa"/>
          </w:tcPr>
          <w:p w14:paraId="3751F25E" w14:textId="5DFD6056"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Measure the length of 3 healthy leaves per pocket and calculate their averages.</w:t>
            </w:r>
          </w:p>
        </w:tc>
      </w:tr>
      <w:tr w:rsidR="0010477B" w:rsidRPr="0042055B" w14:paraId="442F390D" w14:textId="77777777" w:rsidTr="00C74C32">
        <w:trPr>
          <w:trHeight w:val="511"/>
          <w:jc w:val="center"/>
        </w:trPr>
        <w:tc>
          <w:tcPr>
            <w:cnfStyle w:val="001000000000" w:firstRow="0" w:lastRow="0" w:firstColumn="1" w:lastColumn="0" w:oddVBand="0" w:evenVBand="0" w:oddHBand="0" w:evenHBand="0" w:firstRowFirstColumn="0" w:firstRowLastColumn="0" w:lastRowFirstColumn="0" w:lastRowLastColumn="0"/>
            <w:tcW w:w="789" w:type="dxa"/>
          </w:tcPr>
          <w:p w14:paraId="6F823B92"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lastRenderedPageBreak/>
              <w:t>6</w:t>
            </w:r>
          </w:p>
        </w:tc>
        <w:tc>
          <w:tcPr>
            <w:tcW w:w="2917" w:type="dxa"/>
          </w:tcPr>
          <w:p w14:paraId="723454CF" w14:textId="2E7C4D90"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Leaf width</w:t>
            </w:r>
          </w:p>
        </w:tc>
        <w:tc>
          <w:tcPr>
            <w:tcW w:w="1118" w:type="dxa"/>
          </w:tcPr>
          <w:p w14:paraId="5CA6844E"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Laf</w:t>
            </w:r>
          </w:p>
        </w:tc>
        <w:tc>
          <w:tcPr>
            <w:tcW w:w="6178" w:type="dxa"/>
          </w:tcPr>
          <w:p w14:paraId="7B2E8EF5" w14:textId="42EBF2A5"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Measure the widths of 3 healthy leaves per cluster and calculate their averages.</w:t>
            </w:r>
          </w:p>
        </w:tc>
      </w:tr>
      <w:tr w:rsidR="0010477B" w:rsidRPr="0042055B" w14:paraId="22ACBBFB" w14:textId="77777777" w:rsidTr="00C74C32">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789" w:type="dxa"/>
          </w:tcPr>
          <w:p w14:paraId="62AC7EDD"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7</w:t>
            </w:r>
          </w:p>
        </w:tc>
        <w:tc>
          <w:tcPr>
            <w:tcW w:w="2917" w:type="dxa"/>
          </w:tcPr>
          <w:p w14:paraId="0E8BC7A5" w14:textId="77DC4206"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Petiole length</w:t>
            </w:r>
          </w:p>
        </w:tc>
        <w:tc>
          <w:tcPr>
            <w:tcW w:w="1118" w:type="dxa"/>
          </w:tcPr>
          <w:p w14:paraId="2376B2E0"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Lop</w:t>
            </w:r>
          </w:p>
        </w:tc>
        <w:tc>
          <w:tcPr>
            <w:tcW w:w="6178" w:type="dxa"/>
          </w:tcPr>
          <w:p w14:paraId="1BB8FC1E" w14:textId="46A60DB6"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 xml:space="preserve">Measure the lengths of 3 petioles and calculate the average.   </w:t>
            </w:r>
          </w:p>
        </w:tc>
      </w:tr>
      <w:tr w:rsidR="0010477B" w:rsidRPr="0042055B" w14:paraId="0B8E56F4" w14:textId="77777777" w:rsidTr="00C74C32">
        <w:trPr>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57B43EAF"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8</w:t>
            </w:r>
          </w:p>
        </w:tc>
        <w:tc>
          <w:tcPr>
            <w:tcW w:w="2917" w:type="dxa"/>
          </w:tcPr>
          <w:p w14:paraId="38D5A9C0" w14:textId="168026D3"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Shaft diameter</w:t>
            </w:r>
          </w:p>
        </w:tc>
        <w:tc>
          <w:tcPr>
            <w:tcW w:w="1118" w:type="dxa"/>
          </w:tcPr>
          <w:p w14:paraId="77DDECFC"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DiT</w:t>
            </w:r>
          </w:p>
        </w:tc>
        <w:tc>
          <w:tcPr>
            <w:tcW w:w="6178" w:type="dxa"/>
          </w:tcPr>
          <w:p w14:paraId="17D96F45" w14:textId="67861D20"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Measure using a caliper in cm.</w:t>
            </w:r>
          </w:p>
        </w:tc>
      </w:tr>
      <w:tr w:rsidR="0010477B" w:rsidRPr="0042055B" w14:paraId="07740CD1" w14:textId="77777777" w:rsidTr="00C74C32">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89" w:type="dxa"/>
          </w:tcPr>
          <w:p w14:paraId="6EAA7A8C"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9</w:t>
            </w:r>
          </w:p>
        </w:tc>
        <w:tc>
          <w:tcPr>
            <w:tcW w:w="2917" w:type="dxa"/>
          </w:tcPr>
          <w:p w14:paraId="1D2C37A2" w14:textId="322F29C4"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Plant height</w:t>
            </w:r>
          </w:p>
        </w:tc>
        <w:tc>
          <w:tcPr>
            <w:tcW w:w="1118" w:type="dxa"/>
          </w:tcPr>
          <w:p w14:paraId="445F158C"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HP</w:t>
            </w:r>
          </w:p>
        </w:tc>
        <w:tc>
          <w:tcPr>
            <w:tcW w:w="6178" w:type="dxa"/>
          </w:tcPr>
          <w:p w14:paraId="0ECA7195" w14:textId="2B885F14" w:rsidR="009C6851" w:rsidRPr="009C6851" w:rsidRDefault="00934698"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Measure using a ruler at 30, 60, and 90 days after transplanting.</w:t>
            </w:r>
          </w:p>
        </w:tc>
      </w:tr>
      <w:tr w:rsidR="0010477B" w:rsidRPr="0042055B" w14:paraId="75C3AE3A" w14:textId="77777777" w:rsidTr="00C74C32">
        <w:trPr>
          <w:trHeight w:val="327"/>
          <w:jc w:val="center"/>
        </w:trPr>
        <w:tc>
          <w:tcPr>
            <w:cnfStyle w:val="001000000000" w:firstRow="0" w:lastRow="0" w:firstColumn="1" w:lastColumn="0" w:oddVBand="0" w:evenVBand="0" w:oddHBand="0" w:evenHBand="0" w:firstRowFirstColumn="0" w:firstRowLastColumn="0" w:lastRowFirstColumn="0" w:lastRowLastColumn="0"/>
            <w:tcW w:w="789" w:type="dxa"/>
          </w:tcPr>
          <w:p w14:paraId="0A1C5D6F"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10</w:t>
            </w:r>
          </w:p>
        </w:tc>
        <w:tc>
          <w:tcPr>
            <w:tcW w:w="2917" w:type="dxa"/>
          </w:tcPr>
          <w:p w14:paraId="7D3924F1" w14:textId="64E53160"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Number of branches</w:t>
            </w:r>
          </w:p>
        </w:tc>
        <w:tc>
          <w:tcPr>
            <w:tcW w:w="1118" w:type="dxa"/>
          </w:tcPr>
          <w:p w14:paraId="144B258B"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NbrB</w:t>
            </w:r>
          </w:p>
        </w:tc>
        <w:tc>
          <w:tcPr>
            <w:tcW w:w="6178" w:type="dxa"/>
          </w:tcPr>
          <w:p w14:paraId="21EBFFDE" w14:textId="0FA6AF10" w:rsidR="009C6851" w:rsidRPr="009C6851" w:rsidRDefault="00934698"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4698">
              <w:rPr>
                <w:rFonts w:ascii="Times New Roman" w:hAnsi="Times New Roman" w:cs="Times New Roman"/>
                <w:sz w:val="24"/>
                <w:szCs w:val="24"/>
              </w:rPr>
              <w:t>The primary branches will be counted for each pocket.</w:t>
            </w:r>
          </w:p>
        </w:tc>
      </w:tr>
      <w:tr w:rsidR="0010477B" w:rsidRPr="0042055B" w14:paraId="289050BD" w14:textId="77777777" w:rsidTr="00C74C3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6EFFEB51"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11</w:t>
            </w:r>
          </w:p>
        </w:tc>
        <w:tc>
          <w:tcPr>
            <w:tcW w:w="2917" w:type="dxa"/>
          </w:tcPr>
          <w:p w14:paraId="6AF37331" w14:textId="32A94C7E" w:rsidR="009C6851" w:rsidRPr="009C6851"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Stalk length</w:t>
            </w:r>
          </w:p>
        </w:tc>
        <w:tc>
          <w:tcPr>
            <w:tcW w:w="1118" w:type="dxa"/>
          </w:tcPr>
          <w:p w14:paraId="189706E1"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Lpd</w:t>
            </w:r>
          </w:p>
        </w:tc>
        <w:tc>
          <w:tcPr>
            <w:tcW w:w="6178" w:type="dxa"/>
          </w:tcPr>
          <w:p w14:paraId="74EFA4C0" w14:textId="7CE2EF61" w:rsidR="009C6851" w:rsidRPr="009C6851"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Measure using a ruler</w:t>
            </w:r>
          </w:p>
        </w:tc>
      </w:tr>
      <w:tr w:rsidR="0010477B" w:rsidRPr="0042055B" w14:paraId="3BC44667" w14:textId="77777777" w:rsidTr="00C74C32">
        <w:trPr>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43762738"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12</w:t>
            </w:r>
          </w:p>
        </w:tc>
        <w:tc>
          <w:tcPr>
            <w:tcW w:w="2917" w:type="dxa"/>
          </w:tcPr>
          <w:p w14:paraId="26CB70E7" w14:textId="292D8A67" w:rsidR="009C6851" w:rsidRPr="009C6851" w:rsidRDefault="00455F77"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Canopy width</w:t>
            </w:r>
          </w:p>
        </w:tc>
        <w:tc>
          <w:tcPr>
            <w:tcW w:w="1118" w:type="dxa"/>
          </w:tcPr>
          <w:p w14:paraId="65B7146C"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Lac</w:t>
            </w:r>
          </w:p>
        </w:tc>
        <w:tc>
          <w:tcPr>
            <w:tcW w:w="6178" w:type="dxa"/>
          </w:tcPr>
          <w:p w14:paraId="3B977084" w14:textId="209582B9" w:rsidR="009C6851" w:rsidRPr="009C6851" w:rsidRDefault="00455F77"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Measure using a tape measure or ruler.</w:t>
            </w:r>
          </w:p>
        </w:tc>
      </w:tr>
      <w:tr w:rsidR="0010477B" w:rsidRPr="0042055B" w14:paraId="72B5720C" w14:textId="77777777" w:rsidTr="00C74C3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73CDBE13"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13</w:t>
            </w:r>
          </w:p>
        </w:tc>
        <w:tc>
          <w:tcPr>
            <w:tcW w:w="2917" w:type="dxa"/>
          </w:tcPr>
          <w:p w14:paraId="3701C4E1" w14:textId="15A2DB9A" w:rsidR="009C6851" w:rsidRPr="009C6851"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Fruit diameter</w:t>
            </w:r>
          </w:p>
        </w:tc>
        <w:tc>
          <w:tcPr>
            <w:tcW w:w="1118" w:type="dxa"/>
          </w:tcPr>
          <w:p w14:paraId="59EACDD1"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6851">
              <w:rPr>
                <w:rFonts w:ascii="Times New Roman" w:hAnsi="Times New Roman" w:cs="Times New Roman"/>
                <w:b/>
                <w:sz w:val="24"/>
                <w:szCs w:val="24"/>
              </w:rPr>
              <w:t>DiF</w:t>
            </w:r>
          </w:p>
        </w:tc>
        <w:tc>
          <w:tcPr>
            <w:tcW w:w="6178" w:type="dxa"/>
          </w:tcPr>
          <w:p w14:paraId="1FE6C237" w14:textId="2006AFD5" w:rsidR="009C6851" w:rsidRPr="009C6851"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55F77">
              <w:rPr>
                <w:rFonts w:ascii="Times New Roman" w:hAnsi="Times New Roman" w:cs="Times New Roman"/>
                <w:sz w:val="24"/>
                <w:szCs w:val="24"/>
              </w:rPr>
              <w:t>Measure using a tape measure or ruler.</w:t>
            </w:r>
          </w:p>
        </w:tc>
      </w:tr>
      <w:tr w:rsidR="0010477B" w:rsidRPr="0042055B" w14:paraId="727FFC91" w14:textId="77777777" w:rsidTr="00C74C32">
        <w:trPr>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35E52DCC"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14</w:t>
            </w:r>
          </w:p>
        </w:tc>
        <w:tc>
          <w:tcPr>
            <w:tcW w:w="2917" w:type="dxa"/>
          </w:tcPr>
          <w:p w14:paraId="341AB344" w14:textId="252B3F0D" w:rsidR="009C6851" w:rsidRPr="009C6851" w:rsidRDefault="00455F77"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Fruit length</w:t>
            </w:r>
          </w:p>
        </w:tc>
        <w:tc>
          <w:tcPr>
            <w:tcW w:w="1118" w:type="dxa"/>
          </w:tcPr>
          <w:p w14:paraId="7F5C0E77"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Lfr</w:t>
            </w:r>
          </w:p>
        </w:tc>
        <w:tc>
          <w:tcPr>
            <w:tcW w:w="6178" w:type="dxa"/>
          </w:tcPr>
          <w:p w14:paraId="09A3F879" w14:textId="49A5A66A" w:rsidR="009C6851" w:rsidRPr="009C6851" w:rsidRDefault="00455F77"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55F77">
              <w:rPr>
                <w:rFonts w:ascii="Times New Roman" w:hAnsi="Times New Roman" w:cs="Times New Roman"/>
                <w:sz w:val="24"/>
                <w:szCs w:val="24"/>
              </w:rPr>
              <w:t>Measure using a ruler</w:t>
            </w:r>
          </w:p>
        </w:tc>
      </w:tr>
      <w:tr w:rsidR="0010477B" w:rsidRPr="0042055B" w14:paraId="014B2ADD" w14:textId="77777777" w:rsidTr="00C74C3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89" w:type="dxa"/>
            <w:tcBorders>
              <w:bottom w:val="nil"/>
            </w:tcBorders>
          </w:tcPr>
          <w:p w14:paraId="330932E0"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15</w:t>
            </w:r>
          </w:p>
        </w:tc>
        <w:tc>
          <w:tcPr>
            <w:tcW w:w="2917" w:type="dxa"/>
            <w:tcBorders>
              <w:bottom w:val="nil"/>
            </w:tcBorders>
          </w:tcPr>
          <w:p w14:paraId="02F179F2"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 xml:space="preserve">Poids du Fruit par plant </w:t>
            </w:r>
          </w:p>
        </w:tc>
        <w:tc>
          <w:tcPr>
            <w:tcW w:w="1118" w:type="dxa"/>
            <w:tcBorders>
              <w:bottom w:val="nil"/>
            </w:tcBorders>
          </w:tcPr>
          <w:p w14:paraId="04DFDFBB"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PFP</w:t>
            </w:r>
          </w:p>
        </w:tc>
        <w:tc>
          <w:tcPr>
            <w:tcW w:w="6178" w:type="dxa"/>
            <w:tcBorders>
              <w:bottom w:val="nil"/>
            </w:tcBorders>
          </w:tcPr>
          <w:p w14:paraId="1B96BFDC" w14:textId="0BF32A7E" w:rsidR="009C6851" w:rsidRPr="009C6851"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Fruit weight per plant</w:t>
            </w:r>
          </w:p>
        </w:tc>
      </w:tr>
      <w:tr w:rsidR="0010477B" w:rsidRPr="0010477B" w14:paraId="2C8A52A8" w14:textId="77777777" w:rsidTr="00C74C32">
        <w:trPr>
          <w:trHeight w:val="234"/>
          <w:jc w:val="center"/>
        </w:trPr>
        <w:tc>
          <w:tcPr>
            <w:cnfStyle w:val="001000000000" w:firstRow="0" w:lastRow="0" w:firstColumn="1" w:lastColumn="0" w:oddVBand="0" w:evenVBand="0" w:oddHBand="0" w:evenHBand="0" w:firstRowFirstColumn="0" w:firstRowLastColumn="0" w:lastRowFirstColumn="0" w:lastRowLastColumn="0"/>
            <w:tcW w:w="789" w:type="dxa"/>
            <w:tcBorders>
              <w:top w:val="nil"/>
              <w:left w:val="nil"/>
              <w:bottom w:val="nil"/>
              <w:right w:val="nil"/>
            </w:tcBorders>
          </w:tcPr>
          <w:p w14:paraId="3BB8239C" w14:textId="77777777" w:rsidR="009C6851" w:rsidRPr="0010477B" w:rsidRDefault="009C6851" w:rsidP="00C434C0">
            <w:pPr>
              <w:spacing w:line="360" w:lineRule="auto"/>
              <w:jc w:val="both"/>
              <w:rPr>
                <w:rFonts w:ascii="Times New Roman" w:hAnsi="Times New Roman" w:cs="Times New Roman"/>
                <w:b w:val="0"/>
                <w:sz w:val="24"/>
                <w:szCs w:val="24"/>
              </w:rPr>
            </w:pPr>
            <w:r w:rsidRPr="0010477B">
              <w:rPr>
                <w:rFonts w:ascii="Times New Roman" w:hAnsi="Times New Roman" w:cs="Times New Roman"/>
                <w:sz w:val="24"/>
                <w:szCs w:val="24"/>
              </w:rPr>
              <w:t>16</w:t>
            </w:r>
          </w:p>
        </w:tc>
        <w:tc>
          <w:tcPr>
            <w:tcW w:w="2917" w:type="dxa"/>
            <w:tcBorders>
              <w:top w:val="nil"/>
              <w:left w:val="nil"/>
              <w:bottom w:val="nil"/>
              <w:right w:val="nil"/>
            </w:tcBorders>
          </w:tcPr>
          <w:p w14:paraId="223AE62A" w14:textId="77777777" w:rsidR="009C6851" w:rsidRPr="0010477B"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477B">
              <w:rPr>
                <w:rFonts w:ascii="Times New Roman" w:hAnsi="Times New Roman" w:cs="Times New Roman"/>
                <w:color w:val="000000" w:themeColor="text1"/>
                <w:sz w:val="24"/>
                <w:szCs w:val="24"/>
              </w:rPr>
              <w:t>Nombre de graine par Fruit</w:t>
            </w:r>
          </w:p>
        </w:tc>
        <w:tc>
          <w:tcPr>
            <w:tcW w:w="1118" w:type="dxa"/>
            <w:tcBorders>
              <w:top w:val="nil"/>
              <w:left w:val="nil"/>
              <w:bottom w:val="nil"/>
              <w:right w:val="nil"/>
            </w:tcBorders>
          </w:tcPr>
          <w:p w14:paraId="489C8F5B" w14:textId="77777777" w:rsidR="009C6851" w:rsidRPr="0010477B"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477B">
              <w:rPr>
                <w:rFonts w:ascii="Times New Roman" w:hAnsi="Times New Roman" w:cs="Times New Roman"/>
                <w:color w:val="000000" w:themeColor="text1"/>
                <w:sz w:val="24"/>
                <w:szCs w:val="24"/>
              </w:rPr>
              <w:t>NbrGrF</w:t>
            </w:r>
          </w:p>
        </w:tc>
        <w:tc>
          <w:tcPr>
            <w:tcW w:w="6178" w:type="dxa"/>
            <w:tcBorders>
              <w:top w:val="nil"/>
              <w:left w:val="nil"/>
              <w:bottom w:val="nil"/>
              <w:right w:val="nil"/>
            </w:tcBorders>
          </w:tcPr>
          <w:p w14:paraId="39347571" w14:textId="3EC7468D" w:rsidR="009C6851" w:rsidRPr="0010477B" w:rsidRDefault="00455F77"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0477B">
              <w:rPr>
                <w:rFonts w:ascii="Times New Roman" w:hAnsi="Times New Roman" w:cs="Times New Roman"/>
                <w:color w:val="000000" w:themeColor="text1"/>
                <w:sz w:val="24"/>
                <w:szCs w:val="24"/>
              </w:rPr>
              <w:t>Number of seeds per fruit.</w:t>
            </w:r>
          </w:p>
        </w:tc>
      </w:tr>
      <w:tr w:rsidR="0010477B" w:rsidRPr="0010477B" w14:paraId="5B5A6123" w14:textId="77777777" w:rsidTr="00C74C32">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789" w:type="dxa"/>
            <w:tcBorders>
              <w:top w:val="nil"/>
              <w:left w:val="nil"/>
              <w:bottom w:val="nil"/>
              <w:right w:val="nil"/>
            </w:tcBorders>
          </w:tcPr>
          <w:p w14:paraId="5191D25E" w14:textId="77777777" w:rsidR="009C6851" w:rsidRPr="0010477B" w:rsidRDefault="009C6851" w:rsidP="00C434C0">
            <w:pPr>
              <w:spacing w:line="360" w:lineRule="auto"/>
              <w:jc w:val="both"/>
              <w:rPr>
                <w:rFonts w:ascii="Times New Roman" w:hAnsi="Times New Roman" w:cs="Times New Roman"/>
                <w:sz w:val="24"/>
                <w:szCs w:val="24"/>
              </w:rPr>
            </w:pPr>
            <w:r w:rsidRPr="0010477B">
              <w:rPr>
                <w:rFonts w:ascii="Times New Roman" w:hAnsi="Times New Roman" w:cs="Times New Roman"/>
                <w:sz w:val="24"/>
                <w:szCs w:val="24"/>
              </w:rPr>
              <w:t>17</w:t>
            </w:r>
          </w:p>
        </w:tc>
        <w:tc>
          <w:tcPr>
            <w:tcW w:w="2917" w:type="dxa"/>
            <w:tcBorders>
              <w:top w:val="nil"/>
              <w:left w:val="nil"/>
              <w:bottom w:val="nil"/>
              <w:right w:val="nil"/>
            </w:tcBorders>
          </w:tcPr>
          <w:p w14:paraId="62404A18" w14:textId="77777777" w:rsidR="009C6851" w:rsidRPr="0010477B"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477B">
              <w:rPr>
                <w:rFonts w:ascii="Times New Roman" w:hAnsi="Times New Roman" w:cs="Times New Roman"/>
                <w:color w:val="000000" w:themeColor="text1"/>
                <w:sz w:val="24"/>
                <w:szCs w:val="24"/>
              </w:rPr>
              <w:t>Nombre des fleurs</w:t>
            </w:r>
          </w:p>
        </w:tc>
        <w:tc>
          <w:tcPr>
            <w:tcW w:w="1118" w:type="dxa"/>
            <w:tcBorders>
              <w:top w:val="nil"/>
              <w:left w:val="nil"/>
              <w:bottom w:val="nil"/>
              <w:right w:val="nil"/>
            </w:tcBorders>
          </w:tcPr>
          <w:p w14:paraId="576774C7" w14:textId="77777777" w:rsidR="009C6851" w:rsidRPr="0010477B"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477B">
              <w:rPr>
                <w:rFonts w:ascii="Times New Roman" w:hAnsi="Times New Roman" w:cs="Times New Roman"/>
                <w:color w:val="000000" w:themeColor="text1"/>
                <w:sz w:val="24"/>
                <w:szCs w:val="24"/>
              </w:rPr>
              <w:t>Nbr Fle</w:t>
            </w:r>
          </w:p>
        </w:tc>
        <w:tc>
          <w:tcPr>
            <w:tcW w:w="6178" w:type="dxa"/>
            <w:tcBorders>
              <w:top w:val="nil"/>
              <w:left w:val="nil"/>
              <w:bottom w:val="nil"/>
              <w:right w:val="nil"/>
            </w:tcBorders>
          </w:tcPr>
          <w:p w14:paraId="36F7CC03" w14:textId="3A7D4A8B" w:rsidR="009C6851" w:rsidRPr="0010477B"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0477B">
              <w:rPr>
                <w:rFonts w:ascii="Times New Roman" w:hAnsi="Times New Roman" w:cs="Times New Roman"/>
                <w:color w:val="000000" w:themeColor="text1"/>
                <w:sz w:val="24"/>
                <w:szCs w:val="24"/>
              </w:rPr>
              <w:t>Number of flowers.</w:t>
            </w:r>
          </w:p>
        </w:tc>
      </w:tr>
      <w:tr w:rsidR="0010477B" w:rsidRPr="0042055B" w14:paraId="2B56B313" w14:textId="77777777" w:rsidTr="00C74C32">
        <w:trPr>
          <w:trHeight w:val="296"/>
          <w:jc w:val="center"/>
        </w:trPr>
        <w:tc>
          <w:tcPr>
            <w:cnfStyle w:val="001000000000" w:firstRow="0" w:lastRow="0" w:firstColumn="1" w:lastColumn="0" w:oddVBand="0" w:evenVBand="0" w:oddHBand="0" w:evenHBand="0" w:firstRowFirstColumn="0" w:firstRowLastColumn="0" w:lastRowFirstColumn="0" w:lastRowLastColumn="0"/>
            <w:tcW w:w="789" w:type="dxa"/>
            <w:tcBorders>
              <w:top w:val="nil"/>
            </w:tcBorders>
          </w:tcPr>
          <w:p w14:paraId="354D5195"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18</w:t>
            </w:r>
          </w:p>
        </w:tc>
        <w:tc>
          <w:tcPr>
            <w:tcW w:w="2917" w:type="dxa"/>
            <w:tcBorders>
              <w:top w:val="nil"/>
            </w:tcBorders>
          </w:tcPr>
          <w:p w14:paraId="723FA11C"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 xml:space="preserve">Nombre de fruit par plant </w:t>
            </w:r>
          </w:p>
        </w:tc>
        <w:tc>
          <w:tcPr>
            <w:tcW w:w="1118" w:type="dxa"/>
            <w:tcBorders>
              <w:top w:val="nil"/>
            </w:tcBorders>
          </w:tcPr>
          <w:p w14:paraId="0E14A32A" w14:textId="77777777" w:rsidR="009C6851" w:rsidRPr="009C6851" w:rsidRDefault="009C6851"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NbrFP</w:t>
            </w:r>
          </w:p>
        </w:tc>
        <w:tc>
          <w:tcPr>
            <w:tcW w:w="6178" w:type="dxa"/>
            <w:tcBorders>
              <w:top w:val="nil"/>
            </w:tcBorders>
          </w:tcPr>
          <w:p w14:paraId="48C43CA0" w14:textId="056B7E7C" w:rsidR="009C6851" w:rsidRPr="009C6851" w:rsidRDefault="00455F77"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Number of fruits per plant</w:t>
            </w:r>
            <w:r>
              <w:rPr>
                <w:rFonts w:ascii="Times New Roman" w:hAnsi="Times New Roman" w:cs="Times New Roman"/>
                <w:sz w:val="24"/>
                <w:szCs w:val="24"/>
              </w:rPr>
              <w:t>.</w:t>
            </w:r>
          </w:p>
        </w:tc>
      </w:tr>
      <w:tr w:rsidR="0010477B" w:rsidRPr="0042055B" w14:paraId="28C615D1" w14:textId="77777777" w:rsidTr="00C74C3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89" w:type="dxa"/>
          </w:tcPr>
          <w:p w14:paraId="3820976D" w14:textId="77777777" w:rsidR="009C6851" w:rsidRPr="009C6851" w:rsidRDefault="009C6851" w:rsidP="00C434C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19</w:t>
            </w:r>
          </w:p>
        </w:tc>
        <w:tc>
          <w:tcPr>
            <w:tcW w:w="2917" w:type="dxa"/>
          </w:tcPr>
          <w:p w14:paraId="555DFAED" w14:textId="5E153B76" w:rsidR="009C6851" w:rsidRPr="009C6851"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Weight of 1000 seeds</w:t>
            </w:r>
          </w:p>
        </w:tc>
        <w:tc>
          <w:tcPr>
            <w:tcW w:w="1118" w:type="dxa"/>
          </w:tcPr>
          <w:p w14:paraId="11703722" w14:textId="77777777" w:rsidR="009C6851" w:rsidRPr="009C6851" w:rsidRDefault="009C6851"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851">
              <w:rPr>
                <w:rFonts w:ascii="Times New Roman" w:hAnsi="Times New Roman" w:cs="Times New Roman"/>
                <w:sz w:val="24"/>
                <w:szCs w:val="24"/>
              </w:rPr>
              <w:t>P1000gr</w:t>
            </w:r>
          </w:p>
        </w:tc>
        <w:tc>
          <w:tcPr>
            <w:tcW w:w="6178" w:type="dxa"/>
          </w:tcPr>
          <w:p w14:paraId="18FFCF72" w14:textId="5665E7BA" w:rsidR="009C6851" w:rsidRPr="009C6851" w:rsidRDefault="00455F77"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F77">
              <w:rPr>
                <w:rFonts w:ascii="Times New Roman" w:hAnsi="Times New Roman" w:cs="Times New Roman"/>
                <w:sz w:val="24"/>
                <w:szCs w:val="24"/>
              </w:rPr>
              <w:t>Weight of 1000g measured using precision scales</w:t>
            </w:r>
          </w:p>
        </w:tc>
      </w:tr>
    </w:tbl>
    <w:p w14:paraId="31D7F8C5" w14:textId="77777777" w:rsidR="00C74C32" w:rsidRDefault="00C74C32" w:rsidP="00C74C32">
      <w:pPr>
        <w:spacing w:line="360" w:lineRule="auto"/>
        <w:jc w:val="both"/>
        <w:rPr>
          <w:rFonts w:ascii="Times New Roman" w:hAnsi="Times New Roman" w:cs="Times New Roman"/>
          <w:sz w:val="24"/>
          <w:szCs w:val="24"/>
        </w:rPr>
      </w:pPr>
    </w:p>
    <w:p w14:paraId="0722BE3D" w14:textId="3208161E" w:rsidR="00B32CDB" w:rsidRDefault="00C74C32" w:rsidP="00C74C32">
      <w:pPr>
        <w:spacing w:line="360" w:lineRule="auto"/>
        <w:jc w:val="both"/>
        <w:rPr>
          <w:rFonts w:ascii="Times New Roman" w:hAnsi="Times New Roman" w:cs="Times New Roman"/>
          <w:sz w:val="24"/>
          <w:szCs w:val="24"/>
        </w:rPr>
      </w:pPr>
      <w:r w:rsidRPr="00C74C32">
        <w:rPr>
          <w:rFonts w:ascii="Times New Roman" w:hAnsi="Times New Roman" w:cs="Times New Roman"/>
          <w:sz w:val="24"/>
          <w:szCs w:val="24"/>
        </w:rPr>
        <w:t>For qualitative characteristics (Table 7), observations were made when the vegetative organs were at their maximum development, in particular the color of the leaves, the vegetative habit of the plants, the type of growth of the plants, the shape, pubescence, and color of the leaves.</w:t>
      </w:r>
      <w:r>
        <w:rPr>
          <w:rFonts w:ascii="Times New Roman" w:hAnsi="Times New Roman" w:cs="Times New Roman"/>
          <w:sz w:val="24"/>
          <w:szCs w:val="24"/>
        </w:rPr>
        <w:t xml:space="preserve"> </w:t>
      </w:r>
      <w:r w:rsidRPr="00C74C32">
        <w:rPr>
          <w:rFonts w:ascii="Times New Roman" w:hAnsi="Times New Roman" w:cs="Times New Roman"/>
          <w:sz w:val="24"/>
          <w:szCs w:val="24"/>
        </w:rPr>
        <w:t>The color of the flowers, corolla, and position of the inflorescence to the anther were evaluated at the flowering stage, while the other parameters were evaluated at the fruiting and ripening stages.</w:t>
      </w:r>
      <w:r>
        <w:rPr>
          <w:rFonts w:ascii="Times New Roman" w:hAnsi="Times New Roman" w:cs="Times New Roman"/>
          <w:sz w:val="24"/>
          <w:szCs w:val="24"/>
        </w:rPr>
        <w:t xml:space="preserve"> </w:t>
      </w:r>
    </w:p>
    <w:p w14:paraId="7B45504A" w14:textId="2D262D75" w:rsidR="00C74C32" w:rsidRDefault="00C74C32" w:rsidP="00C74C32">
      <w:pPr>
        <w:spacing w:line="360" w:lineRule="auto"/>
        <w:jc w:val="both"/>
        <w:rPr>
          <w:rFonts w:ascii="Times New Roman" w:hAnsi="Times New Roman" w:cs="Times New Roman"/>
          <w:sz w:val="24"/>
          <w:szCs w:val="24"/>
        </w:rPr>
      </w:pPr>
    </w:p>
    <w:p w14:paraId="2CAA9DAC" w14:textId="693271B0" w:rsidR="00C74C32" w:rsidRDefault="007F3F50" w:rsidP="00C74C32">
      <w:pPr>
        <w:spacing w:line="360" w:lineRule="auto"/>
        <w:jc w:val="both"/>
        <w:rPr>
          <w:rFonts w:ascii="Times New Roman" w:hAnsi="Times New Roman" w:cs="Times New Roman"/>
          <w:sz w:val="24"/>
          <w:szCs w:val="24"/>
        </w:rPr>
      </w:pPr>
      <w:r w:rsidRPr="007F3F50">
        <w:rPr>
          <w:rFonts w:ascii="Times New Roman" w:hAnsi="Times New Roman" w:cs="Times New Roman"/>
          <w:b/>
          <w:bCs/>
          <w:sz w:val="24"/>
          <w:szCs w:val="24"/>
        </w:rPr>
        <w:t>Table 4</w:t>
      </w:r>
      <w:r>
        <w:rPr>
          <w:rFonts w:ascii="Times New Roman" w:hAnsi="Times New Roman" w:cs="Times New Roman"/>
          <w:b/>
          <w:bCs/>
          <w:sz w:val="24"/>
          <w:szCs w:val="24"/>
        </w:rPr>
        <w:t xml:space="preserve"> </w:t>
      </w:r>
      <w:r w:rsidRPr="007F3F50">
        <w:rPr>
          <w:rFonts w:ascii="Times New Roman" w:hAnsi="Times New Roman" w:cs="Times New Roman"/>
          <w:b/>
          <w:bCs/>
          <w:sz w:val="24"/>
          <w:szCs w:val="24"/>
        </w:rPr>
        <w:t>:</w:t>
      </w:r>
      <w:r w:rsidRPr="007F3F50">
        <w:rPr>
          <w:rFonts w:ascii="Times New Roman" w:hAnsi="Times New Roman" w:cs="Times New Roman"/>
          <w:sz w:val="24"/>
          <w:szCs w:val="24"/>
        </w:rPr>
        <w:t xml:space="preserve"> Qualitative variable used to evaluate the effect of treatment on Mirriah chili peppers.</w:t>
      </w:r>
    </w:p>
    <w:tbl>
      <w:tblPr>
        <w:tblStyle w:val="GridTable5Dark-Accent5"/>
        <w:tblW w:w="9717" w:type="dxa"/>
        <w:jc w:val="center"/>
        <w:tblLook w:val="04A0" w:firstRow="1" w:lastRow="0" w:firstColumn="1" w:lastColumn="0" w:noHBand="0" w:noVBand="1"/>
      </w:tblPr>
      <w:tblGrid>
        <w:gridCol w:w="481"/>
        <w:gridCol w:w="3494"/>
        <w:gridCol w:w="1113"/>
        <w:gridCol w:w="4629"/>
      </w:tblGrid>
      <w:tr w:rsidR="007F3F50" w14:paraId="2B363C98" w14:textId="77777777" w:rsidTr="00C434C0">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81" w:type="dxa"/>
          </w:tcPr>
          <w:p w14:paraId="0A400556" w14:textId="7718D0AF" w:rsidR="007F3F50" w:rsidRPr="003F10E5" w:rsidRDefault="007F3F50" w:rsidP="007F3F50">
            <w:pPr>
              <w:spacing w:line="360" w:lineRule="auto"/>
              <w:jc w:val="both"/>
              <w:rPr>
                <w:rFonts w:ascii="Times New Roman" w:hAnsi="Times New Roman" w:cs="Times New Roman"/>
                <w:b w:val="0"/>
                <w:sz w:val="24"/>
                <w:szCs w:val="24"/>
              </w:rPr>
            </w:pPr>
            <w:r w:rsidRPr="009C6851">
              <w:rPr>
                <w:rFonts w:ascii="Times New Roman" w:hAnsi="Times New Roman" w:cs="Times New Roman"/>
                <w:sz w:val="24"/>
                <w:szCs w:val="24"/>
              </w:rPr>
              <w:t>N</w:t>
            </w:r>
          </w:p>
        </w:tc>
        <w:tc>
          <w:tcPr>
            <w:tcW w:w="3494" w:type="dxa"/>
          </w:tcPr>
          <w:p w14:paraId="55197D4C" w14:textId="502D9A8E" w:rsidR="007F3F50" w:rsidRPr="003F10E5" w:rsidRDefault="007F3F50" w:rsidP="007F3F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34698">
              <w:rPr>
                <w:rFonts w:ascii="Times New Roman" w:hAnsi="Times New Roman" w:cs="Times New Roman"/>
                <w:sz w:val="24"/>
                <w:szCs w:val="24"/>
              </w:rPr>
              <w:t>Quantitative variables</w:t>
            </w:r>
          </w:p>
        </w:tc>
        <w:tc>
          <w:tcPr>
            <w:tcW w:w="1113" w:type="dxa"/>
          </w:tcPr>
          <w:p w14:paraId="4DE8AA45" w14:textId="0CB52517" w:rsidR="007F3F50" w:rsidRPr="003F10E5" w:rsidRDefault="007F3F50" w:rsidP="007F3F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C6851">
              <w:rPr>
                <w:rFonts w:ascii="Times New Roman" w:hAnsi="Times New Roman" w:cs="Times New Roman"/>
                <w:sz w:val="24"/>
                <w:szCs w:val="24"/>
              </w:rPr>
              <w:t>Code</w:t>
            </w:r>
          </w:p>
        </w:tc>
        <w:tc>
          <w:tcPr>
            <w:tcW w:w="4629" w:type="dxa"/>
          </w:tcPr>
          <w:p w14:paraId="71D8F4DA" w14:textId="29270EA1" w:rsidR="007F3F50" w:rsidRPr="003F10E5" w:rsidRDefault="007F3F50" w:rsidP="007F3F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34698">
              <w:rPr>
                <w:rFonts w:ascii="Times New Roman" w:hAnsi="Times New Roman" w:cs="Times New Roman"/>
                <w:sz w:val="24"/>
                <w:szCs w:val="24"/>
              </w:rPr>
              <w:t>Description and data collection</w:t>
            </w:r>
          </w:p>
        </w:tc>
      </w:tr>
      <w:tr w:rsidR="007F3F50" w14:paraId="2205A4CA" w14:textId="77777777" w:rsidTr="00C434C0">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81" w:type="dxa"/>
          </w:tcPr>
          <w:p w14:paraId="5ABF4E30" w14:textId="4F2DAF64" w:rsidR="007F3F50" w:rsidRPr="003F10E5" w:rsidRDefault="007F3F50" w:rsidP="007F3F50">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w:t>
            </w:r>
          </w:p>
        </w:tc>
        <w:tc>
          <w:tcPr>
            <w:tcW w:w="3494" w:type="dxa"/>
          </w:tcPr>
          <w:p w14:paraId="78275F66" w14:textId="0B58F00E" w:rsidR="007F3F50" w:rsidRPr="003F10E5" w:rsidRDefault="007F3F50" w:rsidP="007F3F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fr-FR"/>
              </w:rPr>
            </w:pPr>
            <w:r w:rsidRPr="00C4325C">
              <w:rPr>
                <w:rFonts w:ascii="Times New Roman" w:eastAsia="Times New Roman" w:hAnsi="Times New Roman" w:cs="Times New Roman"/>
                <w:bCs/>
                <w:color w:val="000000"/>
                <w:sz w:val="24"/>
                <w:szCs w:val="24"/>
                <w:lang w:eastAsia="fr-FR"/>
              </w:rPr>
              <w:t>Leaf color</w:t>
            </w:r>
          </w:p>
        </w:tc>
        <w:tc>
          <w:tcPr>
            <w:tcW w:w="1113" w:type="dxa"/>
          </w:tcPr>
          <w:p w14:paraId="1983D5B3" w14:textId="464D1546" w:rsidR="007F3F50" w:rsidRPr="003F10E5" w:rsidRDefault="007F3F50" w:rsidP="007F3F5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10E5">
              <w:rPr>
                <w:rFonts w:ascii="Times New Roman" w:hAnsi="Times New Roman" w:cs="Times New Roman"/>
                <w:sz w:val="24"/>
                <w:szCs w:val="24"/>
              </w:rPr>
              <w:t>CF</w:t>
            </w:r>
            <w:r>
              <w:rPr>
                <w:rFonts w:ascii="Times New Roman" w:hAnsi="Times New Roman" w:cs="Times New Roman"/>
                <w:sz w:val="24"/>
                <w:szCs w:val="24"/>
              </w:rPr>
              <w:t>e</w:t>
            </w:r>
          </w:p>
        </w:tc>
        <w:tc>
          <w:tcPr>
            <w:tcW w:w="4629" w:type="dxa"/>
          </w:tcPr>
          <w:p w14:paraId="71AA016D" w14:textId="3051376E" w:rsidR="007F3F50" w:rsidRPr="003F10E5" w:rsidRDefault="007F3F50" w:rsidP="007F3F5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F10E5">
              <w:rPr>
                <w:rFonts w:ascii="Times New Roman" w:eastAsia="Times New Roman" w:hAnsi="Times New Roman" w:cs="Times New Roman"/>
                <w:color w:val="000000"/>
                <w:sz w:val="24"/>
                <w:szCs w:val="24"/>
                <w:lang w:eastAsia="fr-FR"/>
              </w:rPr>
              <w:t>1</w:t>
            </w:r>
            <w:r w:rsidRPr="00C4325C">
              <w:rPr>
                <w:rFonts w:ascii="Times New Roman" w:eastAsia="Times New Roman" w:hAnsi="Times New Roman" w:cs="Times New Roman"/>
                <w:color w:val="000000"/>
                <w:sz w:val="24"/>
                <w:szCs w:val="24"/>
                <w:lang w:eastAsia="fr-FR"/>
              </w:rPr>
              <w:t>. light green, 2 green</w:t>
            </w:r>
            <w:r>
              <w:rPr>
                <w:rFonts w:ascii="Times New Roman" w:eastAsia="Times New Roman" w:hAnsi="Times New Roman" w:cs="Times New Roman"/>
                <w:color w:val="000000"/>
                <w:sz w:val="24"/>
                <w:szCs w:val="24"/>
                <w:lang w:eastAsia="fr-FR"/>
              </w:rPr>
              <w:t>,</w:t>
            </w:r>
            <w:r w:rsidRPr="00C4325C">
              <w:rPr>
                <w:rFonts w:ascii="Times New Roman" w:eastAsia="Times New Roman" w:hAnsi="Times New Roman" w:cs="Times New Roman"/>
                <w:color w:val="000000"/>
                <w:sz w:val="24"/>
                <w:szCs w:val="24"/>
                <w:lang w:eastAsia="fr-FR"/>
              </w:rPr>
              <w:t xml:space="preserve"> 3 dark green</w:t>
            </w:r>
          </w:p>
        </w:tc>
      </w:tr>
    </w:tbl>
    <w:p w14:paraId="4F405B3B" w14:textId="77777777" w:rsidR="007F3F50" w:rsidRDefault="007F3F50" w:rsidP="00C74C32">
      <w:pPr>
        <w:spacing w:line="360" w:lineRule="auto"/>
        <w:jc w:val="both"/>
        <w:rPr>
          <w:rFonts w:ascii="Times New Roman" w:hAnsi="Times New Roman" w:cs="Times New Roman"/>
          <w:sz w:val="24"/>
          <w:szCs w:val="24"/>
        </w:rPr>
      </w:pPr>
    </w:p>
    <w:p w14:paraId="3A28B0DF" w14:textId="5AEC2535" w:rsidR="00C74C32" w:rsidRDefault="001A2447" w:rsidP="00C74C32">
      <w:pPr>
        <w:spacing w:line="360" w:lineRule="auto"/>
        <w:jc w:val="both"/>
        <w:rPr>
          <w:rFonts w:ascii="Times New Roman" w:hAnsi="Times New Roman" w:cs="Times New Roman"/>
          <w:b/>
          <w:bCs/>
          <w:i/>
          <w:iCs/>
          <w:sz w:val="24"/>
          <w:szCs w:val="24"/>
        </w:rPr>
      </w:pPr>
      <w:r w:rsidRPr="001A2447">
        <w:rPr>
          <w:rFonts w:ascii="Times New Roman" w:hAnsi="Times New Roman" w:cs="Times New Roman"/>
          <w:b/>
          <w:bCs/>
          <w:i/>
          <w:iCs/>
          <w:sz w:val="24"/>
          <w:szCs w:val="24"/>
        </w:rPr>
        <w:t>1.6. Data analysis</w:t>
      </w:r>
    </w:p>
    <w:p w14:paraId="305C4E60" w14:textId="65DF62C9" w:rsidR="001A2447" w:rsidRDefault="001A2447" w:rsidP="001A2447">
      <w:pPr>
        <w:spacing w:line="360" w:lineRule="auto"/>
        <w:jc w:val="both"/>
        <w:rPr>
          <w:rFonts w:ascii="Times New Roman" w:hAnsi="Times New Roman" w:cs="Times New Roman"/>
          <w:sz w:val="24"/>
          <w:szCs w:val="24"/>
        </w:rPr>
      </w:pPr>
      <w:r w:rsidRPr="001A2447">
        <w:rPr>
          <w:rFonts w:ascii="Times New Roman" w:hAnsi="Times New Roman" w:cs="Times New Roman"/>
          <w:sz w:val="24"/>
          <w:szCs w:val="24"/>
        </w:rPr>
        <w:t>Qualitative variables were analyzed using Excel version 2013. For each of the quantitative characteristics studied, we compared the means using analysis of variance (ANOVA) with Minitab 18 software.</w:t>
      </w:r>
      <w:r>
        <w:rPr>
          <w:rFonts w:ascii="Times New Roman" w:hAnsi="Times New Roman" w:cs="Times New Roman"/>
          <w:sz w:val="24"/>
          <w:szCs w:val="24"/>
        </w:rPr>
        <w:t xml:space="preserve"> </w:t>
      </w:r>
      <w:r w:rsidRPr="001A2447">
        <w:rPr>
          <w:rFonts w:ascii="Times New Roman" w:hAnsi="Times New Roman" w:cs="Times New Roman"/>
          <w:sz w:val="24"/>
          <w:szCs w:val="24"/>
        </w:rPr>
        <w:t xml:space="preserve">When a significant difference is observed between treatments for a given </w:t>
      </w:r>
      <w:r w:rsidRPr="001A2447">
        <w:rPr>
          <w:rFonts w:ascii="Times New Roman" w:hAnsi="Times New Roman" w:cs="Times New Roman"/>
          <w:sz w:val="24"/>
          <w:szCs w:val="24"/>
        </w:rPr>
        <w:lastRenderedPageBreak/>
        <w:t>trait, the ANOVA is supplemented by grouping and pairwise comparisons of treatment means using Tukey's method, which allowed us to identify treatments that differ significantly from others.</w:t>
      </w:r>
      <w:r>
        <w:rPr>
          <w:rFonts w:ascii="Times New Roman" w:hAnsi="Times New Roman" w:cs="Times New Roman"/>
          <w:sz w:val="24"/>
          <w:szCs w:val="24"/>
        </w:rPr>
        <w:t xml:space="preserve"> </w:t>
      </w:r>
      <w:r w:rsidRPr="001A2447">
        <w:rPr>
          <w:rFonts w:ascii="Times New Roman" w:hAnsi="Times New Roman" w:cs="Times New Roman"/>
          <w:sz w:val="24"/>
          <w:szCs w:val="24"/>
        </w:rPr>
        <w:t>In addition to Minitab 18, R software was also used to perform principal component analysis (PCA) and to illustrate, using figures, the differences and similarities between the treatments on the performance of the different genotypes of the Mirriah chili pepper variety evaluated.</w:t>
      </w:r>
      <w:r>
        <w:rPr>
          <w:rFonts w:ascii="Times New Roman" w:hAnsi="Times New Roman" w:cs="Times New Roman"/>
          <w:sz w:val="24"/>
          <w:szCs w:val="24"/>
        </w:rPr>
        <w:t xml:space="preserve"> </w:t>
      </w:r>
    </w:p>
    <w:p w14:paraId="45DD9B8D" w14:textId="2825516B" w:rsidR="001A2447" w:rsidRPr="001A2447" w:rsidRDefault="001A2447" w:rsidP="001A2447">
      <w:pPr>
        <w:spacing w:line="360" w:lineRule="auto"/>
        <w:jc w:val="both"/>
        <w:rPr>
          <w:rFonts w:ascii="Times New Roman" w:hAnsi="Times New Roman" w:cs="Times New Roman"/>
          <w:b/>
          <w:bCs/>
          <w:sz w:val="24"/>
          <w:szCs w:val="24"/>
        </w:rPr>
      </w:pPr>
      <w:r w:rsidRPr="001A2447">
        <w:rPr>
          <w:rFonts w:ascii="Times New Roman" w:hAnsi="Times New Roman" w:cs="Times New Roman"/>
          <w:b/>
          <w:bCs/>
          <w:sz w:val="24"/>
          <w:szCs w:val="24"/>
        </w:rPr>
        <w:t>2. RESULTS AND DISCUSSION</w:t>
      </w:r>
    </w:p>
    <w:p w14:paraId="3AB14F1D" w14:textId="0A8E5140" w:rsidR="001A2447" w:rsidRPr="001A2447" w:rsidRDefault="001A2447" w:rsidP="001A2447">
      <w:pPr>
        <w:spacing w:line="360" w:lineRule="auto"/>
        <w:jc w:val="both"/>
        <w:rPr>
          <w:rFonts w:ascii="Times New Roman" w:hAnsi="Times New Roman" w:cs="Times New Roman"/>
          <w:b/>
          <w:bCs/>
          <w:sz w:val="24"/>
          <w:szCs w:val="24"/>
        </w:rPr>
      </w:pPr>
      <w:r w:rsidRPr="001A2447">
        <w:rPr>
          <w:rFonts w:ascii="Times New Roman" w:hAnsi="Times New Roman" w:cs="Times New Roman"/>
          <w:b/>
          <w:bCs/>
          <w:sz w:val="24"/>
          <w:szCs w:val="24"/>
        </w:rPr>
        <w:t>2.1. Results</w:t>
      </w:r>
    </w:p>
    <w:p w14:paraId="10CFAFC9" w14:textId="26FA5CF8" w:rsidR="001A2447" w:rsidRDefault="001A2447" w:rsidP="001A2447">
      <w:pPr>
        <w:spacing w:line="360" w:lineRule="auto"/>
        <w:jc w:val="both"/>
        <w:rPr>
          <w:rFonts w:ascii="Times New Roman" w:hAnsi="Times New Roman" w:cs="Times New Roman"/>
          <w:b/>
          <w:bCs/>
          <w:i/>
          <w:iCs/>
          <w:sz w:val="24"/>
          <w:szCs w:val="24"/>
        </w:rPr>
      </w:pPr>
      <w:r w:rsidRPr="001A2447">
        <w:rPr>
          <w:rFonts w:ascii="Times New Roman" w:hAnsi="Times New Roman" w:cs="Times New Roman"/>
          <w:b/>
          <w:bCs/>
          <w:i/>
          <w:iCs/>
          <w:sz w:val="24"/>
          <w:szCs w:val="24"/>
        </w:rPr>
        <w:t>2.1.1. Effects of fertilizers according to the phenological stage of Mirriah chili peppers</w:t>
      </w:r>
      <w:r>
        <w:rPr>
          <w:rFonts w:ascii="Times New Roman" w:hAnsi="Times New Roman" w:cs="Times New Roman"/>
          <w:b/>
          <w:bCs/>
          <w:i/>
          <w:iCs/>
          <w:sz w:val="24"/>
          <w:szCs w:val="24"/>
        </w:rPr>
        <w:t>.</w:t>
      </w:r>
    </w:p>
    <w:p w14:paraId="6DCD6BF6" w14:textId="4E525FD5" w:rsidR="001A2447" w:rsidRDefault="001A2447" w:rsidP="001A2447">
      <w:pPr>
        <w:spacing w:line="360" w:lineRule="auto"/>
        <w:jc w:val="both"/>
        <w:rPr>
          <w:rFonts w:ascii="Times New Roman" w:hAnsi="Times New Roman" w:cs="Times New Roman"/>
          <w:sz w:val="24"/>
          <w:szCs w:val="24"/>
        </w:rPr>
      </w:pPr>
      <w:r w:rsidRPr="001A2447">
        <w:rPr>
          <w:rFonts w:ascii="Times New Roman" w:hAnsi="Times New Roman" w:cs="Times New Roman"/>
          <w:sz w:val="24"/>
          <w:szCs w:val="24"/>
        </w:rPr>
        <w:t>Table 5 presents the results of the analysis of variance of the phenological parameters of chili peppers according to treatment.</w:t>
      </w:r>
      <w:r>
        <w:rPr>
          <w:rFonts w:ascii="Times New Roman" w:hAnsi="Times New Roman" w:cs="Times New Roman"/>
          <w:sz w:val="24"/>
          <w:szCs w:val="24"/>
        </w:rPr>
        <w:t xml:space="preserve"> </w:t>
      </w:r>
      <w:r w:rsidRPr="001A2447">
        <w:rPr>
          <w:rFonts w:ascii="Times New Roman" w:hAnsi="Times New Roman" w:cs="Times New Roman"/>
          <w:sz w:val="24"/>
          <w:szCs w:val="24"/>
        </w:rPr>
        <w:t>The analysis of variance showed a significant difference (P=0.000) between treatments for all parameters studied. It was found that treatments with fertilizers yielded convincing results compared to the control.</w:t>
      </w:r>
      <w:r>
        <w:rPr>
          <w:rFonts w:ascii="Times New Roman" w:hAnsi="Times New Roman" w:cs="Times New Roman"/>
          <w:sz w:val="24"/>
          <w:szCs w:val="24"/>
        </w:rPr>
        <w:t xml:space="preserve"> </w:t>
      </w:r>
      <w:r w:rsidRPr="001A2447">
        <w:rPr>
          <w:rFonts w:ascii="Times New Roman" w:hAnsi="Times New Roman" w:cs="Times New Roman"/>
          <w:sz w:val="24"/>
          <w:szCs w:val="24"/>
        </w:rPr>
        <w:t>The results obtained showed that secondary growth occurred between 21 and 31 days after transplanting. Thus, treatments T3, T4, and T6 for this stage were the same, with an average of 21.5 Jar.</w:t>
      </w:r>
      <w:r>
        <w:rPr>
          <w:rFonts w:ascii="Times New Roman" w:hAnsi="Times New Roman" w:cs="Times New Roman"/>
          <w:sz w:val="24"/>
          <w:szCs w:val="24"/>
        </w:rPr>
        <w:t xml:space="preserve"> </w:t>
      </w:r>
      <w:r w:rsidRPr="001A2447">
        <w:rPr>
          <w:rFonts w:ascii="Times New Roman" w:hAnsi="Times New Roman" w:cs="Times New Roman"/>
          <w:sz w:val="24"/>
          <w:szCs w:val="24"/>
        </w:rPr>
        <w:t>The intermediate averages were obtained with treatments T5, T1, and T2, with 23.5 and 25.5 Jar, respectively. The lowest average value was recorded for treatment T0, which corresponded to the control, with a value of 31 days after transplanting.</w:t>
      </w:r>
      <w:r>
        <w:rPr>
          <w:rFonts w:ascii="Times New Roman" w:hAnsi="Times New Roman" w:cs="Times New Roman"/>
          <w:sz w:val="24"/>
          <w:szCs w:val="24"/>
        </w:rPr>
        <w:t xml:space="preserve"> </w:t>
      </w:r>
    </w:p>
    <w:p w14:paraId="49333F9A" w14:textId="0151E495" w:rsidR="001A2447" w:rsidRDefault="001A2447" w:rsidP="001A2447">
      <w:pPr>
        <w:spacing w:line="360" w:lineRule="auto"/>
        <w:jc w:val="both"/>
        <w:rPr>
          <w:rFonts w:ascii="Times New Roman" w:hAnsi="Times New Roman" w:cs="Times New Roman"/>
          <w:sz w:val="24"/>
          <w:szCs w:val="24"/>
        </w:rPr>
      </w:pPr>
      <w:r w:rsidRPr="001A2447">
        <w:rPr>
          <w:rFonts w:ascii="Times New Roman" w:hAnsi="Times New Roman" w:cs="Times New Roman"/>
          <w:sz w:val="24"/>
          <w:szCs w:val="24"/>
        </w:rPr>
        <w:t>As for the date of the onset of flower bud formation, it occurred between 25 and 39.5 Jar.</w:t>
      </w:r>
      <w:r>
        <w:rPr>
          <w:rFonts w:ascii="Times New Roman" w:hAnsi="Times New Roman" w:cs="Times New Roman"/>
          <w:sz w:val="24"/>
          <w:szCs w:val="24"/>
        </w:rPr>
        <w:t xml:space="preserve"> </w:t>
      </w:r>
      <w:r w:rsidRPr="001A2447">
        <w:rPr>
          <w:rFonts w:ascii="Times New Roman" w:hAnsi="Times New Roman" w:cs="Times New Roman"/>
          <w:sz w:val="24"/>
          <w:szCs w:val="24"/>
        </w:rPr>
        <w:t>According to the analysis of chili pepper performance based on a comparison of the average times of flower bud appearance according to treatment, the difference is highly significant (P=0.000) at the α =5% threshold between the different treatments.</w:t>
      </w:r>
      <w:r>
        <w:rPr>
          <w:rFonts w:ascii="Times New Roman" w:hAnsi="Times New Roman" w:cs="Times New Roman"/>
          <w:sz w:val="24"/>
          <w:szCs w:val="24"/>
        </w:rPr>
        <w:t xml:space="preserve"> </w:t>
      </w:r>
      <w:r w:rsidRPr="001A2447">
        <w:rPr>
          <w:rFonts w:ascii="Times New Roman" w:hAnsi="Times New Roman" w:cs="Times New Roman"/>
          <w:sz w:val="24"/>
          <w:szCs w:val="24"/>
        </w:rPr>
        <w:t>Treatments T6, T3, and T4 were the earliest, with averages of 27.35, 28, and 28 Jar, respectively.</w:t>
      </w:r>
      <w:r>
        <w:rPr>
          <w:rFonts w:ascii="Times New Roman" w:hAnsi="Times New Roman" w:cs="Times New Roman"/>
          <w:sz w:val="24"/>
          <w:szCs w:val="24"/>
        </w:rPr>
        <w:t xml:space="preserve"> </w:t>
      </w:r>
      <w:r w:rsidR="00527086" w:rsidRPr="00527086">
        <w:rPr>
          <w:rFonts w:ascii="Times New Roman" w:hAnsi="Times New Roman" w:cs="Times New Roman"/>
          <w:sz w:val="24"/>
          <w:szCs w:val="24"/>
        </w:rPr>
        <w:t>The T5, T1, and T2 treatments had an average duration of 30, 30, and 31 Jar, respectively. The T0 treatment was the latest, with an average of 39.5 Jar (Table 5).</w:t>
      </w:r>
      <w:r w:rsidR="00527086">
        <w:rPr>
          <w:rFonts w:ascii="Times New Roman" w:hAnsi="Times New Roman" w:cs="Times New Roman"/>
          <w:sz w:val="24"/>
          <w:szCs w:val="24"/>
        </w:rPr>
        <w:t xml:space="preserve"> </w:t>
      </w:r>
    </w:p>
    <w:p w14:paraId="3DBACAF9" w14:textId="4A7F5137" w:rsidR="00527086" w:rsidRDefault="00527086" w:rsidP="001A2447">
      <w:pPr>
        <w:spacing w:line="360" w:lineRule="auto"/>
        <w:jc w:val="both"/>
        <w:rPr>
          <w:rFonts w:ascii="Times New Roman" w:hAnsi="Times New Roman" w:cs="Times New Roman"/>
          <w:sz w:val="24"/>
          <w:szCs w:val="24"/>
        </w:rPr>
      </w:pPr>
      <w:r w:rsidRPr="00527086">
        <w:rPr>
          <w:rFonts w:ascii="Times New Roman" w:hAnsi="Times New Roman" w:cs="Times New Roman"/>
          <w:sz w:val="24"/>
          <w:szCs w:val="24"/>
        </w:rPr>
        <w:t>For flowering, treatments T3 and T6 were the earliest, with an average of 33.5 Jar. On the other hand, the intermediate treatments T4, T5, T2, and T1 had averages of 34.33, 36.35, 37.5, and 39.5 Jar, respectively, and the latest was the control with 52 Jar.</w:t>
      </w:r>
      <w:r>
        <w:rPr>
          <w:rFonts w:ascii="Times New Roman" w:hAnsi="Times New Roman" w:cs="Times New Roman"/>
          <w:sz w:val="24"/>
          <w:szCs w:val="24"/>
        </w:rPr>
        <w:t xml:space="preserve"> </w:t>
      </w:r>
      <w:r w:rsidRPr="00527086">
        <w:rPr>
          <w:rFonts w:ascii="Times New Roman" w:hAnsi="Times New Roman" w:cs="Times New Roman"/>
          <w:sz w:val="24"/>
          <w:szCs w:val="24"/>
        </w:rPr>
        <w:t>Fruiting occurred between 43 and 62 days after treatment. The earliest fruits were observed in treatments T3, T4, and T6, with 43.5, 46, and 46.5 days after treatment, respectively.</w:t>
      </w:r>
      <w:r>
        <w:rPr>
          <w:rFonts w:ascii="Times New Roman" w:hAnsi="Times New Roman" w:cs="Times New Roman"/>
          <w:sz w:val="24"/>
          <w:szCs w:val="24"/>
        </w:rPr>
        <w:t xml:space="preserve"> </w:t>
      </w:r>
      <w:r w:rsidRPr="00527086">
        <w:rPr>
          <w:rFonts w:ascii="Times New Roman" w:hAnsi="Times New Roman" w:cs="Times New Roman"/>
          <w:sz w:val="24"/>
          <w:szCs w:val="24"/>
        </w:rPr>
        <w:t xml:space="preserve">The witness recorded a high average value of 62 Jar. Maturation for all these treatments was effective between 69.5 and 83.5 Jar. Treatment </w:t>
      </w:r>
      <w:r w:rsidRPr="00527086">
        <w:rPr>
          <w:rFonts w:ascii="Times New Roman" w:hAnsi="Times New Roman" w:cs="Times New Roman"/>
          <w:sz w:val="24"/>
          <w:szCs w:val="24"/>
        </w:rPr>
        <w:lastRenderedPageBreak/>
        <w:t>T3 was the earliest with exactly 69.5 Jar, followed by treatments T6, T4, T1, T2, T5, and finally T0 with averages of 72, 73, 74.5, 76.5, 79, and 83.5 Jar, respectively.</w:t>
      </w:r>
      <w:r>
        <w:rPr>
          <w:rFonts w:ascii="Times New Roman" w:hAnsi="Times New Roman" w:cs="Times New Roman"/>
          <w:sz w:val="24"/>
          <w:szCs w:val="24"/>
        </w:rPr>
        <w:t xml:space="preserve"> </w:t>
      </w:r>
    </w:p>
    <w:p w14:paraId="115B8499" w14:textId="73EBF33E" w:rsidR="00527086" w:rsidRDefault="00527086" w:rsidP="001A2447">
      <w:pPr>
        <w:spacing w:line="360" w:lineRule="auto"/>
        <w:jc w:val="both"/>
        <w:rPr>
          <w:rFonts w:ascii="Times New Roman" w:hAnsi="Times New Roman" w:cs="Times New Roman"/>
          <w:b/>
          <w:bCs/>
          <w:i/>
          <w:iCs/>
          <w:sz w:val="24"/>
          <w:szCs w:val="24"/>
        </w:rPr>
      </w:pPr>
      <w:r w:rsidRPr="00527086">
        <w:rPr>
          <w:rFonts w:ascii="Times New Roman" w:hAnsi="Times New Roman" w:cs="Times New Roman"/>
          <w:b/>
          <w:bCs/>
          <w:i/>
          <w:iCs/>
          <w:sz w:val="24"/>
          <w:szCs w:val="24"/>
        </w:rPr>
        <w:t>2.1.2. Effect of fertilizers on the growth parameters of Mirriah chili peppers</w:t>
      </w:r>
    </w:p>
    <w:p w14:paraId="3DDF75DA" w14:textId="12D0F676" w:rsidR="00527086" w:rsidRDefault="00527086" w:rsidP="00527086">
      <w:pPr>
        <w:spacing w:line="360" w:lineRule="auto"/>
        <w:jc w:val="both"/>
        <w:rPr>
          <w:rFonts w:ascii="Times New Roman" w:hAnsi="Times New Roman" w:cs="Times New Roman"/>
          <w:sz w:val="24"/>
          <w:szCs w:val="24"/>
        </w:rPr>
      </w:pPr>
      <w:r w:rsidRPr="00527086">
        <w:rPr>
          <w:rFonts w:ascii="Times New Roman" w:hAnsi="Times New Roman" w:cs="Times New Roman"/>
          <w:sz w:val="24"/>
          <w:szCs w:val="24"/>
        </w:rPr>
        <w:t>Descriptive analysis of growth parameters such as leaflet length and width, petiole length, number of branches, stem diameter at the collar, number of flowers, and canopy width showed a significant difference (P=0.000) between treatments for HPPl30, HPPl60, and HPPl90.</w:t>
      </w:r>
      <w:r>
        <w:rPr>
          <w:rFonts w:ascii="Times New Roman" w:hAnsi="Times New Roman" w:cs="Times New Roman"/>
          <w:sz w:val="24"/>
          <w:szCs w:val="24"/>
        </w:rPr>
        <w:t xml:space="preserve"> </w:t>
      </w:r>
      <w:r w:rsidRPr="00527086">
        <w:rPr>
          <w:rFonts w:ascii="Times New Roman" w:hAnsi="Times New Roman" w:cs="Times New Roman"/>
          <w:sz w:val="24"/>
          <w:szCs w:val="24"/>
        </w:rPr>
        <w:t>The average leaf lengths were statistically identical between treatments T3 and T6, with respective averages of 8.68 and 8.31, followed by treatments T5 and T4, which recorded averages of 7.61 and 7.47.</w:t>
      </w:r>
      <w:r>
        <w:rPr>
          <w:rFonts w:ascii="Times New Roman" w:hAnsi="Times New Roman" w:cs="Times New Roman"/>
          <w:sz w:val="24"/>
          <w:szCs w:val="24"/>
        </w:rPr>
        <w:t xml:space="preserve"> </w:t>
      </w:r>
      <w:r w:rsidRPr="00527086">
        <w:rPr>
          <w:rFonts w:ascii="Times New Roman" w:hAnsi="Times New Roman" w:cs="Times New Roman"/>
          <w:sz w:val="24"/>
          <w:szCs w:val="24"/>
        </w:rPr>
        <w:t>For treatments T1 and T2, the mean values were 6.39 and 6.25, respectively, which were higher than that of treatment T0, which recorded a low mean of 5.24.</w:t>
      </w:r>
      <w:r>
        <w:rPr>
          <w:rFonts w:ascii="Times New Roman" w:hAnsi="Times New Roman" w:cs="Times New Roman"/>
          <w:sz w:val="24"/>
          <w:szCs w:val="24"/>
        </w:rPr>
        <w:t xml:space="preserve"> </w:t>
      </w:r>
      <w:r w:rsidRPr="00527086">
        <w:rPr>
          <w:rFonts w:ascii="Times New Roman" w:hAnsi="Times New Roman" w:cs="Times New Roman"/>
          <w:sz w:val="24"/>
          <w:szCs w:val="24"/>
        </w:rPr>
        <w:t>. The highest values for leaflet width were recorded in treatments T3, T6, T5, and T4, with 3.52, 3.44, 3.07, and 3.06 cm, respectively, while the lowest averages were recorded in T1, T2, and T0, with 2.63, 2.59, and 2.06 cm, respectively.</w:t>
      </w:r>
      <w:r>
        <w:rPr>
          <w:rFonts w:ascii="Times New Roman" w:hAnsi="Times New Roman" w:cs="Times New Roman"/>
          <w:sz w:val="24"/>
          <w:szCs w:val="24"/>
        </w:rPr>
        <w:t xml:space="preserve"> </w:t>
      </w:r>
    </w:p>
    <w:p w14:paraId="758BDADD" w14:textId="12DF6C17" w:rsidR="00527086" w:rsidRDefault="00527086" w:rsidP="00527086">
      <w:pPr>
        <w:spacing w:line="360" w:lineRule="auto"/>
        <w:jc w:val="both"/>
        <w:rPr>
          <w:rFonts w:ascii="Times New Roman" w:hAnsi="Times New Roman" w:cs="Times New Roman"/>
          <w:sz w:val="24"/>
          <w:szCs w:val="24"/>
        </w:rPr>
      </w:pPr>
      <w:r w:rsidRPr="00527086">
        <w:rPr>
          <w:rFonts w:ascii="Times New Roman" w:hAnsi="Times New Roman" w:cs="Times New Roman"/>
          <w:sz w:val="24"/>
          <w:szCs w:val="24"/>
        </w:rPr>
        <w:t>The petiole length varies from 4.21 to 2.11 cm. The highest value was observed in treatment T6 and the lowest in T0.</w:t>
      </w:r>
      <w:r>
        <w:rPr>
          <w:rFonts w:ascii="Times New Roman" w:hAnsi="Times New Roman" w:cs="Times New Roman"/>
          <w:sz w:val="24"/>
          <w:szCs w:val="24"/>
        </w:rPr>
        <w:t xml:space="preserve"> </w:t>
      </w:r>
      <w:r w:rsidRPr="00527086">
        <w:rPr>
          <w:rFonts w:ascii="Times New Roman" w:hAnsi="Times New Roman" w:cs="Times New Roman"/>
          <w:sz w:val="24"/>
          <w:szCs w:val="24"/>
        </w:rPr>
        <w:t>For the stem diameter at the collar, the highest average value was recorded in treatment T3 at 13.07 mm and the lowest in T0 at 6.5 mm.</w:t>
      </w:r>
      <w:r>
        <w:rPr>
          <w:rFonts w:ascii="Times New Roman" w:hAnsi="Times New Roman" w:cs="Times New Roman"/>
          <w:sz w:val="24"/>
          <w:szCs w:val="24"/>
        </w:rPr>
        <w:t xml:space="preserve"> </w:t>
      </w:r>
      <w:r w:rsidRPr="00527086">
        <w:rPr>
          <w:rFonts w:ascii="Times New Roman" w:hAnsi="Times New Roman" w:cs="Times New Roman"/>
          <w:sz w:val="24"/>
          <w:szCs w:val="24"/>
        </w:rPr>
        <w:t>The highest number of branches was recorded in treatments T3, T4, and T6, with values of approximately 7.44, 7.22, and 7.17 branches, respectively, followed by treatments T5, T2, and T1, which were statistically similar with respective averages of 6.92, 6.28, and 6.08, and finally T0 with an average of 4.81.</w:t>
      </w:r>
      <w:r>
        <w:rPr>
          <w:rFonts w:ascii="Times New Roman" w:hAnsi="Times New Roman" w:cs="Times New Roman"/>
          <w:sz w:val="24"/>
          <w:szCs w:val="24"/>
        </w:rPr>
        <w:t xml:space="preserve"> </w:t>
      </w:r>
      <w:r w:rsidRPr="00527086">
        <w:rPr>
          <w:rFonts w:ascii="Times New Roman" w:hAnsi="Times New Roman" w:cs="Times New Roman"/>
          <w:sz w:val="24"/>
          <w:szCs w:val="24"/>
        </w:rPr>
        <w:t>The highest number of flowers was observed in treatments T6, T3, T4, and T5, with 44.92, 37.75, 27.61, and 23.19 flowers, respectively, followed by treatments T1 and T2, which were statistically equivalent with averages of 13.17 and 12.75, and finally treatment T0, which recorded the lowest value of 7.47.</w:t>
      </w:r>
      <w:r>
        <w:rPr>
          <w:rFonts w:ascii="Times New Roman" w:hAnsi="Times New Roman" w:cs="Times New Roman"/>
          <w:sz w:val="24"/>
          <w:szCs w:val="24"/>
        </w:rPr>
        <w:t xml:space="preserve"> </w:t>
      </w:r>
      <w:r w:rsidRPr="00527086">
        <w:rPr>
          <w:rFonts w:ascii="Times New Roman" w:hAnsi="Times New Roman" w:cs="Times New Roman"/>
          <w:sz w:val="24"/>
          <w:szCs w:val="24"/>
        </w:rPr>
        <w:t>The HPPl30, HPPl60, HPPl90, and laC showed a significant difference between treatments.</w:t>
      </w:r>
      <w:r>
        <w:rPr>
          <w:rFonts w:ascii="Times New Roman" w:hAnsi="Times New Roman" w:cs="Times New Roman"/>
          <w:sz w:val="24"/>
          <w:szCs w:val="24"/>
        </w:rPr>
        <w:t xml:space="preserve"> </w:t>
      </w:r>
      <w:r w:rsidRPr="00527086">
        <w:rPr>
          <w:rFonts w:ascii="Times New Roman" w:hAnsi="Times New Roman" w:cs="Times New Roman"/>
          <w:sz w:val="24"/>
          <w:szCs w:val="24"/>
        </w:rPr>
        <w:t>The treatments with the highest levels at 30, 60, and 90 days were T3, T4, and T6, with averages of 31.92; 40.97, and 47.39 for T3; 29.83, 37.67, and 43.94 cm for T4; and 29.25, 36.44, and 41.86 cm for T6.</w:t>
      </w:r>
      <w:r>
        <w:rPr>
          <w:rFonts w:ascii="Times New Roman" w:hAnsi="Times New Roman" w:cs="Times New Roman"/>
          <w:sz w:val="24"/>
          <w:szCs w:val="24"/>
        </w:rPr>
        <w:t xml:space="preserve"> </w:t>
      </w:r>
      <w:r w:rsidRPr="00527086">
        <w:rPr>
          <w:rFonts w:ascii="Times New Roman" w:hAnsi="Times New Roman" w:cs="Times New Roman"/>
          <w:sz w:val="24"/>
          <w:szCs w:val="24"/>
        </w:rPr>
        <w:t>Intermediate values were recorded at T5, T1, T2, and T0 with averages of 26.67; 32.42; 37.58 cm for T5; 24.89; 32.39; 37.19 cm for T1; 24.78; 32; 36.67 cm for T2 and 21.64; 27.94; 33.94 cm for T0.</w:t>
      </w:r>
      <w:r>
        <w:rPr>
          <w:rFonts w:ascii="Times New Roman" w:hAnsi="Times New Roman" w:cs="Times New Roman"/>
          <w:sz w:val="24"/>
          <w:szCs w:val="24"/>
        </w:rPr>
        <w:t xml:space="preserve"> </w:t>
      </w:r>
      <w:r w:rsidRPr="00527086">
        <w:rPr>
          <w:rFonts w:ascii="Times New Roman" w:hAnsi="Times New Roman" w:cs="Times New Roman"/>
          <w:sz w:val="24"/>
          <w:szCs w:val="24"/>
        </w:rPr>
        <w:t>The width of the canopies in treatment T3 stood out from the others with an average of 35.11 cm, followed by the intermediate values T4 and T6, which were statistically identical at 32.75 and 32.39 cm, and finally the lowest average values for T1, T2, and T0, which were 27.22, 26.56 cm and 24.11 cm, respectively (Table 5).</w:t>
      </w:r>
      <w:r>
        <w:rPr>
          <w:rFonts w:ascii="Times New Roman" w:hAnsi="Times New Roman" w:cs="Times New Roman"/>
          <w:sz w:val="24"/>
          <w:szCs w:val="24"/>
        </w:rPr>
        <w:t xml:space="preserve"> </w:t>
      </w:r>
    </w:p>
    <w:p w14:paraId="20426E7F" w14:textId="2F95C432" w:rsidR="00527086" w:rsidRDefault="00527086" w:rsidP="00527086">
      <w:pPr>
        <w:spacing w:line="360" w:lineRule="auto"/>
        <w:jc w:val="both"/>
        <w:rPr>
          <w:rFonts w:ascii="Times New Roman" w:hAnsi="Times New Roman" w:cs="Times New Roman"/>
          <w:sz w:val="24"/>
          <w:szCs w:val="24"/>
        </w:rPr>
      </w:pPr>
    </w:p>
    <w:p w14:paraId="1F9485A3" w14:textId="1FD77F08" w:rsidR="00527086" w:rsidRDefault="00527086" w:rsidP="00527086">
      <w:pPr>
        <w:spacing w:line="360" w:lineRule="auto"/>
        <w:jc w:val="both"/>
        <w:rPr>
          <w:rFonts w:ascii="Times New Roman" w:hAnsi="Times New Roman" w:cs="Times New Roman"/>
          <w:sz w:val="24"/>
          <w:szCs w:val="24"/>
        </w:rPr>
      </w:pPr>
    </w:p>
    <w:p w14:paraId="29310DF4" w14:textId="59F11E62" w:rsidR="00527086" w:rsidRDefault="00527086" w:rsidP="00527086">
      <w:pPr>
        <w:spacing w:line="360" w:lineRule="auto"/>
        <w:jc w:val="both"/>
        <w:rPr>
          <w:rFonts w:ascii="Times New Roman" w:hAnsi="Times New Roman" w:cs="Times New Roman"/>
          <w:sz w:val="24"/>
          <w:szCs w:val="24"/>
        </w:rPr>
      </w:pPr>
    </w:p>
    <w:p w14:paraId="12278027" w14:textId="106C16E3" w:rsidR="00527086" w:rsidRDefault="00527086" w:rsidP="00527086">
      <w:pPr>
        <w:spacing w:line="360" w:lineRule="auto"/>
        <w:jc w:val="both"/>
        <w:rPr>
          <w:rFonts w:ascii="Times New Roman" w:hAnsi="Times New Roman" w:cs="Times New Roman"/>
          <w:sz w:val="24"/>
          <w:szCs w:val="24"/>
        </w:rPr>
      </w:pPr>
    </w:p>
    <w:p w14:paraId="1DB6B737" w14:textId="059F8E07" w:rsidR="00527086" w:rsidRDefault="00527086" w:rsidP="00527086">
      <w:pPr>
        <w:spacing w:line="360" w:lineRule="auto"/>
        <w:jc w:val="both"/>
        <w:rPr>
          <w:rFonts w:ascii="Times New Roman" w:hAnsi="Times New Roman" w:cs="Times New Roman"/>
          <w:sz w:val="24"/>
          <w:szCs w:val="24"/>
        </w:rPr>
      </w:pPr>
    </w:p>
    <w:p w14:paraId="55185C3D" w14:textId="229764C2" w:rsidR="00527086" w:rsidRDefault="00527086" w:rsidP="00527086">
      <w:pPr>
        <w:spacing w:line="360" w:lineRule="auto"/>
        <w:jc w:val="both"/>
        <w:rPr>
          <w:rFonts w:ascii="Times New Roman" w:hAnsi="Times New Roman" w:cs="Times New Roman"/>
          <w:sz w:val="24"/>
          <w:szCs w:val="24"/>
        </w:rPr>
      </w:pPr>
    </w:p>
    <w:p w14:paraId="25011CBA" w14:textId="36B7D287" w:rsidR="00527086" w:rsidRDefault="00527086" w:rsidP="00527086">
      <w:pPr>
        <w:spacing w:line="360" w:lineRule="auto"/>
        <w:jc w:val="both"/>
        <w:rPr>
          <w:rFonts w:ascii="Times New Roman" w:hAnsi="Times New Roman" w:cs="Times New Roman"/>
          <w:sz w:val="24"/>
          <w:szCs w:val="24"/>
        </w:rPr>
      </w:pPr>
    </w:p>
    <w:p w14:paraId="45145F68" w14:textId="399CF4DE" w:rsidR="00527086" w:rsidRDefault="00527086" w:rsidP="00527086">
      <w:pPr>
        <w:spacing w:line="360" w:lineRule="auto"/>
        <w:jc w:val="both"/>
        <w:rPr>
          <w:rFonts w:ascii="Times New Roman" w:hAnsi="Times New Roman" w:cs="Times New Roman"/>
          <w:sz w:val="24"/>
          <w:szCs w:val="24"/>
        </w:rPr>
      </w:pPr>
    </w:p>
    <w:p w14:paraId="556ACB8E" w14:textId="7D0FD76E" w:rsidR="00527086" w:rsidRDefault="00527086" w:rsidP="00527086">
      <w:pPr>
        <w:spacing w:line="360" w:lineRule="auto"/>
        <w:jc w:val="both"/>
        <w:rPr>
          <w:rFonts w:ascii="Times New Roman" w:hAnsi="Times New Roman" w:cs="Times New Roman"/>
          <w:sz w:val="24"/>
          <w:szCs w:val="24"/>
        </w:rPr>
      </w:pPr>
    </w:p>
    <w:p w14:paraId="63C896C9" w14:textId="214D98BA" w:rsidR="00527086" w:rsidRDefault="00527086" w:rsidP="00527086">
      <w:pPr>
        <w:spacing w:line="360" w:lineRule="auto"/>
        <w:jc w:val="both"/>
        <w:rPr>
          <w:rFonts w:ascii="Times New Roman" w:hAnsi="Times New Roman" w:cs="Times New Roman"/>
          <w:sz w:val="24"/>
          <w:szCs w:val="24"/>
        </w:rPr>
      </w:pPr>
    </w:p>
    <w:p w14:paraId="38E8ED24" w14:textId="5ADE4230" w:rsidR="00527086" w:rsidRDefault="00527086" w:rsidP="00527086">
      <w:pPr>
        <w:spacing w:line="360" w:lineRule="auto"/>
        <w:jc w:val="both"/>
        <w:rPr>
          <w:rFonts w:ascii="Times New Roman" w:hAnsi="Times New Roman" w:cs="Times New Roman"/>
          <w:sz w:val="24"/>
          <w:szCs w:val="24"/>
        </w:rPr>
      </w:pPr>
    </w:p>
    <w:p w14:paraId="1B9E098D" w14:textId="18E11F19" w:rsidR="00527086" w:rsidRDefault="00527086" w:rsidP="00527086">
      <w:pPr>
        <w:spacing w:line="360" w:lineRule="auto"/>
        <w:jc w:val="both"/>
        <w:rPr>
          <w:rFonts w:ascii="Times New Roman" w:hAnsi="Times New Roman" w:cs="Times New Roman"/>
          <w:sz w:val="24"/>
          <w:szCs w:val="24"/>
        </w:rPr>
      </w:pPr>
    </w:p>
    <w:p w14:paraId="0F72B064" w14:textId="3DE5A98C" w:rsidR="00527086" w:rsidRDefault="00527086" w:rsidP="00527086">
      <w:pPr>
        <w:spacing w:line="360" w:lineRule="auto"/>
        <w:jc w:val="both"/>
        <w:rPr>
          <w:rFonts w:ascii="Times New Roman" w:hAnsi="Times New Roman" w:cs="Times New Roman"/>
          <w:sz w:val="24"/>
          <w:szCs w:val="24"/>
        </w:rPr>
      </w:pPr>
    </w:p>
    <w:p w14:paraId="2EA622B2" w14:textId="368DE167" w:rsidR="00527086" w:rsidRDefault="00527086" w:rsidP="00527086">
      <w:pPr>
        <w:spacing w:line="360" w:lineRule="auto"/>
        <w:jc w:val="both"/>
        <w:rPr>
          <w:rFonts w:ascii="Times New Roman" w:hAnsi="Times New Roman" w:cs="Times New Roman"/>
          <w:sz w:val="24"/>
          <w:szCs w:val="24"/>
        </w:rPr>
      </w:pPr>
    </w:p>
    <w:p w14:paraId="7C0D04FB" w14:textId="1A8505D9" w:rsidR="00527086" w:rsidRDefault="00527086" w:rsidP="00527086">
      <w:pPr>
        <w:spacing w:line="360" w:lineRule="auto"/>
        <w:jc w:val="both"/>
        <w:rPr>
          <w:rFonts w:ascii="Times New Roman" w:hAnsi="Times New Roman" w:cs="Times New Roman"/>
          <w:sz w:val="24"/>
          <w:szCs w:val="24"/>
        </w:rPr>
      </w:pPr>
    </w:p>
    <w:p w14:paraId="7C3E28A0" w14:textId="77A9774F" w:rsidR="00527086" w:rsidRDefault="00527086" w:rsidP="00527086">
      <w:pPr>
        <w:spacing w:line="360" w:lineRule="auto"/>
        <w:jc w:val="both"/>
        <w:rPr>
          <w:rFonts w:ascii="Times New Roman" w:hAnsi="Times New Roman" w:cs="Times New Roman"/>
          <w:sz w:val="24"/>
          <w:szCs w:val="24"/>
        </w:rPr>
      </w:pPr>
    </w:p>
    <w:p w14:paraId="3B531533" w14:textId="7D6116F9" w:rsidR="00527086" w:rsidRDefault="00527086" w:rsidP="00527086">
      <w:pPr>
        <w:spacing w:line="360" w:lineRule="auto"/>
        <w:jc w:val="both"/>
        <w:rPr>
          <w:rFonts w:ascii="Times New Roman" w:hAnsi="Times New Roman" w:cs="Times New Roman"/>
          <w:sz w:val="24"/>
          <w:szCs w:val="24"/>
        </w:rPr>
      </w:pPr>
    </w:p>
    <w:p w14:paraId="10BB394F" w14:textId="79924012" w:rsidR="00527086" w:rsidRDefault="00527086" w:rsidP="00527086">
      <w:pPr>
        <w:spacing w:line="360" w:lineRule="auto"/>
        <w:jc w:val="both"/>
        <w:rPr>
          <w:rFonts w:ascii="Times New Roman" w:hAnsi="Times New Roman" w:cs="Times New Roman"/>
          <w:sz w:val="24"/>
          <w:szCs w:val="24"/>
        </w:rPr>
      </w:pPr>
    </w:p>
    <w:p w14:paraId="4D1421BA" w14:textId="77777777" w:rsidR="00527086" w:rsidRDefault="00527086" w:rsidP="00527086">
      <w:pPr>
        <w:spacing w:line="360" w:lineRule="auto"/>
        <w:jc w:val="both"/>
        <w:rPr>
          <w:rFonts w:ascii="Times New Roman" w:hAnsi="Times New Roman" w:cs="Times New Roman"/>
          <w:sz w:val="24"/>
          <w:szCs w:val="24"/>
        </w:rPr>
        <w:sectPr w:rsidR="0052708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2250136F" w14:textId="77777777" w:rsidR="009D5F63" w:rsidRDefault="009D5F63" w:rsidP="009D5F63">
      <w:pPr>
        <w:tabs>
          <w:tab w:val="left" w:pos="1035"/>
        </w:tabs>
      </w:pPr>
    </w:p>
    <w:p w14:paraId="75065C91" w14:textId="4C4AE815" w:rsidR="009D5F63" w:rsidRPr="001365F0" w:rsidRDefault="009D5F63" w:rsidP="009D5F63">
      <w:pPr>
        <w:pStyle w:val="Caption"/>
        <w:rPr>
          <w:rFonts w:ascii="Times New Roman" w:hAnsi="Times New Roman" w:cs="Times New Roman"/>
          <w:b/>
          <w:i w:val="0"/>
          <w:sz w:val="24"/>
          <w:szCs w:val="24"/>
        </w:rPr>
      </w:pPr>
      <w:r>
        <w:tab/>
      </w:r>
      <w:r w:rsidRPr="009D5F63">
        <w:rPr>
          <w:rFonts w:ascii="Times New Roman" w:hAnsi="Times New Roman" w:cs="Times New Roman"/>
          <w:b/>
          <w:i w:val="0"/>
          <w:color w:val="auto"/>
          <w:sz w:val="24"/>
          <w:szCs w:val="24"/>
        </w:rPr>
        <w:t>Table 5: Performance of Mirriah chili pepper growth parameters according to treatments</w:t>
      </w:r>
      <w:r>
        <w:rPr>
          <w:rFonts w:ascii="Times New Roman" w:hAnsi="Times New Roman" w:cs="Times New Roman"/>
          <w:b/>
          <w:i w:val="0"/>
          <w:color w:val="auto"/>
          <w:sz w:val="24"/>
          <w:szCs w:val="24"/>
        </w:rPr>
        <w:t>.</w:t>
      </w:r>
    </w:p>
    <w:tbl>
      <w:tblPr>
        <w:tblW w:w="15979" w:type="dxa"/>
        <w:jc w:val="center"/>
        <w:tblCellMar>
          <w:left w:w="70" w:type="dxa"/>
          <w:right w:w="70" w:type="dxa"/>
        </w:tblCellMar>
        <w:tblLook w:val="04A0" w:firstRow="1" w:lastRow="0" w:firstColumn="1" w:lastColumn="0" w:noHBand="0" w:noVBand="1"/>
      </w:tblPr>
      <w:tblGrid>
        <w:gridCol w:w="971"/>
        <w:gridCol w:w="967"/>
        <w:gridCol w:w="889"/>
        <w:gridCol w:w="889"/>
        <w:gridCol w:w="874"/>
        <w:gridCol w:w="780"/>
        <w:gridCol w:w="761"/>
        <w:gridCol w:w="845"/>
        <w:gridCol w:w="874"/>
        <w:gridCol w:w="1158"/>
        <w:gridCol w:w="1014"/>
        <w:gridCol w:w="1015"/>
        <w:gridCol w:w="1028"/>
        <w:gridCol w:w="1186"/>
        <w:gridCol w:w="1184"/>
        <w:gridCol w:w="169"/>
        <w:gridCol w:w="1631"/>
      </w:tblGrid>
      <w:tr w:rsidR="009D5F63" w:rsidRPr="00E36686" w14:paraId="2CEF59F1" w14:textId="77777777" w:rsidTr="009D5F63">
        <w:trPr>
          <w:trHeight w:val="473"/>
          <w:jc w:val="center"/>
        </w:trPr>
        <w:tc>
          <w:tcPr>
            <w:tcW w:w="715" w:type="dxa"/>
            <w:tcBorders>
              <w:top w:val="thinThickSmallGap" w:sz="24" w:space="0" w:color="auto"/>
              <w:left w:val="nil"/>
              <w:bottom w:val="thinThickSmallGap" w:sz="24" w:space="0" w:color="auto"/>
              <w:right w:val="nil"/>
            </w:tcBorders>
            <w:noWrap/>
            <w:vAlign w:val="bottom"/>
            <w:hideMark/>
          </w:tcPr>
          <w:p w14:paraId="101A1F50" w14:textId="77777777" w:rsidR="009D5F63" w:rsidRPr="00E36686" w:rsidRDefault="009D5F63" w:rsidP="00C434C0">
            <w:pPr>
              <w:spacing w:after="0" w:line="240" w:lineRule="auto"/>
              <w:rPr>
                <w:rFonts w:ascii="Times New Roman" w:eastAsia="Times New Roman" w:hAnsi="Times New Roman" w:cs="Times New Roman"/>
                <w:lang w:eastAsia="fr-FR"/>
              </w:rPr>
            </w:pPr>
            <w:r w:rsidRPr="00E36686">
              <w:rPr>
                <w:rFonts w:ascii="Times New Roman" w:eastAsia="Times New Roman" w:hAnsi="Times New Roman" w:cs="Times New Roman"/>
                <w:b/>
                <w:bCs/>
                <w:color w:val="000000"/>
                <w:lang w:eastAsia="fr-FR"/>
              </w:rPr>
              <w:t>Tr</w:t>
            </w:r>
            <w:r>
              <w:rPr>
                <w:rFonts w:ascii="Times New Roman" w:eastAsia="Times New Roman" w:hAnsi="Times New Roman" w:cs="Times New Roman"/>
                <w:b/>
                <w:bCs/>
                <w:color w:val="000000"/>
                <w:lang w:eastAsia="fr-FR"/>
              </w:rPr>
              <w:t>ai</w:t>
            </w:r>
            <w:r w:rsidRPr="00E36686">
              <w:rPr>
                <w:rFonts w:ascii="Times New Roman" w:eastAsia="Times New Roman" w:hAnsi="Times New Roman" w:cs="Times New Roman"/>
                <w:b/>
                <w:bCs/>
                <w:color w:val="000000"/>
                <w:lang w:eastAsia="fr-FR"/>
              </w:rPr>
              <w:t>ts</w:t>
            </w:r>
          </w:p>
        </w:tc>
        <w:tc>
          <w:tcPr>
            <w:tcW w:w="967" w:type="dxa"/>
            <w:tcBorders>
              <w:top w:val="thinThickSmallGap" w:sz="24" w:space="0" w:color="auto"/>
              <w:left w:val="nil"/>
              <w:bottom w:val="thinThickSmallGap" w:sz="24" w:space="0" w:color="auto"/>
              <w:right w:val="nil"/>
            </w:tcBorders>
            <w:noWrap/>
            <w:vAlign w:val="center"/>
            <w:hideMark/>
          </w:tcPr>
          <w:p w14:paraId="5530049F"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APS</w:t>
            </w:r>
          </w:p>
          <w:p w14:paraId="2E2E2952" w14:textId="4F1F5D08"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89" w:type="dxa"/>
            <w:tcBorders>
              <w:top w:val="thinThickSmallGap" w:sz="24" w:space="0" w:color="auto"/>
              <w:left w:val="nil"/>
              <w:bottom w:val="thinThickSmallGap" w:sz="24" w:space="0" w:color="auto"/>
              <w:right w:val="nil"/>
            </w:tcBorders>
            <w:noWrap/>
            <w:vAlign w:val="center"/>
            <w:hideMark/>
          </w:tcPr>
          <w:p w14:paraId="3BF3F54C"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Bflo</w:t>
            </w:r>
          </w:p>
          <w:p w14:paraId="19163B87" w14:textId="10E1E646"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89" w:type="dxa"/>
            <w:tcBorders>
              <w:top w:val="thinThickSmallGap" w:sz="24" w:space="0" w:color="auto"/>
              <w:left w:val="nil"/>
              <w:bottom w:val="thinThickSmallGap" w:sz="24" w:space="0" w:color="auto"/>
              <w:right w:val="nil"/>
            </w:tcBorders>
            <w:noWrap/>
            <w:vAlign w:val="center"/>
            <w:hideMark/>
          </w:tcPr>
          <w:p w14:paraId="04F6787F"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Flor</w:t>
            </w:r>
          </w:p>
          <w:p w14:paraId="7E795A6D" w14:textId="08085373"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74" w:type="dxa"/>
            <w:tcBorders>
              <w:top w:val="thinThickSmallGap" w:sz="24" w:space="0" w:color="auto"/>
              <w:left w:val="nil"/>
              <w:bottom w:val="thinThickSmallGap" w:sz="24" w:space="0" w:color="auto"/>
              <w:right w:val="nil"/>
            </w:tcBorders>
            <w:noWrap/>
            <w:vAlign w:val="center"/>
            <w:hideMark/>
          </w:tcPr>
          <w:p w14:paraId="108F13F1"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Fruc</w:t>
            </w:r>
          </w:p>
          <w:p w14:paraId="5BFCC044" w14:textId="4801249F"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780" w:type="dxa"/>
            <w:tcBorders>
              <w:top w:val="thinThickSmallGap" w:sz="24" w:space="0" w:color="auto"/>
              <w:left w:val="nil"/>
              <w:bottom w:val="thinThickSmallGap" w:sz="24" w:space="0" w:color="auto"/>
              <w:right w:val="nil"/>
            </w:tcBorders>
            <w:noWrap/>
            <w:vAlign w:val="center"/>
            <w:hideMark/>
          </w:tcPr>
          <w:p w14:paraId="0A68E7FE"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Mat</w:t>
            </w:r>
          </w:p>
          <w:p w14:paraId="7598B557" w14:textId="246A7075"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761" w:type="dxa"/>
            <w:tcBorders>
              <w:top w:val="thinThickSmallGap" w:sz="24" w:space="0" w:color="auto"/>
              <w:left w:val="nil"/>
              <w:bottom w:val="thinThickSmallGap" w:sz="24" w:space="0" w:color="auto"/>
              <w:right w:val="nil"/>
            </w:tcBorders>
            <w:noWrap/>
            <w:vAlign w:val="center"/>
            <w:hideMark/>
          </w:tcPr>
          <w:p w14:paraId="7E71C20A"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Lof</w:t>
            </w:r>
          </w:p>
          <w:p w14:paraId="6D2DE826" w14:textId="30FAADC9"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45" w:type="dxa"/>
            <w:tcBorders>
              <w:top w:val="thinThickSmallGap" w:sz="24" w:space="0" w:color="auto"/>
              <w:left w:val="nil"/>
              <w:bottom w:val="thinThickSmallGap" w:sz="24" w:space="0" w:color="auto"/>
              <w:right w:val="nil"/>
            </w:tcBorders>
            <w:noWrap/>
            <w:vAlign w:val="center"/>
            <w:hideMark/>
          </w:tcPr>
          <w:p w14:paraId="152FF703"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Laf</w:t>
            </w:r>
          </w:p>
          <w:p w14:paraId="6C23F5A5" w14:textId="7064A1C9"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74" w:type="dxa"/>
            <w:tcBorders>
              <w:top w:val="thinThickSmallGap" w:sz="24" w:space="0" w:color="auto"/>
              <w:left w:val="nil"/>
              <w:bottom w:val="thinThickSmallGap" w:sz="24" w:space="0" w:color="auto"/>
              <w:right w:val="nil"/>
            </w:tcBorders>
            <w:noWrap/>
            <w:vAlign w:val="center"/>
            <w:hideMark/>
          </w:tcPr>
          <w:p w14:paraId="3A93A6B0"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Lpet</w:t>
            </w:r>
          </w:p>
          <w:p w14:paraId="4D6E8F92" w14:textId="08759140"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158" w:type="dxa"/>
            <w:tcBorders>
              <w:top w:val="thinThickSmallGap" w:sz="24" w:space="0" w:color="auto"/>
              <w:left w:val="nil"/>
              <w:bottom w:val="thinThickSmallGap" w:sz="24" w:space="0" w:color="auto"/>
              <w:right w:val="nil"/>
            </w:tcBorders>
            <w:noWrap/>
            <w:vAlign w:val="center"/>
            <w:hideMark/>
          </w:tcPr>
          <w:p w14:paraId="2586A184"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DiaT</w:t>
            </w:r>
          </w:p>
          <w:p w14:paraId="38EF17C0" w14:textId="6353ECD0"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014" w:type="dxa"/>
            <w:tcBorders>
              <w:top w:val="thinThickSmallGap" w:sz="24" w:space="0" w:color="auto"/>
              <w:left w:val="nil"/>
              <w:bottom w:val="thinThickSmallGap" w:sz="24" w:space="0" w:color="auto"/>
              <w:right w:val="nil"/>
            </w:tcBorders>
            <w:noWrap/>
            <w:vAlign w:val="center"/>
            <w:hideMark/>
          </w:tcPr>
          <w:p w14:paraId="476EEF93"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Nbr B</w:t>
            </w:r>
          </w:p>
          <w:p w14:paraId="05E9B78B" w14:textId="0E0E8382"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015" w:type="dxa"/>
            <w:tcBorders>
              <w:top w:val="thinThickSmallGap" w:sz="24" w:space="0" w:color="auto"/>
              <w:left w:val="nil"/>
              <w:bottom w:val="thinThickSmallGap" w:sz="24" w:space="0" w:color="auto"/>
              <w:right w:val="nil"/>
            </w:tcBorders>
            <w:noWrap/>
            <w:vAlign w:val="center"/>
            <w:hideMark/>
          </w:tcPr>
          <w:p w14:paraId="7232FA81"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Nfle</w:t>
            </w:r>
          </w:p>
          <w:p w14:paraId="28C10ABF" w14:textId="3BA86677"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028" w:type="dxa"/>
            <w:tcBorders>
              <w:top w:val="thinThickSmallGap" w:sz="24" w:space="0" w:color="auto"/>
              <w:left w:val="nil"/>
              <w:bottom w:val="thinThickSmallGap" w:sz="24" w:space="0" w:color="auto"/>
              <w:right w:val="nil"/>
            </w:tcBorders>
            <w:noWrap/>
            <w:vAlign w:val="center"/>
            <w:hideMark/>
          </w:tcPr>
          <w:p w14:paraId="10C5F9D0"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HPPl30</w:t>
            </w:r>
          </w:p>
          <w:p w14:paraId="160D4B6D" w14:textId="47FD09FA"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186" w:type="dxa"/>
            <w:tcBorders>
              <w:top w:val="thinThickSmallGap" w:sz="24" w:space="0" w:color="auto"/>
              <w:left w:val="nil"/>
              <w:bottom w:val="thinThickSmallGap" w:sz="24" w:space="0" w:color="auto"/>
              <w:right w:val="nil"/>
            </w:tcBorders>
            <w:noWrap/>
            <w:vAlign w:val="center"/>
            <w:hideMark/>
          </w:tcPr>
          <w:p w14:paraId="1713442E"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HPPl60</w:t>
            </w:r>
          </w:p>
          <w:p w14:paraId="592B594C" w14:textId="025BD206"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184" w:type="dxa"/>
            <w:tcBorders>
              <w:top w:val="thinThickSmallGap" w:sz="24" w:space="0" w:color="auto"/>
              <w:left w:val="nil"/>
              <w:bottom w:val="thinThickSmallGap" w:sz="24" w:space="0" w:color="auto"/>
              <w:right w:val="nil"/>
            </w:tcBorders>
            <w:noWrap/>
            <w:vAlign w:val="center"/>
            <w:hideMark/>
          </w:tcPr>
          <w:p w14:paraId="6F0DA87A"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HPPl90</w:t>
            </w:r>
          </w:p>
          <w:p w14:paraId="7A05316D" w14:textId="47DFBF55"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800" w:type="dxa"/>
            <w:gridSpan w:val="2"/>
            <w:tcBorders>
              <w:top w:val="thinThickSmallGap" w:sz="24" w:space="0" w:color="auto"/>
              <w:left w:val="nil"/>
              <w:bottom w:val="thinThickSmallGap" w:sz="24" w:space="0" w:color="auto"/>
              <w:right w:val="nil"/>
            </w:tcBorders>
            <w:noWrap/>
            <w:vAlign w:val="center"/>
            <w:hideMark/>
          </w:tcPr>
          <w:p w14:paraId="34460C06" w14:textId="43081B24"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La</w:t>
            </w:r>
            <w:r w:rsidR="006D7333">
              <w:rPr>
                <w:rFonts w:ascii="Times New Roman" w:eastAsia="Times New Roman" w:hAnsi="Times New Roman" w:cs="Times New Roman"/>
                <w:b/>
                <w:bCs/>
                <w:color w:val="000000"/>
                <w:lang w:eastAsia="fr-FR"/>
              </w:rPr>
              <w:t>C</w:t>
            </w:r>
            <w:r w:rsidRPr="00E36686">
              <w:rPr>
                <w:rFonts w:ascii="Times New Roman" w:eastAsia="Times New Roman" w:hAnsi="Times New Roman" w:cs="Times New Roman"/>
                <w:b/>
                <w:bCs/>
                <w:color w:val="000000"/>
                <w:lang w:eastAsia="fr-FR"/>
              </w:rPr>
              <w:t>a</w:t>
            </w:r>
          </w:p>
          <w:p w14:paraId="7E480B88" w14:textId="5F6D9941"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r>
      <w:tr w:rsidR="009D5F63" w:rsidRPr="00E36686" w14:paraId="285DA21C" w14:textId="77777777" w:rsidTr="009D5F63">
        <w:trPr>
          <w:trHeight w:val="451"/>
          <w:jc w:val="center"/>
        </w:trPr>
        <w:tc>
          <w:tcPr>
            <w:tcW w:w="715" w:type="dxa"/>
            <w:tcBorders>
              <w:top w:val="thinThickSmallGap" w:sz="24" w:space="0" w:color="auto"/>
              <w:left w:val="nil"/>
              <w:bottom w:val="nil"/>
              <w:right w:val="nil"/>
            </w:tcBorders>
            <w:noWrap/>
            <w:vAlign w:val="center"/>
            <w:hideMark/>
          </w:tcPr>
          <w:p w14:paraId="755A3E00"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T0</w:t>
            </w:r>
          </w:p>
        </w:tc>
        <w:tc>
          <w:tcPr>
            <w:tcW w:w="967" w:type="dxa"/>
            <w:tcBorders>
              <w:top w:val="thinThickSmallGap" w:sz="24" w:space="0" w:color="auto"/>
              <w:left w:val="nil"/>
              <w:bottom w:val="nil"/>
              <w:right w:val="nil"/>
            </w:tcBorders>
            <w:noWrap/>
            <w:vAlign w:val="center"/>
            <w:hideMark/>
          </w:tcPr>
          <w:p w14:paraId="220982D5"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31a</w:t>
            </w:r>
          </w:p>
        </w:tc>
        <w:tc>
          <w:tcPr>
            <w:tcW w:w="889" w:type="dxa"/>
            <w:tcBorders>
              <w:top w:val="thinThickSmallGap" w:sz="24" w:space="0" w:color="auto"/>
              <w:left w:val="nil"/>
              <w:bottom w:val="nil"/>
              <w:right w:val="nil"/>
            </w:tcBorders>
            <w:noWrap/>
            <w:vAlign w:val="center"/>
            <w:hideMark/>
          </w:tcPr>
          <w:p w14:paraId="61ECF088" w14:textId="4F317C9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5a</w:t>
            </w:r>
          </w:p>
        </w:tc>
        <w:tc>
          <w:tcPr>
            <w:tcW w:w="889" w:type="dxa"/>
            <w:tcBorders>
              <w:top w:val="thinThickSmallGap" w:sz="24" w:space="0" w:color="auto"/>
              <w:left w:val="nil"/>
              <w:bottom w:val="nil"/>
              <w:right w:val="nil"/>
            </w:tcBorders>
            <w:noWrap/>
            <w:vAlign w:val="center"/>
            <w:hideMark/>
          </w:tcPr>
          <w:p w14:paraId="59D4725D"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52a</w:t>
            </w:r>
          </w:p>
        </w:tc>
        <w:tc>
          <w:tcPr>
            <w:tcW w:w="874" w:type="dxa"/>
            <w:tcBorders>
              <w:top w:val="thinThickSmallGap" w:sz="24" w:space="0" w:color="auto"/>
              <w:left w:val="nil"/>
              <w:bottom w:val="nil"/>
              <w:right w:val="nil"/>
            </w:tcBorders>
            <w:noWrap/>
            <w:vAlign w:val="center"/>
            <w:hideMark/>
          </w:tcPr>
          <w:p w14:paraId="46343546"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62a</w:t>
            </w:r>
          </w:p>
        </w:tc>
        <w:tc>
          <w:tcPr>
            <w:tcW w:w="780" w:type="dxa"/>
            <w:tcBorders>
              <w:top w:val="thinThickSmallGap" w:sz="24" w:space="0" w:color="auto"/>
              <w:left w:val="nil"/>
              <w:bottom w:val="nil"/>
              <w:right w:val="nil"/>
            </w:tcBorders>
            <w:noWrap/>
            <w:vAlign w:val="center"/>
            <w:hideMark/>
          </w:tcPr>
          <w:p w14:paraId="5BEC8FF3" w14:textId="03A1CA2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83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5a</w:t>
            </w:r>
          </w:p>
        </w:tc>
        <w:tc>
          <w:tcPr>
            <w:tcW w:w="761" w:type="dxa"/>
            <w:tcBorders>
              <w:top w:val="thinThickSmallGap" w:sz="24" w:space="0" w:color="auto"/>
              <w:left w:val="nil"/>
              <w:bottom w:val="nil"/>
              <w:right w:val="nil"/>
            </w:tcBorders>
            <w:noWrap/>
            <w:vAlign w:val="center"/>
            <w:hideMark/>
          </w:tcPr>
          <w:p w14:paraId="1D5B4F19" w14:textId="468ACB5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24d</w:t>
            </w:r>
          </w:p>
        </w:tc>
        <w:tc>
          <w:tcPr>
            <w:tcW w:w="845" w:type="dxa"/>
            <w:tcBorders>
              <w:top w:val="thinThickSmallGap" w:sz="24" w:space="0" w:color="auto"/>
              <w:left w:val="nil"/>
              <w:bottom w:val="nil"/>
              <w:right w:val="nil"/>
            </w:tcBorders>
            <w:noWrap/>
            <w:vAlign w:val="center"/>
            <w:hideMark/>
          </w:tcPr>
          <w:p w14:paraId="52F6222F" w14:textId="23D1DC3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06d</w:t>
            </w:r>
          </w:p>
        </w:tc>
        <w:tc>
          <w:tcPr>
            <w:tcW w:w="874" w:type="dxa"/>
            <w:tcBorders>
              <w:top w:val="thinThickSmallGap" w:sz="24" w:space="0" w:color="auto"/>
              <w:left w:val="nil"/>
              <w:bottom w:val="nil"/>
              <w:right w:val="nil"/>
            </w:tcBorders>
            <w:noWrap/>
            <w:vAlign w:val="center"/>
            <w:hideMark/>
          </w:tcPr>
          <w:p w14:paraId="478A5671" w14:textId="41D6D5F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11c</w:t>
            </w:r>
          </w:p>
        </w:tc>
        <w:tc>
          <w:tcPr>
            <w:tcW w:w="1158" w:type="dxa"/>
            <w:tcBorders>
              <w:top w:val="thinThickSmallGap" w:sz="24" w:space="0" w:color="auto"/>
              <w:left w:val="nil"/>
              <w:bottom w:val="nil"/>
              <w:right w:val="nil"/>
            </w:tcBorders>
            <w:noWrap/>
            <w:vAlign w:val="center"/>
            <w:hideMark/>
          </w:tcPr>
          <w:p w14:paraId="21230013" w14:textId="37E8EB9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w:t>
            </w:r>
            <w:r w:rsidRPr="006E1CF9">
              <w:rPr>
                <w:rFonts w:ascii="Times New Roman" w:eastAsia="Times New Roman" w:hAnsi="Times New Roman" w:cs="Times New Roman"/>
                <w:color w:val="000000"/>
                <w:lang w:eastAsia="fr-FR"/>
              </w:rPr>
              <w:t>e</w:t>
            </w:r>
          </w:p>
        </w:tc>
        <w:tc>
          <w:tcPr>
            <w:tcW w:w="1014" w:type="dxa"/>
            <w:tcBorders>
              <w:top w:val="thinThickSmallGap" w:sz="24" w:space="0" w:color="auto"/>
              <w:left w:val="nil"/>
              <w:bottom w:val="nil"/>
              <w:right w:val="nil"/>
            </w:tcBorders>
            <w:noWrap/>
            <w:vAlign w:val="center"/>
            <w:hideMark/>
          </w:tcPr>
          <w:p w14:paraId="56C69644" w14:textId="4A948EC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81c</w:t>
            </w:r>
          </w:p>
        </w:tc>
        <w:tc>
          <w:tcPr>
            <w:tcW w:w="1015" w:type="dxa"/>
            <w:tcBorders>
              <w:top w:val="thinThickSmallGap" w:sz="24" w:space="0" w:color="auto"/>
              <w:left w:val="nil"/>
              <w:bottom w:val="nil"/>
              <w:right w:val="nil"/>
            </w:tcBorders>
            <w:noWrap/>
            <w:vAlign w:val="center"/>
            <w:hideMark/>
          </w:tcPr>
          <w:p w14:paraId="1B7FA5D7" w14:textId="7D85592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47</w:t>
            </w:r>
            <w:r w:rsidRPr="006E1CF9">
              <w:rPr>
                <w:rFonts w:ascii="Times New Roman" w:eastAsia="Times New Roman" w:hAnsi="Times New Roman" w:cs="Times New Roman"/>
                <w:color w:val="000000"/>
                <w:lang w:eastAsia="fr-FR"/>
              </w:rPr>
              <w:t>e</w:t>
            </w:r>
          </w:p>
        </w:tc>
        <w:tc>
          <w:tcPr>
            <w:tcW w:w="1028" w:type="dxa"/>
            <w:tcBorders>
              <w:top w:val="thinThickSmallGap" w:sz="24" w:space="0" w:color="auto"/>
              <w:left w:val="nil"/>
              <w:bottom w:val="nil"/>
              <w:right w:val="nil"/>
            </w:tcBorders>
            <w:noWrap/>
            <w:vAlign w:val="center"/>
            <w:hideMark/>
          </w:tcPr>
          <w:p w14:paraId="0B09FB9B" w14:textId="29F7676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64d</w:t>
            </w:r>
          </w:p>
        </w:tc>
        <w:tc>
          <w:tcPr>
            <w:tcW w:w="1186" w:type="dxa"/>
            <w:tcBorders>
              <w:top w:val="thinThickSmallGap" w:sz="24" w:space="0" w:color="auto"/>
              <w:left w:val="nil"/>
              <w:bottom w:val="nil"/>
              <w:right w:val="nil"/>
            </w:tcBorders>
            <w:noWrap/>
            <w:vAlign w:val="bottom"/>
            <w:hideMark/>
          </w:tcPr>
          <w:p w14:paraId="19061C43" w14:textId="6D1B646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94d</w:t>
            </w:r>
          </w:p>
        </w:tc>
        <w:tc>
          <w:tcPr>
            <w:tcW w:w="1184" w:type="dxa"/>
            <w:tcBorders>
              <w:top w:val="thinThickSmallGap" w:sz="24" w:space="0" w:color="auto"/>
              <w:left w:val="nil"/>
              <w:bottom w:val="nil"/>
              <w:right w:val="nil"/>
            </w:tcBorders>
            <w:noWrap/>
            <w:vAlign w:val="center"/>
            <w:hideMark/>
          </w:tcPr>
          <w:p w14:paraId="1A76FD99" w14:textId="0ADDFD63"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94c</w:t>
            </w:r>
          </w:p>
        </w:tc>
        <w:tc>
          <w:tcPr>
            <w:tcW w:w="1800" w:type="dxa"/>
            <w:gridSpan w:val="2"/>
            <w:tcBorders>
              <w:top w:val="thinThickSmallGap" w:sz="24" w:space="0" w:color="auto"/>
              <w:left w:val="nil"/>
              <w:bottom w:val="nil"/>
              <w:right w:val="nil"/>
            </w:tcBorders>
            <w:noWrap/>
            <w:vAlign w:val="center"/>
            <w:hideMark/>
          </w:tcPr>
          <w:p w14:paraId="61EBA674" w14:textId="38B7542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11d</w:t>
            </w:r>
          </w:p>
        </w:tc>
      </w:tr>
      <w:tr w:rsidR="009D5F63" w:rsidRPr="00E36686" w14:paraId="718B1129" w14:textId="77777777" w:rsidTr="009D5F63">
        <w:trPr>
          <w:trHeight w:val="429"/>
          <w:jc w:val="center"/>
        </w:trPr>
        <w:tc>
          <w:tcPr>
            <w:tcW w:w="715" w:type="dxa"/>
            <w:tcBorders>
              <w:top w:val="nil"/>
              <w:left w:val="nil"/>
              <w:bottom w:val="nil"/>
              <w:right w:val="nil"/>
            </w:tcBorders>
            <w:noWrap/>
            <w:vAlign w:val="center"/>
            <w:hideMark/>
          </w:tcPr>
          <w:p w14:paraId="2B20CA37"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T1</w:t>
            </w:r>
          </w:p>
        </w:tc>
        <w:tc>
          <w:tcPr>
            <w:tcW w:w="967" w:type="dxa"/>
            <w:tcBorders>
              <w:top w:val="nil"/>
              <w:left w:val="nil"/>
              <w:bottom w:val="nil"/>
              <w:right w:val="nil"/>
            </w:tcBorders>
            <w:noWrap/>
            <w:vAlign w:val="center"/>
            <w:hideMark/>
          </w:tcPr>
          <w:p w14:paraId="23FA62BE" w14:textId="547DEC7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889" w:type="dxa"/>
            <w:tcBorders>
              <w:top w:val="nil"/>
              <w:left w:val="nil"/>
              <w:bottom w:val="nil"/>
              <w:right w:val="nil"/>
            </w:tcBorders>
            <w:noWrap/>
            <w:vAlign w:val="center"/>
            <w:hideMark/>
          </w:tcPr>
          <w:p w14:paraId="57AAE6CB"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30b</w:t>
            </w:r>
          </w:p>
        </w:tc>
        <w:tc>
          <w:tcPr>
            <w:tcW w:w="889" w:type="dxa"/>
            <w:tcBorders>
              <w:top w:val="nil"/>
              <w:left w:val="nil"/>
              <w:bottom w:val="nil"/>
              <w:right w:val="nil"/>
            </w:tcBorders>
            <w:noWrap/>
            <w:vAlign w:val="center"/>
            <w:hideMark/>
          </w:tcPr>
          <w:p w14:paraId="5264D66E" w14:textId="6BC118B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874" w:type="dxa"/>
            <w:tcBorders>
              <w:top w:val="nil"/>
              <w:left w:val="nil"/>
              <w:bottom w:val="nil"/>
              <w:right w:val="nil"/>
            </w:tcBorders>
            <w:noWrap/>
            <w:vAlign w:val="center"/>
            <w:hideMark/>
          </w:tcPr>
          <w:p w14:paraId="01832E41" w14:textId="0ADE979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50</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780" w:type="dxa"/>
            <w:tcBorders>
              <w:top w:val="nil"/>
              <w:left w:val="nil"/>
              <w:bottom w:val="nil"/>
              <w:right w:val="nil"/>
            </w:tcBorders>
            <w:noWrap/>
            <w:vAlign w:val="center"/>
            <w:hideMark/>
          </w:tcPr>
          <w:p w14:paraId="2092237F" w14:textId="1892E11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761" w:type="dxa"/>
            <w:tcBorders>
              <w:top w:val="nil"/>
              <w:left w:val="nil"/>
              <w:bottom w:val="nil"/>
              <w:right w:val="nil"/>
            </w:tcBorders>
            <w:noWrap/>
            <w:vAlign w:val="center"/>
            <w:hideMark/>
          </w:tcPr>
          <w:p w14:paraId="2168753D" w14:textId="5F7EF4C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39c</w:t>
            </w:r>
          </w:p>
        </w:tc>
        <w:tc>
          <w:tcPr>
            <w:tcW w:w="845" w:type="dxa"/>
            <w:tcBorders>
              <w:top w:val="nil"/>
              <w:left w:val="nil"/>
              <w:bottom w:val="nil"/>
              <w:right w:val="nil"/>
            </w:tcBorders>
            <w:noWrap/>
            <w:vAlign w:val="center"/>
            <w:hideMark/>
          </w:tcPr>
          <w:p w14:paraId="3F6669AF" w14:textId="07BC784E"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63c</w:t>
            </w:r>
          </w:p>
        </w:tc>
        <w:tc>
          <w:tcPr>
            <w:tcW w:w="874" w:type="dxa"/>
            <w:tcBorders>
              <w:top w:val="nil"/>
              <w:left w:val="nil"/>
              <w:bottom w:val="nil"/>
              <w:right w:val="nil"/>
            </w:tcBorders>
            <w:noWrap/>
            <w:vAlign w:val="center"/>
            <w:hideMark/>
          </w:tcPr>
          <w:p w14:paraId="56F12977" w14:textId="5303F87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24b</w:t>
            </w:r>
          </w:p>
        </w:tc>
        <w:tc>
          <w:tcPr>
            <w:tcW w:w="1158" w:type="dxa"/>
            <w:tcBorders>
              <w:top w:val="nil"/>
              <w:left w:val="nil"/>
              <w:bottom w:val="nil"/>
              <w:right w:val="nil"/>
            </w:tcBorders>
            <w:noWrap/>
            <w:vAlign w:val="center"/>
            <w:hideMark/>
          </w:tcPr>
          <w:p w14:paraId="7CD095F0" w14:textId="0DD395B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88bcd</w:t>
            </w:r>
          </w:p>
        </w:tc>
        <w:tc>
          <w:tcPr>
            <w:tcW w:w="1014" w:type="dxa"/>
            <w:tcBorders>
              <w:top w:val="nil"/>
              <w:left w:val="nil"/>
              <w:bottom w:val="nil"/>
              <w:right w:val="nil"/>
            </w:tcBorders>
            <w:noWrap/>
            <w:vAlign w:val="center"/>
            <w:hideMark/>
          </w:tcPr>
          <w:p w14:paraId="691524FA" w14:textId="03A2D14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08b</w:t>
            </w:r>
          </w:p>
        </w:tc>
        <w:tc>
          <w:tcPr>
            <w:tcW w:w="1015" w:type="dxa"/>
            <w:tcBorders>
              <w:top w:val="nil"/>
              <w:left w:val="nil"/>
              <w:bottom w:val="nil"/>
              <w:right w:val="nil"/>
            </w:tcBorders>
            <w:noWrap/>
            <w:vAlign w:val="center"/>
            <w:hideMark/>
          </w:tcPr>
          <w:p w14:paraId="6B387059" w14:textId="48E35EB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17de</w:t>
            </w:r>
          </w:p>
        </w:tc>
        <w:tc>
          <w:tcPr>
            <w:tcW w:w="1028" w:type="dxa"/>
            <w:tcBorders>
              <w:top w:val="nil"/>
              <w:left w:val="nil"/>
              <w:bottom w:val="nil"/>
              <w:right w:val="nil"/>
            </w:tcBorders>
            <w:noWrap/>
            <w:vAlign w:val="center"/>
            <w:hideMark/>
          </w:tcPr>
          <w:p w14:paraId="6F3AE4E4" w14:textId="1ACCFDF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89cd</w:t>
            </w:r>
          </w:p>
        </w:tc>
        <w:tc>
          <w:tcPr>
            <w:tcW w:w="1186" w:type="dxa"/>
            <w:tcBorders>
              <w:top w:val="nil"/>
              <w:left w:val="nil"/>
              <w:bottom w:val="nil"/>
              <w:right w:val="nil"/>
            </w:tcBorders>
            <w:noWrap/>
            <w:vAlign w:val="bottom"/>
            <w:hideMark/>
          </w:tcPr>
          <w:p w14:paraId="416BE1A9" w14:textId="185981F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39bcd</w:t>
            </w:r>
          </w:p>
        </w:tc>
        <w:tc>
          <w:tcPr>
            <w:tcW w:w="1353" w:type="dxa"/>
            <w:gridSpan w:val="2"/>
            <w:tcBorders>
              <w:top w:val="nil"/>
              <w:left w:val="nil"/>
              <w:bottom w:val="nil"/>
              <w:right w:val="nil"/>
            </w:tcBorders>
            <w:noWrap/>
            <w:vAlign w:val="center"/>
            <w:hideMark/>
          </w:tcPr>
          <w:p w14:paraId="62BCDA59" w14:textId="466E478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19bc</w:t>
            </w:r>
          </w:p>
        </w:tc>
        <w:tc>
          <w:tcPr>
            <w:tcW w:w="1631" w:type="dxa"/>
            <w:tcBorders>
              <w:top w:val="nil"/>
              <w:left w:val="nil"/>
              <w:bottom w:val="nil"/>
              <w:right w:val="nil"/>
            </w:tcBorders>
            <w:noWrap/>
            <w:vAlign w:val="center"/>
            <w:hideMark/>
          </w:tcPr>
          <w:p w14:paraId="02116CE4" w14:textId="1641812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22cd</w:t>
            </w:r>
          </w:p>
        </w:tc>
      </w:tr>
      <w:tr w:rsidR="009D5F63" w:rsidRPr="00E36686" w14:paraId="50C56510" w14:textId="77777777" w:rsidTr="009D5F63">
        <w:trPr>
          <w:trHeight w:val="429"/>
          <w:jc w:val="center"/>
        </w:trPr>
        <w:tc>
          <w:tcPr>
            <w:tcW w:w="715" w:type="dxa"/>
            <w:tcBorders>
              <w:top w:val="nil"/>
              <w:left w:val="nil"/>
              <w:bottom w:val="nil"/>
              <w:right w:val="nil"/>
            </w:tcBorders>
            <w:noWrap/>
            <w:vAlign w:val="center"/>
            <w:hideMark/>
          </w:tcPr>
          <w:p w14:paraId="7F1E43C9"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T2</w:t>
            </w:r>
          </w:p>
        </w:tc>
        <w:tc>
          <w:tcPr>
            <w:tcW w:w="967" w:type="dxa"/>
            <w:tcBorders>
              <w:top w:val="nil"/>
              <w:left w:val="nil"/>
              <w:bottom w:val="nil"/>
              <w:right w:val="nil"/>
            </w:tcBorders>
            <w:noWrap/>
            <w:vAlign w:val="center"/>
            <w:hideMark/>
          </w:tcPr>
          <w:p w14:paraId="471B6A88" w14:textId="641BDAF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889" w:type="dxa"/>
            <w:tcBorders>
              <w:top w:val="nil"/>
              <w:left w:val="nil"/>
              <w:bottom w:val="nil"/>
              <w:right w:val="nil"/>
            </w:tcBorders>
            <w:noWrap/>
            <w:vAlign w:val="center"/>
            <w:hideMark/>
          </w:tcPr>
          <w:p w14:paraId="01D2CEA2"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31b</w:t>
            </w:r>
          </w:p>
        </w:tc>
        <w:tc>
          <w:tcPr>
            <w:tcW w:w="889" w:type="dxa"/>
            <w:tcBorders>
              <w:top w:val="nil"/>
              <w:left w:val="nil"/>
              <w:bottom w:val="nil"/>
              <w:right w:val="nil"/>
            </w:tcBorders>
            <w:noWrap/>
            <w:vAlign w:val="center"/>
            <w:hideMark/>
          </w:tcPr>
          <w:p w14:paraId="0F4DCD8F" w14:textId="2B721B3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74" w:type="dxa"/>
            <w:tcBorders>
              <w:top w:val="nil"/>
              <w:left w:val="nil"/>
              <w:bottom w:val="nil"/>
              <w:right w:val="nil"/>
            </w:tcBorders>
            <w:noWrap/>
            <w:vAlign w:val="center"/>
            <w:hideMark/>
          </w:tcPr>
          <w:p w14:paraId="36D39CFA" w14:textId="75FE836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5bc</w:t>
            </w:r>
          </w:p>
        </w:tc>
        <w:tc>
          <w:tcPr>
            <w:tcW w:w="780" w:type="dxa"/>
            <w:tcBorders>
              <w:top w:val="nil"/>
              <w:left w:val="nil"/>
              <w:bottom w:val="nil"/>
              <w:right w:val="nil"/>
            </w:tcBorders>
            <w:noWrap/>
            <w:vAlign w:val="center"/>
            <w:hideMark/>
          </w:tcPr>
          <w:p w14:paraId="6F39EBDF" w14:textId="0E46D62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761" w:type="dxa"/>
            <w:tcBorders>
              <w:top w:val="nil"/>
              <w:left w:val="nil"/>
              <w:bottom w:val="nil"/>
              <w:right w:val="nil"/>
            </w:tcBorders>
            <w:noWrap/>
            <w:vAlign w:val="center"/>
            <w:hideMark/>
          </w:tcPr>
          <w:p w14:paraId="1C1ACE0A" w14:textId="6FEED7F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25c</w:t>
            </w:r>
          </w:p>
        </w:tc>
        <w:tc>
          <w:tcPr>
            <w:tcW w:w="845" w:type="dxa"/>
            <w:tcBorders>
              <w:top w:val="nil"/>
              <w:left w:val="nil"/>
              <w:bottom w:val="nil"/>
              <w:right w:val="nil"/>
            </w:tcBorders>
            <w:noWrap/>
            <w:vAlign w:val="center"/>
            <w:hideMark/>
          </w:tcPr>
          <w:p w14:paraId="4B5F0B35" w14:textId="2BE1577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59c</w:t>
            </w:r>
          </w:p>
        </w:tc>
        <w:tc>
          <w:tcPr>
            <w:tcW w:w="874" w:type="dxa"/>
            <w:tcBorders>
              <w:top w:val="nil"/>
              <w:left w:val="nil"/>
              <w:bottom w:val="nil"/>
              <w:right w:val="nil"/>
            </w:tcBorders>
            <w:noWrap/>
            <w:vAlign w:val="center"/>
            <w:hideMark/>
          </w:tcPr>
          <w:p w14:paraId="183DC53A" w14:textId="311D130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56bc</w:t>
            </w:r>
          </w:p>
        </w:tc>
        <w:tc>
          <w:tcPr>
            <w:tcW w:w="1158" w:type="dxa"/>
            <w:tcBorders>
              <w:top w:val="nil"/>
              <w:left w:val="nil"/>
              <w:bottom w:val="nil"/>
              <w:right w:val="nil"/>
            </w:tcBorders>
            <w:noWrap/>
            <w:vAlign w:val="center"/>
            <w:hideMark/>
          </w:tcPr>
          <w:p w14:paraId="14C3F4CD" w14:textId="4FBD710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05d</w:t>
            </w:r>
          </w:p>
        </w:tc>
        <w:tc>
          <w:tcPr>
            <w:tcW w:w="1014" w:type="dxa"/>
            <w:tcBorders>
              <w:top w:val="nil"/>
              <w:left w:val="nil"/>
              <w:bottom w:val="nil"/>
              <w:right w:val="nil"/>
            </w:tcBorders>
            <w:noWrap/>
            <w:vAlign w:val="center"/>
            <w:hideMark/>
          </w:tcPr>
          <w:p w14:paraId="3C930ED3" w14:textId="2C8C72C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28ab</w:t>
            </w:r>
          </w:p>
        </w:tc>
        <w:tc>
          <w:tcPr>
            <w:tcW w:w="1015" w:type="dxa"/>
            <w:tcBorders>
              <w:top w:val="nil"/>
              <w:left w:val="nil"/>
              <w:bottom w:val="nil"/>
              <w:right w:val="nil"/>
            </w:tcBorders>
            <w:noWrap/>
            <w:vAlign w:val="center"/>
            <w:hideMark/>
          </w:tcPr>
          <w:p w14:paraId="70AC90E3" w14:textId="6A52788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75de</w:t>
            </w:r>
          </w:p>
        </w:tc>
        <w:tc>
          <w:tcPr>
            <w:tcW w:w="1028" w:type="dxa"/>
            <w:tcBorders>
              <w:top w:val="nil"/>
              <w:left w:val="nil"/>
              <w:bottom w:val="nil"/>
              <w:right w:val="nil"/>
            </w:tcBorders>
            <w:noWrap/>
            <w:vAlign w:val="center"/>
            <w:hideMark/>
          </w:tcPr>
          <w:p w14:paraId="273F454F" w14:textId="47630AA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78cd</w:t>
            </w:r>
          </w:p>
        </w:tc>
        <w:tc>
          <w:tcPr>
            <w:tcW w:w="1186" w:type="dxa"/>
            <w:tcBorders>
              <w:top w:val="nil"/>
              <w:left w:val="nil"/>
              <w:bottom w:val="nil"/>
              <w:right w:val="nil"/>
            </w:tcBorders>
            <w:noWrap/>
            <w:vAlign w:val="center"/>
            <w:hideMark/>
          </w:tcPr>
          <w:p w14:paraId="4152B074"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32cd</w:t>
            </w:r>
          </w:p>
        </w:tc>
        <w:tc>
          <w:tcPr>
            <w:tcW w:w="1184" w:type="dxa"/>
            <w:tcBorders>
              <w:top w:val="nil"/>
              <w:left w:val="nil"/>
              <w:bottom w:val="nil"/>
              <w:right w:val="nil"/>
            </w:tcBorders>
            <w:noWrap/>
            <w:vAlign w:val="bottom"/>
            <w:hideMark/>
          </w:tcPr>
          <w:p w14:paraId="1C483A4B" w14:textId="4C5B1FA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67bc</w:t>
            </w:r>
          </w:p>
        </w:tc>
        <w:tc>
          <w:tcPr>
            <w:tcW w:w="1800" w:type="dxa"/>
            <w:gridSpan w:val="2"/>
            <w:tcBorders>
              <w:top w:val="nil"/>
              <w:left w:val="nil"/>
              <w:bottom w:val="nil"/>
              <w:right w:val="nil"/>
            </w:tcBorders>
            <w:noWrap/>
            <w:vAlign w:val="center"/>
            <w:hideMark/>
          </w:tcPr>
          <w:p w14:paraId="19F11528" w14:textId="025782B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56d</w:t>
            </w:r>
          </w:p>
        </w:tc>
      </w:tr>
      <w:tr w:rsidR="009D5F63" w:rsidRPr="00E36686" w14:paraId="7F6C8A35" w14:textId="77777777" w:rsidTr="009D5F63">
        <w:trPr>
          <w:trHeight w:val="429"/>
          <w:jc w:val="center"/>
        </w:trPr>
        <w:tc>
          <w:tcPr>
            <w:tcW w:w="715" w:type="dxa"/>
            <w:tcBorders>
              <w:top w:val="nil"/>
              <w:left w:val="nil"/>
              <w:bottom w:val="nil"/>
              <w:right w:val="nil"/>
            </w:tcBorders>
            <w:noWrap/>
            <w:vAlign w:val="center"/>
            <w:hideMark/>
          </w:tcPr>
          <w:p w14:paraId="3FC3063B"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T3</w:t>
            </w:r>
          </w:p>
        </w:tc>
        <w:tc>
          <w:tcPr>
            <w:tcW w:w="967" w:type="dxa"/>
            <w:tcBorders>
              <w:top w:val="nil"/>
              <w:left w:val="nil"/>
              <w:bottom w:val="nil"/>
              <w:right w:val="nil"/>
            </w:tcBorders>
            <w:noWrap/>
            <w:vAlign w:val="center"/>
            <w:hideMark/>
          </w:tcPr>
          <w:p w14:paraId="37D2E318" w14:textId="37AF8C13"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89" w:type="dxa"/>
            <w:tcBorders>
              <w:top w:val="nil"/>
              <w:left w:val="nil"/>
              <w:bottom w:val="nil"/>
              <w:right w:val="nil"/>
            </w:tcBorders>
            <w:noWrap/>
            <w:vAlign w:val="center"/>
            <w:hideMark/>
          </w:tcPr>
          <w:p w14:paraId="305EEB82"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28c</w:t>
            </w:r>
          </w:p>
        </w:tc>
        <w:tc>
          <w:tcPr>
            <w:tcW w:w="889" w:type="dxa"/>
            <w:tcBorders>
              <w:top w:val="nil"/>
              <w:left w:val="nil"/>
              <w:bottom w:val="nil"/>
              <w:right w:val="nil"/>
            </w:tcBorders>
            <w:noWrap/>
            <w:vAlign w:val="center"/>
            <w:hideMark/>
          </w:tcPr>
          <w:p w14:paraId="447DA142" w14:textId="0BFE1AC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74" w:type="dxa"/>
            <w:tcBorders>
              <w:top w:val="nil"/>
              <w:left w:val="nil"/>
              <w:bottom w:val="nil"/>
              <w:right w:val="nil"/>
            </w:tcBorders>
            <w:noWrap/>
            <w:vAlign w:val="center"/>
            <w:hideMark/>
          </w:tcPr>
          <w:p w14:paraId="22A0424F" w14:textId="0B15DEA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w:t>
            </w:r>
            <w:r w:rsidRPr="006E1CF9">
              <w:rPr>
                <w:rFonts w:ascii="Times New Roman" w:eastAsia="Times New Roman" w:hAnsi="Times New Roman" w:cs="Times New Roman"/>
                <w:color w:val="000000"/>
                <w:lang w:eastAsia="fr-FR"/>
              </w:rPr>
              <w:t>e</w:t>
            </w:r>
          </w:p>
        </w:tc>
        <w:tc>
          <w:tcPr>
            <w:tcW w:w="780" w:type="dxa"/>
            <w:tcBorders>
              <w:top w:val="nil"/>
              <w:left w:val="nil"/>
              <w:bottom w:val="nil"/>
              <w:right w:val="nil"/>
            </w:tcBorders>
            <w:noWrap/>
            <w:vAlign w:val="center"/>
            <w:hideMark/>
          </w:tcPr>
          <w:p w14:paraId="791CA8A9" w14:textId="7D90A89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5f</w:t>
            </w:r>
          </w:p>
        </w:tc>
        <w:tc>
          <w:tcPr>
            <w:tcW w:w="761" w:type="dxa"/>
            <w:tcBorders>
              <w:top w:val="nil"/>
              <w:left w:val="nil"/>
              <w:bottom w:val="nil"/>
              <w:right w:val="nil"/>
            </w:tcBorders>
            <w:noWrap/>
            <w:vAlign w:val="center"/>
            <w:hideMark/>
          </w:tcPr>
          <w:p w14:paraId="5B7F6509" w14:textId="03BA978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8</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68a</w:t>
            </w:r>
          </w:p>
        </w:tc>
        <w:tc>
          <w:tcPr>
            <w:tcW w:w="845" w:type="dxa"/>
            <w:tcBorders>
              <w:top w:val="nil"/>
              <w:left w:val="nil"/>
              <w:bottom w:val="nil"/>
              <w:right w:val="nil"/>
            </w:tcBorders>
            <w:noWrap/>
            <w:vAlign w:val="center"/>
            <w:hideMark/>
          </w:tcPr>
          <w:p w14:paraId="4153FE09" w14:textId="3A3CFF3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52a</w:t>
            </w:r>
          </w:p>
        </w:tc>
        <w:tc>
          <w:tcPr>
            <w:tcW w:w="874" w:type="dxa"/>
            <w:tcBorders>
              <w:top w:val="nil"/>
              <w:left w:val="nil"/>
              <w:bottom w:val="nil"/>
              <w:right w:val="nil"/>
            </w:tcBorders>
            <w:noWrap/>
            <w:vAlign w:val="center"/>
            <w:hideMark/>
          </w:tcPr>
          <w:p w14:paraId="4E456B19" w14:textId="0D79A2C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14a</w:t>
            </w:r>
          </w:p>
        </w:tc>
        <w:tc>
          <w:tcPr>
            <w:tcW w:w="1158" w:type="dxa"/>
            <w:tcBorders>
              <w:top w:val="nil"/>
              <w:left w:val="nil"/>
              <w:bottom w:val="nil"/>
              <w:right w:val="nil"/>
            </w:tcBorders>
            <w:noWrap/>
            <w:vAlign w:val="center"/>
            <w:hideMark/>
          </w:tcPr>
          <w:p w14:paraId="582A7107" w14:textId="0AB0E08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07a</w:t>
            </w:r>
          </w:p>
        </w:tc>
        <w:tc>
          <w:tcPr>
            <w:tcW w:w="1014" w:type="dxa"/>
            <w:tcBorders>
              <w:top w:val="nil"/>
              <w:left w:val="nil"/>
              <w:bottom w:val="nil"/>
              <w:right w:val="nil"/>
            </w:tcBorders>
            <w:noWrap/>
            <w:vAlign w:val="center"/>
            <w:hideMark/>
          </w:tcPr>
          <w:p w14:paraId="6F3EF64D" w14:textId="54B05AC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44a</w:t>
            </w:r>
          </w:p>
        </w:tc>
        <w:tc>
          <w:tcPr>
            <w:tcW w:w="1015" w:type="dxa"/>
            <w:tcBorders>
              <w:top w:val="nil"/>
              <w:left w:val="nil"/>
              <w:bottom w:val="nil"/>
              <w:right w:val="nil"/>
            </w:tcBorders>
            <w:noWrap/>
            <w:vAlign w:val="center"/>
            <w:hideMark/>
          </w:tcPr>
          <w:p w14:paraId="5D7BE33A" w14:textId="44DB4CC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75b</w:t>
            </w:r>
          </w:p>
        </w:tc>
        <w:tc>
          <w:tcPr>
            <w:tcW w:w="1028" w:type="dxa"/>
            <w:tcBorders>
              <w:top w:val="nil"/>
              <w:left w:val="nil"/>
              <w:bottom w:val="nil"/>
              <w:right w:val="nil"/>
            </w:tcBorders>
            <w:noWrap/>
            <w:vAlign w:val="center"/>
            <w:hideMark/>
          </w:tcPr>
          <w:p w14:paraId="74C920A1" w14:textId="68933F43"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92a</w:t>
            </w:r>
          </w:p>
        </w:tc>
        <w:tc>
          <w:tcPr>
            <w:tcW w:w="1186" w:type="dxa"/>
            <w:tcBorders>
              <w:top w:val="nil"/>
              <w:left w:val="nil"/>
              <w:bottom w:val="nil"/>
              <w:right w:val="nil"/>
            </w:tcBorders>
            <w:noWrap/>
            <w:vAlign w:val="center"/>
            <w:hideMark/>
          </w:tcPr>
          <w:p w14:paraId="62F5A44A" w14:textId="2D0B027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40</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97a</w:t>
            </w:r>
          </w:p>
        </w:tc>
        <w:tc>
          <w:tcPr>
            <w:tcW w:w="1184" w:type="dxa"/>
            <w:tcBorders>
              <w:top w:val="nil"/>
              <w:left w:val="nil"/>
              <w:bottom w:val="nil"/>
              <w:right w:val="nil"/>
            </w:tcBorders>
            <w:noWrap/>
            <w:vAlign w:val="center"/>
            <w:hideMark/>
          </w:tcPr>
          <w:p w14:paraId="04ACA8FE" w14:textId="0C9ECFD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39a</w:t>
            </w:r>
          </w:p>
        </w:tc>
        <w:tc>
          <w:tcPr>
            <w:tcW w:w="1800" w:type="dxa"/>
            <w:gridSpan w:val="2"/>
            <w:tcBorders>
              <w:top w:val="nil"/>
              <w:left w:val="nil"/>
              <w:bottom w:val="nil"/>
              <w:right w:val="nil"/>
            </w:tcBorders>
            <w:noWrap/>
            <w:vAlign w:val="center"/>
            <w:hideMark/>
          </w:tcPr>
          <w:p w14:paraId="6EDBC048" w14:textId="35B8E96F"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11a</w:t>
            </w:r>
          </w:p>
        </w:tc>
      </w:tr>
      <w:tr w:rsidR="009D5F63" w:rsidRPr="00E36686" w14:paraId="2B44EE0F" w14:textId="77777777" w:rsidTr="009D5F63">
        <w:trPr>
          <w:trHeight w:val="429"/>
          <w:jc w:val="center"/>
        </w:trPr>
        <w:tc>
          <w:tcPr>
            <w:tcW w:w="715" w:type="dxa"/>
            <w:tcBorders>
              <w:top w:val="nil"/>
              <w:left w:val="nil"/>
              <w:bottom w:val="nil"/>
              <w:right w:val="nil"/>
            </w:tcBorders>
            <w:noWrap/>
            <w:vAlign w:val="center"/>
            <w:hideMark/>
          </w:tcPr>
          <w:p w14:paraId="01FEFD6E"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T4</w:t>
            </w:r>
          </w:p>
        </w:tc>
        <w:tc>
          <w:tcPr>
            <w:tcW w:w="967" w:type="dxa"/>
            <w:tcBorders>
              <w:top w:val="nil"/>
              <w:left w:val="nil"/>
              <w:bottom w:val="nil"/>
              <w:right w:val="nil"/>
            </w:tcBorders>
            <w:noWrap/>
            <w:vAlign w:val="center"/>
            <w:hideMark/>
          </w:tcPr>
          <w:p w14:paraId="2E4D2746" w14:textId="5D0669B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89" w:type="dxa"/>
            <w:tcBorders>
              <w:top w:val="nil"/>
              <w:left w:val="nil"/>
              <w:bottom w:val="nil"/>
              <w:right w:val="nil"/>
            </w:tcBorders>
            <w:noWrap/>
            <w:vAlign w:val="center"/>
            <w:hideMark/>
          </w:tcPr>
          <w:p w14:paraId="60E878C1"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28c</w:t>
            </w:r>
          </w:p>
        </w:tc>
        <w:tc>
          <w:tcPr>
            <w:tcW w:w="889" w:type="dxa"/>
            <w:tcBorders>
              <w:top w:val="nil"/>
              <w:left w:val="nil"/>
              <w:bottom w:val="nil"/>
              <w:right w:val="nil"/>
            </w:tcBorders>
            <w:noWrap/>
            <w:vAlign w:val="center"/>
            <w:hideMark/>
          </w:tcPr>
          <w:p w14:paraId="516D6A2A" w14:textId="04B678B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33d</w:t>
            </w:r>
          </w:p>
        </w:tc>
        <w:tc>
          <w:tcPr>
            <w:tcW w:w="874" w:type="dxa"/>
            <w:tcBorders>
              <w:top w:val="nil"/>
              <w:left w:val="nil"/>
              <w:bottom w:val="nil"/>
              <w:right w:val="nil"/>
            </w:tcBorders>
            <w:noWrap/>
            <w:vAlign w:val="center"/>
            <w:hideMark/>
          </w:tcPr>
          <w:p w14:paraId="6D8EB63B"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46d</w:t>
            </w:r>
          </w:p>
        </w:tc>
        <w:tc>
          <w:tcPr>
            <w:tcW w:w="780" w:type="dxa"/>
            <w:tcBorders>
              <w:top w:val="nil"/>
              <w:left w:val="nil"/>
              <w:bottom w:val="nil"/>
              <w:right w:val="nil"/>
            </w:tcBorders>
            <w:noWrap/>
            <w:vAlign w:val="center"/>
            <w:hideMark/>
          </w:tcPr>
          <w:p w14:paraId="16F1E1A2"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73</w:t>
            </w:r>
            <w:r w:rsidRPr="006E1CF9">
              <w:rPr>
                <w:rFonts w:ascii="Times New Roman" w:eastAsia="Times New Roman" w:hAnsi="Times New Roman" w:cs="Times New Roman"/>
                <w:color w:val="000000"/>
                <w:lang w:eastAsia="fr-FR"/>
              </w:rPr>
              <w:t>e</w:t>
            </w:r>
          </w:p>
        </w:tc>
        <w:tc>
          <w:tcPr>
            <w:tcW w:w="761" w:type="dxa"/>
            <w:tcBorders>
              <w:top w:val="nil"/>
              <w:left w:val="nil"/>
              <w:bottom w:val="nil"/>
              <w:right w:val="nil"/>
            </w:tcBorders>
            <w:noWrap/>
            <w:vAlign w:val="center"/>
            <w:hideMark/>
          </w:tcPr>
          <w:p w14:paraId="5869C26A" w14:textId="36059E4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47b</w:t>
            </w:r>
          </w:p>
        </w:tc>
        <w:tc>
          <w:tcPr>
            <w:tcW w:w="845" w:type="dxa"/>
            <w:tcBorders>
              <w:top w:val="nil"/>
              <w:left w:val="nil"/>
              <w:bottom w:val="nil"/>
              <w:right w:val="nil"/>
            </w:tcBorders>
            <w:noWrap/>
            <w:vAlign w:val="center"/>
            <w:hideMark/>
          </w:tcPr>
          <w:p w14:paraId="6C54500B" w14:textId="0516733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06b</w:t>
            </w:r>
          </w:p>
        </w:tc>
        <w:tc>
          <w:tcPr>
            <w:tcW w:w="874" w:type="dxa"/>
            <w:tcBorders>
              <w:top w:val="nil"/>
              <w:left w:val="nil"/>
              <w:bottom w:val="nil"/>
              <w:right w:val="nil"/>
            </w:tcBorders>
            <w:noWrap/>
            <w:vAlign w:val="center"/>
            <w:hideMark/>
          </w:tcPr>
          <w:p w14:paraId="798FB9A4" w14:textId="0BCE043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21b</w:t>
            </w:r>
          </w:p>
        </w:tc>
        <w:tc>
          <w:tcPr>
            <w:tcW w:w="1158" w:type="dxa"/>
            <w:tcBorders>
              <w:top w:val="nil"/>
              <w:left w:val="nil"/>
              <w:bottom w:val="nil"/>
              <w:right w:val="nil"/>
            </w:tcBorders>
            <w:noWrap/>
            <w:vAlign w:val="center"/>
            <w:hideMark/>
          </w:tcPr>
          <w:p w14:paraId="19D1CE54" w14:textId="3EDFDBB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19bc</w:t>
            </w:r>
          </w:p>
        </w:tc>
        <w:tc>
          <w:tcPr>
            <w:tcW w:w="1014" w:type="dxa"/>
            <w:tcBorders>
              <w:top w:val="nil"/>
              <w:left w:val="nil"/>
              <w:bottom w:val="nil"/>
              <w:right w:val="nil"/>
            </w:tcBorders>
            <w:noWrap/>
            <w:vAlign w:val="center"/>
            <w:hideMark/>
          </w:tcPr>
          <w:p w14:paraId="20E528D6" w14:textId="79B6064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22ab</w:t>
            </w:r>
          </w:p>
        </w:tc>
        <w:tc>
          <w:tcPr>
            <w:tcW w:w="1015" w:type="dxa"/>
            <w:tcBorders>
              <w:top w:val="nil"/>
              <w:left w:val="nil"/>
              <w:bottom w:val="nil"/>
              <w:right w:val="nil"/>
            </w:tcBorders>
            <w:noWrap/>
            <w:vAlign w:val="center"/>
            <w:hideMark/>
          </w:tcPr>
          <w:p w14:paraId="125C55B0" w14:textId="6DB3A6D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61bc</w:t>
            </w:r>
          </w:p>
        </w:tc>
        <w:tc>
          <w:tcPr>
            <w:tcW w:w="1028" w:type="dxa"/>
            <w:tcBorders>
              <w:top w:val="nil"/>
              <w:left w:val="nil"/>
              <w:bottom w:val="nil"/>
              <w:right w:val="nil"/>
            </w:tcBorders>
            <w:noWrap/>
            <w:vAlign w:val="center"/>
            <w:hideMark/>
          </w:tcPr>
          <w:p w14:paraId="7B500066" w14:textId="6FBC36E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83ab</w:t>
            </w:r>
          </w:p>
        </w:tc>
        <w:tc>
          <w:tcPr>
            <w:tcW w:w="1186" w:type="dxa"/>
            <w:tcBorders>
              <w:top w:val="nil"/>
              <w:left w:val="nil"/>
              <w:bottom w:val="nil"/>
              <w:right w:val="nil"/>
            </w:tcBorders>
            <w:noWrap/>
            <w:vAlign w:val="bottom"/>
            <w:hideMark/>
          </w:tcPr>
          <w:p w14:paraId="472C437D" w14:textId="197B7C8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67ab</w:t>
            </w:r>
          </w:p>
        </w:tc>
        <w:tc>
          <w:tcPr>
            <w:tcW w:w="1184" w:type="dxa"/>
            <w:tcBorders>
              <w:top w:val="nil"/>
              <w:left w:val="nil"/>
              <w:bottom w:val="nil"/>
              <w:right w:val="nil"/>
            </w:tcBorders>
            <w:noWrap/>
            <w:vAlign w:val="center"/>
            <w:hideMark/>
          </w:tcPr>
          <w:p w14:paraId="0825E4C3" w14:textId="60A20D8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94a</w:t>
            </w:r>
          </w:p>
        </w:tc>
        <w:tc>
          <w:tcPr>
            <w:tcW w:w="1800" w:type="dxa"/>
            <w:gridSpan w:val="2"/>
            <w:tcBorders>
              <w:top w:val="nil"/>
              <w:left w:val="nil"/>
              <w:bottom w:val="nil"/>
              <w:right w:val="nil"/>
            </w:tcBorders>
            <w:noWrap/>
            <w:vAlign w:val="center"/>
            <w:hideMark/>
          </w:tcPr>
          <w:p w14:paraId="30C5B1DB" w14:textId="09610EA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75ab</w:t>
            </w:r>
          </w:p>
        </w:tc>
      </w:tr>
      <w:tr w:rsidR="009D5F63" w:rsidRPr="00E36686" w14:paraId="2C0452A2" w14:textId="77777777" w:rsidTr="009D5F63">
        <w:trPr>
          <w:trHeight w:val="429"/>
          <w:jc w:val="center"/>
        </w:trPr>
        <w:tc>
          <w:tcPr>
            <w:tcW w:w="715" w:type="dxa"/>
            <w:tcBorders>
              <w:top w:val="nil"/>
              <w:left w:val="nil"/>
              <w:bottom w:val="nil"/>
              <w:right w:val="nil"/>
            </w:tcBorders>
            <w:noWrap/>
            <w:vAlign w:val="center"/>
            <w:hideMark/>
          </w:tcPr>
          <w:p w14:paraId="0E6D8494"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T5</w:t>
            </w:r>
          </w:p>
        </w:tc>
        <w:tc>
          <w:tcPr>
            <w:tcW w:w="967" w:type="dxa"/>
            <w:tcBorders>
              <w:top w:val="nil"/>
              <w:left w:val="nil"/>
              <w:bottom w:val="nil"/>
              <w:right w:val="nil"/>
            </w:tcBorders>
            <w:noWrap/>
            <w:vAlign w:val="center"/>
            <w:hideMark/>
          </w:tcPr>
          <w:p w14:paraId="1A83CE0D" w14:textId="66688F2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89" w:type="dxa"/>
            <w:tcBorders>
              <w:top w:val="nil"/>
              <w:left w:val="nil"/>
              <w:bottom w:val="nil"/>
              <w:right w:val="nil"/>
            </w:tcBorders>
            <w:noWrap/>
            <w:vAlign w:val="center"/>
            <w:hideMark/>
          </w:tcPr>
          <w:p w14:paraId="4D84899C"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30b</w:t>
            </w:r>
          </w:p>
        </w:tc>
        <w:tc>
          <w:tcPr>
            <w:tcW w:w="889" w:type="dxa"/>
            <w:tcBorders>
              <w:top w:val="nil"/>
              <w:left w:val="nil"/>
              <w:bottom w:val="nil"/>
              <w:right w:val="nil"/>
            </w:tcBorders>
            <w:noWrap/>
            <w:vAlign w:val="center"/>
            <w:hideMark/>
          </w:tcPr>
          <w:p w14:paraId="70A00B0C" w14:textId="7FE3E6EF"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74" w:type="dxa"/>
            <w:tcBorders>
              <w:top w:val="nil"/>
              <w:left w:val="nil"/>
              <w:bottom w:val="nil"/>
              <w:right w:val="nil"/>
            </w:tcBorders>
            <w:noWrap/>
            <w:vAlign w:val="center"/>
            <w:hideMark/>
          </w:tcPr>
          <w:p w14:paraId="46D4C258"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49c</w:t>
            </w:r>
          </w:p>
        </w:tc>
        <w:tc>
          <w:tcPr>
            <w:tcW w:w="780" w:type="dxa"/>
            <w:tcBorders>
              <w:top w:val="nil"/>
              <w:left w:val="nil"/>
              <w:bottom w:val="nil"/>
              <w:right w:val="nil"/>
            </w:tcBorders>
            <w:noWrap/>
            <w:vAlign w:val="center"/>
            <w:hideMark/>
          </w:tcPr>
          <w:p w14:paraId="6B3094E4"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79b</w:t>
            </w:r>
          </w:p>
        </w:tc>
        <w:tc>
          <w:tcPr>
            <w:tcW w:w="761" w:type="dxa"/>
            <w:tcBorders>
              <w:top w:val="nil"/>
              <w:left w:val="nil"/>
              <w:bottom w:val="nil"/>
              <w:right w:val="nil"/>
            </w:tcBorders>
            <w:noWrap/>
            <w:vAlign w:val="center"/>
            <w:hideMark/>
          </w:tcPr>
          <w:p w14:paraId="41CCD063" w14:textId="7CE6FFCF"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61b</w:t>
            </w:r>
          </w:p>
        </w:tc>
        <w:tc>
          <w:tcPr>
            <w:tcW w:w="845" w:type="dxa"/>
            <w:tcBorders>
              <w:top w:val="nil"/>
              <w:left w:val="nil"/>
              <w:bottom w:val="nil"/>
              <w:right w:val="nil"/>
            </w:tcBorders>
            <w:noWrap/>
            <w:vAlign w:val="center"/>
            <w:hideMark/>
          </w:tcPr>
          <w:p w14:paraId="69632C9F" w14:textId="5CB908E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07b</w:t>
            </w:r>
          </w:p>
        </w:tc>
        <w:tc>
          <w:tcPr>
            <w:tcW w:w="874" w:type="dxa"/>
            <w:tcBorders>
              <w:top w:val="nil"/>
              <w:left w:val="nil"/>
              <w:bottom w:val="nil"/>
              <w:right w:val="nil"/>
            </w:tcBorders>
            <w:noWrap/>
            <w:vAlign w:val="center"/>
            <w:hideMark/>
          </w:tcPr>
          <w:p w14:paraId="1CB3B49E" w14:textId="07DA0FB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1b</w:t>
            </w:r>
          </w:p>
        </w:tc>
        <w:tc>
          <w:tcPr>
            <w:tcW w:w="1158" w:type="dxa"/>
            <w:tcBorders>
              <w:top w:val="nil"/>
              <w:left w:val="nil"/>
              <w:bottom w:val="nil"/>
              <w:right w:val="nil"/>
            </w:tcBorders>
            <w:noWrap/>
            <w:vAlign w:val="center"/>
            <w:hideMark/>
          </w:tcPr>
          <w:p w14:paraId="3524D79B" w14:textId="4C39270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52cd</w:t>
            </w:r>
          </w:p>
        </w:tc>
        <w:tc>
          <w:tcPr>
            <w:tcW w:w="1014" w:type="dxa"/>
            <w:tcBorders>
              <w:top w:val="nil"/>
              <w:left w:val="nil"/>
              <w:bottom w:val="nil"/>
              <w:right w:val="nil"/>
            </w:tcBorders>
            <w:noWrap/>
            <w:vAlign w:val="center"/>
            <w:hideMark/>
          </w:tcPr>
          <w:p w14:paraId="617036B7" w14:textId="184EC90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92ab</w:t>
            </w:r>
          </w:p>
        </w:tc>
        <w:tc>
          <w:tcPr>
            <w:tcW w:w="1015" w:type="dxa"/>
            <w:tcBorders>
              <w:top w:val="nil"/>
              <w:left w:val="nil"/>
              <w:bottom w:val="nil"/>
              <w:right w:val="nil"/>
            </w:tcBorders>
            <w:noWrap/>
            <w:vAlign w:val="center"/>
            <w:hideMark/>
          </w:tcPr>
          <w:p w14:paraId="28EFE96B" w14:textId="13A9D21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19cd</w:t>
            </w:r>
          </w:p>
        </w:tc>
        <w:tc>
          <w:tcPr>
            <w:tcW w:w="1028" w:type="dxa"/>
            <w:tcBorders>
              <w:top w:val="nil"/>
              <w:left w:val="nil"/>
              <w:bottom w:val="nil"/>
              <w:right w:val="nil"/>
            </w:tcBorders>
            <w:noWrap/>
            <w:vAlign w:val="center"/>
            <w:hideMark/>
          </w:tcPr>
          <w:p w14:paraId="16DA66AB" w14:textId="5834FE8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67bc</w:t>
            </w:r>
          </w:p>
        </w:tc>
        <w:tc>
          <w:tcPr>
            <w:tcW w:w="1186" w:type="dxa"/>
            <w:tcBorders>
              <w:top w:val="nil"/>
              <w:left w:val="nil"/>
              <w:bottom w:val="nil"/>
              <w:right w:val="nil"/>
            </w:tcBorders>
            <w:noWrap/>
            <w:vAlign w:val="center"/>
            <w:hideMark/>
          </w:tcPr>
          <w:p w14:paraId="53A17BD2" w14:textId="35ECB04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42bcd</w:t>
            </w:r>
          </w:p>
        </w:tc>
        <w:tc>
          <w:tcPr>
            <w:tcW w:w="1184" w:type="dxa"/>
            <w:tcBorders>
              <w:top w:val="nil"/>
              <w:left w:val="nil"/>
              <w:bottom w:val="nil"/>
              <w:right w:val="nil"/>
            </w:tcBorders>
            <w:noWrap/>
            <w:vAlign w:val="center"/>
            <w:hideMark/>
          </w:tcPr>
          <w:p w14:paraId="75180EFD" w14:textId="675D529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58bc</w:t>
            </w:r>
          </w:p>
        </w:tc>
        <w:tc>
          <w:tcPr>
            <w:tcW w:w="1800" w:type="dxa"/>
            <w:gridSpan w:val="2"/>
            <w:tcBorders>
              <w:top w:val="nil"/>
              <w:left w:val="nil"/>
              <w:bottom w:val="nil"/>
              <w:right w:val="nil"/>
            </w:tcBorders>
            <w:noWrap/>
            <w:vAlign w:val="center"/>
            <w:hideMark/>
          </w:tcPr>
          <w:p w14:paraId="3703E8BC" w14:textId="53470D5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94cd</w:t>
            </w:r>
          </w:p>
        </w:tc>
      </w:tr>
      <w:tr w:rsidR="009D5F63" w:rsidRPr="00E36686" w14:paraId="3B8FDC6E" w14:textId="77777777" w:rsidTr="009D5F63">
        <w:trPr>
          <w:trHeight w:val="451"/>
          <w:jc w:val="center"/>
        </w:trPr>
        <w:tc>
          <w:tcPr>
            <w:tcW w:w="715" w:type="dxa"/>
            <w:tcBorders>
              <w:top w:val="nil"/>
              <w:left w:val="nil"/>
              <w:bottom w:val="thinThickSmallGap" w:sz="24" w:space="0" w:color="auto"/>
              <w:right w:val="nil"/>
            </w:tcBorders>
            <w:noWrap/>
            <w:vAlign w:val="center"/>
            <w:hideMark/>
          </w:tcPr>
          <w:p w14:paraId="3CE2DEA1"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T6</w:t>
            </w:r>
          </w:p>
        </w:tc>
        <w:tc>
          <w:tcPr>
            <w:tcW w:w="967" w:type="dxa"/>
            <w:tcBorders>
              <w:top w:val="nil"/>
              <w:left w:val="nil"/>
              <w:bottom w:val="thinThickSmallGap" w:sz="24" w:space="0" w:color="auto"/>
              <w:right w:val="nil"/>
            </w:tcBorders>
            <w:noWrap/>
            <w:vAlign w:val="center"/>
            <w:hideMark/>
          </w:tcPr>
          <w:p w14:paraId="66838ECB" w14:textId="4C4215B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89" w:type="dxa"/>
            <w:tcBorders>
              <w:top w:val="nil"/>
              <w:left w:val="nil"/>
              <w:bottom w:val="thinThickSmallGap" w:sz="24" w:space="0" w:color="auto"/>
              <w:right w:val="nil"/>
            </w:tcBorders>
            <w:noWrap/>
            <w:vAlign w:val="center"/>
            <w:hideMark/>
          </w:tcPr>
          <w:p w14:paraId="6009E673" w14:textId="1FFEAD9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89" w:type="dxa"/>
            <w:tcBorders>
              <w:top w:val="nil"/>
              <w:left w:val="nil"/>
              <w:bottom w:val="thinThickSmallGap" w:sz="24" w:space="0" w:color="auto"/>
              <w:right w:val="nil"/>
            </w:tcBorders>
            <w:noWrap/>
            <w:vAlign w:val="center"/>
            <w:hideMark/>
          </w:tcPr>
          <w:p w14:paraId="76DAA869" w14:textId="44E056A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74" w:type="dxa"/>
            <w:tcBorders>
              <w:top w:val="nil"/>
              <w:left w:val="nil"/>
              <w:bottom w:val="thinThickSmallGap" w:sz="24" w:space="0" w:color="auto"/>
              <w:right w:val="nil"/>
            </w:tcBorders>
            <w:noWrap/>
            <w:vAlign w:val="center"/>
            <w:hideMark/>
          </w:tcPr>
          <w:p w14:paraId="3D7BADCB" w14:textId="09D7A02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780" w:type="dxa"/>
            <w:tcBorders>
              <w:top w:val="nil"/>
              <w:left w:val="nil"/>
              <w:bottom w:val="thinThickSmallGap" w:sz="24" w:space="0" w:color="auto"/>
              <w:right w:val="nil"/>
            </w:tcBorders>
            <w:noWrap/>
            <w:vAlign w:val="center"/>
            <w:hideMark/>
          </w:tcPr>
          <w:p w14:paraId="4CC72315"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72</w:t>
            </w:r>
            <w:r w:rsidRPr="006E1CF9">
              <w:rPr>
                <w:rFonts w:ascii="Times New Roman" w:eastAsia="Times New Roman" w:hAnsi="Times New Roman" w:cs="Times New Roman"/>
                <w:color w:val="000000"/>
                <w:lang w:eastAsia="fr-FR"/>
              </w:rPr>
              <w:t>e</w:t>
            </w:r>
          </w:p>
        </w:tc>
        <w:tc>
          <w:tcPr>
            <w:tcW w:w="761" w:type="dxa"/>
            <w:tcBorders>
              <w:top w:val="nil"/>
              <w:left w:val="nil"/>
              <w:bottom w:val="thinThickSmallGap" w:sz="24" w:space="0" w:color="auto"/>
              <w:right w:val="nil"/>
            </w:tcBorders>
            <w:noWrap/>
            <w:vAlign w:val="center"/>
            <w:hideMark/>
          </w:tcPr>
          <w:p w14:paraId="0E99AA68" w14:textId="04C1509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8</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31a</w:t>
            </w:r>
          </w:p>
        </w:tc>
        <w:tc>
          <w:tcPr>
            <w:tcW w:w="845" w:type="dxa"/>
            <w:tcBorders>
              <w:top w:val="nil"/>
              <w:left w:val="nil"/>
              <w:bottom w:val="thinThickSmallGap" w:sz="24" w:space="0" w:color="auto"/>
              <w:right w:val="nil"/>
            </w:tcBorders>
            <w:noWrap/>
            <w:vAlign w:val="center"/>
            <w:hideMark/>
          </w:tcPr>
          <w:p w14:paraId="382B2016" w14:textId="71858AF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44a</w:t>
            </w:r>
          </w:p>
        </w:tc>
        <w:tc>
          <w:tcPr>
            <w:tcW w:w="874" w:type="dxa"/>
            <w:tcBorders>
              <w:top w:val="nil"/>
              <w:left w:val="nil"/>
              <w:bottom w:val="thinThickSmallGap" w:sz="24" w:space="0" w:color="auto"/>
              <w:right w:val="nil"/>
            </w:tcBorders>
            <w:noWrap/>
            <w:vAlign w:val="center"/>
            <w:hideMark/>
          </w:tcPr>
          <w:p w14:paraId="697AD0B2" w14:textId="794EEFB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21a</w:t>
            </w:r>
          </w:p>
        </w:tc>
        <w:tc>
          <w:tcPr>
            <w:tcW w:w="1158" w:type="dxa"/>
            <w:tcBorders>
              <w:top w:val="nil"/>
              <w:left w:val="nil"/>
              <w:bottom w:val="thinThickSmallGap" w:sz="24" w:space="0" w:color="auto"/>
              <w:right w:val="nil"/>
            </w:tcBorders>
            <w:noWrap/>
            <w:vAlign w:val="center"/>
            <w:hideMark/>
          </w:tcPr>
          <w:p w14:paraId="27A51B4D" w14:textId="4B8DB97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59ab</w:t>
            </w:r>
          </w:p>
        </w:tc>
        <w:tc>
          <w:tcPr>
            <w:tcW w:w="1014" w:type="dxa"/>
            <w:tcBorders>
              <w:top w:val="nil"/>
              <w:left w:val="nil"/>
              <w:bottom w:val="thinThickSmallGap" w:sz="24" w:space="0" w:color="auto"/>
              <w:right w:val="nil"/>
            </w:tcBorders>
            <w:noWrap/>
            <w:vAlign w:val="center"/>
            <w:hideMark/>
          </w:tcPr>
          <w:p w14:paraId="04151C43" w14:textId="78FFB24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17ab</w:t>
            </w:r>
          </w:p>
        </w:tc>
        <w:tc>
          <w:tcPr>
            <w:tcW w:w="1015" w:type="dxa"/>
            <w:tcBorders>
              <w:top w:val="nil"/>
              <w:left w:val="nil"/>
              <w:bottom w:val="thinThickSmallGap" w:sz="24" w:space="0" w:color="auto"/>
              <w:right w:val="nil"/>
            </w:tcBorders>
            <w:noWrap/>
            <w:vAlign w:val="center"/>
            <w:hideMark/>
          </w:tcPr>
          <w:p w14:paraId="38E9EE2A" w14:textId="05AD14E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92a</w:t>
            </w:r>
          </w:p>
        </w:tc>
        <w:tc>
          <w:tcPr>
            <w:tcW w:w="1028" w:type="dxa"/>
            <w:tcBorders>
              <w:top w:val="nil"/>
              <w:left w:val="nil"/>
              <w:bottom w:val="thinThickSmallGap" w:sz="24" w:space="0" w:color="auto"/>
              <w:right w:val="nil"/>
            </w:tcBorders>
            <w:noWrap/>
            <w:vAlign w:val="center"/>
            <w:hideMark/>
          </w:tcPr>
          <w:p w14:paraId="0162811A" w14:textId="3A5CF8A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25ab</w:t>
            </w:r>
          </w:p>
        </w:tc>
        <w:tc>
          <w:tcPr>
            <w:tcW w:w="1186" w:type="dxa"/>
            <w:tcBorders>
              <w:top w:val="nil"/>
              <w:left w:val="nil"/>
              <w:bottom w:val="thinThickSmallGap" w:sz="24" w:space="0" w:color="auto"/>
              <w:right w:val="nil"/>
            </w:tcBorders>
            <w:noWrap/>
            <w:vAlign w:val="center"/>
            <w:hideMark/>
          </w:tcPr>
          <w:p w14:paraId="3AFF6CA1" w14:textId="3936266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44abc</w:t>
            </w:r>
          </w:p>
        </w:tc>
        <w:tc>
          <w:tcPr>
            <w:tcW w:w="1184" w:type="dxa"/>
            <w:tcBorders>
              <w:top w:val="nil"/>
              <w:left w:val="nil"/>
              <w:bottom w:val="thinThickSmallGap" w:sz="24" w:space="0" w:color="auto"/>
              <w:right w:val="nil"/>
            </w:tcBorders>
            <w:noWrap/>
            <w:vAlign w:val="center"/>
            <w:hideMark/>
          </w:tcPr>
          <w:p w14:paraId="73F74071" w14:textId="708CC00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86 ab</w:t>
            </w:r>
          </w:p>
        </w:tc>
        <w:tc>
          <w:tcPr>
            <w:tcW w:w="1800" w:type="dxa"/>
            <w:gridSpan w:val="2"/>
            <w:tcBorders>
              <w:top w:val="nil"/>
              <w:left w:val="nil"/>
              <w:bottom w:val="thinThickSmallGap" w:sz="24" w:space="0" w:color="auto"/>
              <w:right w:val="nil"/>
            </w:tcBorders>
            <w:noWrap/>
            <w:vAlign w:val="center"/>
            <w:hideMark/>
          </w:tcPr>
          <w:p w14:paraId="6F702031" w14:textId="6783007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39abc</w:t>
            </w:r>
          </w:p>
        </w:tc>
      </w:tr>
      <w:tr w:rsidR="009D5F63" w:rsidRPr="00E36686" w14:paraId="560EEB97" w14:textId="77777777" w:rsidTr="009D5F63">
        <w:trPr>
          <w:trHeight w:val="473"/>
          <w:jc w:val="center"/>
        </w:trPr>
        <w:tc>
          <w:tcPr>
            <w:tcW w:w="715" w:type="dxa"/>
            <w:tcBorders>
              <w:top w:val="thinThickSmallGap" w:sz="24" w:space="0" w:color="auto"/>
              <w:left w:val="nil"/>
              <w:bottom w:val="thinThickSmallGap" w:sz="24" w:space="0" w:color="auto"/>
              <w:right w:val="nil"/>
            </w:tcBorders>
            <w:noWrap/>
            <w:vAlign w:val="center"/>
            <w:hideMark/>
          </w:tcPr>
          <w:p w14:paraId="19083FB4"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F</w:t>
            </w:r>
          </w:p>
        </w:tc>
        <w:tc>
          <w:tcPr>
            <w:tcW w:w="967" w:type="dxa"/>
            <w:tcBorders>
              <w:top w:val="thinThickSmallGap" w:sz="24" w:space="0" w:color="auto"/>
              <w:left w:val="nil"/>
              <w:bottom w:val="thinThickSmallGap" w:sz="24" w:space="0" w:color="auto"/>
              <w:right w:val="nil"/>
            </w:tcBorders>
            <w:noWrap/>
            <w:vAlign w:val="center"/>
            <w:hideMark/>
          </w:tcPr>
          <w:p w14:paraId="6C80AAC3"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167,83</w:t>
            </w:r>
          </w:p>
        </w:tc>
        <w:tc>
          <w:tcPr>
            <w:tcW w:w="889" w:type="dxa"/>
            <w:tcBorders>
              <w:top w:val="thinThickSmallGap" w:sz="24" w:space="0" w:color="auto"/>
              <w:left w:val="nil"/>
              <w:bottom w:val="thinThickSmallGap" w:sz="24" w:space="0" w:color="auto"/>
              <w:right w:val="nil"/>
            </w:tcBorders>
            <w:noWrap/>
            <w:vAlign w:val="center"/>
            <w:hideMark/>
          </w:tcPr>
          <w:p w14:paraId="1F23FAE5"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196,03</w:t>
            </w:r>
          </w:p>
        </w:tc>
        <w:tc>
          <w:tcPr>
            <w:tcW w:w="889" w:type="dxa"/>
            <w:tcBorders>
              <w:top w:val="thinThickSmallGap" w:sz="24" w:space="0" w:color="auto"/>
              <w:left w:val="nil"/>
              <w:bottom w:val="thinThickSmallGap" w:sz="24" w:space="0" w:color="auto"/>
              <w:right w:val="nil"/>
            </w:tcBorders>
            <w:noWrap/>
            <w:vAlign w:val="center"/>
            <w:hideMark/>
          </w:tcPr>
          <w:p w14:paraId="425CE700"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552,8</w:t>
            </w:r>
          </w:p>
        </w:tc>
        <w:tc>
          <w:tcPr>
            <w:tcW w:w="874" w:type="dxa"/>
            <w:tcBorders>
              <w:top w:val="thinThickSmallGap" w:sz="24" w:space="0" w:color="auto"/>
              <w:left w:val="nil"/>
              <w:bottom w:val="thinThickSmallGap" w:sz="24" w:space="0" w:color="auto"/>
              <w:right w:val="nil"/>
            </w:tcBorders>
            <w:noWrap/>
            <w:vAlign w:val="center"/>
            <w:hideMark/>
          </w:tcPr>
          <w:p w14:paraId="0116D39B"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325</w:t>
            </w:r>
          </w:p>
        </w:tc>
        <w:tc>
          <w:tcPr>
            <w:tcW w:w="780" w:type="dxa"/>
            <w:tcBorders>
              <w:top w:val="thinThickSmallGap" w:sz="24" w:space="0" w:color="auto"/>
              <w:left w:val="nil"/>
              <w:bottom w:val="thinThickSmallGap" w:sz="24" w:space="0" w:color="auto"/>
              <w:right w:val="nil"/>
            </w:tcBorders>
            <w:noWrap/>
            <w:vAlign w:val="center"/>
            <w:hideMark/>
          </w:tcPr>
          <w:p w14:paraId="63C0844C"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285</w:t>
            </w:r>
          </w:p>
        </w:tc>
        <w:tc>
          <w:tcPr>
            <w:tcW w:w="761" w:type="dxa"/>
            <w:tcBorders>
              <w:top w:val="thinThickSmallGap" w:sz="24" w:space="0" w:color="auto"/>
              <w:left w:val="nil"/>
              <w:bottom w:val="thinThickSmallGap" w:sz="24" w:space="0" w:color="auto"/>
              <w:right w:val="nil"/>
            </w:tcBorders>
            <w:noWrap/>
            <w:vAlign w:val="center"/>
            <w:hideMark/>
          </w:tcPr>
          <w:p w14:paraId="6BA05124"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59,63</w:t>
            </w:r>
          </w:p>
        </w:tc>
        <w:tc>
          <w:tcPr>
            <w:tcW w:w="845" w:type="dxa"/>
            <w:tcBorders>
              <w:top w:val="thinThickSmallGap" w:sz="24" w:space="0" w:color="auto"/>
              <w:left w:val="nil"/>
              <w:bottom w:val="thinThickSmallGap" w:sz="24" w:space="0" w:color="auto"/>
              <w:right w:val="nil"/>
            </w:tcBorders>
            <w:noWrap/>
            <w:vAlign w:val="center"/>
            <w:hideMark/>
          </w:tcPr>
          <w:p w14:paraId="0055CF36"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47,9</w:t>
            </w:r>
          </w:p>
        </w:tc>
        <w:tc>
          <w:tcPr>
            <w:tcW w:w="874" w:type="dxa"/>
            <w:tcBorders>
              <w:top w:val="thinThickSmallGap" w:sz="24" w:space="0" w:color="auto"/>
              <w:left w:val="nil"/>
              <w:bottom w:val="thinThickSmallGap" w:sz="24" w:space="0" w:color="auto"/>
              <w:right w:val="nil"/>
            </w:tcBorders>
            <w:noWrap/>
            <w:vAlign w:val="center"/>
            <w:hideMark/>
          </w:tcPr>
          <w:p w14:paraId="76FB0B47"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17,07</w:t>
            </w:r>
          </w:p>
        </w:tc>
        <w:tc>
          <w:tcPr>
            <w:tcW w:w="1158" w:type="dxa"/>
            <w:tcBorders>
              <w:top w:val="thinThickSmallGap" w:sz="24" w:space="0" w:color="auto"/>
              <w:left w:val="nil"/>
              <w:bottom w:val="thinThickSmallGap" w:sz="24" w:space="0" w:color="auto"/>
              <w:right w:val="nil"/>
            </w:tcBorders>
            <w:noWrap/>
            <w:vAlign w:val="center"/>
            <w:hideMark/>
          </w:tcPr>
          <w:p w14:paraId="17EC99A2"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24,52</w:t>
            </w:r>
          </w:p>
        </w:tc>
        <w:tc>
          <w:tcPr>
            <w:tcW w:w="1014" w:type="dxa"/>
            <w:tcBorders>
              <w:top w:val="thinThickSmallGap" w:sz="24" w:space="0" w:color="auto"/>
              <w:left w:val="nil"/>
              <w:bottom w:val="thinThickSmallGap" w:sz="24" w:space="0" w:color="auto"/>
              <w:right w:val="nil"/>
            </w:tcBorders>
            <w:noWrap/>
            <w:vAlign w:val="center"/>
            <w:hideMark/>
          </w:tcPr>
          <w:p w14:paraId="6ACEA0DC"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9,12</w:t>
            </w:r>
          </w:p>
        </w:tc>
        <w:tc>
          <w:tcPr>
            <w:tcW w:w="1015" w:type="dxa"/>
            <w:tcBorders>
              <w:top w:val="thinThickSmallGap" w:sz="24" w:space="0" w:color="auto"/>
              <w:left w:val="nil"/>
              <w:bottom w:val="thinThickSmallGap" w:sz="24" w:space="0" w:color="auto"/>
              <w:right w:val="nil"/>
            </w:tcBorders>
            <w:noWrap/>
            <w:vAlign w:val="center"/>
            <w:hideMark/>
          </w:tcPr>
          <w:p w14:paraId="13FDFCEE"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16,83</w:t>
            </w:r>
          </w:p>
        </w:tc>
        <w:tc>
          <w:tcPr>
            <w:tcW w:w="1028" w:type="dxa"/>
            <w:tcBorders>
              <w:top w:val="thinThickSmallGap" w:sz="24" w:space="0" w:color="auto"/>
              <w:left w:val="nil"/>
              <w:bottom w:val="thinThickSmallGap" w:sz="24" w:space="0" w:color="auto"/>
              <w:right w:val="nil"/>
            </w:tcBorders>
            <w:noWrap/>
            <w:vAlign w:val="center"/>
            <w:hideMark/>
          </w:tcPr>
          <w:p w14:paraId="11DCE43F"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11,82</w:t>
            </w:r>
          </w:p>
        </w:tc>
        <w:tc>
          <w:tcPr>
            <w:tcW w:w="1186" w:type="dxa"/>
            <w:tcBorders>
              <w:top w:val="thinThickSmallGap" w:sz="24" w:space="0" w:color="auto"/>
              <w:left w:val="nil"/>
              <w:bottom w:val="thinThickSmallGap" w:sz="24" w:space="0" w:color="auto"/>
              <w:right w:val="nil"/>
            </w:tcBorders>
            <w:noWrap/>
            <w:vAlign w:val="center"/>
            <w:hideMark/>
          </w:tcPr>
          <w:p w14:paraId="622CF7B0"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10,69</w:t>
            </w:r>
          </w:p>
        </w:tc>
        <w:tc>
          <w:tcPr>
            <w:tcW w:w="1184" w:type="dxa"/>
            <w:tcBorders>
              <w:top w:val="thinThickSmallGap" w:sz="24" w:space="0" w:color="auto"/>
              <w:left w:val="nil"/>
              <w:bottom w:val="thinThickSmallGap" w:sz="24" w:space="0" w:color="auto"/>
              <w:right w:val="nil"/>
            </w:tcBorders>
            <w:noWrap/>
            <w:vAlign w:val="center"/>
            <w:hideMark/>
          </w:tcPr>
          <w:p w14:paraId="7226FA9E"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10,61</w:t>
            </w:r>
          </w:p>
        </w:tc>
        <w:tc>
          <w:tcPr>
            <w:tcW w:w="1800" w:type="dxa"/>
            <w:gridSpan w:val="2"/>
            <w:tcBorders>
              <w:top w:val="thinThickSmallGap" w:sz="24" w:space="0" w:color="auto"/>
              <w:left w:val="nil"/>
              <w:bottom w:val="thinThickSmallGap" w:sz="24" w:space="0" w:color="auto"/>
              <w:right w:val="nil"/>
            </w:tcBorders>
            <w:noWrap/>
            <w:vAlign w:val="center"/>
            <w:hideMark/>
          </w:tcPr>
          <w:p w14:paraId="5C697DE0"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10,13</w:t>
            </w:r>
          </w:p>
        </w:tc>
      </w:tr>
      <w:tr w:rsidR="009D5F63" w:rsidRPr="00E36686" w14:paraId="536C5145" w14:textId="77777777" w:rsidTr="009D5F63">
        <w:trPr>
          <w:trHeight w:val="473"/>
          <w:jc w:val="center"/>
        </w:trPr>
        <w:tc>
          <w:tcPr>
            <w:tcW w:w="715" w:type="dxa"/>
            <w:tcBorders>
              <w:top w:val="thinThickSmallGap" w:sz="24" w:space="0" w:color="auto"/>
              <w:left w:val="nil"/>
              <w:bottom w:val="thinThickSmallGap" w:sz="24" w:space="0" w:color="auto"/>
              <w:right w:val="nil"/>
            </w:tcBorders>
            <w:noWrap/>
            <w:vAlign w:val="center"/>
            <w:hideMark/>
          </w:tcPr>
          <w:p w14:paraId="1570EB4E" w14:textId="354B1A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P</w:t>
            </w:r>
            <w:r>
              <w:rPr>
                <w:rFonts w:ascii="Times New Roman" w:eastAsia="Times New Roman" w:hAnsi="Times New Roman" w:cs="Times New Roman"/>
                <w:b/>
                <w:bCs/>
                <w:color w:val="000000"/>
                <w:lang w:eastAsia="fr-FR"/>
              </w:rPr>
              <w:t>(Value)</w:t>
            </w:r>
          </w:p>
        </w:tc>
        <w:tc>
          <w:tcPr>
            <w:tcW w:w="967" w:type="dxa"/>
            <w:tcBorders>
              <w:top w:val="thinThickSmallGap" w:sz="24" w:space="0" w:color="auto"/>
              <w:left w:val="nil"/>
              <w:bottom w:val="thinThickSmallGap" w:sz="24" w:space="0" w:color="auto"/>
              <w:right w:val="nil"/>
            </w:tcBorders>
            <w:noWrap/>
            <w:vAlign w:val="center"/>
            <w:hideMark/>
          </w:tcPr>
          <w:p w14:paraId="27FFD4F2"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889" w:type="dxa"/>
            <w:tcBorders>
              <w:top w:val="thinThickSmallGap" w:sz="24" w:space="0" w:color="auto"/>
              <w:left w:val="nil"/>
              <w:bottom w:val="thinThickSmallGap" w:sz="24" w:space="0" w:color="auto"/>
              <w:right w:val="nil"/>
            </w:tcBorders>
            <w:noWrap/>
            <w:vAlign w:val="center"/>
            <w:hideMark/>
          </w:tcPr>
          <w:p w14:paraId="1C9917F1"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889" w:type="dxa"/>
            <w:tcBorders>
              <w:top w:val="thinThickSmallGap" w:sz="24" w:space="0" w:color="auto"/>
              <w:left w:val="nil"/>
              <w:bottom w:val="thinThickSmallGap" w:sz="24" w:space="0" w:color="auto"/>
              <w:right w:val="nil"/>
            </w:tcBorders>
            <w:noWrap/>
            <w:vAlign w:val="center"/>
            <w:hideMark/>
          </w:tcPr>
          <w:p w14:paraId="38382BBA" w14:textId="77777777" w:rsidR="009D5F63" w:rsidRPr="00E36686" w:rsidRDefault="009D5F63" w:rsidP="00C434C0">
            <w:pPr>
              <w:spacing w:after="0" w:line="240" w:lineRule="auto"/>
              <w:jc w:val="right"/>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874" w:type="dxa"/>
            <w:tcBorders>
              <w:top w:val="thinThickSmallGap" w:sz="24" w:space="0" w:color="auto"/>
              <w:left w:val="nil"/>
              <w:bottom w:val="thinThickSmallGap" w:sz="24" w:space="0" w:color="auto"/>
              <w:right w:val="nil"/>
            </w:tcBorders>
            <w:noWrap/>
            <w:vAlign w:val="center"/>
            <w:hideMark/>
          </w:tcPr>
          <w:p w14:paraId="5DF25ABB" w14:textId="77777777" w:rsidR="009D5F63" w:rsidRPr="00E36686" w:rsidRDefault="009D5F63" w:rsidP="00C434C0">
            <w:pPr>
              <w:spacing w:after="0" w:line="240" w:lineRule="auto"/>
              <w:jc w:val="right"/>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780" w:type="dxa"/>
            <w:tcBorders>
              <w:top w:val="thinThickSmallGap" w:sz="24" w:space="0" w:color="auto"/>
              <w:left w:val="nil"/>
              <w:bottom w:val="thinThickSmallGap" w:sz="24" w:space="0" w:color="auto"/>
              <w:right w:val="nil"/>
            </w:tcBorders>
            <w:noWrap/>
            <w:vAlign w:val="center"/>
            <w:hideMark/>
          </w:tcPr>
          <w:p w14:paraId="358FA1CF"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761" w:type="dxa"/>
            <w:tcBorders>
              <w:top w:val="thinThickSmallGap" w:sz="24" w:space="0" w:color="auto"/>
              <w:left w:val="nil"/>
              <w:bottom w:val="thinThickSmallGap" w:sz="24" w:space="0" w:color="auto"/>
              <w:right w:val="nil"/>
            </w:tcBorders>
            <w:noWrap/>
            <w:vAlign w:val="center"/>
            <w:hideMark/>
          </w:tcPr>
          <w:p w14:paraId="623F4EED"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845" w:type="dxa"/>
            <w:tcBorders>
              <w:top w:val="thinThickSmallGap" w:sz="24" w:space="0" w:color="auto"/>
              <w:left w:val="nil"/>
              <w:bottom w:val="thinThickSmallGap" w:sz="24" w:space="0" w:color="auto"/>
              <w:right w:val="nil"/>
            </w:tcBorders>
            <w:noWrap/>
            <w:vAlign w:val="center"/>
            <w:hideMark/>
          </w:tcPr>
          <w:p w14:paraId="31C3B3F0"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874" w:type="dxa"/>
            <w:tcBorders>
              <w:top w:val="thinThickSmallGap" w:sz="24" w:space="0" w:color="auto"/>
              <w:left w:val="nil"/>
              <w:bottom w:val="thinThickSmallGap" w:sz="24" w:space="0" w:color="auto"/>
              <w:right w:val="nil"/>
            </w:tcBorders>
            <w:noWrap/>
            <w:vAlign w:val="center"/>
            <w:hideMark/>
          </w:tcPr>
          <w:p w14:paraId="3BDACFDC"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1158" w:type="dxa"/>
            <w:tcBorders>
              <w:top w:val="thinThickSmallGap" w:sz="24" w:space="0" w:color="auto"/>
              <w:left w:val="nil"/>
              <w:bottom w:val="thinThickSmallGap" w:sz="24" w:space="0" w:color="auto"/>
              <w:right w:val="nil"/>
            </w:tcBorders>
            <w:noWrap/>
            <w:vAlign w:val="center"/>
            <w:hideMark/>
          </w:tcPr>
          <w:p w14:paraId="5465044F"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1014" w:type="dxa"/>
            <w:tcBorders>
              <w:top w:val="thinThickSmallGap" w:sz="24" w:space="0" w:color="auto"/>
              <w:left w:val="nil"/>
              <w:bottom w:val="thinThickSmallGap" w:sz="24" w:space="0" w:color="auto"/>
              <w:right w:val="nil"/>
            </w:tcBorders>
            <w:noWrap/>
            <w:vAlign w:val="center"/>
            <w:hideMark/>
          </w:tcPr>
          <w:p w14:paraId="42633F4A"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1015" w:type="dxa"/>
            <w:tcBorders>
              <w:top w:val="thinThickSmallGap" w:sz="24" w:space="0" w:color="auto"/>
              <w:left w:val="nil"/>
              <w:bottom w:val="thinThickSmallGap" w:sz="24" w:space="0" w:color="auto"/>
              <w:right w:val="nil"/>
            </w:tcBorders>
            <w:noWrap/>
            <w:vAlign w:val="center"/>
            <w:hideMark/>
          </w:tcPr>
          <w:p w14:paraId="747FC5A2"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1028" w:type="dxa"/>
            <w:tcBorders>
              <w:top w:val="thinThickSmallGap" w:sz="24" w:space="0" w:color="auto"/>
              <w:left w:val="nil"/>
              <w:bottom w:val="thinThickSmallGap" w:sz="24" w:space="0" w:color="auto"/>
              <w:right w:val="nil"/>
            </w:tcBorders>
            <w:noWrap/>
            <w:vAlign w:val="center"/>
            <w:hideMark/>
          </w:tcPr>
          <w:p w14:paraId="64CDCA31"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1186" w:type="dxa"/>
            <w:tcBorders>
              <w:top w:val="thinThickSmallGap" w:sz="24" w:space="0" w:color="auto"/>
              <w:left w:val="nil"/>
              <w:bottom w:val="thinThickSmallGap" w:sz="24" w:space="0" w:color="auto"/>
              <w:right w:val="nil"/>
            </w:tcBorders>
            <w:noWrap/>
            <w:vAlign w:val="center"/>
            <w:hideMark/>
          </w:tcPr>
          <w:p w14:paraId="45D29AD5"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1184" w:type="dxa"/>
            <w:tcBorders>
              <w:top w:val="thinThickSmallGap" w:sz="24" w:space="0" w:color="auto"/>
              <w:left w:val="nil"/>
              <w:bottom w:val="thinThickSmallGap" w:sz="24" w:space="0" w:color="auto"/>
              <w:right w:val="nil"/>
            </w:tcBorders>
            <w:noWrap/>
            <w:vAlign w:val="center"/>
            <w:hideMark/>
          </w:tcPr>
          <w:p w14:paraId="3B8ABFD6"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c>
          <w:tcPr>
            <w:tcW w:w="1800" w:type="dxa"/>
            <w:gridSpan w:val="2"/>
            <w:tcBorders>
              <w:top w:val="thinThickSmallGap" w:sz="24" w:space="0" w:color="auto"/>
              <w:left w:val="nil"/>
              <w:bottom w:val="thinThickSmallGap" w:sz="24" w:space="0" w:color="auto"/>
              <w:right w:val="nil"/>
            </w:tcBorders>
            <w:noWrap/>
            <w:vAlign w:val="center"/>
            <w:hideMark/>
          </w:tcPr>
          <w:p w14:paraId="54EE4224"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p>
        </w:tc>
      </w:tr>
    </w:tbl>
    <w:p w14:paraId="70B781A2" w14:textId="29B7CBC3" w:rsidR="009D5F63" w:rsidRDefault="009D5F63" w:rsidP="00527086">
      <w:pPr>
        <w:spacing w:line="360" w:lineRule="auto"/>
        <w:jc w:val="both"/>
        <w:rPr>
          <w:rFonts w:ascii="Times New Roman" w:hAnsi="Times New Roman" w:cs="Times New Roman"/>
          <w:sz w:val="24"/>
          <w:szCs w:val="24"/>
        </w:rPr>
      </w:pPr>
      <w:r w:rsidRPr="009D5F63">
        <w:rPr>
          <w:rFonts w:ascii="Times New Roman" w:hAnsi="Times New Roman" w:cs="Times New Roman"/>
          <w:sz w:val="18"/>
          <w:szCs w:val="18"/>
        </w:rPr>
        <w:t>For each character, values marked with the same letters are statistically equal using Turkey's method. ***: significant at 5%, APS: appearance of secondary shoots; Bflo: flower bud; Flor: flowering; Fruc: fruiting; Mat: Maturation. , Lfo: leaflet length, Laf: leaflet width; Lpet: petiole length; DiaT: stem diameter; NbrB: number of branches, NFle: number of flowers, Lac: canopy width, HPPl: plant height T0: control, T1: NPK; T2: Urea, T3: Composted poultry manure, T4: Composted cow manure, T5: Combination of NPK and composted cow manure, and T6: Combination of composted cow manure and composted poultry manure</w:t>
      </w:r>
    </w:p>
    <w:p w14:paraId="392A4232" w14:textId="253A5095" w:rsidR="009D5F63" w:rsidRDefault="009D5F63" w:rsidP="00527086">
      <w:pPr>
        <w:spacing w:line="360" w:lineRule="auto"/>
        <w:jc w:val="both"/>
        <w:rPr>
          <w:rFonts w:ascii="Times New Roman" w:hAnsi="Times New Roman" w:cs="Times New Roman"/>
          <w:sz w:val="24"/>
          <w:szCs w:val="24"/>
        </w:rPr>
      </w:pPr>
    </w:p>
    <w:p w14:paraId="79697942" w14:textId="77777777" w:rsidR="009D5F63" w:rsidRDefault="009D5F63" w:rsidP="00527086">
      <w:pPr>
        <w:spacing w:line="360" w:lineRule="auto"/>
        <w:jc w:val="both"/>
        <w:rPr>
          <w:rFonts w:ascii="Times New Roman" w:hAnsi="Times New Roman" w:cs="Times New Roman"/>
          <w:sz w:val="24"/>
          <w:szCs w:val="24"/>
        </w:rPr>
        <w:sectPr w:rsidR="009D5F63" w:rsidSect="00527086">
          <w:pgSz w:w="16838" w:h="11906" w:orient="landscape"/>
          <w:pgMar w:top="1418" w:right="1418" w:bottom="1418" w:left="1418" w:header="709" w:footer="709" w:gutter="0"/>
          <w:cols w:space="708"/>
          <w:docGrid w:linePitch="360"/>
        </w:sectPr>
      </w:pPr>
    </w:p>
    <w:p w14:paraId="7516AFD9" w14:textId="7812F7B7" w:rsidR="009D5F63" w:rsidRDefault="009D5F63" w:rsidP="00527086">
      <w:pPr>
        <w:spacing w:line="360" w:lineRule="auto"/>
        <w:jc w:val="both"/>
        <w:rPr>
          <w:rFonts w:ascii="Times New Roman" w:hAnsi="Times New Roman" w:cs="Times New Roman"/>
          <w:b/>
          <w:bCs/>
          <w:i/>
          <w:iCs/>
          <w:sz w:val="24"/>
          <w:szCs w:val="24"/>
        </w:rPr>
      </w:pPr>
      <w:r w:rsidRPr="009D5F63">
        <w:rPr>
          <w:rFonts w:ascii="Times New Roman" w:hAnsi="Times New Roman" w:cs="Times New Roman"/>
          <w:b/>
          <w:bCs/>
          <w:i/>
          <w:iCs/>
          <w:sz w:val="24"/>
          <w:szCs w:val="24"/>
        </w:rPr>
        <w:lastRenderedPageBreak/>
        <w:t>2.1.3. Effect of fertilizers on yield parameters of Mirriah chili peppers</w:t>
      </w:r>
    </w:p>
    <w:p w14:paraId="0AB1C10B" w14:textId="77777777" w:rsidR="001841DC" w:rsidRDefault="00376705" w:rsidP="00527086">
      <w:pPr>
        <w:spacing w:line="360" w:lineRule="auto"/>
        <w:jc w:val="both"/>
        <w:rPr>
          <w:rFonts w:ascii="Times New Roman" w:hAnsi="Times New Roman" w:cs="Times New Roman"/>
          <w:sz w:val="24"/>
          <w:szCs w:val="24"/>
        </w:rPr>
      </w:pPr>
      <w:r w:rsidRPr="00376705">
        <w:rPr>
          <w:rFonts w:ascii="Times New Roman" w:hAnsi="Times New Roman" w:cs="Times New Roman"/>
          <w:sz w:val="24"/>
          <w:szCs w:val="24"/>
        </w:rPr>
        <w:t>The analyses of variance for quantitative fruit characteristics are summarized in Table 6.</w:t>
      </w:r>
      <w:r w:rsidR="001841DC">
        <w:rPr>
          <w:rFonts w:ascii="Times New Roman" w:hAnsi="Times New Roman" w:cs="Times New Roman"/>
          <w:sz w:val="24"/>
          <w:szCs w:val="24"/>
        </w:rPr>
        <w:t xml:space="preserve"> </w:t>
      </w:r>
      <w:r w:rsidRPr="00376705">
        <w:rPr>
          <w:rFonts w:ascii="Times New Roman" w:hAnsi="Times New Roman" w:cs="Times New Roman"/>
          <w:sz w:val="24"/>
          <w:szCs w:val="24"/>
        </w:rPr>
        <w:t>A significant difference (p=0.000) was observed for each trait. For peduncle length, treatments T6, T3, and T4 showed the highest values, with averages of 2.24, 2.08, and 2.05 cm, respectively, while the lowest average value was observed for T0, at 1.78 cm.</w:t>
      </w:r>
      <w:r w:rsidR="001841DC">
        <w:rPr>
          <w:rFonts w:ascii="Times New Roman" w:hAnsi="Times New Roman" w:cs="Times New Roman"/>
          <w:sz w:val="24"/>
          <w:szCs w:val="24"/>
        </w:rPr>
        <w:t xml:space="preserve"> </w:t>
      </w:r>
      <w:r w:rsidR="001841DC" w:rsidRPr="001841DC">
        <w:rPr>
          <w:rFonts w:ascii="Times New Roman" w:hAnsi="Times New Roman" w:cs="Times New Roman"/>
          <w:sz w:val="24"/>
          <w:szCs w:val="24"/>
        </w:rPr>
        <w:t>Conversely, in terms of fruit diameter, T3 recorded the highest average value at 0.94 cm. Treatments T6 and T4 had intermediate values, each recording an average of 0.81 cm.</w:t>
      </w:r>
      <w:r w:rsidR="001841DC">
        <w:rPr>
          <w:rFonts w:ascii="Times New Roman" w:hAnsi="Times New Roman" w:cs="Times New Roman"/>
          <w:sz w:val="24"/>
          <w:szCs w:val="24"/>
        </w:rPr>
        <w:t xml:space="preserve"> </w:t>
      </w:r>
      <w:r w:rsidR="001841DC" w:rsidRPr="001841DC">
        <w:rPr>
          <w:rFonts w:ascii="Times New Roman" w:hAnsi="Times New Roman" w:cs="Times New Roman"/>
          <w:sz w:val="24"/>
          <w:szCs w:val="24"/>
        </w:rPr>
        <w:t>However, the highest averages for fruit length were recorded in treatments T3 and T4, with approximate values of 6.44 and 6.39 cm, while the lowest average was recorded in treatment T0, with 4.96 cm.</w:t>
      </w:r>
      <w:r w:rsidR="001841DC">
        <w:rPr>
          <w:rFonts w:ascii="Times New Roman" w:hAnsi="Times New Roman" w:cs="Times New Roman"/>
          <w:sz w:val="24"/>
          <w:szCs w:val="24"/>
        </w:rPr>
        <w:t xml:space="preserve"> </w:t>
      </w:r>
      <w:r w:rsidR="001841DC" w:rsidRPr="001841DC">
        <w:rPr>
          <w:rFonts w:ascii="Times New Roman" w:hAnsi="Times New Roman" w:cs="Times New Roman"/>
          <w:sz w:val="24"/>
          <w:szCs w:val="24"/>
        </w:rPr>
        <w:t>As for fruit weight per plant, the averages vary between 3.02 and 1.77 g. The highest value was observed in T3, which had an average of 3.02 g, followed by T6 and T2 with averages of 2.2 and 2.15 g, respectively.</w:t>
      </w:r>
      <w:r w:rsidR="001841DC">
        <w:rPr>
          <w:rFonts w:ascii="Times New Roman" w:hAnsi="Times New Roman" w:cs="Times New Roman"/>
          <w:sz w:val="24"/>
          <w:szCs w:val="24"/>
        </w:rPr>
        <w:t xml:space="preserve"> </w:t>
      </w:r>
      <w:r w:rsidR="001841DC" w:rsidRPr="008B5697">
        <w:rPr>
          <w:rFonts w:ascii="Times New Roman" w:hAnsi="Times New Roman" w:cs="Times New Roman"/>
          <w:sz w:val="24"/>
          <w:szCs w:val="24"/>
        </w:rPr>
        <w:t>. Les T4, T1 et T5 ont enregistré respectivement des moyennes d</w:t>
      </w:r>
      <w:r w:rsidR="001841DC">
        <w:rPr>
          <w:rFonts w:ascii="Times New Roman" w:hAnsi="Times New Roman" w:cs="Times New Roman"/>
          <w:sz w:val="24"/>
          <w:szCs w:val="24"/>
        </w:rPr>
        <w:t>e 2,03 ;</w:t>
      </w:r>
      <w:r w:rsidR="001841DC" w:rsidRPr="008B5697">
        <w:rPr>
          <w:rFonts w:ascii="Times New Roman" w:hAnsi="Times New Roman" w:cs="Times New Roman"/>
          <w:sz w:val="24"/>
          <w:szCs w:val="24"/>
        </w:rPr>
        <w:t xml:space="preserve"> 1,98 et 1,91g et le T0 qui a eu la faible valeur avec une moyenne de 1,77g.</w:t>
      </w:r>
      <w:r w:rsidR="001841DC">
        <w:rPr>
          <w:rFonts w:ascii="Times New Roman" w:hAnsi="Times New Roman" w:cs="Times New Roman"/>
          <w:sz w:val="24"/>
          <w:szCs w:val="24"/>
        </w:rPr>
        <w:t xml:space="preserve"> </w:t>
      </w:r>
    </w:p>
    <w:p w14:paraId="005B1B20" w14:textId="21D0E905" w:rsidR="009D5F63" w:rsidRDefault="00563E01" w:rsidP="00527086">
      <w:pPr>
        <w:spacing w:line="360" w:lineRule="auto"/>
        <w:jc w:val="both"/>
        <w:rPr>
          <w:rFonts w:ascii="Times New Roman" w:hAnsi="Times New Roman" w:cs="Times New Roman"/>
          <w:sz w:val="24"/>
          <w:szCs w:val="24"/>
        </w:rPr>
      </w:pPr>
      <w:r w:rsidRPr="00563E01">
        <w:rPr>
          <w:rFonts w:ascii="Times New Roman" w:hAnsi="Times New Roman" w:cs="Times New Roman"/>
          <w:sz w:val="24"/>
          <w:szCs w:val="24"/>
        </w:rPr>
        <w:t>In terms of the number of seeds per fruit, treatment T3 recorded the highest value with an average of 79.33. This was followed by T4, T5, T1, T6, T2, and T0 with averages of 67.81, 53.42, 50.39, 49.81, 46.75, and 42.08, respectively.</w:t>
      </w:r>
      <w:r>
        <w:rPr>
          <w:rFonts w:ascii="Times New Roman" w:hAnsi="Times New Roman" w:cs="Times New Roman"/>
          <w:sz w:val="24"/>
          <w:szCs w:val="24"/>
        </w:rPr>
        <w:t xml:space="preserve"> </w:t>
      </w:r>
      <w:r w:rsidRPr="00563E01">
        <w:rPr>
          <w:rFonts w:ascii="Times New Roman" w:hAnsi="Times New Roman" w:cs="Times New Roman"/>
          <w:sz w:val="24"/>
          <w:szCs w:val="24"/>
        </w:rPr>
        <w:t>In terms of the weight of a thousand seeds, the best average was observed in T5 with 3.50 g, followed by T6 and T5 with 3.27 and 3.15 g respectively.</w:t>
      </w:r>
      <w:r>
        <w:rPr>
          <w:rFonts w:ascii="Times New Roman" w:hAnsi="Times New Roman" w:cs="Times New Roman"/>
          <w:sz w:val="24"/>
          <w:szCs w:val="24"/>
        </w:rPr>
        <w:t xml:space="preserve"> </w:t>
      </w:r>
      <w:r w:rsidRPr="00563E01">
        <w:rPr>
          <w:rFonts w:ascii="Times New Roman" w:hAnsi="Times New Roman" w:cs="Times New Roman"/>
          <w:sz w:val="24"/>
          <w:szCs w:val="24"/>
        </w:rPr>
        <w:t>The low average for P1000 seeds is observed at T2 with 2.7 g.</w:t>
      </w:r>
      <w:r>
        <w:rPr>
          <w:rFonts w:ascii="Times New Roman" w:hAnsi="Times New Roman" w:cs="Times New Roman"/>
          <w:sz w:val="24"/>
          <w:szCs w:val="24"/>
        </w:rPr>
        <w:t xml:space="preserve"> </w:t>
      </w:r>
      <w:r w:rsidRPr="00563E01">
        <w:rPr>
          <w:rFonts w:ascii="Times New Roman" w:hAnsi="Times New Roman" w:cs="Times New Roman"/>
          <w:sz w:val="24"/>
          <w:szCs w:val="24"/>
        </w:rPr>
        <w:t>Regarding the number of fruits per plant, T3, T6, and T4 stood out from the other treatments with averages of 87.97, 64.75, and 64.42, respectively. T5 recorded an intermediate average of 48.5, followed by T1 and T2, which had respective averages of 44.772 and 42.39.</w:t>
      </w:r>
      <w:r>
        <w:rPr>
          <w:rFonts w:ascii="Times New Roman" w:hAnsi="Times New Roman" w:cs="Times New Roman"/>
          <w:sz w:val="24"/>
          <w:szCs w:val="24"/>
        </w:rPr>
        <w:t xml:space="preserve"> </w:t>
      </w:r>
      <w:r w:rsidRPr="00563E01">
        <w:rPr>
          <w:rFonts w:ascii="Times New Roman" w:hAnsi="Times New Roman" w:cs="Times New Roman"/>
          <w:sz w:val="24"/>
          <w:szCs w:val="24"/>
        </w:rPr>
        <w:t>Finally, T0 recorded the lowest average value for this parameter, at 11.22. In terms of total fruit weight per plant, T3 recorded the highest PTFP, with an average of 266.85g.</w:t>
      </w:r>
      <w:r>
        <w:rPr>
          <w:rFonts w:ascii="Times New Roman" w:hAnsi="Times New Roman" w:cs="Times New Roman"/>
          <w:sz w:val="24"/>
          <w:szCs w:val="24"/>
        </w:rPr>
        <w:t xml:space="preserve"> </w:t>
      </w:r>
      <w:r w:rsidRPr="00563E01">
        <w:rPr>
          <w:rFonts w:ascii="Times New Roman" w:hAnsi="Times New Roman" w:cs="Times New Roman"/>
          <w:sz w:val="24"/>
          <w:szCs w:val="24"/>
        </w:rPr>
        <w:t>It is followed by T6 and T4, which had averages of 148.45g and 130g, respectively. Treatments T2, T5, and T1 had averages of 93.73g, 93.22g, and 89.79g, respectively, and T0 had an average of 20.58g.</w:t>
      </w:r>
      <w:r>
        <w:rPr>
          <w:rFonts w:ascii="Times New Roman" w:hAnsi="Times New Roman" w:cs="Times New Roman"/>
          <w:sz w:val="24"/>
          <w:szCs w:val="24"/>
        </w:rPr>
        <w:t xml:space="preserve"> </w:t>
      </w:r>
      <w:r w:rsidRPr="00563E01">
        <w:rPr>
          <w:rFonts w:ascii="Times New Roman" w:hAnsi="Times New Roman" w:cs="Times New Roman"/>
          <w:sz w:val="24"/>
          <w:szCs w:val="24"/>
        </w:rPr>
        <w:t>Nevertheless, for the estimated yields per plot in kg/ha, we see that T3 obtained the highest value with an average of 21,348.18 kg/ha, followed by T6, which had an average of 11,876.02 kg/ha.</w:t>
      </w:r>
      <w:r>
        <w:rPr>
          <w:rFonts w:ascii="Times New Roman" w:hAnsi="Times New Roman" w:cs="Times New Roman"/>
          <w:sz w:val="24"/>
          <w:szCs w:val="24"/>
        </w:rPr>
        <w:t xml:space="preserve"> </w:t>
      </w:r>
      <w:r w:rsidRPr="00563E01">
        <w:rPr>
          <w:rFonts w:ascii="Times New Roman" w:hAnsi="Times New Roman" w:cs="Times New Roman"/>
          <w:sz w:val="24"/>
          <w:szCs w:val="24"/>
        </w:rPr>
        <w:t>T4 recorded an average of 10,399.84 kg/ha, while T2, T5, and T1 recorded averages of 7,498.76 kg/ha, 7,457.84 kg/ha, and 7,183.4 kg/ha, respectively. The lowest value was observed in T0, with a low average of 1,646.09 kg/ha.</w:t>
      </w:r>
      <w:r>
        <w:rPr>
          <w:rFonts w:ascii="Times New Roman" w:hAnsi="Times New Roman" w:cs="Times New Roman"/>
          <w:sz w:val="24"/>
          <w:szCs w:val="24"/>
        </w:rPr>
        <w:t xml:space="preserve"> </w:t>
      </w:r>
    </w:p>
    <w:p w14:paraId="66882D7F" w14:textId="11464DD3" w:rsidR="00563E01" w:rsidRDefault="00563E01" w:rsidP="00527086">
      <w:pPr>
        <w:spacing w:line="360" w:lineRule="auto"/>
        <w:jc w:val="both"/>
        <w:rPr>
          <w:rFonts w:ascii="Times New Roman" w:hAnsi="Times New Roman" w:cs="Times New Roman"/>
          <w:sz w:val="24"/>
          <w:szCs w:val="24"/>
        </w:rPr>
      </w:pPr>
    </w:p>
    <w:p w14:paraId="51244A01" w14:textId="77777777" w:rsidR="00563E01" w:rsidRDefault="00563E01" w:rsidP="00527086">
      <w:pPr>
        <w:spacing w:line="360" w:lineRule="auto"/>
        <w:jc w:val="both"/>
        <w:rPr>
          <w:rFonts w:ascii="Times New Roman" w:hAnsi="Times New Roman" w:cs="Times New Roman"/>
          <w:sz w:val="24"/>
          <w:szCs w:val="24"/>
        </w:rPr>
      </w:pPr>
    </w:p>
    <w:p w14:paraId="3EF9A3FD" w14:textId="7837E499" w:rsidR="00563E01" w:rsidRDefault="00563E01" w:rsidP="00527086">
      <w:pPr>
        <w:spacing w:line="360" w:lineRule="auto"/>
        <w:jc w:val="both"/>
        <w:rPr>
          <w:rFonts w:ascii="Times New Roman" w:hAnsi="Times New Roman" w:cs="Times New Roman"/>
          <w:sz w:val="24"/>
          <w:szCs w:val="24"/>
        </w:rPr>
      </w:pPr>
      <w:r w:rsidRPr="00563E01">
        <w:rPr>
          <w:rFonts w:ascii="Times New Roman" w:hAnsi="Times New Roman" w:cs="Times New Roman"/>
          <w:b/>
          <w:bCs/>
          <w:sz w:val="24"/>
          <w:szCs w:val="24"/>
        </w:rPr>
        <w:lastRenderedPageBreak/>
        <w:t>Table 6 :</w:t>
      </w:r>
      <w:r w:rsidRPr="00563E01">
        <w:rPr>
          <w:rFonts w:ascii="Times New Roman" w:hAnsi="Times New Roman" w:cs="Times New Roman"/>
          <w:sz w:val="24"/>
          <w:szCs w:val="24"/>
        </w:rPr>
        <w:t xml:space="preserve"> Performance of Mirriah pepper yield parameters according to treatment.</w:t>
      </w:r>
    </w:p>
    <w:tbl>
      <w:tblPr>
        <w:tblW w:w="9807" w:type="dxa"/>
        <w:tblInd w:w="-142" w:type="dxa"/>
        <w:tblCellMar>
          <w:left w:w="70" w:type="dxa"/>
          <w:right w:w="70" w:type="dxa"/>
        </w:tblCellMar>
        <w:tblLook w:val="04A0" w:firstRow="1" w:lastRow="0" w:firstColumn="1" w:lastColumn="0" w:noHBand="0" w:noVBand="1"/>
      </w:tblPr>
      <w:tblGrid>
        <w:gridCol w:w="896"/>
        <w:gridCol w:w="879"/>
        <w:gridCol w:w="733"/>
        <w:gridCol w:w="733"/>
        <w:gridCol w:w="733"/>
        <w:gridCol w:w="1075"/>
        <w:gridCol w:w="959"/>
        <w:gridCol w:w="889"/>
        <w:gridCol w:w="893"/>
        <w:gridCol w:w="1571"/>
        <w:gridCol w:w="499"/>
      </w:tblGrid>
      <w:tr w:rsidR="00563E01" w:rsidRPr="00737ADE" w14:paraId="53A56867" w14:textId="77777777" w:rsidTr="00C434C0">
        <w:trPr>
          <w:trHeight w:val="334"/>
        </w:trPr>
        <w:tc>
          <w:tcPr>
            <w:tcW w:w="843" w:type="dxa"/>
            <w:tcBorders>
              <w:top w:val="thinThickSmallGap" w:sz="24" w:space="0" w:color="auto"/>
              <w:left w:val="nil"/>
              <w:bottom w:val="thinThickSmallGap" w:sz="24" w:space="0" w:color="auto"/>
              <w:right w:val="nil"/>
            </w:tcBorders>
            <w:noWrap/>
            <w:vAlign w:val="bottom"/>
            <w:hideMark/>
          </w:tcPr>
          <w:p w14:paraId="0D4EC85B" w14:textId="77777777" w:rsidR="00563E01" w:rsidRPr="00737ADE" w:rsidRDefault="00563E01" w:rsidP="00C434C0">
            <w:pPr>
              <w:spacing w:after="0" w:line="240" w:lineRule="auto"/>
              <w:rPr>
                <w:rFonts w:ascii="Times New Roman" w:eastAsia="Times New Roman" w:hAnsi="Times New Roman" w:cs="Times New Roman"/>
                <w:sz w:val="20"/>
                <w:szCs w:val="20"/>
                <w:lang w:eastAsia="fr-FR"/>
              </w:rPr>
            </w:pPr>
            <w:r w:rsidRPr="00737ADE">
              <w:rPr>
                <w:rFonts w:ascii="Times New Roman" w:eastAsia="Times New Roman" w:hAnsi="Times New Roman" w:cs="Times New Roman"/>
                <w:b/>
                <w:bCs/>
                <w:color w:val="000000"/>
                <w:sz w:val="20"/>
                <w:szCs w:val="20"/>
                <w:lang w:eastAsia="fr-FR"/>
              </w:rPr>
              <w:t>Tr</w:t>
            </w:r>
            <w:r>
              <w:rPr>
                <w:rFonts w:ascii="Times New Roman" w:eastAsia="Times New Roman" w:hAnsi="Times New Roman" w:cs="Times New Roman"/>
                <w:b/>
                <w:bCs/>
                <w:color w:val="000000"/>
                <w:sz w:val="20"/>
                <w:szCs w:val="20"/>
                <w:lang w:eastAsia="fr-FR"/>
              </w:rPr>
              <w:t>ai</w:t>
            </w:r>
            <w:r w:rsidRPr="00737ADE">
              <w:rPr>
                <w:rFonts w:ascii="Times New Roman" w:eastAsia="Times New Roman" w:hAnsi="Times New Roman" w:cs="Times New Roman"/>
                <w:b/>
                <w:bCs/>
                <w:color w:val="000000"/>
                <w:sz w:val="20"/>
                <w:szCs w:val="20"/>
                <w:lang w:eastAsia="fr-FR"/>
              </w:rPr>
              <w:t>ts</w:t>
            </w:r>
          </w:p>
        </w:tc>
        <w:tc>
          <w:tcPr>
            <w:tcW w:w="879" w:type="dxa"/>
            <w:tcBorders>
              <w:top w:val="thinThickSmallGap" w:sz="24" w:space="0" w:color="auto"/>
              <w:left w:val="nil"/>
              <w:bottom w:val="thinThickSmallGap" w:sz="24" w:space="0" w:color="auto"/>
              <w:right w:val="nil"/>
            </w:tcBorders>
            <w:noWrap/>
            <w:vAlign w:val="center"/>
            <w:hideMark/>
          </w:tcPr>
          <w:p w14:paraId="22690CD9"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Lp</w:t>
            </w:r>
            <w:r>
              <w:rPr>
                <w:rFonts w:ascii="Times New Roman" w:eastAsia="Times New Roman" w:hAnsi="Times New Roman" w:cs="Times New Roman"/>
                <w:b/>
                <w:bCs/>
                <w:color w:val="000000"/>
                <w:sz w:val="20"/>
                <w:szCs w:val="20"/>
                <w:lang w:eastAsia="fr-FR"/>
              </w:rPr>
              <w:t>e</w:t>
            </w:r>
            <w:r w:rsidRPr="00737ADE">
              <w:rPr>
                <w:rFonts w:ascii="Times New Roman" w:eastAsia="Times New Roman" w:hAnsi="Times New Roman" w:cs="Times New Roman"/>
                <w:b/>
                <w:bCs/>
                <w:color w:val="000000"/>
                <w:sz w:val="20"/>
                <w:szCs w:val="20"/>
                <w:lang w:eastAsia="fr-FR"/>
              </w:rPr>
              <w:t>d</w:t>
            </w:r>
          </w:p>
          <w:p w14:paraId="331EA6BE" w14:textId="4E302478"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733" w:type="dxa"/>
            <w:tcBorders>
              <w:top w:val="thinThickSmallGap" w:sz="24" w:space="0" w:color="auto"/>
              <w:left w:val="nil"/>
              <w:bottom w:val="thinThickSmallGap" w:sz="24" w:space="0" w:color="auto"/>
              <w:right w:val="nil"/>
            </w:tcBorders>
            <w:noWrap/>
            <w:vAlign w:val="center"/>
            <w:hideMark/>
          </w:tcPr>
          <w:p w14:paraId="39EF8C8F"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DiaFr</w:t>
            </w:r>
          </w:p>
          <w:p w14:paraId="35F01301" w14:textId="7C5CF695"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733" w:type="dxa"/>
            <w:tcBorders>
              <w:top w:val="thinThickSmallGap" w:sz="24" w:space="0" w:color="auto"/>
              <w:left w:val="nil"/>
              <w:bottom w:val="thinThickSmallGap" w:sz="24" w:space="0" w:color="auto"/>
              <w:right w:val="nil"/>
            </w:tcBorders>
            <w:noWrap/>
            <w:vAlign w:val="center"/>
            <w:hideMark/>
          </w:tcPr>
          <w:p w14:paraId="5615EB06"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L</w:t>
            </w:r>
            <w:r>
              <w:rPr>
                <w:rFonts w:ascii="Times New Roman" w:eastAsia="Times New Roman" w:hAnsi="Times New Roman" w:cs="Times New Roman"/>
                <w:b/>
                <w:bCs/>
                <w:color w:val="000000"/>
                <w:sz w:val="20"/>
                <w:szCs w:val="20"/>
                <w:lang w:eastAsia="fr-FR"/>
              </w:rPr>
              <w:t>o</w:t>
            </w:r>
            <w:r w:rsidRPr="00737ADE">
              <w:rPr>
                <w:rFonts w:ascii="Times New Roman" w:eastAsia="Times New Roman" w:hAnsi="Times New Roman" w:cs="Times New Roman"/>
                <w:b/>
                <w:bCs/>
                <w:color w:val="000000"/>
                <w:sz w:val="20"/>
                <w:szCs w:val="20"/>
                <w:lang w:eastAsia="fr-FR"/>
              </w:rPr>
              <w:t>fr</w:t>
            </w:r>
          </w:p>
          <w:p w14:paraId="21E620F8" w14:textId="028440C6"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733" w:type="dxa"/>
            <w:tcBorders>
              <w:top w:val="thinThickSmallGap" w:sz="24" w:space="0" w:color="auto"/>
              <w:left w:val="nil"/>
              <w:bottom w:val="thinThickSmallGap" w:sz="24" w:space="0" w:color="auto"/>
              <w:right w:val="nil"/>
            </w:tcBorders>
            <w:noWrap/>
            <w:vAlign w:val="center"/>
            <w:hideMark/>
          </w:tcPr>
          <w:p w14:paraId="148B9121"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PFrP</w:t>
            </w:r>
          </w:p>
          <w:p w14:paraId="494B59F5" w14:textId="22F8B034"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1075" w:type="dxa"/>
            <w:tcBorders>
              <w:top w:val="thinThickSmallGap" w:sz="24" w:space="0" w:color="auto"/>
              <w:left w:val="nil"/>
              <w:bottom w:val="thinThickSmallGap" w:sz="24" w:space="0" w:color="auto"/>
              <w:right w:val="nil"/>
            </w:tcBorders>
            <w:noWrap/>
            <w:vAlign w:val="center"/>
            <w:hideMark/>
          </w:tcPr>
          <w:p w14:paraId="6AC6E3F8"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NbgrF</w:t>
            </w:r>
          </w:p>
          <w:p w14:paraId="6B24845F" w14:textId="5FF0AA17"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959" w:type="dxa"/>
            <w:tcBorders>
              <w:top w:val="thinThickSmallGap" w:sz="24" w:space="0" w:color="auto"/>
              <w:left w:val="nil"/>
              <w:bottom w:val="thinThickSmallGap" w:sz="24" w:space="0" w:color="auto"/>
              <w:right w:val="nil"/>
            </w:tcBorders>
            <w:noWrap/>
            <w:vAlign w:val="center"/>
            <w:hideMark/>
          </w:tcPr>
          <w:p w14:paraId="72F72446"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P1000</w:t>
            </w:r>
            <w:r w:rsidRPr="00737ADE">
              <w:rPr>
                <w:rFonts w:ascii="Times New Roman" w:eastAsia="Times New Roman" w:hAnsi="Times New Roman" w:cs="Times New Roman"/>
                <w:b/>
                <w:bCs/>
                <w:color w:val="000000"/>
                <w:sz w:val="20"/>
                <w:szCs w:val="20"/>
                <w:lang w:eastAsia="fr-FR"/>
              </w:rPr>
              <w:t>Gr</w:t>
            </w:r>
          </w:p>
          <w:p w14:paraId="0E3783B3" w14:textId="32DC248B"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889" w:type="dxa"/>
            <w:tcBorders>
              <w:top w:val="thinThickSmallGap" w:sz="24" w:space="0" w:color="auto"/>
              <w:left w:val="nil"/>
              <w:bottom w:val="thinThickSmallGap" w:sz="24" w:space="0" w:color="auto"/>
              <w:right w:val="nil"/>
            </w:tcBorders>
            <w:noWrap/>
            <w:vAlign w:val="center"/>
            <w:hideMark/>
          </w:tcPr>
          <w:p w14:paraId="02C41DA8"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NF</w:t>
            </w:r>
            <w:r>
              <w:rPr>
                <w:rFonts w:ascii="Times New Roman" w:eastAsia="Times New Roman" w:hAnsi="Times New Roman" w:cs="Times New Roman"/>
                <w:b/>
                <w:bCs/>
                <w:color w:val="000000"/>
                <w:sz w:val="20"/>
                <w:szCs w:val="20"/>
                <w:lang w:eastAsia="fr-FR"/>
              </w:rPr>
              <w:t>r</w:t>
            </w:r>
            <w:r w:rsidRPr="00737ADE">
              <w:rPr>
                <w:rFonts w:ascii="Times New Roman" w:eastAsia="Times New Roman" w:hAnsi="Times New Roman" w:cs="Times New Roman"/>
                <w:b/>
                <w:bCs/>
                <w:color w:val="000000"/>
                <w:sz w:val="20"/>
                <w:szCs w:val="20"/>
                <w:lang w:eastAsia="fr-FR"/>
              </w:rPr>
              <w:t>P</w:t>
            </w:r>
          </w:p>
          <w:p w14:paraId="38B26F47" w14:textId="4717B49B"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893" w:type="dxa"/>
            <w:tcBorders>
              <w:top w:val="thinThickSmallGap" w:sz="24" w:space="0" w:color="auto"/>
              <w:left w:val="nil"/>
              <w:bottom w:val="thinThickSmallGap" w:sz="24" w:space="0" w:color="auto"/>
              <w:right w:val="nil"/>
            </w:tcBorders>
            <w:noWrap/>
            <w:vAlign w:val="center"/>
            <w:hideMark/>
          </w:tcPr>
          <w:p w14:paraId="3063C7F2"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PTFP</w:t>
            </w:r>
          </w:p>
          <w:p w14:paraId="7EFA4E86" w14:textId="6E026E5B"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2070" w:type="dxa"/>
            <w:gridSpan w:val="2"/>
            <w:tcBorders>
              <w:top w:val="thinThickSmallGap" w:sz="24" w:space="0" w:color="auto"/>
              <w:left w:val="nil"/>
              <w:bottom w:val="thinThickSmallGap" w:sz="24" w:space="0" w:color="auto"/>
              <w:right w:val="nil"/>
            </w:tcBorders>
            <w:noWrap/>
            <w:vAlign w:val="center"/>
            <w:hideMark/>
          </w:tcPr>
          <w:p w14:paraId="63A3730C"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R</w:t>
            </w:r>
            <w:r w:rsidRPr="00737ADE">
              <w:rPr>
                <w:rFonts w:ascii="Times New Roman" w:eastAsia="Times New Roman" w:hAnsi="Times New Roman" w:cs="Times New Roman"/>
                <w:b/>
                <w:bCs/>
                <w:color w:val="000000"/>
                <w:sz w:val="20"/>
                <w:szCs w:val="20"/>
                <w:lang w:eastAsia="fr-FR"/>
              </w:rPr>
              <w:t>d</w:t>
            </w:r>
            <w:r>
              <w:rPr>
                <w:rFonts w:ascii="Times New Roman" w:eastAsia="Times New Roman" w:hAnsi="Times New Roman" w:cs="Times New Roman"/>
                <w:b/>
                <w:bCs/>
                <w:color w:val="000000"/>
                <w:sz w:val="20"/>
                <w:szCs w:val="20"/>
                <w:lang w:eastAsia="fr-FR"/>
              </w:rPr>
              <w:t>t</w:t>
            </w:r>
            <w:r w:rsidRPr="00737ADE">
              <w:rPr>
                <w:rFonts w:ascii="Times New Roman" w:eastAsia="Times New Roman" w:hAnsi="Times New Roman" w:cs="Times New Roman"/>
                <w:b/>
                <w:bCs/>
                <w:color w:val="000000"/>
                <w:sz w:val="20"/>
                <w:szCs w:val="20"/>
                <w:lang w:eastAsia="fr-FR"/>
              </w:rPr>
              <w:t>, Kg/ha</w:t>
            </w:r>
          </w:p>
          <w:p w14:paraId="108183AE" w14:textId="233186D1"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r>
      <w:tr w:rsidR="00563E01" w:rsidRPr="00737ADE" w14:paraId="20C81A78" w14:textId="77777777" w:rsidTr="00C434C0">
        <w:trPr>
          <w:trHeight w:val="319"/>
        </w:trPr>
        <w:tc>
          <w:tcPr>
            <w:tcW w:w="843" w:type="dxa"/>
            <w:tcBorders>
              <w:top w:val="thinThickSmallGap" w:sz="24" w:space="0" w:color="auto"/>
              <w:left w:val="nil"/>
              <w:bottom w:val="nil"/>
              <w:right w:val="nil"/>
            </w:tcBorders>
            <w:noWrap/>
            <w:vAlign w:val="center"/>
            <w:hideMark/>
          </w:tcPr>
          <w:p w14:paraId="0BA3081F"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T0</w:t>
            </w:r>
          </w:p>
        </w:tc>
        <w:tc>
          <w:tcPr>
            <w:tcW w:w="879" w:type="dxa"/>
            <w:tcBorders>
              <w:top w:val="thinThickSmallGap" w:sz="24" w:space="0" w:color="auto"/>
              <w:left w:val="nil"/>
              <w:bottom w:val="nil"/>
              <w:right w:val="nil"/>
            </w:tcBorders>
            <w:noWrap/>
            <w:vAlign w:val="center"/>
            <w:hideMark/>
          </w:tcPr>
          <w:p w14:paraId="087B326E" w14:textId="47B0C78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78c</w:t>
            </w:r>
          </w:p>
        </w:tc>
        <w:tc>
          <w:tcPr>
            <w:tcW w:w="733" w:type="dxa"/>
            <w:tcBorders>
              <w:top w:val="thinThickSmallGap" w:sz="24" w:space="0" w:color="auto"/>
              <w:left w:val="nil"/>
              <w:bottom w:val="nil"/>
              <w:right w:val="nil"/>
            </w:tcBorders>
            <w:noWrap/>
            <w:vAlign w:val="center"/>
            <w:hideMark/>
          </w:tcPr>
          <w:p w14:paraId="794A5D08" w14:textId="7B70701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64d</w:t>
            </w:r>
          </w:p>
        </w:tc>
        <w:tc>
          <w:tcPr>
            <w:tcW w:w="733" w:type="dxa"/>
            <w:tcBorders>
              <w:top w:val="thinThickSmallGap" w:sz="24" w:space="0" w:color="auto"/>
              <w:left w:val="nil"/>
              <w:bottom w:val="nil"/>
              <w:right w:val="nil"/>
            </w:tcBorders>
            <w:noWrap/>
            <w:vAlign w:val="center"/>
            <w:hideMark/>
          </w:tcPr>
          <w:p w14:paraId="34DFE927" w14:textId="7E844EC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96c</w:t>
            </w:r>
          </w:p>
        </w:tc>
        <w:tc>
          <w:tcPr>
            <w:tcW w:w="733" w:type="dxa"/>
            <w:tcBorders>
              <w:top w:val="thinThickSmallGap" w:sz="24" w:space="0" w:color="auto"/>
              <w:left w:val="nil"/>
              <w:bottom w:val="nil"/>
              <w:right w:val="nil"/>
            </w:tcBorders>
            <w:noWrap/>
            <w:vAlign w:val="center"/>
            <w:hideMark/>
          </w:tcPr>
          <w:p w14:paraId="0D0050B7" w14:textId="6107DD7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77c</w:t>
            </w:r>
          </w:p>
        </w:tc>
        <w:tc>
          <w:tcPr>
            <w:tcW w:w="1075" w:type="dxa"/>
            <w:tcBorders>
              <w:top w:val="thinThickSmallGap" w:sz="24" w:space="0" w:color="auto"/>
              <w:left w:val="nil"/>
              <w:bottom w:val="nil"/>
              <w:right w:val="nil"/>
            </w:tcBorders>
            <w:noWrap/>
            <w:vAlign w:val="center"/>
            <w:hideMark/>
          </w:tcPr>
          <w:p w14:paraId="60254443" w14:textId="07FA184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08c</w:t>
            </w:r>
          </w:p>
        </w:tc>
        <w:tc>
          <w:tcPr>
            <w:tcW w:w="959" w:type="dxa"/>
            <w:tcBorders>
              <w:top w:val="thinThickSmallGap" w:sz="24" w:space="0" w:color="auto"/>
              <w:left w:val="nil"/>
              <w:bottom w:val="nil"/>
              <w:right w:val="nil"/>
            </w:tcBorders>
            <w:noWrap/>
            <w:vAlign w:val="center"/>
            <w:hideMark/>
          </w:tcPr>
          <w:p w14:paraId="10B898A2" w14:textId="50A6665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83</w:t>
            </w:r>
            <w:r w:rsidRPr="004658A9">
              <w:rPr>
                <w:rFonts w:ascii="Times New Roman" w:eastAsia="Times New Roman" w:hAnsi="Times New Roman" w:cs="Times New Roman"/>
                <w:color w:val="000000"/>
                <w:sz w:val="20"/>
                <w:szCs w:val="20"/>
                <w:vertAlign w:val="superscript"/>
                <w:lang w:eastAsia="fr-FR"/>
              </w:rPr>
              <w:t>e</w:t>
            </w:r>
          </w:p>
        </w:tc>
        <w:tc>
          <w:tcPr>
            <w:tcW w:w="889" w:type="dxa"/>
            <w:tcBorders>
              <w:top w:val="thinThickSmallGap" w:sz="24" w:space="0" w:color="auto"/>
              <w:left w:val="nil"/>
              <w:bottom w:val="nil"/>
              <w:right w:val="nil"/>
            </w:tcBorders>
            <w:noWrap/>
            <w:vAlign w:val="center"/>
            <w:hideMark/>
          </w:tcPr>
          <w:p w14:paraId="14C42D9C" w14:textId="08F072E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22d</w:t>
            </w:r>
          </w:p>
        </w:tc>
        <w:tc>
          <w:tcPr>
            <w:tcW w:w="893" w:type="dxa"/>
            <w:tcBorders>
              <w:top w:val="thinThickSmallGap" w:sz="24" w:space="0" w:color="auto"/>
              <w:left w:val="nil"/>
              <w:bottom w:val="nil"/>
              <w:right w:val="nil"/>
            </w:tcBorders>
            <w:noWrap/>
            <w:vAlign w:val="center"/>
            <w:hideMark/>
          </w:tcPr>
          <w:p w14:paraId="45167A56" w14:textId="7FB75E3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58d</w:t>
            </w:r>
          </w:p>
        </w:tc>
        <w:tc>
          <w:tcPr>
            <w:tcW w:w="2070" w:type="dxa"/>
            <w:gridSpan w:val="2"/>
            <w:tcBorders>
              <w:top w:val="thinThickSmallGap" w:sz="24" w:space="0" w:color="auto"/>
              <w:left w:val="nil"/>
              <w:bottom w:val="nil"/>
              <w:right w:val="nil"/>
            </w:tcBorders>
            <w:noWrap/>
            <w:vAlign w:val="center"/>
            <w:hideMark/>
          </w:tcPr>
          <w:p w14:paraId="0A6005B8" w14:textId="4529A146"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1646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09d</w:t>
            </w:r>
          </w:p>
        </w:tc>
      </w:tr>
      <w:tr w:rsidR="00563E01" w:rsidRPr="00737ADE" w14:paraId="3409FF87" w14:textId="77777777" w:rsidTr="00C434C0">
        <w:trPr>
          <w:trHeight w:val="304"/>
        </w:trPr>
        <w:tc>
          <w:tcPr>
            <w:tcW w:w="843" w:type="dxa"/>
            <w:tcBorders>
              <w:top w:val="nil"/>
              <w:left w:val="nil"/>
              <w:bottom w:val="nil"/>
              <w:right w:val="nil"/>
            </w:tcBorders>
            <w:noWrap/>
            <w:vAlign w:val="center"/>
            <w:hideMark/>
          </w:tcPr>
          <w:p w14:paraId="37AC3108"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T1</w:t>
            </w:r>
          </w:p>
        </w:tc>
        <w:tc>
          <w:tcPr>
            <w:tcW w:w="879" w:type="dxa"/>
            <w:tcBorders>
              <w:top w:val="nil"/>
              <w:left w:val="nil"/>
              <w:bottom w:val="nil"/>
              <w:right w:val="nil"/>
            </w:tcBorders>
            <w:noWrap/>
            <w:vAlign w:val="center"/>
            <w:hideMark/>
          </w:tcPr>
          <w:p w14:paraId="63E1C5AA" w14:textId="10A0DCE8"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89bc</w:t>
            </w:r>
          </w:p>
        </w:tc>
        <w:tc>
          <w:tcPr>
            <w:tcW w:w="733" w:type="dxa"/>
            <w:tcBorders>
              <w:top w:val="nil"/>
              <w:left w:val="nil"/>
              <w:bottom w:val="nil"/>
              <w:right w:val="nil"/>
            </w:tcBorders>
            <w:noWrap/>
            <w:vAlign w:val="center"/>
            <w:hideMark/>
          </w:tcPr>
          <w:p w14:paraId="6768E8B7" w14:textId="7E2F1F99"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69cd</w:t>
            </w:r>
          </w:p>
        </w:tc>
        <w:tc>
          <w:tcPr>
            <w:tcW w:w="733" w:type="dxa"/>
            <w:tcBorders>
              <w:top w:val="nil"/>
              <w:left w:val="nil"/>
              <w:bottom w:val="nil"/>
              <w:right w:val="nil"/>
            </w:tcBorders>
            <w:noWrap/>
            <w:vAlign w:val="center"/>
            <w:hideMark/>
          </w:tcPr>
          <w:p w14:paraId="3EB4AC24" w14:textId="4AE679BA"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1c</w:t>
            </w:r>
          </w:p>
        </w:tc>
        <w:tc>
          <w:tcPr>
            <w:tcW w:w="733" w:type="dxa"/>
            <w:tcBorders>
              <w:top w:val="nil"/>
              <w:left w:val="nil"/>
              <w:bottom w:val="nil"/>
              <w:right w:val="nil"/>
            </w:tcBorders>
            <w:noWrap/>
            <w:vAlign w:val="center"/>
            <w:hideMark/>
          </w:tcPr>
          <w:p w14:paraId="343CBDFE" w14:textId="4437265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98bc</w:t>
            </w:r>
          </w:p>
        </w:tc>
        <w:tc>
          <w:tcPr>
            <w:tcW w:w="1075" w:type="dxa"/>
            <w:tcBorders>
              <w:top w:val="nil"/>
              <w:left w:val="nil"/>
              <w:bottom w:val="nil"/>
              <w:right w:val="nil"/>
            </w:tcBorders>
            <w:noWrap/>
            <w:vAlign w:val="center"/>
            <w:hideMark/>
          </w:tcPr>
          <w:p w14:paraId="195175BE" w14:textId="5D2D19E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39c</w:t>
            </w:r>
          </w:p>
        </w:tc>
        <w:tc>
          <w:tcPr>
            <w:tcW w:w="959" w:type="dxa"/>
            <w:tcBorders>
              <w:top w:val="nil"/>
              <w:left w:val="nil"/>
              <w:bottom w:val="nil"/>
              <w:right w:val="nil"/>
            </w:tcBorders>
            <w:noWrap/>
            <w:vAlign w:val="center"/>
            <w:hideMark/>
          </w:tcPr>
          <w:p w14:paraId="651EC3E7" w14:textId="037C1EE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15c</w:t>
            </w:r>
          </w:p>
        </w:tc>
        <w:tc>
          <w:tcPr>
            <w:tcW w:w="889" w:type="dxa"/>
            <w:tcBorders>
              <w:top w:val="nil"/>
              <w:left w:val="nil"/>
              <w:bottom w:val="nil"/>
              <w:right w:val="nil"/>
            </w:tcBorders>
            <w:noWrap/>
            <w:vAlign w:val="center"/>
            <w:hideMark/>
          </w:tcPr>
          <w:p w14:paraId="684E5280" w14:textId="26FEE57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72c</w:t>
            </w:r>
          </w:p>
        </w:tc>
        <w:tc>
          <w:tcPr>
            <w:tcW w:w="893" w:type="dxa"/>
            <w:tcBorders>
              <w:top w:val="nil"/>
              <w:left w:val="nil"/>
              <w:bottom w:val="nil"/>
              <w:right w:val="nil"/>
            </w:tcBorders>
            <w:noWrap/>
            <w:vAlign w:val="center"/>
            <w:hideMark/>
          </w:tcPr>
          <w:p w14:paraId="1FBFF3AF" w14:textId="4B7EF25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89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79c</w:t>
            </w:r>
          </w:p>
        </w:tc>
        <w:tc>
          <w:tcPr>
            <w:tcW w:w="2070" w:type="dxa"/>
            <w:gridSpan w:val="2"/>
            <w:tcBorders>
              <w:top w:val="nil"/>
              <w:left w:val="nil"/>
              <w:bottom w:val="nil"/>
              <w:right w:val="nil"/>
            </w:tcBorders>
            <w:noWrap/>
            <w:vAlign w:val="center"/>
            <w:hideMark/>
          </w:tcPr>
          <w:p w14:paraId="21F44BBB" w14:textId="572EAFD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7183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4c</w:t>
            </w:r>
          </w:p>
        </w:tc>
      </w:tr>
      <w:tr w:rsidR="00563E01" w:rsidRPr="00737ADE" w14:paraId="280FE2AB" w14:textId="77777777" w:rsidTr="00C434C0">
        <w:trPr>
          <w:trHeight w:val="304"/>
        </w:trPr>
        <w:tc>
          <w:tcPr>
            <w:tcW w:w="843" w:type="dxa"/>
            <w:tcBorders>
              <w:top w:val="nil"/>
              <w:left w:val="nil"/>
              <w:bottom w:val="nil"/>
              <w:right w:val="nil"/>
            </w:tcBorders>
            <w:noWrap/>
            <w:vAlign w:val="center"/>
            <w:hideMark/>
          </w:tcPr>
          <w:p w14:paraId="7E9CB987"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T2</w:t>
            </w:r>
          </w:p>
        </w:tc>
        <w:tc>
          <w:tcPr>
            <w:tcW w:w="879" w:type="dxa"/>
            <w:tcBorders>
              <w:top w:val="nil"/>
              <w:left w:val="nil"/>
              <w:bottom w:val="nil"/>
              <w:right w:val="nil"/>
            </w:tcBorders>
            <w:noWrap/>
            <w:vAlign w:val="center"/>
            <w:hideMark/>
          </w:tcPr>
          <w:p w14:paraId="5D8667ED" w14:textId="49F9161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1ab</w:t>
            </w:r>
          </w:p>
        </w:tc>
        <w:tc>
          <w:tcPr>
            <w:tcW w:w="733" w:type="dxa"/>
            <w:tcBorders>
              <w:top w:val="nil"/>
              <w:left w:val="nil"/>
              <w:bottom w:val="nil"/>
              <w:right w:val="nil"/>
            </w:tcBorders>
            <w:noWrap/>
            <w:vAlign w:val="center"/>
            <w:hideMark/>
          </w:tcPr>
          <w:p w14:paraId="084DE0EB" w14:textId="3E20FCF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78b</w:t>
            </w:r>
          </w:p>
        </w:tc>
        <w:tc>
          <w:tcPr>
            <w:tcW w:w="733" w:type="dxa"/>
            <w:tcBorders>
              <w:top w:val="nil"/>
              <w:left w:val="nil"/>
              <w:bottom w:val="nil"/>
              <w:right w:val="nil"/>
            </w:tcBorders>
            <w:noWrap/>
            <w:vAlign w:val="center"/>
            <w:hideMark/>
          </w:tcPr>
          <w:p w14:paraId="2EBA477A" w14:textId="7ECDCD2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52bc</w:t>
            </w:r>
          </w:p>
        </w:tc>
        <w:tc>
          <w:tcPr>
            <w:tcW w:w="733" w:type="dxa"/>
            <w:tcBorders>
              <w:top w:val="nil"/>
              <w:left w:val="nil"/>
              <w:bottom w:val="nil"/>
              <w:right w:val="nil"/>
            </w:tcBorders>
            <w:noWrap/>
            <w:vAlign w:val="center"/>
            <w:hideMark/>
          </w:tcPr>
          <w:p w14:paraId="3B54DE53" w14:textId="163BE36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15b</w:t>
            </w:r>
          </w:p>
        </w:tc>
        <w:tc>
          <w:tcPr>
            <w:tcW w:w="1075" w:type="dxa"/>
            <w:tcBorders>
              <w:top w:val="nil"/>
              <w:left w:val="nil"/>
              <w:bottom w:val="nil"/>
              <w:right w:val="nil"/>
            </w:tcBorders>
            <w:noWrap/>
            <w:vAlign w:val="center"/>
            <w:hideMark/>
          </w:tcPr>
          <w:p w14:paraId="41E1E92C" w14:textId="4203040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75c</w:t>
            </w:r>
          </w:p>
        </w:tc>
        <w:tc>
          <w:tcPr>
            <w:tcW w:w="959" w:type="dxa"/>
            <w:tcBorders>
              <w:top w:val="nil"/>
              <w:left w:val="nil"/>
              <w:bottom w:val="nil"/>
              <w:right w:val="nil"/>
            </w:tcBorders>
            <w:noWrap/>
            <w:vAlign w:val="center"/>
            <w:hideMark/>
          </w:tcPr>
          <w:p w14:paraId="12BB20B8" w14:textId="71CD659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70f</w:t>
            </w:r>
          </w:p>
        </w:tc>
        <w:tc>
          <w:tcPr>
            <w:tcW w:w="889" w:type="dxa"/>
            <w:tcBorders>
              <w:top w:val="nil"/>
              <w:left w:val="nil"/>
              <w:bottom w:val="nil"/>
              <w:right w:val="nil"/>
            </w:tcBorders>
            <w:noWrap/>
            <w:vAlign w:val="center"/>
            <w:hideMark/>
          </w:tcPr>
          <w:p w14:paraId="2FE2DD41" w14:textId="7C03117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39c</w:t>
            </w:r>
          </w:p>
        </w:tc>
        <w:tc>
          <w:tcPr>
            <w:tcW w:w="893" w:type="dxa"/>
            <w:tcBorders>
              <w:top w:val="nil"/>
              <w:left w:val="nil"/>
              <w:bottom w:val="nil"/>
              <w:right w:val="nil"/>
            </w:tcBorders>
            <w:noWrap/>
            <w:vAlign w:val="center"/>
            <w:hideMark/>
          </w:tcPr>
          <w:p w14:paraId="2D4ED91C" w14:textId="3954251E"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93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73c</w:t>
            </w:r>
          </w:p>
        </w:tc>
        <w:tc>
          <w:tcPr>
            <w:tcW w:w="2070" w:type="dxa"/>
            <w:gridSpan w:val="2"/>
            <w:tcBorders>
              <w:top w:val="nil"/>
              <w:left w:val="nil"/>
              <w:bottom w:val="nil"/>
              <w:right w:val="nil"/>
            </w:tcBorders>
            <w:noWrap/>
            <w:vAlign w:val="center"/>
            <w:hideMark/>
          </w:tcPr>
          <w:p w14:paraId="44EBE07D" w14:textId="3F24DDA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7498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76c</w:t>
            </w:r>
          </w:p>
        </w:tc>
      </w:tr>
      <w:tr w:rsidR="00563E01" w:rsidRPr="00737ADE" w14:paraId="102524AD" w14:textId="77777777" w:rsidTr="00C434C0">
        <w:trPr>
          <w:trHeight w:val="304"/>
        </w:trPr>
        <w:tc>
          <w:tcPr>
            <w:tcW w:w="843" w:type="dxa"/>
            <w:tcBorders>
              <w:top w:val="nil"/>
              <w:left w:val="nil"/>
              <w:bottom w:val="nil"/>
              <w:right w:val="nil"/>
            </w:tcBorders>
            <w:noWrap/>
            <w:vAlign w:val="center"/>
            <w:hideMark/>
          </w:tcPr>
          <w:p w14:paraId="04778A00"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T3</w:t>
            </w:r>
          </w:p>
        </w:tc>
        <w:tc>
          <w:tcPr>
            <w:tcW w:w="879" w:type="dxa"/>
            <w:tcBorders>
              <w:top w:val="nil"/>
              <w:left w:val="nil"/>
              <w:bottom w:val="nil"/>
              <w:right w:val="nil"/>
            </w:tcBorders>
            <w:noWrap/>
            <w:vAlign w:val="center"/>
            <w:hideMark/>
          </w:tcPr>
          <w:p w14:paraId="78F5C73C" w14:textId="2D698454"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08ab</w:t>
            </w:r>
          </w:p>
        </w:tc>
        <w:tc>
          <w:tcPr>
            <w:tcW w:w="733" w:type="dxa"/>
            <w:tcBorders>
              <w:top w:val="nil"/>
              <w:left w:val="nil"/>
              <w:bottom w:val="nil"/>
              <w:right w:val="nil"/>
            </w:tcBorders>
            <w:noWrap/>
            <w:vAlign w:val="center"/>
            <w:hideMark/>
          </w:tcPr>
          <w:p w14:paraId="07E95391" w14:textId="43E8CCDE"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94a</w:t>
            </w:r>
          </w:p>
        </w:tc>
        <w:tc>
          <w:tcPr>
            <w:tcW w:w="733" w:type="dxa"/>
            <w:tcBorders>
              <w:top w:val="nil"/>
              <w:left w:val="nil"/>
              <w:bottom w:val="nil"/>
              <w:right w:val="nil"/>
            </w:tcBorders>
            <w:noWrap/>
            <w:vAlign w:val="center"/>
            <w:hideMark/>
          </w:tcPr>
          <w:p w14:paraId="1D37A470" w14:textId="3A2B42E4"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44a</w:t>
            </w:r>
          </w:p>
        </w:tc>
        <w:tc>
          <w:tcPr>
            <w:tcW w:w="733" w:type="dxa"/>
            <w:tcBorders>
              <w:top w:val="nil"/>
              <w:left w:val="nil"/>
              <w:bottom w:val="nil"/>
              <w:right w:val="nil"/>
            </w:tcBorders>
            <w:noWrap/>
            <w:vAlign w:val="center"/>
            <w:hideMark/>
          </w:tcPr>
          <w:p w14:paraId="7AAC3074" w14:textId="4D0B543F"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02a</w:t>
            </w:r>
          </w:p>
        </w:tc>
        <w:tc>
          <w:tcPr>
            <w:tcW w:w="1075" w:type="dxa"/>
            <w:tcBorders>
              <w:top w:val="nil"/>
              <w:left w:val="nil"/>
              <w:bottom w:val="nil"/>
              <w:right w:val="nil"/>
            </w:tcBorders>
            <w:noWrap/>
            <w:vAlign w:val="center"/>
            <w:hideMark/>
          </w:tcPr>
          <w:p w14:paraId="3ACBD531" w14:textId="45F8E05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33a</w:t>
            </w:r>
          </w:p>
        </w:tc>
        <w:tc>
          <w:tcPr>
            <w:tcW w:w="959" w:type="dxa"/>
            <w:tcBorders>
              <w:top w:val="nil"/>
              <w:left w:val="nil"/>
              <w:bottom w:val="nil"/>
              <w:right w:val="nil"/>
            </w:tcBorders>
            <w:noWrap/>
            <w:vAlign w:val="center"/>
            <w:hideMark/>
          </w:tcPr>
          <w:p w14:paraId="38BE86CD" w14:textId="0C82CDE6"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96d</w:t>
            </w:r>
          </w:p>
        </w:tc>
        <w:tc>
          <w:tcPr>
            <w:tcW w:w="889" w:type="dxa"/>
            <w:tcBorders>
              <w:top w:val="nil"/>
              <w:left w:val="nil"/>
              <w:bottom w:val="nil"/>
              <w:right w:val="nil"/>
            </w:tcBorders>
            <w:noWrap/>
            <w:vAlign w:val="center"/>
            <w:hideMark/>
          </w:tcPr>
          <w:p w14:paraId="004643B0" w14:textId="552DFB1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87</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97a</w:t>
            </w:r>
          </w:p>
        </w:tc>
        <w:tc>
          <w:tcPr>
            <w:tcW w:w="893" w:type="dxa"/>
            <w:tcBorders>
              <w:top w:val="nil"/>
              <w:left w:val="nil"/>
              <w:bottom w:val="nil"/>
              <w:right w:val="nil"/>
            </w:tcBorders>
            <w:noWrap/>
            <w:vAlign w:val="center"/>
            <w:hideMark/>
          </w:tcPr>
          <w:p w14:paraId="229F68EB" w14:textId="768B1DFC"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266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85a</w:t>
            </w:r>
          </w:p>
        </w:tc>
        <w:tc>
          <w:tcPr>
            <w:tcW w:w="2070" w:type="dxa"/>
            <w:gridSpan w:val="2"/>
            <w:tcBorders>
              <w:top w:val="nil"/>
              <w:left w:val="nil"/>
              <w:bottom w:val="nil"/>
              <w:right w:val="nil"/>
            </w:tcBorders>
            <w:noWrap/>
            <w:vAlign w:val="center"/>
            <w:hideMark/>
          </w:tcPr>
          <w:p w14:paraId="5888B8C4" w14:textId="6E7A472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21348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18a</w:t>
            </w:r>
          </w:p>
        </w:tc>
      </w:tr>
      <w:tr w:rsidR="00563E01" w:rsidRPr="00737ADE" w14:paraId="261B5A11" w14:textId="77777777" w:rsidTr="00C434C0">
        <w:trPr>
          <w:trHeight w:val="304"/>
        </w:trPr>
        <w:tc>
          <w:tcPr>
            <w:tcW w:w="843" w:type="dxa"/>
            <w:tcBorders>
              <w:top w:val="nil"/>
              <w:left w:val="nil"/>
              <w:bottom w:val="nil"/>
              <w:right w:val="nil"/>
            </w:tcBorders>
            <w:noWrap/>
            <w:vAlign w:val="center"/>
            <w:hideMark/>
          </w:tcPr>
          <w:p w14:paraId="7BFCC2C8"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T4</w:t>
            </w:r>
          </w:p>
        </w:tc>
        <w:tc>
          <w:tcPr>
            <w:tcW w:w="879" w:type="dxa"/>
            <w:tcBorders>
              <w:top w:val="nil"/>
              <w:left w:val="nil"/>
              <w:bottom w:val="nil"/>
              <w:right w:val="nil"/>
            </w:tcBorders>
            <w:noWrap/>
            <w:vAlign w:val="center"/>
            <w:hideMark/>
          </w:tcPr>
          <w:p w14:paraId="2AC96CDE" w14:textId="378D869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05abc</w:t>
            </w:r>
          </w:p>
        </w:tc>
        <w:tc>
          <w:tcPr>
            <w:tcW w:w="733" w:type="dxa"/>
            <w:tcBorders>
              <w:top w:val="nil"/>
              <w:left w:val="nil"/>
              <w:bottom w:val="nil"/>
              <w:right w:val="nil"/>
            </w:tcBorders>
            <w:noWrap/>
            <w:vAlign w:val="center"/>
            <w:hideMark/>
          </w:tcPr>
          <w:p w14:paraId="0C623E05" w14:textId="3237F42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81b</w:t>
            </w:r>
          </w:p>
        </w:tc>
        <w:tc>
          <w:tcPr>
            <w:tcW w:w="733" w:type="dxa"/>
            <w:tcBorders>
              <w:top w:val="nil"/>
              <w:left w:val="nil"/>
              <w:bottom w:val="nil"/>
              <w:right w:val="nil"/>
            </w:tcBorders>
            <w:noWrap/>
            <w:vAlign w:val="center"/>
            <w:hideMark/>
          </w:tcPr>
          <w:p w14:paraId="2FF1F03A" w14:textId="597F7BBC"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39a</w:t>
            </w:r>
          </w:p>
        </w:tc>
        <w:tc>
          <w:tcPr>
            <w:tcW w:w="733" w:type="dxa"/>
            <w:tcBorders>
              <w:top w:val="nil"/>
              <w:left w:val="nil"/>
              <w:bottom w:val="nil"/>
              <w:right w:val="nil"/>
            </w:tcBorders>
            <w:noWrap/>
            <w:vAlign w:val="center"/>
            <w:hideMark/>
          </w:tcPr>
          <w:p w14:paraId="6F99B390" w14:textId="3AFCCC4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03bc</w:t>
            </w:r>
          </w:p>
        </w:tc>
        <w:tc>
          <w:tcPr>
            <w:tcW w:w="1075" w:type="dxa"/>
            <w:tcBorders>
              <w:top w:val="nil"/>
              <w:left w:val="nil"/>
              <w:bottom w:val="nil"/>
              <w:right w:val="nil"/>
            </w:tcBorders>
            <w:noWrap/>
            <w:vAlign w:val="center"/>
            <w:hideMark/>
          </w:tcPr>
          <w:p w14:paraId="768A9AFD" w14:textId="0BBD077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67</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81b</w:t>
            </w:r>
          </w:p>
        </w:tc>
        <w:tc>
          <w:tcPr>
            <w:tcW w:w="959" w:type="dxa"/>
            <w:tcBorders>
              <w:top w:val="nil"/>
              <w:left w:val="nil"/>
              <w:bottom w:val="nil"/>
              <w:right w:val="nil"/>
            </w:tcBorders>
            <w:noWrap/>
            <w:vAlign w:val="center"/>
            <w:hideMark/>
          </w:tcPr>
          <w:p w14:paraId="3E68C988" w14:textId="14AA5C8F"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87</w:t>
            </w:r>
            <w:r w:rsidRPr="004658A9">
              <w:rPr>
                <w:rFonts w:ascii="Times New Roman" w:eastAsia="Times New Roman" w:hAnsi="Times New Roman" w:cs="Times New Roman"/>
                <w:color w:val="000000"/>
                <w:sz w:val="20"/>
                <w:szCs w:val="20"/>
                <w:vertAlign w:val="superscript"/>
                <w:lang w:eastAsia="fr-FR"/>
              </w:rPr>
              <w:t>e</w:t>
            </w:r>
          </w:p>
        </w:tc>
        <w:tc>
          <w:tcPr>
            <w:tcW w:w="889" w:type="dxa"/>
            <w:tcBorders>
              <w:top w:val="nil"/>
              <w:left w:val="nil"/>
              <w:bottom w:val="nil"/>
              <w:right w:val="nil"/>
            </w:tcBorders>
            <w:noWrap/>
            <w:vAlign w:val="center"/>
            <w:hideMark/>
          </w:tcPr>
          <w:p w14:paraId="5508365B" w14:textId="2C3C9314"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42b</w:t>
            </w:r>
          </w:p>
        </w:tc>
        <w:tc>
          <w:tcPr>
            <w:tcW w:w="893" w:type="dxa"/>
            <w:tcBorders>
              <w:top w:val="nil"/>
              <w:left w:val="nil"/>
              <w:bottom w:val="nil"/>
              <w:right w:val="nil"/>
            </w:tcBorders>
            <w:noWrap/>
            <w:vAlign w:val="center"/>
            <w:hideMark/>
          </w:tcPr>
          <w:p w14:paraId="371A13A1" w14:textId="7777777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130b</w:t>
            </w:r>
          </w:p>
        </w:tc>
        <w:tc>
          <w:tcPr>
            <w:tcW w:w="2070" w:type="dxa"/>
            <w:gridSpan w:val="2"/>
            <w:tcBorders>
              <w:top w:val="nil"/>
              <w:left w:val="nil"/>
              <w:bottom w:val="nil"/>
              <w:right w:val="nil"/>
            </w:tcBorders>
            <w:noWrap/>
            <w:vAlign w:val="center"/>
            <w:hideMark/>
          </w:tcPr>
          <w:p w14:paraId="7E6FE7C5" w14:textId="6B4D1B69"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10399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84bc</w:t>
            </w:r>
          </w:p>
        </w:tc>
      </w:tr>
      <w:tr w:rsidR="00563E01" w:rsidRPr="00737ADE" w14:paraId="429238F9" w14:textId="77777777" w:rsidTr="00C434C0">
        <w:trPr>
          <w:trHeight w:val="304"/>
        </w:trPr>
        <w:tc>
          <w:tcPr>
            <w:tcW w:w="843" w:type="dxa"/>
            <w:tcBorders>
              <w:top w:val="nil"/>
              <w:left w:val="nil"/>
              <w:bottom w:val="nil"/>
              <w:right w:val="nil"/>
            </w:tcBorders>
            <w:noWrap/>
            <w:vAlign w:val="center"/>
            <w:hideMark/>
          </w:tcPr>
          <w:p w14:paraId="025B0E6E"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T5</w:t>
            </w:r>
          </w:p>
        </w:tc>
        <w:tc>
          <w:tcPr>
            <w:tcW w:w="879" w:type="dxa"/>
            <w:tcBorders>
              <w:top w:val="nil"/>
              <w:left w:val="nil"/>
              <w:bottom w:val="nil"/>
              <w:right w:val="nil"/>
            </w:tcBorders>
            <w:noWrap/>
            <w:vAlign w:val="center"/>
            <w:hideMark/>
          </w:tcPr>
          <w:p w14:paraId="7A4533AD" w14:textId="05B8977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86bc</w:t>
            </w:r>
          </w:p>
        </w:tc>
        <w:tc>
          <w:tcPr>
            <w:tcW w:w="733" w:type="dxa"/>
            <w:tcBorders>
              <w:top w:val="nil"/>
              <w:left w:val="nil"/>
              <w:bottom w:val="nil"/>
              <w:right w:val="nil"/>
            </w:tcBorders>
            <w:noWrap/>
            <w:vAlign w:val="center"/>
            <w:hideMark/>
          </w:tcPr>
          <w:p w14:paraId="4BDC6A03" w14:textId="56D6BA6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75bc</w:t>
            </w:r>
          </w:p>
        </w:tc>
        <w:tc>
          <w:tcPr>
            <w:tcW w:w="733" w:type="dxa"/>
            <w:tcBorders>
              <w:top w:val="nil"/>
              <w:left w:val="nil"/>
              <w:bottom w:val="nil"/>
              <w:right w:val="nil"/>
            </w:tcBorders>
            <w:noWrap/>
            <w:vAlign w:val="center"/>
            <w:hideMark/>
          </w:tcPr>
          <w:p w14:paraId="61DBD0BA" w14:textId="17786AC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35bc</w:t>
            </w:r>
          </w:p>
        </w:tc>
        <w:tc>
          <w:tcPr>
            <w:tcW w:w="733" w:type="dxa"/>
            <w:tcBorders>
              <w:top w:val="nil"/>
              <w:left w:val="nil"/>
              <w:bottom w:val="nil"/>
              <w:right w:val="nil"/>
            </w:tcBorders>
            <w:noWrap/>
            <w:vAlign w:val="center"/>
            <w:hideMark/>
          </w:tcPr>
          <w:p w14:paraId="48E34F07" w14:textId="1E5F319F"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91bc</w:t>
            </w:r>
          </w:p>
        </w:tc>
        <w:tc>
          <w:tcPr>
            <w:tcW w:w="1075" w:type="dxa"/>
            <w:tcBorders>
              <w:top w:val="nil"/>
              <w:left w:val="nil"/>
              <w:bottom w:val="nil"/>
              <w:right w:val="nil"/>
            </w:tcBorders>
            <w:noWrap/>
            <w:vAlign w:val="center"/>
            <w:hideMark/>
          </w:tcPr>
          <w:p w14:paraId="535BA91E" w14:textId="170F6EA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42c</w:t>
            </w:r>
          </w:p>
        </w:tc>
        <w:tc>
          <w:tcPr>
            <w:tcW w:w="959" w:type="dxa"/>
            <w:tcBorders>
              <w:top w:val="nil"/>
              <w:left w:val="nil"/>
              <w:bottom w:val="nil"/>
              <w:right w:val="nil"/>
            </w:tcBorders>
            <w:noWrap/>
            <w:vAlign w:val="center"/>
            <w:hideMark/>
          </w:tcPr>
          <w:p w14:paraId="7E73BB1D" w14:textId="0592FCB8"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50a</w:t>
            </w:r>
          </w:p>
        </w:tc>
        <w:tc>
          <w:tcPr>
            <w:tcW w:w="889" w:type="dxa"/>
            <w:tcBorders>
              <w:top w:val="nil"/>
              <w:left w:val="nil"/>
              <w:bottom w:val="nil"/>
              <w:right w:val="nil"/>
            </w:tcBorders>
            <w:noWrap/>
            <w:vAlign w:val="center"/>
            <w:hideMark/>
          </w:tcPr>
          <w:p w14:paraId="38DE31DC" w14:textId="5A1F962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5c</w:t>
            </w:r>
          </w:p>
        </w:tc>
        <w:tc>
          <w:tcPr>
            <w:tcW w:w="893" w:type="dxa"/>
            <w:tcBorders>
              <w:top w:val="nil"/>
              <w:left w:val="nil"/>
              <w:bottom w:val="nil"/>
              <w:right w:val="nil"/>
            </w:tcBorders>
            <w:noWrap/>
            <w:vAlign w:val="center"/>
            <w:hideMark/>
          </w:tcPr>
          <w:p w14:paraId="3F2B952C" w14:textId="296EDCE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93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22c</w:t>
            </w:r>
          </w:p>
        </w:tc>
        <w:tc>
          <w:tcPr>
            <w:tcW w:w="2070" w:type="dxa"/>
            <w:gridSpan w:val="2"/>
            <w:tcBorders>
              <w:top w:val="nil"/>
              <w:left w:val="nil"/>
              <w:bottom w:val="nil"/>
              <w:right w:val="nil"/>
            </w:tcBorders>
            <w:noWrap/>
            <w:vAlign w:val="center"/>
            <w:hideMark/>
          </w:tcPr>
          <w:p w14:paraId="06068112" w14:textId="1EE47C3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7457</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84c</w:t>
            </w:r>
          </w:p>
        </w:tc>
      </w:tr>
      <w:tr w:rsidR="00563E01" w:rsidRPr="00737ADE" w14:paraId="3F075D35" w14:textId="77777777" w:rsidTr="00C434C0">
        <w:trPr>
          <w:trHeight w:val="319"/>
        </w:trPr>
        <w:tc>
          <w:tcPr>
            <w:tcW w:w="843" w:type="dxa"/>
            <w:tcBorders>
              <w:top w:val="nil"/>
              <w:left w:val="nil"/>
              <w:bottom w:val="thinThickSmallGap" w:sz="24" w:space="0" w:color="auto"/>
              <w:right w:val="nil"/>
            </w:tcBorders>
            <w:noWrap/>
            <w:vAlign w:val="center"/>
            <w:hideMark/>
          </w:tcPr>
          <w:p w14:paraId="7EA09373"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T6</w:t>
            </w:r>
          </w:p>
        </w:tc>
        <w:tc>
          <w:tcPr>
            <w:tcW w:w="879" w:type="dxa"/>
            <w:tcBorders>
              <w:top w:val="nil"/>
              <w:left w:val="nil"/>
              <w:bottom w:val="thinThickSmallGap" w:sz="24" w:space="0" w:color="auto"/>
              <w:right w:val="nil"/>
            </w:tcBorders>
            <w:noWrap/>
            <w:vAlign w:val="center"/>
            <w:hideMark/>
          </w:tcPr>
          <w:p w14:paraId="7145B1AA" w14:textId="6481DBF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24a</w:t>
            </w:r>
          </w:p>
        </w:tc>
        <w:tc>
          <w:tcPr>
            <w:tcW w:w="733" w:type="dxa"/>
            <w:tcBorders>
              <w:top w:val="nil"/>
              <w:left w:val="nil"/>
              <w:bottom w:val="thinThickSmallGap" w:sz="24" w:space="0" w:color="auto"/>
              <w:right w:val="nil"/>
            </w:tcBorders>
            <w:noWrap/>
            <w:vAlign w:val="center"/>
            <w:hideMark/>
          </w:tcPr>
          <w:p w14:paraId="19BDAF96" w14:textId="075A5A5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81b</w:t>
            </w:r>
          </w:p>
        </w:tc>
        <w:tc>
          <w:tcPr>
            <w:tcW w:w="733" w:type="dxa"/>
            <w:tcBorders>
              <w:top w:val="nil"/>
              <w:left w:val="nil"/>
              <w:bottom w:val="thinThickSmallGap" w:sz="24" w:space="0" w:color="auto"/>
              <w:right w:val="nil"/>
            </w:tcBorders>
            <w:noWrap/>
            <w:vAlign w:val="center"/>
            <w:hideMark/>
          </w:tcPr>
          <w:p w14:paraId="1D05C577" w14:textId="3FB2C1C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98ab</w:t>
            </w:r>
          </w:p>
        </w:tc>
        <w:tc>
          <w:tcPr>
            <w:tcW w:w="733" w:type="dxa"/>
            <w:tcBorders>
              <w:top w:val="nil"/>
              <w:left w:val="nil"/>
              <w:bottom w:val="thinThickSmallGap" w:sz="24" w:space="0" w:color="auto"/>
              <w:right w:val="nil"/>
            </w:tcBorders>
            <w:noWrap/>
            <w:vAlign w:val="center"/>
            <w:hideMark/>
          </w:tcPr>
          <w:p w14:paraId="01753403" w14:textId="21BE3E0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2b</w:t>
            </w:r>
          </w:p>
        </w:tc>
        <w:tc>
          <w:tcPr>
            <w:tcW w:w="1075" w:type="dxa"/>
            <w:tcBorders>
              <w:top w:val="nil"/>
              <w:left w:val="nil"/>
              <w:bottom w:val="thinThickSmallGap" w:sz="24" w:space="0" w:color="auto"/>
              <w:right w:val="nil"/>
            </w:tcBorders>
            <w:noWrap/>
            <w:vAlign w:val="center"/>
            <w:hideMark/>
          </w:tcPr>
          <w:p w14:paraId="0858F909" w14:textId="19E8235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81c</w:t>
            </w:r>
          </w:p>
        </w:tc>
        <w:tc>
          <w:tcPr>
            <w:tcW w:w="959" w:type="dxa"/>
            <w:tcBorders>
              <w:top w:val="nil"/>
              <w:left w:val="nil"/>
              <w:bottom w:val="thinThickSmallGap" w:sz="24" w:space="0" w:color="auto"/>
              <w:right w:val="nil"/>
            </w:tcBorders>
            <w:noWrap/>
            <w:vAlign w:val="center"/>
            <w:hideMark/>
          </w:tcPr>
          <w:p w14:paraId="58568C9C" w14:textId="3F977C6C"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27b</w:t>
            </w:r>
          </w:p>
        </w:tc>
        <w:tc>
          <w:tcPr>
            <w:tcW w:w="889" w:type="dxa"/>
            <w:tcBorders>
              <w:top w:val="nil"/>
              <w:left w:val="nil"/>
              <w:bottom w:val="thinThickSmallGap" w:sz="24" w:space="0" w:color="auto"/>
              <w:right w:val="nil"/>
            </w:tcBorders>
            <w:noWrap/>
            <w:vAlign w:val="center"/>
            <w:hideMark/>
          </w:tcPr>
          <w:p w14:paraId="0B5D26D0" w14:textId="0EA1B23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75b</w:t>
            </w:r>
          </w:p>
        </w:tc>
        <w:tc>
          <w:tcPr>
            <w:tcW w:w="893" w:type="dxa"/>
            <w:tcBorders>
              <w:top w:val="nil"/>
              <w:left w:val="nil"/>
              <w:bottom w:val="thinThickSmallGap" w:sz="24" w:space="0" w:color="auto"/>
              <w:right w:val="nil"/>
            </w:tcBorders>
            <w:noWrap/>
            <w:vAlign w:val="center"/>
            <w:hideMark/>
          </w:tcPr>
          <w:p w14:paraId="0FA6A52D" w14:textId="4F7BE4B6"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148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45b</w:t>
            </w:r>
          </w:p>
        </w:tc>
        <w:tc>
          <w:tcPr>
            <w:tcW w:w="2070" w:type="dxa"/>
            <w:gridSpan w:val="2"/>
            <w:tcBorders>
              <w:top w:val="nil"/>
              <w:left w:val="nil"/>
              <w:bottom w:val="thinThickSmallGap" w:sz="24" w:space="0" w:color="auto"/>
              <w:right w:val="nil"/>
            </w:tcBorders>
            <w:noWrap/>
            <w:vAlign w:val="center"/>
            <w:hideMark/>
          </w:tcPr>
          <w:p w14:paraId="071B57E3" w14:textId="6CA7A54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11876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02b</w:t>
            </w:r>
          </w:p>
        </w:tc>
      </w:tr>
      <w:tr w:rsidR="00563E01" w:rsidRPr="00737ADE" w14:paraId="24E261CC" w14:textId="77777777" w:rsidTr="00C434C0">
        <w:trPr>
          <w:trHeight w:val="334"/>
        </w:trPr>
        <w:tc>
          <w:tcPr>
            <w:tcW w:w="843" w:type="dxa"/>
            <w:tcBorders>
              <w:top w:val="thinThickSmallGap" w:sz="24" w:space="0" w:color="auto"/>
              <w:left w:val="nil"/>
              <w:bottom w:val="thinThickSmallGap" w:sz="24" w:space="0" w:color="auto"/>
              <w:right w:val="nil"/>
            </w:tcBorders>
            <w:noWrap/>
            <w:vAlign w:val="center"/>
            <w:hideMark/>
          </w:tcPr>
          <w:p w14:paraId="188F8782"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F</w:t>
            </w:r>
          </w:p>
        </w:tc>
        <w:tc>
          <w:tcPr>
            <w:tcW w:w="879" w:type="dxa"/>
            <w:tcBorders>
              <w:top w:val="thinThickSmallGap" w:sz="24" w:space="0" w:color="auto"/>
              <w:left w:val="nil"/>
              <w:bottom w:val="thinThickSmallGap" w:sz="24" w:space="0" w:color="auto"/>
              <w:right w:val="nil"/>
            </w:tcBorders>
            <w:noWrap/>
            <w:vAlign w:val="center"/>
            <w:hideMark/>
          </w:tcPr>
          <w:p w14:paraId="554E441E"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5,68</w:t>
            </w:r>
          </w:p>
        </w:tc>
        <w:tc>
          <w:tcPr>
            <w:tcW w:w="733" w:type="dxa"/>
            <w:tcBorders>
              <w:top w:val="thinThickSmallGap" w:sz="24" w:space="0" w:color="auto"/>
              <w:left w:val="nil"/>
              <w:bottom w:val="thinThickSmallGap" w:sz="24" w:space="0" w:color="auto"/>
              <w:right w:val="nil"/>
            </w:tcBorders>
            <w:noWrap/>
            <w:vAlign w:val="center"/>
            <w:hideMark/>
          </w:tcPr>
          <w:p w14:paraId="36980E16"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20,59</w:t>
            </w:r>
          </w:p>
        </w:tc>
        <w:tc>
          <w:tcPr>
            <w:tcW w:w="733" w:type="dxa"/>
            <w:tcBorders>
              <w:top w:val="thinThickSmallGap" w:sz="24" w:space="0" w:color="auto"/>
              <w:left w:val="nil"/>
              <w:bottom w:val="thinThickSmallGap" w:sz="24" w:space="0" w:color="auto"/>
              <w:right w:val="nil"/>
            </w:tcBorders>
            <w:noWrap/>
            <w:vAlign w:val="center"/>
            <w:hideMark/>
          </w:tcPr>
          <w:p w14:paraId="02613E02" w14:textId="77777777" w:rsidR="00563E01" w:rsidRPr="00737ADE" w:rsidRDefault="00563E01" w:rsidP="00C434C0">
            <w:pPr>
              <w:spacing w:after="0" w:line="240" w:lineRule="auto"/>
              <w:jc w:val="right"/>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10,03</w:t>
            </w:r>
          </w:p>
        </w:tc>
        <w:tc>
          <w:tcPr>
            <w:tcW w:w="733" w:type="dxa"/>
            <w:tcBorders>
              <w:top w:val="thinThickSmallGap" w:sz="24" w:space="0" w:color="auto"/>
              <w:left w:val="nil"/>
              <w:bottom w:val="thinThickSmallGap" w:sz="24" w:space="0" w:color="auto"/>
              <w:right w:val="nil"/>
            </w:tcBorders>
            <w:noWrap/>
            <w:vAlign w:val="center"/>
            <w:hideMark/>
          </w:tcPr>
          <w:p w14:paraId="6794884C" w14:textId="77777777" w:rsidR="00563E01" w:rsidRPr="00737ADE" w:rsidRDefault="00563E01" w:rsidP="00C434C0">
            <w:pPr>
              <w:spacing w:after="0" w:line="240" w:lineRule="auto"/>
              <w:jc w:val="right"/>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20,58</w:t>
            </w:r>
          </w:p>
        </w:tc>
        <w:tc>
          <w:tcPr>
            <w:tcW w:w="1075" w:type="dxa"/>
            <w:tcBorders>
              <w:top w:val="thinThickSmallGap" w:sz="24" w:space="0" w:color="auto"/>
              <w:left w:val="nil"/>
              <w:bottom w:val="thinThickSmallGap" w:sz="24" w:space="0" w:color="auto"/>
              <w:right w:val="nil"/>
            </w:tcBorders>
            <w:noWrap/>
            <w:vAlign w:val="center"/>
            <w:hideMark/>
          </w:tcPr>
          <w:p w14:paraId="483DC6F2"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22,93</w:t>
            </w:r>
          </w:p>
        </w:tc>
        <w:tc>
          <w:tcPr>
            <w:tcW w:w="959" w:type="dxa"/>
            <w:tcBorders>
              <w:top w:val="thinThickSmallGap" w:sz="24" w:space="0" w:color="auto"/>
              <w:left w:val="nil"/>
              <w:bottom w:val="thinThickSmallGap" w:sz="24" w:space="0" w:color="auto"/>
              <w:right w:val="nil"/>
            </w:tcBorders>
            <w:noWrap/>
            <w:vAlign w:val="center"/>
            <w:hideMark/>
          </w:tcPr>
          <w:p w14:paraId="0505FBA6"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235,41</w:t>
            </w:r>
          </w:p>
        </w:tc>
        <w:tc>
          <w:tcPr>
            <w:tcW w:w="889" w:type="dxa"/>
            <w:tcBorders>
              <w:top w:val="thinThickSmallGap" w:sz="24" w:space="0" w:color="auto"/>
              <w:left w:val="nil"/>
              <w:bottom w:val="thinThickSmallGap" w:sz="24" w:space="0" w:color="auto"/>
              <w:right w:val="nil"/>
            </w:tcBorders>
            <w:noWrap/>
            <w:vAlign w:val="center"/>
            <w:hideMark/>
          </w:tcPr>
          <w:p w14:paraId="5193B897"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43,24</w:t>
            </w:r>
          </w:p>
        </w:tc>
        <w:tc>
          <w:tcPr>
            <w:tcW w:w="893" w:type="dxa"/>
            <w:tcBorders>
              <w:top w:val="thinThickSmallGap" w:sz="24" w:space="0" w:color="auto"/>
              <w:left w:val="nil"/>
              <w:bottom w:val="thinThickSmallGap" w:sz="24" w:space="0" w:color="auto"/>
              <w:right w:val="nil"/>
            </w:tcBorders>
            <w:noWrap/>
            <w:vAlign w:val="center"/>
            <w:hideMark/>
          </w:tcPr>
          <w:p w14:paraId="2B1D55EB"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49,29</w:t>
            </w:r>
          </w:p>
        </w:tc>
        <w:tc>
          <w:tcPr>
            <w:tcW w:w="1571" w:type="dxa"/>
            <w:tcBorders>
              <w:top w:val="thinThickSmallGap" w:sz="24" w:space="0" w:color="auto"/>
              <w:left w:val="nil"/>
              <w:bottom w:val="thinThickSmallGap" w:sz="24" w:space="0" w:color="auto"/>
              <w:right w:val="nil"/>
            </w:tcBorders>
            <w:noWrap/>
            <w:vAlign w:val="center"/>
            <w:hideMark/>
          </w:tcPr>
          <w:p w14:paraId="1F75E2C7"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49,29</w:t>
            </w:r>
            <w:r w:rsidRPr="00737ADE">
              <w:rPr>
                <w:rFonts w:ascii="Times New Roman" w:eastAsia="Times New Roman" w:hAnsi="Times New Roman" w:cs="Times New Roman"/>
                <w:b/>
                <w:bCs/>
                <w:color w:val="000000"/>
                <w:sz w:val="20"/>
                <w:szCs w:val="20"/>
                <w:lang w:eastAsia="fr-FR"/>
              </w:rPr>
              <w:t> </w:t>
            </w:r>
          </w:p>
        </w:tc>
        <w:tc>
          <w:tcPr>
            <w:tcW w:w="499" w:type="dxa"/>
            <w:tcBorders>
              <w:top w:val="thinThickSmallGap" w:sz="24" w:space="0" w:color="auto"/>
              <w:left w:val="nil"/>
              <w:bottom w:val="thinThickSmallGap" w:sz="24" w:space="0" w:color="auto"/>
              <w:right w:val="nil"/>
            </w:tcBorders>
            <w:noWrap/>
            <w:vAlign w:val="bottom"/>
            <w:hideMark/>
          </w:tcPr>
          <w:p w14:paraId="0889ADEF" w14:textId="77777777" w:rsidR="00563E01" w:rsidRPr="00737ADE" w:rsidRDefault="00563E01" w:rsidP="00C434C0">
            <w:pPr>
              <w:spacing w:after="0" w:line="240" w:lineRule="auto"/>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 </w:t>
            </w:r>
          </w:p>
        </w:tc>
      </w:tr>
      <w:tr w:rsidR="00563E01" w:rsidRPr="00737ADE" w14:paraId="53F1B364" w14:textId="77777777" w:rsidTr="00C434C0">
        <w:trPr>
          <w:trHeight w:val="334"/>
        </w:trPr>
        <w:tc>
          <w:tcPr>
            <w:tcW w:w="843" w:type="dxa"/>
            <w:tcBorders>
              <w:top w:val="thinThickSmallGap" w:sz="24" w:space="0" w:color="auto"/>
              <w:left w:val="nil"/>
              <w:bottom w:val="thinThickSmallGap" w:sz="24" w:space="0" w:color="auto"/>
              <w:right w:val="nil"/>
            </w:tcBorders>
            <w:noWrap/>
            <w:vAlign w:val="center"/>
          </w:tcPr>
          <w:p w14:paraId="1BCE9CE3" w14:textId="6B034825"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P</w:t>
            </w:r>
            <w:r w:rsidR="0067099D">
              <w:rPr>
                <w:rFonts w:ascii="Times New Roman" w:eastAsia="Times New Roman" w:hAnsi="Times New Roman" w:cs="Times New Roman"/>
                <w:b/>
                <w:bCs/>
                <w:color w:val="000000"/>
                <w:sz w:val="20"/>
                <w:szCs w:val="20"/>
                <w:lang w:eastAsia="fr-FR"/>
              </w:rPr>
              <w:t>(Value)</w:t>
            </w:r>
          </w:p>
        </w:tc>
        <w:tc>
          <w:tcPr>
            <w:tcW w:w="879" w:type="dxa"/>
            <w:tcBorders>
              <w:top w:val="thinThickSmallGap" w:sz="24" w:space="0" w:color="auto"/>
              <w:left w:val="nil"/>
              <w:bottom w:val="thinThickSmallGap" w:sz="24" w:space="0" w:color="auto"/>
              <w:right w:val="nil"/>
            </w:tcBorders>
            <w:noWrap/>
            <w:vAlign w:val="center"/>
          </w:tcPr>
          <w:p w14:paraId="606578C5"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0,000</w:t>
            </w:r>
          </w:p>
        </w:tc>
        <w:tc>
          <w:tcPr>
            <w:tcW w:w="733" w:type="dxa"/>
            <w:tcBorders>
              <w:top w:val="thinThickSmallGap" w:sz="24" w:space="0" w:color="auto"/>
              <w:left w:val="nil"/>
              <w:bottom w:val="thinThickSmallGap" w:sz="24" w:space="0" w:color="auto"/>
              <w:right w:val="nil"/>
            </w:tcBorders>
            <w:noWrap/>
            <w:vAlign w:val="center"/>
          </w:tcPr>
          <w:p w14:paraId="2FD70245"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0,000</w:t>
            </w:r>
          </w:p>
        </w:tc>
        <w:tc>
          <w:tcPr>
            <w:tcW w:w="733" w:type="dxa"/>
            <w:tcBorders>
              <w:top w:val="thinThickSmallGap" w:sz="24" w:space="0" w:color="auto"/>
              <w:left w:val="nil"/>
              <w:bottom w:val="thinThickSmallGap" w:sz="24" w:space="0" w:color="auto"/>
              <w:right w:val="nil"/>
            </w:tcBorders>
            <w:noWrap/>
            <w:vAlign w:val="center"/>
          </w:tcPr>
          <w:p w14:paraId="667EEFB3"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p>
        </w:tc>
        <w:tc>
          <w:tcPr>
            <w:tcW w:w="733" w:type="dxa"/>
            <w:tcBorders>
              <w:top w:val="thinThickSmallGap" w:sz="24" w:space="0" w:color="auto"/>
              <w:left w:val="nil"/>
              <w:bottom w:val="thinThickSmallGap" w:sz="24" w:space="0" w:color="auto"/>
              <w:right w:val="nil"/>
            </w:tcBorders>
            <w:noWrap/>
            <w:vAlign w:val="center"/>
          </w:tcPr>
          <w:p w14:paraId="2EBE8FAD"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0,000  </w:t>
            </w:r>
          </w:p>
        </w:tc>
        <w:tc>
          <w:tcPr>
            <w:tcW w:w="1075" w:type="dxa"/>
            <w:tcBorders>
              <w:top w:val="thinThickSmallGap" w:sz="24" w:space="0" w:color="auto"/>
              <w:left w:val="nil"/>
              <w:bottom w:val="thinThickSmallGap" w:sz="24" w:space="0" w:color="auto"/>
              <w:right w:val="nil"/>
            </w:tcBorders>
            <w:noWrap/>
            <w:vAlign w:val="center"/>
          </w:tcPr>
          <w:p w14:paraId="5F9ABE08"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p>
        </w:tc>
        <w:tc>
          <w:tcPr>
            <w:tcW w:w="959" w:type="dxa"/>
            <w:tcBorders>
              <w:top w:val="thinThickSmallGap" w:sz="24" w:space="0" w:color="auto"/>
              <w:left w:val="nil"/>
              <w:bottom w:val="thinThickSmallGap" w:sz="24" w:space="0" w:color="auto"/>
              <w:right w:val="nil"/>
            </w:tcBorders>
            <w:noWrap/>
            <w:vAlign w:val="center"/>
          </w:tcPr>
          <w:p w14:paraId="4E791F1C"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p>
        </w:tc>
        <w:tc>
          <w:tcPr>
            <w:tcW w:w="889" w:type="dxa"/>
            <w:tcBorders>
              <w:top w:val="thinThickSmallGap" w:sz="24" w:space="0" w:color="auto"/>
              <w:left w:val="nil"/>
              <w:bottom w:val="thinThickSmallGap" w:sz="24" w:space="0" w:color="auto"/>
              <w:right w:val="nil"/>
            </w:tcBorders>
            <w:noWrap/>
            <w:vAlign w:val="center"/>
          </w:tcPr>
          <w:p w14:paraId="17AB45B9"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p>
        </w:tc>
        <w:tc>
          <w:tcPr>
            <w:tcW w:w="893" w:type="dxa"/>
            <w:tcBorders>
              <w:top w:val="thinThickSmallGap" w:sz="24" w:space="0" w:color="auto"/>
              <w:left w:val="nil"/>
              <w:bottom w:val="thinThickSmallGap" w:sz="24" w:space="0" w:color="auto"/>
              <w:right w:val="nil"/>
            </w:tcBorders>
            <w:noWrap/>
            <w:vAlign w:val="center"/>
          </w:tcPr>
          <w:p w14:paraId="209E87CD" w14:textId="77777777" w:rsidR="00563E01"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p>
        </w:tc>
        <w:tc>
          <w:tcPr>
            <w:tcW w:w="1571" w:type="dxa"/>
            <w:tcBorders>
              <w:top w:val="thinThickSmallGap" w:sz="24" w:space="0" w:color="auto"/>
              <w:left w:val="nil"/>
              <w:bottom w:val="thinThickSmallGap" w:sz="24" w:space="0" w:color="auto"/>
              <w:right w:val="nil"/>
            </w:tcBorders>
            <w:noWrap/>
            <w:vAlign w:val="center"/>
          </w:tcPr>
          <w:p w14:paraId="7CCC82C9" w14:textId="77777777" w:rsidR="00563E01"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p>
        </w:tc>
        <w:tc>
          <w:tcPr>
            <w:tcW w:w="499" w:type="dxa"/>
            <w:tcBorders>
              <w:top w:val="thinThickSmallGap" w:sz="24" w:space="0" w:color="auto"/>
              <w:left w:val="nil"/>
              <w:bottom w:val="thinThickSmallGap" w:sz="24" w:space="0" w:color="auto"/>
              <w:right w:val="nil"/>
            </w:tcBorders>
            <w:noWrap/>
            <w:vAlign w:val="bottom"/>
          </w:tcPr>
          <w:p w14:paraId="4CC24584" w14:textId="77777777" w:rsidR="00563E01" w:rsidRPr="00737ADE" w:rsidRDefault="00563E01" w:rsidP="00C434C0">
            <w:pPr>
              <w:spacing w:after="0" w:line="240" w:lineRule="auto"/>
              <w:rPr>
                <w:rFonts w:ascii="Times New Roman" w:eastAsia="Times New Roman" w:hAnsi="Times New Roman" w:cs="Times New Roman"/>
                <w:color w:val="000000"/>
                <w:sz w:val="20"/>
                <w:szCs w:val="20"/>
                <w:lang w:eastAsia="fr-FR"/>
              </w:rPr>
            </w:pPr>
          </w:p>
        </w:tc>
      </w:tr>
    </w:tbl>
    <w:p w14:paraId="1349B26D" w14:textId="6B8CD003" w:rsidR="00563E01" w:rsidRDefault="00563E01" w:rsidP="0067099D">
      <w:pPr>
        <w:spacing w:line="240" w:lineRule="auto"/>
        <w:jc w:val="both"/>
        <w:rPr>
          <w:rFonts w:ascii="Times New Roman" w:hAnsi="Times New Roman" w:cs="Times New Roman"/>
          <w:sz w:val="20"/>
          <w:szCs w:val="20"/>
        </w:rPr>
      </w:pPr>
      <w:r w:rsidRPr="0067099D">
        <w:rPr>
          <w:rFonts w:ascii="Times New Roman" w:hAnsi="Times New Roman" w:cs="Times New Roman"/>
          <w:sz w:val="20"/>
          <w:szCs w:val="20"/>
        </w:rPr>
        <w:t>Tukey. ***: significant at 5%, Lped: peduncle length, DiaFr: fruit diameter, Lofr: fruit length; PFrP: Fruit weight per plant; NbgrF: Number of seeds per fruit, NbFP: Number of fruits per plant   PTFP: Total fruit weight per plant, Yield in kg/ha: Yield per pocket in kg/ha, P100Gr: Weight of one thousand seeds T0: Control, T1: NPK; T2: Urea, T3: Composted poultry manure, T4: Composted cow manure, T5: Combination of NPK and composted cow manure, and T6: Combination of composted cow manure and composted poultry manure</w:t>
      </w:r>
    </w:p>
    <w:p w14:paraId="1414E5EC" w14:textId="27ACE364" w:rsidR="0067099D" w:rsidRDefault="0067099D" w:rsidP="0067099D">
      <w:pPr>
        <w:spacing w:line="240" w:lineRule="auto"/>
        <w:jc w:val="both"/>
        <w:rPr>
          <w:rFonts w:ascii="Times New Roman" w:hAnsi="Times New Roman" w:cs="Times New Roman"/>
          <w:b/>
          <w:bCs/>
          <w:i/>
          <w:iCs/>
          <w:sz w:val="24"/>
          <w:szCs w:val="24"/>
        </w:rPr>
      </w:pPr>
      <w:r w:rsidRPr="0067099D">
        <w:rPr>
          <w:rFonts w:ascii="Times New Roman" w:hAnsi="Times New Roman" w:cs="Times New Roman"/>
          <w:b/>
          <w:bCs/>
          <w:i/>
          <w:iCs/>
          <w:sz w:val="24"/>
          <w:szCs w:val="24"/>
        </w:rPr>
        <w:t>2.1.4 Effect of fertilizers on leaf color</w:t>
      </w:r>
    </w:p>
    <w:p w14:paraId="2E9C4E11" w14:textId="30C65815" w:rsidR="004A7826" w:rsidRDefault="004A7826" w:rsidP="004A7826">
      <w:pPr>
        <w:spacing w:line="360" w:lineRule="auto"/>
        <w:jc w:val="both"/>
        <w:rPr>
          <w:rFonts w:ascii="Times New Roman" w:hAnsi="Times New Roman" w:cs="Times New Roman"/>
          <w:sz w:val="24"/>
          <w:szCs w:val="24"/>
        </w:rPr>
      </w:pPr>
      <w:r w:rsidRPr="004A7826">
        <w:rPr>
          <w:rFonts w:ascii="Times New Roman" w:hAnsi="Times New Roman" w:cs="Times New Roman"/>
          <w:sz w:val="24"/>
          <w:szCs w:val="24"/>
        </w:rPr>
        <w:t>The qualitative variables were analyzed using Excel. The results are shown in Figure 4 below.</w:t>
      </w:r>
      <w:r>
        <w:rPr>
          <w:rFonts w:ascii="Times New Roman" w:hAnsi="Times New Roman" w:cs="Times New Roman"/>
          <w:sz w:val="24"/>
          <w:szCs w:val="24"/>
        </w:rPr>
        <w:t xml:space="preserve"> </w:t>
      </w:r>
      <w:r w:rsidRPr="004A7826">
        <w:rPr>
          <w:rFonts w:ascii="Times New Roman" w:hAnsi="Times New Roman" w:cs="Times New Roman"/>
          <w:sz w:val="24"/>
          <w:szCs w:val="24"/>
        </w:rPr>
        <w:t>Plants treated with T3, T4, and T6 had 100% dark green leaves.</w:t>
      </w:r>
      <w:r>
        <w:rPr>
          <w:rFonts w:ascii="Times New Roman" w:hAnsi="Times New Roman" w:cs="Times New Roman"/>
          <w:sz w:val="24"/>
          <w:szCs w:val="24"/>
        </w:rPr>
        <w:t xml:space="preserve"> </w:t>
      </w:r>
      <w:r w:rsidRPr="004A7826">
        <w:rPr>
          <w:rFonts w:ascii="Times New Roman" w:hAnsi="Times New Roman" w:cs="Times New Roman"/>
          <w:sz w:val="24"/>
          <w:szCs w:val="24"/>
        </w:rPr>
        <w:t>Plants in treatments T1, T2, and T5 had 100% green leaves, while those in treatment T0 had 100% light green leaves (Figure 4).</w:t>
      </w:r>
      <w:r>
        <w:rPr>
          <w:rFonts w:ascii="Times New Roman" w:hAnsi="Times New Roman" w:cs="Times New Roman"/>
          <w:sz w:val="24"/>
          <w:szCs w:val="24"/>
        </w:rPr>
        <w:t xml:space="preserve"> </w:t>
      </w:r>
    </w:p>
    <w:p w14:paraId="442DECC1" w14:textId="7F9451E6" w:rsidR="004A7826" w:rsidRDefault="004A7826" w:rsidP="004A7826">
      <w:pPr>
        <w:spacing w:line="360" w:lineRule="auto"/>
        <w:jc w:val="center"/>
        <w:rPr>
          <w:rFonts w:ascii="Times New Roman" w:hAnsi="Times New Roman" w:cs="Times New Roman"/>
          <w:sz w:val="24"/>
          <w:szCs w:val="24"/>
        </w:rPr>
      </w:pPr>
      <w:r>
        <w:rPr>
          <w:noProof/>
          <w:lang w:eastAsia="fr-FR"/>
        </w:rPr>
        <w:drawing>
          <wp:inline distT="0" distB="0" distL="0" distR="0" wp14:anchorId="2ED24BBB" wp14:editId="47444B4F">
            <wp:extent cx="5353050" cy="2905125"/>
            <wp:effectExtent l="0" t="0" r="0"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16CF79" w14:textId="3AB2D8EC" w:rsidR="004A7826" w:rsidRDefault="004A7826" w:rsidP="004A7826">
      <w:pPr>
        <w:spacing w:line="240" w:lineRule="auto"/>
        <w:jc w:val="center"/>
        <w:rPr>
          <w:rFonts w:ascii="Times New Roman" w:hAnsi="Times New Roman" w:cs="Times New Roman"/>
          <w:sz w:val="20"/>
          <w:szCs w:val="20"/>
        </w:rPr>
      </w:pPr>
      <w:bookmarkStart w:id="2" w:name="_Hlk217416109"/>
      <w:r w:rsidRPr="004A7826">
        <w:rPr>
          <w:rFonts w:ascii="Times New Roman" w:hAnsi="Times New Roman" w:cs="Times New Roman"/>
          <w:sz w:val="20"/>
          <w:szCs w:val="20"/>
        </w:rPr>
        <w:t>T0</w:t>
      </w:r>
      <w:r>
        <w:rPr>
          <w:rFonts w:ascii="Times New Roman" w:hAnsi="Times New Roman" w:cs="Times New Roman"/>
          <w:sz w:val="20"/>
          <w:szCs w:val="20"/>
        </w:rPr>
        <w:t xml:space="preserve"> </w:t>
      </w:r>
      <w:r w:rsidRPr="004A7826">
        <w:rPr>
          <w:rFonts w:ascii="Times New Roman" w:hAnsi="Times New Roman" w:cs="Times New Roman"/>
          <w:sz w:val="20"/>
          <w:szCs w:val="20"/>
        </w:rPr>
        <w:t>: control, T1: NPK, T2: urea, T3: composted poultry manure, T4: composted cow manure, T5: NPK + composted cow manure, and T6: composted poultry manure + composted cow manure.</w:t>
      </w:r>
    </w:p>
    <w:bookmarkEnd w:id="2"/>
    <w:p w14:paraId="7A38AC33" w14:textId="2209E25A" w:rsidR="004A7826" w:rsidRDefault="004A7826" w:rsidP="004A7826">
      <w:pPr>
        <w:spacing w:line="240" w:lineRule="auto"/>
        <w:jc w:val="center"/>
        <w:rPr>
          <w:rFonts w:ascii="Times New Roman" w:hAnsi="Times New Roman" w:cs="Times New Roman"/>
          <w:sz w:val="24"/>
          <w:szCs w:val="24"/>
        </w:rPr>
      </w:pPr>
      <w:r w:rsidRPr="004A7826">
        <w:rPr>
          <w:rFonts w:ascii="Times New Roman" w:hAnsi="Times New Roman" w:cs="Times New Roman"/>
          <w:b/>
          <w:bCs/>
          <w:sz w:val="24"/>
          <w:szCs w:val="24"/>
        </w:rPr>
        <w:t>Figure 4</w:t>
      </w:r>
      <w:r>
        <w:rPr>
          <w:rFonts w:ascii="Times New Roman" w:hAnsi="Times New Roman" w:cs="Times New Roman"/>
          <w:b/>
          <w:bCs/>
          <w:sz w:val="24"/>
          <w:szCs w:val="24"/>
        </w:rPr>
        <w:t xml:space="preserve"> </w:t>
      </w:r>
      <w:r w:rsidRPr="004A7826">
        <w:rPr>
          <w:rFonts w:ascii="Times New Roman" w:hAnsi="Times New Roman" w:cs="Times New Roman"/>
          <w:b/>
          <w:bCs/>
          <w:sz w:val="24"/>
          <w:szCs w:val="24"/>
        </w:rPr>
        <w:t>:</w:t>
      </w:r>
      <w:r w:rsidRPr="004A7826">
        <w:rPr>
          <w:rFonts w:ascii="Times New Roman" w:hAnsi="Times New Roman" w:cs="Times New Roman"/>
          <w:sz w:val="24"/>
          <w:szCs w:val="24"/>
        </w:rPr>
        <w:t xml:space="preserve"> Percentage of leaf colors according to treatment</w:t>
      </w:r>
    </w:p>
    <w:p w14:paraId="703D6990" w14:textId="4EC0CE94" w:rsidR="00360F61" w:rsidRDefault="00FB5590" w:rsidP="00FB5590">
      <w:pPr>
        <w:spacing w:line="240" w:lineRule="auto"/>
        <w:rPr>
          <w:rFonts w:ascii="Times New Roman" w:hAnsi="Times New Roman" w:cs="Times New Roman"/>
          <w:b/>
          <w:bCs/>
          <w:i/>
          <w:iCs/>
          <w:sz w:val="24"/>
          <w:szCs w:val="24"/>
        </w:rPr>
      </w:pPr>
      <w:r w:rsidRPr="00FB5590">
        <w:rPr>
          <w:rFonts w:ascii="Times New Roman" w:hAnsi="Times New Roman" w:cs="Times New Roman"/>
          <w:b/>
          <w:bCs/>
          <w:i/>
          <w:iCs/>
          <w:sz w:val="24"/>
          <w:szCs w:val="24"/>
        </w:rPr>
        <w:lastRenderedPageBreak/>
        <w:t>2.1.5. Relationships between treatments and the different variables studied</w:t>
      </w:r>
    </w:p>
    <w:p w14:paraId="408037EE" w14:textId="77777777" w:rsidR="0051785A" w:rsidRDefault="00FB5590" w:rsidP="00FB5590">
      <w:pPr>
        <w:spacing w:line="360" w:lineRule="auto"/>
        <w:jc w:val="both"/>
        <w:rPr>
          <w:rFonts w:ascii="Times New Roman" w:hAnsi="Times New Roman" w:cs="Times New Roman"/>
          <w:sz w:val="24"/>
          <w:szCs w:val="24"/>
        </w:rPr>
      </w:pPr>
      <w:r w:rsidRPr="00FB5590">
        <w:rPr>
          <w:rFonts w:ascii="Times New Roman" w:hAnsi="Times New Roman" w:cs="Times New Roman"/>
          <w:sz w:val="24"/>
          <w:szCs w:val="24"/>
        </w:rPr>
        <w:t>The data on the different variables subjected to principal component analysis (PCA) enabled us to characterize, describe, and represent the similarities between treatments in relation to all the variables studied.</w:t>
      </w:r>
    </w:p>
    <w:p w14:paraId="55C1EE2A" w14:textId="5806BD75" w:rsidR="00FB5590" w:rsidRDefault="00FB5590" w:rsidP="00FB5590">
      <w:pPr>
        <w:spacing w:line="360" w:lineRule="auto"/>
        <w:jc w:val="both"/>
        <w:rPr>
          <w:rFonts w:ascii="Times New Roman" w:hAnsi="Times New Roman" w:cs="Times New Roman"/>
          <w:sz w:val="24"/>
          <w:szCs w:val="24"/>
        </w:rPr>
      </w:pPr>
      <w:r w:rsidRPr="00FB5590">
        <w:rPr>
          <w:rFonts w:ascii="Times New Roman" w:hAnsi="Times New Roman" w:cs="Times New Roman"/>
          <w:sz w:val="24"/>
          <w:szCs w:val="24"/>
        </w:rPr>
        <w:t>The first two components absorb 79.62% of the total variation in the information (Figure 5).</w:t>
      </w:r>
      <w:r>
        <w:rPr>
          <w:rFonts w:ascii="Times New Roman" w:hAnsi="Times New Roman" w:cs="Times New Roman"/>
          <w:sz w:val="24"/>
          <w:szCs w:val="24"/>
        </w:rPr>
        <w:t xml:space="preserve"> </w:t>
      </w:r>
      <w:r w:rsidR="0051785A" w:rsidRPr="0051785A">
        <w:rPr>
          <w:rFonts w:ascii="Times New Roman" w:hAnsi="Times New Roman" w:cs="Times New Roman"/>
          <w:sz w:val="24"/>
          <w:szCs w:val="24"/>
        </w:rPr>
        <w:t>This analysis with axis 1 showed us that the variables Plant height at 30, 60, and 90 days after transplanting, canopy width, yield in kilograms per hectare, and total fruit weight per plant are positively correlated with axis 1, while phenological stages, particularly the appearance of secondary shoots, the onset of flower budding, flowering, fruiting, and ripening, are negatively correlated with axis 1 (Figure 5, Table 7).</w:t>
      </w:r>
      <w:r w:rsidR="0051785A">
        <w:rPr>
          <w:rFonts w:ascii="Times New Roman" w:hAnsi="Times New Roman" w:cs="Times New Roman"/>
          <w:sz w:val="24"/>
          <w:szCs w:val="24"/>
        </w:rPr>
        <w:t xml:space="preserve"> </w:t>
      </w:r>
      <w:r w:rsidR="0051785A" w:rsidRPr="0051785A">
        <w:rPr>
          <w:rFonts w:ascii="Times New Roman" w:hAnsi="Times New Roman" w:cs="Times New Roman"/>
          <w:sz w:val="24"/>
          <w:szCs w:val="24"/>
        </w:rPr>
        <w:t>With regard to axis 2, it was found that all variables were in perfect positive correlation with axis 2 (Table 7). The PCA analysis allowed us to divide the treatments into four (4) groups, as illustrated in the figure below (Figure 5).</w:t>
      </w:r>
      <w:r w:rsidR="0051785A">
        <w:rPr>
          <w:rFonts w:ascii="Times New Roman" w:hAnsi="Times New Roman" w:cs="Times New Roman"/>
          <w:sz w:val="24"/>
          <w:szCs w:val="24"/>
        </w:rPr>
        <w:t xml:space="preserve"> </w:t>
      </w:r>
      <w:r w:rsidR="0051785A" w:rsidRPr="0051785A">
        <w:rPr>
          <w:rFonts w:ascii="Times New Roman" w:hAnsi="Times New Roman" w:cs="Times New Roman"/>
          <w:sz w:val="24"/>
          <w:szCs w:val="24"/>
        </w:rPr>
        <w:t>Group 1 consisted of the control (T0), group 2 consisted of T1, T2, and T5 (NPK, urea, and a combination of NPK and cow manure), group 3 consisted of T4 and T6 (cow manure and a combination of poultry manure and cow manure), and group 4 consisted of T3, which was poultry manure.</w:t>
      </w:r>
      <w:r w:rsidR="0051785A">
        <w:rPr>
          <w:rFonts w:ascii="Times New Roman" w:hAnsi="Times New Roman" w:cs="Times New Roman"/>
          <w:sz w:val="24"/>
          <w:szCs w:val="24"/>
        </w:rPr>
        <w:t xml:space="preserve"> </w:t>
      </w:r>
      <w:r w:rsidR="0051785A" w:rsidRPr="0051785A">
        <w:rPr>
          <w:rFonts w:ascii="Times New Roman" w:hAnsi="Times New Roman" w:cs="Times New Roman"/>
          <w:sz w:val="24"/>
          <w:szCs w:val="24"/>
        </w:rPr>
        <w:t>T0 stood out from the other treatments because its phenological stages were all late, while T3 stood out from the others because it was early but also because it had higher values for almost all the parameters studied.</w:t>
      </w:r>
      <w:r w:rsidR="0051785A">
        <w:rPr>
          <w:rFonts w:ascii="Times New Roman" w:hAnsi="Times New Roman" w:cs="Times New Roman"/>
          <w:sz w:val="24"/>
          <w:szCs w:val="24"/>
        </w:rPr>
        <w:t xml:space="preserve"> </w:t>
      </w:r>
    </w:p>
    <w:p w14:paraId="159F226C" w14:textId="14F858D0" w:rsidR="0051785A" w:rsidRDefault="0051785A" w:rsidP="00FB5590">
      <w:pPr>
        <w:spacing w:line="360" w:lineRule="auto"/>
        <w:jc w:val="both"/>
        <w:rPr>
          <w:rFonts w:ascii="Times New Roman" w:hAnsi="Times New Roman" w:cs="Times New Roman"/>
          <w:sz w:val="24"/>
          <w:szCs w:val="24"/>
        </w:rPr>
      </w:pPr>
    </w:p>
    <w:p w14:paraId="1673D34B" w14:textId="747DB2C5" w:rsidR="0051785A" w:rsidRDefault="0051785A" w:rsidP="00FB5590">
      <w:pPr>
        <w:spacing w:line="360" w:lineRule="auto"/>
        <w:jc w:val="both"/>
        <w:rPr>
          <w:rFonts w:ascii="Times New Roman" w:hAnsi="Times New Roman" w:cs="Times New Roman"/>
          <w:sz w:val="24"/>
          <w:szCs w:val="24"/>
        </w:rPr>
      </w:pPr>
    </w:p>
    <w:p w14:paraId="15401732" w14:textId="56C694BB" w:rsidR="0051785A" w:rsidRDefault="0051785A" w:rsidP="00FB5590">
      <w:pPr>
        <w:spacing w:line="360" w:lineRule="auto"/>
        <w:jc w:val="both"/>
        <w:rPr>
          <w:rFonts w:ascii="Times New Roman" w:hAnsi="Times New Roman" w:cs="Times New Roman"/>
          <w:sz w:val="24"/>
          <w:szCs w:val="24"/>
        </w:rPr>
      </w:pPr>
    </w:p>
    <w:p w14:paraId="1B44B349" w14:textId="359EB9D5" w:rsidR="0051785A" w:rsidRDefault="0051785A" w:rsidP="00FB5590">
      <w:pPr>
        <w:spacing w:line="360" w:lineRule="auto"/>
        <w:jc w:val="both"/>
        <w:rPr>
          <w:rFonts w:ascii="Times New Roman" w:hAnsi="Times New Roman" w:cs="Times New Roman"/>
          <w:sz w:val="24"/>
          <w:szCs w:val="24"/>
        </w:rPr>
      </w:pPr>
    </w:p>
    <w:p w14:paraId="254BF0B4" w14:textId="6D5DF870" w:rsidR="0051785A" w:rsidRDefault="0051785A" w:rsidP="00FB5590">
      <w:pPr>
        <w:spacing w:line="360" w:lineRule="auto"/>
        <w:jc w:val="both"/>
        <w:rPr>
          <w:rFonts w:ascii="Times New Roman" w:hAnsi="Times New Roman" w:cs="Times New Roman"/>
          <w:sz w:val="24"/>
          <w:szCs w:val="24"/>
        </w:rPr>
      </w:pPr>
    </w:p>
    <w:p w14:paraId="4910D2BA" w14:textId="25711518" w:rsidR="0051785A" w:rsidRDefault="0051785A" w:rsidP="00FB5590">
      <w:pPr>
        <w:spacing w:line="360" w:lineRule="auto"/>
        <w:jc w:val="both"/>
        <w:rPr>
          <w:rFonts w:ascii="Times New Roman" w:hAnsi="Times New Roman" w:cs="Times New Roman"/>
          <w:sz w:val="24"/>
          <w:szCs w:val="24"/>
        </w:rPr>
      </w:pPr>
    </w:p>
    <w:p w14:paraId="7E43064B" w14:textId="6C555D82" w:rsidR="0051785A" w:rsidRDefault="0051785A" w:rsidP="00FB5590">
      <w:pPr>
        <w:spacing w:line="360" w:lineRule="auto"/>
        <w:jc w:val="both"/>
        <w:rPr>
          <w:rFonts w:ascii="Times New Roman" w:hAnsi="Times New Roman" w:cs="Times New Roman"/>
          <w:sz w:val="24"/>
          <w:szCs w:val="24"/>
        </w:rPr>
      </w:pPr>
    </w:p>
    <w:p w14:paraId="21F14495" w14:textId="3FE0C173" w:rsidR="0051785A" w:rsidRDefault="0051785A" w:rsidP="00FB5590">
      <w:pPr>
        <w:spacing w:line="360" w:lineRule="auto"/>
        <w:jc w:val="both"/>
        <w:rPr>
          <w:rFonts w:ascii="Times New Roman" w:hAnsi="Times New Roman" w:cs="Times New Roman"/>
          <w:sz w:val="24"/>
          <w:szCs w:val="24"/>
        </w:rPr>
      </w:pPr>
    </w:p>
    <w:p w14:paraId="2C6A30E5" w14:textId="00E28C0D" w:rsidR="0051785A" w:rsidRDefault="0051785A" w:rsidP="00FB5590">
      <w:pPr>
        <w:spacing w:line="360" w:lineRule="auto"/>
        <w:jc w:val="both"/>
        <w:rPr>
          <w:rFonts w:ascii="Times New Roman" w:hAnsi="Times New Roman" w:cs="Times New Roman"/>
          <w:sz w:val="24"/>
          <w:szCs w:val="24"/>
        </w:rPr>
      </w:pPr>
    </w:p>
    <w:p w14:paraId="0E236D72" w14:textId="002A7407" w:rsidR="0051785A" w:rsidRDefault="0051785A" w:rsidP="00FB5590">
      <w:pPr>
        <w:spacing w:line="360" w:lineRule="auto"/>
        <w:jc w:val="both"/>
        <w:rPr>
          <w:rFonts w:ascii="Times New Roman" w:hAnsi="Times New Roman" w:cs="Times New Roman"/>
          <w:sz w:val="24"/>
          <w:szCs w:val="24"/>
        </w:rPr>
      </w:pPr>
    </w:p>
    <w:p w14:paraId="77B1E5B4" w14:textId="7EC61294" w:rsidR="0051785A" w:rsidRDefault="0051785A" w:rsidP="00FB5590">
      <w:pPr>
        <w:spacing w:line="360" w:lineRule="auto"/>
        <w:jc w:val="both"/>
        <w:rPr>
          <w:rFonts w:ascii="Times New Roman" w:hAnsi="Times New Roman" w:cs="Times New Roman"/>
          <w:sz w:val="24"/>
          <w:szCs w:val="24"/>
        </w:rPr>
      </w:pPr>
    </w:p>
    <w:p w14:paraId="2F415A50" w14:textId="77777777" w:rsidR="0051785A" w:rsidRDefault="0051785A" w:rsidP="00FB5590">
      <w:pPr>
        <w:spacing w:line="360" w:lineRule="auto"/>
        <w:jc w:val="both"/>
        <w:rPr>
          <w:rFonts w:ascii="Times New Roman" w:hAnsi="Times New Roman" w:cs="Times New Roman"/>
          <w:sz w:val="24"/>
          <w:szCs w:val="24"/>
        </w:rPr>
        <w:sectPr w:rsidR="0051785A" w:rsidSect="009D5F63">
          <w:pgSz w:w="11906" w:h="16838"/>
          <w:pgMar w:top="1418" w:right="1418" w:bottom="1418" w:left="1418" w:header="709" w:footer="709" w:gutter="0"/>
          <w:cols w:space="708"/>
          <w:docGrid w:linePitch="360"/>
        </w:sectPr>
      </w:pPr>
    </w:p>
    <w:p w14:paraId="11A5BC64" w14:textId="6B1ED361" w:rsidR="0051785A" w:rsidRDefault="00103FAB" w:rsidP="0051785A">
      <w:pPr>
        <w:spacing w:line="360" w:lineRule="auto"/>
        <w:jc w:val="center"/>
        <w:rPr>
          <w:rFonts w:ascii="Times New Roman" w:hAnsi="Times New Roman" w:cs="Times New Roman"/>
          <w:b/>
          <w:bCs/>
          <w:sz w:val="24"/>
          <w:szCs w:val="24"/>
        </w:rPr>
      </w:pPr>
      <w:r w:rsidRPr="004D19EB">
        <w:rPr>
          <w:noProof/>
        </w:rPr>
        <w:lastRenderedPageBreak/>
        <w:drawing>
          <wp:inline distT="0" distB="0" distL="0" distR="0" wp14:anchorId="18A02714" wp14:editId="17722C65">
            <wp:extent cx="9267825" cy="4965521"/>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1963" cy="4967738"/>
                    </a:xfrm>
                    <a:prstGeom prst="rect">
                      <a:avLst/>
                    </a:prstGeom>
                    <a:noFill/>
                    <a:ln>
                      <a:noFill/>
                    </a:ln>
                  </pic:spPr>
                </pic:pic>
              </a:graphicData>
            </a:graphic>
          </wp:inline>
        </w:drawing>
      </w:r>
    </w:p>
    <w:p w14:paraId="55CC514C" w14:textId="46106DA8" w:rsidR="0051785A" w:rsidRPr="00FB5590" w:rsidRDefault="0051785A" w:rsidP="0051785A">
      <w:pPr>
        <w:spacing w:line="360" w:lineRule="auto"/>
        <w:jc w:val="center"/>
        <w:rPr>
          <w:rFonts w:ascii="Times New Roman" w:hAnsi="Times New Roman" w:cs="Times New Roman"/>
          <w:sz w:val="24"/>
          <w:szCs w:val="24"/>
        </w:rPr>
      </w:pPr>
      <w:r w:rsidRPr="0051785A">
        <w:rPr>
          <w:rFonts w:ascii="Times New Roman" w:hAnsi="Times New Roman" w:cs="Times New Roman"/>
          <w:b/>
          <w:bCs/>
          <w:sz w:val="24"/>
          <w:szCs w:val="24"/>
        </w:rPr>
        <w:t>Figure 5</w:t>
      </w:r>
      <w:r>
        <w:rPr>
          <w:rFonts w:ascii="Times New Roman" w:hAnsi="Times New Roman" w:cs="Times New Roman"/>
          <w:sz w:val="24"/>
          <w:szCs w:val="24"/>
        </w:rPr>
        <w:t xml:space="preserve"> </w:t>
      </w:r>
      <w:r w:rsidRPr="0051785A">
        <w:rPr>
          <w:rFonts w:ascii="Times New Roman" w:hAnsi="Times New Roman" w:cs="Times New Roman"/>
          <w:sz w:val="24"/>
          <w:szCs w:val="24"/>
        </w:rPr>
        <w:t xml:space="preserve">: </w:t>
      </w:r>
      <w:r w:rsidRPr="0051785A">
        <w:rPr>
          <w:rFonts w:ascii="Times New Roman" w:hAnsi="Times New Roman" w:cs="Times New Roman"/>
          <w:b/>
          <w:bCs/>
          <w:color w:val="FF0000"/>
          <w:sz w:val="24"/>
          <w:szCs w:val="24"/>
        </w:rPr>
        <w:t>A</w:t>
      </w:r>
      <w:r w:rsidRPr="0051785A">
        <w:rPr>
          <w:rFonts w:ascii="Times New Roman" w:hAnsi="Times New Roman" w:cs="Times New Roman"/>
          <w:color w:val="FF0000"/>
          <w:sz w:val="24"/>
          <w:szCs w:val="24"/>
        </w:rPr>
        <w:t xml:space="preserve"> : </w:t>
      </w:r>
      <w:r w:rsidRPr="0051785A">
        <w:rPr>
          <w:rFonts w:ascii="Times New Roman" w:hAnsi="Times New Roman" w:cs="Times New Roman"/>
          <w:sz w:val="24"/>
          <w:szCs w:val="24"/>
        </w:rPr>
        <w:t xml:space="preserve">Distribution of individuals according to treatment on the plane formed by the first two PCA axes, and </w:t>
      </w:r>
      <w:r w:rsidRPr="0051785A">
        <w:rPr>
          <w:rFonts w:ascii="Times New Roman" w:hAnsi="Times New Roman" w:cs="Times New Roman"/>
          <w:b/>
          <w:bCs/>
          <w:color w:val="FF0000"/>
          <w:sz w:val="24"/>
          <w:szCs w:val="24"/>
        </w:rPr>
        <w:t xml:space="preserve">B </w:t>
      </w:r>
      <w:r w:rsidRPr="0051785A">
        <w:rPr>
          <w:rFonts w:ascii="Times New Roman" w:hAnsi="Times New Roman" w:cs="Times New Roman"/>
          <w:sz w:val="24"/>
          <w:szCs w:val="24"/>
        </w:rPr>
        <w:t>: Circle of correlations between variables.</w:t>
      </w:r>
    </w:p>
    <w:p w14:paraId="6CE2E494" w14:textId="77777777" w:rsidR="003B629A" w:rsidRDefault="003B629A" w:rsidP="00360F61">
      <w:pPr>
        <w:spacing w:line="240" w:lineRule="auto"/>
        <w:rPr>
          <w:rFonts w:ascii="Times New Roman" w:hAnsi="Times New Roman" w:cs="Times New Roman"/>
          <w:sz w:val="24"/>
          <w:szCs w:val="24"/>
        </w:rPr>
        <w:sectPr w:rsidR="003B629A" w:rsidSect="0051785A">
          <w:pgSz w:w="16838" w:h="11906" w:orient="landscape"/>
          <w:pgMar w:top="1418" w:right="1418" w:bottom="1418" w:left="1418" w:header="709" w:footer="709" w:gutter="0"/>
          <w:cols w:space="708"/>
          <w:docGrid w:linePitch="360"/>
        </w:sectPr>
      </w:pPr>
    </w:p>
    <w:p w14:paraId="35E6B89C" w14:textId="3FFFBE4C" w:rsidR="003B629A" w:rsidRPr="003B629A" w:rsidRDefault="003B629A" w:rsidP="003B629A">
      <w:pPr>
        <w:spacing w:line="240" w:lineRule="auto"/>
        <w:jc w:val="both"/>
        <w:rPr>
          <w:rFonts w:ascii="Times New Roman" w:hAnsi="Times New Roman" w:cs="Times New Roman"/>
          <w:sz w:val="24"/>
          <w:szCs w:val="24"/>
        </w:rPr>
      </w:pPr>
      <w:r w:rsidRPr="003B629A">
        <w:rPr>
          <w:rFonts w:ascii="Times New Roman" w:hAnsi="Times New Roman" w:cs="Times New Roman"/>
          <w:b/>
          <w:bCs/>
          <w:sz w:val="24"/>
          <w:szCs w:val="24"/>
        </w:rPr>
        <w:lastRenderedPageBreak/>
        <w:t>Table 7 :</w:t>
      </w:r>
      <w:r w:rsidRPr="003B629A">
        <w:rPr>
          <w:rFonts w:ascii="Times New Roman" w:hAnsi="Times New Roman" w:cs="Times New Roman"/>
          <w:sz w:val="24"/>
          <w:szCs w:val="24"/>
        </w:rPr>
        <w:t xml:space="preserve"> Correlation between variables and axes</w:t>
      </w:r>
    </w:p>
    <w:p w14:paraId="6F4501F3" w14:textId="77777777" w:rsidR="003B629A" w:rsidRPr="00E41897" w:rsidRDefault="003B629A" w:rsidP="003B629A">
      <w:pPr>
        <w:pBdr>
          <w:top w:val="thinThickSmallGap" w:sz="24" w:space="1" w:color="auto"/>
          <w:bottom w:val="thinThickSmallGap" w:sz="24" w:space="1" w:color="auto"/>
        </w:pBdr>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41897">
        <w:rPr>
          <w:rFonts w:ascii="Times New Roman" w:hAnsi="Times New Roman" w:cs="Times New Roman"/>
          <w:b/>
          <w:sz w:val="24"/>
          <w:szCs w:val="24"/>
        </w:rPr>
        <w:t>Axe 1</w:t>
      </w:r>
      <w:r w:rsidRPr="00E41897">
        <w:rPr>
          <w:rFonts w:ascii="Times New Roman" w:hAnsi="Times New Roman" w:cs="Times New Roman"/>
          <w:b/>
          <w:sz w:val="24"/>
          <w:szCs w:val="24"/>
        </w:rPr>
        <w:tab/>
      </w:r>
      <w:r w:rsidRPr="00E41897">
        <w:rPr>
          <w:rFonts w:ascii="Times New Roman" w:hAnsi="Times New Roman" w:cs="Times New Roman"/>
          <w:b/>
          <w:sz w:val="24"/>
          <w:szCs w:val="24"/>
        </w:rPr>
        <w:tab/>
        <w:t>Axe 2</w:t>
      </w:r>
    </w:p>
    <w:p w14:paraId="4568B9D8" w14:textId="579BE7B2" w:rsidR="003B629A" w:rsidRDefault="003B629A" w:rsidP="003B629A">
      <w:pPr>
        <w:spacing w:line="240" w:lineRule="auto"/>
        <w:rPr>
          <w:rFonts w:ascii="Times New Roman" w:hAnsi="Times New Roman" w:cs="Times New Roman"/>
          <w:sz w:val="24"/>
          <w:szCs w:val="24"/>
        </w:rPr>
      </w:pPr>
      <w:r w:rsidRPr="003B629A">
        <w:rPr>
          <w:rFonts w:ascii="Times New Roman" w:hAnsi="Times New Roman" w:cs="Times New Roman"/>
          <w:b/>
          <w:sz w:val="24"/>
          <w:szCs w:val="24"/>
        </w:rPr>
        <w:t>Total variance %</w:t>
      </w:r>
      <w:r w:rsidRPr="003B629A">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ab/>
        <w:t xml:space="preserve"> 60.71</w:t>
      </w:r>
      <w:r>
        <w:rPr>
          <w:rFonts w:ascii="Times New Roman" w:hAnsi="Times New Roman" w:cs="Times New Roman"/>
          <w:sz w:val="24"/>
          <w:szCs w:val="24"/>
        </w:rPr>
        <w:tab/>
      </w:r>
      <w:r>
        <w:rPr>
          <w:rFonts w:ascii="Times New Roman" w:hAnsi="Times New Roman" w:cs="Times New Roman"/>
          <w:sz w:val="24"/>
          <w:szCs w:val="24"/>
        </w:rPr>
        <w:tab/>
        <w:t>18.91</w:t>
      </w:r>
    </w:p>
    <w:p w14:paraId="5DAE62F7" w14:textId="0F81E7AD" w:rsidR="003B629A" w:rsidRDefault="003B629A" w:rsidP="003B629A">
      <w:pPr>
        <w:pBdr>
          <w:bottom w:val="triple" w:sz="4" w:space="1" w:color="auto"/>
        </w:pBdr>
        <w:spacing w:line="240" w:lineRule="auto"/>
        <w:jc w:val="both"/>
        <w:rPr>
          <w:rFonts w:ascii="Times New Roman" w:hAnsi="Times New Roman" w:cs="Times New Roman"/>
          <w:sz w:val="24"/>
          <w:szCs w:val="24"/>
        </w:rPr>
      </w:pPr>
      <w:r w:rsidRPr="003B629A">
        <w:rPr>
          <w:rFonts w:ascii="Times New Roman" w:hAnsi="Times New Roman" w:cs="Times New Roman"/>
          <w:b/>
          <w:sz w:val="24"/>
          <w:szCs w:val="24"/>
        </w:rPr>
        <w:t>Total variance accumulation %</w:t>
      </w:r>
      <w:r>
        <w:rPr>
          <w:rFonts w:ascii="Times New Roman" w:hAnsi="Times New Roman" w:cs="Times New Roman"/>
          <w:sz w:val="24"/>
          <w:szCs w:val="24"/>
        </w:rPr>
        <w:tab/>
        <w:t xml:space="preserve"> 60.71</w:t>
      </w:r>
      <w:r>
        <w:rPr>
          <w:rFonts w:ascii="Times New Roman" w:hAnsi="Times New Roman" w:cs="Times New Roman"/>
          <w:sz w:val="24"/>
          <w:szCs w:val="24"/>
        </w:rPr>
        <w:tab/>
      </w:r>
      <w:r>
        <w:rPr>
          <w:rFonts w:ascii="Times New Roman" w:hAnsi="Times New Roman" w:cs="Times New Roman"/>
          <w:sz w:val="24"/>
          <w:szCs w:val="24"/>
        </w:rPr>
        <w:tab/>
        <w:t xml:space="preserve"> 79.62</w:t>
      </w:r>
    </w:p>
    <w:p w14:paraId="57234337" w14:textId="77777777" w:rsidR="003B629A" w:rsidRDefault="003B629A" w:rsidP="003B629A">
      <w:pPr>
        <w:spacing w:line="240" w:lineRule="auto"/>
        <w:jc w:val="both"/>
        <w:rPr>
          <w:rFonts w:ascii="Times New Roman" w:hAnsi="Times New Roman" w:cs="Times New Roman"/>
          <w:b/>
          <w:sz w:val="24"/>
          <w:szCs w:val="24"/>
        </w:rPr>
      </w:pPr>
      <w:r w:rsidRPr="003B629A">
        <w:rPr>
          <w:rFonts w:ascii="Times New Roman" w:hAnsi="Times New Roman" w:cs="Times New Roman"/>
          <w:b/>
          <w:sz w:val="24"/>
          <w:szCs w:val="24"/>
        </w:rPr>
        <w:t>Contribution of variables</w:t>
      </w:r>
    </w:p>
    <w:p w14:paraId="51779DFD" w14:textId="5587D5D6" w:rsidR="003B629A" w:rsidRDefault="003B629A" w:rsidP="00A77333">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Bflo</w:t>
      </w:r>
      <w:r w:rsidRPr="004D3929">
        <w:rPr>
          <w:rFonts w:ascii="Times New Roman" w:hAnsi="Times New Roman" w:cs="Times New Roman"/>
          <w:b/>
          <w:sz w:val="24"/>
          <w:szCs w:val="24"/>
        </w:rPr>
        <w:tab/>
      </w:r>
      <w:r w:rsidRPr="004D3929">
        <w:rPr>
          <w:rFonts w:ascii="Times New Roman" w:hAnsi="Times New Roman" w:cs="Times New Roman"/>
          <w:b/>
          <w:sz w:val="24"/>
          <w:szCs w:val="24"/>
        </w:rPr>
        <w:tab/>
      </w:r>
      <w:r>
        <w:rPr>
          <w:rFonts w:ascii="Times New Roman" w:hAnsi="Times New Roman" w:cs="Times New Roman"/>
          <w:sz w:val="24"/>
          <w:szCs w:val="24"/>
        </w:rPr>
        <w:tab/>
        <w:t xml:space="preserve"> -0.84</w:t>
      </w:r>
      <w:r>
        <w:rPr>
          <w:rFonts w:ascii="Times New Roman" w:hAnsi="Times New Roman" w:cs="Times New Roman"/>
          <w:sz w:val="24"/>
          <w:szCs w:val="24"/>
        </w:rPr>
        <w:tab/>
      </w:r>
      <w:r>
        <w:rPr>
          <w:rFonts w:ascii="Times New Roman" w:hAnsi="Times New Roman" w:cs="Times New Roman"/>
          <w:sz w:val="24"/>
          <w:szCs w:val="24"/>
        </w:rPr>
        <w:tab/>
        <w:t xml:space="preserve">    0.44</w:t>
      </w:r>
    </w:p>
    <w:p w14:paraId="74F4DA29" w14:textId="25BF179B"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Flor</w:t>
      </w:r>
      <w:r>
        <w:rPr>
          <w:rFonts w:ascii="Times New Roman" w:hAnsi="Times New Roman" w:cs="Times New Roman"/>
          <w:sz w:val="24"/>
          <w:szCs w:val="24"/>
        </w:rPr>
        <w:tab/>
      </w:r>
      <w:r>
        <w:rPr>
          <w:rFonts w:ascii="Times New Roman" w:hAnsi="Times New Roman" w:cs="Times New Roman"/>
          <w:sz w:val="24"/>
          <w:szCs w:val="24"/>
        </w:rPr>
        <w:tab/>
        <w:t xml:space="preserve">              -0.84</w:t>
      </w:r>
      <w:r>
        <w:rPr>
          <w:rFonts w:ascii="Times New Roman" w:hAnsi="Times New Roman" w:cs="Times New Roman"/>
          <w:sz w:val="24"/>
          <w:szCs w:val="24"/>
        </w:rPr>
        <w:tab/>
        <w:t xml:space="preserve">                0.44</w:t>
      </w:r>
    </w:p>
    <w:p w14:paraId="70623C45" w14:textId="0FDB21C2"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 xml:space="preserve"> Fruc</w:t>
      </w:r>
      <w:r w:rsidRPr="004D392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-0.89</w:t>
      </w:r>
      <w:r>
        <w:rPr>
          <w:rFonts w:ascii="Times New Roman" w:hAnsi="Times New Roman" w:cs="Times New Roman"/>
          <w:sz w:val="24"/>
          <w:szCs w:val="24"/>
        </w:rPr>
        <w:tab/>
        <w:t xml:space="preserve">                0.39</w:t>
      </w:r>
    </w:p>
    <w:p w14:paraId="03AF1A22" w14:textId="71059B0C"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-0.87</w:t>
      </w:r>
      <w:r>
        <w:rPr>
          <w:rFonts w:ascii="Times New Roman" w:hAnsi="Times New Roman" w:cs="Times New Roman"/>
          <w:sz w:val="24"/>
          <w:szCs w:val="24"/>
        </w:rPr>
        <w:tab/>
        <w:t xml:space="preserve">                0.32</w:t>
      </w:r>
    </w:p>
    <w:p w14:paraId="6F8A2F97" w14:textId="4133A58B"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NbFP</w:t>
      </w:r>
      <w:r w:rsidRPr="004D3929">
        <w:rPr>
          <w:rFonts w:ascii="Times New Roman" w:hAnsi="Times New Roman" w:cs="Times New Roman"/>
          <w:b/>
          <w:sz w:val="24"/>
          <w:szCs w:val="24"/>
        </w:rPr>
        <w:tab/>
      </w:r>
      <w:r>
        <w:rPr>
          <w:rFonts w:ascii="Times New Roman" w:hAnsi="Times New Roman" w:cs="Times New Roman"/>
          <w:sz w:val="24"/>
          <w:szCs w:val="24"/>
        </w:rPr>
        <w:t xml:space="preserve">                           0.83</w:t>
      </w:r>
      <w:r>
        <w:rPr>
          <w:rFonts w:ascii="Times New Roman" w:hAnsi="Times New Roman" w:cs="Times New Roman"/>
          <w:sz w:val="24"/>
          <w:szCs w:val="24"/>
        </w:rPr>
        <w:tab/>
        <w:t xml:space="preserve">                0.03</w:t>
      </w:r>
      <w:r>
        <w:rPr>
          <w:rFonts w:ascii="Times New Roman" w:hAnsi="Times New Roman" w:cs="Times New Roman"/>
          <w:sz w:val="24"/>
          <w:szCs w:val="24"/>
        </w:rPr>
        <w:tab/>
      </w:r>
    </w:p>
    <w:p w14:paraId="23509843" w14:textId="48C1B40A"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 xml:space="preserve"> PTFP</w:t>
      </w:r>
      <w:r w:rsidRPr="004D3929">
        <w:rPr>
          <w:rFonts w:ascii="Times New Roman" w:hAnsi="Times New Roman" w:cs="Times New Roman"/>
          <w:b/>
          <w:sz w:val="24"/>
          <w:szCs w:val="24"/>
        </w:rPr>
        <w:tab/>
      </w:r>
      <w:r>
        <w:rPr>
          <w:rFonts w:ascii="Times New Roman" w:hAnsi="Times New Roman" w:cs="Times New Roman"/>
          <w:sz w:val="24"/>
          <w:szCs w:val="24"/>
        </w:rPr>
        <w:t xml:space="preserve">                           0.80</w:t>
      </w:r>
      <w:r>
        <w:rPr>
          <w:rFonts w:ascii="Times New Roman" w:hAnsi="Times New Roman" w:cs="Times New Roman"/>
          <w:sz w:val="24"/>
          <w:szCs w:val="24"/>
        </w:rPr>
        <w:tab/>
        <w:t xml:space="preserve">      </w:t>
      </w:r>
      <w:r>
        <w:rPr>
          <w:rFonts w:ascii="Times New Roman" w:hAnsi="Times New Roman" w:cs="Times New Roman"/>
          <w:sz w:val="24"/>
          <w:szCs w:val="24"/>
        </w:rPr>
        <w:tab/>
        <w:t xml:space="preserve">    0.06</w:t>
      </w:r>
    </w:p>
    <w:p w14:paraId="65EE0519" w14:textId="5CBFF700"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RndP</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0.80</w:t>
      </w:r>
      <w:r>
        <w:rPr>
          <w:rFonts w:ascii="Times New Roman" w:hAnsi="Times New Roman" w:cs="Times New Roman"/>
          <w:sz w:val="24"/>
          <w:szCs w:val="24"/>
        </w:rPr>
        <w:tab/>
        <w:t xml:space="preserve">                0.06</w:t>
      </w:r>
    </w:p>
    <w:p w14:paraId="77468A36" w14:textId="2FD4F01D"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HPPl1</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0.65</w:t>
      </w:r>
      <w:r>
        <w:rPr>
          <w:rFonts w:ascii="Times New Roman" w:hAnsi="Times New Roman" w:cs="Times New Roman"/>
          <w:sz w:val="24"/>
          <w:szCs w:val="24"/>
        </w:rPr>
        <w:tab/>
        <w:t xml:space="preserve">                0.59</w:t>
      </w:r>
    </w:p>
    <w:p w14:paraId="68313CAA" w14:textId="35A60234"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HPPl2</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0.66</w:t>
      </w:r>
      <w:r>
        <w:rPr>
          <w:rFonts w:ascii="Times New Roman" w:hAnsi="Times New Roman" w:cs="Times New Roman"/>
          <w:sz w:val="24"/>
          <w:szCs w:val="24"/>
        </w:rPr>
        <w:tab/>
        <w:t xml:space="preserve">                0.67</w:t>
      </w:r>
    </w:p>
    <w:p w14:paraId="43F13A1F" w14:textId="00B84F49"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D3929">
        <w:rPr>
          <w:rFonts w:ascii="Times New Roman" w:hAnsi="Times New Roman" w:cs="Times New Roman"/>
          <w:b/>
          <w:sz w:val="24"/>
          <w:szCs w:val="24"/>
        </w:rPr>
        <w:t xml:space="preserve">            HPPl3</w:t>
      </w:r>
      <w:r w:rsidRPr="004D392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0.63</w:t>
      </w:r>
      <w:r>
        <w:rPr>
          <w:rFonts w:ascii="Times New Roman" w:hAnsi="Times New Roman" w:cs="Times New Roman"/>
          <w:sz w:val="24"/>
          <w:szCs w:val="24"/>
        </w:rPr>
        <w:tab/>
        <w:t xml:space="preserve">                0.69  </w:t>
      </w:r>
    </w:p>
    <w:p w14:paraId="184F947A" w14:textId="33633531" w:rsidR="003B629A" w:rsidRDefault="003B629A" w:rsidP="003B629A">
      <w:pPr>
        <w:pBdr>
          <w:bottom w:val="single" w:sz="4"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             LaC</w:t>
      </w:r>
      <w:r w:rsidRPr="004D392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0.63</w:t>
      </w:r>
      <w:r>
        <w:rPr>
          <w:rFonts w:ascii="Times New Roman" w:hAnsi="Times New Roman" w:cs="Times New Roman"/>
          <w:sz w:val="24"/>
          <w:szCs w:val="24"/>
        </w:rPr>
        <w:tab/>
        <w:t xml:space="preserve">                0.63</w:t>
      </w:r>
    </w:p>
    <w:p w14:paraId="0F9DDAFC" w14:textId="4FCDE74A" w:rsidR="003B629A" w:rsidRDefault="00BE4E6A" w:rsidP="0067099D">
      <w:pPr>
        <w:spacing w:line="240" w:lineRule="auto"/>
        <w:jc w:val="both"/>
        <w:rPr>
          <w:rFonts w:ascii="Times New Roman" w:hAnsi="Times New Roman" w:cs="Times New Roman"/>
          <w:b/>
          <w:bCs/>
          <w:i/>
          <w:iCs/>
          <w:sz w:val="24"/>
          <w:szCs w:val="24"/>
        </w:rPr>
      </w:pPr>
      <w:r w:rsidRPr="00BE4E6A">
        <w:rPr>
          <w:rFonts w:ascii="Times New Roman" w:hAnsi="Times New Roman" w:cs="Times New Roman"/>
          <w:b/>
          <w:bCs/>
          <w:i/>
          <w:iCs/>
          <w:sz w:val="24"/>
          <w:szCs w:val="24"/>
        </w:rPr>
        <w:t>2.2. Discussion</w:t>
      </w:r>
    </w:p>
    <w:p w14:paraId="292EDF78" w14:textId="49B46C63" w:rsidR="00BE4E6A" w:rsidRDefault="00BE4E6A" w:rsidP="00BE4E6A">
      <w:pPr>
        <w:spacing w:line="360" w:lineRule="auto"/>
        <w:jc w:val="both"/>
        <w:rPr>
          <w:rFonts w:ascii="Times New Roman" w:hAnsi="Times New Roman" w:cs="Times New Roman"/>
          <w:sz w:val="24"/>
          <w:szCs w:val="24"/>
        </w:rPr>
      </w:pPr>
      <w:r w:rsidRPr="00BE4E6A">
        <w:rPr>
          <w:rFonts w:ascii="Times New Roman" w:hAnsi="Times New Roman" w:cs="Times New Roman"/>
          <w:sz w:val="24"/>
          <w:szCs w:val="24"/>
        </w:rPr>
        <w:t>Plants essentially need large amounts of nitrogen, phosphorus, and potassium to complete their growth cycle, which makes it essential to periodically replenish soil reserves of these elements in order to maintain good productivity (Mouria et al., 2010).</w:t>
      </w:r>
      <w:r>
        <w:rPr>
          <w:rFonts w:ascii="Times New Roman" w:hAnsi="Times New Roman" w:cs="Times New Roman"/>
          <w:sz w:val="24"/>
          <w:szCs w:val="24"/>
        </w:rPr>
        <w:t xml:space="preserve"> </w:t>
      </w:r>
      <w:r w:rsidRPr="00BE4E6A">
        <w:rPr>
          <w:rFonts w:ascii="Times New Roman" w:hAnsi="Times New Roman" w:cs="Times New Roman"/>
          <w:sz w:val="24"/>
          <w:szCs w:val="24"/>
        </w:rPr>
        <w:t>The results of the effect of organic and mineral fertilizers on a variety of chili peppers in terms of quantitative characteristics showed significant differences.</w:t>
      </w:r>
      <w:r>
        <w:rPr>
          <w:rFonts w:ascii="Times New Roman" w:hAnsi="Times New Roman" w:cs="Times New Roman"/>
          <w:sz w:val="24"/>
          <w:szCs w:val="24"/>
        </w:rPr>
        <w:t xml:space="preserve"> </w:t>
      </w:r>
      <w:r w:rsidRPr="00BE4E6A">
        <w:rPr>
          <w:rFonts w:ascii="Times New Roman" w:hAnsi="Times New Roman" w:cs="Times New Roman"/>
          <w:sz w:val="24"/>
          <w:szCs w:val="24"/>
        </w:rPr>
        <w:t>In fact, all treatments yielded results superior to the control. This is probably due to the nutrient poverty of the control plots.</w:t>
      </w:r>
      <w:r>
        <w:rPr>
          <w:rFonts w:ascii="Times New Roman" w:hAnsi="Times New Roman" w:cs="Times New Roman"/>
          <w:sz w:val="24"/>
          <w:szCs w:val="24"/>
        </w:rPr>
        <w:t xml:space="preserve"> </w:t>
      </w:r>
      <w:r w:rsidRPr="00BE4E6A">
        <w:rPr>
          <w:rFonts w:ascii="Times New Roman" w:hAnsi="Times New Roman" w:cs="Times New Roman"/>
          <w:sz w:val="24"/>
          <w:szCs w:val="24"/>
        </w:rPr>
        <w:t>The stages of phenology (flowering to ripening) and growth, in particular heights at 30, 60, and 90 days after transplanting, stem diameter at the collar, leaf length and width, number of branches, and canopy width showed greater growth in the treatments based on poultry manure (T3), a combination of poultry manure and cow manure (T6), and cow manure (T4).</w:t>
      </w:r>
      <w:r>
        <w:rPr>
          <w:rFonts w:ascii="Times New Roman" w:hAnsi="Times New Roman" w:cs="Times New Roman"/>
          <w:sz w:val="24"/>
          <w:szCs w:val="24"/>
        </w:rPr>
        <w:t xml:space="preserve"> </w:t>
      </w:r>
      <w:r w:rsidRPr="00BE4E6A">
        <w:rPr>
          <w:rFonts w:ascii="Times New Roman" w:hAnsi="Times New Roman" w:cs="Times New Roman"/>
          <w:sz w:val="24"/>
          <w:szCs w:val="24"/>
        </w:rPr>
        <w:t>This could be explained by the high nitrogen content of poultry manure according to (Jacques and Pierre, 2005), which is the main factor in the growth of green plants.</w:t>
      </w:r>
      <w:r>
        <w:rPr>
          <w:rFonts w:ascii="Times New Roman" w:hAnsi="Times New Roman" w:cs="Times New Roman"/>
          <w:sz w:val="24"/>
          <w:szCs w:val="24"/>
        </w:rPr>
        <w:t xml:space="preserve"> </w:t>
      </w:r>
      <w:r w:rsidRPr="00BE4E6A">
        <w:rPr>
          <w:rFonts w:ascii="Times New Roman" w:hAnsi="Times New Roman" w:cs="Times New Roman"/>
          <w:sz w:val="24"/>
          <w:szCs w:val="24"/>
        </w:rPr>
        <w:t>In addition, organic matter improves growth by lowering the pH of the rhizosphere, which results in better solubilization of nutrients and high availability for plants (Choudhary et al., 2004; Sawadogo et al., 2020).</w:t>
      </w:r>
      <w:r>
        <w:rPr>
          <w:rFonts w:ascii="Times New Roman" w:hAnsi="Times New Roman" w:cs="Times New Roman"/>
          <w:sz w:val="24"/>
          <w:szCs w:val="24"/>
        </w:rPr>
        <w:t xml:space="preserve"> </w:t>
      </w:r>
    </w:p>
    <w:p w14:paraId="29AEE8F5" w14:textId="362BD46C" w:rsidR="00BE4E6A" w:rsidRDefault="00BE4E6A" w:rsidP="00BE4E6A">
      <w:pPr>
        <w:spacing w:line="360" w:lineRule="auto"/>
        <w:jc w:val="both"/>
        <w:rPr>
          <w:rFonts w:ascii="Times New Roman" w:hAnsi="Times New Roman" w:cs="Times New Roman"/>
          <w:sz w:val="24"/>
          <w:szCs w:val="24"/>
        </w:rPr>
      </w:pPr>
    </w:p>
    <w:p w14:paraId="4A810FC5" w14:textId="6BEB5ED2" w:rsidR="00BE4E6A" w:rsidRDefault="00BE4E6A" w:rsidP="00BE4E6A">
      <w:pPr>
        <w:spacing w:line="360" w:lineRule="auto"/>
        <w:jc w:val="both"/>
        <w:rPr>
          <w:rFonts w:ascii="Times New Roman" w:hAnsi="Times New Roman" w:cs="Times New Roman"/>
          <w:sz w:val="24"/>
          <w:szCs w:val="24"/>
        </w:rPr>
      </w:pPr>
      <w:r w:rsidRPr="00BE4E6A">
        <w:rPr>
          <w:rFonts w:ascii="Times New Roman" w:hAnsi="Times New Roman" w:cs="Times New Roman"/>
          <w:sz w:val="24"/>
          <w:szCs w:val="24"/>
        </w:rPr>
        <w:lastRenderedPageBreak/>
        <w:t>The length and width of the leaves, the length of the petiole, and the number of branches are also more developed in the fertilized plots compared to the control.</w:t>
      </w:r>
      <w:r>
        <w:rPr>
          <w:rFonts w:ascii="Times New Roman" w:hAnsi="Times New Roman" w:cs="Times New Roman"/>
          <w:sz w:val="24"/>
          <w:szCs w:val="24"/>
        </w:rPr>
        <w:t xml:space="preserve"> </w:t>
      </w:r>
      <w:r w:rsidR="0025189F" w:rsidRPr="0025189F">
        <w:rPr>
          <w:rFonts w:ascii="Times New Roman" w:hAnsi="Times New Roman" w:cs="Times New Roman"/>
          <w:sz w:val="24"/>
          <w:szCs w:val="24"/>
        </w:rPr>
        <w:t>These results are consistent with those of Jobin and Petit (2004), who reported that organic and mineral fertilizers accelerate the increase in leaf area.</w:t>
      </w:r>
      <w:r w:rsidR="0025189F">
        <w:rPr>
          <w:rFonts w:ascii="Times New Roman" w:hAnsi="Times New Roman" w:cs="Times New Roman"/>
          <w:sz w:val="24"/>
          <w:szCs w:val="24"/>
        </w:rPr>
        <w:t xml:space="preserve"> </w:t>
      </w:r>
      <w:r w:rsidR="0025189F" w:rsidRPr="0025189F">
        <w:rPr>
          <w:rFonts w:ascii="Times New Roman" w:hAnsi="Times New Roman" w:cs="Times New Roman"/>
          <w:sz w:val="24"/>
          <w:szCs w:val="24"/>
        </w:rPr>
        <w:t>It should be noted that the highest number of branches is observed in poultry droppings, with an average of 7. These results exceed those of Amara et al. (2020).</w:t>
      </w:r>
      <w:r w:rsidR="0025189F">
        <w:rPr>
          <w:rFonts w:ascii="Times New Roman" w:hAnsi="Times New Roman" w:cs="Times New Roman"/>
          <w:sz w:val="24"/>
          <w:szCs w:val="24"/>
        </w:rPr>
        <w:t xml:space="preserve"> </w:t>
      </w:r>
      <w:r w:rsidR="0025189F" w:rsidRPr="0025189F">
        <w:rPr>
          <w:rFonts w:ascii="Times New Roman" w:hAnsi="Times New Roman" w:cs="Times New Roman"/>
          <w:sz w:val="24"/>
          <w:szCs w:val="24"/>
        </w:rPr>
        <w:t>In addition, organic fertilizer promoted high fruit production compared to the control.</w:t>
      </w:r>
      <w:r w:rsidR="0025189F">
        <w:rPr>
          <w:rFonts w:ascii="Times New Roman" w:hAnsi="Times New Roman" w:cs="Times New Roman"/>
          <w:sz w:val="24"/>
          <w:szCs w:val="24"/>
        </w:rPr>
        <w:t xml:space="preserve"> </w:t>
      </w:r>
      <w:r w:rsidR="00700EB0" w:rsidRPr="00700EB0">
        <w:rPr>
          <w:rFonts w:ascii="Times New Roman" w:hAnsi="Times New Roman" w:cs="Times New Roman"/>
          <w:sz w:val="24"/>
          <w:szCs w:val="24"/>
        </w:rPr>
        <w:t>This difference in the average number of fruits per plant, peduncle length, fruit length and diameter, fruit weight per plant, total fruit weight per plant, and yield in kilograms per hectare illustrates the importance of using fertilizers and, above all, mixing them with poultry manure, which is known to be rich in phosphate, as phosphorus is a major element important for fruit production (FAO, 2000; Ben et al., 2010).</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Our results corroborate those obtained by Kouakou (2002) in Côte d'Ivoire, who believes that the application of poultry manure and cow dung has led to an increase in the production of Vigna subterranea (voandzou).</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Similar results were found by Useni et al. (2014) on Chinese cabbage crops after applying chicken manure compost. Akanza (2015) indicates that poultry manure has a positive influence on fruit weight and plant yields.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According to Djinet et al. (2023), high-yielding fruits are recorded in plants treated with organic fertilizers, particularly cow manure and dung.</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The large volume of fruit can be explained by the amount received, which allowed the plants to accumulate a significant amount of photosynthate and water thanks to the potassium content in these two organic materials.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Cow manure also recorded significant values for vegetative and productive organs. This is because it is rich in various organic elements.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It is a high-quality fertilizer, particularly due to its high nitrogen content, which is essential for plant growth (FAO, 2015).</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After poultry manure; poultry manure combined with cow manure and cow manure, the combination of NPK mineral fertilizer and cow manure had positive effects on the growth and productivity of chili plants.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Organic matter could provide an additional source of nutrients that would improve the effectiveness of mineral fertilizers. It would make nutrients more available to plants.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These results are similar to those of Mouria et al. (2007) on the effect of various strains of Trichoderma on the growth of a tomato crop in a greenhouse.</w:t>
      </w:r>
      <w:r w:rsidR="00700EB0">
        <w:rPr>
          <w:rFonts w:ascii="Times New Roman" w:hAnsi="Times New Roman" w:cs="Times New Roman"/>
          <w:sz w:val="24"/>
          <w:szCs w:val="24"/>
        </w:rPr>
        <w:t xml:space="preserve"> T</w:t>
      </w:r>
      <w:r w:rsidR="00700EB0" w:rsidRPr="00700EB0">
        <w:rPr>
          <w:rFonts w:ascii="Times New Roman" w:hAnsi="Times New Roman" w:cs="Times New Roman"/>
          <w:sz w:val="24"/>
          <w:szCs w:val="24"/>
        </w:rPr>
        <w:t>hese authors showed that almost all Trichoderma strains were able to stimulate the growth parameters of tomato plants to varying degrees.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For our study, the combination of NPK and cow manure was no more effective than treatments based on organic matter.</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These results do not confirm those of Théodore et al. (2018), who reported that combined organic fertilizer applications are more effective on the growth of solanaceous plants than organic fertilizers alone.</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 xml:space="preserve">For mineral fertilization, there was no difference in growth and productivity parameters for NPK and urea treatments, which </w:t>
      </w:r>
      <w:r w:rsidR="00700EB0" w:rsidRPr="00700EB0">
        <w:rPr>
          <w:rFonts w:ascii="Times New Roman" w:hAnsi="Times New Roman" w:cs="Times New Roman"/>
          <w:sz w:val="24"/>
          <w:szCs w:val="24"/>
        </w:rPr>
        <w:lastRenderedPageBreak/>
        <w:t>remained lower than treatments with organic matter.</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This could be explained by the fact that organic matter is an effective and non-polluting resource for maintaining fertility, providing the soil with a wide range of macro- and microelements (Pulgar et al., 2000</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 Segnou et al., 2012</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 Gomgnimbou et al., 2016).</w:t>
      </w:r>
      <w:r w:rsidR="00700EB0">
        <w:rPr>
          <w:rFonts w:ascii="Times New Roman" w:hAnsi="Times New Roman" w:cs="Times New Roman"/>
          <w:sz w:val="24"/>
          <w:szCs w:val="24"/>
        </w:rPr>
        <w:t xml:space="preserve"> </w:t>
      </w:r>
    </w:p>
    <w:p w14:paraId="257C3574" w14:textId="0504B786" w:rsidR="003B629A" w:rsidRDefault="00700EB0" w:rsidP="00795889">
      <w:pPr>
        <w:spacing w:line="360" w:lineRule="auto"/>
        <w:jc w:val="both"/>
        <w:rPr>
          <w:rFonts w:ascii="Times New Roman" w:hAnsi="Times New Roman" w:cs="Times New Roman"/>
          <w:b/>
          <w:bCs/>
          <w:sz w:val="24"/>
          <w:szCs w:val="24"/>
        </w:rPr>
      </w:pPr>
      <w:r w:rsidRPr="00700EB0">
        <w:rPr>
          <w:rFonts w:ascii="Times New Roman" w:hAnsi="Times New Roman" w:cs="Times New Roman"/>
          <w:b/>
          <w:bCs/>
          <w:sz w:val="24"/>
          <w:szCs w:val="24"/>
        </w:rPr>
        <w:t xml:space="preserve">CONCLUSION AND </w:t>
      </w:r>
      <w:r w:rsidR="00795889" w:rsidRPr="00795889">
        <w:rPr>
          <w:rFonts w:ascii="Times New Roman" w:hAnsi="Times New Roman" w:cs="Times New Roman"/>
          <w:b/>
          <w:bCs/>
          <w:sz w:val="24"/>
          <w:szCs w:val="24"/>
        </w:rPr>
        <w:t>PERPECTIVES</w:t>
      </w:r>
    </w:p>
    <w:p w14:paraId="2101499A" w14:textId="573A1ADF" w:rsidR="00795889" w:rsidRDefault="00795889" w:rsidP="00795889">
      <w:pPr>
        <w:spacing w:line="360" w:lineRule="auto"/>
        <w:jc w:val="both"/>
        <w:rPr>
          <w:rFonts w:ascii="Times New Roman" w:hAnsi="Times New Roman" w:cs="Times New Roman"/>
          <w:sz w:val="24"/>
          <w:szCs w:val="24"/>
        </w:rPr>
      </w:pPr>
      <w:r w:rsidRPr="00795889">
        <w:rPr>
          <w:rFonts w:ascii="Times New Roman" w:hAnsi="Times New Roman" w:cs="Times New Roman"/>
          <w:sz w:val="24"/>
          <w:szCs w:val="24"/>
        </w:rPr>
        <w:t>The study assessed the effects of fertilization (mineral and organic) on the production of Mirriah chili peppers in Zinder.</w:t>
      </w:r>
      <w:r>
        <w:rPr>
          <w:rFonts w:ascii="Times New Roman" w:hAnsi="Times New Roman" w:cs="Times New Roman"/>
          <w:sz w:val="24"/>
          <w:szCs w:val="24"/>
        </w:rPr>
        <w:t xml:space="preserve"> </w:t>
      </w:r>
      <w:r w:rsidRPr="00795889">
        <w:rPr>
          <w:rFonts w:ascii="Times New Roman" w:hAnsi="Times New Roman" w:cs="Times New Roman"/>
          <w:sz w:val="24"/>
          <w:szCs w:val="24"/>
        </w:rPr>
        <w:t>This study shows that the different treatments had very significant effects on all parameters of chili pepper growth and yield.</w:t>
      </w:r>
      <w:r>
        <w:rPr>
          <w:rFonts w:ascii="Times New Roman" w:hAnsi="Times New Roman" w:cs="Times New Roman"/>
          <w:sz w:val="24"/>
          <w:szCs w:val="24"/>
        </w:rPr>
        <w:t xml:space="preserve"> </w:t>
      </w:r>
      <w:r w:rsidRPr="00795889">
        <w:rPr>
          <w:rFonts w:ascii="Times New Roman" w:hAnsi="Times New Roman" w:cs="Times New Roman"/>
          <w:sz w:val="24"/>
          <w:szCs w:val="24"/>
        </w:rPr>
        <w:t>Indeed, the best values for growth parameters and yield variables were obtained with treatments (T3, T4, and T6).</w:t>
      </w:r>
      <w:r>
        <w:rPr>
          <w:rFonts w:ascii="Times New Roman" w:hAnsi="Times New Roman" w:cs="Times New Roman"/>
          <w:sz w:val="24"/>
          <w:szCs w:val="24"/>
        </w:rPr>
        <w:t xml:space="preserve"> </w:t>
      </w:r>
      <w:r w:rsidRPr="00795889">
        <w:rPr>
          <w:rFonts w:ascii="Times New Roman" w:hAnsi="Times New Roman" w:cs="Times New Roman"/>
          <w:sz w:val="24"/>
          <w:szCs w:val="24"/>
        </w:rPr>
        <w:t>In addition, treatment with T3 poultry manure yielded the best results across all growth and productivity parameters.</w:t>
      </w:r>
      <w:r>
        <w:rPr>
          <w:rFonts w:ascii="Times New Roman" w:hAnsi="Times New Roman" w:cs="Times New Roman"/>
          <w:sz w:val="24"/>
          <w:szCs w:val="24"/>
        </w:rPr>
        <w:t xml:space="preserve"> </w:t>
      </w:r>
      <w:r w:rsidRPr="00795889">
        <w:rPr>
          <w:rFonts w:ascii="Times New Roman" w:hAnsi="Times New Roman" w:cs="Times New Roman"/>
          <w:sz w:val="24"/>
          <w:szCs w:val="24"/>
        </w:rPr>
        <w:t>It is followed by T6 (a combination of poultry manure and cow manure), then T4 (cow manure).</w:t>
      </w:r>
      <w:r>
        <w:rPr>
          <w:rFonts w:ascii="Times New Roman" w:hAnsi="Times New Roman" w:cs="Times New Roman"/>
          <w:sz w:val="24"/>
          <w:szCs w:val="24"/>
        </w:rPr>
        <w:t xml:space="preserve"> </w:t>
      </w:r>
      <w:r w:rsidRPr="00795889">
        <w:rPr>
          <w:rFonts w:ascii="Times New Roman" w:hAnsi="Times New Roman" w:cs="Times New Roman"/>
          <w:sz w:val="24"/>
          <w:szCs w:val="24"/>
        </w:rPr>
        <w:t>Next we have T5, which was a combination of NPK and cow manure, followed by T1 (NPK) and T2 (urea).</w:t>
      </w:r>
      <w:r>
        <w:rPr>
          <w:rFonts w:ascii="Times New Roman" w:hAnsi="Times New Roman" w:cs="Times New Roman"/>
          <w:sz w:val="24"/>
          <w:szCs w:val="24"/>
        </w:rPr>
        <w:t xml:space="preserve"> </w:t>
      </w:r>
      <w:r w:rsidRPr="00795889">
        <w:rPr>
          <w:rFonts w:ascii="Times New Roman" w:hAnsi="Times New Roman" w:cs="Times New Roman"/>
          <w:sz w:val="24"/>
          <w:szCs w:val="24"/>
        </w:rPr>
        <w:t>On the other hand, the PCA shows that treatments T3, T4, and T6 are characterized by good variable productivity yields (NbFP, PTFP, and RndP) and high values for growth parameters (laC, HPPl1, HPPl2, and HPPl3).</w:t>
      </w:r>
      <w:r>
        <w:rPr>
          <w:rFonts w:ascii="Times New Roman" w:hAnsi="Times New Roman" w:cs="Times New Roman"/>
          <w:sz w:val="24"/>
          <w:szCs w:val="24"/>
        </w:rPr>
        <w:t xml:space="preserve"> </w:t>
      </w:r>
      <w:r w:rsidRPr="00795889">
        <w:rPr>
          <w:rFonts w:ascii="Times New Roman" w:hAnsi="Times New Roman" w:cs="Times New Roman"/>
          <w:sz w:val="24"/>
          <w:szCs w:val="24"/>
        </w:rPr>
        <w:t>On the other hand, treatments T0, T1, and T2 are those with higher values for phenological parameters, i.e., later than the genotypes of peppers from other treatments.</w:t>
      </w:r>
      <w:r>
        <w:rPr>
          <w:rFonts w:ascii="Times New Roman" w:hAnsi="Times New Roman" w:cs="Times New Roman"/>
          <w:sz w:val="24"/>
          <w:szCs w:val="24"/>
        </w:rPr>
        <w:t xml:space="preserve"> </w:t>
      </w:r>
      <w:r w:rsidRPr="00795889">
        <w:rPr>
          <w:rFonts w:ascii="Times New Roman" w:hAnsi="Times New Roman" w:cs="Times New Roman"/>
          <w:sz w:val="24"/>
          <w:szCs w:val="24"/>
        </w:rPr>
        <w:t>Treatment with T3, T6, and T4 contributes more to improving crop yields, respectively, and can be offered to communities for agroecological management of soil fertility and healthier crops for consumption, with the aim of increasing production and improving producers' incomes.</w:t>
      </w:r>
      <w:r>
        <w:rPr>
          <w:rFonts w:ascii="Times New Roman" w:hAnsi="Times New Roman" w:cs="Times New Roman"/>
          <w:sz w:val="24"/>
          <w:szCs w:val="24"/>
        </w:rPr>
        <w:t xml:space="preserve"> </w:t>
      </w:r>
    </w:p>
    <w:p w14:paraId="4926B4FA" w14:textId="77777777" w:rsidR="00AE4770" w:rsidRDefault="00AE4770" w:rsidP="00795889">
      <w:pPr>
        <w:spacing w:line="360" w:lineRule="auto"/>
        <w:jc w:val="both"/>
        <w:rPr>
          <w:rFonts w:ascii="Times New Roman" w:hAnsi="Times New Roman" w:cs="Times New Roman"/>
          <w:sz w:val="24"/>
          <w:szCs w:val="24"/>
        </w:rPr>
      </w:pPr>
    </w:p>
    <w:p w14:paraId="210EEB3F" w14:textId="77777777" w:rsidR="00AE4770" w:rsidRPr="00AE4770" w:rsidRDefault="00AE4770" w:rsidP="00AE4770">
      <w:pPr>
        <w:spacing w:line="360" w:lineRule="auto"/>
        <w:jc w:val="both"/>
        <w:rPr>
          <w:rFonts w:ascii="Times New Roman" w:hAnsi="Times New Roman" w:cs="Times New Roman"/>
          <w:sz w:val="24"/>
          <w:szCs w:val="24"/>
        </w:rPr>
      </w:pPr>
      <w:r w:rsidRPr="00AE4770">
        <w:rPr>
          <w:rFonts w:ascii="Times New Roman" w:hAnsi="Times New Roman" w:cs="Times New Roman"/>
          <w:sz w:val="24"/>
          <w:szCs w:val="24"/>
        </w:rPr>
        <w:t>COMPETING INTERESTS DISCLAIMER:</w:t>
      </w:r>
    </w:p>
    <w:p w14:paraId="43F3394A" w14:textId="54638589" w:rsidR="00AE4770" w:rsidRDefault="00AE4770" w:rsidP="00AE4770">
      <w:pPr>
        <w:spacing w:line="360" w:lineRule="auto"/>
        <w:jc w:val="both"/>
        <w:rPr>
          <w:rFonts w:ascii="Times New Roman" w:hAnsi="Times New Roman" w:cs="Times New Roman"/>
          <w:sz w:val="24"/>
          <w:szCs w:val="24"/>
        </w:rPr>
      </w:pPr>
      <w:r w:rsidRPr="00AE4770">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B25C54F" w14:textId="29BF4FF2" w:rsidR="00795889" w:rsidRDefault="00795889" w:rsidP="00795889">
      <w:pPr>
        <w:spacing w:line="360" w:lineRule="auto"/>
        <w:jc w:val="both"/>
        <w:rPr>
          <w:rFonts w:ascii="Times New Roman" w:hAnsi="Times New Roman" w:cs="Times New Roman"/>
          <w:b/>
          <w:bCs/>
          <w:sz w:val="24"/>
          <w:szCs w:val="24"/>
        </w:rPr>
      </w:pPr>
      <w:r w:rsidRPr="00795889">
        <w:rPr>
          <w:rFonts w:ascii="Times New Roman" w:hAnsi="Times New Roman" w:cs="Times New Roman"/>
          <w:b/>
          <w:bCs/>
          <w:sz w:val="24"/>
          <w:szCs w:val="24"/>
        </w:rPr>
        <w:t>REFERENCES</w:t>
      </w:r>
    </w:p>
    <w:p w14:paraId="38E944CF" w14:textId="77777777" w:rsidR="00F414A1"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Abga PT .2013. Determination of organic-mineral fertilization and sowing density options for intensifying maize production in the eastern region of Burkina Faso. Thesis submitted to the Institute of Rural Development at the Polytechnic University of Bobo-Dioulasso for a Master II degree in Soil Science, Specialization: Integrated Soil Fertility Management. 85p. </w:t>
      </w:r>
    </w:p>
    <w:p w14:paraId="1441A5A2" w14:textId="77777777" w:rsidR="005D55C1" w:rsidRPr="00DE31FE" w:rsidRDefault="005D55C1" w:rsidP="00DE31FE">
      <w:pPr>
        <w:spacing w:line="360" w:lineRule="auto"/>
        <w:ind w:left="360"/>
        <w:jc w:val="both"/>
        <w:rPr>
          <w:rFonts w:ascii="Times New Roman" w:hAnsi="Times New Roman" w:cs="Times New Roman"/>
          <w:sz w:val="24"/>
          <w:szCs w:val="24"/>
        </w:rPr>
      </w:pPr>
      <w:r w:rsidRPr="00DE31FE">
        <w:rPr>
          <w:rFonts w:ascii="Times New Roman" w:hAnsi="Times New Roman" w:cs="Times New Roman"/>
          <w:bCs/>
          <w:sz w:val="24"/>
          <w:szCs w:val="24"/>
        </w:rPr>
        <w:lastRenderedPageBreak/>
        <w:t>Akanza, K. P., &amp; N'DA, H. A. (2015). Effets des fumures sur la fertilité, les composantes de rendement et diagnostic des carences du sol sous culture de manioc sur les ferralsols en Côte d'Ivoire. *Revue du CAMES: Science de la vie, de la terre et agronomie*, *3*(1), 2-9.</w:t>
      </w:r>
    </w:p>
    <w:p w14:paraId="2A2665B9" w14:textId="627723BC"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sz w:val="24"/>
          <w:szCs w:val="24"/>
        </w:rPr>
        <w:t xml:space="preserve">Akaza, M. J., Goré, B. B. N., Anzara, G. K. G. R., &amp; Siniyobo, I. (2022). Evaluation De La Diversité Phénologique Et Morphologique De Neuf Variétés De Piment (Capsicum Spp.) Cultivées Dans La Région Du Haut-Sassandra (Côte d'Ivoire). European Scientific Journal, ESJ, 18(3), 278-295. </w:t>
      </w:r>
      <w:hyperlink r:id="rId18" w:history="1">
        <w:r w:rsidRPr="00DE31FE">
          <w:rPr>
            <w:rStyle w:val="Hyperlink"/>
            <w:rFonts w:ascii="Times New Roman" w:hAnsi="Times New Roman" w:cs="Times New Roman"/>
            <w:sz w:val="24"/>
            <w:szCs w:val="24"/>
          </w:rPr>
          <w:t>https://doi.org/10.19044/esj.2022.v18n3p278</w:t>
        </w:r>
      </w:hyperlink>
    </w:p>
    <w:p w14:paraId="1767B765" w14:textId="66BE747B"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Amadou, H., Laouali, M. S., &amp; Manzola, A. S. (2014). Application des méthodes d'analyses statistiques multivariées à l'étude de la minéralisation des eaux de la zone de Zinder (Sud-Est du Niger). International Journal of Biological and Chemical Sciences, 8(4), 1904-1916. </w:t>
      </w:r>
      <w:hyperlink r:id="rId19" w:history="1">
        <w:r w:rsidRPr="00DE31FE">
          <w:rPr>
            <w:rStyle w:val="Hyperlink"/>
            <w:rFonts w:ascii="Times New Roman" w:hAnsi="Times New Roman" w:cs="Times New Roman"/>
            <w:bCs/>
            <w:sz w:val="24"/>
            <w:szCs w:val="24"/>
          </w:rPr>
          <w:t>https://doi.org/10.4314/ijbcs.v8i4.50</w:t>
        </w:r>
      </w:hyperlink>
    </w:p>
    <w:p w14:paraId="0795BCA0" w14:textId="67C4290D"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Amara, D. G. (2020). The Effects of the Fertil Verde Fertilizer on the Growth and Yield of Chili Pepper (Capsicum annuum L) in Southern Algeria. *Algerian Journal of Biosciences*, *1*(1), 18-23. </w:t>
      </w:r>
      <w:hyperlink r:id="rId20" w:history="1">
        <w:r w:rsidRPr="00DE31FE">
          <w:rPr>
            <w:rStyle w:val="Hyperlink"/>
            <w:rFonts w:ascii="Times New Roman" w:hAnsi="Times New Roman" w:cs="Times New Roman"/>
            <w:bCs/>
            <w:sz w:val="24"/>
            <w:szCs w:val="24"/>
          </w:rPr>
          <w:t>https://www.journal.acse.science/index.php/ajb/issue/view/1</w:t>
        </w:r>
      </w:hyperlink>
    </w:p>
    <w:p w14:paraId="06ABABDF" w14:textId="43D3D504"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Assogba-Komlan, F., Sikirou, R., Sodjinou, E., &amp; Mensah, A. (2009). *Production durable du piment au Bénin*. INRAB. </w:t>
      </w:r>
      <w:hyperlink r:id="rId21" w:history="1">
        <w:r w:rsidRPr="00DE31FE">
          <w:rPr>
            <w:rStyle w:val="Hyperlink"/>
            <w:rFonts w:ascii="Times New Roman" w:hAnsi="Times New Roman" w:cs="Times New Roman"/>
            <w:bCs/>
            <w:sz w:val="24"/>
            <w:szCs w:val="24"/>
          </w:rPr>
          <w:t>https://bnb.bj/ouvrages/production-durable-du-piment-au-benin</w:t>
        </w:r>
      </w:hyperlink>
    </w:p>
    <w:p w14:paraId="6C117C3B" w14:textId="6EDF46CA" w:rsidR="00AC73F4"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Baldi I, Huyghe C, Nicot P, Ricci P. 2015. Fertipro: Using fertilization to improve plant health and protect them from diseases and pests. Chapter III: Diversification of methods and limitation of inputs. Symposium, October 13 and 14, 2015, Paris, Salons de l'Aveyron. pp. 85-87.</w:t>
      </w:r>
    </w:p>
    <w:p w14:paraId="75D7DD57" w14:textId="77777777" w:rsidR="00AC73F4" w:rsidRPr="00DE31FE" w:rsidRDefault="00AC73F4"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Ben MGS, Tarchoun N, Teixeira JM, Saguem S .2010. Agronomic and chemical evaluation of seven hot pepper (</w:t>
      </w:r>
      <w:r w:rsidRPr="00DE31FE">
        <w:rPr>
          <w:rFonts w:ascii="Times New Roman" w:hAnsi="Times New Roman" w:cs="Times New Roman"/>
          <w:bCs/>
          <w:i/>
          <w:iCs/>
          <w:sz w:val="24"/>
          <w:szCs w:val="24"/>
        </w:rPr>
        <w:t>Capsicum annuum</w:t>
      </w:r>
      <w:r w:rsidRPr="00DE31FE">
        <w:rPr>
          <w:rFonts w:ascii="Times New Roman" w:hAnsi="Times New Roman" w:cs="Times New Roman"/>
          <w:bCs/>
          <w:sz w:val="24"/>
          <w:szCs w:val="24"/>
        </w:rPr>
        <w:t xml:space="preserve"> L.) populations grown in an open field. Fruit, </w:t>
      </w:r>
      <w:r w:rsidRPr="00DE31FE">
        <w:rPr>
          <w:rFonts w:ascii="Times New Roman" w:hAnsi="Times New Roman" w:cs="Times New Roman"/>
          <w:bCs/>
          <w:i/>
          <w:iCs/>
          <w:sz w:val="24"/>
          <w:szCs w:val="24"/>
        </w:rPr>
        <w:t>Vegetable and Cereal Sci. Biotechnol</w:t>
      </w:r>
      <w:r w:rsidRPr="00DE31FE">
        <w:rPr>
          <w:rFonts w:ascii="Times New Roman" w:hAnsi="Times New Roman" w:cs="Times New Roman"/>
          <w:bCs/>
          <w:sz w:val="24"/>
          <w:szCs w:val="24"/>
        </w:rPr>
        <w:t>., 4 : 93-97.</w:t>
      </w:r>
    </w:p>
    <w:p w14:paraId="48747E44" w14:textId="77777777" w:rsidR="00F414A1"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Ben MM .2002. Potassium fertilization management in fruit tree cultivation. Workshop on potassium fertilization management, research findings and prospects, National Agronomic Institute of Tunisia, Tunis, December 10, 2002, 12p.</w:t>
      </w:r>
    </w:p>
    <w:p w14:paraId="0FE596F6" w14:textId="77777777" w:rsidR="00F414A1"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Beniest J, D’Hondt-Defranq M, Coly VE, De Maeyer L. 1987. Practical guide to market gardening in Senegal (Center for Horticultural Development). ISRA, Senegal, 144p.</w:t>
      </w:r>
    </w:p>
    <w:p w14:paraId="6FAD0C60" w14:textId="60196BF3"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lastRenderedPageBreak/>
        <w:t xml:space="preserve">Jones, J. B., Jr. (2012). Plant nutrition and soil fertility manual, Second edition. CRC Press. </w:t>
      </w:r>
      <w:hyperlink r:id="rId22" w:history="1">
        <w:r w:rsidRPr="00DE31FE">
          <w:rPr>
            <w:rStyle w:val="Hyperlink"/>
            <w:rFonts w:ascii="Times New Roman" w:hAnsi="Times New Roman" w:cs="Times New Roman"/>
            <w:bCs/>
            <w:sz w:val="24"/>
            <w:szCs w:val="24"/>
          </w:rPr>
          <w:t>https://doi.org/10.1201/b11577</w:t>
        </w:r>
      </w:hyperlink>
    </w:p>
    <w:p w14:paraId="0A0BE064" w14:textId="036909E3" w:rsidR="00F414A1"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Chaine DC .1993- Genetic study of three resistance systems through hypersensitivity or sequestration to the three main viruses infecting chili peppers (Capsicum annuum L.). Doctoral thesis, INA-PG. Paris, 194 p.</w:t>
      </w:r>
    </w:p>
    <w:p w14:paraId="730A401D" w14:textId="42BD6B79"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Choudhary, O. P., Josan, A. S., Bajwa, M. S., &amp; Kapur, M. L. (2004). Effect of sustained sodic and saline-sodic irrigation and application of gypsum and farmyard manure on yield and quality of sugarcane under semi-arid conditions. Field Crops Research, 87(2-3), 103-116. </w:t>
      </w:r>
      <w:hyperlink r:id="rId23" w:history="1">
        <w:r w:rsidRPr="00DE31FE">
          <w:rPr>
            <w:rStyle w:val="Hyperlink"/>
            <w:rFonts w:ascii="Times New Roman" w:hAnsi="Times New Roman" w:cs="Times New Roman"/>
            <w:bCs/>
            <w:sz w:val="24"/>
            <w:szCs w:val="24"/>
          </w:rPr>
          <w:t>https://doi.org/10.1016/j.fcr.2003.10.001</w:t>
        </w:r>
      </w:hyperlink>
    </w:p>
    <w:p w14:paraId="423D8942" w14:textId="65D7E4DF"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Conway, S. J. (2008). TRPing the switch on pain: an introduction to the chemistry and biology of capsaicin and TRPV1. Chemical Society Reviews, 37(8), 1530-1545. </w:t>
      </w:r>
      <w:hyperlink r:id="rId24" w:history="1">
        <w:r w:rsidRPr="00DE31FE">
          <w:rPr>
            <w:rStyle w:val="Hyperlink"/>
            <w:rFonts w:ascii="Times New Roman" w:hAnsi="Times New Roman" w:cs="Times New Roman"/>
            <w:bCs/>
            <w:sz w:val="24"/>
            <w:szCs w:val="24"/>
          </w:rPr>
          <w:t>https://doi.org/10.1039/B610226N</w:t>
        </w:r>
      </w:hyperlink>
    </w:p>
    <w:p w14:paraId="27C04D5A" w14:textId="7E8D3EC9"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Coulibaly, P. J. d. A., Sawadogo, J., Bambara, Y. A. I., Ouédraogo, W. B. M., Legma, J. B., &amp; Compaoré, E. (2021). Effect of Bio-Fertilizers on Tomato (Solanum Lycopersicum) Production and on Soil Physico-Chemical Properties in Sudan Area of Burkina Faso. Current Agriculture Research Journal, 9(1), 1-11. </w:t>
      </w:r>
      <w:hyperlink r:id="rId25" w:history="1">
        <w:r w:rsidRPr="00DE31FE">
          <w:rPr>
            <w:rStyle w:val="Hyperlink"/>
            <w:rFonts w:ascii="Times New Roman" w:hAnsi="Times New Roman" w:cs="Times New Roman"/>
            <w:bCs/>
            <w:sz w:val="24"/>
            <w:szCs w:val="24"/>
          </w:rPr>
          <w:t>https://doi.org/10.12944/CARJ.9.1.06</w:t>
        </w:r>
      </w:hyperlink>
    </w:p>
    <w:p w14:paraId="2B07DF11" w14:textId="0F115A42" w:rsidR="00F414A1"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Coulibaly LF, Siene LAC, Diomande LB, Kouakou TSC .2017. Comparative effects of two groups of mineral fertilizers on some production factors of the PM48/04B variety of chili pepper (Capsicum) grown in the Tchologo region in northern Côte d'Ivoire. Afrique SCIENCE, 13(4), 232-240. </w:t>
      </w:r>
    </w:p>
    <w:p w14:paraId="16608CBA" w14:textId="77777777" w:rsidR="00F414A1"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Dada MC, Sayah FZ. 2020. Comparative efficacy of two varieties of Capsicum annuum L. chili peppers: Erg and Biskra under organic farming conditions in greenhouses in Ouargla. Thesis presented to Kasdi Merbah University – Ouargla for a Master II degree in Natural and Life Sciences, Specialization: Agrosystems Management, 89p.</w:t>
      </w:r>
    </w:p>
    <w:p w14:paraId="5B8A2335" w14:textId="541D12F1"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Daundkar, K.S., &amp; Bairagi, S.K. (2015). Economics of production of capsicum in Akola district. International Journal of Commerce and Business Management, 8(1), 81-83. </w:t>
      </w:r>
      <w:hyperlink r:id="rId26" w:history="1">
        <w:r w:rsidRPr="00DE31FE">
          <w:rPr>
            <w:rStyle w:val="Hyperlink"/>
            <w:rFonts w:ascii="Times New Roman" w:hAnsi="Times New Roman" w:cs="Times New Roman"/>
            <w:bCs/>
            <w:sz w:val="24"/>
            <w:szCs w:val="24"/>
          </w:rPr>
          <w:t>https://doi.org/10.15740/HAS/IJCBM/8.1/81-83</w:t>
        </w:r>
      </w:hyperlink>
    </w:p>
    <w:p w14:paraId="2D9E4545" w14:textId="2CEBA8CB"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DeWitt, D., &amp; Bosland, P. W. (1993). The pepper garden. Ten Speed Press. </w:t>
      </w:r>
      <w:hyperlink r:id="rId27" w:history="1">
        <w:r w:rsidRPr="00DE31FE">
          <w:rPr>
            <w:rStyle w:val="Hyperlink"/>
            <w:rFonts w:ascii="Times New Roman" w:hAnsi="Times New Roman" w:cs="Times New Roman"/>
            <w:bCs/>
            <w:sz w:val="24"/>
            <w:szCs w:val="24"/>
          </w:rPr>
          <w:t>https://books.google.com/books/about/The_Pepper_Garden.html?id=0_4_AAAACAAJ</w:t>
        </w:r>
      </w:hyperlink>
    </w:p>
    <w:p w14:paraId="14356946" w14:textId="6FE48A65" w:rsidR="00F414A1" w:rsidRPr="00DE31FE" w:rsidRDefault="00F414A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lastRenderedPageBreak/>
        <w:t xml:space="preserve">Djinet IA, Ganon F, Nguinambaye MM, Roh J. 2023. Evaluation of agromorphological parameters of eggplant (Solanum ethiopicum L.) subjected to organic treatment. Int. J. of Adv. Res. 11: 582-5912. </w:t>
      </w:r>
    </w:p>
    <w:p w14:paraId="652C52AD" w14:textId="636DA73C"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El-Ghorab, A. H., Javed, Q., Anjum, F. M., Hamed, S. F., &amp; Shaaban, H. A. (2013). Pakistani Bell Pepper (Capsicum annum L.): Chemical Compositions and its Antioxidant Activity. International Journal of Food Properties, 16(1), 18-32. </w:t>
      </w:r>
      <w:hyperlink r:id="rId28" w:history="1">
        <w:r w:rsidRPr="00DE31FE">
          <w:rPr>
            <w:rStyle w:val="Hyperlink"/>
            <w:rFonts w:ascii="Times New Roman" w:hAnsi="Times New Roman" w:cs="Times New Roman"/>
            <w:bCs/>
            <w:sz w:val="24"/>
            <w:szCs w:val="24"/>
          </w:rPr>
          <w:t>https://doi.org/10.1080/10942912.2010.513616</w:t>
        </w:r>
      </w:hyperlink>
    </w:p>
    <w:p w14:paraId="05C31D29" w14:textId="77777777"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Eric, C. L., Lys, A. A., Carlos, A. H., Rachidi, A. F., Nicodème, V. F. H., &amp; Eroch, G. A. (2018). Fiche technique synthétique pour la production du poivron (Capsicum annum L.). Laboratory of Genetics Horticulture and Seed Science (GBioS).</w:t>
      </w:r>
    </w:p>
    <w:p w14:paraId="64D3C152" w14:textId="319394E0" w:rsidR="00AC73F4" w:rsidRPr="00DE31FE" w:rsidRDefault="00AC73F4"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Eshbaugh WH. 1977. The taxonomy of the genus Capsicum—Solanaceae. In : E. Pochard, editor. “Capsicum 77.” Comptes Rendus 3me Congrès EUCARPIA Piment, Avignon-Montfavet, France pp13–26.</w:t>
      </w:r>
    </w:p>
    <w:p w14:paraId="06D338C2" w14:textId="59F697A4"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Food and Agriculture Organization. (2000). Fertilizers and their use: A pocket guide for extension officers (4th ed.). FAO; IFA. </w:t>
      </w:r>
      <w:hyperlink r:id="rId29" w:history="1">
        <w:r w:rsidRPr="00DE31FE">
          <w:rPr>
            <w:rStyle w:val="Hyperlink"/>
            <w:rFonts w:ascii="Times New Roman" w:hAnsi="Times New Roman" w:cs="Times New Roman"/>
            <w:bCs/>
            <w:sz w:val="24"/>
            <w:szCs w:val="24"/>
          </w:rPr>
          <w:t>https://www.fertilizer.org/images/Library_PDFs/2000_IFa_FAO_fertilizeruse.pdf</w:t>
        </w:r>
      </w:hyperlink>
    </w:p>
    <w:p w14:paraId="7818532B" w14:textId="34EC656A"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Food and Agriculture Organization. (2015). Fertilizers and fertilizers: information system on food and fertilizer resources in aquaculture. </w:t>
      </w:r>
      <w:hyperlink r:id="rId30" w:history="1">
        <w:r w:rsidRPr="00DE31FE">
          <w:rPr>
            <w:rStyle w:val="Hyperlink"/>
            <w:rFonts w:ascii="Times New Roman" w:hAnsi="Times New Roman" w:cs="Times New Roman"/>
            <w:bCs/>
            <w:sz w:val="24"/>
            <w:szCs w:val="24"/>
          </w:rPr>
          <w:t>http://www.fao.org/fishery/affris/species-profile/nile-tilapia/fertilizers-and-fertilizers/en/1/2</w:t>
        </w:r>
      </w:hyperlink>
    </w:p>
    <w:p w14:paraId="33C22A71" w14:textId="20FD3ECF"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Food and Agriculture Organization of the United Nations &amp; International Fertilizer Industry Association. (2000). *Fertilizers and their use: A pocket guide for extension officers* (4th ed.). FAO. </w:t>
      </w:r>
      <w:hyperlink r:id="rId31" w:history="1">
        <w:r w:rsidRPr="00DE31FE">
          <w:rPr>
            <w:rStyle w:val="Hyperlink"/>
            <w:rFonts w:ascii="Times New Roman" w:hAnsi="Times New Roman" w:cs="Times New Roman"/>
            <w:bCs/>
            <w:sz w:val="24"/>
            <w:szCs w:val="24"/>
          </w:rPr>
          <w:t>http://www.fao.org/tempref/agl/agll/docs/fertuse.pdf</w:t>
        </w:r>
      </w:hyperlink>
    </w:p>
    <w:p w14:paraId="44BECF83" w14:textId="32E5DD5F"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Rêgo, E. R. do, Rêgo, M. M. do, &amp; Finger, F. L. (2016). Production and Breeding of Chilli Peppers (Capsicum spp.). Springer International Publishing Switzerland. </w:t>
      </w:r>
      <w:hyperlink r:id="rId32" w:history="1">
        <w:r w:rsidRPr="00DE31FE">
          <w:rPr>
            <w:rStyle w:val="Hyperlink"/>
            <w:rFonts w:ascii="Times New Roman" w:hAnsi="Times New Roman" w:cs="Times New Roman"/>
            <w:bCs/>
            <w:sz w:val="24"/>
            <w:szCs w:val="24"/>
          </w:rPr>
          <w:t>https://doi.org/10.1007/978-3-319-06532-8</w:t>
        </w:r>
      </w:hyperlink>
    </w:p>
    <w:p w14:paraId="64C15E1F" w14:textId="7D1DC2CB"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Fondio, L., Djidji, A. H., N'gbesso, M. F. D. P., &amp; Koné, D. (2013). Evaluation of nine tomato varieties (Solanum Lycopersicum L.) for bacterial wilt resistance and productivity. International Journal of Biological and Chemical Sciences, 7(3), 1078-1086. </w:t>
      </w:r>
      <w:hyperlink r:id="rId33" w:history="1">
        <w:r w:rsidRPr="00DE31FE">
          <w:rPr>
            <w:rStyle w:val="Hyperlink"/>
            <w:rFonts w:ascii="Times New Roman" w:hAnsi="Times New Roman" w:cs="Times New Roman"/>
            <w:bCs/>
            <w:sz w:val="24"/>
            <w:szCs w:val="24"/>
          </w:rPr>
          <w:t>https://doi.org/10.4314/ijbcs.v7i3.15</w:t>
        </w:r>
      </w:hyperlink>
    </w:p>
    <w:p w14:paraId="48204F0F" w14:textId="27F89131" w:rsidR="005D55C1" w:rsidRPr="00DE31FE" w:rsidRDefault="005D55C1"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lastRenderedPageBreak/>
        <w:t xml:space="preserve">Francou, C. (2003). *Stabilisation de la matière organique au cours du compostage de déchets urbains : influence de la nature des déchets et du procédé de compostage - recherche d'indicateurs pertinents*. Institut national agronomique Paris-Grignon. </w:t>
      </w:r>
      <w:hyperlink r:id="rId34" w:history="1">
        <w:r w:rsidRPr="00DE31FE">
          <w:rPr>
            <w:rStyle w:val="Hyperlink"/>
            <w:rFonts w:ascii="Times New Roman" w:hAnsi="Times New Roman" w:cs="Times New Roman"/>
            <w:bCs/>
            <w:sz w:val="24"/>
            <w:szCs w:val="24"/>
          </w:rPr>
          <w:t>https://www.theses.fr/2003INAPG001</w:t>
        </w:r>
      </w:hyperlink>
    </w:p>
    <w:p w14:paraId="4FA9C3D9" w14:textId="04B8FF21" w:rsidR="004708F2" w:rsidRPr="00DE31FE" w:rsidRDefault="004708F2"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Gébré SK, Gognalons P, Marchoux G. 1994. Peppers: viruses in greenhouses and open fields. Fruits et Légumes, 120: 52-55.</w:t>
      </w:r>
    </w:p>
    <w:p w14:paraId="740650D0" w14:textId="731D8CA6" w:rsidR="00AC73F4" w:rsidRPr="00DE31FE" w:rsidRDefault="00AC73F4"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Gomgnimbou APK., Coulibaly K, Sanon A, Bacyé BB, Nacro BH, Sedogo PM. 2016. Study of the Nutrient Composition of Organic Fertilizers in the Zone of Bobo-Dioulasso (Burkina Faso). IJSRSET, (2) 4 : 617-622</w:t>
      </w:r>
    </w:p>
    <w:p w14:paraId="4A71E2FC" w14:textId="77777777" w:rsidR="004708F2" w:rsidRPr="00DE31FE" w:rsidRDefault="004708F2"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Grubben GJH, ElTahir IM. 2004. Capsicum annuum L. In: Grubben GJH and Denton OA (Editors). Plant Resources of Tropical Africa 2. Vegetables. PROTA Foundation, Wageningen, Netherlands: Backhuys Publishers, pp. 172-183.</w:t>
      </w:r>
    </w:p>
    <w:p w14:paraId="2720CAC6" w14:textId="6A38E4E5" w:rsidR="004708F2" w:rsidRPr="00DE31FE" w:rsidRDefault="004708F2"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ITCM. 2022. Enhanced technical data sheets for market gardening and industrial crops. Technical Institute for Market Gardening and Industrial Crops. People's Democratic Republic of Algeria. 9p</w:t>
      </w:r>
    </w:p>
    <w:p w14:paraId="2606132D" w14:textId="77777777" w:rsidR="00426125" w:rsidRPr="00DE31FE" w:rsidRDefault="004708F2"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ITCM. 2010. Enhanced technical data sheets for market gardening and industrial crops. People's Democratic Republic of Algeria. 8p</w:t>
      </w:r>
    </w:p>
    <w:p w14:paraId="72274423" w14:textId="77777777"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ITCM. 2018. Enhanced technical data sheets for market gardening and industrial crops, Algeria. 5 p.</w:t>
      </w:r>
    </w:p>
    <w:p w14:paraId="597D5AF2" w14:textId="77777777"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ITDAS. 2005. Collection of technical data sheets, pp. 36–39.</w:t>
      </w:r>
    </w:p>
    <w:p w14:paraId="7E348670" w14:textId="77777777"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Kouakou K. 2002. Effect of poultry litter and cattle manure on some growth parameters of voandzou (Vigna subterranea (L.) Verdc.). Master's thesis, University of Abobo-Adjamé, Natural Sciences Training and Research Unit, Abidjan (Côte d'Ivoire), 21 p.</w:t>
      </w:r>
    </w:p>
    <w:p w14:paraId="1C03FCAB" w14:textId="6376BACF"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Kumar, A. M., Reddy, K. N., Sreevathsa, R., Ganeshan, G., &amp; Udayakumar, M. (2009). Towards crop improvement in bell pepper (Capsicum annuum L.): Transgenics (uid A::hpt II) by a tissue-culture-independent Agrobacterium-mediated in planta approach. *Scientia Horticulturae*, *119*(4), 362–370. </w:t>
      </w:r>
      <w:hyperlink r:id="rId35" w:history="1">
        <w:r w:rsidRPr="00DE31FE">
          <w:rPr>
            <w:rStyle w:val="Hyperlink"/>
            <w:rFonts w:ascii="Times New Roman" w:hAnsi="Times New Roman" w:cs="Times New Roman"/>
            <w:bCs/>
            <w:sz w:val="24"/>
            <w:szCs w:val="24"/>
          </w:rPr>
          <w:t>https://doi.org/10.1016/j.scienta.2008.08.034</w:t>
        </w:r>
      </w:hyperlink>
    </w:p>
    <w:p w14:paraId="61E5B1BE" w14:textId="127A881D"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Lahbib, K., Dabbou, S., Bnejdi, F., Pandino, G., Lombardo, S., El Gazzah, M., &amp; El Bok, S. (2021). Agro-Morphological, Biochemical and Antioxidant Characterization of a </w:t>
      </w:r>
      <w:r w:rsidRPr="00DE31FE">
        <w:rPr>
          <w:rFonts w:ascii="Times New Roman" w:hAnsi="Times New Roman" w:cs="Times New Roman"/>
          <w:bCs/>
          <w:sz w:val="24"/>
          <w:szCs w:val="24"/>
        </w:rPr>
        <w:lastRenderedPageBreak/>
        <w:t xml:space="preserve">Tunisian Chili Pepper Germplasm Collection. Agriculture, 11(12), 1236. </w:t>
      </w:r>
      <w:hyperlink r:id="rId36" w:history="1">
        <w:r w:rsidRPr="00DE31FE">
          <w:rPr>
            <w:rStyle w:val="Hyperlink"/>
            <w:rFonts w:ascii="Times New Roman" w:hAnsi="Times New Roman" w:cs="Times New Roman"/>
            <w:bCs/>
            <w:sz w:val="24"/>
            <w:szCs w:val="24"/>
          </w:rPr>
          <w:t>https://doi.org/10.3390/agriculture11121236</w:t>
        </w:r>
      </w:hyperlink>
    </w:p>
    <w:p w14:paraId="0B51074D" w14:textId="3A5EA0A1"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McLaren, R. G., &amp; Cameron, K. C. (1996). Soil science: Sustainable production and environmental protection. Oxford University Press. </w:t>
      </w:r>
      <w:hyperlink r:id="rId37" w:history="1">
        <w:r w:rsidRPr="00DE31FE">
          <w:rPr>
            <w:rStyle w:val="Hyperlink"/>
            <w:rFonts w:ascii="Times New Roman" w:hAnsi="Times New Roman" w:cs="Times New Roman"/>
            <w:bCs/>
            <w:sz w:val="24"/>
            <w:szCs w:val="24"/>
          </w:rPr>
          <w:t>https://global.oup.com/academic/product/soil-science-9780195583458</w:t>
        </w:r>
      </w:hyperlink>
    </w:p>
    <w:p w14:paraId="2C41BC65" w14:textId="0DBFF99C"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Malam, A. K. A., Mamadou, I., &amp; Dan Tanin, M. I. (2021). Risques d'inondations avant et après le programme d'aménagement urbain Zinder Saboua dans les quartiers Sabon Gari, Nassarawa Idi et Yadakondagué de la ville de Zinder au Niger. *Revue Ivoirienne de Sciences et Technologies*, *38*, 253–280. </w:t>
      </w:r>
      <w:hyperlink r:id="rId38" w:history="1">
        <w:r w:rsidRPr="00DE31FE">
          <w:rPr>
            <w:rStyle w:val="Hyperlink"/>
            <w:rFonts w:ascii="Times New Roman" w:hAnsi="Times New Roman" w:cs="Times New Roman"/>
            <w:bCs/>
            <w:sz w:val="24"/>
            <w:szCs w:val="24"/>
          </w:rPr>
          <w:t>https://www.revist.ci/numeros-parus</w:t>
        </w:r>
      </w:hyperlink>
    </w:p>
    <w:p w14:paraId="39EF25DD" w14:textId="3CB2A3C6"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Mamadou I. 2015. Pond filling and environmental risks in the city of Zinder, Niger. Afrique Science, 11(5), 78–98.</w:t>
      </w:r>
    </w:p>
    <w:p w14:paraId="2EDF553D" w14:textId="063ACD52"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Mamadou, I., Abdou, M. M., Issaka, A. M., Ibrahim, M. B., Idi, M., Issaley, N. A., Abba, B., Toure, A. A., Illo, S., Waziri, M. M., Moussa, I. B., &amp; Descroix, L. (2016). Difficultés d'accès à l'eau potable dans la ville de Zinder, Niger : causes, conséquences et perspectives. Afrique Science, 12(4), 99-112. </w:t>
      </w:r>
      <w:hyperlink r:id="rId39" w:history="1">
        <w:r w:rsidRPr="00DE31FE">
          <w:rPr>
            <w:rStyle w:val="Hyperlink"/>
            <w:rFonts w:ascii="Times New Roman" w:hAnsi="Times New Roman" w:cs="Times New Roman"/>
            <w:bCs/>
            <w:sz w:val="24"/>
            <w:szCs w:val="24"/>
          </w:rPr>
          <w:t>https://afriquescience.info/article/10-difficultes-dacces-a-leau-potable-dans-la-ville-de-zinder-niger-causes-consequences-et-perspectives/</w:t>
        </w:r>
      </w:hyperlink>
    </w:p>
    <w:p w14:paraId="095B33C1" w14:textId="419FE9F6" w:rsidR="00AC73F4"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Mamadou I, Mato MW, Nouri M, Moussa M, Assane MEI. 2016a. Current dynamics and socioeconomic impacts of the Kassama dam in the Zinder region of Niger. Rev. Ivoir. Sci. Technol, 12 (4): 102-116.</w:t>
      </w:r>
    </w:p>
    <w:p w14:paraId="040ECAE8" w14:textId="3FE7C83F"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Massaoudou .2021. Impact of fertilizers and seasonal variability on the productivity of three varieties of okra (Abelmoschus esculentus (L.) Moench.) in the Zinder region. Master's thesis. 65p.</w:t>
      </w:r>
    </w:p>
    <w:p w14:paraId="34A48491" w14:textId="77777777"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Messiaen CM. 1975. Tropical Vegetable Garden, Volume 2: Special Crops. Coll. “Living Techniques.” Presses Universitaires de France, p. 197.</w:t>
      </w:r>
    </w:p>
    <w:p w14:paraId="49CBEC49" w14:textId="77777777"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MOHAMEDI Y. 2023. Effect of salinity on callogenesis in some varieties of chili peppers (local and hybrid) (Capsicum annuum.L) grown in southeastern Algeria. Thesis submitted to Mohamed Khider University of Biskra, Faculty of Exact Sciences and Natural and Life Sciences, Department of Agronomic Sciences, for a Master II degree in Natural and Life Sciences, Specialization: Agronomic Sciences/Plant Production. 78p.</w:t>
      </w:r>
    </w:p>
    <w:p w14:paraId="6F224890" w14:textId="5ECE3E60"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lastRenderedPageBreak/>
        <w:t xml:space="preserve">Moreno, M. M., Moreno, C., Villena, J., &amp; Mancebo, I. (2011). Agro-morphological characterization of 16 traditional pepper (Capsicum annuum L.) Cultivars from Castilla-La Mancha (central Spain). In XXVIII International Horticultural Congress on Science and Horticulture for People (IHC2010): III International Symposium on Plant Genetic Resources (Vol. 918, pp. 551-557). International Society for Horticultural Science. </w:t>
      </w:r>
      <w:hyperlink r:id="rId40" w:history="1">
        <w:r w:rsidRPr="00DE31FE">
          <w:rPr>
            <w:rStyle w:val="Hyperlink"/>
            <w:rFonts w:ascii="Times New Roman" w:hAnsi="Times New Roman" w:cs="Times New Roman"/>
            <w:bCs/>
            <w:sz w:val="24"/>
            <w:szCs w:val="24"/>
          </w:rPr>
          <w:t>https://doi.org/10.17660/ActaHortic.2011.918.70</w:t>
        </w:r>
      </w:hyperlink>
    </w:p>
    <w:p w14:paraId="63FCA007" w14:textId="4D166B1D"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Mouria, B., Ouazzani-Touhami, A., &amp; Douira, A. (2007). Effet de diverses souches du Trichoderma sur la croissance d'une culture de tomate en serre et leur aptitude à coloniser les racines et le substrat. Phytoprotection, 88(3), 103-110. </w:t>
      </w:r>
      <w:hyperlink r:id="rId41" w:history="1">
        <w:r w:rsidRPr="00DE31FE">
          <w:rPr>
            <w:rStyle w:val="Hyperlink"/>
            <w:rFonts w:ascii="Times New Roman" w:hAnsi="Times New Roman" w:cs="Times New Roman"/>
            <w:bCs/>
            <w:sz w:val="24"/>
            <w:szCs w:val="24"/>
          </w:rPr>
          <w:t>https://doi.org/10.7202/018955ar</w:t>
        </w:r>
      </w:hyperlink>
    </w:p>
    <w:p w14:paraId="14B0B6DC" w14:textId="4D5F819F" w:rsidR="00426125" w:rsidRPr="00DE31FE" w:rsidRDefault="00426125"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Mouria B, Allal D. 2010. Agronomic value of compost and its extracts on tomato cultivation. Rev. Ivoir. Sci. Technol, 16: 165–190.</w:t>
      </w:r>
    </w:p>
    <w:p w14:paraId="317D7CA0" w14:textId="1699D585"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Glodjinon, N. M., Noumavo, A. P., Ohin, B. A. M., Tovide, N. S., Toukourou, F., Baba-Moussa, L., Savadogo, A., &amp; Baba-Moussa, F. (2021). Chilli Pepper (Capsicum Spp.) Diversity, Production and Fungal Contamination Management in Benin. *American Journal of Plant Sciences*, *12*(12), 1859-1879. </w:t>
      </w:r>
      <w:hyperlink r:id="rId42" w:history="1">
        <w:r w:rsidRPr="00DE31FE">
          <w:rPr>
            <w:rStyle w:val="Hyperlink"/>
            <w:rFonts w:ascii="Times New Roman" w:hAnsi="Times New Roman" w:cs="Times New Roman"/>
            <w:bCs/>
            <w:sz w:val="24"/>
            <w:szCs w:val="24"/>
          </w:rPr>
          <w:t>https://doi.org/10.4236/ajps.2021.1212129</w:t>
        </w:r>
      </w:hyperlink>
    </w:p>
    <w:p w14:paraId="2AEEA89D" w14:textId="08F4C6DB"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N'Dri, AAN, Vroh-Bi I, Kouamé PL, Zoro BIA. 2011. Genetic and biochemical bases of seed germination capacity: implications for seed systems and food production. Sciences et Nature. 8(1), 119-137w</w:t>
      </w:r>
    </w:p>
    <w:p w14:paraId="654CC0BB" w14:textId="55E684A5"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N'Guessan, C. A., Abo, K., Fondio, L., Chiroleu, F., Lebeau, A., Poussier, S., Wicker, E., &amp; Koné, D. (2012). So near and yet so far: The specific case of Ralstonia solanacearum populations from Côte d'Ivoire in Africa. Phytopathology, 102(8), 733-740. </w:t>
      </w:r>
      <w:hyperlink r:id="rId43" w:history="1">
        <w:r w:rsidRPr="00DE31FE">
          <w:rPr>
            <w:rStyle w:val="Hyperlink"/>
            <w:rFonts w:ascii="Times New Roman" w:hAnsi="Times New Roman" w:cs="Times New Roman"/>
            <w:bCs/>
            <w:sz w:val="24"/>
            <w:szCs w:val="24"/>
          </w:rPr>
          <w:t>https://doi.org/10.1094/PHYTO-11-11-0300</w:t>
        </w:r>
      </w:hyperlink>
    </w:p>
    <w:p w14:paraId="5558F88F" w14:textId="513E7CF6"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Ousmane S. 2019. Survey of local chili pepper cultivation in the Biskra region: management and biodiversity. Master's thesis, University of Biskra, Biskra, 49 p.</w:t>
      </w:r>
    </w:p>
    <w:p w14:paraId="474365F8" w14:textId="0C6F3D4B"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Pypers, P., Sanginga, J. M., Kasereka, B., Walangululu, M., &amp; Vanlauwe, B. (2011). Increased productivity through integrated soil fertility management in cassava–legume intercropping systems in the highlands of Sud-Kivu, DR Congo. Field Crops Research, 120, 76-85. </w:t>
      </w:r>
      <w:hyperlink r:id="rId44" w:history="1">
        <w:r w:rsidRPr="00DE31FE">
          <w:rPr>
            <w:rStyle w:val="Hyperlink"/>
            <w:rFonts w:ascii="Times New Roman" w:hAnsi="Times New Roman" w:cs="Times New Roman"/>
            <w:bCs/>
            <w:sz w:val="24"/>
            <w:szCs w:val="24"/>
          </w:rPr>
          <w:t>https://doi.org/10.1016/j.fcr.2010.09.004</w:t>
        </w:r>
      </w:hyperlink>
    </w:p>
    <w:p w14:paraId="6DCCA687" w14:textId="3BC7285A"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Pagamas, P., &amp; Nawata, E. (2007). Effect of high temperature during the seed development on quality and chemical composition of chili pepper seeds. Japanese Journal of Tropical </w:t>
      </w:r>
      <w:r w:rsidRPr="00DE31FE">
        <w:rPr>
          <w:rFonts w:ascii="Times New Roman" w:hAnsi="Times New Roman" w:cs="Times New Roman"/>
          <w:bCs/>
          <w:sz w:val="24"/>
          <w:szCs w:val="24"/>
        </w:rPr>
        <w:lastRenderedPageBreak/>
        <w:t xml:space="preserve">Agriculture, 51(1), 22–29. </w:t>
      </w:r>
      <w:hyperlink r:id="rId45" w:history="1">
        <w:r w:rsidRPr="00DE31FE">
          <w:rPr>
            <w:rStyle w:val="Hyperlink"/>
            <w:rFonts w:ascii="Times New Roman" w:hAnsi="Times New Roman" w:cs="Times New Roman"/>
            <w:bCs/>
            <w:sz w:val="24"/>
            <w:szCs w:val="24"/>
          </w:rPr>
          <w:t>https://www.jstage.jst.go.jp/article/jsta1957/51/1/51_1_22/_article/-char/ja/</w:t>
        </w:r>
      </w:hyperlink>
    </w:p>
    <w:p w14:paraId="60DA3DAF" w14:textId="1586C1FC"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Park S. 2014. Chili Pepper Vegetable Growing Guide. National Institute for Agricultural Research of Algeria, 23p.</w:t>
      </w:r>
    </w:p>
    <w:p w14:paraId="6AFA6EA7" w14:textId="77777777"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Pierre J, Jacques P. 2005. Organic fertilization of staple crops. Quebec Federation of Organic Agriculture (FABQ). 26p.</w:t>
      </w:r>
    </w:p>
    <w:p w14:paraId="73D31294" w14:textId="3E81AF24"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Pochard, E., Palloix, A., &amp; Daubeze, A. M. (1992). Chili peppers. In A. Gallais &amp; H. Bannerot (Eds.), *Improvement of cultivated plant species: objectives and selection criteria* (pp. 420–434). Ed. INRA. </w:t>
      </w:r>
      <w:hyperlink r:id="rId46" w:history="1">
        <w:r w:rsidRPr="00DE31FE">
          <w:rPr>
            <w:rStyle w:val="Hyperlink"/>
            <w:rFonts w:ascii="Times New Roman" w:hAnsi="Times New Roman" w:cs="Times New Roman"/>
            <w:bCs/>
            <w:sz w:val="24"/>
            <w:szCs w:val="24"/>
          </w:rPr>
          <w:t>https://hal.inrae.fr/hal-02849985</w:t>
        </w:r>
      </w:hyperlink>
    </w:p>
    <w:p w14:paraId="6C5447BB" w14:textId="595BD272"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Polowick, P. L., &amp; Sawhney, V. K. (1985). Temperature effects on male fertility and flower and fruit development in Capsicum annuum L. Scientia Horticulturae, 25, 117–127. </w:t>
      </w:r>
      <w:hyperlink r:id="rId47" w:history="1">
        <w:r w:rsidRPr="00DE31FE">
          <w:rPr>
            <w:rStyle w:val="Hyperlink"/>
            <w:rFonts w:ascii="Times New Roman" w:hAnsi="Times New Roman" w:cs="Times New Roman"/>
            <w:bCs/>
            <w:sz w:val="24"/>
            <w:szCs w:val="24"/>
          </w:rPr>
          <w:t>https://doi.org/10.1016/0304-4238(85)90083-4</w:t>
        </w:r>
      </w:hyperlink>
    </w:p>
    <w:p w14:paraId="28771009" w14:textId="77777777"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Chadha, M. L., Hossain, A. K. M. A., &amp; Hossain, S. M. M. (1993). Breeding of solanaceous and cole crops: A compilation of lecture materials of a training course. AVRDC.</w:t>
      </w:r>
    </w:p>
    <w:p w14:paraId="3C634919" w14:textId="615C3F27" w:rsidR="00331969" w:rsidRPr="00DE31FE" w:rsidRDefault="00331969" w:rsidP="00DE31FE">
      <w:pPr>
        <w:spacing w:line="360" w:lineRule="auto"/>
        <w:ind w:left="360"/>
        <w:jc w:val="both"/>
        <w:rPr>
          <w:rFonts w:ascii="Times New Roman" w:hAnsi="Times New Roman" w:cs="Times New Roman"/>
          <w:bCs/>
          <w:sz w:val="24"/>
          <w:szCs w:val="24"/>
        </w:rPr>
      </w:pPr>
      <w:bookmarkStart w:id="3" w:name="_Toc154240701"/>
      <w:bookmarkStart w:id="4" w:name="_Toc154240936"/>
      <w:bookmarkStart w:id="5" w:name="_Toc154314737"/>
      <w:bookmarkStart w:id="6" w:name="_Toc155542298"/>
      <w:bookmarkStart w:id="7" w:name="_Toc155793531"/>
      <w:bookmarkStart w:id="8" w:name="_Toc159741290"/>
      <w:r w:rsidRPr="00DE31FE">
        <w:rPr>
          <w:rFonts w:ascii="Times New Roman" w:hAnsi="Times New Roman" w:cs="Times New Roman"/>
          <w:bCs/>
          <w:sz w:val="24"/>
          <w:szCs w:val="24"/>
        </w:rPr>
        <w:t xml:space="preserve">Pulgar, G., Víllora, G., Moreno, D. A., Ruiz, J. M., Hernández, J., López‐Cantarero, I., &amp; Romero, L. (2000). Effect of nitrogen and potassium on the ionic balance in capsicum plants (Capsicum annuum L. c.v. Lamuyo). Communications in Soil Science and Plant Analysis, 31(11-14), 2321-2328. </w:t>
      </w:r>
      <w:hyperlink r:id="rId48" w:history="1">
        <w:r w:rsidRPr="00DE31FE">
          <w:rPr>
            <w:rStyle w:val="Hyperlink"/>
            <w:rFonts w:ascii="Times New Roman" w:hAnsi="Times New Roman" w:cs="Times New Roman"/>
            <w:bCs/>
            <w:sz w:val="24"/>
            <w:szCs w:val="24"/>
          </w:rPr>
          <w:t>https://doi.org/10.1080/00103620009370579</w:t>
        </w:r>
      </w:hyperlink>
      <w:r w:rsidRPr="00DE31FE">
        <w:rPr>
          <w:rFonts w:ascii="Times New Roman" w:hAnsi="Times New Roman" w:cs="Times New Roman"/>
          <w:bCs/>
          <w:sz w:val="24"/>
          <w:szCs w:val="24"/>
        </w:rPr>
        <w:t>.</w:t>
      </w:r>
    </w:p>
    <w:p w14:paraId="0C00FB53" w14:textId="7DD0553F"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Rhim T, Tlili I, Hnan I, Ilahy R, Benali A, Jebari H. 2013. Effect of salt stress on the physiological and metabolic behavior of three chili pepper varieties (Capsicum annuum L.), Journal of Applied BioSciences, 66: 5060–5069.</w:t>
      </w:r>
    </w:p>
    <w:bookmarkEnd w:id="3"/>
    <w:bookmarkEnd w:id="4"/>
    <w:bookmarkEnd w:id="5"/>
    <w:bookmarkEnd w:id="6"/>
    <w:bookmarkEnd w:id="7"/>
    <w:bookmarkEnd w:id="8"/>
    <w:p w14:paraId="478747DD" w14:textId="1A1B5D4A"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Abdou, R., Halilou, A. I., Zango, O., Agbo So, T. K., Yahaya, M. I., &amp; Bakasso, Y. (2022). Effect of fertilizers on the productivity of three varieties of okra (Abelmoschus esculentus L. Moench.) from the Zinder region (Niger). International Journal of Biological and Chemical Sciences, 16(1), 378-389. </w:t>
      </w:r>
      <w:hyperlink r:id="rId49" w:history="1">
        <w:r w:rsidRPr="00DE31FE">
          <w:rPr>
            <w:rStyle w:val="Hyperlink"/>
            <w:rFonts w:ascii="Times New Roman" w:hAnsi="Times New Roman" w:cs="Times New Roman"/>
            <w:bCs/>
            <w:sz w:val="24"/>
            <w:szCs w:val="24"/>
          </w:rPr>
          <w:t>https://doi.org/10.4314/ijbcs.v16i1.32</w:t>
        </w:r>
      </w:hyperlink>
    </w:p>
    <w:p w14:paraId="535BE0B2" w14:textId="5ED5B4D5" w:rsidR="00AC73F4" w:rsidRPr="00DE31FE" w:rsidRDefault="00AC73F4"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Rubio B, Martinez GFC, García GMD, Rovira J, Jaime l .2006. Influence of storage period and packaging method on sliced dry cured beef "Cecina de Leon": Effects on microbiological, physicochemical and sensory quality' lvleat </w:t>
      </w:r>
      <w:r w:rsidRPr="00DE31FE">
        <w:rPr>
          <w:rFonts w:ascii="Times New Roman" w:hAnsi="Times New Roman" w:cs="Times New Roman"/>
          <w:bCs/>
          <w:i/>
          <w:iCs/>
          <w:sz w:val="24"/>
          <w:szCs w:val="24"/>
        </w:rPr>
        <w:t>Science</w:t>
      </w:r>
      <w:r w:rsidRPr="00DE31FE">
        <w:rPr>
          <w:rFonts w:ascii="Times New Roman" w:hAnsi="Times New Roman" w:cs="Times New Roman"/>
          <w:bCs/>
          <w:sz w:val="24"/>
          <w:szCs w:val="24"/>
        </w:rPr>
        <w:t>. 74 : 710-717</w:t>
      </w:r>
    </w:p>
    <w:p w14:paraId="426B2150" w14:textId="497544C2"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lastRenderedPageBreak/>
        <w:t xml:space="preserve">Saha, S. R., Hossain, M. M., Rahman, M. M., Kuo, C. G., &amp; Abdullah, S. (2010). Effect of high temperature stress on the performance of twelve sweet pepper genotypes. Bangladesh Journal of Agricultural Research, 35(3), 525-534. </w:t>
      </w:r>
      <w:hyperlink r:id="rId50" w:history="1">
        <w:r w:rsidRPr="00DE31FE">
          <w:rPr>
            <w:rStyle w:val="Hyperlink"/>
            <w:rFonts w:ascii="Times New Roman" w:hAnsi="Times New Roman" w:cs="Times New Roman"/>
            <w:bCs/>
            <w:sz w:val="24"/>
            <w:szCs w:val="24"/>
          </w:rPr>
          <w:t>https://doi.org/10.3329/bjar.v35i3.6459</w:t>
        </w:r>
      </w:hyperlink>
    </w:p>
    <w:p w14:paraId="4C4D146A" w14:textId="510F47C8"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Sandao, I., Babaye, M. S. A., Ousmane, B., &amp; Michelot, J. L. (2018). Apports des isotopes naturels de l'eau à la caractérisation des mécanismes de recharge des aquifères du bassin de la Korama, Région de Zinder, Niger. International Journal of Biological and Chemical Sciences, 12(4), 1931–1954. </w:t>
      </w:r>
      <w:hyperlink r:id="rId51" w:history="1">
        <w:r w:rsidRPr="00DE31FE">
          <w:rPr>
            <w:rStyle w:val="Hyperlink"/>
            <w:rFonts w:ascii="Times New Roman" w:hAnsi="Times New Roman" w:cs="Times New Roman"/>
            <w:bCs/>
            <w:sz w:val="24"/>
            <w:szCs w:val="24"/>
          </w:rPr>
          <w:t>https://doi.org/10.4314/ijbcs.v12i4.33</w:t>
        </w:r>
      </w:hyperlink>
    </w:p>
    <w:p w14:paraId="03E063D2" w14:textId="080F4169"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Sawadogo J, Coulibaly PJA, Bambara FJ, Savadogo AC, Compaore E, Legma JB .2020. Effects of organic fertilizers on soil physicochemical parameters and onion (Allium cepa L.) productivity in the Central West region of Burkina Faso, Africa Science 17 (6) : 44–57.</w:t>
      </w:r>
    </w:p>
    <w:p w14:paraId="6D99B1AA" w14:textId="04E48959"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Segnou, J., Akoa, A., Youmbi, E., &amp; Njoya, J. (2012). Effet de la fertilisation minérale et organique sur le rendement en fruits du piment (Capsicum annuum L.; Solanaceae) en zone forestière de basse altitude au Cameroun. Agronomie Africaine, 24, 231-240. </w:t>
      </w:r>
      <w:hyperlink r:id="rId52" w:history="1">
        <w:r w:rsidRPr="00DE31FE">
          <w:rPr>
            <w:rStyle w:val="Hyperlink"/>
            <w:rFonts w:ascii="Times New Roman" w:hAnsi="Times New Roman" w:cs="Times New Roman"/>
            <w:bCs/>
            <w:sz w:val="24"/>
            <w:szCs w:val="24"/>
          </w:rPr>
          <w:t>https://www.ajol.info/index.php/aga</w:t>
        </w:r>
      </w:hyperlink>
    </w:p>
    <w:p w14:paraId="26C572FB" w14:textId="2404D037"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Delelegn, S. (2011). *Evaluation of Elite Hot Pepper Varieties (Capsicum species) for growth, dry pod yield and quality under Jimma condition, South West Ethiopia* (Master's thesis). Jimma University. </w:t>
      </w:r>
      <w:hyperlink r:id="rId53" w:history="1">
        <w:r w:rsidRPr="00DE31FE">
          <w:rPr>
            <w:rStyle w:val="Hyperlink"/>
            <w:rFonts w:ascii="Times New Roman" w:hAnsi="Times New Roman" w:cs="Times New Roman"/>
            <w:bCs/>
            <w:sz w:val="24"/>
            <w:szCs w:val="24"/>
          </w:rPr>
          <w:t>https://hdl.handle.net/10568/3613</w:t>
        </w:r>
      </w:hyperlink>
    </w:p>
    <w:p w14:paraId="41868300" w14:textId="6E62A582"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Shafawati, S. N., &amp; Siddiquee, S. (2013). Composting of oil palm fibres and Trichoderma spp. as the biological control agent: a review. International Biodeterioration &amp; Biodegradation, 85, 243–253. </w:t>
      </w:r>
      <w:hyperlink r:id="rId54" w:history="1">
        <w:r w:rsidRPr="00DE31FE">
          <w:rPr>
            <w:rStyle w:val="Hyperlink"/>
            <w:rFonts w:ascii="Times New Roman" w:hAnsi="Times New Roman" w:cs="Times New Roman"/>
            <w:bCs/>
            <w:sz w:val="24"/>
            <w:szCs w:val="24"/>
          </w:rPr>
          <w:t>https://doi.org/10.1016/j.ibiod.2013.08.005</w:t>
        </w:r>
      </w:hyperlink>
    </w:p>
    <w:p w14:paraId="6ECD4A65" w14:textId="01B0580E"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Silva, M. R., &amp; Silva, R. N. O. (2021). Morpho-agronomic characterization and genetic diversity in peppers (Capsicum spp.). Revista Caatinga, 34(3), 505-513. </w:t>
      </w:r>
      <w:hyperlink r:id="rId55" w:history="1">
        <w:r w:rsidRPr="00DE31FE">
          <w:rPr>
            <w:rStyle w:val="Hyperlink"/>
            <w:rFonts w:ascii="Times New Roman" w:hAnsi="Times New Roman" w:cs="Times New Roman"/>
            <w:bCs/>
            <w:sz w:val="24"/>
            <w:szCs w:val="24"/>
          </w:rPr>
          <w:t>https://doi.org/10.1590/1983-21252021v34n302rc</w:t>
        </w:r>
      </w:hyperlink>
    </w:p>
    <w:p w14:paraId="7DBAB32A" w14:textId="66ADF72F" w:rsidR="00331969" w:rsidRPr="00DE31FE" w:rsidRDefault="00331969"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Simo, C., Tchiaze Ifoue, A. V., Nouage Tayoukam, L. C., Nsouga Amougou, R., Lombeko, V., Njonzo-Nzo, S. A., &amp; Djocgoue, P. F. (2019). Inhibitory effects of aqueous and ethanolic extracts of pepper (Capsicum annuum) on the development of necrosis caused by Phytophthora megakarya in Theobroma cacao. International Journal of Biological and Chemical Sciences, 13(4), 1938-1959. </w:t>
      </w:r>
      <w:hyperlink r:id="rId56" w:history="1">
        <w:r w:rsidRPr="00DE31FE">
          <w:rPr>
            <w:rStyle w:val="Hyperlink"/>
            <w:rFonts w:ascii="Times New Roman" w:hAnsi="Times New Roman" w:cs="Times New Roman"/>
            <w:bCs/>
            <w:sz w:val="24"/>
            <w:szCs w:val="24"/>
          </w:rPr>
          <w:t>https://doi.org/10.4314/ijbcs.v13i4.3</w:t>
        </w:r>
      </w:hyperlink>
    </w:p>
    <w:p w14:paraId="10F2D1BD" w14:textId="05159BE9" w:rsidR="00E8064A" w:rsidRPr="00DE31FE" w:rsidRDefault="00E8064A"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Sinclair, T. R., &amp; Jamieson, P. D. (2006). Grain number, wheat yield, and bottling beer: An analysis. Field Crops Research. </w:t>
      </w:r>
      <w:hyperlink r:id="rId57" w:history="1">
        <w:r w:rsidRPr="00DE31FE">
          <w:rPr>
            <w:rStyle w:val="Hyperlink"/>
            <w:rFonts w:ascii="Times New Roman" w:hAnsi="Times New Roman" w:cs="Times New Roman"/>
            <w:bCs/>
            <w:sz w:val="24"/>
            <w:szCs w:val="24"/>
          </w:rPr>
          <w:t>https://doi.org/10.1016/j.fcr.2005.12.006</w:t>
        </w:r>
      </w:hyperlink>
    </w:p>
    <w:p w14:paraId="293CEFDC" w14:textId="52689396"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lastRenderedPageBreak/>
        <w:t>Théodore AK, Lezin BE, Généfol O, Emmanuel DA .2018. Effects of fertilization based on plantain peel by-products on the agromorphological parameters of the F1 Kalenda eggplant variety (Solanum melongena) in the Bingerville area of Côte d'Ivoire, Journal of Animal &amp; Plant Sciences 38 (3): 6292-6306</w:t>
      </w:r>
    </w:p>
    <w:p w14:paraId="50809975" w14:textId="77777777"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Useni SY, Baboy LL, Kanyenga LA., Assani BLM., Mbuyi KM, Kasanda MN., Mbayo KLJ, Mpundu MM, Nyembo KL. 2014. Issues surrounding the agricultural use of biowaste in the city of Lubumbashi: identification of stakeholders, practices, and characterization of waste used in market gardening. Journal of Applied Biosciences, 76: 6326– 6337</w:t>
      </w:r>
    </w:p>
    <w:p w14:paraId="498AD53A" w14:textId="5A056D80" w:rsidR="00E8064A" w:rsidRPr="00DE31FE" w:rsidRDefault="00E8064A"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Valencia, I., Ansorena, D., &amp; Astiasarán, I. (2007). Development of dry fermented sausages rich in docosahexaenoic acid with oil from the microalgae Schizochytrium sp.: influence on nutritional properties, sensorial quality and oxidation stability. Food Chemistry, 104, 1087-1096. </w:t>
      </w:r>
      <w:hyperlink r:id="rId58" w:history="1">
        <w:r w:rsidRPr="00DE31FE">
          <w:rPr>
            <w:rStyle w:val="Hyperlink"/>
            <w:rFonts w:ascii="Times New Roman" w:hAnsi="Times New Roman" w:cs="Times New Roman"/>
            <w:bCs/>
            <w:sz w:val="24"/>
            <w:szCs w:val="24"/>
          </w:rPr>
          <w:t>https://doi.org/10.1016/j.foodchem.2007.01.021</w:t>
        </w:r>
      </w:hyperlink>
    </w:p>
    <w:p w14:paraId="34FF0080" w14:textId="1D49D61D" w:rsidR="00E8064A" w:rsidRPr="00DE31FE" w:rsidRDefault="00E8064A"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Wahyuni, Y., Ballester, A. R., Tikunov, Y., de Vos, R. C. H., Pelgrom, K. T. B., Maharijaya, A., Sudarmonowati, E., Bino, R. J., &amp; Bovy, A. G. (2013). Metabolomics and molecular marker analysis to explore pepper (Capsicum sp.) biodiversity. Metabolomics, 9(1), 130-144. </w:t>
      </w:r>
      <w:hyperlink r:id="rId59" w:history="1">
        <w:r w:rsidRPr="00DE31FE">
          <w:rPr>
            <w:rStyle w:val="Hyperlink"/>
            <w:rFonts w:ascii="Times New Roman" w:hAnsi="Times New Roman" w:cs="Times New Roman"/>
            <w:bCs/>
            <w:sz w:val="24"/>
            <w:szCs w:val="24"/>
          </w:rPr>
          <w:t>https://doi.org/10.1007/s11306-012-0432-6</w:t>
        </w:r>
      </w:hyperlink>
    </w:p>
    <w:p w14:paraId="40FB0AF2" w14:textId="2F1E5242" w:rsidR="00E8064A" w:rsidRPr="00DE31FE" w:rsidRDefault="00E8064A"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Waongo, L., Kiebre, M., Sawadogo, B., Ouedraogo, M. H., Kiebre, Z., &amp; Bationo/Kando, P. (2021). Phenotyping of local chili pepper (Capsicum spp) accessions cultivated in Burkina Faso. International Journal of Agricultural Policy and Research, 9(1), 16-23. </w:t>
      </w:r>
      <w:hyperlink r:id="rId60" w:history="1">
        <w:r w:rsidRPr="00DE31FE">
          <w:rPr>
            <w:rStyle w:val="Hyperlink"/>
            <w:rFonts w:ascii="Times New Roman" w:hAnsi="Times New Roman" w:cs="Times New Roman"/>
            <w:bCs/>
            <w:sz w:val="24"/>
            <w:szCs w:val="24"/>
          </w:rPr>
          <w:t>https://doi.org/10.15739/IJAPR.21.003</w:t>
        </w:r>
      </w:hyperlink>
    </w:p>
    <w:p w14:paraId="691CB3E2" w14:textId="22C0A7E3" w:rsidR="00E8064A" w:rsidRPr="00DE31FE" w:rsidRDefault="00E8064A"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Useni, S. Y., Baboy, L. L., Nyembo, K. L., &amp; Mpundu, M. M. (2012). Effets des apports combinés de biodéchets et de fertilisants inorganiques sur le rendement de trois variétés de Zea mays L. cultivées dans la région de Lubumbashi. Journal of Applied Biosciences, 54, 3935-3943. </w:t>
      </w:r>
      <w:hyperlink r:id="rId61" w:history="1">
        <w:r w:rsidRPr="00DE31FE">
          <w:rPr>
            <w:rStyle w:val="Hyperlink"/>
            <w:rFonts w:ascii="Times New Roman" w:hAnsi="Times New Roman" w:cs="Times New Roman"/>
            <w:bCs/>
            <w:sz w:val="24"/>
            <w:szCs w:val="24"/>
          </w:rPr>
          <w:t>http://www.m.elewa.org/JournalofAppliedBiosciences/volume54/54.pdf</w:t>
        </w:r>
      </w:hyperlink>
    </w:p>
    <w:p w14:paraId="336CE888" w14:textId="2B6831A2" w:rsidR="00E8064A" w:rsidRPr="00DE31FE" w:rsidRDefault="00E8064A"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 xml:space="preserve">Zhani, K., Hamdi, W., Sedraoui, S., Fendri, R., Lajimi, O., &amp; Hannachi, C. (2015). Agronomic evaluation of Tunisian accessions of chili pepper (Capsicum frutescens L.). International Research Journal of Engineering and Technology, 2(4). </w:t>
      </w:r>
      <w:hyperlink r:id="rId62" w:history="1">
        <w:r w:rsidRPr="00DE31FE">
          <w:rPr>
            <w:rStyle w:val="Hyperlink"/>
            <w:rFonts w:ascii="Times New Roman" w:hAnsi="Times New Roman" w:cs="Times New Roman"/>
            <w:bCs/>
            <w:sz w:val="24"/>
            <w:szCs w:val="24"/>
          </w:rPr>
          <w:t>https://www.researchgate.net/publication/370000000_Agronomic_evaluation_of_Tunisian_accessions_of_chili_pepper_Capsicum_frutescens_L</w:t>
        </w:r>
      </w:hyperlink>
    </w:p>
    <w:p w14:paraId="07EAD1AB" w14:textId="01F87353" w:rsidR="00A61A60" w:rsidRPr="00DE31FE" w:rsidRDefault="00A61A60"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t>Ziadi N. 2007. Use of mineral nitrogen fertilizers in field crops. Description of the different forms and their impact on the agro-environment. 8p.</w:t>
      </w:r>
    </w:p>
    <w:p w14:paraId="50D453E9" w14:textId="59624D35" w:rsidR="00AC73F4" w:rsidRPr="00DE31FE" w:rsidRDefault="00E8064A" w:rsidP="00DE31FE">
      <w:pPr>
        <w:spacing w:line="360" w:lineRule="auto"/>
        <w:ind w:left="360"/>
        <w:jc w:val="both"/>
        <w:rPr>
          <w:rFonts w:ascii="Times New Roman" w:hAnsi="Times New Roman" w:cs="Times New Roman"/>
          <w:bCs/>
          <w:sz w:val="24"/>
          <w:szCs w:val="24"/>
        </w:rPr>
      </w:pPr>
      <w:r w:rsidRPr="00DE31FE">
        <w:rPr>
          <w:rFonts w:ascii="Times New Roman" w:hAnsi="Times New Roman" w:cs="Times New Roman"/>
          <w:bCs/>
          <w:sz w:val="24"/>
          <w:szCs w:val="24"/>
        </w:rPr>
        <w:lastRenderedPageBreak/>
        <w:t xml:space="preserve">Zimmer, A. R., Leonardi, B., Miron, D., Schapoval, E., Oliveira, J. R., &amp; Gosmann, G. (2012). Antioxidant and anti-inflammatory properties of Capsicum baccatum: from traditional use to scientific approach. Journal of Ethnopharmacology, 139(1), 228-233. </w:t>
      </w:r>
      <w:hyperlink r:id="rId63" w:history="1">
        <w:r w:rsidRPr="00DE31FE">
          <w:rPr>
            <w:rStyle w:val="Hyperlink"/>
            <w:rFonts w:ascii="Times New Roman" w:hAnsi="Times New Roman" w:cs="Times New Roman"/>
            <w:bCs/>
            <w:sz w:val="24"/>
            <w:szCs w:val="24"/>
          </w:rPr>
          <w:t>https://doi.org/10.1016/j.jep.2011.11.005</w:t>
        </w:r>
      </w:hyperlink>
      <w:r w:rsidRPr="00DE31FE">
        <w:rPr>
          <w:rFonts w:ascii="Times New Roman" w:hAnsi="Times New Roman" w:cs="Times New Roman"/>
          <w:bCs/>
          <w:sz w:val="24"/>
          <w:szCs w:val="24"/>
        </w:rPr>
        <w:tab/>
      </w:r>
    </w:p>
    <w:p w14:paraId="2B6AC511" w14:textId="77777777" w:rsidR="00AC73F4" w:rsidRDefault="00AC73F4" w:rsidP="00795889">
      <w:pPr>
        <w:spacing w:line="360" w:lineRule="auto"/>
        <w:jc w:val="both"/>
        <w:rPr>
          <w:rFonts w:ascii="Times New Roman" w:hAnsi="Times New Roman" w:cs="Times New Roman"/>
          <w:b/>
          <w:bCs/>
          <w:sz w:val="24"/>
          <w:szCs w:val="24"/>
        </w:rPr>
      </w:pPr>
    </w:p>
    <w:p w14:paraId="6C7914C7" w14:textId="77777777" w:rsidR="00795889" w:rsidRPr="00795889" w:rsidRDefault="00795889" w:rsidP="00795889">
      <w:pPr>
        <w:spacing w:line="360" w:lineRule="auto"/>
        <w:jc w:val="both"/>
        <w:rPr>
          <w:rFonts w:ascii="Times New Roman" w:hAnsi="Times New Roman" w:cs="Times New Roman"/>
          <w:b/>
          <w:bCs/>
          <w:sz w:val="24"/>
          <w:szCs w:val="24"/>
        </w:rPr>
      </w:pPr>
    </w:p>
    <w:sectPr w:rsidR="00795889" w:rsidRPr="00795889" w:rsidSect="003B629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6C79B" w14:textId="77777777" w:rsidR="001238BC" w:rsidRDefault="001238BC" w:rsidP="00E52AB0">
      <w:pPr>
        <w:spacing w:after="0" w:line="240" w:lineRule="auto"/>
      </w:pPr>
      <w:r>
        <w:separator/>
      </w:r>
    </w:p>
  </w:endnote>
  <w:endnote w:type="continuationSeparator" w:id="0">
    <w:p w14:paraId="6D3249C8" w14:textId="77777777" w:rsidR="001238BC" w:rsidRDefault="001238BC" w:rsidP="00E52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9DEC2" w14:textId="77777777" w:rsidR="008A6B72" w:rsidRDefault="008A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207361"/>
      <w:docPartObj>
        <w:docPartGallery w:val="Page Numbers (Bottom of Page)"/>
        <w:docPartUnique/>
      </w:docPartObj>
    </w:sdtPr>
    <w:sdtEndPr/>
    <w:sdtContent>
      <w:p w14:paraId="7E6A45DC" w14:textId="7C07A433" w:rsidR="00E52AB0" w:rsidRDefault="00E52AB0">
        <w:pPr>
          <w:pStyle w:val="Footer"/>
          <w:jc w:val="right"/>
        </w:pPr>
        <w:r>
          <w:fldChar w:fldCharType="begin"/>
        </w:r>
        <w:r>
          <w:instrText>PAGE   \* MERGEFORMAT</w:instrText>
        </w:r>
        <w:r>
          <w:fldChar w:fldCharType="separate"/>
        </w:r>
        <w:r>
          <w:t>2</w:t>
        </w:r>
        <w:r>
          <w:fldChar w:fldCharType="end"/>
        </w:r>
      </w:p>
    </w:sdtContent>
  </w:sdt>
  <w:p w14:paraId="134164AE" w14:textId="77777777" w:rsidR="00E52AB0" w:rsidRDefault="00E52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0EE8" w14:textId="77777777" w:rsidR="008A6B72" w:rsidRDefault="008A6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7D991" w14:textId="77777777" w:rsidR="001238BC" w:rsidRDefault="001238BC" w:rsidP="00E52AB0">
      <w:pPr>
        <w:spacing w:after="0" w:line="240" w:lineRule="auto"/>
      </w:pPr>
      <w:r>
        <w:separator/>
      </w:r>
    </w:p>
  </w:footnote>
  <w:footnote w:type="continuationSeparator" w:id="0">
    <w:p w14:paraId="7BB300F3" w14:textId="77777777" w:rsidR="001238BC" w:rsidRDefault="001238BC" w:rsidP="00E52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560E" w14:textId="3A58C4E5" w:rsidR="008A6B72" w:rsidRDefault="008A6B72">
    <w:pPr>
      <w:pStyle w:val="Header"/>
    </w:pPr>
    <w:r>
      <w:rPr>
        <w:noProof/>
      </w:rPr>
      <w:pict w14:anchorId="25D6B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0559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A9610" w14:textId="1B280F89" w:rsidR="008A6B72" w:rsidRDefault="008A6B72">
    <w:pPr>
      <w:pStyle w:val="Header"/>
    </w:pPr>
    <w:r>
      <w:rPr>
        <w:noProof/>
      </w:rPr>
      <w:pict w14:anchorId="4DAA5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0559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C818" w14:textId="40313D64" w:rsidR="008A6B72" w:rsidRDefault="008A6B72">
    <w:pPr>
      <w:pStyle w:val="Header"/>
    </w:pPr>
    <w:r>
      <w:rPr>
        <w:noProof/>
      </w:rPr>
      <w:pict w14:anchorId="40C0D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0559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E598D"/>
    <w:multiLevelType w:val="hybridMultilevel"/>
    <w:tmpl w:val="6D06E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54"/>
    <w:rsid w:val="0005510A"/>
    <w:rsid w:val="00103FAB"/>
    <w:rsid w:val="0010477B"/>
    <w:rsid w:val="001238BC"/>
    <w:rsid w:val="00135133"/>
    <w:rsid w:val="00146041"/>
    <w:rsid w:val="001841DC"/>
    <w:rsid w:val="001A2447"/>
    <w:rsid w:val="001E33C5"/>
    <w:rsid w:val="0025189F"/>
    <w:rsid w:val="00252CE5"/>
    <w:rsid w:val="00331969"/>
    <w:rsid w:val="00360F61"/>
    <w:rsid w:val="003714F5"/>
    <w:rsid w:val="00376705"/>
    <w:rsid w:val="003A2BF3"/>
    <w:rsid w:val="003B629A"/>
    <w:rsid w:val="00410712"/>
    <w:rsid w:val="00426125"/>
    <w:rsid w:val="00455F77"/>
    <w:rsid w:val="004708F2"/>
    <w:rsid w:val="004927F7"/>
    <w:rsid w:val="004A7826"/>
    <w:rsid w:val="0050427C"/>
    <w:rsid w:val="0051785A"/>
    <w:rsid w:val="00527086"/>
    <w:rsid w:val="00563E01"/>
    <w:rsid w:val="005A4E54"/>
    <w:rsid w:val="005D55C1"/>
    <w:rsid w:val="006065BF"/>
    <w:rsid w:val="0067099D"/>
    <w:rsid w:val="006D5147"/>
    <w:rsid w:val="006D7333"/>
    <w:rsid w:val="00700EB0"/>
    <w:rsid w:val="00776D24"/>
    <w:rsid w:val="00795889"/>
    <w:rsid w:val="007F3F50"/>
    <w:rsid w:val="00897E5C"/>
    <w:rsid w:val="008A6B72"/>
    <w:rsid w:val="008E0E91"/>
    <w:rsid w:val="00921D1D"/>
    <w:rsid w:val="009307AD"/>
    <w:rsid w:val="00930F53"/>
    <w:rsid w:val="00934698"/>
    <w:rsid w:val="009C6851"/>
    <w:rsid w:val="009D5F63"/>
    <w:rsid w:val="00A17B8C"/>
    <w:rsid w:val="00A61A60"/>
    <w:rsid w:val="00A77333"/>
    <w:rsid w:val="00A815AC"/>
    <w:rsid w:val="00AC73F4"/>
    <w:rsid w:val="00AE4770"/>
    <w:rsid w:val="00B00445"/>
    <w:rsid w:val="00B32CDB"/>
    <w:rsid w:val="00B50CD6"/>
    <w:rsid w:val="00B50CE3"/>
    <w:rsid w:val="00BE4E6A"/>
    <w:rsid w:val="00C072F7"/>
    <w:rsid w:val="00C5412F"/>
    <w:rsid w:val="00C6346E"/>
    <w:rsid w:val="00C720E4"/>
    <w:rsid w:val="00C74C32"/>
    <w:rsid w:val="00CF35C2"/>
    <w:rsid w:val="00D458DC"/>
    <w:rsid w:val="00D570A6"/>
    <w:rsid w:val="00DE31FE"/>
    <w:rsid w:val="00E52AB0"/>
    <w:rsid w:val="00E8064A"/>
    <w:rsid w:val="00E97ED8"/>
    <w:rsid w:val="00ED7AA4"/>
    <w:rsid w:val="00F414A1"/>
    <w:rsid w:val="00FB55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FF6BB7"/>
  <w15:chartTrackingRefBased/>
  <w15:docId w15:val="{F554C730-3FA0-4882-BB34-BB765433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F5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0F5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59"/>
    <w:rsid w:val="00D458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C6851"/>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aption">
    <w:name w:val="caption"/>
    <w:basedOn w:val="Normal"/>
    <w:next w:val="Normal"/>
    <w:uiPriority w:val="35"/>
    <w:unhideWhenUsed/>
    <w:qFormat/>
    <w:rsid w:val="009D5F6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52A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2AB0"/>
    <w:rPr>
      <w:kern w:val="0"/>
      <w14:ligatures w14:val="none"/>
    </w:rPr>
  </w:style>
  <w:style w:type="paragraph" w:styleId="Footer">
    <w:name w:val="footer"/>
    <w:basedOn w:val="Normal"/>
    <w:link w:val="FooterChar"/>
    <w:uiPriority w:val="99"/>
    <w:unhideWhenUsed/>
    <w:rsid w:val="00E52A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2AB0"/>
    <w:rPr>
      <w:kern w:val="0"/>
      <w14:ligatures w14:val="none"/>
    </w:rPr>
  </w:style>
  <w:style w:type="character" w:styleId="Hyperlink">
    <w:name w:val="Hyperlink"/>
    <w:basedOn w:val="DefaultParagraphFont"/>
    <w:uiPriority w:val="99"/>
    <w:unhideWhenUsed/>
    <w:rsid w:val="00CF35C2"/>
    <w:rPr>
      <w:color w:val="0563C1" w:themeColor="hyperlink"/>
      <w:u w:val="single"/>
    </w:rPr>
  </w:style>
  <w:style w:type="character" w:styleId="UnresolvedMention">
    <w:name w:val="Unresolved Mention"/>
    <w:basedOn w:val="DefaultParagraphFont"/>
    <w:uiPriority w:val="99"/>
    <w:semiHidden/>
    <w:unhideWhenUsed/>
    <w:rsid w:val="00CF35C2"/>
    <w:rPr>
      <w:color w:val="605E5C"/>
      <w:shd w:val="clear" w:color="auto" w:fill="E1DFDD"/>
    </w:rPr>
  </w:style>
  <w:style w:type="paragraph" w:styleId="ListParagraph">
    <w:name w:val="List Paragraph"/>
    <w:basedOn w:val="Normal"/>
    <w:uiPriority w:val="34"/>
    <w:qFormat/>
    <w:rsid w:val="00AE4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5740/HAS/IJCBM/8.1/81-83" TargetMode="External"/><Relationship Id="rId21" Type="http://schemas.openxmlformats.org/officeDocument/2006/relationships/hyperlink" Target="https://bnb.bj/ouvrages/production-durable-du-piment-au-benin" TargetMode="External"/><Relationship Id="rId34" Type="http://schemas.openxmlformats.org/officeDocument/2006/relationships/hyperlink" Target="https://www.theses.fr/2003INAPG001" TargetMode="External"/><Relationship Id="rId42" Type="http://schemas.openxmlformats.org/officeDocument/2006/relationships/hyperlink" Target="https://doi.org/10.4236/ajps.2021.1212129" TargetMode="External"/><Relationship Id="rId47" Type="http://schemas.openxmlformats.org/officeDocument/2006/relationships/hyperlink" Target="https://doi.org/10.1016/0304-4238(85)90083-4" TargetMode="External"/><Relationship Id="rId50" Type="http://schemas.openxmlformats.org/officeDocument/2006/relationships/hyperlink" Target="https://doi.org/10.3329/bjar.v35i3.6459" TargetMode="External"/><Relationship Id="rId55" Type="http://schemas.openxmlformats.org/officeDocument/2006/relationships/hyperlink" Target="https://doi.org/10.1590/1983-21252021v34n302rc" TargetMode="External"/><Relationship Id="rId63" Type="http://schemas.openxmlformats.org/officeDocument/2006/relationships/hyperlink" Target="https://doi.org/10.1016/j.jep.2011.11.005"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s://www.fertilizer.org/images/Library_PDFs/2000_IFa_FAO_fertilizeruse.pdf" TargetMode="External"/><Relationship Id="rId11" Type="http://schemas.openxmlformats.org/officeDocument/2006/relationships/header" Target="header2.xml"/><Relationship Id="rId24" Type="http://schemas.openxmlformats.org/officeDocument/2006/relationships/hyperlink" Target="https://doi.org/10.1039/B610226N" TargetMode="External"/><Relationship Id="rId32" Type="http://schemas.openxmlformats.org/officeDocument/2006/relationships/hyperlink" Target="https://doi.org/10.1007/978-3-319-06532-8" TargetMode="External"/><Relationship Id="rId37" Type="http://schemas.openxmlformats.org/officeDocument/2006/relationships/hyperlink" Target="https://global.oup.com/academic/product/soil-science-9780195583458" TargetMode="External"/><Relationship Id="rId40" Type="http://schemas.openxmlformats.org/officeDocument/2006/relationships/hyperlink" Target="https://doi.org/10.17660/ActaHortic.2011.918.70" TargetMode="External"/><Relationship Id="rId45" Type="http://schemas.openxmlformats.org/officeDocument/2006/relationships/hyperlink" Target="https://www.jstage.jst.go.jp/article/jsta1957/51/1/51_1_22/_article/-char/ja/" TargetMode="External"/><Relationship Id="rId53" Type="http://schemas.openxmlformats.org/officeDocument/2006/relationships/hyperlink" Target="https://hdl.handle.net/10568/3613" TargetMode="External"/><Relationship Id="rId58" Type="http://schemas.openxmlformats.org/officeDocument/2006/relationships/hyperlink" Target="https://doi.org/10.1016/j.foodchem.2007.01.021" TargetMode="External"/><Relationship Id="rId5" Type="http://schemas.openxmlformats.org/officeDocument/2006/relationships/footnotes" Target="footnotes.xml"/><Relationship Id="rId61" Type="http://schemas.openxmlformats.org/officeDocument/2006/relationships/hyperlink" Target="http://www.m.elewa.org/JournalofAppliedBiosciences/volume54/54.pdf" TargetMode="External"/><Relationship Id="rId19" Type="http://schemas.openxmlformats.org/officeDocument/2006/relationships/hyperlink" Target="https://doi.org/10.4314/ijbcs.v8i4.50" TargetMode="External"/><Relationship Id="rId14" Type="http://schemas.openxmlformats.org/officeDocument/2006/relationships/header" Target="header3.xml"/><Relationship Id="rId22" Type="http://schemas.openxmlformats.org/officeDocument/2006/relationships/hyperlink" Target="https://doi.org/10.1201/b11577" TargetMode="External"/><Relationship Id="rId27" Type="http://schemas.openxmlformats.org/officeDocument/2006/relationships/hyperlink" Target="https://books.google.com/books/about/The_Pepper_Garden.html?id=0_4_AAAACAAJ" TargetMode="External"/><Relationship Id="rId30" Type="http://schemas.openxmlformats.org/officeDocument/2006/relationships/hyperlink" Target="http://www.fao.org/fishery/affris/species-profile/nile-tilapia/fertilizers-and-fertilizers/en/1/2" TargetMode="External"/><Relationship Id="rId35" Type="http://schemas.openxmlformats.org/officeDocument/2006/relationships/hyperlink" Target="https://doi.org/10.1016/j.scienta.2008.08.034" TargetMode="External"/><Relationship Id="rId43" Type="http://schemas.openxmlformats.org/officeDocument/2006/relationships/hyperlink" Target="https://doi.org/10.1094/PHYTO-11-11-0300" TargetMode="External"/><Relationship Id="rId48" Type="http://schemas.openxmlformats.org/officeDocument/2006/relationships/hyperlink" Target="https://doi.org/10.1080/00103620009370579" TargetMode="External"/><Relationship Id="rId56" Type="http://schemas.openxmlformats.org/officeDocument/2006/relationships/hyperlink" Target="https://doi.org/10.4314/ijbcs.v13i4.3" TargetMode="External"/><Relationship Id="rId64"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s://doi.org/10.4314/ijbcs.v12i4.33"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s://doi.org/10.12944/CARJ.9.1.06" TargetMode="External"/><Relationship Id="rId33" Type="http://schemas.openxmlformats.org/officeDocument/2006/relationships/hyperlink" Target="https://doi.org/10.4314/ijbcs.v7i3.15" TargetMode="External"/><Relationship Id="rId38" Type="http://schemas.openxmlformats.org/officeDocument/2006/relationships/hyperlink" Target="https://www.revist.ci/numeros-parus" TargetMode="External"/><Relationship Id="rId46" Type="http://schemas.openxmlformats.org/officeDocument/2006/relationships/hyperlink" Target="https://hal.inrae.fr/hal-02849985" TargetMode="External"/><Relationship Id="rId59" Type="http://schemas.openxmlformats.org/officeDocument/2006/relationships/hyperlink" Target="https://doi.org/10.1007/s11306-012-0432-6" TargetMode="External"/><Relationship Id="rId20" Type="http://schemas.openxmlformats.org/officeDocument/2006/relationships/hyperlink" Target="https://www.journal.acse.science/index.php/ajb/issue/view/1" TargetMode="External"/><Relationship Id="rId41" Type="http://schemas.openxmlformats.org/officeDocument/2006/relationships/hyperlink" Target="https://doi.org/10.7202/018955ar" TargetMode="External"/><Relationship Id="rId54" Type="http://schemas.openxmlformats.org/officeDocument/2006/relationships/hyperlink" Target="https://doi.org/10.1016/j.ibiod.2013.08.005" TargetMode="External"/><Relationship Id="rId62" Type="http://schemas.openxmlformats.org/officeDocument/2006/relationships/hyperlink" Target="https://www.researchgate.net/publication/370000000_Agronomic_evaluation_of_Tunisian_accessions_of_chili_pepper_Capsicum_frutescens_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s://doi.org/10.1016/j.fcr.2003.10.001" TargetMode="External"/><Relationship Id="rId28" Type="http://schemas.openxmlformats.org/officeDocument/2006/relationships/hyperlink" Target="https://doi.org/10.1080/10942912.2010.513616" TargetMode="External"/><Relationship Id="rId36" Type="http://schemas.openxmlformats.org/officeDocument/2006/relationships/hyperlink" Target="https://doi.org/10.3390/agriculture11121236" TargetMode="External"/><Relationship Id="rId49" Type="http://schemas.openxmlformats.org/officeDocument/2006/relationships/hyperlink" Target="https://doi.org/10.4314/ijbcs.v16i1.32" TargetMode="External"/><Relationship Id="rId57" Type="http://schemas.openxmlformats.org/officeDocument/2006/relationships/hyperlink" Target="https://doi.org/10.1016/j.fcr.2005.12.006" TargetMode="External"/><Relationship Id="rId10" Type="http://schemas.openxmlformats.org/officeDocument/2006/relationships/header" Target="header1.xml"/><Relationship Id="rId31" Type="http://schemas.openxmlformats.org/officeDocument/2006/relationships/hyperlink" Target="http://www.fao.org/tempref/agl/agll/docs/fertuse.pdf" TargetMode="External"/><Relationship Id="rId44" Type="http://schemas.openxmlformats.org/officeDocument/2006/relationships/hyperlink" Target="https://doi.org/10.1016/j.fcr.2010.09.004" TargetMode="External"/><Relationship Id="rId52" Type="http://schemas.openxmlformats.org/officeDocument/2006/relationships/hyperlink" Target="https://www.ajol.info/index.php/aga" TargetMode="External"/><Relationship Id="rId60" Type="http://schemas.openxmlformats.org/officeDocument/2006/relationships/hyperlink" Target="https://doi.org/10.15739/IJAPR.21.003"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doi.org/10.19044/esj.2022.v18n3p278" TargetMode="External"/><Relationship Id="rId39" Type="http://schemas.openxmlformats.org/officeDocument/2006/relationships/hyperlink" Target="https://afriquescience.info/article/10-difficultes-dacces-a-leau-potable-dans-la-ville-de-zinder-niger-causes-consequences-et-perspectiv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donn&#233;es%20pluvio&#233;triqu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MENO\execel%20%20donn&#233;es%20pi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[données pluvioétriques.xlsx]Feuil3!Tableau croisé dynamique63</c:name>
    <c:fmtId val="-1"/>
  </c:pivotSource>
  <c:chart>
    <c:title>
      <c:tx>
        <c:rich>
          <a:bodyPr rot="0" spcFirstLastPara="1" vertOverflow="ellipsis" vert="horz" wrap="square" anchor="ctr" anchorCtr="1"/>
          <a:lstStyle/>
          <a:p>
            <a:pPr>
              <a:defRPr sz="1100" b="1" i="0" u="none" strike="noStrike" kern="1200" cap="all" spc="100" normalizeH="0" baseline="0">
                <a:solidFill>
                  <a:schemeClr val="lt1"/>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Rainfall total in (mm) per month</a:t>
            </a:r>
          </a:p>
        </c:rich>
      </c:tx>
      <c:overlay val="0"/>
      <c:spPr>
        <a:noFill/>
        <a:ln>
          <a:noFill/>
        </a:ln>
        <a:effectLst/>
      </c:spPr>
      <c:txPr>
        <a:bodyPr rot="0" spcFirstLastPara="1" vertOverflow="ellipsis" vert="horz" wrap="square" anchor="ctr" anchorCtr="1"/>
        <a:lstStyle/>
        <a:p>
          <a:pPr>
            <a:defRPr sz="1100" b="1" i="0" u="none" strike="noStrike" kern="1200" cap="all" spc="100" normalizeH="0" baseline="0">
              <a:solidFill>
                <a:schemeClr val="lt1"/>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pattFill prst="ltUpDiag">
            <a:fgClr>
              <a:schemeClr val="accent1"/>
            </a:fgClr>
            <a:bgClr>
              <a:schemeClr val="lt1"/>
            </a:bgClr>
          </a:pattFill>
          <a:ln>
            <a:noFill/>
          </a:ln>
          <a:effectLst/>
        </c:spPr>
        <c:marker>
          <c:symbol val="none"/>
        </c:marker>
        <c:dLbl>
          <c:idx val="0"/>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pattFill prst="ltUpDiag">
            <a:fgClr>
              <a:schemeClr val="accent1"/>
            </a:fgClr>
            <a:bgClr>
              <a:schemeClr val="lt1"/>
            </a:bgClr>
          </a:pattFill>
          <a:ln>
            <a:noFill/>
          </a:ln>
          <a:effectLst/>
        </c:spPr>
        <c:marker>
          <c:symbol val="none"/>
        </c:marker>
        <c:dLbl>
          <c:idx val="0"/>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pattFill prst="ltUpDiag">
            <a:fgClr>
              <a:schemeClr val="accent1"/>
            </a:fgClr>
            <a:bgClr>
              <a:schemeClr val="lt1"/>
            </a:bgClr>
          </a:pattFill>
          <a:ln>
            <a:noFill/>
          </a:ln>
          <a:effectLst/>
        </c:spPr>
        <c:marker>
          <c:symbol val="none"/>
        </c:marker>
        <c:dLbl>
          <c:idx val="0"/>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Feuil3!$B$3</c:f>
              <c:strCache>
                <c:ptCount val="1"/>
                <c:pt idx="0">
                  <c:v>Total</c:v>
                </c:pt>
              </c:strCache>
            </c:strRef>
          </c:tx>
          <c:spPr>
            <a:pattFill prst="ltUpDiag">
              <a:fgClr>
                <a:schemeClr val="accent1"/>
              </a:fgClr>
              <a:bgClr>
                <a:schemeClr val="lt1"/>
              </a:bgClr>
            </a:pattFill>
            <a:ln>
              <a:noFill/>
            </a:ln>
            <a:effectLst/>
          </c:spPr>
          <c:invertIfNegative val="0"/>
          <c:cat>
            <c:strRef>
              <c:f>Feuil3!$A$4:$A$9</c:f>
              <c:strCache>
                <c:ptCount val="6"/>
                <c:pt idx="0">
                  <c:v>Mai</c:v>
                </c:pt>
                <c:pt idx="1">
                  <c:v>Juin</c:v>
                </c:pt>
                <c:pt idx="2">
                  <c:v>Juillet</c:v>
                </c:pt>
                <c:pt idx="3">
                  <c:v>Août</c:v>
                </c:pt>
                <c:pt idx="4">
                  <c:v>Septembre</c:v>
                </c:pt>
                <c:pt idx="5">
                  <c:v>Octobre</c:v>
                </c:pt>
              </c:strCache>
            </c:strRef>
          </c:cat>
          <c:val>
            <c:numRef>
              <c:f>Feuil3!$B$4:$B$9</c:f>
              <c:numCache>
                <c:formatCode>General</c:formatCode>
                <c:ptCount val="6"/>
                <c:pt idx="0">
                  <c:v>15</c:v>
                </c:pt>
                <c:pt idx="1">
                  <c:v>109</c:v>
                </c:pt>
                <c:pt idx="2">
                  <c:v>117.5</c:v>
                </c:pt>
                <c:pt idx="3">
                  <c:v>166</c:v>
                </c:pt>
                <c:pt idx="4">
                  <c:v>81</c:v>
                </c:pt>
                <c:pt idx="5">
                  <c:v>16</c:v>
                </c:pt>
              </c:numCache>
            </c:numRef>
          </c:val>
          <c:extLst>
            <c:ext xmlns:c16="http://schemas.microsoft.com/office/drawing/2014/chart" uri="{C3380CC4-5D6E-409C-BE32-E72D297353CC}">
              <c16:uniqueId val="{00000000-F337-49DA-BE64-7BCAB8FF1598}"/>
            </c:ext>
          </c:extLst>
        </c:ser>
        <c:dLbls>
          <c:showLegendKey val="0"/>
          <c:showVal val="0"/>
          <c:showCatName val="0"/>
          <c:showSerName val="0"/>
          <c:showPercent val="0"/>
          <c:showBubbleSize val="0"/>
        </c:dLbls>
        <c:gapWidth val="269"/>
        <c:overlap val="-20"/>
        <c:axId val="-1463098768"/>
        <c:axId val="-1463081360"/>
      </c:barChart>
      <c:catAx>
        <c:axId val="-1463098768"/>
        <c:scaling>
          <c:orientation val="minMax"/>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fr-FR"/>
                  <a:t>Mois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out"/>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1463081360"/>
        <c:crosses val="autoZero"/>
        <c:auto val="1"/>
        <c:lblAlgn val="ctr"/>
        <c:lblOffset val="100"/>
        <c:noMultiLvlLbl val="0"/>
      </c:catAx>
      <c:valAx>
        <c:axId val="-14630813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fr-FR"/>
                  <a:t>Rainfall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463098768"/>
        <c:crosses val="autoZero"/>
        <c:crossBetween val="between"/>
      </c:valAx>
      <c:dTable>
        <c:showHorzBorder val="1"/>
        <c:showVertBorder val="1"/>
        <c:showOutline val="1"/>
        <c:showKeys val="1"/>
        <c:spPr>
          <a:noFill/>
          <a:ln w="9525">
            <a:solidFill>
              <a:schemeClr val="accent1">
                <a:lumMod val="60000"/>
                <a:lumOff val="40000"/>
              </a:schemeClr>
            </a:solidFill>
          </a:ln>
          <a:effectLst/>
        </c:spPr>
        <c:txPr>
          <a:bodyPr rot="0" spcFirstLastPara="1" vertOverflow="ellipsis" vert="horz" wrap="square" anchor="ctr" anchorCtr="1"/>
          <a:lstStyle/>
          <a:p>
            <a:pPr rtl="0">
              <a:defRPr sz="900" b="0" i="0" u="none" strike="noStrike" kern="1200" baseline="0">
                <a:solidFill>
                  <a:schemeClr val="lt1"/>
                </a:solidFill>
                <a:latin typeface="+mn-lt"/>
                <a:ea typeface="+mn-ea"/>
                <a:cs typeface="+mn-cs"/>
              </a:defRPr>
            </a:pPr>
            <a:endParaRPr lang="en-US"/>
          </a:p>
        </c:txPr>
      </c:dTable>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solidFill>
              <a:ln w="19050">
                <a:solidFill>
                  <a:schemeClr val="lt1"/>
                </a:solidFill>
              </a:ln>
              <a:effectLst/>
            </c:spPr>
            <c:extLst>
              <c:ext xmlns:c16="http://schemas.microsoft.com/office/drawing/2014/chart" uri="{C3380CC4-5D6E-409C-BE32-E72D297353CC}">
                <c16:uniqueId val="{00000001-69A2-4597-976C-2163C55332BA}"/>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69A2-4597-976C-2163C55332BA}"/>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69A2-4597-976C-2163C55332BA}"/>
              </c:ext>
            </c:extLst>
          </c:dPt>
          <c:dPt>
            <c:idx val="3"/>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7-69A2-4597-976C-2163C55332BA}"/>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69A2-4597-976C-2163C55332BA}"/>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69A2-4597-976C-2163C55332BA}"/>
              </c:ext>
            </c:extLst>
          </c:dPt>
          <c:dPt>
            <c:idx val="6"/>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D-69A2-4597-976C-2163C55332B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Feuil14!$K$7:$K$13</c:f>
              <c:strCache>
                <c:ptCount val="7"/>
                <c:pt idx="0">
                  <c:v>T0</c:v>
                </c:pt>
                <c:pt idx="1">
                  <c:v>T1</c:v>
                </c:pt>
                <c:pt idx="2">
                  <c:v>T2</c:v>
                </c:pt>
                <c:pt idx="3">
                  <c:v>T3</c:v>
                </c:pt>
                <c:pt idx="4">
                  <c:v>T4</c:v>
                </c:pt>
                <c:pt idx="5">
                  <c:v>T5</c:v>
                </c:pt>
                <c:pt idx="6">
                  <c:v>T6</c:v>
                </c:pt>
              </c:strCache>
            </c:strRef>
          </c:cat>
          <c:val>
            <c:numRef>
              <c:f>Feuil14!$L$7:$L$13</c:f>
              <c:numCache>
                <c:formatCode>0.00%</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E-69A2-4597-976C-2163C55332B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30</Pages>
  <Words>9204</Words>
  <Characters>52463</Characters>
  <Application>Microsoft Office Word</Application>
  <DocSecurity>0</DocSecurity>
  <Lines>437</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 IDI SAIDOU</dc:creator>
  <cp:keywords/>
  <dc:description/>
  <cp:lastModifiedBy>SDI 1084</cp:lastModifiedBy>
  <cp:revision>11</cp:revision>
  <dcterms:created xsi:type="dcterms:W3CDTF">2025-12-23T21:29:00Z</dcterms:created>
  <dcterms:modified xsi:type="dcterms:W3CDTF">2025-12-24T12:14:00Z</dcterms:modified>
</cp:coreProperties>
</file>