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DDC21" w14:textId="32EC812F" w:rsidR="003C5B81" w:rsidRPr="003C5B81" w:rsidRDefault="003C5B81" w:rsidP="003C5B81">
      <w:pPr>
        <w:spacing w:after="0" w:line="360" w:lineRule="auto"/>
        <w:rPr>
          <w:rFonts w:ascii="Times New Roman" w:hAnsi="Times New Roman" w:cs="Times New Roman"/>
          <w:b/>
          <w:bCs/>
          <w:sz w:val="28"/>
          <w:szCs w:val="28"/>
          <w:u w:val="single"/>
        </w:rPr>
      </w:pPr>
      <w:r w:rsidRPr="003C5B81">
        <w:rPr>
          <w:rFonts w:ascii="Times New Roman" w:hAnsi="Times New Roman" w:cs="Times New Roman"/>
          <w:b/>
          <w:bCs/>
          <w:sz w:val="28"/>
          <w:szCs w:val="28"/>
          <w:u w:val="single"/>
        </w:rPr>
        <w:t>Original Research Article</w:t>
      </w:r>
    </w:p>
    <w:p w14:paraId="193A498D" w14:textId="30FAAA23" w:rsidR="00AA3710" w:rsidRDefault="002925CB" w:rsidP="002925CB">
      <w:pPr>
        <w:spacing w:after="0" w:line="360" w:lineRule="auto"/>
        <w:jc w:val="center"/>
        <w:rPr>
          <w:rFonts w:ascii="Times New Roman" w:hAnsi="Times New Roman" w:cs="Times New Roman"/>
          <w:b/>
          <w:bCs/>
          <w:sz w:val="28"/>
          <w:szCs w:val="28"/>
        </w:rPr>
      </w:pPr>
      <w:r w:rsidRPr="002925CB">
        <w:rPr>
          <w:rFonts w:ascii="Times New Roman" w:hAnsi="Times New Roman" w:cs="Times New Roman"/>
          <w:b/>
          <w:bCs/>
          <w:sz w:val="28"/>
          <w:szCs w:val="28"/>
        </w:rPr>
        <w:t>Effect of Integrated Nutrient Management on Nutrient Content and Uptake in Rice (</w:t>
      </w:r>
      <w:r w:rsidRPr="002925CB">
        <w:rPr>
          <w:rFonts w:ascii="Times New Roman" w:hAnsi="Times New Roman" w:cs="Times New Roman"/>
          <w:b/>
          <w:bCs/>
          <w:i/>
          <w:iCs/>
          <w:sz w:val="28"/>
          <w:szCs w:val="28"/>
        </w:rPr>
        <w:t>Oryza sativa</w:t>
      </w:r>
      <w:r w:rsidRPr="002925CB">
        <w:rPr>
          <w:rFonts w:ascii="Times New Roman" w:hAnsi="Times New Roman" w:cs="Times New Roman"/>
          <w:b/>
          <w:bCs/>
          <w:sz w:val="28"/>
          <w:szCs w:val="28"/>
        </w:rPr>
        <w:t xml:space="preserve"> L.)</w:t>
      </w:r>
    </w:p>
    <w:p w14:paraId="3C904263" w14:textId="70D82554" w:rsidR="00F53BA6" w:rsidRDefault="00F53BA6" w:rsidP="00F53BA6">
      <w:pPr>
        <w:spacing w:line="360" w:lineRule="auto"/>
        <w:jc w:val="center"/>
        <w:rPr>
          <w:rFonts w:ascii="Times New Roman" w:hAnsi="Times New Roman" w:cs="Times New Roman"/>
          <w:color w:val="000000" w:themeColor="text1"/>
          <w:sz w:val="24"/>
          <w:szCs w:val="24"/>
        </w:rPr>
      </w:pPr>
    </w:p>
    <w:p w14:paraId="2F1CE9B6" w14:textId="77777777" w:rsidR="00087183" w:rsidRPr="00F53BA6" w:rsidRDefault="00087183" w:rsidP="00F53BA6">
      <w:pPr>
        <w:spacing w:line="360" w:lineRule="auto"/>
        <w:jc w:val="center"/>
        <w:rPr>
          <w:rFonts w:ascii="Times New Roman" w:hAnsi="Times New Roman" w:cs="Times New Roman"/>
          <w:color w:val="000000" w:themeColor="text1"/>
          <w:sz w:val="24"/>
          <w:szCs w:val="24"/>
        </w:rPr>
      </w:pPr>
      <w:bookmarkStart w:id="0" w:name="_GoBack"/>
      <w:bookmarkEnd w:id="0"/>
    </w:p>
    <w:p w14:paraId="7C4CF6BE" w14:textId="6C2455A6" w:rsidR="00711A52" w:rsidRPr="00711A52" w:rsidRDefault="00711A52" w:rsidP="00711A52">
      <w:pPr>
        <w:spacing w:after="0" w:line="360" w:lineRule="auto"/>
        <w:jc w:val="both"/>
        <w:rPr>
          <w:rFonts w:ascii="Times New Roman" w:hAnsi="Times New Roman" w:cs="Times New Roman"/>
          <w:b/>
          <w:bCs/>
          <w:sz w:val="24"/>
          <w:szCs w:val="24"/>
        </w:rPr>
      </w:pPr>
      <w:r w:rsidRPr="00711A52">
        <w:rPr>
          <w:rFonts w:ascii="Times New Roman" w:hAnsi="Times New Roman" w:cs="Times New Roman"/>
          <w:b/>
          <w:bCs/>
          <w:sz w:val="24"/>
          <w:szCs w:val="24"/>
        </w:rPr>
        <w:t>Abstract</w:t>
      </w:r>
    </w:p>
    <w:p w14:paraId="2FA2DB33" w14:textId="621ADD2E" w:rsidR="00711A52" w:rsidRPr="00711A52" w:rsidRDefault="00711A52" w:rsidP="00711A52">
      <w:pPr>
        <w:spacing w:after="0" w:line="360" w:lineRule="auto"/>
        <w:jc w:val="both"/>
        <w:rPr>
          <w:rFonts w:ascii="Times New Roman" w:hAnsi="Times New Roman" w:cs="Times New Roman"/>
          <w:sz w:val="24"/>
          <w:szCs w:val="24"/>
        </w:rPr>
      </w:pPr>
      <w:r w:rsidRPr="00711A52">
        <w:rPr>
          <w:rFonts w:ascii="Times New Roman" w:hAnsi="Times New Roman" w:cs="Times New Roman"/>
          <w:sz w:val="24"/>
          <w:szCs w:val="24"/>
        </w:rPr>
        <w:t xml:space="preserve">The present study was conducted during the </w:t>
      </w:r>
      <w:r w:rsidRPr="00711A52">
        <w:rPr>
          <w:rFonts w:ascii="Times New Roman" w:hAnsi="Times New Roman" w:cs="Times New Roman"/>
          <w:i/>
          <w:iCs/>
          <w:sz w:val="24"/>
          <w:szCs w:val="24"/>
        </w:rPr>
        <w:t>kharif</w:t>
      </w:r>
      <w:r w:rsidRPr="00711A52">
        <w:rPr>
          <w:rFonts w:ascii="Times New Roman" w:hAnsi="Times New Roman" w:cs="Times New Roman"/>
          <w:sz w:val="24"/>
          <w:szCs w:val="24"/>
        </w:rPr>
        <w:t xml:space="preserve"> season of 2023 at the Student Instructional Farm, CSAUAT, Kanpur, to evaluate the impact of integrated nutrient management (INM) on nutrient content, nutrient uptake, and economic viability in rice (</w:t>
      </w:r>
      <w:r w:rsidRPr="00711A52">
        <w:rPr>
          <w:rFonts w:ascii="Times New Roman" w:hAnsi="Times New Roman" w:cs="Times New Roman"/>
          <w:i/>
          <w:iCs/>
          <w:sz w:val="24"/>
          <w:szCs w:val="24"/>
        </w:rPr>
        <w:t>Oryza sativa</w:t>
      </w:r>
      <w:r w:rsidRPr="00711A52">
        <w:rPr>
          <w:rFonts w:ascii="Times New Roman" w:hAnsi="Times New Roman" w:cs="Times New Roman"/>
          <w:sz w:val="24"/>
          <w:szCs w:val="24"/>
        </w:rPr>
        <w:t xml:space="preserve"> L.). The experiment comprised eight treatments with varying combinations of recommended doses of fertilizers (RDF), farmyard manure (FYM), and vermicompost (VC), laid out in a randomized block design with three replications. Results revealed that the integrated application of 75% RDF + FYM + VC (T₅) significantly enhanced nitrogen (1.33%), phosphorus (0.496%), and potassium (0.293%) content in grain compared to control. Nutrient uptake was also maximized in T₅, with total uptake values of 79.42 kg ha⁻¹ (N), 28.50 kg ha⁻¹ (P), and 97.92 kg ha⁻¹ (K), representing substantial increases over control and sole RDF treatments. The synergistic effect of organics and inorganics improved nutrient availability, soil health, and uptake efficiency.</w:t>
      </w:r>
      <w:r>
        <w:rPr>
          <w:rFonts w:ascii="Times New Roman" w:hAnsi="Times New Roman" w:cs="Times New Roman"/>
          <w:sz w:val="24"/>
          <w:szCs w:val="24"/>
        </w:rPr>
        <w:t xml:space="preserve"> </w:t>
      </w:r>
      <w:r w:rsidRPr="00711A52">
        <w:rPr>
          <w:rFonts w:ascii="Times New Roman" w:hAnsi="Times New Roman" w:cs="Times New Roman"/>
          <w:sz w:val="24"/>
          <w:szCs w:val="24"/>
        </w:rPr>
        <w:t>These findings underscore the importance of INM in enhancing nutrient use efficiency and supporting long-term productivity and profitability in rice cultivation under alluvial soils.</w:t>
      </w:r>
    </w:p>
    <w:p w14:paraId="3C6CE10A" w14:textId="7238766B" w:rsidR="00012083" w:rsidRPr="00012083" w:rsidRDefault="00012083" w:rsidP="00012083">
      <w:pPr>
        <w:spacing w:after="0" w:line="360" w:lineRule="auto"/>
        <w:jc w:val="both"/>
        <w:rPr>
          <w:rFonts w:ascii="Times New Roman" w:hAnsi="Times New Roman" w:cs="Times New Roman"/>
          <w:b/>
          <w:bCs/>
          <w:sz w:val="24"/>
          <w:szCs w:val="24"/>
        </w:rPr>
      </w:pPr>
      <w:r w:rsidRPr="00012083">
        <w:rPr>
          <w:rFonts w:ascii="Times New Roman" w:hAnsi="Times New Roman" w:cs="Times New Roman"/>
          <w:b/>
          <w:bCs/>
          <w:sz w:val="24"/>
          <w:szCs w:val="24"/>
        </w:rPr>
        <w:t>INTRODUCTION</w:t>
      </w:r>
    </w:p>
    <w:p w14:paraId="38021786" w14:textId="009EC6D3" w:rsidR="00012083" w:rsidRDefault="00012083" w:rsidP="00922900">
      <w:pPr>
        <w:spacing w:after="0" w:line="360" w:lineRule="auto"/>
        <w:ind w:firstLine="720"/>
        <w:jc w:val="both"/>
        <w:rPr>
          <w:rFonts w:ascii="Times New Roman" w:hAnsi="Times New Roman" w:cs="Times New Roman"/>
          <w:sz w:val="24"/>
          <w:szCs w:val="24"/>
        </w:rPr>
      </w:pPr>
      <w:r w:rsidRPr="00012083">
        <w:rPr>
          <w:rFonts w:ascii="Times New Roman" w:hAnsi="Times New Roman" w:cs="Times New Roman"/>
          <w:sz w:val="24"/>
          <w:szCs w:val="24"/>
        </w:rPr>
        <w:t>Rice (</w:t>
      </w:r>
      <w:r w:rsidRPr="00012083">
        <w:rPr>
          <w:rFonts w:ascii="Times New Roman" w:hAnsi="Times New Roman" w:cs="Times New Roman"/>
          <w:i/>
          <w:iCs/>
          <w:sz w:val="24"/>
          <w:szCs w:val="24"/>
        </w:rPr>
        <w:t>Oryza sativa</w:t>
      </w:r>
      <w:r w:rsidRPr="00012083">
        <w:rPr>
          <w:rFonts w:ascii="Times New Roman" w:hAnsi="Times New Roman" w:cs="Times New Roman"/>
          <w:sz w:val="24"/>
          <w:szCs w:val="24"/>
        </w:rPr>
        <w:t xml:space="preserve"> L.) is one of the most important staple food crops in the world, playing a </w:t>
      </w:r>
      <w:r>
        <w:rPr>
          <w:rFonts w:ascii="Times New Roman" w:hAnsi="Times New Roman" w:cs="Times New Roman"/>
          <w:sz w:val="24"/>
          <w:szCs w:val="24"/>
        </w:rPr>
        <w:t>major</w:t>
      </w:r>
      <w:r w:rsidRPr="00012083">
        <w:rPr>
          <w:rFonts w:ascii="Times New Roman" w:hAnsi="Times New Roman" w:cs="Times New Roman"/>
          <w:sz w:val="24"/>
          <w:szCs w:val="24"/>
        </w:rPr>
        <w:t xml:space="preserve"> role in global food security. In India, rice occupies a central position in agriculture, covering about 43.7 million hectares with a production of 112.9 million tonnes, making the country the second-largest producer globally after China (</w:t>
      </w:r>
      <w:r w:rsidR="00AF3951" w:rsidRPr="00AF3951">
        <w:rPr>
          <w:rFonts w:ascii="Times New Roman" w:hAnsi="Times New Roman" w:cs="Times New Roman"/>
          <w:sz w:val="24"/>
          <w:szCs w:val="24"/>
        </w:rPr>
        <w:t>Glauber</w:t>
      </w:r>
      <w:r w:rsidR="00AF3951">
        <w:rPr>
          <w:rFonts w:ascii="Times New Roman" w:hAnsi="Times New Roman" w:cs="Times New Roman"/>
          <w:sz w:val="24"/>
          <w:szCs w:val="24"/>
        </w:rPr>
        <w:t xml:space="preserve"> and </w:t>
      </w:r>
      <w:r w:rsidR="00AF3951" w:rsidRPr="00AF3951">
        <w:rPr>
          <w:rFonts w:ascii="Times New Roman" w:hAnsi="Times New Roman" w:cs="Times New Roman"/>
          <w:sz w:val="24"/>
          <w:szCs w:val="24"/>
        </w:rPr>
        <w:t>Mamun, 2025). </w:t>
      </w:r>
      <w:r w:rsidRPr="00012083">
        <w:rPr>
          <w:rFonts w:ascii="Times New Roman" w:hAnsi="Times New Roman" w:cs="Times New Roman"/>
          <w:sz w:val="24"/>
          <w:szCs w:val="24"/>
        </w:rPr>
        <w:t xml:space="preserve"> It accounts for more than 40% of total food grain production and occupies nearly one-fourth of the total cropped area. Given the increasing population and food demand, enhancing rice productivity in a sustainable manner remains a national priority</w:t>
      </w:r>
      <w:r w:rsidR="00AF3951">
        <w:rPr>
          <w:rFonts w:ascii="Times New Roman" w:hAnsi="Times New Roman" w:cs="Times New Roman"/>
          <w:sz w:val="24"/>
          <w:szCs w:val="24"/>
        </w:rPr>
        <w:t xml:space="preserve"> </w:t>
      </w:r>
      <w:r w:rsidR="00AF3951" w:rsidRPr="00922900">
        <w:rPr>
          <w:rFonts w:ascii="Times New Roman" w:hAnsi="Times New Roman" w:cs="Times New Roman"/>
          <w:sz w:val="24"/>
          <w:szCs w:val="24"/>
        </w:rPr>
        <w:t xml:space="preserve">(Dhanda </w:t>
      </w:r>
      <w:r w:rsidR="00AF3951" w:rsidRPr="00922900">
        <w:rPr>
          <w:rFonts w:ascii="Times New Roman" w:hAnsi="Times New Roman" w:cs="Times New Roman"/>
          <w:i/>
          <w:iCs/>
          <w:sz w:val="24"/>
          <w:szCs w:val="24"/>
        </w:rPr>
        <w:t>et al.,</w:t>
      </w:r>
      <w:r w:rsidR="00AF3951" w:rsidRPr="00922900">
        <w:rPr>
          <w:rFonts w:ascii="Times New Roman" w:hAnsi="Times New Roman" w:cs="Times New Roman"/>
          <w:sz w:val="24"/>
          <w:szCs w:val="24"/>
        </w:rPr>
        <w:t xml:space="preserve"> 2022)</w:t>
      </w:r>
      <w:r w:rsidRPr="00012083">
        <w:rPr>
          <w:rFonts w:ascii="Times New Roman" w:hAnsi="Times New Roman" w:cs="Times New Roman"/>
          <w:sz w:val="24"/>
          <w:szCs w:val="24"/>
        </w:rPr>
        <w:t>.</w:t>
      </w:r>
    </w:p>
    <w:p w14:paraId="434D2FD2" w14:textId="10B66F1B" w:rsidR="00012083" w:rsidRPr="00012083" w:rsidRDefault="00012083" w:rsidP="00012083">
      <w:pPr>
        <w:spacing w:after="0" w:line="360" w:lineRule="auto"/>
        <w:ind w:firstLine="720"/>
        <w:jc w:val="both"/>
        <w:rPr>
          <w:rFonts w:ascii="Times New Roman" w:hAnsi="Times New Roman" w:cs="Times New Roman"/>
          <w:sz w:val="24"/>
          <w:szCs w:val="24"/>
        </w:rPr>
      </w:pPr>
      <w:r w:rsidRPr="00012083">
        <w:rPr>
          <w:rFonts w:ascii="Times New Roman" w:hAnsi="Times New Roman" w:cs="Times New Roman"/>
          <w:sz w:val="24"/>
          <w:szCs w:val="24"/>
        </w:rPr>
        <w:t>However, intensive cultivation of high-yielding rice varieties has led to excessive dependence on chemical fertilizers, especially nitrogen (N), phosphorus (P), and potassium (K). While these inputs initially boosted yields, their imbalanced and continuous application has resulted in soil nutrient depletion, deterioration of soil physical and biological properties, and reduced nutrient use efficiency (</w:t>
      </w:r>
      <w:r w:rsidR="00A900F8">
        <w:rPr>
          <w:rFonts w:ascii="Times New Roman" w:hAnsi="Times New Roman" w:cs="Times New Roman"/>
          <w:sz w:val="24"/>
          <w:szCs w:val="24"/>
        </w:rPr>
        <w:t>Prasad</w:t>
      </w:r>
      <w:r w:rsidRPr="00012083">
        <w:rPr>
          <w:rFonts w:ascii="Times New Roman" w:hAnsi="Times New Roman" w:cs="Times New Roman"/>
          <w:sz w:val="24"/>
          <w:szCs w:val="24"/>
        </w:rPr>
        <w:t xml:space="preserve"> et al., 201</w:t>
      </w:r>
      <w:r w:rsidR="00AF1109">
        <w:rPr>
          <w:rFonts w:ascii="Times New Roman" w:hAnsi="Times New Roman" w:cs="Times New Roman"/>
          <w:sz w:val="24"/>
          <w:szCs w:val="24"/>
        </w:rPr>
        <w:t>7</w:t>
      </w:r>
      <w:r w:rsidRPr="00012083">
        <w:rPr>
          <w:rFonts w:ascii="Times New Roman" w:hAnsi="Times New Roman" w:cs="Times New Roman"/>
          <w:sz w:val="24"/>
          <w:szCs w:val="24"/>
        </w:rPr>
        <w:t xml:space="preserve">; Imade et al., 2017). Sole reliance on </w:t>
      </w:r>
      <w:r w:rsidRPr="00012083">
        <w:rPr>
          <w:rFonts w:ascii="Times New Roman" w:hAnsi="Times New Roman" w:cs="Times New Roman"/>
          <w:sz w:val="24"/>
          <w:szCs w:val="24"/>
        </w:rPr>
        <w:lastRenderedPageBreak/>
        <w:t>inorganic fertilizers has also contributed to micronutrient deficiencies and environmental degradation, further threatening the long-term sustainability of rice-based cropping systems.</w:t>
      </w:r>
    </w:p>
    <w:p w14:paraId="6A9422AE" w14:textId="418DF585" w:rsidR="00012083" w:rsidRPr="00012083" w:rsidRDefault="00012083" w:rsidP="00922900">
      <w:pPr>
        <w:spacing w:after="0" w:line="360" w:lineRule="auto"/>
        <w:jc w:val="both"/>
        <w:rPr>
          <w:rFonts w:ascii="Times New Roman" w:hAnsi="Times New Roman" w:cs="Times New Roman"/>
          <w:sz w:val="24"/>
          <w:szCs w:val="24"/>
        </w:rPr>
      </w:pPr>
      <w:r w:rsidRPr="00012083">
        <w:rPr>
          <w:rFonts w:ascii="Times New Roman" w:hAnsi="Times New Roman" w:cs="Times New Roman"/>
          <w:sz w:val="24"/>
          <w:szCs w:val="24"/>
        </w:rPr>
        <w:t>Integrated Nutrient Management (INM), which combines the use of organic manures such as farmyard manure (FYM) and vermicompost (VC) with reduced levels of chemical fertilizers, has been widely advocated to restore soil fertility and sustain crop productivity. Organic amendments improve soil structure, water holding capacity, microbial activity, and nutrient cycling (</w:t>
      </w:r>
      <w:proofErr w:type="spellStart"/>
      <w:r w:rsidRPr="00012083">
        <w:rPr>
          <w:rFonts w:ascii="Times New Roman" w:hAnsi="Times New Roman" w:cs="Times New Roman"/>
          <w:sz w:val="24"/>
          <w:szCs w:val="24"/>
        </w:rPr>
        <w:t>Arancon</w:t>
      </w:r>
      <w:proofErr w:type="spellEnd"/>
      <w:r w:rsidRPr="00012083">
        <w:rPr>
          <w:rFonts w:ascii="Times New Roman" w:hAnsi="Times New Roman" w:cs="Times New Roman"/>
          <w:sz w:val="24"/>
          <w:szCs w:val="24"/>
        </w:rPr>
        <w:t xml:space="preserve"> </w:t>
      </w:r>
      <w:r w:rsidRPr="00012083">
        <w:rPr>
          <w:rFonts w:ascii="Times New Roman" w:hAnsi="Times New Roman" w:cs="Times New Roman"/>
          <w:i/>
          <w:iCs/>
          <w:sz w:val="24"/>
          <w:szCs w:val="24"/>
        </w:rPr>
        <w:t>et al.,</w:t>
      </w:r>
      <w:r w:rsidRPr="00012083">
        <w:rPr>
          <w:rFonts w:ascii="Times New Roman" w:hAnsi="Times New Roman" w:cs="Times New Roman"/>
          <w:sz w:val="24"/>
          <w:szCs w:val="24"/>
        </w:rPr>
        <w:t xml:space="preserve"> 200</w:t>
      </w:r>
      <w:r w:rsidR="00AF1109">
        <w:rPr>
          <w:rFonts w:ascii="Times New Roman" w:hAnsi="Times New Roman" w:cs="Times New Roman"/>
          <w:sz w:val="24"/>
          <w:szCs w:val="24"/>
        </w:rPr>
        <w:t>5</w:t>
      </w:r>
      <w:r w:rsidRPr="00012083">
        <w:rPr>
          <w:rFonts w:ascii="Times New Roman" w:hAnsi="Times New Roman" w:cs="Times New Roman"/>
          <w:sz w:val="24"/>
          <w:szCs w:val="24"/>
        </w:rPr>
        <w:t>; Singh</w:t>
      </w:r>
      <w:r w:rsidR="00311786">
        <w:rPr>
          <w:rFonts w:ascii="Times New Roman" w:hAnsi="Times New Roman" w:cs="Times New Roman"/>
          <w:sz w:val="24"/>
          <w:szCs w:val="24"/>
        </w:rPr>
        <w:t xml:space="preserve"> </w:t>
      </w:r>
      <w:r w:rsidR="00311786" w:rsidRPr="00311786">
        <w:rPr>
          <w:rFonts w:ascii="Times New Roman" w:hAnsi="Times New Roman" w:cs="Times New Roman"/>
          <w:i/>
          <w:iCs/>
          <w:sz w:val="24"/>
          <w:szCs w:val="24"/>
        </w:rPr>
        <w:t>et al</w:t>
      </w:r>
      <w:r w:rsidR="00311786">
        <w:rPr>
          <w:rFonts w:ascii="Times New Roman" w:hAnsi="Times New Roman" w:cs="Times New Roman"/>
          <w:sz w:val="24"/>
          <w:szCs w:val="24"/>
        </w:rPr>
        <w:t>.</w:t>
      </w:r>
      <w:r w:rsidRPr="00012083">
        <w:rPr>
          <w:rFonts w:ascii="Times New Roman" w:hAnsi="Times New Roman" w:cs="Times New Roman"/>
          <w:sz w:val="24"/>
          <w:szCs w:val="24"/>
        </w:rPr>
        <w:t xml:space="preserve">, 2016). Vermicompost, in particular, has been recognized for its rich content of macro- and micronutrients and bioactive compounds that enhance nutrient availability and uptake by crops (Pilli </w:t>
      </w:r>
      <w:r w:rsidRPr="00012083">
        <w:rPr>
          <w:rFonts w:ascii="Times New Roman" w:hAnsi="Times New Roman" w:cs="Times New Roman"/>
          <w:i/>
          <w:iCs/>
          <w:sz w:val="24"/>
          <w:szCs w:val="24"/>
        </w:rPr>
        <w:t>et al.,</w:t>
      </w:r>
      <w:r w:rsidRPr="00012083">
        <w:rPr>
          <w:rFonts w:ascii="Times New Roman" w:hAnsi="Times New Roman" w:cs="Times New Roman"/>
          <w:sz w:val="24"/>
          <w:szCs w:val="24"/>
        </w:rPr>
        <w:t xml:space="preserve"> 2019).</w:t>
      </w:r>
      <w:r w:rsidR="00922900">
        <w:rPr>
          <w:rFonts w:ascii="Times New Roman" w:hAnsi="Times New Roman" w:cs="Times New Roman"/>
          <w:sz w:val="24"/>
          <w:szCs w:val="24"/>
        </w:rPr>
        <w:t xml:space="preserve"> </w:t>
      </w:r>
      <w:r w:rsidRPr="00012083">
        <w:rPr>
          <w:rFonts w:ascii="Times New Roman" w:hAnsi="Times New Roman" w:cs="Times New Roman"/>
          <w:sz w:val="24"/>
          <w:szCs w:val="24"/>
        </w:rPr>
        <w:t>Research indicates that INM not only enhances yield but also improves nutrient uptake and grain quality (</w:t>
      </w:r>
      <w:r w:rsidR="003660DA" w:rsidRPr="003660DA">
        <w:rPr>
          <w:rFonts w:ascii="Times New Roman" w:hAnsi="Times New Roman" w:cs="Times New Roman"/>
          <w:sz w:val="24"/>
          <w:szCs w:val="24"/>
        </w:rPr>
        <w:t>Darjee</w:t>
      </w:r>
      <w:r w:rsidRPr="00012083">
        <w:rPr>
          <w:rFonts w:ascii="Times New Roman" w:hAnsi="Times New Roman" w:cs="Times New Roman"/>
          <w:sz w:val="24"/>
          <w:szCs w:val="24"/>
        </w:rPr>
        <w:t xml:space="preserve"> </w:t>
      </w:r>
      <w:r w:rsidRPr="00012083">
        <w:rPr>
          <w:rFonts w:ascii="Times New Roman" w:hAnsi="Times New Roman" w:cs="Times New Roman"/>
          <w:i/>
          <w:iCs/>
          <w:sz w:val="24"/>
          <w:szCs w:val="24"/>
        </w:rPr>
        <w:t>et al.,</w:t>
      </w:r>
      <w:r w:rsidRPr="00012083">
        <w:rPr>
          <w:rFonts w:ascii="Times New Roman" w:hAnsi="Times New Roman" w:cs="Times New Roman"/>
          <w:sz w:val="24"/>
          <w:szCs w:val="24"/>
        </w:rPr>
        <w:t xml:space="preserve"> 20</w:t>
      </w:r>
      <w:r w:rsidR="003660DA">
        <w:rPr>
          <w:rFonts w:ascii="Times New Roman" w:hAnsi="Times New Roman" w:cs="Times New Roman"/>
          <w:sz w:val="24"/>
          <w:szCs w:val="24"/>
        </w:rPr>
        <w:t>23</w:t>
      </w:r>
      <w:r w:rsidRPr="00012083">
        <w:rPr>
          <w:rFonts w:ascii="Times New Roman" w:hAnsi="Times New Roman" w:cs="Times New Roman"/>
          <w:sz w:val="24"/>
          <w:szCs w:val="24"/>
        </w:rPr>
        <w:t xml:space="preserve">; Yadav </w:t>
      </w:r>
      <w:r w:rsidRPr="00012083">
        <w:rPr>
          <w:rFonts w:ascii="Times New Roman" w:hAnsi="Times New Roman" w:cs="Times New Roman"/>
          <w:i/>
          <w:iCs/>
          <w:sz w:val="24"/>
          <w:szCs w:val="24"/>
        </w:rPr>
        <w:t>et al.,</w:t>
      </w:r>
      <w:r w:rsidRPr="00012083">
        <w:rPr>
          <w:rFonts w:ascii="Times New Roman" w:hAnsi="Times New Roman" w:cs="Times New Roman"/>
          <w:sz w:val="24"/>
          <w:szCs w:val="24"/>
        </w:rPr>
        <w:t xml:space="preserve"> 2019). Despite these documented benefits, existing studies are often site-specific and limited in scope, with little emphasis on the combined effects of integrated nutrient sources on nutrient content, nutrient uptake, yield, and profitability under the alluvial soil conditions of the central Gangetic plains, particularly in Uttar Pradesh.</w:t>
      </w:r>
      <w:r w:rsidR="00922900">
        <w:rPr>
          <w:rFonts w:ascii="Times New Roman" w:hAnsi="Times New Roman" w:cs="Times New Roman"/>
          <w:sz w:val="24"/>
          <w:szCs w:val="24"/>
        </w:rPr>
        <w:t xml:space="preserve"> </w:t>
      </w:r>
      <w:r w:rsidRPr="00012083">
        <w:rPr>
          <w:rFonts w:ascii="Times New Roman" w:hAnsi="Times New Roman" w:cs="Times New Roman"/>
          <w:sz w:val="24"/>
          <w:szCs w:val="24"/>
        </w:rPr>
        <w:t>Although several studies have assessed the agronomic benefits of INM, there remains a significant gap in quantifying how different combinations of reduced recommended fertilizer doses with FYM and vermicompost influence nutrient content, total nutrient uptake, and economic returns of rice cultivation under alluvial soils. Additionally, most research has focused on yield alone, with limited integrated evaluation of soil fertility, nutrient use efficiency, and cost-effectiveness.</w:t>
      </w:r>
      <w:r w:rsidR="004D0274">
        <w:rPr>
          <w:rFonts w:ascii="Times New Roman" w:hAnsi="Times New Roman" w:cs="Times New Roman"/>
          <w:sz w:val="24"/>
          <w:szCs w:val="24"/>
        </w:rPr>
        <w:t xml:space="preserve"> </w:t>
      </w:r>
      <w:r w:rsidRPr="00012083">
        <w:rPr>
          <w:rFonts w:ascii="Times New Roman" w:hAnsi="Times New Roman" w:cs="Times New Roman"/>
          <w:sz w:val="24"/>
          <w:szCs w:val="24"/>
        </w:rPr>
        <w:t xml:space="preserve">Considering the dual challenge of maintaining soil health and increasing input-use efficiency, it is crucial to evaluate integrated nutrient strategies that are not only environmentally sustainable but also economically viable. Thus, the present investigation was carried out </w:t>
      </w:r>
      <w:r w:rsidR="004D0274">
        <w:rPr>
          <w:rFonts w:ascii="Times New Roman" w:hAnsi="Times New Roman" w:cs="Times New Roman"/>
          <w:sz w:val="24"/>
          <w:szCs w:val="24"/>
        </w:rPr>
        <w:t>t</w:t>
      </w:r>
      <w:r w:rsidRPr="00012083">
        <w:rPr>
          <w:rFonts w:ascii="Times New Roman" w:hAnsi="Times New Roman" w:cs="Times New Roman"/>
          <w:sz w:val="24"/>
          <w:szCs w:val="24"/>
        </w:rPr>
        <w:t>o study the effects of organic manures and chemical fertilizers on nutrient content</w:t>
      </w:r>
      <w:r w:rsidR="009D4CC6">
        <w:rPr>
          <w:rFonts w:ascii="Times New Roman" w:hAnsi="Times New Roman" w:cs="Times New Roman"/>
          <w:sz w:val="24"/>
          <w:szCs w:val="24"/>
        </w:rPr>
        <w:t xml:space="preserve">, </w:t>
      </w:r>
      <w:r w:rsidRPr="00012083">
        <w:rPr>
          <w:rFonts w:ascii="Times New Roman" w:hAnsi="Times New Roman" w:cs="Times New Roman"/>
          <w:sz w:val="24"/>
          <w:szCs w:val="24"/>
        </w:rPr>
        <w:t>nutrient uptake</w:t>
      </w:r>
      <w:r w:rsidR="009D4CC6">
        <w:rPr>
          <w:rFonts w:ascii="Times New Roman" w:hAnsi="Times New Roman" w:cs="Times New Roman"/>
          <w:sz w:val="24"/>
          <w:szCs w:val="24"/>
        </w:rPr>
        <w:t xml:space="preserve"> and </w:t>
      </w:r>
      <w:r w:rsidR="009D4CC6" w:rsidRPr="00012083">
        <w:rPr>
          <w:rFonts w:ascii="Times New Roman" w:hAnsi="Times New Roman" w:cs="Times New Roman"/>
          <w:sz w:val="24"/>
          <w:szCs w:val="24"/>
        </w:rPr>
        <w:t>economic feasibility</w:t>
      </w:r>
      <w:r w:rsidRPr="00012083">
        <w:rPr>
          <w:rFonts w:ascii="Times New Roman" w:hAnsi="Times New Roman" w:cs="Times New Roman"/>
          <w:sz w:val="24"/>
          <w:szCs w:val="24"/>
        </w:rPr>
        <w:t xml:space="preserve"> </w:t>
      </w:r>
      <w:r w:rsidR="009D4CC6">
        <w:rPr>
          <w:rFonts w:ascii="Times New Roman" w:hAnsi="Times New Roman" w:cs="Times New Roman"/>
          <w:sz w:val="24"/>
          <w:szCs w:val="24"/>
        </w:rPr>
        <w:t>of</w:t>
      </w:r>
      <w:r w:rsidRPr="00012083">
        <w:rPr>
          <w:rFonts w:ascii="Times New Roman" w:hAnsi="Times New Roman" w:cs="Times New Roman"/>
          <w:sz w:val="24"/>
          <w:szCs w:val="24"/>
        </w:rPr>
        <w:t xml:space="preserve"> rice</w:t>
      </w:r>
      <w:r w:rsidR="009D4CC6">
        <w:rPr>
          <w:rFonts w:ascii="Times New Roman" w:hAnsi="Times New Roman" w:cs="Times New Roman"/>
          <w:sz w:val="24"/>
          <w:szCs w:val="24"/>
        </w:rPr>
        <w:t xml:space="preserve"> cultivation</w:t>
      </w:r>
      <w:r w:rsidRPr="00012083">
        <w:rPr>
          <w:rFonts w:ascii="Times New Roman" w:hAnsi="Times New Roman" w:cs="Times New Roman"/>
          <w:sz w:val="24"/>
          <w:szCs w:val="24"/>
        </w:rPr>
        <w:t>.</w:t>
      </w:r>
      <w:r w:rsidR="009D4CC6">
        <w:rPr>
          <w:rFonts w:ascii="Times New Roman" w:hAnsi="Times New Roman" w:cs="Times New Roman"/>
          <w:sz w:val="24"/>
          <w:szCs w:val="24"/>
        </w:rPr>
        <w:t xml:space="preserve"> Present experiment findings will</w:t>
      </w:r>
      <w:r w:rsidRPr="00012083">
        <w:rPr>
          <w:rFonts w:ascii="Times New Roman" w:hAnsi="Times New Roman" w:cs="Times New Roman"/>
          <w:sz w:val="24"/>
          <w:szCs w:val="24"/>
        </w:rPr>
        <w:t xml:space="preserve"> provide comprehensive insights into INM practices that can serve as a sustainable alternative to conventional fertilization in rice cultivation under Indo-Gangetic alluvial soils.</w:t>
      </w:r>
    </w:p>
    <w:p w14:paraId="6B19DA5F" w14:textId="77777777" w:rsidR="00015590" w:rsidRPr="00CB1074" w:rsidRDefault="00015590" w:rsidP="00015590">
      <w:pPr>
        <w:spacing w:line="360" w:lineRule="auto"/>
        <w:jc w:val="both"/>
        <w:rPr>
          <w:rFonts w:ascii="Times New Roman" w:hAnsi="Times New Roman" w:cs="Times New Roman"/>
          <w:color w:val="000000" w:themeColor="text1"/>
          <w:sz w:val="24"/>
          <w:szCs w:val="24"/>
        </w:rPr>
      </w:pPr>
      <w:r w:rsidRPr="00CB1074">
        <w:rPr>
          <w:rFonts w:ascii="Times New Roman" w:hAnsi="Times New Roman" w:cs="Times New Roman"/>
          <w:b/>
          <w:bCs/>
          <w:color w:val="000000" w:themeColor="text1"/>
          <w:sz w:val="24"/>
          <w:szCs w:val="24"/>
        </w:rPr>
        <w:t>Materials and Methods</w:t>
      </w:r>
    </w:p>
    <w:p w14:paraId="59DB6220" w14:textId="55F7C604" w:rsidR="00015590" w:rsidRPr="00CB1074" w:rsidRDefault="00015590" w:rsidP="00EB2827">
      <w:pPr>
        <w:spacing w:line="360" w:lineRule="auto"/>
        <w:ind w:firstLine="720"/>
        <w:jc w:val="both"/>
        <w:rPr>
          <w:rFonts w:ascii="Times New Roman" w:hAnsi="Times New Roman" w:cs="Times New Roman"/>
          <w:color w:val="000000" w:themeColor="text1"/>
          <w:sz w:val="24"/>
          <w:szCs w:val="24"/>
        </w:rPr>
      </w:pPr>
      <w:r w:rsidRPr="00CB1074">
        <w:rPr>
          <w:rFonts w:ascii="Times New Roman" w:hAnsi="Times New Roman" w:cs="Times New Roman"/>
          <w:color w:val="000000" w:themeColor="text1"/>
          <w:sz w:val="24"/>
          <w:szCs w:val="24"/>
        </w:rPr>
        <w:t>The study was conducted during the </w:t>
      </w:r>
      <w:r w:rsidRPr="00CB1074">
        <w:rPr>
          <w:rFonts w:ascii="Times New Roman" w:hAnsi="Times New Roman" w:cs="Times New Roman"/>
          <w:i/>
          <w:iCs/>
          <w:color w:val="000000" w:themeColor="text1"/>
          <w:sz w:val="24"/>
          <w:szCs w:val="24"/>
        </w:rPr>
        <w:t>kharif</w:t>
      </w:r>
      <w:r w:rsidRPr="00CB1074">
        <w:rPr>
          <w:rFonts w:ascii="Times New Roman" w:hAnsi="Times New Roman" w:cs="Times New Roman"/>
          <w:color w:val="000000" w:themeColor="text1"/>
          <w:sz w:val="24"/>
          <w:szCs w:val="24"/>
        </w:rPr>
        <w:t xml:space="preserve"> season (June - November 2023) at the Student Instructional Farm of Chandra Shekhar Azad University of Agriculture and Technology, Kanpur, Uttar Pradesh (26.58°N, 80.34°E, 124 m altitude). The experimental site featured a subtropical climate with 850 mm average annual rainfall, predominantly during the monsoon season. Initial soil analysis (0–15 cm depth) revealed clay loam texture (32.5% sand, 47.75% silt, 19.75% clay) with pH 7.6, organic carbon content of 4.5 g kg⁻¹, and available N, </w:t>
      </w:r>
      <w:r w:rsidRPr="00CB1074">
        <w:rPr>
          <w:rFonts w:ascii="Times New Roman" w:hAnsi="Times New Roman" w:cs="Times New Roman"/>
          <w:color w:val="000000" w:themeColor="text1"/>
          <w:sz w:val="24"/>
          <w:szCs w:val="24"/>
        </w:rPr>
        <w:lastRenderedPageBreak/>
        <w:t xml:space="preserve">P, and K levels of 247, 10.8, and 60 kg ha⁻¹, respectively. The experiment employed a Randomized Block Design (RBD) with three replications and eight treatments: T₁ (control, no inputs), T₂ (100% recommended dose of fertilizers [RDF]: 120-60-60 kg N-P₂O₅-K₂O ha⁻¹), T₃ (75% RDF + 10 t ha⁻¹ farmyard manure [FYM]), T₄ (75% RDF + 5 t ha⁻¹ vermicompost), T₅ (75% RDF + FYM + vermicompost), T₆ (50% RDF + FYM), T₇ (50% RDF + vermicompost), and T₈ (50% RDF + FYM + vermicompost). The rice variety CSR-36 was used as the test crop, with seeds treated with Thiram 75% WP (2.5 g kg⁻¹ seed) before sowing in a nursery. Twenty-five-day-old seedlings were transplanted at 20 × 10 cm spacing in main field. Nutrient management followed a split application approach for nitrogen (50% basal, 25% at tillering [25 days after transplanting, DAT], and 25% at panicle initiation [45 DAT]), while phosphorus and potassium were applied entirely as basal doses. Organic amendments (FYM containing 0.5% N, 0.25% P₂O₅, and 0.5% K; vermicompost with 1.94% N, 0.47% P₂O₅, and 0.7% K) were incorporated 7–15 days before transplanting. </w:t>
      </w:r>
      <w:r w:rsidR="00EB2827">
        <w:rPr>
          <w:rFonts w:ascii="Times New Roman" w:hAnsi="Times New Roman" w:cs="Times New Roman"/>
          <w:color w:val="000000" w:themeColor="text1"/>
          <w:sz w:val="24"/>
          <w:szCs w:val="24"/>
        </w:rPr>
        <w:t xml:space="preserve">The chemical analysis of plant sample </w:t>
      </w:r>
      <w:proofErr w:type="gramStart"/>
      <w:r w:rsidR="00EB2827">
        <w:rPr>
          <w:rFonts w:ascii="Times New Roman" w:hAnsi="Times New Roman" w:cs="Times New Roman"/>
          <w:color w:val="000000" w:themeColor="text1"/>
          <w:sz w:val="24"/>
          <w:szCs w:val="24"/>
        </w:rPr>
        <w:t>were</w:t>
      </w:r>
      <w:proofErr w:type="gramEnd"/>
      <w:r w:rsidR="00EB2827">
        <w:rPr>
          <w:rFonts w:ascii="Times New Roman" w:hAnsi="Times New Roman" w:cs="Times New Roman"/>
          <w:color w:val="000000" w:themeColor="text1"/>
          <w:sz w:val="24"/>
          <w:szCs w:val="24"/>
        </w:rPr>
        <w:t xml:space="preserve"> done a</w:t>
      </w:r>
      <w:r w:rsidR="00EB2827" w:rsidRPr="00EB2827">
        <w:rPr>
          <w:rFonts w:ascii="Times New Roman" w:hAnsi="Times New Roman" w:cs="Times New Roman"/>
          <w:color w:val="000000" w:themeColor="text1"/>
          <w:sz w:val="24"/>
          <w:szCs w:val="24"/>
        </w:rPr>
        <w:t xml:space="preserve">t harvest, composite samples of grain and straw were collected from each treatment to </w:t>
      </w:r>
      <w:proofErr w:type="spellStart"/>
      <w:r w:rsidR="00EB2827" w:rsidRPr="00EB2827">
        <w:rPr>
          <w:rFonts w:ascii="Times New Roman" w:hAnsi="Times New Roman" w:cs="Times New Roman"/>
          <w:color w:val="000000" w:themeColor="text1"/>
          <w:sz w:val="24"/>
          <w:szCs w:val="24"/>
        </w:rPr>
        <w:t>analyze</w:t>
      </w:r>
      <w:proofErr w:type="spellEnd"/>
      <w:r w:rsidR="00EB2827" w:rsidRPr="00EB2827">
        <w:rPr>
          <w:rFonts w:ascii="Times New Roman" w:hAnsi="Times New Roman" w:cs="Times New Roman"/>
          <w:color w:val="000000" w:themeColor="text1"/>
          <w:sz w:val="24"/>
          <w:szCs w:val="24"/>
        </w:rPr>
        <w:t xml:space="preserve"> the concentration (%) and uptake (kg ha⁻¹) of nitrogen (N), phosphorus (P), and potassium (K). The samples were oven-dried at 70 ± 5°C for 72 hours, ground separately, and used for chemical analysis. Nitrogen content was estimated using the micro-Kjeldahl method (Jackson, 1973), while phosphorus was determined through wet digestion followed by the </w:t>
      </w:r>
      <w:proofErr w:type="spellStart"/>
      <w:r w:rsidR="00EB2827" w:rsidRPr="00EB2827">
        <w:rPr>
          <w:rFonts w:ascii="Times New Roman" w:hAnsi="Times New Roman" w:cs="Times New Roman"/>
          <w:color w:val="000000" w:themeColor="text1"/>
          <w:sz w:val="24"/>
          <w:szCs w:val="24"/>
        </w:rPr>
        <w:t>vanado</w:t>
      </w:r>
      <w:proofErr w:type="spellEnd"/>
      <w:r w:rsidR="00EB2827" w:rsidRPr="00EB2827">
        <w:rPr>
          <w:rFonts w:ascii="Times New Roman" w:hAnsi="Times New Roman" w:cs="Times New Roman"/>
          <w:color w:val="000000" w:themeColor="text1"/>
          <w:sz w:val="24"/>
          <w:szCs w:val="24"/>
        </w:rPr>
        <w:t>-molybdate yellow colour method (Jackson, 1973). Potassium concentration was measured using a flame photometer. Nutrient uptake for each element was calculated by multiplying the respective nutrient concentration with the dry matter yield of grain and straw.</w:t>
      </w:r>
      <w:r w:rsidR="00EB2827">
        <w:rPr>
          <w:rFonts w:ascii="Times New Roman" w:hAnsi="Times New Roman" w:cs="Times New Roman"/>
          <w:color w:val="000000" w:themeColor="text1"/>
          <w:sz w:val="24"/>
          <w:szCs w:val="24"/>
        </w:rPr>
        <w:t xml:space="preserve"> </w:t>
      </w:r>
      <w:r w:rsidRPr="00CB1074">
        <w:rPr>
          <w:rFonts w:ascii="Times New Roman" w:hAnsi="Times New Roman" w:cs="Times New Roman"/>
          <w:color w:val="000000" w:themeColor="text1"/>
          <w:sz w:val="24"/>
          <w:szCs w:val="24"/>
        </w:rPr>
        <w:t>All data were subjected to analysis of variance (ANOVA) using RStudio (v4.3.1), with treatment means compared using Critical Difference (CD) at p ≤ 0.05.</w:t>
      </w:r>
    </w:p>
    <w:p w14:paraId="505049F4" w14:textId="77777777" w:rsidR="00015590" w:rsidRPr="00CB1074" w:rsidRDefault="00015590" w:rsidP="00015590">
      <w:pPr>
        <w:spacing w:line="360" w:lineRule="auto"/>
        <w:jc w:val="both"/>
        <w:rPr>
          <w:rFonts w:ascii="Times New Roman" w:hAnsi="Times New Roman" w:cs="Times New Roman"/>
          <w:b/>
          <w:bCs/>
          <w:color w:val="000000" w:themeColor="text1"/>
          <w:sz w:val="24"/>
          <w:szCs w:val="24"/>
        </w:rPr>
      </w:pPr>
      <w:r w:rsidRPr="00CB1074">
        <w:rPr>
          <w:rFonts w:ascii="Times New Roman" w:hAnsi="Times New Roman" w:cs="Times New Roman"/>
          <w:b/>
          <w:bCs/>
          <w:color w:val="000000" w:themeColor="text1"/>
          <w:sz w:val="24"/>
          <w:szCs w:val="24"/>
        </w:rPr>
        <w:t xml:space="preserve">Result and discussion </w:t>
      </w:r>
    </w:p>
    <w:p w14:paraId="7E92B80D" w14:textId="77777777" w:rsidR="00B51A45" w:rsidRPr="00B51A45" w:rsidRDefault="00B51A45" w:rsidP="00B51A45">
      <w:pPr>
        <w:spacing w:after="0" w:line="360" w:lineRule="auto"/>
        <w:jc w:val="both"/>
        <w:rPr>
          <w:rFonts w:ascii="Times New Roman" w:hAnsi="Times New Roman" w:cs="Times New Roman"/>
          <w:b/>
          <w:bCs/>
          <w:sz w:val="24"/>
          <w:szCs w:val="24"/>
        </w:rPr>
      </w:pPr>
      <w:r w:rsidRPr="00B51A45">
        <w:rPr>
          <w:rFonts w:ascii="Times New Roman" w:hAnsi="Times New Roman" w:cs="Times New Roman"/>
          <w:b/>
          <w:bCs/>
          <w:sz w:val="24"/>
          <w:szCs w:val="24"/>
        </w:rPr>
        <w:t>1. Nutrient Content in Grain and Straw</w:t>
      </w:r>
    </w:p>
    <w:p w14:paraId="5DABCF58" w14:textId="09AFF571" w:rsidR="00B51A45" w:rsidRPr="00B51A45" w:rsidRDefault="00B51A45" w:rsidP="00B51A45">
      <w:pPr>
        <w:spacing w:after="0" w:line="360" w:lineRule="auto"/>
        <w:jc w:val="both"/>
        <w:rPr>
          <w:rFonts w:ascii="Times New Roman" w:hAnsi="Times New Roman" w:cs="Times New Roman"/>
          <w:sz w:val="24"/>
          <w:szCs w:val="24"/>
        </w:rPr>
      </w:pPr>
      <w:r w:rsidRPr="00B51A45">
        <w:rPr>
          <w:rFonts w:ascii="Times New Roman" w:hAnsi="Times New Roman" w:cs="Times New Roman"/>
          <w:sz w:val="24"/>
          <w:szCs w:val="24"/>
        </w:rPr>
        <w:t>The nutrient content of rice grain and straw, particularly nitrogen (N), phosphorus (P), and potassium (K), was significantly influenced by the integrated application of inorganic fertilizers and organic manures. The treatments comprising different combinations of recommended doses of fertilizers (RDF) with farmyard manure (FYM) and vermicompost (VC) demonstrated a consistent improvement in nutrient concentration compared to the control (T1), which received no fertilizer input</w:t>
      </w:r>
      <w:r w:rsidR="00726048">
        <w:rPr>
          <w:rFonts w:ascii="Times New Roman" w:hAnsi="Times New Roman" w:cs="Times New Roman"/>
          <w:sz w:val="24"/>
          <w:szCs w:val="24"/>
        </w:rPr>
        <w:t xml:space="preserve"> (Table 1)</w:t>
      </w:r>
      <w:r w:rsidRPr="00B51A45">
        <w:rPr>
          <w:rFonts w:ascii="Times New Roman" w:hAnsi="Times New Roman" w:cs="Times New Roman"/>
          <w:sz w:val="24"/>
          <w:szCs w:val="24"/>
        </w:rPr>
        <w:t>.</w:t>
      </w:r>
    </w:p>
    <w:p w14:paraId="233E504B" w14:textId="77777777" w:rsidR="00B51A45" w:rsidRPr="00B51A45" w:rsidRDefault="00B51A45" w:rsidP="00B51A45">
      <w:pPr>
        <w:spacing w:after="0" w:line="360" w:lineRule="auto"/>
        <w:jc w:val="both"/>
        <w:rPr>
          <w:rFonts w:ascii="Times New Roman" w:hAnsi="Times New Roman" w:cs="Times New Roman"/>
          <w:b/>
          <w:bCs/>
          <w:sz w:val="24"/>
          <w:szCs w:val="24"/>
        </w:rPr>
      </w:pPr>
      <w:r w:rsidRPr="00B51A45">
        <w:rPr>
          <w:rFonts w:ascii="Times New Roman" w:hAnsi="Times New Roman" w:cs="Times New Roman"/>
          <w:b/>
          <w:bCs/>
          <w:sz w:val="24"/>
          <w:szCs w:val="24"/>
        </w:rPr>
        <w:t>Nitrogen Content</w:t>
      </w:r>
    </w:p>
    <w:p w14:paraId="0B5C7E7F" w14:textId="076475A3" w:rsidR="00C36904" w:rsidRDefault="00B51A45" w:rsidP="00B51A45">
      <w:pPr>
        <w:spacing w:after="0" w:line="360" w:lineRule="auto"/>
        <w:jc w:val="both"/>
        <w:rPr>
          <w:rFonts w:ascii="Times New Roman" w:hAnsi="Times New Roman" w:cs="Times New Roman"/>
          <w:sz w:val="24"/>
          <w:szCs w:val="24"/>
        </w:rPr>
      </w:pPr>
      <w:r w:rsidRPr="00B51A45">
        <w:rPr>
          <w:rFonts w:ascii="Times New Roman" w:hAnsi="Times New Roman" w:cs="Times New Roman"/>
          <w:sz w:val="24"/>
          <w:szCs w:val="24"/>
        </w:rPr>
        <w:lastRenderedPageBreak/>
        <w:t xml:space="preserve">Nitrogen content in both grain and straw of rice showed marked increases under integrated nutrient management. Among the treatments, the combination of 75% RDF with FYM and VC (T5) recorded the highest nitrogen content in grain at 1.33%, compared to 1.13% in the control, reflecting a 15.03% increase. Similarly, nitrogen content in straw was 0.35% under T5, compared to 0.17% in the control, accounting for a 0.18% absolute increase. This enhancement can be attributed to the synergistic effect of organic and inorganic nutrient sources that improve nitrogen availability and assimilation. The gradual mineralization of organic nitrogen from FYM and VC ensures a sustained supply throughout the crop growth period, thereby enriching plant tissues with higher nitrogen concentration. The comparative nitrogen content in other integrated treatments further supports this trend. For instance, T4 (75% RDF + VC) and T3 (75% RDF + FYM) recorded nitrogen content in grain of 1.29% and 1.28%, respectively, also higher than the control and sole RDF treatment. </w:t>
      </w:r>
      <w:r w:rsidR="00455066" w:rsidRPr="00455066">
        <w:rPr>
          <w:rFonts w:ascii="Times New Roman" w:hAnsi="Times New Roman" w:cs="Times New Roman"/>
          <w:sz w:val="24"/>
          <w:szCs w:val="24"/>
        </w:rPr>
        <w:t>The increased nitrogen content observed in both grain and straw under vermicompost application can be ascribed to its low carbon-to-nitrogen ratio, which promotes rapid mineralization. Additionally, the composting process enhances the activity of nitrogen-fixing microorganisms, thereby improving nitrogen availability</w:t>
      </w:r>
      <w:r w:rsidR="00455066">
        <w:rPr>
          <w:rFonts w:ascii="Times New Roman" w:hAnsi="Times New Roman" w:cs="Times New Roman"/>
          <w:sz w:val="24"/>
          <w:szCs w:val="24"/>
        </w:rPr>
        <w:t xml:space="preserve"> (</w:t>
      </w:r>
      <w:r w:rsidR="00455066" w:rsidRPr="00455066">
        <w:rPr>
          <w:rFonts w:ascii="Times New Roman" w:hAnsi="Times New Roman" w:cs="Times New Roman"/>
          <w:sz w:val="24"/>
          <w:szCs w:val="24"/>
        </w:rPr>
        <w:t>Daniel</w:t>
      </w:r>
      <w:r w:rsidR="00455066">
        <w:rPr>
          <w:rFonts w:ascii="Times New Roman" w:hAnsi="Times New Roman" w:cs="Times New Roman"/>
          <w:sz w:val="24"/>
          <w:szCs w:val="24"/>
        </w:rPr>
        <w:t xml:space="preserve"> and </w:t>
      </w:r>
      <w:r w:rsidR="00455066" w:rsidRPr="00455066">
        <w:rPr>
          <w:rFonts w:ascii="Times New Roman" w:hAnsi="Times New Roman" w:cs="Times New Roman"/>
          <w:sz w:val="24"/>
          <w:szCs w:val="24"/>
        </w:rPr>
        <w:t>Anderson, 1992).</w:t>
      </w:r>
      <w:r w:rsidR="00C36904">
        <w:rPr>
          <w:rFonts w:ascii="Times New Roman" w:hAnsi="Times New Roman" w:cs="Times New Roman"/>
          <w:sz w:val="24"/>
          <w:szCs w:val="24"/>
        </w:rPr>
        <w:t xml:space="preserve"> </w:t>
      </w:r>
      <w:r w:rsidR="00455066" w:rsidRPr="00455066">
        <w:rPr>
          <w:rFonts w:ascii="Times New Roman" w:hAnsi="Times New Roman" w:cs="Times New Roman"/>
          <w:sz w:val="24"/>
          <w:szCs w:val="24"/>
        </w:rPr>
        <w:t xml:space="preserve">These findings are consistent with the results reported by Singh et al. (2013) and </w:t>
      </w:r>
      <w:proofErr w:type="spellStart"/>
      <w:r w:rsidR="00455066" w:rsidRPr="00455066">
        <w:rPr>
          <w:rFonts w:ascii="Times New Roman" w:hAnsi="Times New Roman" w:cs="Times New Roman"/>
          <w:sz w:val="24"/>
          <w:szCs w:val="24"/>
        </w:rPr>
        <w:t>Wolie</w:t>
      </w:r>
      <w:proofErr w:type="spellEnd"/>
      <w:r w:rsidR="00455066" w:rsidRPr="00455066">
        <w:rPr>
          <w:rFonts w:ascii="Times New Roman" w:hAnsi="Times New Roman" w:cs="Times New Roman"/>
          <w:sz w:val="24"/>
          <w:szCs w:val="24"/>
        </w:rPr>
        <w:t xml:space="preserve"> and </w:t>
      </w:r>
      <w:proofErr w:type="spellStart"/>
      <w:r w:rsidR="00455066" w:rsidRPr="00455066">
        <w:rPr>
          <w:rFonts w:ascii="Times New Roman" w:hAnsi="Times New Roman" w:cs="Times New Roman"/>
          <w:sz w:val="24"/>
          <w:szCs w:val="24"/>
        </w:rPr>
        <w:t>Admassu</w:t>
      </w:r>
      <w:proofErr w:type="spellEnd"/>
      <w:r w:rsidR="00455066" w:rsidRPr="00455066">
        <w:rPr>
          <w:rFonts w:ascii="Times New Roman" w:hAnsi="Times New Roman" w:cs="Times New Roman"/>
          <w:sz w:val="24"/>
          <w:szCs w:val="24"/>
        </w:rPr>
        <w:t xml:space="preserve"> (2016)</w:t>
      </w:r>
    </w:p>
    <w:p w14:paraId="0F4F7D8D" w14:textId="12258006" w:rsidR="00C36904" w:rsidRPr="00922900" w:rsidRDefault="00B51A45" w:rsidP="00922900">
      <w:pPr>
        <w:spacing w:after="0" w:line="360" w:lineRule="auto"/>
        <w:ind w:firstLine="720"/>
        <w:jc w:val="both"/>
        <w:rPr>
          <w:rFonts w:ascii="Times New Roman" w:hAnsi="Times New Roman" w:cs="Times New Roman"/>
          <w:sz w:val="24"/>
          <w:szCs w:val="24"/>
        </w:rPr>
      </w:pPr>
      <w:r w:rsidRPr="00B51A45">
        <w:rPr>
          <w:rFonts w:ascii="Times New Roman" w:hAnsi="Times New Roman" w:cs="Times New Roman"/>
          <w:sz w:val="24"/>
          <w:szCs w:val="24"/>
        </w:rPr>
        <w:t>Phosphorus content in both grain and straw exhibited significant improvement with the integrated application of fertilizers and organic manures. The highest grain phosphorus content was observed under T5, registering 0.496%, which is substantially higher than the 0.334% recorded in the control</w:t>
      </w:r>
      <w:r w:rsidRPr="00922900">
        <w:rPr>
          <w:rFonts w:ascii="Times New Roman" w:hAnsi="Times New Roman" w:cs="Times New Roman"/>
          <w:sz w:val="24"/>
          <w:szCs w:val="24"/>
        </w:rPr>
        <w:t xml:space="preserve">, </w:t>
      </w:r>
      <w:r w:rsidRPr="00B51A45">
        <w:rPr>
          <w:rFonts w:ascii="Times New Roman" w:hAnsi="Times New Roman" w:cs="Times New Roman"/>
          <w:sz w:val="24"/>
          <w:szCs w:val="24"/>
        </w:rPr>
        <w:t>representing a 31.69% increase. In straw, T5 achieved a phosphorus content of 0.067%, compared to 0.033% in the control. The enhanced phosphorus levels in grain and straw can be ascribed to improved solubilization and mobility of phosphorus in the presence of organic acids and microbial metabolites produced during decomposition of FYM and VC. These organic amendments also enhance root proliferation and rhizosphere activity, facilitating greater phosphorus uptake and translocation. Treatments T4 and T3 also showed elevated phosphorus content in grain (0.489% and 0.483%, respectively) and straw (0.061% and 0.057%, respectively), underscoring the effectiveness of both FYM and VC in phosphorus enrichment.</w:t>
      </w:r>
      <w:r w:rsidR="003A1CD8" w:rsidRPr="00922900">
        <w:rPr>
          <w:rFonts w:ascii="Times New Roman" w:hAnsi="Times New Roman" w:cs="Times New Roman"/>
          <w:sz w:val="24"/>
          <w:szCs w:val="24"/>
        </w:rPr>
        <w:t xml:space="preserve"> </w:t>
      </w:r>
      <w:r w:rsidR="00836F6A" w:rsidRPr="00922900">
        <w:rPr>
          <w:rFonts w:ascii="Times New Roman" w:hAnsi="Times New Roman" w:cs="Times New Roman"/>
          <w:sz w:val="24"/>
          <w:szCs w:val="24"/>
        </w:rPr>
        <w:t xml:space="preserve">The increase in phosphorus content in the crop could be linked to the role of organic anions in improving phosphorus solubility and availability to plants. Similar outcomes were reported by Singh, A.K. (2017) and </w:t>
      </w:r>
      <w:proofErr w:type="spellStart"/>
      <w:r w:rsidR="00836F6A" w:rsidRPr="00922900">
        <w:rPr>
          <w:rFonts w:ascii="Times New Roman" w:hAnsi="Times New Roman" w:cs="Times New Roman"/>
          <w:sz w:val="24"/>
          <w:szCs w:val="24"/>
        </w:rPr>
        <w:t>Wolie</w:t>
      </w:r>
      <w:proofErr w:type="spellEnd"/>
      <w:r w:rsidR="00836F6A" w:rsidRPr="00922900">
        <w:rPr>
          <w:rFonts w:ascii="Times New Roman" w:hAnsi="Times New Roman" w:cs="Times New Roman"/>
          <w:sz w:val="24"/>
          <w:szCs w:val="24"/>
        </w:rPr>
        <w:t xml:space="preserve"> and </w:t>
      </w:r>
      <w:proofErr w:type="spellStart"/>
      <w:r w:rsidR="00836F6A" w:rsidRPr="00922900">
        <w:rPr>
          <w:rFonts w:ascii="Times New Roman" w:hAnsi="Times New Roman" w:cs="Times New Roman"/>
          <w:sz w:val="24"/>
          <w:szCs w:val="24"/>
        </w:rPr>
        <w:t>Admassu</w:t>
      </w:r>
      <w:proofErr w:type="spellEnd"/>
      <w:r w:rsidR="00836F6A" w:rsidRPr="00922900">
        <w:rPr>
          <w:rFonts w:ascii="Times New Roman" w:hAnsi="Times New Roman" w:cs="Times New Roman"/>
          <w:sz w:val="24"/>
          <w:szCs w:val="24"/>
        </w:rPr>
        <w:t xml:space="preserve"> (2016).</w:t>
      </w:r>
    </w:p>
    <w:p w14:paraId="4924966D" w14:textId="2B200A8C" w:rsidR="00580E3B" w:rsidRDefault="00B51A45" w:rsidP="008A69F1">
      <w:pPr>
        <w:spacing w:after="0" w:line="360" w:lineRule="auto"/>
        <w:ind w:firstLine="720"/>
        <w:jc w:val="both"/>
        <w:rPr>
          <w:rFonts w:ascii="Times New Roman" w:hAnsi="Times New Roman" w:cs="Times New Roman"/>
          <w:sz w:val="24"/>
          <w:szCs w:val="24"/>
        </w:rPr>
      </w:pPr>
      <w:r w:rsidRPr="00B51A45">
        <w:rPr>
          <w:rFonts w:ascii="Times New Roman" w:hAnsi="Times New Roman" w:cs="Times New Roman"/>
          <w:sz w:val="24"/>
          <w:szCs w:val="24"/>
        </w:rPr>
        <w:t>The potassium content in grain and straw followed a similar upward trend in response to integrated nutrient management. T5 once again led with the highest potassium content in grain at 0.293%, compared to 0.232% in the control</w:t>
      </w:r>
      <w:r w:rsidR="003A1CD8" w:rsidRPr="00922900">
        <w:rPr>
          <w:rFonts w:ascii="Times New Roman" w:hAnsi="Times New Roman" w:cs="Times New Roman"/>
          <w:sz w:val="24"/>
          <w:szCs w:val="24"/>
        </w:rPr>
        <w:t xml:space="preserve">, </w:t>
      </w:r>
      <w:r w:rsidRPr="00B51A45">
        <w:rPr>
          <w:rFonts w:ascii="Times New Roman" w:hAnsi="Times New Roman" w:cs="Times New Roman"/>
          <w:sz w:val="24"/>
          <w:szCs w:val="24"/>
        </w:rPr>
        <w:t xml:space="preserve">indicating a 20.81% increase. In straw, </w:t>
      </w:r>
      <w:r w:rsidRPr="00B51A45">
        <w:rPr>
          <w:rFonts w:ascii="Times New Roman" w:hAnsi="Times New Roman" w:cs="Times New Roman"/>
          <w:sz w:val="24"/>
          <w:szCs w:val="24"/>
        </w:rPr>
        <w:lastRenderedPageBreak/>
        <w:t>the potassium content rose to 1.31% under T5, as opposed to 1.03% under the control, resulting in a 21.37% higher concentration. The increase in potassium content under integrated treatments can be attributed to the role of FYM and VC in enhancing the cation exchange capacity of soil and facilitating the release of native and applied potassium. The organic matter also buffers potassium fixation, making more K+ ions available in the root zone for plant uptake. Other treatments such as T4 and T3 also recorded increased potassium levels in grain (0.289% and 0.286%, respectively) and straw (1.28% and 1.26%, respectively), again confirming the contribution of organic inputs in nutrient enrichment.</w:t>
      </w:r>
      <w:r w:rsidR="000943A9">
        <w:rPr>
          <w:rFonts w:ascii="Times New Roman" w:hAnsi="Times New Roman" w:cs="Times New Roman"/>
          <w:sz w:val="24"/>
          <w:szCs w:val="24"/>
        </w:rPr>
        <w:t xml:space="preserve"> Similarly, </w:t>
      </w:r>
      <w:r w:rsidR="000943A9" w:rsidRPr="000943A9">
        <w:rPr>
          <w:rFonts w:ascii="Times New Roman" w:hAnsi="Times New Roman" w:cs="Times New Roman"/>
          <w:sz w:val="24"/>
          <w:szCs w:val="24"/>
        </w:rPr>
        <w:t>Thakur</w:t>
      </w:r>
      <w:r w:rsidR="000943A9">
        <w:rPr>
          <w:rFonts w:ascii="Times New Roman" w:hAnsi="Times New Roman" w:cs="Times New Roman"/>
          <w:sz w:val="24"/>
          <w:szCs w:val="24"/>
        </w:rPr>
        <w:t xml:space="preserve"> </w:t>
      </w:r>
      <w:r w:rsidR="000943A9" w:rsidRPr="009F5E9E">
        <w:rPr>
          <w:rFonts w:ascii="Times New Roman" w:hAnsi="Times New Roman" w:cs="Times New Roman"/>
          <w:i/>
          <w:iCs/>
          <w:sz w:val="24"/>
          <w:szCs w:val="24"/>
        </w:rPr>
        <w:t>et al.,</w:t>
      </w:r>
      <w:r w:rsidR="000943A9">
        <w:rPr>
          <w:rFonts w:ascii="Times New Roman" w:hAnsi="Times New Roman" w:cs="Times New Roman"/>
          <w:sz w:val="24"/>
          <w:szCs w:val="24"/>
        </w:rPr>
        <w:t xml:space="preserve"> 2020, recorded maximum and micronutrient content in grains of rice under the treatment integrated nutrient manage</w:t>
      </w:r>
      <w:r w:rsidR="009F5E9E">
        <w:rPr>
          <w:rFonts w:ascii="Times New Roman" w:hAnsi="Times New Roman" w:cs="Times New Roman"/>
          <w:sz w:val="24"/>
          <w:szCs w:val="24"/>
        </w:rPr>
        <w:t>me</w:t>
      </w:r>
      <w:r w:rsidR="000943A9">
        <w:rPr>
          <w:rFonts w:ascii="Times New Roman" w:hAnsi="Times New Roman" w:cs="Times New Roman"/>
          <w:sz w:val="24"/>
          <w:szCs w:val="24"/>
        </w:rPr>
        <w:t xml:space="preserve">nt with conventional </w:t>
      </w:r>
      <w:proofErr w:type="spellStart"/>
      <w:proofErr w:type="gramStart"/>
      <w:r w:rsidR="000943A9">
        <w:rPr>
          <w:rFonts w:ascii="Times New Roman" w:hAnsi="Times New Roman" w:cs="Times New Roman"/>
          <w:sz w:val="24"/>
          <w:szCs w:val="24"/>
        </w:rPr>
        <w:t>practices</w:t>
      </w:r>
      <w:r w:rsidR="009F5E9E">
        <w:rPr>
          <w:rFonts w:ascii="Times New Roman" w:hAnsi="Times New Roman" w:cs="Times New Roman"/>
          <w:sz w:val="24"/>
          <w:szCs w:val="24"/>
        </w:rPr>
        <w:t>.</w:t>
      </w:r>
      <w:r w:rsidR="00EF7957" w:rsidRPr="00EF7957">
        <w:rPr>
          <w:rFonts w:ascii="Times New Roman" w:hAnsi="Times New Roman" w:cs="Times New Roman"/>
          <w:sz w:val="24"/>
          <w:szCs w:val="24"/>
        </w:rPr>
        <w:t>The</w:t>
      </w:r>
      <w:proofErr w:type="spellEnd"/>
      <w:proofErr w:type="gramEnd"/>
      <w:r w:rsidR="00EF7957" w:rsidRPr="00EF7957">
        <w:rPr>
          <w:rFonts w:ascii="Times New Roman" w:hAnsi="Times New Roman" w:cs="Times New Roman"/>
          <w:sz w:val="24"/>
          <w:szCs w:val="24"/>
        </w:rPr>
        <w:t xml:space="preserve"> observed increase in potassium content in both grain and straw under integrated nutrient management (INM), particularly in treatment T5 (75% RDF + FYM + VC), can be primarily attributed to the beneficial impact of organic manures on soil chemical and biological properties. Farmyard manure (FYM) and vermicompost (VC) significantly contribute to improving the soil’s cation exchange capacity (CEC), which enhances the soil’s ability to retain and exchange essential cations like potassium (K⁺). This improved CEC reduces leaching losses and increases the availability of potassium in the soil solution for plant uptake.</w:t>
      </w:r>
      <w:r w:rsidR="008A69F1">
        <w:rPr>
          <w:rFonts w:ascii="Times New Roman" w:hAnsi="Times New Roman" w:cs="Times New Roman"/>
          <w:sz w:val="24"/>
          <w:szCs w:val="24"/>
        </w:rPr>
        <w:t xml:space="preserve"> </w:t>
      </w:r>
      <w:r w:rsidR="00EF7957" w:rsidRPr="00EF7957">
        <w:rPr>
          <w:rFonts w:ascii="Times New Roman" w:hAnsi="Times New Roman" w:cs="Times New Roman"/>
          <w:sz w:val="24"/>
          <w:szCs w:val="24"/>
        </w:rPr>
        <w:t>Additionally, the gradual decomposition of FYM and VC releases organic acids and humic substances that help mobilize both native and applied forms of potassium. These organic acids chelate and solubilize potassium-bound minerals, thereby increasing the pool of plant-available potassium. The increased biological activity stimulated by organic inputs further promotes the mineralization of nutrients and improves root growth and nutrient absorption. As a result, plants grown under integrated treatments can access a larger reservoir of potassium throughout their growth period.</w:t>
      </w:r>
      <w:r w:rsidR="00EF7957">
        <w:rPr>
          <w:rFonts w:ascii="Times New Roman" w:hAnsi="Times New Roman" w:cs="Times New Roman"/>
          <w:sz w:val="24"/>
          <w:szCs w:val="24"/>
        </w:rPr>
        <w:t xml:space="preserve"> </w:t>
      </w:r>
      <w:r w:rsidR="00EF7957" w:rsidRPr="00EF7957">
        <w:rPr>
          <w:rFonts w:ascii="Times New Roman" w:hAnsi="Times New Roman" w:cs="Times New Roman"/>
          <w:sz w:val="24"/>
          <w:szCs w:val="24"/>
        </w:rPr>
        <w:t>These findings align with previous research by Thakur et al. (2020), who also reported enhanced macronutrient and micronutrient content in rice grains under integrated nutrient management practices combined with conventional fertilization methods. The consistent potassium enrichment across integrated treatments (T3, T4, and T5) underscores the critical role of organic-inorganic combinations in improving nutrient availability and plant nutrition.</w:t>
      </w:r>
      <w:r w:rsidR="00EF7957">
        <w:rPr>
          <w:rFonts w:ascii="Times New Roman" w:hAnsi="Times New Roman" w:cs="Times New Roman"/>
          <w:sz w:val="24"/>
          <w:szCs w:val="24"/>
        </w:rPr>
        <w:t xml:space="preserve"> </w:t>
      </w:r>
      <w:r w:rsidR="00026BDD" w:rsidRPr="00026BDD">
        <w:rPr>
          <w:rFonts w:ascii="Times New Roman" w:hAnsi="Times New Roman" w:cs="Times New Roman"/>
          <w:sz w:val="24"/>
          <w:szCs w:val="24"/>
        </w:rPr>
        <w:t xml:space="preserve">Similar findings were reported by Sekhar et al., (2014); </w:t>
      </w:r>
      <w:proofErr w:type="spellStart"/>
      <w:r w:rsidR="00026BDD" w:rsidRPr="00026BDD">
        <w:rPr>
          <w:rFonts w:ascii="Times New Roman" w:hAnsi="Times New Roman" w:cs="Times New Roman"/>
          <w:sz w:val="24"/>
          <w:szCs w:val="24"/>
        </w:rPr>
        <w:t>Wolie</w:t>
      </w:r>
      <w:proofErr w:type="spellEnd"/>
      <w:r w:rsidR="00026BDD" w:rsidRPr="00026BDD">
        <w:rPr>
          <w:rFonts w:ascii="Times New Roman" w:hAnsi="Times New Roman" w:cs="Times New Roman"/>
          <w:sz w:val="24"/>
          <w:szCs w:val="24"/>
        </w:rPr>
        <w:t xml:space="preserve"> and </w:t>
      </w:r>
      <w:proofErr w:type="spellStart"/>
      <w:r w:rsidR="00026BDD" w:rsidRPr="00026BDD">
        <w:rPr>
          <w:rFonts w:ascii="Times New Roman" w:hAnsi="Times New Roman" w:cs="Times New Roman"/>
          <w:sz w:val="24"/>
          <w:szCs w:val="24"/>
        </w:rPr>
        <w:t>Admassu</w:t>
      </w:r>
      <w:proofErr w:type="spellEnd"/>
      <w:r w:rsidR="00026BDD" w:rsidRPr="00026BDD">
        <w:rPr>
          <w:rFonts w:ascii="Times New Roman" w:hAnsi="Times New Roman" w:cs="Times New Roman"/>
          <w:sz w:val="24"/>
          <w:szCs w:val="24"/>
        </w:rPr>
        <w:t xml:space="preserve"> (2016) Chandra et al., 2021 and Kumar et al., 2022.</w:t>
      </w:r>
      <w:r w:rsidR="00696329">
        <w:rPr>
          <w:rFonts w:ascii="Times New Roman" w:hAnsi="Times New Roman" w:cs="Times New Roman"/>
          <w:sz w:val="24"/>
          <w:szCs w:val="24"/>
        </w:rPr>
        <w:t xml:space="preserve"> In another study, </w:t>
      </w:r>
      <w:r w:rsidR="00242727" w:rsidRPr="00922900">
        <w:rPr>
          <w:rFonts w:ascii="Times New Roman" w:hAnsi="Times New Roman" w:cs="Times New Roman"/>
          <w:sz w:val="24"/>
          <w:szCs w:val="24"/>
        </w:rPr>
        <w:t xml:space="preserve">Kumar </w:t>
      </w:r>
      <w:r w:rsidR="00242727" w:rsidRPr="00922900">
        <w:rPr>
          <w:rFonts w:ascii="Times New Roman" w:hAnsi="Times New Roman" w:cs="Times New Roman"/>
          <w:i/>
          <w:iCs/>
          <w:sz w:val="24"/>
          <w:szCs w:val="24"/>
        </w:rPr>
        <w:t>et al</w:t>
      </w:r>
      <w:r w:rsidR="00242727" w:rsidRPr="00922900">
        <w:rPr>
          <w:rFonts w:ascii="Times New Roman" w:hAnsi="Times New Roman" w:cs="Times New Roman"/>
          <w:sz w:val="24"/>
          <w:szCs w:val="24"/>
        </w:rPr>
        <w:t xml:space="preserve">., 2025, </w:t>
      </w:r>
      <w:r w:rsidR="00696329" w:rsidRPr="00922900">
        <w:rPr>
          <w:rFonts w:ascii="Times New Roman" w:hAnsi="Times New Roman" w:cs="Times New Roman"/>
          <w:sz w:val="24"/>
          <w:szCs w:val="24"/>
        </w:rPr>
        <w:t xml:space="preserve">also </w:t>
      </w:r>
      <w:r w:rsidR="00242727" w:rsidRPr="00922900">
        <w:rPr>
          <w:rFonts w:ascii="Times New Roman" w:hAnsi="Times New Roman" w:cs="Times New Roman"/>
          <w:sz w:val="24"/>
          <w:szCs w:val="24"/>
        </w:rPr>
        <w:t xml:space="preserve">recorded maximum </w:t>
      </w:r>
      <w:r w:rsidR="00580E3B" w:rsidRPr="00922900">
        <w:rPr>
          <w:rFonts w:ascii="Times New Roman" w:hAnsi="Times New Roman" w:cs="Times New Roman"/>
          <w:sz w:val="24"/>
          <w:szCs w:val="24"/>
        </w:rPr>
        <w:t>(N- 1.39 %, P - 0.51 and K- 0.30 %)</w:t>
      </w:r>
      <w:r w:rsidR="00242727" w:rsidRPr="00922900">
        <w:rPr>
          <w:rFonts w:ascii="Times New Roman" w:hAnsi="Times New Roman" w:cs="Times New Roman"/>
          <w:sz w:val="24"/>
          <w:szCs w:val="24"/>
        </w:rPr>
        <w:t xml:space="preserve"> nutrient content under the treatment containing </w:t>
      </w:r>
      <w:r w:rsidR="00390492" w:rsidRPr="00922900">
        <w:rPr>
          <w:rFonts w:ascii="Times New Roman" w:hAnsi="Times New Roman" w:cs="Times New Roman"/>
          <w:sz w:val="24"/>
          <w:szCs w:val="24"/>
        </w:rPr>
        <w:t xml:space="preserve">75%RDF+ Vermicompost </w:t>
      </w:r>
      <w:r w:rsidR="00580E3B" w:rsidRPr="00922900">
        <w:rPr>
          <w:rFonts w:ascii="Times New Roman" w:hAnsi="Times New Roman" w:cs="Times New Roman"/>
          <w:sz w:val="24"/>
          <w:szCs w:val="24"/>
        </w:rPr>
        <w:t>in rice.</w:t>
      </w:r>
    </w:p>
    <w:p w14:paraId="11FD995C" w14:textId="615B8BD1" w:rsidR="00B51A45" w:rsidRPr="00B51A45" w:rsidRDefault="00B51A45" w:rsidP="003A1CD8">
      <w:pPr>
        <w:spacing w:after="0" w:line="360" w:lineRule="auto"/>
        <w:ind w:firstLine="720"/>
        <w:jc w:val="both"/>
        <w:rPr>
          <w:rFonts w:ascii="Times New Roman" w:hAnsi="Times New Roman" w:cs="Times New Roman"/>
          <w:sz w:val="24"/>
          <w:szCs w:val="24"/>
        </w:rPr>
      </w:pPr>
      <w:r w:rsidRPr="00B51A45">
        <w:rPr>
          <w:rFonts w:ascii="Times New Roman" w:hAnsi="Times New Roman" w:cs="Times New Roman"/>
          <w:sz w:val="24"/>
          <w:szCs w:val="24"/>
        </w:rPr>
        <w:t xml:space="preserve">Across all treatments, a clear trend emerged indicating that the integration of 75% RDF with organic manures, particularly when FYM and VC were applied together (T5), resulted in </w:t>
      </w:r>
      <w:r w:rsidRPr="00B51A45">
        <w:rPr>
          <w:rFonts w:ascii="Times New Roman" w:hAnsi="Times New Roman" w:cs="Times New Roman"/>
          <w:sz w:val="24"/>
          <w:szCs w:val="24"/>
        </w:rPr>
        <w:lastRenderedPageBreak/>
        <w:t>the highest nutrient content in both grain and straw for all three major nutrients—nitrogen, phosphorus, and potassium. The lowest values were consistently recorded in the control plots (T1), highlighting the essential role of nutrient supplementation in enhancing the nutritive quality of the crop.</w:t>
      </w:r>
      <w:r w:rsidR="003A1CD8">
        <w:rPr>
          <w:rFonts w:ascii="Times New Roman" w:hAnsi="Times New Roman" w:cs="Times New Roman"/>
          <w:sz w:val="24"/>
          <w:szCs w:val="24"/>
        </w:rPr>
        <w:t xml:space="preserve"> </w:t>
      </w:r>
      <w:r w:rsidRPr="00B51A45">
        <w:rPr>
          <w:rFonts w:ascii="Times New Roman" w:hAnsi="Times New Roman" w:cs="Times New Roman"/>
          <w:sz w:val="24"/>
          <w:szCs w:val="24"/>
        </w:rPr>
        <w:t>The consistent superiority of T5 suggests a synergistic interaction between the slow-release nature of organic nutrients and the immediate availability of inorganic fertilizers, resulting in sustained nutrient availability, improved uptake, and higher accumulation in plant tissues. This also points toward the enhanced nutrient use efficiency under integrated management practices, which not only meets the crop's immediate demand but also improves soil fertility and nutrient cycling in the long run.</w:t>
      </w:r>
      <w:r w:rsidR="003A1CD8">
        <w:rPr>
          <w:rFonts w:ascii="Times New Roman" w:hAnsi="Times New Roman" w:cs="Times New Roman"/>
          <w:sz w:val="24"/>
          <w:szCs w:val="24"/>
        </w:rPr>
        <w:t xml:space="preserve"> </w:t>
      </w:r>
      <w:r w:rsidRPr="00B51A45">
        <w:rPr>
          <w:rFonts w:ascii="Times New Roman" w:hAnsi="Times New Roman" w:cs="Times New Roman"/>
          <w:sz w:val="24"/>
          <w:szCs w:val="24"/>
        </w:rPr>
        <w:t>These results reinforce the significance of integrated nutrient management as a viable strategy to enhance the nutritional quality of rice grain and straw, ensuring better crop performance and long-term soil health.</w:t>
      </w:r>
    </w:p>
    <w:p w14:paraId="4054DC72" w14:textId="77777777" w:rsidR="0007575E" w:rsidRPr="0007575E" w:rsidRDefault="0007575E" w:rsidP="0007575E">
      <w:pPr>
        <w:spacing w:after="0" w:line="360" w:lineRule="auto"/>
        <w:jc w:val="both"/>
        <w:rPr>
          <w:rFonts w:ascii="Times New Roman" w:hAnsi="Times New Roman" w:cs="Times New Roman"/>
          <w:b/>
          <w:bCs/>
          <w:sz w:val="24"/>
          <w:szCs w:val="24"/>
        </w:rPr>
      </w:pPr>
      <w:r w:rsidRPr="0007575E">
        <w:rPr>
          <w:rFonts w:ascii="Times New Roman" w:hAnsi="Times New Roman" w:cs="Times New Roman"/>
          <w:b/>
          <w:bCs/>
          <w:sz w:val="24"/>
          <w:szCs w:val="24"/>
        </w:rPr>
        <w:t>2. Nutrient Uptake in Grain and Straw</w:t>
      </w:r>
    </w:p>
    <w:p w14:paraId="1299CC45" w14:textId="4ABA4833" w:rsidR="0007575E" w:rsidRPr="0007575E" w:rsidRDefault="0007575E" w:rsidP="008A69F1">
      <w:pPr>
        <w:spacing w:after="0" w:line="360" w:lineRule="auto"/>
        <w:ind w:firstLine="720"/>
        <w:jc w:val="both"/>
        <w:rPr>
          <w:rFonts w:ascii="Times New Roman" w:hAnsi="Times New Roman" w:cs="Times New Roman"/>
          <w:sz w:val="24"/>
          <w:szCs w:val="24"/>
        </w:rPr>
      </w:pPr>
      <w:r w:rsidRPr="0007575E">
        <w:rPr>
          <w:rFonts w:ascii="Times New Roman" w:hAnsi="Times New Roman" w:cs="Times New Roman"/>
          <w:sz w:val="24"/>
          <w:szCs w:val="24"/>
        </w:rPr>
        <w:t>Nutrient uptake by crops is a critical parameter reflecting not only the plant’s nutrient absorption efficiency but also the effectiveness of the applied nutrient sources. In this study, the uptake of nitrogen (N), phosphorus (P), and potassium (K) by rice plants—measured separately for grain and straw—was significantly influenced by the different integrated nutrient management (INM) treatments</w:t>
      </w:r>
      <w:r w:rsidR="00726048">
        <w:rPr>
          <w:rFonts w:ascii="Times New Roman" w:hAnsi="Times New Roman" w:cs="Times New Roman"/>
          <w:sz w:val="24"/>
          <w:szCs w:val="24"/>
        </w:rPr>
        <w:t xml:space="preserve"> (Table 2)</w:t>
      </w:r>
      <w:r w:rsidRPr="0007575E">
        <w:rPr>
          <w:rFonts w:ascii="Times New Roman" w:hAnsi="Times New Roman" w:cs="Times New Roman"/>
          <w:sz w:val="24"/>
          <w:szCs w:val="24"/>
        </w:rPr>
        <w:t>. The uptake values demonstrated that a combination of reduced recommended dose of fertilizers (RDF) with organic manures such as farmyard manure (FYM) and vermicompost (VC) substantially enhanced the total nutrient uptake compared to either sole RDF or control treatments.</w:t>
      </w:r>
    </w:p>
    <w:p w14:paraId="313E3827" w14:textId="77777777" w:rsidR="0007575E" w:rsidRPr="0007575E" w:rsidRDefault="0007575E" w:rsidP="0007575E">
      <w:pPr>
        <w:spacing w:after="0" w:line="360" w:lineRule="auto"/>
        <w:jc w:val="both"/>
        <w:rPr>
          <w:rFonts w:ascii="Times New Roman" w:hAnsi="Times New Roman" w:cs="Times New Roman"/>
          <w:b/>
          <w:bCs/>
          <w:sz w:val="24"/>
          <w:szCs w:val="24"/>
        </w:rPr>
      </w:pPr>
      <w:r w:rsidRPr="0007575E">
        <w:rPr>
          <w:rFonts w:ascii="Times New Roman" w:hAnsi="Times New Roman" w:cs="Times New Roman"/>
          <w:b/>
          <w:bCs/>
          <w:sz w:val="24"/>
          <w:szCs w:val="24"/>
        </w:rPr>
        <w:t>Nitrogen Uptake</w:t>
      </w:r>
    </w:p>
    <w:p w14:paraId="156DA352" w14:textId="152812E2" w:rsidR="0007575E" w:rsidRPr="0007575E" w:rsidRDefault="0007575E" w:rsidP="0007575E">
      <w:pPr>
        <w:spacing w:after="0" w:line="360" w:lineRule="auto"/>
        <w:jc w:val="both"/>
        <w:rPr>
          <w:rFonts w:ascii="Times New Roman" w:hAnsi="Times New Roman" w:cs="Times New Roman"/>
          <w:sz w:val="24"/>
          <w:szCs w:val="24"/>
        </w:rPr>
      </w:pPr>
      <w:r w:rsidRPr="0007575E">
        <w:rPr>
          <w:rFonts w:ascii="Times New Roman" w:hAnsi="Times New Roman" w:cs="Times New Roman"/>
          <w:sz w:val="24"/>
          <w:szCs w:val="24"/>
        </w:rPr>
        <w:t>Nitrogen uptake in grain, straw, and total plant biomass showed a marked and statistically significant improvement under integrated treatments. The maximum total nitrogen uptake was observed in treatment T5 (75% RDF + FYM + VC), which recorded 61.15 kg ha⁻¹ in grain, 18.27 kg ha⁻¹ in straw, and a combined uptake of 79.42 kg ha⁻¹. This represents a 49.71% increase in grain N uptake, 73.12% increase in straw N uptake, and 55.09% increase in total N uptake when compared to the control (T1), which had only 30.75 kg ha⁻¹ in grain, 4.91 kg ha⁻¹ in straw, and a total of 35.66 kg ha⁻¹. The enhanced nitrogen uptake in T5 can be attributed to the continuous mineralization of organic N from FYM and VC, which complements the immediate availability of nitrogen from inorganic sources. Additionally, the organic matter improves soil microbial activity and root health, thereby increasing nutrient absorption efficiency.</w:t>
      </w:r>
      <w:r w:rsidR="00B53E48">
        <w:rPr>
          <w:rFonts w:ascii="Times New Roman" w:hAnsi="Times New Roman" w:cs="Times New Roman"/>
          <w:sz w:val="24"/>
          <w:szCs w:val="24"/>
        </w:rPr>
        <w:t xml:space="preserve"> </w:t>
      </w:r>
      <w:r w:rsidRPr="0007575E">
        <w:rPr>
          <w:rFonts w:ascii="Times New Roman" w:hAnsi="Times New Roman" w:cs="Times New Roman"/>
          <w:sz w:val="24"/>
          <w:szCs w:val="24"/>
        </w:rPr>
        <w:t xml:space="preserve">Other integrated treatments also showed substantial improvements over the control. T4 (75% RDF + VC) and T3 (75% RDF + FYM) recorded total nitrogen uptakes of 74.09 kg ha⁻¹ and 67.82 kg ha⁻¹, respectively. These treatments, though slightly lower than T5, still </w:t>
      </w:r>
      <w:r w:rsidRPr="0007575E">
        <w:rPr>
          <w:rFonts w:ascii="Times New Roman" w:hAnsi="Times New Roman" w:cs="Times New Roman"/>
          <w:sz w:val="24"/>
          <w:szCs w:val="24"/>
        </w:rPr>
        <w:lastRenderedPageBreak/>
        <w:t>surpassed 100% RDF alone (T2, 71.43 kg ha⁻¹), indicating the importance of organic amendments in improving nitrogen use efficiency and uptake.</w:t>
      </w:r>
    </w:p>
    <w:p w14:paraId="0B8D22B5" w14:textId="41A33E1C" w:rsidR="0007575E" w:rsidRPr="0007575E" w:rsidRDefault="0007575E" w:rsidP="00B53E48">
      <w:pPr>
        <w:spacing w:after="0" w:line="360" w:lineRule="auto"/>
        <w:ind w:firstLine="720"/>
        <w:jc w:val="both"/>
        <w:rPr>
          <w:rFonts w:ascii="Times New Roman" w:hAnsi="Times New Roman" w:cs="Times New Roman"/>
          <w:sz w:val="24"/>
          <w:szCs w:val="24"/>
        </w:rPr>
      </w:pPr>
      <w:r w:rsidRPr="0007575E">
        <w:rPr>
          <w:rFonts w:ascii="Times New Roman" w:hAnsi="Times New Roman" w:cs="Times New Roman"/>
          <w:sz w:val="24"/>
          <w:szCs w:val="24"/>
        </w:rPr>
        <w:t>Phosphorus uptake followed a similar pattern. The total phosphorus uptake under T5 was the highest at 28.50 kg ha⁻¹, with 24.37 kg ha⁻¹ absorbed by grain and 4.13 kg ha⁻¹ by straw. This marked a significant increase of 62.37% in grain P uptake, 82.08% in straw P uptake, and 65.22% in total P uptake when compared to the control treatment (T1), which recorded 9.17 kg ha⁻¹ in grain, 0.74 kg ha⁻¹ in straw, and 9.91 kg ha⁻¹ in total. The increased phosphorus uptake under integrated treatments is due to the organic acids and microbial exudates produced during the decomposition of FYM and VC, which enhance phosphorus solubilization and mobility in the soil.</w:t>
      </w:r>
      <w:r w:rsidR="00B53E48" w:rsidRPr="00922900">
        <w:rPr>
          <w:rFonts w:ascii="Times New Roman" w:hAnsi="Times New Roman" w:cs="Times New Roman"/>
          <w:sz w:val="24"/>
          <w:szCs w:val="24"/>
        </w:rPr>
        <w:t xml:space="preserve"> </w:t>
      </w:r>
      <w:r w:rsidRPr="0007575E">
        <w:rPr>
          <w:rFonts w:ascii="Times New Roman" w:hAnsi="Times New Roman" w:cs="Times New Roman"/>
          <w:sz w:val="24"/>
          <w:szCs w:val="24"/>
        </w:rPr>
        <w:t>Treatment T4 (75% RDF + VC) recorded a total P uptake of 27.01 kg ha⁻¹, while T3 (75% RDF + FYM) recorded 23.93 kg ha⁻¹. Interestingly, T2 (100% RDF) also recorded a slightly lower value (25.25 kg ha⁻¹) than T5, again confirming the superior performance of integrated applications over sole chemical fertilizer use. The data also showed that lower-dose RDF treatments (T6, T7, T8) had significantly lower uptake values than their 75% RDF counterparts, highlighting the necessity of maintaining a sufficient base of chemical fertilizer for optimal phosphorus availability.</w:t>
      </w:r>
    </w:p>
    <w:p w14:paraId="4966E44C" w14:textId="1CC59107" w:rsidR="0007575E" w:rsidRDefault="0007575E" w:rsidP="0007575E">
      <w:pPr>
        <w:spacing w:after="0" w:line="360" w:lineRule="auto"/>
        <w:ind w:firstLine="720"/>
        <w:jc w:val="both"/>
        <w:rPr>
          <w:rFonts w:ascii="Times New Roman" w:hAnsi="Times New Roman" w:cs="Times New Roman"/>
          <w:sz w:val="24"/>
          <w:szCs w:val="24"/>
        </w:rPr>
      </w:pPr>
      <w:r w:rsidRPr="0007575E">
        <w:rPr>
          <w:rFonts w:ascii="Times New Roman" w:hAnsi="Times New Roman" w:cs="Times New Roman"/>
          <w:sz w:val="24"/>
          <w:szCs w:val="24"/>
        </w:rPr>
        <w:t xml:space="preserve">The uptake of potassium in rice grain and straw was significantly improved by integrated nutrient management practices. T5 exhibited the highest potassium uptake, with 15.82 kg ha⁻¹ in grain and 82.10 kg ha⁻¹ in straw, resulting in a total uptake of 97.92 kg ha⁻¹. This corresponded to a 58.09% increase in grain K uptake, 55.94% increase in straw uptake, and 56.29% higher total K uptake relative to the control (T1), which recorded 6.63 kg ha⁻¹ in grain, 36.17 kg ha⁻¹ in straw, and 42.80 kg ha⁻¹ in total. The combined use of FYM and VC contributed to a more </w:t>
      </w:r>
      <w:proofErr w:type="spellStart"/>
      <w:r w:rsidRPr="0007575E">
        <w:rPr>
          <w:rFonts w:ascii="Times New Roman" w:hAnsi="Times New Roman" w:cs="Times New Roman"/>
          <w:sz w:val="24"/>
          <w:szCs w:val="24"/>
        </w:rPr>
        <w:t>favorable</w:t>
      </w:r>
      <w:proofErr w:type="spellEnd"/>
      <w:r w:rsidRPr="0007575E">
        <w:rPr>
          <w:rFonts w:ascii="Times New Roman" w:hAnsi="Times New Roman" w:cs="Times New Roman"/>
          <w:sz w:val="24"/>
          <w:szCs w:val="24"/>
        </w:rPr>
        <w:t xml:space="preserve"> soil structure and cation exchange capacity, facilitating the release and movement of potassium to the plant roots.</w:t>
      </w:r>
      <w:r w:rsidR="00B53E48" w:rsidRPr="00922900">
        <w:rPr>
          <w:rFonts w:ascii="Times New Roman" w:hAnsi="Times New Roman" w:cs="Times New Roman"/>
          <w:sz w:val="24"/>
          <w:szCs w:val="24"/>
        </w:rPr>
        <w:t xml:space="preserve"> </w:t>
      </w:r>
      <w:r w:rsidRPr="0007575E">
        <w:rPr>
          <w:rFonts w:ascii="Times New Roman" w:hAnsi="Times New Roman" w:cs="Times New Roman"/>
          <w:sz w:val="24"/>
          <w:szCs w:val="24"/>
        </w:rPr>
        <w:t>Treatment T4 (75% RDF + VC) also showed excellent performance with a total potassium uptake of 92.57 kg ha⁻¹, while T3 (75% RDF + FYM) registered 76.48 kg ha⁻¹. These values outperformed even the 100% RDF treatment (T2, 83.03 kg ha⁻¹), demonstrating that the inclusion of organic sources is critical for improving potassium nutrition. Even among the 50% RDF-based treatments, T8 (50% RDF + FYM + VC) recorded a total K uptake of 85.68 kg ha⁻¹, which was higher than that of T2, indicating that balanced integration of organics can compensate for reduced chemical input levels.</w:t>
      </w:r>
      <w:r>
        <w:rPr>
          <w:rFonts w:ascii="Times New Roman" w:hAnsi="Times New Roman" w:cs="Times New Roman"/>
          <w:sz w:val="24"/>
          <w:szCs w:val="24"/>
        </w:rPr>
        <w:t xml:space="preserve"> </w:t>
      </w:r>
      <w:r w:rsidRPr="0007575E">
        <w:rPr>
          <w:rFonts w:ascii="Times New Roman" w:hAnsi="Times New Roman" w:cs="Times New Roman"/>
          <w:sz w:val="24"/>
          <w:szCs w:val="24"/>
        </w:rPr>
        <w:t xml:space="preserve">Across all nutrient elements—N, P, and K—the integrated application of 75% RDF with FYM and vermicompost (T5) consistently resulted in the highest nutrient uptake values in both grain and straw. </w:t>
      </w:r>
      <w:r w:rsidR="00590B41">
        <w:rPr>
          <w:rFonts w:ascii="Times New Roman" w:hAnsi="Times New Roman" w:cs="Times New Roman"/>
          <w:sz w:val="24"/>
          <w:szCs w:val="24"/>
        </w:rPr>
        <w:t>The results of present experiment get supported by findings of (</w:t>
      </w:r>
      <w:proofErr w:type="spellStart"/>
      <w:r w:rsidR="00931B35">
        <w:rPr>
          <w:rFonts w:ascii="Times New Roman" w:hAnsi="Times New Roman" w:cs="Times New Roman"/>
          <w:sz w:val="24"/>
          <w:szCs w:val="24"/>
        </w:rPr>
        <w:t>V</w:t>
      </w:r>
      <w:r w:rsidR="00931B35" w:rsidRPr="00472DC8">
        <w:rPr>
          <w:rFonts w:ascii="Times New Roman" w:hAnsi="Times New Roman" w:cs="Times New Roman"/>
          <w:sz w:val="24"/>
          <w:szCs w:val="24"/>
        </w:rPr>
        <w:t>ishwanathan</w:t>
      </w:r>
      <w:proofErr w:type="spellEnd"/>
      <w:r w:rsidR="00931B35" w:rsidRPr="00472DC8">
        <w:rPr>
          <w:rFonts w:ascii="Times New Roman" w:hAnsi="Times New Roman" w:cs="Times New Roman"/>
          <w:sz w:val="24"/>
          <w:szCs w:val="24"/>
        </w:rPr>
        <w:t xml:space="preserve"> and </w:t>
      </w:r>
      <w:proofErr w:type="spellStart"/>
      <w:r w:rsidR="00931B35" w:rsidRPr="00472DC8">
        <w:rPr>
          <w:rFonts w:ascii="Times New Roman" w:hAnsi="Times New Roman" w:cs="Times New Roman"/>
          <w:sz w:val="24"/>
          <w:szCs w:val="24"/>
        </w:rPr>
        <w:t>Singaravel</w:t>
      </w:r>
      <w:proofErr w:type="spellEnd"/>
      <w:r w:rsidR="00931B35">
        <w:rPr>
          <w:rFonts w:ascii="Times New Roman" w:hAnsi="Times New Roman" w:cs="Times New Roman"/>
          <w:sz w:val="24"/>
          <w:szCs w:val="24"/>
        </w:rPr>
        <w:t xml:space="preserve">, </w:t>
      </w:r>
      <w:r w:rsidR="00931B35" w:rsidRPr="00472DC8">
        <w:rPr>
          <w:rFonts w:ascii="Times New Roman" w:hAnsi="Times New Roman" w:cs="Times New Roman"/>
          <w:sz w:val="24"/>
          <w:szCs w:val="24"/>
        </w:rPr>
        <w:t>2016</w:t>
      </w:r>
      <w:r w:rsidR="00931B35">
        <w:rPr>
          <w:rFonts w:ascii="Times New Roman" w:hAnsi="Times New Roman" w:cs="Times New Roman"/>
          <w:sz w:val="24"/>
          <w:szCs w:val="24"/>
        </w:rPr>
        <w:t xml:space="preserve">; </w:t>
      </w:r>
      <w:r w:rsidR="00931B35" w:rsidRPr="00472DC8">
        <w:rPr>
          <w:rFonts w:ascii="Times New Roman" w:hAnsi="Times New Roman" w:cs="Times New Roman"/>
          <w:sz w:val="24"/>
          <w:szCs w:val="24"/>
        </w:rPr>
        <w:t xml:space="preserve">Mohan Rao </w:t>
      </w:r>
      <w:r w:rsidR="00931B35" w:rsidRPr="00931B35">
        <w:rPr>
          <w:rFonts w:ascii="Times New Roman" w:hAnsi="Times New Roman" w:cs="Times New Roman"/>
          <w:i/>
          <w:iCs/>
          <w:sz w:val="24"/>
          <w:szCs w:val="24"/>
        </w:rPr>
        <w:t>et al.</w:t>
      </w:r>
      <w:r w:rsidR="00931B35">
        <w:rPr>
          <w:rFonts w:ascii="Times New Roman" w:hAnsi="Times New Roman" w:cs="Times New Roman"/>
          <w:sz w:val="24"/>
          <w:szCs w:val="24"/>
        </w:rPr>
        <w:t xml:space="preserve">, </w:t>
      </w:r>
      <w:r w:rsidR="00931B35" w:rsidRPr="00472DC8">
        <w:rPr>
          <w:rFonts w:ascii="Times New Roman" w:hAnsi="Times New Roman" w:cs="Times New Roman"/>
          <w:sz w:val="24"/>
          <w:szCs w:val="24"/>
        </w:rPr>
        <w:t>2017</w:t>
      </w:r>
      <w:r w:rsidR="00931B35">
        <w:rPr>
          <w:rFonts w:ascii="Times New Roman" w:hAnsi="Times New Roman" w:cs="Times New Roman"/>
          <w:sz w:val="24"/>
          <w:szCs w:val="24"/>
        </w:rPr>
        <w:t>:</w:t>
      </w:r>
      <w:r w:rsidR="00931B35" w:rsidRPr="00472DC8">
        <w:rPr>
          <w:rFonts w:ascii="Times New Roman" w:hAnsi="Times New Roman" w:cs="Times New Roman"/>
          <w:sz w:val="24"/>
          <w:szCs w:val="24"/>
        </w:rPr>
        <w:t xml:space="preserve"> Kumar </w:t>
      </w:r>
      <w:r w:rsidR="00931B35" w:rsidRPr="00931B35">
        <w:rPr>
          <w:rFonts w:ascii="Times New Roman" w:hAnsi="Times New Roman" w:cs="Times New Roman"/>
          <w:i/>
          <w:iCs/>
          <w:sz w:val="24"/>
          <w:szCs w:val="24"/>
        </w:rPr>
        <w:t>et al</w:t>
      </w:r>
      <w:r w:rsidR="00931B35" w:rsidRPr="00472DC8">
        <w:rPr>
          <w:rFonts w:ascii="Times New Roman" w:hAnsi="Times New Roman" w:cs="Times New Roman"/>
          <w:sz w:val="24"/>
          <w:szCs w:val="24"/>
        </w:rPr>
        <w:t>.</w:t>
      </w:r>
      <w:r w:rsidR="00931B35">
        <w:rPr>
          <w:rFonts w:ascii="Times New Roman" w:hAnsi="Times New Roman" w:cs="Times New Roman"/>
          <w:sz w:val="24"/>
          <w:szCs w:val="24"/>
        </w:rPr>
        <w:t xml:space="preserve">, </w:t>
      </w:r>
      <w:r w:rsidR="00931B35" w:rsidRPr="00472DC8">
        <w:rPr>
          <w:rFonts w:ascii="Times New Roman" w:hAnsi="Times New Roman" w:cs="Times New Roman"/>
          <w:sz w:val="24"/>
          <w:szCs w:val="24"/>
        </w:rPr>
        <w:t>2018</w:t>
      </w:r>
      <w:r w:rsidR="009E5560">
        <w:rPr>
          <w:rFonts w:ascii="Times New Roman" w:hAnsi="Times New Roman" w:cs="Times New Roman"/>
          <w:sz w:val="24"/>
          <w:szCs w:val="24"/>
        </w:rPr>
        <w:t xml:space="preserve">; </w:t>
      </w:r>
      <w:r w:rsidR="00931B35" w:rsidRPr="00472DC8">
        <w:rPr>
          <w:rFonts w:ascii="Times New Roman" w:hAnsi="Times New Roman" w:cs="Times New Roman"/>
          <w:sz w:val="24"/>
          <w:szCs w:val="24"/>
        </w:rPr>
        <w:t xml:space="preserve"> Ganguly </w:t>
      </w:r>
      <w:r w:rsidR="00931B35" w:rsidRPr="009E5560">
        <w:rPr>
          <w:rFonts w:ascii="Times New Roman" w:hAnsi="Times New Roman" w:cs="Times New Roman"/>
          <w:i/>
          <w:iCs/>
          <w:sz w:val="24"/>
          <w:szCs w:val="24"/>
        </w:rPr>
        <w:t>et al.</w:t>
      </w:r>
      <w:r w:rsidR="00931B35" w:rsidRPr="00472DC8">
        <w:rPr>
          <w:rFonts w:ascii="Times New Roman" w:hAnsi="Times New Roman" w:cs="Times New Roman"/>
          <w:sz w:val="24"/>
          <w:szCs w:val="24"/>
        </w:rPr>
        <w:t xml:space="preserve"> (2019)</w:t>
      </w:r>
      <w:r w:rsidR="009E5560">
        <w:rPr>
          <w:rFonts w:ascii="Times New Roman" w:hAnsi="Times New Roman" w:cs="Times New Roman"/>
          <w:sz w:val="24"/>
          <w:szCs w:val="24"/>
        </w:rPr>
        <w:t xml:space="preserve">; </w:t>
      </w:r>
      <w:proofErr w:type="spellStart"/>
      <w:r w:rsidR="00931B35" w:rsidRPr="00472DC8">
        <w:rPr>
          <w:rFonts w:ascii="Times New Roman" w:hAnsi="Times New Roman" w:cs="Times New Roman"/>
          <w:sz w:val="24"/>
          <w:szCs w:val="24"/>
        </w:rPr>
        <w:lastRenderedPageBreak/>
        <w:t>Shultana</w:t>
      </w:r>
      <w:proofErr w:type="spellEnd"/>
      <w:r w:rsidR="00931B35" w:rsidRPr="00472DC8">
        <w:rPr>
          <w:rFonts w:ascii="Times New Roman" w:hAnsi="Times New Roman" w:cs="Times New Roman"/>
          <w:sz w:val="24"/>
          <w:szCs w:val="24"/>
        </w:rPr>
        <w:t xml:space="preserve"> </w:t>
      </w:r>
      <w:r w:rsidR="00931B35" w:rsidRPr="009E5560">
        <w:rPr>
          <w:rFonts w:ascii="Times New Roman" w:hAnsi="Times New Roman" w:cs="Times New Roman"/>
          <w:i/>
          <w:iCs/>
          <w:sz w:val="24"/>
          <w:szCs w:val="24"/>
        </w:rPr>
        <w:t>et</w:t>
      </w:r>
      <w:r w:rsidR="009E5560" w:rsidRPr="009E5560">
        <w:rPr>
          <w:rFonts w:ascii="Times New Roman" w:hAnsi="Times New Roman" w:cs="Times New Roman"/>
          <w:i/>
          <w:iCs/>
          <w:sz w:val="24"/>
          <w:szCs w:val="24"/>
        </w:rPr>
        <w:t xml:space="preserve"> </w:t>
      </w:r>
      <w:r w:rsidR="00931B35" w:rsidRPr="009E5560">
        <w:rPr>
          <w:rFonts w:ascii="Times New Roman" w:hAnsi="Times New Roman" w:cs="Times New Roman"/>
          <w:i/>
          <w:iCs/>
          <w:sz w:val="24"/>
          <w:szCs w:val="24"/>
        </w:rPr>
        <w:t>al</w:t>
      </w:r>
      <w:r w:rsidR="00931B35" w:rsidRPr="00472DC8">
        <w:rPr>
          <w:rFonts w:ascii="Times New Roman" w:hAnsi="Times New Roman" w:cs="Times New Roman"/>
          <w:sz w:val="24"/>
          <w:szCs w:val="24"/>
        </w:rPr>
        <w:t>.</w:t>
      </w:r>
      <w:r w:rsidR="009E5560">
        <w:rPr>
          <w:rFonts w:ascii="Times New Roman" w:hAnsi="Times New Roman" w:cs="Times New Roman"/>
          <w:sz w:val="24"/>
          <w:szCs w:val="24"/>
        </w:rPr>
        <w:t xml:space="preserve">, </w:t>
      </w:r>
      <w:r w:rsidR="00931B35" w:rsidRPr="00472DC8">
        <w:rPr>
          <w:rFonts w:ascii="Times New Roman" w:hAnsi="Times New Roman" w:cs="Times New Roman"/>
          <w:sz w:val="24"/>
          <w:szCs w:val="24"/>
        </w:rPr>
        <w:t>2019</w:t>
      </w:r>
      <w:r w:rsidR="009E5560" w:rsidRPr="009E5560">
        <w:rPr>
          <w:rFonts w:ascii="Times New Roman" w:hAnsi="Times New Roman" w:cs="Times New Roman"/>
          <w:sz w:val="24"/>
          <w:szCs w:val="24"/>
        </w:rPr>
        <w:t xml:space="preserve"> </w:t>
      </w:r>
      <w:r w:rsidR="009E5560" w:rsidRPr="00472DC8">
        <w:rPr>
          <w:rFonts w:ascii="Times New Roman" w:hAnsi="Times New Roman" w:cs="Times New Roman"/>
          <w:sz w:val="24"/>
          <w:szCs w:val="24"/>
        </w:rPr>
        <w:t>and</w:t>
      </w:r>
      <w:r w:rsidR="009E5560">
        <w:rPr>
          <w:rFonts w:ascii="Times New Roman" w:hAnsi="Times New Roman" w:cs="Times New Roman"/>
          <w:sz w:val="24"/>
          <w:szCs w:val="24"/>
        </w:rPr>
        <w:t xml:space="preserve">; </w:t>
      </w:r>
      <w:r w:rsidR="009E5560" w:rsidRPr="00590B41">
        <w:rPr>
          <w:rFonts w:ascii="Times New Roman" w:hAnsi="Times New Roman" w:cs="Times New Roman"/>
          <w:sz w:val="24"/>
          <w:szCs w:val="24"/>
        </w:rPr>
        <w:t>Ram</w:t>
      </w:r>
      <w:r w:rsidR="009E5560">
        <w:rPr>
          <w:rFonts w:ascii="Times New Roman" w:hAnsi="Times New Roman" w:cs="Times New Roman"/>
          <w:sz w:val="24"/>
          <w:szCs w:val="24"/>
        </w:rPr>
        <w:t xml:space="preserve"> </w:t>
      </w:r>
      <w:r w:rsidR="009E5560" w:rsidRPr="00590B41">
        <w:rPr>
          <w:rFonts w:ascii="Times New Roman" w:hAnsi="Times New Roman" w:cs="Times New Roman"/>
          <w:i/>
          <w:iCs/>
          <w:sz w:val="24"/>
          <w:szCs w:val="24"/>
        </w:rPr>
        <w:t>et al.,</w:t>
      </w:r>
      <w:r w:rsidR="009E5560">
        <w:rPr>
          <w:rFonts w:ascii="Times New Roman" w:hAnsi="Times New Roman" w:cs="Times New Roman"/>
          <w:sz w:val="24"/>
          <w:szCs w:val="24"/>
        </w:rPr>
        <w:t xml:space="preserve"> 2020</w:t>
      </w:r>
      <w:r w:rsidR="00590B41">
        <w:rPr>
          <w:rFonts w:ascii="Times New Roman" w:hAnsi="Times New Roman" w:cs="Times New Roman"/>
          <w:sz w:val="24"/>
          <w:szCs w:val="24"/>
        </w:rPr>
        <w:t xml:space="preserve">, they recorded that </w:t>
      </w:r>
      <w:r w:rsidR="00590B41" w:rsidRPr="00590B41">
        <w:rPr>
          <w:rFonts w:ascii="Times New Roman" w:hAnsi="Times New Roman" w:cs="Times New Roman"/>
          <w:sz w:val="24"/>
          <w:szCs w:val="24"/>
        </w:rPr>
        <w:t>combination of 75% recommended dose of fertilizers (RDF) with organic manures</w:t>
      </w:r>
      <w:r w:rsidR="00590B41">
        <w:rPr>
          <w:rFonts w:ascii="Times New Roman" w:hAnsi="Times New Roman" w:cs="Times New Roman"/>
          <w:sz w:val="24"/>
          <w:szCs w:val="24"/>
        </w:rPr>
        <w:t xml:space="preserve">, </w:t>
      </w:r>
      <w:r w:rsidR="00590B41" w:rsidRPr="00590B41">
        <w:rPr>
          <w:rFonts w:ascii="Times New Roman" w:hAnsi="Times New Roman" w:cs="Times New Roman"/>
          <w:sz w:val="24"/>
          <w:szCs w:val="24"/>
        </w:rPr>
        <w:t>specifically farmyard manure (FYM) and vermicompost (VC)</w:t>
      </w:r>
      <w:r w:rsidR="00472DC8">
        <w:rPr>
          <w:rFonts w:ascii="Times New Roman" w:hAnsi="Times New Roman" w:cs="Times New Roman"/>
          <w:sz w:val="24"/>
          <w:szCs w:val="24"/>
        </w:rPr>
        <w:t xml:space="preserve">, </w:t>
      </w:r>
      <w:r w:rsidR="00590B41" w:rsidRPr="00590B41">
        <w:rPr>
          <w:rFonts w:ascii="Times New Roman" w:hAnsi="Times New Roman" w:cs="Times New Roman"/>
          <w:sz w:val="24"/>
          <w:szCs w:val="24"/>
        </w:rPr>
        <w:t>proved to be the most effective treatment in enhancing nitrogen, phosphorus, and potassium concentrations in both grain and straw.</w:t>
      </w:r>
      <w:r w:rsidR="009E5560">
        <w:rPr>
          <w:rFonts w:ascii="Times New Roman" w:hAnsi="Times New Roman" w:cs="Times New Roman"/>
          <w:sz w:val="24"/>
          <w:szCs w:val="24"/>
        </w:rPr>
        <w:t xml:space="preserve"> </w:t>
      </w:r>
      <w:r w:rsidRPr="0007575E">
        <w:rPr>
          <w:rFonts w:ascii="Times New Roman" w:hAnsi="Times New Roman" w:cs="Times New Roman"/>
          <w:sz w:val="24"/>
          <w:szCs w:val="24"/>
        </w:rPr>
        <w:t>The superior performance of this treatment underscores the importance of combining fast-acting inorganic nutrients with slow-releasing, soil-enriching organic sources. The enhanced uptake observed in T5 reflects not just the improved availability of nutrients but also better root development, microbial activity, and nutrient mobility in the rhizosphere.</w:t>
      </w:r>
      <w:r>
        <w:rPr>
          <w:rFonts w:ascii="Times New Roman" w:hAnsi="Times New Roman" w:cs="Times New Roman"/>
          <w:sz w:val="24"/>
          <w:szCs w:val="24"/>
        </w:rPr>
        <w:t xml:space="preserve"> </w:t>
      </w:r>
      <w:r w:rsidRPr="0007575E">
        <w:rPr>
          <w:rFonts w:ascii="Times New Roman" w:hAnsi="Times New Roman" w:cs="Times New Roman"/>
          <w:sz w:val="24"/>
          <w:szCs w:val="24"/>
        </w:rPr>
        <w:t>The results clearly indicate that integrated nutrient management promotes higher and more efficient nutrient uptake, supporting optimal plant growth and contributing to improved yield and quality. Moreover, these findings provide a strong rationale for promoting INM practices among rice growers aiming for sustainable intensification, especially under the resource-constrained and nutrient-deficient conditions typical of many rice-growing regions.</w:t>
      </w:r>
    </w:p>
    <w:p w14:paraId="759F31FC" w14:textId="66F19190" w:rsidR="00711A52" w:rsidRPr="00711A52" w:rsidRDefault="00711A52" w:rsidP="00711A52">
      <w:pPr>
        <w:spacing w:after="0" w:line="360" w:lineRule="auto"/>
        <w:jc w:val="both"/>
        <w:rPr>
          <w:rFonts w:ascii="Times New Roman" w:hAnsi="Times New Roman" w:cs="Times New Roman"/>
          <w:sz w:val="24"/>
          <w:szCs w:val="24"/>
        </w:rPr>
      </w:pPr>
      <w:r w:rsidRPr="00711A52">
        <w:rPr>
          <w:rFonts w:ascii="Times New Roman" w:hAnsi="Times New Roman" w:cs="Times New Roman"/>
          <w:b/>
          <w:bCs/>
          <w:sz w:val="24"/>
          <w:szCs w:val="24"/>
        </w:rPr>
        <w:t xml:space="preserve">Conclusion </w:t>
      </w:r>
    </w:p>
    <w:p w14:paraId="774D9551" w14:textId="228396BB" w:rsidR="00711A52" w:rsidRDefault="00711A52" w:rsidP="00711A52">
      <w:pPr>
        <w:spacing w:after="0" w:line="360" w:lineRule="auto"/>
        <w:ind w:firstLine="720"/>
        <w:jc w:val="both"/>
        <w:rPr>
          <w:rFonts w:ascii="Times New Roman" w:hAnsi="Times New Roman" w:cs="Times New Roman"/>
          <w:sz w:val="24"/>
          <w:szCs w:val="24"/>
        </w:rPr>
      </w:pPr>
      <w:r w:rsidRPr="00711A52">
        <w:rPr>
          <w:rFonts w:ascii="Times New Roman" w:hAnsi="Times New Roman" w:cs="Times New Roman"/>
          <w:sz w:val="24"/>
          <w:szCs w:val="24"/>
        </w:rPr>
        <w:t xml:space="preserve">The </w:t>
      </w:r>
      <w:r>
        <w:rPr>
          <w:rFonts w:ascii="Times New Roman" w:hAnsi="Times New Roman" w:cs="Times New Roman"/>
          <w:sz w:val="24"/>
          <w:szCs w:val="24"/>
        </w:rPr>
        <w:t xml:space="preserve">present </w:t>
      </w:r>
      <w:r w:rsidRPr="00711A52">
        <w:rPr>
          <w:rFonts w:ascii="Times New Roman" w:hAnsi="Times New Roman" w:cs="Times New Roman"/>
          <w:sz w:val="24"/>
          <w:szCs w:val="24"/>
        </w:rPr>
        <w:t>study clearly demonstrated that integrated nutrient management, particularly the application of 75% RDF combined with FYM and vermicompost (T₅), significantly improved nutrient content and uptake of nitrogen, phosphorus, and potassium in rice grain and straw. The synergistic effects of organic and inorganic sources contributed to better nutrient availability and uptake efficiency. Thus, adopting INM practices can ensure higher productivity, improved soil health, and long-term sustainability in rice cultivation, especially in nutrient-depleted alluvial soils of the Indo-Gangetic plains.</w:t>
      </w:r>
    </w:p>
    <w:p w14:paraId="5C15421D" w14:textId="77777777" w:rsidR="00F84292" w:rsidRDefault="00F84292" w:rsidP="00711A52">
      <w:pPr>
        <w:spacing w:after="0" w:line="360" w:lineRule="auto"/>
        <w:ind w:firstLine="720"/>
        <w:jc w:val="both"/>
        <w:rPr>
          <w:rFonts w:ascii="Times New Roman" w:hAnsi="Times New Roman" w:cs="Times New Roman"/>
          <w:sz w:val="24"/>
          <w:szCs w:val="24"/>
        </w:rPr>
      </w:pPr>
    </w:p>
    <w:p w14:paraId="0224D292" w14:textId="77777777" w:rsidR="00F84292" w:rsidRPr="00F84292" w:rsidRDefault="00F84292" w:rsidP="00F84292">
      <w:pPr>
        <w:spacing w:after="200" w:line="276" w:lineRule="auto"/>
        <w:jc w:val="both"/>
        <w:outlineLvl w:val="0"/>
        <w:rPr>
          <w:rFonts w:ascii="Arial" w:eastAsia="Times New Roman" w:hAnsi="Arial" w:cs="Arial"/>
          <w:kern w:val="0"/>
          <w:lang w:val="en-GB" w:eastAsia="en-GB"/>
          <w14:ligatures w14:val="none"/>
        </w:rPr>
      </w:pPr>
      <w:r w:rsidRPr="00F84292">
        <w:rPr>
          <w:rFonts w:ascii="Arial" w:eastAsia="Times New Roman" w:hAnsi="Arial" w:cs="Arial"/>
          <w:b/>
          <w:bCs/>
          <w:kern w:val="0"/>
          <w:lang w:val="en-GB" w:eastAsia="en-GB"/>
          <w14:ligatures w14:val="none"/>
        </w:rPr>
        <w:t>COMPETING INTERESTS DISCLAIMER:</w:t>
      </w:r>
    </w:p>
    <w:p w14:paraId="59AEE09D" w14:textId="77777777" w:rsidR="00F84292" w:rsidRPr="00F84292" w:rsidRDefault="00F84292" w:rsidP="00F84292">
      <w:pPr>
        <w:spacing w:after="200" w:line="276" w:lineRule="auto"/>
        <w:rPr>
          <w:rFonts w:ascii="Calibri" w:eastAsia="Times New Roman" w:hAnsi="Calibri" w:cs="Times New Roman"/>
          <w:kern w:val="0"/>
          <w:lang w:val="en-GB" w:eastAsia="en-GB"/>
          <w14:ligatures w14:val="none"/>
        </w:rPr>
      </w:pPr>
      <w:r w:rsidRPr="00F84292">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ECBBB86" w14:textId="77777777" w:rsidR="00F84292" w:rsidRPr="00711A52" w:rsidRDefault="00F84292" w:rsidP="00711A52">
      <w:pPr>
        <w:spacing w:after="0" w:line="360" w:lineRule="auto"/>
        <w:ind w:firstLine="720"/>
        <w:jc w:val="both"/>
        <w:rPr>
          <w:rFonts w:ascii="Times New Roman" w:hAnsi="Times New Roman" w:cs="Times New Roman"/>
          <w:sz w:val="24"/>
          <w:szCs w:val="24"/>
        </w:rPr>
      </w:pPr>
    </w:p>
    <w:p w14:paraId="1406D066" w14:textId="433C26AC" w:rsidR="00B51A45" w:rsidRPr="00731E58" w:rsidRDefault="00731E58" w:rsidP="00012083">
      <w:pPr>
        <w:spacing w:after="0" w:line="360" w:lineRule="auto"/>
        <w:jc w:val="both"/>
        <w:rPr>
          <w:rFonts w:ascii="Times New Roman" w:hAnsi="Times New Roman" w:cs="Times New Roman"/>
          <w:b/>
          <w:bCs/>
          <w:sz w:val="24"/>
          <w:szCs w:val="24"/>
        </w:rPr>
      </w:pPr>
      <w:r w:rsidRPr="00731E58">
        <w:rPr>
          <w:rFonts w:ascii="Times New Roman" w:hAnsi="Times New Roman" w:cs="Times New Roman"/>
          <w:b/>
          <w:bCs/>
          <w:sz w:val="24"/>
          <w:szCs w:val="24"/>
        </w:rPr>
        <w:t xml:space="preserve">References - </w:t>
      </w:r>
    </w:p>
    <w:p w14:paraId="1DBA5262" w14:textId="64855DB1" w:rsidR="00731E58" w:rsidRPr="00134B6C" w:rsidRDefault="00287630" w:rsidP="00134B6C">
      <w:pPr>
        <w:spacing w:line="360" w:lineRule="auto"/>
        <w:jc w:val="both"/>
        <w:rPr>
          <w:rFonts w:ascii="Times New Roman" w:hAnsi="Times New Roman" w:cs="Times New Roman"/>
          <w:sz w:val="24"/>
          <w:szCs w:val="24"/>
        </w:rPr>
      </w:pPr>
      <w:proofErr w:type="spellStart"/>
      <w:r w:rsidRPr="00134B6C">
        <w:rPr>
          <w:rFonts w:ascii="Times New Roman" w:hAnsi="Times New Roman" w:cs="Times New Roman"/>
          <w:sz w:val="24"/>
          <w:szCs w:val="24"/>
        </w:rPr>
        <w:t>Arancon</w:t>
      </w:r>
      <w:proofErr w:type="spellEnd"/>
      <w:r w:rsidRPr="00134B6C">
        <w:rPr>
          <w:rFonts w:ascii="Times New Roman" w:hAnsi="Times New Roman" w:cs="Times New Roman"/>
          <w:sz w:val="24"/>
          <w:szCs w:val="24"/>
        </w:rPr>
        <w:t xml:space="preserve">, N. Q., Edwards, C. A., Bierman, P., Metzger, J. D., &amp; Lucht, C. (2005). Effects of </w:t>
      </w:r>
      <w:proofErr w:type="spellStart"/>
      <w:r w:rsidRPr="00134B6C">
        <w:rPr>
          <w:rFonts w:ascii="Times New Roman" w:hAnsi="Times New Roman" w:cs="Times New Roman"/>
          <w:sz w:val="24"/>
          <w:szCs w:val="24"/>
        </w:rPr>
        <w:t>vermicomposts</w:t>
      </w:r>
      <w:proofErr w:type="spellEnd"/>
      <w:r w:rsidRPr="00134B6C">
        <w:rPr>
          <w:rFonts w:ascii="Times New Roman" w:hAnsi="Times New Roman" w:cs="Times New Roman"/>
          <w:sz w:val="24"/>
          <w:szCs w:val="24"/>
        </w:rPr>
        <w:t xml:space="preserve"> produced from cattle manure, food waste and paper waste on the growth and yield of peppers in the field. </w:t>
      </w:r>
      <w:proofErr w:type="spellStart"/>
      <w:r w:rsidRPr="00134B6C">
        <w:rPr>
          <w:rFonts w:ascii="Times New Roman" w:hAnsi="Times New Roman" w:cs="Times New Roman"/>
          <w:sz w:val="24"/>
          <w:szCs w:val="24"/>
        </w:rPr>
        <w:t>Pedobiologia</w:t>
      </w:r>
      <w:proofErr w:type="spellEnd"/>
      <w:r w:rsidRPr="00134B6C">
        <w:rPr>
          <w:rFonts w:ascii="Times New Roman" w:hAnsi="Times New Roman" w:cs="Times New Roman"/>
          <w:sz w:val="24"/>
          <w:szCs w:val="24"/>
        </w:rPr>
        <w:t>, 49(4), 297–306. https://doi.org/10.1016/j.pedobi.2005.02.001</w:t>
      </w:r>
    </w:p>
    <w:p w14:paraId="0FF73C24" w14:textId="4EC0BC7D" w:rsidR="00731E58"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lastRenderedPageBreak/>
        <w:t xml:space="preserve">Chandra, M. S., Naresh, R. K., Vivek, Singh, S. P., Purushottam, Kumar, V., Jat, P. C., &amp; Tiwari, H. (2021). Effect of planting techniques and nutrient management options on crop productivity and soil health of wet rice (Oryza sativa L.) in Typic </w:t>
      </w:r>
      <w:proofErr w:type="spellStart"/>
      <w:r w:rsidRPr="00134B6C">
        <w:rPr>
          <w:rFonts w:ascii="Times New Roman" w:hAnsi="Times New Roman" w:cs="Times New Roman"/>
          <w:sz w:val="24"/>
          <w:szCs w:val="24"/>
        </w:rPr>
        <w:t>Ustochrept</w:t>
      </w:r>
      <w:proofErr w:type="spellEnd"/>
      <w:r w:rsidRPr="00134B6C">
        <w:rPr>
          <w:rFonts w:ascii="Times New Roman" w:hAnsi="Times New Roman" w:cs="Times New Roman"/>
          <w:sz w:val="24"/>
          <w:szCs w:val="24"/>
        </w:rPr>
        <w:t xml:space="preserve"> soils. *International Journal of Plant &amp; Soil Science*, *33*(22), 39–54. https://doi.org/10.9734/ijpss/2021/v33i2230681</w:t>
      </w:r>
      <w:r w:rsidR="00731E58" w:rsidRPr="00134B6C">
        <w:rPr>
          <w:rFonts w:ascii="Times New Roman" w:hAnsi="Times New Roman" w:cs="Times New Roman"/>
          <w:sz w:val="24"/>
          <w:szCs w:val="24"/>
        </w:rPr>
        <w:t>.</w:t>
      </w:r>
    </w:p>
    <w:p w14:paraId="1ACAEFF2" w14:textId="6005AA00" w:rsidR="00731E58"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 xml:space="preserve">Daniel, O., &amp; Anderson, J. M. (1992). Microbial biomass and activity in contrasting soil materials after passage through the gut of the earthworm </w:t>
      </w:r>
      <w:proofErr w:type="spellStart"/>
      <w:r w:rsidRPr="00134B6C">
        <w:rPr>
          <w:rFonts w:ascii="Times New Roman" w:hAnsi="Times New Roman" w:cs="Times New Roman"/>
          <w:sz w:val="24"/>
          <w:szCs w:val="24"/>
        </w:rPr>
        <w:t>Lumbricus</w:t>
      </w:r>
      <w:proofErr w:type="spellEnd"/>
      <w:r w:rsidRPr="00134B6C">
        <w:rPr>
          <w:rFonts w:ascii="Times New Roman" w:hAnsi="Times New Roman" w:cs="Times New Roman"/>
          <w:sz w:val="24"/>
          <w:szCs w:val="24"/>
        </w:rPr>
        <w:t xml:space="preserve"> </w:t>
      </w:r>
      <w:proofErr w:type="spellStart"/>
      <w:r w:rsidRPr="00134B6C">
        <w:rPr>
          <w:rFonts w:ascii="Times New Roman" w:hAnsi="Times New Roman" w:cs="Times New Roman"/>
          <w:sz w:val="24"/>
          <w:szCs w:val="24"/>
        </w:rPr>
        <w:t>rubellus</w:t>
      </w:r>
      <w:proofErr w:type="spellEnd"/>
      <w:r w:rsidRPr="00134B6C">
        <w:rPr>
          <w:rFonts w:ascii="Times New Roman" w:hAnsi="Times New Roman" w:cs="Times New Roman"/>
          <w:sz w:val="24"/>
          <w:szCs w:val="24"/>
        </w:rPr>
        <w:t xml:space="preserve"> Hoffmeister. Soil Biology and Biochemistry, 24(5), 465–470. https://doi.org/10.1016/0038-0717(92)90209-g</w:t>
      </w:r>
      <w:r w:rsidR="00731E58" w:rsidRPr="00134B6C">
        <w:rPr>
          <w:rFonts w:ascii="Times New Roman" w:hAnsi="Times New Roman" w:cs="Times New Roman"/>
          <w:sz w:val="24"/>
          <w:szCs w:val="24"/>
        </w:rPr>
        <w:t>.</w:t>
      </w:r>
    </w:p>
    <w:p w14:paraId="7663D999" w14:textId="319C2E1F" w:rsidR="00731E58"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Darjee, S., Shrivastava, M., Langyan, S., Singh, G., Pandey, R., Sharma, A., Khandelwal, A., &amp; Singh, R. (2023). Integrated nutrient management reduced the nutrient losses and increased crop yield in irrigated wheat. Archives of Agronomy and Soil Science, 69(8), 1298–1309. https://doi.org/10.1080/03650340.2022.2084535</w:t>
      </w:r>
      <w:r w:rsidR="00731E58" w:rsidRPr="00134B6C">
        <w:rPr>
          <w:rFonts w:ascii="Times New Roman" w:hAnsi="Times New Roman" w:cs="Times New Roman"/>
          <w:sz w:val="24"/>
          <w:szCs w:val="24"/>
        </w:rPr>
        <w:t>.</w:t>
      </w:r>
    </w:p>
    <w:p w14:paraId="6F9FB5BF" w14:textId="474DC800" w:rsidR="00731E58"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Dhanda, S., Yadav, A., Yadav, D. B., &amp; Chauhan, B. S. (2022). Emerging issues and potential opportunities in the rice–wheat cropping system of North-Western India. Frontiers in Plant Science, 13, 832683. https://doi.org/10.3389/fpls.2022.832683</w:t>
      </w:r>
      <w:r w:rsidR="00731E58" w:rsidRPr="00134B6C">
        <w:rPr>
          <w:rFonts w:ascii="Times New Roman" w:hAnsi="Times New Roman" w:cs="Times New Roman"/>
          <w:sz w:val="24"/>
          <w:szCs w:val="24"/>
        </w:rPr>
        <w:t>.</w:t>
      </w:r>
    </w:p>
    <w:p w14:paraId="5D0C4144" w14:textId="38B7AA2A" w:rsidR="00731E58"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Ganguly, B., Imayavaramban, V., &amp; Murugan, G. (2019). Effect of integrated nutrient management on rice yield parameter's and nutrient uptake. *Journal of Pharmacognosy and Phytochemistry*, *8*(3), 3910–3912. https://www.phytojournal.com/archives/2019/vol8issue3/PartAY/8-3-10-900.pdf</w:t>
      </w:r>
      <w:r w:rsidR="00731E58" w:rsidRPr="00134B6C">
        <w:rPr>
          <w:rFonts w:ascii="Times New Roman" w:hAnsi="Times New Roman" w:cs="Times New Roman"/>
          <w:sz w:val="24"/>
          <w:szCs w:val="24"/>
        </w:rPr>
        <w:t>.</w:t>
      </w:r>
    </w:p>
    <w:p w14:paraId="3A30C8A9" w14:textId="1DF8D34D" w:rsidR="00731E58"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Glauber, J. W., &amp; Mamun, A. (2024). Global rice market: Current outlook and future prospects. IFPRI Discussion Paper 2310. International Food Policy Research Institute. https://hdl.handle.net/10568/168523</w:t>
      </w:r>
    </w:p>
    <w:p w14:paraId="7C8ED801" w14:textId="01C64AE3" w:rsidR="00731E58"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 xml:space="preserve">Imade, S. R., Thanki, J. D., </w:t>
      </w:r>
      <w:proofErr w:type="spellStart"/>
      <w:r w:rsidRPr="00134B6C">
        <w:rPr>
          <w:rFonts w:ascii="Times New Roman" w:hAnsi="Times New Roman" w:cs="Times New Roman"/>
          <w:sz w:val="24"/>
          <w:szCs w:val="24"/>
        </w:rPr>
        <w:t>Phajage</w:t>
      </w:r>
      <w:proofErr w:type="spellEnd"/>
      <w:r w:rsidRPr="00134B6C">
        <w:rPr>
          <w:rFonts w:ascii="Times New Roman" w:hAnsi="Times New Roman" w:cs="Times New Roman"/>
          <w:sz w:val="24"/>
          <w:szCs w:val="24"/>
        </w:rPr>
        <w:t xml:space="preserve">, S. K., &amp; </w:t>
      </w:r>
      <w:proofErr w:type="spellStart"/>
      <w:r w:rsidRPr="00134B6C">
        <w:rPr>
          <w:rFonts w:ascii="Times New Roman" w:hAnsi="Times New Roman" w:cs="Times New Roman"/>
          <w:sz w:val="24"/>
          <w:szCs w:val="24"/>
        </w:rPr>
        <w:t>Nandapure</w:t>
      </w:r>
      <w:proofErr w:type="spellEnd"/>
      <w:r w:rsidRPr="00134B6C">
        <w:rPr>
          <w:rFonts w:ascii="Times New Roman" w:hAnsi="Times New Roman" w:cs="Times New Roman"/>
          <w:sz w:val="24"/>
          <w:szCs w:val="24"/>
        </w:rPr>
        <w:t>, S. P. (2017). Effect of integrated nutrient management on growth, yield and quality of rice. *Bulletin of Environment, Pharmacology and Life Sciences, 6*(3), 352–355. http://www.bepls.com/archives.html</w:t>
      </w:r>
      <w:r w:rsidR="00731E58" w:rsidRPr="00134B6C">
        <w:rPr>
          <w:rFonts w:ascii="Times New Roman" w:hAnsi="Times New Roman" w:cs="Times New Roman"/>
          <w:sz w:val="24"/>
          <w:szCs w:val="24"/>
        </w:rPr>
        <w:t>.</w:t>
      </w:r>
    </w:p>
    <w:p w14:paraId="0F018BB0" w14:textId="77777777" w:rsidR="00731E58" w:rsidRPr="00134B6C" w:rsidRDefault="00731E58"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Jackson, R. D. (1973). Diurnal changes in soil water content during drying. Field Soil Water Regime 5: 37–55.</w:t>
      </w:r>
    </w:p>
    <w:p w14:paraId="6879528A" w14:textId="7586197E" w:rsidR="00287630"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 xml:space="preserve">Kumar, K. Y., Singh, V., Singh, S. K., &amp; George, S. G. (2022). Assessment of rice (Oryza sativa L.) hybrids on growth and yield under </w:t>
      </w:r>
      <w:proofErr w:type="spellStart"/>
      <w:r w:rsidRPr="00134B6C">
        <w:rPr>
          <w:rFonts w:ascii="Times New Roman" w:hAnsi="Times New Roman" w:cs="Times New Roman"/>
          <w:sz w:val="24"/>
          <w:szCs w:val="24"/>
        </w:rPr>
        <w:t>agro</w:t>
      </w:r>
      <w:proofErr w:type="spellEnd"/>
      <w:r w:rsidRPr="00134B6C">
        <w:rPr>
          <w:rFonts w:ascii="Times New Roman" w:hAnsi="Times New Roman" w:cs="Times New Roman"/>
          <w:sz w:val="24"/>
          <w:szCs w:val="24"/>
        </w:rPr>
        <w:t xml:space="preserve">-climatic conditions of </w:t>
      </w:r>
      <w:proofErr w:type="spellStart"/>
      <w:r w:rsidRPr="00134B6C">
        <w:rPr>
          <w:rFonts w:ascii="Times New Roman" w:hAnsi="Times New Roman" w:cs="Times New Roman"/>
          <w:sz w:val="24"/>
          <w:szCs w:val="24"/>
        </w:rPr>
        <w:t>Prayagraj</w:t>
      </w:r>
      <w:proofErr w:type="spellEnd"/>
      <w:r w:rsidRPr="00134B6C">
        <w:rPr>
          <w:rFonts w:ascii="Times New Roman" w:hAnsi="Times New Roman" w:cs="Times New Roman"/>
          <w:sz w:val="24"/>
          <w:szCs w:val="24"/>
        </w:rPr>
        <w:t xml:space="preserve">, U.P. International Journal of Plant &amp; Soil Science, 34(18), 45–49. </w:t>
      </w:r>
      <w:hyperlink r:id="rId8" w:history="1">
        <w:r w:rsidRPr="00134B6C">
          <w:rPr>
            <w:rStyle w:val="Hyperlink"/>
            <w:rFonts w:ascii="Times New Roman" w:hAnsi="Times New Roman" w:cs="Times New Roman"/>
            <w:sz w:val="24"/>
            <w:szCs w:val="24"/>
          </w:rPr>
          <w:t>https://doi.org/10.9734/ijpss/2022/v34i1831051</w:t>
        </w:r>
      </w:hyperlink>
    </w:p>
    <w:p w14:paraId="2CEF1430" w14:textId="2B4F4764" w:rsidR="00287630"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lastRenderedPageBreak/>
        <w:t xml:space="preserve">Kumar, K., Sridhara, C. J., &amp; Nandini, K. M. (2018). Effect of integrated use of organic and inorganic fertilizers on soil fertility and uptake of nutrients in aerobic rice (Oryza sativa L.). International Journal of Chemical Studies, 6(4), 417–421. </w:t>
      </w:r>
      <w:hyperlink r:id="rId9" w:history="1">
        <w:r w:rsidRPr="00134B6C">
          <w:rPr>
            <w:rStyle w:val="Hyperlink"/>
            <w:rFonts w:ascii="Times New Roman" w:hAnsi="Times New Roman" w:cs="Times New Roman"/>
            <w:sz w:val="24"/>
            <w:szCs w:val="24"/>
          </w:rPr>
          <w:t>https://www.chemijournal.com/archives/2018/vol6issue4/PartG/6-4-10-700.pdf</w:t>
        </w:r>
      </w:hyperlink>
    </w:p>
    <w:p w14:paraId="065BD56B" w14:textId="50FAE68F" w:rsidR="00287630"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 xml:space="preserve">Shivangi, O., Singh, O., Singh, P. K., Shahi, U. P., Kumar, P., Singh, K. K., Singh, S., Singh, V., &amp; Tyagi, A. (2025). Impact of various integrated nutrient modules on rice (Oryza sativa L) varieties: Crop productivity, nutrient uptake and profitability under SRI method. Journal of Experimental Agriculture International, 47(5), 76–87. </w:t>
      </w:r>
      <w:hyperlink r:id="rId10" w:history="1">
        <w:r w:rsidRPr="00134B6C">
          <w:rPr>
            <w:rStyle w:val="Hyperlink"/>
            <w:rFonts w:ascii="Times New Roman" w:hAnsi="Times New Roman" w:cs="Times New Roman"/>
            <w:sz w:val="24"/>
            <w:szCs w:val="24"/>
          </w:rPr>
          <w:t>https://doi.org/10.9734/jeai/2025/v47i53398</w:t>
        </w:r>
      </w:hyperlink>
    </w:p>
    <w:p w14:paraId="009F5608" w14:textId="5F3FA98F" w:rsidR="00287630"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 xml:space="preserve">Mohana Rao Puli, P. R. K. Prasad, Jayalakshmi, M., &amp; Srihari Rao, B. (2017). Effect of organic and inorganic sources of nutrients on NPK uptake by rice crop at various growth periods. Research Journal of Agricultural Sciences, 8, 64–69. </w:t>
      </w:r>
      <w:hyperlink r:id="rId11" w:history="1">
        <w:r w:rsidRPr="00134B6C">
          <w:rPr>
            <w:rStyle w:val="Hyperlink"/>
            <w:rFonts w:ascii="Times New Roman" w:hAnsi="Times New Roman" w:cs="Times New Roman"/>
            <w:sz w:val="24"/>
            <w:szCs w:val="24"/>
          </w:rPr>
          <w:t>https://osf.io/preprints/osf/3258-0403-2016-013</w:t>
        </w:r>
      </w:hyperlink>
    </w:p>
    <w:p w14:paraId="405D4767" w14:textId="7EE12796" w:rsidR="00287630"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 xml:space="preserve">Pilli, K., Jaison, M., &amp; Sridhar, D. (2019). Vermicomposting and its uses in sustainable agriculture. In Research Trends in Agriculture Sciences (pp. 75–88). </w:t>
      </w:r>
      <w:proofErr w:type="spellStart"/>
      <w:r w:rsidRPr="00134B6C">
        <w:rPr>
          <w:rFonts w:ascii="Times New Roman" w:hAnsi="Times New Roman" w:cs="Times New Roman"/>
          <w:sz w:val="24"/>
          <w:szCs w:val="24"/>
        </w:rPr>
        <w:t>AkiNik</w:t>
      </w:r>
      <w:proofErr w:type="spellEnd"/>
      <w:r w:rsidRPr="00134B6C">
        <w:rPr>
          <w:rFonts w:ascii="Times New Roman" w:hAnsi="Times New Roman" w:cs="Times New Roman"/>
          <w:sz w:val="24"/>
          <w:szCs w:val="24"/>
        </w:rPr>
        <w:t xml:space="preserve"> Publications. </w:t>
      </w:r>
      <w:hyperlink r:id="rId12" w:history="1">
        <w:r w:rsidRPr="00134B6C">
          <w:rPr>
            <w:rStyle w:val="Hyperlink"/>
            <w:rFonts w:ascii="Times New Roman" w:hAnsi="Times New Roman" w:cs="Times New Roman"/>
            <w:sz w:val="24"/>
            <w:szCs w:val="24"/>
          </w:rPr>
          <w:t>https://www.researchgate.net/publication/335378138_Vermicomposting_and_its_uses_in_Sustainable_Agriculture</w:t>
        </w:r>
      </w:hyperlink>
    </w:p>
    <w:p w14:paraId="413B19E8" w14:textId="596AB98C" w:rsidR="00287630"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 xml:space="preserve">Prasad, R., Shivay, Y. S., &amp; Kumar, D. (2017). Current status, challenges, and opportunities in rice production. In B. Chauhan, K. Jabran, &amp; G. Mahajan (Eds.), Rice Production Worldwide (pp. 1-32). Springer, Cham. </w:t>
      </w:r>
      <w:hyperlink r:id="rId13" w:history="1">
        <w:r w:rsidRPr="00134B6C">
          <w:rPr>
            <w:rStyle w:val="Hyperlink"/>
            <w:rFonts w:ascii="Times New Roman" w:hAnsi="Times New Roman" w:cs="Times New Roman"/>
            <w:sz w:val="24"/>
            <w:szCs w:val="24"/>
          </w:rPr>
          <w:t>https://doi.org/10.1007/978-3-319-47516-5_1</w:t>
        </w:r>
      </w:hyperlink>
    </w:p>
    <w:p w14:paraId="57EE19EB" w14:textId="519C1248" w:rsidR="00287630"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 xml:space="preserve">Ram, M. S., Shankar, T., Maitra, S., Adhikary, R., &amp; Swamy, G. V. V. S. N. (2020). Productivity, nutrient uptake and nutrient use efficiency of summer rice (Oryza sativa) as influenced by integrated nutrient management practices. Crop Research, 55(3 and 4), 65–72. </w:t>
      </w:r>
      <w:hyperlink r:id="rId14" w:history="1">
        <w:r w:rsidRPr="00134B6C">
          <w:rPr>
            <w:rStyle w:val="Hyperlink"/>
            <w:rFonts w:ascii="Times New Roman" w:hAnsi="Times New Roman" w:cs="Times New Roman"/>
            <w:sz w:val="24"/>
            <w:szCs w:val="24"/>
          </w:rPr>
          <w:t>https://doi.org/10.31830/2454-1761.2020.013</w:t>
        </w:r>
      </w:hyperlink>
    </w:p>
    <w:p w14:paraId="3AE04D7D" w14:textId="665EA508" w:rsidR="00731E58" w:rsidRPr="00134B6C" w:rsidRDefault="00731E58"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 xml:space="preserve">Sekhar, D., Pradeep Kumar, P. B. and </w:t>
      </w:r>
      <w:proofErr w:type="spellStart"/>
      <w:r w:rsidRPr="00134B6C">
        <w:rPr>
          <w:rFonts w:ascii="Times New Roman" w:hAnsi="Times New Roman" w:cs="Times New Roman"/>
          <w:sz w:val="24"/>
          <w:szCs w:val="24"/>
        </w:rPr>
        <w:t>Tejeswara</w:t>
      </w:r>
      <w:proofErr w:type="spellEnd"/>
      <w:r w:rsidRPr="00134B6C">
        <w:rPr>
          <w:rFonts w:ascii="Times New Roman" w:hAnsi="Times New Roman" w:cs="Times New Roman"/>
          <w:sz w:val="24"/>
          <w:szCs w:val="24"/>
        </w:rPr>
        <w:t xml:space="preserve"> Rao, K. (2014). Effect of coffee husk compost on growth and yield of paddy. Journal of Academia and Industrial Research 3(4): 195–197.</w:t>
      </w:r>
    </w:p>
    <w:p w14:paraId="2DD39FE4" w14:textId="092CAD14" w:rsidR="00287630" w:rsidRPr="00134B6C" w:rsidRDefault="00287630" w:rsidP="00134B6C">
      <w:pPr>
        <w:spacing w:line="360" w:lineRule="auto"/>
        <w:jc w:val="both"/>
        <w:rPr>
          <w:rFonts w:ascii="Times New Roman" w:hAnsi="Times New Roman" w:cs="Times New Roman"/>
          <w:sz w:val="24"/>
          <w:szCs w:val="24"/>
        </w:rPr>
      </w:pPr>
      <w:proofErr w:type="spellStart"/>
      <w:r w:rsidRPr="00134B6C">
        <w:rPr>
          <w:rFonts w:ascii="Times New Roman" w:hAnsi="Times New Roman" w:cs="Times New Roman"/>
          <w:sz w:val="24"/>
          <w:szCs w:val="24"/>
        </w:rPr>
        <w:t>Shultana</w:t>
      </w:r>
      <w:proofErr w:type="spellEnd"/>
      <w:r w:rsidRPr="00134B6C">
        <w:rPr>
          <w:rFonts w:ascii="Times New Roman" w:hAnsi="Times New Roman" w:cs="Times New Roman"/>
          <w:sz w:val="24"/>
          <w:szCs w:val="24"/>
        </w:rPr>
        <w:t xml:space="preserve">, R., Othman, R., Zuan, A. T. K., &amp; Yusop, M. R. (2019). Evaluation of growth and nutrient uptake of rice genotypes under different levels of salinity. Res. Crops, 20(1), 1–9. </w:t>
      </w:r>
      <w:hyperlink r:id="rId15" w:history="1">
        <w:r w:rsidRPr="00134B6C">
          <w:rPr>
            <w:rStyle w:val="Hyperlink"/>
            <w:rFonts w:ascii="Times New Roman" w:hAnsi="Times New Roman" w:cs="Times New Roman"/>
            <w:sz w:val="24"/>
            <w:szCs w:val="24"/>
          </w:rPr>
          <w:t>https://doi.org/10.31830/2348-7542.2019.001</w:t>
        </w:r>
      </w:hyperlink>
    </w:p>
    <w:p w14:paraId="69F2626C" w14:textId="22ABA487" w:rsidR="00731E58" w:rsidRPr="00134B6C" w:rsidRDefault="00731E58"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lastRenderedPageBreak/>
        <w:t>Singh, A. K. (2017). Effect of balanced use of nutrient on productivity and economics of wheat. Annals of Plant and Soil Research 19(1): 105–109.</w:t>
      </w:r>
    </w:p>
    <w:p w14:paraId="1BB61F6A" w14:textId="001F450A" w:rsidR="00287630"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 xml:space="preserve">Singh, M., Dotaniya, M. L., Mishra, A., </w:t>
      </w:r>
      <w:proofErr w:type="spellStart"/>
      <w:r w:rsidRPr="00134B6C">
        <w:rPr>
          <w:rFonts w:ascii="Times New Roman" w:hAnsi="Times New Roman" w:cs="Times New Roman"/>
          <w:sz w:val="24"/>
          <w:szCs w:val="24"/>
        </w:rPr>
        <w:t>Dotaniya</w:t>
      </w:r>
      <w:proofErr w:type="spellEnd"/>
      <w:r w:rsidRPr="00134B6C">
        <w:rPr>
          <w:rFonts w:ascii="Times New Roman" w:hAnsi="Times New Roman" w:cs="Times New Roman"/>
          <w:sz w:val="24"/>
          <w:szCs w:val="24"/>
        </w:rPr>
        <w:t xml:space="preserve">, C. K., Regar, K. L., &amp; Lata, M. (2016). Role of biofertilizers in conservation agriculture. In J. Bisht, V. Meena, P. Mishra, &amp; A. </w:t>
      </w:r>
      <w:proofErr w:type="spellStart"/>
      <w:r w:rsidRPr="00134B6C">
        <w:rPr>
          <w:rFonts w:ascii="Times New Roman" w:hAnsi="Times New Roman" w:cs="Times New Roman"/>
          <w:sz w:val="24"/>
          <w:szCs w:val="24"/>
        </w:rPr>
        <w:t>Pattanayak</w:t>
      </w:r>
      <w:proofErr w:type="spellEnd"/>
      <w:r w:rsidRPr="00134B6C">
        <w:rPr>
          <w:rFonts w:ascii="Times New Roman" w:hAnsi="Times New Roman" w:cs="Times New Roman"/>
          <w:sz w:val="24"/>
          <w:szCs w:val="24"/>
        </w:rPr>
        <w:t xml:space="preserve"> (Eds.), Conservation Agriculture. Springer, Singapore. </w:t>
      </w:r>
      <w:hyperlink r:id="rId16" w:history="1">
        <w:r w:rsidRPr="00134B6C">
          <w:rPr>
            <w:rStyle w:val="Hyperlink"/>
            <w:rFonts w:ascii="Times New Roman" w:hAnsi="Times New Roman" w:cs="Times New Roman"/>
            <w:sz w:val="24"/>
            <w:szCs w:val="24"/>
          </w:rPr>
          <w:t>https://doi.org/10.1007/978-981-10-2558-7_4</w:t>
        </w:r>
      </w:hyperlink>
    </w:p>
    <w:p w14:paraId="05051148" w14:textId="305DDB63" w:rsidR="00731E58" w:rsidRPr="00134B6C" w:rsidRDefault="00731E58"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Singh, V. P., Pal, B. and Sharma, Y. K. (2013). Response of rice to nitrogen and zinc application irrigated with saline water. Environment and Ecology 31(1A): 344–349.</w:t>
      </w:r>
    </w:p>
    <w:p w14:paraId="223DF040" w14:textId="23248F42" w:rsidR="00287630"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 xml:space="preserve">Thakur, A. K., Mandal, K. G., &amp; Raychaudhuri, S. (2020). Impact of crop and nutrient management on crop growth and yield, nutrient uptake and content in rice. Paddy and Water Environment, 18(1), 139–151. </w:t>
      </w:r>
      <w:hyperlink r:id="rId17" w:history="1">
        <w:r w:rsidRPr="00134B6C">
          <w:rPr>
            <w:rStyle w:val="Hyperlink"/>
            <w:rFonts w:ascii="Times New Roman" w:hAnsi="Times New Roman" w:cs="Times New Roman"/>
            <w:sz w:val="24"/>
            <w:szCs w:val="24"/>
          </w:rPr>
          <w:t>https://doi.org/10.1007/s10333-019-00770-x</w:t>
        </w:r>
      </w:hyperlink>
    </w:p>
    <w:p w14:paraId="15487676" w14:textId="0577A304" w:rsidR="00287630"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 xml:space="preserve">Vishwanathan, K., &amp; </w:t>
      </w:r>
      <w:proofErr w:type="spellStart"/>
      <w:r w:rsidRPr="00134B6C">
        <w:rPr>
          <w:rFonts w:ascii="Times New Roman" w:hAnsi="Times New Roman" w:cs="Times New Roman"/>
          <w:sz w:val="24"/>
          <w:szCs w:val="24"/>
        </w:rPr>
        <w:t>Singaravel</w:t>
      </w:r>
      <w:proofErr w:type="spellEnd"/>
      <w:r w:rsidRPr="00134B6C">
        <w:rPr>
          <w:rFonts w:ascii="Times New Roman" w:hAnsi="Times New Roman" w:cs="Times New Roman"/>
          <w:sz w:val="24"/>
          <w:szCs w:val="24"/>
        </w:rPr>
        <w:t xml:space="preserve">, R. (2016). Effect of clay and organic amendments on yield and nutrient uptake of rice in coastal sandy soil. Crop Research, 51, 24–27. </w:t>
      </w:r>
      <w:hyperlink r:id="rId18" w:history="1">
        <w:r w:rsidRPr="00134B6C">
          <w:rPr>
            <w:rStyle w:val="Hyperlink"/>
            <w:rFonts w:ascii="Times New Roman" w:hAnsi="Times New Roman" w:cs="Times New Roman"/>
            <w:sz w:val="24"/>
            <w:szCs w:val="24"/>
          </w:rPr>
          <w:t>https://www.gauravpublications.com/</w:t>
        </w:r>
      </w:hyperlink>
    </w:p>
    <w:p w14:paraId="2ECE0530" w14:textId="50AEF864" w:rsidR="00287630" w:rsidRPr="00134B6C" w:rsidRDefault="00287630" w:rsidP="00134B6C">
      <w:pPr>
        <w:spacing w:line="360" w:lineRule="auto"/>
        <w:jc w:val="both"/>
        <w:rPr>
          <w:rFonts w:ascii="Times New Roman" w:hAnsi="Times New Roman" w:cs="Times New Roman"/>
          <w:sz w:val="24"/>
          <w:szCs w:val="24"/>
        </w:rPr>
      </w:pPr>
      <w:r w:rsidRPr="00134B6C">
        <w:rPr>
          <w:rFonts w:ascii="Times New Roman" w:hAnsi="Times New Roman" w:cs="Times New Roman"/>
          <w:sz w:val="24"/>
          <w:szCs w:val="24"/>
        </w:rPr>
        <w:t xml:space="preserve">Wolie, A. W., &amp; Admassu, M. A. (2016). Effects of integrated nutrient management on rice (Oryza sativa L.) yield and yield attributes, nutrient uptake and some physicochemical properties of soil: A review. Journal of Biology, Agriculture and Healthcare, 6(5), 20–26. </w:t>
      </w:r>
      <w:hyperlink r:id="rId19" w:history="1">
        <w:r w:rsidRPr="00134B6C">
          <w:rPr>
            <w:rStyle w:val="Hyperlink"/>
            <w:rFonts w:ascii="Times New Roman" w:hAnsi="Times New Roman" w:cs="Times New Roman"/>
            <w:sz w:val="24"/>
            <w:szCs w:val="24"/>
          </w:rPr>
          <w:t>https://www.iiste.org/Journals/index.php/JBAH/article/view/30400</w:t>
        </w:r>
      </w:hyperlink>
    </w:p>
    <w:p w14:paraId="02C6E152" w14:textId="7479DF64" w:rsidR="002F1A8F" w:rsidRDefault="00287630" w:rsidP="00134B6C">
      <w:r w:rsidRPr="00134B6C">
        <w:rPr>
          <w:rFonts w:ascii="Times New Roman" w:hAnsi="Times New Roman" w:cs="Times New Roman"/>
          <w:sz w:val="24"/>
          <w:szCs w:val="24"/>
        </w:rPr>
        <w:t>Yadav, S., Lal, M., Naresh, R. K., Yadav, R. B., Yadav, A. K., Yadav, K. G., ... Rajput, P. (2019). Effect of organic and inorganic nutrient sources on productivity, grain quality of rice and soil health in north-west IGP: A review. *International Journal of Current Microbiology and Applied Sciences*, *8*(12), 2488–2514. https://doi.org/10.20546/ijcmas.2019.812.293</w:t>
      </w:r>
    </w:p>
    <w:p w14:paraId="4FFCFAFC" w14:textId="77777777" w:rsidR="00C07434" w:rsidRDefault="00C07434" w:rsidP="002F1A8F"/>
    <w:p w14:paraId="190A4E9D" w14:textId="77777777" w:rsidR="00C07434" w:rsidRDefault="00C07434" w:rsidP="002F1A8F"/>
    <w:p w14:paraId="4E8FE364" w14:textId="77777777" w:rsidR="00C07434" w:rsidRDefault="00C07434" w:rsidP="002F1A8F"/>
    <w:p w14:paraId="5D1115F4" w14:textId="77777777" w:rsidR="00C07434" w:rsidRDefault="00C07434" w:rsidP="002F1A8F"/>
    <w:p w14:paraId="2FE3BAD7" w14:textId="77777777" w:rsidR="00C07434" w:rsidRDefault="00C07434" w:rsidP="002F1A8F"/>
    <w:p w14:paraId="2ACDD13E" w14:textId="77777777" w:rsidR="00C07434" w:rsidRDefault="00C07434" w:rsidP="002F1A8F"/>
    <w:p w14:paraId="388F3807" w14:textId="77777777" w:rsidR="00C07434" w:rsidRDefault="00C07434" w:rsidP="002F1A8F"/>
    <w:p w14:paraId="6BBB0B69" w14:textId="77777777" w:rsidR="00C07434" w:rsidRDefault="00C07434" w:rsidP="002F1A8F"/>
    <w:p w14:paraId="171FFD1A" w14:textId="77777777" w:rsidR="00C07434" w:rsidRDefault="00C07434" w:rsidP="002F1A8F"/>
    <w:p w14:paraId="7400D19E" w14:textId="77777777" w:rsidR="00C07434" w:rsidRDefault="00C07434" w:rsidP="002F1A8F"/>
    <w:p w14:paraId="039ABFCA" w14:textId="77777777" w:rsidR="00C07434" w:rsidRDefault="00C07434" w:rsidP="002F1A8F"/>
    <w:p w14:paraId="6C11DBA3" w14:textId="77777777" w:rsidR="00C07434" w:rsidRDefault="00C07434" w:rsidP="002F1A8F"/>
    <w:p w14:paraId="742A0018" w14:textId="77777777" w:rsidR="00C07434" w:rsidRDefault="00C07434" w:rsidP="002F1A8F"/>
    <w:p w14:paraId="1D068FF7" w14:textId="77777777" w:rsidR="00C07434" w:rsidRDefault="00C07434" w:rsidP="002F1A8F"/>
    <w:p w14:paraId="31F30ED0" w14:textId="77777777" w:rsidR="00C07434" w:rsidRDefault="00C07434" w:rsidP="002F1A8F"/>
    <w:p w14:paraId="1BD38950" w14:textId="77777777" w:rsidR="00C07434" w:rsidRDefault="00C07434" w:rsidP="002F1A8F"/>
    <w:p w14:paraId="59162512" w14:textId="77777777" w:rsidR="00C07434" w:rsidRDefault="00C07434" w:rsidP="002F1A8F"/>
    <w:p w14:paraId="284E009B" w14:textId="77777777" w:rsidR="00C07434" w:rsidRDefault="00C07434" w:rsidP="002F1A8F"/>
    <w:p w14:paraId="0B727DDA" w14:textId="77777777" w:rsidR="00C07434" w:rsidRDefault="00C07434" w:rsidP="002F1A8F"/>
    <w:p w14:paraId="000D1D45" w14:textId="77777777" w:rsidR="00C07434" w:rsidRDefault="00C07434" w:rsidP="002F1A8F"/>
    <w:p w14:paraId="36E54D5F" w14:textId="77777777" w:rsidR="00C07434" w:rsidRDefault="00C07434" w:rsidP="002F1A8F"/>
    <w:p w14:paraId="509F933D" w14:textId="77777777" w:rsidR="00C07434" w:rsidRDefault="00C07434" w:rsidP="002F1A8F"/>
    <w:p w14:paraId="7ECC0B76" w14:textId="77777777" w:rsidR="00C07434" w:rsidRDefault="00C07434" w:rsidP="002F1A8F"/>
    <w:p w14:paraId="6C31E6E2" w14:textId="77777777" w:rsidR="00C07434" w:rsidRDefault="00C07434" w:rsidP="002F1A8F"/>
    <w:p w14:paraId="5464FA34" w14:textId="77777777" w:rsidR="00C07434" w:rsidRDefault="00C07434" w:rsidP="002F1A8F"/>
    <w:p w14:paraId="578D1919" w14:textId="77777777" w:rsidR="00C07434" w:rsidRDefault="00C07434" w:rsidP="002F1A8F"/>
    <w:p w14:paraId="76612FC6" w14:textId="77777777" w:rsidR="00C07434" w:rsidRDefault="00C07434" w:rsidP="002F1A8F"/>
    <w:p w14:paraId="347CCDFA" w14:textId="77777777" w:rsidR="00C07434" w:rsidRDefault="00C07434" w:rsidP="002F1A8F">
      <w:pPr>
        <w:sectPr w:rsidR="00C0743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pPr>
    </w:p>
    <w:p w14:paraId="5E7F4671" w14:textId="0894D2D5" w:rsidR="004B5AA8" w:rsidRPr="008838E0" w:rsidRDefault="004B5AA8" w:rsidP="004B5AA8">
      <w:pPr>
        <w:pStyle w:val="Caption"/>
        <w:keepNext/>
        <w:rPr>
          <w:rFonts w:ascii="Times New Roman" w:hAnsi="Times New Roman" w:cs="Times New Roman"/>
          <w:b/>
          <w:bCs/>
          <w:i w:val="0"/>
          <w:iCs w:val="0"/>
          <w:color w:val="000000" w:themeColor="text1"/>
          <w:sz w:val="24"/>
          <w:szCs w:val="24"/>
        </w:rPr>
      </w:pPr>
      <w:bookmarkStart w:id="1" w:name="_Hlk198761279"/>
      <w:r>
        <w:rPr>
          <w:rFonts w:ascii="Times New Roman" w:hAnsi="Times New Roman" w:cs="Times New Roman"/>
          <w:b/>
          <w:bCs/>
          <w:i w:val="0"/>
          <w:iCs w:val="0"/>
          <w:color w:val="000000" w:themeColor="text1"/>
          <w:sz w:val="24"/>
          <w:szCs w:val="24"/>
        </w:rPr>
        <w:lastRenderedPageBreak/>
        <w:t xml:space="preserve">                             </w:t>
      </w:r>
      <w:r w:rsidRPr="008838E0">
        <w:rPr>
          <w:rFonts w:ascii="Times New Roman" w:hAnsi="Times New Roman" w:cs="Times New Roman"/>
          <w:b/>
          <w:bCs/>
          <w:i w:val="0"/>
          <w:iCs w:val="0"/>
          <w:color w:val="000000" w:themeColor="text1"/>
          <w:sz w:val="24"/>
          <w:szCs w:val="24"/>
        </w:rPr>
        <w:t xml:space="preserve">Table </w:t>
      </w:r>
      <w:r w:rsidRPr="008838E0">
        <w:rPr>
          <w:rFonts w:ascii="Times New Roman" w:hAnsi="Times New Roman" w:cs="Times New Roman"/>
          <w:b/>
          <w:bCs/>
          <w:i w:val="0"/>
          <w:iCs w:val="0"/>
          <w:color w:val="000000" w:themeColor="text1"/>
          <w:sz w:val="24"/>
          <w:szCs w:val="24"/>
        </w:rPr>
        <w:fldChar w:fldCharType="begin"/>
      </w:r>
      <w:r w:rsidRPr="008838E0">
        <w:rPr>
          <w:rFonts w:ascii="Times New Roman" w:hAnsi="Times New Roman" w:cs="Times New Roman"/>
          <w:b/>
          <w:bCs/>
          <w:i w:val="0"/>
          <w:iCs w:val="0"/>
          <w:color w:val="000000" w:themeColor="text1"/>
          <w:sz w:val="24"/>
          <w:szCs w:val="24"/>
        </w:rPr>
        <w:instrText xml:space="preserve"> SEQ Table \* ARABIC </w:instrText>
      </w:r>
      <w:r w:rsidRPr="008838E0">
        <w:rPr>
          <w:rFonts w:ascii="Times New Roman" w:hAnsi="Times New Roman" w:cs="Times New Roman"/>
          <w:b/>
          <w:bCs/>
          <w:i w:val="0"/>
          <w:iCs w:val="0"/>
          <w:color w:val="000000" w:themeColor="text1"/>
          <w:sz w:val="24"/>
          <w:szCs w:val="24"/>
        </w:rPr>
        <w:fldChar w:fldCharType="separate"/>
      </w:r>
      <w:r w:rsidRPr="008838E0">
        <w:rPr>
          <w:rFonts w:ascii="Times New Roman" w:hAnsi="Times New Roman" w:cs="Times New Roman"/>
          <w:b/>
          <w:bCs/>
          <w:i w:val="0"/>
          <w:iCs w:val="0"/>
          <w:noProof/>
          <w:color w:val="000000" w:themeColor="text1"/>
          <w:sz w:val="24"/>
          <w:szCs w:val="24"/>
        </w:rPr>
        <w:t>1</w:t>
      </w:r>
      <w:r w:rsidRPr="008838E0">
        <w:rPr>
          <w:rFonts w:ascii="Times New Roman" w:hAnsi="Times New Roman" w:cs="Times New Roman"/>
          <w:b/>
          <w:bCs/>
          <w:i w:val="0"/>
          <w:iCs w:val="0"/>
          <w:color w:val="000000" w:themeColor="text1"/>
          <w:sz w:val="24"/>
          <w:szCs w:val="24"/>
        </w:rPr>
        <w:fldChar w:fldCharType="end"/>
      </w:r>
      <w:r w:rsidRPr="008838E0">
        <w:rPr>
          <w:rFonts w:ascii="Times New Roman" w:hAnsi="Times New Roman" w:cs="Times New Roman"/>
          <w:b/>
          <w:bCs/>
          <w:i w:val="0"/>
          <w:iCs w:val="0"/>
          <w:color w:val="000000" w:themeColor="text1"/>
          <w:sz w:val="24"/>
          <w:szCs w:val="24"/>
        </w:rPr>
        <w:t xml:space="preserve">: Effect of inorganic fertilizers and organic manures on </w:t>
      </w:r>
      <w:r>
        <w:rPr>
          <w:rFonts w:ascii="Times New Roman" w:hAnsi="Times New Roman" w:cs="Times New Roman"/>
          <w:b/>
          <w:bCs/>
          <w:i w:val="0"/>
          <w:iCs w:val="0"/>
          <w:color w:val="000000" w:themeColor="text1"/>
          <w:sz w:val="24"/>
          <w:szCs w:val="24"/>
        </w:rPr>
        <w:t>NPK content of rice grain and straw</w:t>
      </w:r>
      <w:r w:rsidRPr="008838E0">
        <w:rPr>
          <w:rFonts w:ascii="Times New Roman" w:hAnsi="Times New Roman" w:cs="Times New Roman"/>
          <w:b/>
          <w:bCs/>
          <w:i w:val="0"/>
          <w:iCs w:val="0"/>
          <w:color w:val="000000" w:themeColor="text1"/>
          <w:sz w:val="24"/>
          <w:szCs w:val="24"/>
        </w:rPr>
        <w:t xml:space="preserve"> </w:t>
      </w:r>
    </w:p>
    <w:tbl>
      <w:tblPr>
        <w:tblStyle w:val="TableGrid"/>
        <w:tblW w:w="0" w:type="auto"/>
        <w:jc w:val="center"/>
        <w:tblLook w:val="04A0" w:firstRow="1" w:lastRow="0" w:firstColumn="1" w:lastColumn="0" w:noHBand="0" w:noVBand="1"/>
      </w:tblPr>
      <w:tblGrid>
        <w:gridCol w:w="497"/>
        <w:gridCol w:w="2548"/>
        <w:gridCol w:w="1211"/>
        <w:gridCol w:w="1152"/>
        <w:gridCol w:w="1513"/>
        <w:gridCol w:w="1184"/>
        <w:gridCol w:w="1300"/>
        <w:gridCol w:w="1236"/>
      </w:tblGrid>
      <w:tr w:rsidR="004B5AA8" w:rsidRPr="008838E0" w14:paraId="6928E3C4" w14:textId="77777777" w:rsidTr="007B4F52">
        <w:trPr>
          <w:trHeight w:val="366"/>
          <w:jc w:val="center"/>
        </w:trPr>
        <w:tc>
          <w:tcPr>
            <w:tcW w:w="0" w:type="auto"/>
            <w:hideMark/>
          </w:tcPr>
          <w:p w14:paraId="53BE4F2A"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 </w:t>
            </w:r>
          </w:p>
        </w:tc>
        <w:tc>
          <w:tcPr>
            <w:tcW w:w="0" w:type="auto"/>
            <w:hideMark/>
          </w:tcPr>
          <w:p w14:paraId="46EFF099"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Treatments</w:t>
            </w:r>
          </w:p>
        </w:tc>
        <w:tc>
          <w:tcPr>
            <w:tcW w:w="0" w:type="auto"/>
            <w:gridSpan w:val="2"/>
            <w:hideMark/>
          </w:tcPr>
          <w:p w14:paraId="7DEDFE76"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Nitrogen content (%)</w:t>
            </w:r>
          </w:p>
        </w:tc>
        <w:tc>
          <w:tcPr>
            <w:tcW w:w="0" w:type="auto"/>
            <w:gridSpan w:val="2"/>
          </w:tcPr>
          <w:p w14:paraId="2E47EFC0"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val="en-US" w:eastAsia="en-IN" w:bidi="bn-IN"/>
                <w14:ligatures w14:val="none"/>
              </w:rPr>
            </w:pPr>
            <w:r w:rsidRPr="008838E0">
              <w:rPr>
                <w:rFonts w:ascii="Times New Roman" w:eastAsia="Times New Roman" w:hAnsi="Times New Roman" w:cs="Times New Roman"/>
                <w:b/>
                <w:bCs/>
                <w:color w:val="000000" w:themeColor="text1"/>
                <w:kern w:val="0"/>
                <w:sz w:val="24"/>
                <w:szCs w:val="24"/>
                <w:lang w:val="en-US" w:eastAsia="en-IN" w:bidi="bn-IN"/>
                <w14:ligatures w14:val="none"/>
              </w:rPr>
              <w:t>phosphorus content (%)</w:t>
            </w:r>
          </w:p>
        </w:tc>
        <w:tc>
          <w:tcPr>
            <w:tcW w:w="0" w:type="auto"/>
            <w:gridSpan w:val="2"/>
            <w:noWrap/>
          </w:tcPr>
          <w:p w14:paraId="18C56E65"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kern w:val="0"/>
                <w:sz w:val="24"/>
                <w:szCs w:val="24"/>
                <w:lang w:eastAsia="en-IN" w:bidi="bn-IN"/>
                <w14:ligatures w14:val="none"/>
              </w:rPr>
              <w:t>potassium content (%)</w:t>
            </w:r>
          </w:p>
        </w:tc>
      </w:tr>
      <w:tr w:rsidR="004B5AA8" w:rsidRPr="008838E0" w14:paraId="58D1276D" w14:textId="77777777" w:rsidTr="007B4F52">
        <w:trPr>
          <w:trHeight w:val="257"/>
          <w:jc w:val="center"/>
        </w:trPr>
        <w:tc>
          <w:tcPr>
            <w:tcW w:w="0" w:type="auto"/>
          </w:tcPr>
          <w:p w14:paraId="60B6D68E" w14:textId="77777777" w:rsidR="004B5AA8" w:rsidRPr="008838E0" w:rsidRDefault="004B5AA8" w:rsidP="007B4F52">
            <w:pPr>
              <w:rPr>
                <w:rFonts w:ascii="Times New Roman" w:eastAsia="Times New Roman" w:hAnsi="Times New Roman" w:cs="Times New Roman"/>
                <w:color w:val="000000" w:themeColor="text1"/>
                <w:kern w:val="0"/>
                <w:sz w:val="24"/>
                <w:szCs w:val="24"/>
                <w:lang w:val="en-US" w:eastAsia="en-IN" w:bidi="bn-IN"/>
                <w14:ligatures w14:val="none"/>
              </w:rPr>
            </w:pPr>
          </w:p>
        </w:tc>
        <w:tc>
          <w:tcPr>
            <w:tcW w:w="0" w:type="auto"/>
          </w:tcPr>
          <w:p w14:paraId="6151E531" w14:textId="77777777" w:rsidR="004B5AA8" w:rsidRPr="008838E0" w:rsidRDefault="004B5AA8" w:rsidP="007B4F52">
            <w:pPr>
              <w:rPr>
                <w:rFonts w:ascii="Times New Roman" w:eastAsia="Times New Roman" w:hAnsi="Times New Roman" w:cs="Times New Roman"/>
                <w:b/>
                <w:bCs/>
                <w:color w:val="000000" w:themeColor="text1"/>
                <w:spacing w:val="-2"/>
                <w:kern w:val="0"/>
                <w:sz w:val="24"/>
                <w:szCs w:val="24"/>
                <w:lang w:val="en-US" w:eastAsia="en-IN" w:bidi="bn-IN"/>
                <w14:ligatures w14:val="none"/>
              </w:rPr>
            </w:pPr>
          </w:p>
        </w:tc>
        <w:tc>
          <w:tcPr>
            <w:tcW w:w="0" w:type="auto"/>
          </w:tcPr>
          <w:p w14:paraId="1DD28050" w14:textId="77777777" w:rsidR="004B5AA8" w:rsidRPr="008838E0" w:rsidRDefault="004B5AA8" w:rsidP="007B4F52">
            <w:pP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Grain</w:t>
            </w:r>
          </w:p>
        </w:tc>
        <w:tc>
          <w:tcPr>
            <w:tcW w:w="0" w:type="auto"/>
          </w:tcPr>
          <w:p w14:paraId="2F914C0A" w14:textId="77777777" w:rsidR="004B5AA8" w:rsidRPr="008838E0" w:rsidRDefault="004B5AA8" w:rsidP="007B4F52">
            <w:pP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straw</w:t>
            </w:r>
          </w:p>
        </w:tc>
        <w:tc>
          <w:tcPr>
            <w:tcW w:w="0" w:type="auto"/>
          </w:tcPr>
          <w:p w14:paraId="741EE057" w14:textId="77777777" w:rsidR="004B5AA8" w:rsidRPr="008838E0" w:rsidRDefault="004B5AA8" w:rsidP="007B4F52">
            <w:pPr>
              <w:ind w:left="942" w:hanging="766"/>
              <w:jc w:val="cente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Grain</w:t>
            </w:r>
          </w:p>
        </w:tc>
        <w:tc>
          <w:tcPr>
            <w:tcW w:w="0" w:type="auto"/>
          </w:tcPr>
          <w:p w14:paraId="5F915919"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val="en-US"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straw</w:t>
            </w:r>
          </w:p>
        </w:tc>
        <w:tc>
          <w:tcPr>
            <w:tcW w:w="0" w:type="auto"/>
            <w:noWrap/>
          </w:tcPr>
          <w:p w14:paraId="6613F8B5"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val="en-US"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Grain</w:t>
            </w:r>
          </w:p>
        </w:tc>
        <w:tc>
          <w:tcPr>
            <w:tcW w:w="0" w:type="auto"/>
            <w:noWrap/>
          </w:tcPr>
          <w:p w14:paraId="273935C9"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val="en-US"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straw</w:t>
            </w:r>
          </w:p>
        </w:tc>
      </w:tr>
      <w:tr w:rsidR="004B5AA8" w:rsidRPr="008838E0" w14:paraId="29F7582C" w14:textId="77777777" w:rsidTr="007B4F52">
        <w:trPr>
          <w:trHeight w:val="224"/>
          <w:jc w:val="center"/>
        </w:trPr>
        <w:tc>
          <w:tcPr>
            <w:tcW w:w="0" w:type="auto"/>
            <w:hideMark/>
          </w:tcPr>
          <w:p w14:paraId="6AE25E68"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kern w:val="0"/>
                <w:sz w:val="24"/>
                <w:szCs w:val="24"/>
                <w:lang w:val="en-US" w:eastAsia="en-IN" w:bidi="bn-IN"/>
                <w14:ligatures w14:val="none"/>
              </w:rPr>
              <w:t>T1</w:t>
            </w:r>
          </w:p>
        </w:tc>
        <w:tc>
          <w:tcPr>
            <w:tcW w:w="0" w:type="auto"/>
            <w:hideMark/>
          </w:tcPr>
          <w:p w14:paraId="094CA582"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spacing w:val="-2"/>
                <w:kern w:val="0"/>
                <w:sz w:val="24"/>
                <w:szCs w:val="24"/>
                <w:lang w:val="en-US" w:eastAsia="en-IN" w:bidi="bn-IN"/>
                <w14:ligatures w14:val="none"/>
              </w:rPr>
              <w:t>CONTROL</w:t>
            </w:r>
          </w:p>
        </w:tc>
        <w:tc>
          <w:tcPr>
            <w:tcW w:w="0" w:type="auto"/>
          </w:tcPr>
          <w:p w14:paraId="5C762B17"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1.13</w:t>
            </w:r>
          </w:p>
        </w:tc>
        <w:tc>
          <w:tcPr>
            <w:tcW w:w="0" w:type="auto"/>
          </w:tcPr>
          <w:p w14:paraId="3C5FFA68"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0.17</w:t>
            </w:r>
          </w:p>
        </w:tc>
        <w:tc>
          <w:tcPr>
            <w:tcW w:w="0" w:type="auto"/>
          </w:tcPr>
          <w:p w14:paraId="49163495"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0.334</w:t>
            </w:r>
          </w:p>
        </w:tc>
        <w:tc>
          <w:tcPr>
            <w:tcW w:w="0" w:type="auto"/>
          </w:tcPr>
          <w:p w14:paraId="73EC18EF"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4"/>
                <w:sz w:val="24"/>
                <w:szCs w:val="24"/>
              </w:rPr>
              <w:t>0.033</w:t>
            </w:r>
          </w:p>
        </w:tc>
        <w:tc>
          <w:tcPr>
            <w:tcW w:w="0" w:type="auto"/>
            <w:noWrap/>
          </w:tcPr>
          <w:p w14:paraId="43857CBD"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0.232</w:t>
            </w:r>
          </w:p>
        </w:tc>
        <w:tc>
          <w:tcPr>
            <w:tcW w:w="0" w:type="auto"/>
            <w:noWrap/>
          </w:tcPr>
          <w:p w14:paraId="730F387F"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1.03</w:t>
            </w:r>
          </w:p>
        </w:tc>
      </w:tr>
      <w:tr w:rsidR="004B5AA8" w:rsidRPr="008838E0" w14:paraId="40891323" w14:textId="77777777" w:rsidTr="007B4F52">
        <w:trPr>
          <w:trHeight w:val="230"/>
          <w:jc w:val="center"/>
        </w:trPr>
        <w:tc>
          <w:tcPr>
            <w:tcW w:w="0" w:type="auto"/>
            <w:hideMark/>
          </w:tcPr>
          <w:p w14:paraId="10FE6987"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kern w:val="0"/>
                <w:sz w:val="24"/>
                <w:szCs w:val="24"/>
                <w:lang w:val="en-US" w:eastAsia="en-IN" w:bidi="bn-IN"/>
                <w14:ligatures w14:val="none"/>
              </w:rPr>
              <w:t>T2</w:t>
            </w:r>
          </w:p>
        </w:tc>
        <w:tc>
          <w:tcPr>
            <w:tcW w:w="0" w:type="auto"/>
            <w:hideMark/>
          </w:tcPr>
          <w:p w14:paraId="0B2315D8"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100% RDF</w:t>
            </w:r>
          </w:p>
        </w:tc>
        <w:tc>
          <w:tcPr>
            <w:tcW w:w="0" w:type="auto"/>
          </w:tcPr>
          <w:p w14:paraId="5C09C2FA"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1.26</w:t>
            </w:r>
          </w:p>
        </w:tc>
        <w:tc>
          <w:tcPr>
            <w:tcW w:w="0" w:type="auto"/>
          </w:tcPr>
          <w:p w14:paraId="7D89E3E8"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0.31</w:t>
            </w:r>
          </w:p>
        </w:tc>
        <w:tc>
          <w:tcPr>
            <w:tcW w:w="0" w:type="auto"/>
          </w:tcPr>
          <w:p w14:paraId="2DF93B7C"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0.485</w:t>
            </w:r>
          </w:p>
        </w:tc>
        <w:tc>
          <w:tcPr>
            <w:tcW w:w="0" w:type="auto"/>
          </w:tcPr>
          <w:p w14:paraId="4D6BD5CB"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4"/>
                <w:sz w:val="24"/>
                <w:szCs w:val="24"/>
              </w:rPr>
              <w:t>0.059</w:t>
            </w:r>
          </w:p>
        </w:tc>
        <w:tc>
          <w:tcPr>
            <w:tcW w:w="0" w:type="auto"/>
            <w:noWrap/>
          </w:tcPr>
          <w:p w14:paraId="3CF5AD1B"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0.287</w:t>
            </w:r>
          </w:p>
        </w:tc>
        <w:tc>
          <w:tcPr>
            <w:tcW w:w="0" w:type="auto"/>
            <w:noWrap/>
          </w:tcPr>
          <w:p w14:paraId="37FEAEEA"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1.27</w:t>
            </w:r>
          </w:p>
        </w:tc>
      </w:tr>
      <w:tr w:rsidR="004B5AA8" w:rsidRPr="008838E0" w14:paraId="3414DF91" w14:textId="77777777" w:rsidTr="007B4F52">
        <w:trPr>
          <w:trHeight w:val="134"/>
          <w:jc w:val="center"/>
        </w:trPr>
        <w:tc>
          <w:tcPr>
            <w:tcW w:w="0" w:type="auto"/>
            <w:hideMark/>
          </w:tcPr>
          <w:p w14:paraId="65AFEE2B"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kern w:val="0"/>
                <w:sz w:val="24"/>
                <w:szCs w:val="24"/>
                <w:lang w:val="en-US" w:eastAsia="en-IN" w:bidi="bn-IN"/>
                <w14:ligatures w14:val="none"/>
              </w:rPr>
              <w:t>T3</w:t>
            </w:r>
          </w:p>
        </w:tc>
        <w:tc>
          <w:tcPr>
            <w:tcW w:w="0" w:type="auto"/>
            <w:hideMark/>
          </w:tcPr>
          <w:p w14:paraId="2950DA43"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75% RDF + FYM</w:t>
            </w:r>
          </w:p>
        </w:tc>
        <w:tc>
          <w:tcPr>
            <w:tcW w:w="0" w:type="auto"/>
          </w:tcPr>
          <w:p w14:paraId="1DD212BC"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1.28</w:t>
            </w:r>
          </w:p>
        </w:tc>
        <w:tc>
          <w:tcPr>
            <w:tcW w:w="0" w:type="auto"/>
          </w:tcPr>
          <w:p w14:paraId="1F257A56"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0.29</w:t>
            </w:r>
          </w:p>
        </w:tc>
        <w:tc>
          <w:tcPr>
            <w:tcW w:w="0" w:type="auto"/>
          </w:tcPr>
          <w:p w14:paraId="7BD2E604"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0.483</w:t>
            </w:r>
          </w:p>
        </w:tc>
        <w:tc>
          <w:tcPr>
            <w:tcW w:w="0" w:type="auto"/>
          </w:tcPr>
          <w:p w14:paraId="64CF312B"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4"/>
                <w:sz w:val="24"/>
                <w:szCs w:val="24"/>
              </w:rPr>
              <w:t>0.057</w:t>
            </w:r>
          </w:p>
        </w:tc>
        <w:tc>
          <w:tcPr>
            <w:tcW w:w="0" w:type="auto"/>
            <w:noWrap/>
          </w:tcPr>
          <w:p w14:paraId="7B9E396D"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0.286</w:t>
            </w:r>
          </w:p>
        </w:tc>
        <w:tc>
          <w:tcPr>
            <w:tcW w:w="0" w:type="auto"/>
            <w:noWrap/>
          </w:tcPr>
          <w:p w14:paraId="000DFFA4"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1.26</w:t>
            </w:r>
          </w:p>
        </w:tc>
      </w:tr>
      <w:tr w:rsidR="004B5AA8" w:rsidRPr="008838E0" w14:paraId="09453289" w14:textId="77777777" w:rsidTr="007B4F52">
        <w:trPr>
          <w:trHeight w:val="220"/>
          <w:jc w:val="center"/>
        </w:trPr>
        <w:tc>
          <w:tcPr>
            <w:tcW w:w="0" w:type="auto"/>
            <w:hideMark/>
          </w:tcPr>
          <w:p w14:paraId="1FD17EDE"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kern w:val="0"/>
                <w:sz w:val="24"/>
                <w:szCs w:val="24"/>
                <w:lang w:val="en-US" w:eastAsia="en-IN" w:bidi="bn-IN"/>
                <w14:ligatures w14:val="none"/>
              </w:rPr>
              <w:t>T4</w:t>
            </w:r>
          </w:p>
        </w:tc>
        <w:tc>
          <w:tcPr>
            <w:tcW w:w="0" w:type="auto"/>
            <w:hideMark/>
          </w:tcPr>
          <w:p w14:paraId="42FCCCCF"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75% RDF + VC</w:t>
            </w:r>
          </w:p>
        </w:tc>
        <w:tc>
          <w:tcPr>
            <w:tcW w:w="0" w:type="auto"/>
          </w:tcPr>
          <w:p w14:paraId="774A09F2"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1.29</w:t>
            </w:r>
          </w:p>
        </w:tc>
        <w:tc>
          <w:tcPr>
            <w:tcW w:w="0" w:type="auto"/>
          </w:tcPr>
          <w:p w14:paraId="6E6C8691"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0.32</w:t>
            </w:r>
          </w:p>
        </w:tc>
        <w:tc>
          <w:tcPr>
            <w:tcW w:w="0" w:type="auto"/>
          </w:tcPr>
          <w:p w14:paraId="54735A0B"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0.489</w:t>
            </w:r>
          </w:p>
        </w:tc>
        <w:tc>
          <w:tcPr>
            <w:tcW w:w="0" w:type="auto"/>
          </w:tcPr>
          <w:p w14:paraId="68522B17"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4"/>
                <w:sz w:val="24"/>
                <w:szCs w:val="24"/>
              </w:rPr>
              <w:t>0.061</w:t>
            </w:r>
          </w:p>
        </w:tc>
        <w:tc>
          <w:tcPr>
            <w:tcW w:w="0" w:type="auto"/>
            <w:noWrap/>
          </w:tcPr>
          <w:p w14:paraId="334BFC0E"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0.289</w:t>
            </w:r>
          </w:p>
        </w:tc>
        <w:tc>
          <w:tcPr>
            <w:tcW w:w="0" w:type="auto"/>
            <w:noWrap/>
          </w:tcPr>
          <w:p w14:paraId="051171BE"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1.28</w:t>
            </w:r>
          </w:p>
        </w:tc>
      </w:tr>
      <w:tr w:rsidR="004B5AA8" w:rsidRPr="008838E0" w14:paraId="60B8FFE8" w14:textId="77777777" w:rsidTr="007B4F52">
        <w:trPr>
          <w:trHeight w:val="265"/>
          <w:jc w:val="center"/>
        </w:trPr>
        <w:tc>
          <w:tcPr>
            <w:tcW w:w="0" w:type="auto"/>
            <w:hideMark/>
          </w:tcPr>
          <w:p w14:paraId="3EB06133"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kern w:val="0"/>
                <w:sz w:val="24"/>
                <w:szCs w:val="24"/>
                <w:lang w:val="en-US" w:eastAsia="en-IN" w:bidi="bn-IN"/>
                <w14:ligatures w14:val="none"/>
              </w:rPr>
              <w:t>T5</w:t>
            </w:r>
          </w:p>
        </w:tc>
        <w:tc>
          <w:tcPr>
            <w:tcW w:w="0" w:type="auto"/>
            <w:hideMark/>
          </w:tcPr>
          <w:p w14:paraId="0F8DBA8C"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75% RDF + FYM + VC</w:t>
            </w:r>
          </w:p>
        </w:tc>
        <w:tc>
          <w:tcPr>
            <w:tcW w:w="0" w:type="auto"/>
          </w:tcPr>
          <w:p w14:paraId="4B3A383E"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1.33</w:t>
            </w:r>
          </w:p>
        </w:tc>
        <w:tc>
          <w:tcPr>
            <w:tcW w:w="0" w:type="auto"/>
          </w:tcPr>
          <w:p w14:paraId="138C82E2"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0.35</w:t>
            </w:r>
          </w:p>
        </w:tc>
        <w:tc>
          <w:tcPr>
            <w:tcW w:w="0" w:type="auto"/>
          </w:tcPr>
          <w:p w14:paraId="1085E235"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0.496</w:t>
            </w:r>
          </w:p>
        </w:tc>
        <w:tc>
          <w:tcPr>
            <w:tcW w:w="0" w:type="auto"/>
          </w:tcPr>
          <w:p w14:paraId="7B43D761"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4"/>
                <w:sz w:val="24"/>
                <w:szCs w:val="24"/>
              </w:rPr>
              <w:t>0.067</w:t>
            </w:r>
          </w:p>
        </w:tc>
        <w:tc>
          <w:tcPr>
            <w:tcW w:w="0" w:type="auto"/>
            <w:noWrap/>
          </w:tcPr>
          <w:p w14:paraId="74AA930E"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0.293</w:t>
            </w:r>
          </w:p>
        </w:tc>
        <w:tc>
          <w:tcPr>
            <w:tcW w:w="0" w:type="auto"/>
            <w:noWrap/>
          </w:tcPr>
          <w:p w14:paraId="4ED872CD"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1.31</w:t>
            </w:r>
          </w:p>
        </w:tc>
      </w:tr>
      <w:tr w:rsidR="004B5AA8" w:rsidRPr="008838E0" w14:paraId="617FFEF6" w14:textId="77777777" w:rsidTr="007B4F52">
        <w:trPr>
          <w:trHeight w:val="269"/>
          <w:jc w:val="center"/>
        </w:trPr>
        <w:tc>
          <w:tcPr>
            <w:tcW w:w="0" w:type="auto"/>
            <w:hideMark/>
          </w:tcPr>
          <w:p w14:paraId="343E5487"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kern w:val="0"/>
                <w:sz w:val="24"/>
                <w:szCs w:val="24"/>
                <w:lang w:val="en-US" w:eastAsia="en-IN" w:bidi="bn-IN"/>
                <w14:ligatures w14:val="none"/>
              </w:rPr>
              <w:t>T6</w:t>
            </w:r>
          </w:p>
        </w:tc>
        <w:tc>
          <w:tcPr>
            <w:tcW w:w="0" w:type="auto"/>
            <w:hideMark/>
          </w:tcPr>
          <w:p w14:paraId="563D9270"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50% RDF + FYM</w:t>
            </w:r>
          </w:p>
        </w:tc>
        <w:tc>
          <w:tcPr>
            <w:tcW w:w="0" w:type="auto"/>
          </w:tcPr>
          <w:p w14:paraId="1327B2E6"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1.20</w:t>
            </w:r>
          </w:p>
        </w:tc>
        <w:tc>
          <w:tcPr>
            <w:tcW w:w="0" w:type="auto"/>
          </w:tcPr>
          <w:p w14:paraId="7506DDB8"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0.24</w:t>
            </w:r>
          </w:p>
        </w:tc>
        <w:tc>
          <w:tcPr>
            <w:tcW w:w="0" w:type="auto"/>
          </w:tcPr>
          <w:p w14:paraId="2374D694"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0.453</w:t>
            </w:r>
          </w:p>
        </w:tc>
        <w:tc>
          <w:tcPr>
            <w:tcW w:w="0" w:type="auto"/>
          </w:tcPr>
          <w:p w14:paraId="5458B39F"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4"/>
                <w:sz w:val="24"/>
                <w:szCs w:val="24"/>
              </w:rPr>
              <w:t>0.048</w:t>
            </w:r>
          </w:p>
        </w:tc>
        <w:tc>
          <w:tcPr>
            <w:tcW w:w="0" w:type="auto"/>
            <w:noWrap/>
          </w:tcPr>
          <w:p w14:paraId="69EFBC04"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0.272</w:t>
            </w:r>
          </w:p>
        </w:tc>
        <w:tc>
          <w:tcPr>
            <w:tcW w:w="0" w:type="auto"/>
            <w:noWrap/>
          </w:tcPr>
          <w:p w14:paraId="2D0CDCD1"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1.22</w:t>
            </w:r>
          </w:p>
        </w:tc>
      </w:tr>
      <w:tr w:rsidR="004B5AA8" w:rsidRPr="008838E0" w14:paraId="41206D13" w14:textId="77777777" w:rsidTr="007B4F52">
        <w:trPr>
          <w:trHeight w:val="281"/>
          <w:jc w:val="center"/>
        </w:trPr>
        <w:tc>
          <w:tcPr>
            <w:tcW w:w="0" w:type="auto"/>
            <w:hideMark/>
          </w:tcPr>
          <w:p w14:paraId="066516B0"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kern w:val="0"/>
                <w:sz w:val="24"/>
                <w:szCs w:val="24"/>
                <w:lang w:val="en-US" w:eastAsia="en-IN" w:bidi="bn-IN"/>
                <w14:ligatures w14:val="none"/>
              </w:rPr>
              <w:t>T7</w:t>
            </w:r>
          </w:p>
        </w:tc>
        <w:tc>
          <w:tcPr>
            <w:tcW w:w="0" w:type="auto"/>
            <w:hideMark/>
          </w:tcPr>
          <w:p w14:paraId="6F23FFF4"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50% RDF + VC</w:t>
            </w:r>
          </w:p>
        </w:tc>
        <w:tc>
          <w:tcPr>
            <w:tcW w:w="0" w:type="auto"/>
          </w:tcPr>
          <w:p w14:paraId="531F1F50"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1.21</w:t>
            </w:r>
          </w:p>
        </w:tc>
        <w:tc>
          <w:tcPr>
            <w:tcW w:w="0" w:type="auto"/>
          </w:tcPr>
          <w:p w14:paraId="6C011AA6"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0.26</w:t>
            </w:r>
          </w:p>
        </w:tc>
        <w:tc>
          <w:tcPr>
            <w:tcW w:w="0" w:type="auto"/>
          </w:tcPr>
          <w:p w14:paraId="0168434D"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0.461</w:t>
            </w:r>
          </w:p>
        </w:tc>
        <w:tc>
          <w:tcPr>
            <w:tcW w:w="0" w:type="auto"/>
          </w:tcPr>
          <w:p w14:paraId="17EA9128"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4"/>
                <w:sz w:val="24"/>
                <w:szCs w:val="24"/>
              </w:rPr>
              <w:t>0.052</w:t>
            </w:r>
          </w:p>
        </w:tc>
        <w:tc>
          <w:tcPr>
            <w:tcW w:w="0" w:type="auto"/>
            <w:noWrap/>
          </w:tcPr>
          <w:p w14:paraId="1CCF5725"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0.274</w:t>
            </w:r>
          </w:p>
        </w:tc>
        <w:tc>
          <w:tcPr>
            <w:tcW w:w="0" w:type="auto"/>
            <w:noWrap/>
          </w:tcPr>
          <w:p w14:paraId="594EDA7A"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1.24</w:t>
            </w:r>
          </w:p>
        </w:tc>
      </w:tr>
      <w:tr w:rsidR="004B5AA8" w:rsidRPr="008838E0" w14:paraId="57D03D3D" w14:textId="77777777" w:rsidTr="007B4F52">
        <w:trPr>
          <w:trHeight w:val="277"/>
          <w:jc w:val="center"/>
        </w:trPr>
        <w:tc>
          <w:tcPr>
            <w:tcW w:w="0" w:type="auto"/>
            <w:hideMark/>
          </w:tcPr>
          <w:p w14:paraId="14053F88"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kern w:val="0"/>
                <w:sz w:val="24"/>
                <w:szCs w:val="24"/>
                <w:lang w:val="en-US" w:eastAsia="en-IN" w:bidi="bn-IN"/>
                <w14:ligatures w14:val="none"/>
              </w:rPr>
              <w:t>T8</w:t>
            </w:r>
          </w:p>
        </w:tc>
        <w:tc>
          <w:tcPr>
            <w:tcW w:w="0" w:type="auto"/>
            <w:hideMark/>
          </w:tcPr>
          <w:p w14:paraId="2862FEC7"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50% RDF + FYM + VC</w:t>
            </w:r>
          </w:p>
        </w:tc>
        <w:tc>
          <w:tcPr>
            <w:tcW w:w="0" w:type="auto"/>
          </w:tcPr>
          <w:p w14:paraId="78D4DEDF"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1.23</w:t>
            </w:r>
          </w:p>
        </w:tc>
        <w:tc>
          <w:tcPr>
            <w:tcW w:w="0" w:type="auto"/>
          </w:tcPr>
          <w:p w14:paraId="19771543"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0.27</w:t>
            </w:r>
          </w:p>
        </w:tc>
        <w:tc>
          <w:tcPr>
            <w:tcW w:w="0" w:type="auto"/>
          </w:tcPr>
          <w:p w14:paraId="087775BF"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0.465</w:t>
            </w:r>
          </w:p>
        </w:tc>
        <w:tc>
          <w:tcPr>
            <w:tcW w:w="0" w:type="auto"/>
          </w:tcPr>
          <w:p w14:paraId="69ECE206"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4"/>
                <w:sz w:val="24"/>
                <w:szCs w:val="24"/>
              </w:rPr>
              <w:t>0.056</w:t>
            </w:r>
          </w:p>
        </w:tc>
        <w:tc>
          <w:tcPr>
            <w:tcW w:w="0" w:type="auto"/>
            <w:noWrap/>
          </w:tcPr>
          <w:p w14:paraId="3FA7DE84"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0.277</w:t>
            </w:r>
          </w:p>
        </w:tc>
        <w:tc>
          <w:tcPr>
            <w:tcW w:w="0" w:type="auto"/>
            <w:noWrap/>
          </w:tcPr>
          <w:p w14:paraId="26103BBB"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1.25</w:t>
            </w:r>
          </w:p>
        </w:tc>
      </w:tr>
      <w:tr w:rsidR="004B5AA8" w:rsidRPr="008838E0" w14:paraId="0C09E301" w14:textId="77777777" w:rsidTr="007B4F52">
        <w:trPr>
          <w:trHeight w:val="235"/>
          <w:jc w:val="center"/>
        </w:trPr>
        <w:tc>
          <w:tcPr>
            <w:tcW w:w="0" w:type="auto"/>
            <w:hideMark/>
          </w:tcPr>
          <w:p w14:paraId="6ACA31DD"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 </w:t>
            </w:r>
          </w:p>
        </w:tc>
        <w:tc>
          <w:tcPr>
            <w:tcW w:w="0" w:type="auto"/>
            <w:hideMark/>
          </w:tcPr>
          <w:p w14:paraId="69E7C9EB"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spacing w:val="-2"/>
                <w:kern w:val="0"/>
                <w:sz w:val="24"/>
                <w:szCs w:val="24"/>
                <w:lang w:val="en-US" w:eastAsia="en-IN" w:bidi="bn-IN"/>
                <w14:ligatures w14:val="none"/>
              </w:rPr>
              <w:t>CD (5%)</w:t>
            </w:r>
          </w:p>
        </w:tc>
        <w:tc>
          <w:tcPr>
            <w:tcW w:w="0" w:type="auto"/>
          </w:tcPr>
          <w:p w14:paraId="7C3A2617"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0.055</w:t>
            </w:r>
          </w:p>
        </w:tc>
        <w:tc>
          <w:tcPr>
            <w:tcW w:w="0" w:type="auto"/>
          </w:tcPr>
          <w:p w14:paraId="5DD44BDF"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0.014</w:t>
            </w:r>
          </w:p>
        </w:tc>
        <w:tc>
          <w:tcPr>
            <w:tcW w:w="0" w:type="auto"/>
          </w:tcPr>
          <w:p w14:paraId="346F8C3E"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0.029</w:t>
            </w:r>
          </w:p>
        </w:tc>
        <w:tc>
          <w:tcPr>
            <w:tcW w:w="0" w:type="auto"/>
          </w:tcPr>
          <w:p w14:paraId="36640562"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4"/>
                <w:sz w:val="24"/>
                <w:szCs w:val="24"/>
              </w:rPr>
              <w:t>0.009</w:t>
            </w:r>
          </w:p>
        </w:tc>
        <w:tc>
          <w:tcPr>
            <w:tcW w:w="0" w:type="auto"/>
            <w:noWrap/>
          </w:tcPr>
          <w:p w14:paraId="362F58CB"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0.014</w:t>
            </w:r>
          </w:p>
        </w:tc>
        <w:tc>
          <w:tcPr>
            <w:tcW w:w="0" w:type="auto"/>
            <w:noWrap/>
          </w:tcPr>
          <w:p w14:paraId="516E3591"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0.066</w:t>
            </w:r>
          </w:p>
        </w:tc>
      </w:tr>
    </w:tbl>
    <w:p w14:paraId="72566358" w14:textId="77777777" w:rsidR="004B5AA8" w:rsidRPr="008838E0" w:rsidRDefault="004B5AA8" w:rsidP="004B5AA8">
      <w:pPr>
        <w:spacing w:line="360" w:lineRule="auto"/>
        <w:jc w:val="both"/>
        <w:rPr>
          <w:rFonts w:ascii="Times New Roman" w:hAnsi="Times New Roman" w:cs="Times New Roman"/>
          <w:b/>
          <w:bCs/>
          <w:sz w:val="24"/>
          <w:szCs w:val="24"/>
        </w:rPr>
      </w:pPr>
    </w:p>
    <w:p w14:paraId="772E19D5" w14:textId="77777777" w:rsidR="004B5AA8" w:rsidRPr="008838E0" w:rsidRDefault="004B5AA8" w:rsidP="004B5AA8">
      <w:pPr>
        <w:pStyle w:val="Caption"/>
        <w:keepNext/>
        <w:rPr>
          <w:rFonts w:ascii="Times New Roman" w:hAnsi="Times New Roman" w:cs="Times New Roman"/>
          <w:b/>
          <w:bCs/>
          <w:i w:val="0"/>
          <w:iCs w:val="0"/>
          <w:color w:val="auto"/>
          <w:sz w:val="24"/>
          <w:szCs w:val="24"/>
        </w:rPr>
      </w:pPr>
      <w:r>
        <w:rPr>
          <w:rFonts w:ascii="Times New Roman" w:hAnsi="Times New Roman" w:cs="Times New Roman"/>
          <w:b/>
          <w:bCs/>
          <w:i w:val="0"/>
          <w:iCs w:val="0"/>
          <w:color w:val="auto"/>
          <w:sz w:val="24"/>
          <w:szCs w:val="24"/>
        </w:rPr>
        <w:t xml:space="preserve">     </w:t>
      </w:r>
      <w:r w:rsidRPr="008838E0">
        <w:rPr>
          <w:rFonts w:ascii="Times New Roman" w:hAnsi="Times New Roman" w:cs="Times New Roman"/>
          <w:b/>
          <w:bCs/>
          <w:i w:val="0"/>
          <w:iCs w:val="0"/>
          <w:color w:val="auto"/>
          <w:sz w:val="24"/>
          <w:szCs w:val="24"/>
        </w:rPr>
        <w:t xml:space="preserve">Table </w:t>
      </w:r>
      <w:r w:rsidRPr="008838E0">
        <w:rPr>
          <w:rFonts w:ascii="Times New Roman" w:hAnsi="Times New Roman" w:cs="Times New Roman"/>
          <w:b/>
          <w:bCs/>
          <w:i w:val="0"/>
          <w:iCs w:val="0"/>
          <w:color w:val="auto"/>
          <w:sz w:val="24"/>
          <w:szCs w:val="24"/>
        </w:rPr>
        <w:fldChar w:fldCharType="begin"/>
      </w:r>
      <w:r w:rsidRPr="008838E0">
        <w:rPr>
          <w:rFonts w:ascii="Times New Roman" w:hAnsi="Times New Roman" w:cs="Times New Roman"/>
          <w:b/>
          <w:bCs/>
          <w:i w:val="0"/>
          <w:iCs w:val="0"/>
          <w:color w:val="auto"/>
          <w:sz w:val="24"/>
          <w:szCs w:val="24"/>
        </w:rPr>
        <w:instrText xml:space="preserve"> SEQ Table \* ARABIC </w:instrText>
      </w:r>
      <w:r w:rsidRPr="008838E0">
        <w:rPr>
          <w:rFonts w:ascii="Times New Roman" w:hAnsi="Times New Roman" w:cs="Times New Roman"/>
          <w:b/>
          <w:bCs/>
          <w:i w:val="0"/>
          <w:iCs w:val="0"/>
          <w:color w:val="auto"/>
          <w:sz w:val="24"/>
          <w:szCs w:val="24"/>
        </w:rPr>
        <w:fldChar w:fldCharType="separate"/>
      </w:r>
      <w:r w:rsidRPr="008838E0">
        <w:rPr>
          <w:rFonts w:ascii="Times New Roman" w:hAnsi="Times New Roman" w:cs="Times New Roman"/>
          <w:b/>
          <w:bCs/>
          <w:i w:val="0"/>
          <w:iCs w:val="0"/>
          <w:noProof/>
          <w:color w:val="auto"/>
          <w:sz w:val="24"/>
          <w:szCs w:val="24"/>
        </w:rPr>
        <w:t>2</w:t>
      </w:r>
      <w:r w:rsidRPr="008838E0">
        <w:rPr>
          <w:rFonts w:ascii="Times New Roman" w:hAnsi="Times New Roman" w:cs="Times New Roman"/>
          <w:b/>
          <w:bCs/>
          <w:i w:val="0"/>
          <w:iCs w:val="0"/>
          <w:color w:val="auto"/>
          <w:sz w:val="24"/>
          <w:szCs w:val="24"/>
        </w:rPr>
        <w:fldChar w:fldCharType="end"/>
      </w:r>
      <w:r w:rsidRPr="008838E0">
        <w:rPr>
          <w:rFonts w:ascii="Times New Roman" w:hAnsi="Times New Roman" w:cs="Times New Roman"/>
          <w:b/>
          <w:bCs/>
          <w:i w:val="0"/>
          <w:iCs w:val="0"/>
          <w:color w:val="auto"/>
          <w:sz w:val="24"/>
          <w:szCs w:val="24"/>
        </w:rPr>
        <w:t>: uptake of NPK (kg/ha) by grain and straw</w:t>
      </w:r>
    </w:p>
    <w:tbl>
      <w:tblPr>
        <w:tblStyle w:val="TableGrid"/>
        <w:tblW w:w="0" w:type="auto"/>
        <w:jc w:val="center"/>
        <w:tblLayout w:type="fixed"/>
        <w:tblLook w:val="04A0" w:firstRow="1" w:lastRow="0" w:firstColumn="1" w:lastColumn="0" w:noHBand="0" w:noVBand="1"/>
      </w:tblPr>
      <w:tblGrid>
        <w:gridCol w:w="497"/>
        <w:gridCol w:w="2548"/>
        <w:gridCol w:w="1204"/>
        <w:gridCol w:w="1145"/>
        <w:gridCol w:w="1106"/>
        <w:gridCol w:w="16"/>
        <w:gridCol w:w="980"/>
        <w:gridCol w:w="1515"/>
        <w:gridCol w:w="1463"/>
        <w:gridCol w:w="982"/>
        <w:gridCol w:w="934"/>
        <w:gridCol w:w="930"/>
      </w:tblGrid>
      <w:tr w:rsidR="004B5AA8" w:rsidRPr="008838E0" w14:paraId="739E1A79" w14:textId="77777777" w:rsidTr="007B4F52">
        <w:trPr>
          <w:trHeight w:val="416"/>
          <w:jc w:val="center"/>
        </w:trPr>
        <w:tc>
          <w:tcPr>
            <w:tcW w:w="497" w:type="dxa"/>
            <w:hideMark/>
          </w:tcPr>
          <w:p w14:paraId="3EA1EBC0"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 </w:t>
            </w:r>
          </w:p>
        </w:tc>
        <w:tc>
          <w:tcPr>
            <w:tcW w:w="2548" w:type="dxa"/>
            <w:hideMark/>
          </w:tcPr>
          <w:p w14:paraId="64DE09D4"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Treatments</w:t>
            </w:r>
          </w:p>
        </w:tc>
        <w:tc>
          <w:tcPr>
            <w:tcW w:w="3471" w:type="dxa"/>
            <w:gridSpan w:val="4"/>
          </w:tcPr>
          <w:p w14:paraId="352BE521" w14:textId="77777777" w:rsidR="004B5AA8" w:rsidRPr="008838E0" w:rsidRDefault="004B5AA8" w:rsidP="007B4F52">
            <w:pPr>
              <w:jc w:val="cente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 xml:space="preserve">Nitrogen content uptake </w:t>
            </w:r>
            <w:r w:rsidRPr="008838E0">
              <w:rPr>
                <w:rFonts w:ascii="Times New Roman" w:eastAsia="Times New Roman" w:hAnsi="Times New Roman" w:cs="Times New Roman"/>
                <w:b/>
                <w:bCs/>
                <w:color w:val="000000" w:themeColor="text1"/>
                <w:kern w:val="0"/>
                <w:sz w:val="24"/>
                <w:szCs w:val="24"/>
                <w:lang w:eastAsia="en-IN" w:bidi="bn-IN"/>
                <w14:ligatures w14:val="none"/>
              </w:rPr>
              <w:t>(kg/ha)</w:t>
            </w:r>
          </w:p>
        </w:tc>
        <w:tc>
          <w:tcPr>
            <w:tcW w:w="3958" w:type="dxa"/>
            <w:gridSpan w:val="3"/>
          </w:tcPr>
          <w:p w14:paraId="7001F807" w14:textId="77777777" w:rsidR="004B5AA8" w:rsidRPr="008838E0" w:rsidRDefault="004B5AA8" w:rsidP="007B4F52">
            <w:pPr>
              <w:jc w:val="center"/>
              <w:rPr>
                <w:rFonts w:ascii="Times New Roman" w:eastAsia="Times New Roman" w:hAnsi="Times New Roman" w:cs="Times New Roman"/>
                <w:b/>
                <w:bCs/>
                <w:color w:val="000000" w:themeColor="text1"/>
                <w:kern w:val="0"/>
                <w:sz w:val="24"/>
                <w:szCs w:val="24"/>
                <w:lang w:eastAsia="en-IN" w:bidi="bn-IN"/>
                <w14:ligatures w14:val="none"/>
              </w:rPr>
            </w:pPr>
            <w:r>
              <w:rPr>
                <w:rFonts w:ascii="Times New Roman" w:eastAsia="Times New Roman" w:hAnsi="Times New Roman" w:cs="Times New Roman"/>
                <w:b/>
                <w:bCs/>
                <w:color w:val="000000" w:themeColor="text1"/>
                <w:kern w:val="0"/>
                <w:sz w:val="24"/>
                <w:szCs w:val="24"/>
                <w:lang w:val="en-US" w:eastAsia="en-IN" w:bidi="bn-IN"/>
                <w14:ligatures w14:val="none"/>
              </w:rPr>
              <w:t>P</w:t>
            </w:r>
            <w:r w:rsidRPr="008838E0">
              <w:rPr>
                <w:rFonts w:ascii="Times New Roman" w:eastAsia="Times New Roman" w:hAnsi="Times New Roman" w:cs="Times New Roman"/>
                <w:b/>
                <w:bCs/>
                <w:color w:val="000000" w:themeColor="text1"/>
                <w:kern w:val="0"/>
                <w:sz w:val="24"/>
                <w:szCs w:val="24"/>
                <w:lang w:val="en-US" w:eastAsia="en-IN" w:bidi="bn-IN"/>
                <w14:ligatures w14:val="none"/>
              </w:rPr>
              <w:t xml:space="preserve">hosphorus uptake </w:t>
            </w:r>
            <w:r w:rsidRPr="008838E0">
              <w:rPr>
                <w:rFonts w:ascii="Times New Roman" w:eastAsia="Times New Roman" w:hAnsi="Times New Roman" w:cs="Times New Roman"/>
                <w:b/>
                <w:bCs/>
                <w:color w:val="000000" w:themeColor="text1"/>
                <w:kern w:val="0"/>
                <w:sz w:val="24"/>
                <w:szCs w:val="24"/>
                <w:lang w:eastAsia="en-IN" w:bidi="bn-IN"/>
                <w14:ligatures w14:val="none"/>
              </w:rPr>
              <w:t>(kg/ha)</w:t>
            </w:r>
          </w:p>
        </w:tc>
        <w:tc>
          <w:tcPr>
            <w:tcW w:w="2846" w:type="dxa"/>
            <w:gridSpan w:val="3"/>
          </w:tcPr>
          <w:p w14:paraId="16952AF8" w14:textId="77777777" w:rsidR="004B5AA8" w:rsidRPr="008838E0" w:rsidRDefault="004B5AA8" w:rsidP="007B4F52">
            <w:pPr>
              <w:jc w:val="center"/>
              <w:rPr>
                <w:rFonts w:ascii="Times New Roman" w:eastAsia="Times New Roman" w:hAnsi="Times New Roman" w:cs="Times New Roman"/>
                <w:b/>
                <w:bCs/>
                <w:color w:val="000000" w:themeColor="text1"/>
                <w:kern w:val="0"/>
                <w:sz w:val="24"/>
                <w:szCs w:val="24"/>
                <w:lang w:eastAsia="en-IN" w:bidi="bn-IN"/>
                <w14:ligatures w14:val="none"/>
              </w:rPr>
            </w:pPr>
            <w:r>
              <w:rPr>
                <w:rFonts w:ascii="Times New Roman" w:eastAsia="Times New Roman" w:hAnsi="Times New Roman" w:cs="Times New Roman"/>
                <w:b/>
                <w:bCs/>
                <w:color w:val="000000" w:themeColor="text1"/>
                <w:kern w:val="0"/>
                <w:sz w:val="24"/>
                <w:szCs w:val="24"/>
                <w:lang w:eastAsia="en-IN" w:bidi="bn-IN"/>
                <w14:ligatures w14:val="none"/>
              </w:rPr>
              <w:t>P</w:t>
            </w:r>
            <w:r w:rsidRPr="008838E0">
              <w:rPr>
                <w:rFonts w:ascii="Times New Roman" w:eastAsia="Times New Roman" w:hAnsi="Times New Roman" w:cs="Times New Roman"/>
                <w:b/>
                <w:bCs/>
                <w:color w:val="000000" w:themeColor="text1"/>
                <w:kern w:val="0"/>
                <w:sz w:val="24"/>
                <w:szCs w:val="24"/>
                <w:lang w:eastAsia="en-IN" w:bidi="bn-IN"/>
                <w14:ligatures w14:val="none"/>
              </w:rPr>
              <w:t>otassium uptake (kg/ha)</w:t>
            </w:r>
          </w:p>
        </w:tc>
      </w:tr>
      <w:tr w:rsidR="004B5AA8" w:rsidRPr="008838E0" w14:paraId="146C7966" w14:textId="77777777" w:rsidTr="007B4F52">
        <w:trPr>
          <w:trHeight w:val="257"/>
          <w:jc w:val="center"/>
        </w:trPr>
        <w:tc>
          <w:tcPr>
            <w:tcW w:w="497" w:type="dxa"/>
          </w:tcPr>
          <w:p w14:paraId="136A7E82" w14:textId="77777777" w:rsidR="004B5AA8" w:rsidRPr="008838E0" w:rsidRDefault="004B5AA8" w:rsidP="007B4F52">
            <w:pPr>
              <w:rPr>
                <w:rFonts w:ascii="Times New Roman" w:eastAsia="Times New Roman" w:hAnsi="Times New Roman" w:cs="Times New Roman"/>
                <w:color w:val="000000" w:themeColor="text1"/>
                <w:kern w:val="0"/>
                <w:sz w:val="24"/>
                <w:szCs w:val="24"/>
                <w:lang w:val="en-US" w:eastAsia="en-IN" w:bidi="bn-IN"/>
                <w14:ligatures w14:val="none"/>
              </w:rPr>
            </w:pPr>
          </w:p>
        </w:tc>
        <w:tc>
          <w:tcPr>
            <w:tcW w:w="2548" w:type="dxa"/>
          </w:tcPr>
          <w:p w14:paraId="77840017" w14:textId="77777777" w:rsidR="004B5AA8" w:rsidRPr="008838E0" w:rsidRDefault="004B5AA8" w:rsidP="007B4F52">
            <w:pPr>
              <w:rPr>
                <w:rFonts w:ascii="Times New Roman" w:eastAsia="Times New Roman" w:hAnsi="Times New Roman" w:cs="Times New Roman"/>
                <w:b/>
                <w:bCs/>
                <w:color w:val="000000" w:themeColor="text1"/>
                <w:spacing w:val="-2"/>
                <w:kern w:val="0"/>
                <w:sz w:val="24"/>
                <w:szCs w:val="24"/>
                <w:lang w:val="en-US" w:eastAsia="en-IN" w:bidi="bn-IN"/>
                <w14:ligatures w14:val="none"/>
              </w:rPr>
            </w:pPr>
          </w:p>
        </w:tc>
        <w:tc>
          <w:tcPr>
            <w:tcW w:w="1204" w:type="dxa"/>
          </w:tcPr>
          <w:p w14:paraId="1E045B68" w14:textId="77777777" w:rsidR="004B5AA8" w:rsidRPr="008838E0" w:rsidRDefault="004B5AA8" w:rsidP="007B4F52">
            <w:pP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Grain</w:t>
            </w:r>
          </w:p>
        </w:tc>
        <w:tc>
          <w:tcPr>
            <w:tcW w:w="1145" w:type="dxa"/>
          </w:tcPr>
          <w:p w14:paraId="283371BC" w14:textId="77777777" w:rsidR="004B5AA8" w:rsidRPr="008838E0" w:rsidRDefault="004B5AA8" w:rsidP="007B4F52">
            <w:pP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straw</w:t>
            </w:r>
          </w:p>
        </w:tc>
        <w:tc>
          <w:tcPr>
            <w:tcW w:w="1106" w:type="dxa"/>
          </w:tcPr>
          <w:p w14:paraId="589F01AD" w14:textId="77777777" w:rsidR="004B5AA8" w:rsidRPr="008838E0" w:rsidRDefault="004B5AA8" w:rsidP="007B4F52">
            <w:pP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Total</w:t>
            </w:r>
          </w:p>
        </w:tc>
        <w:tc>
          <w:tcPr>
            <w:tcW w:w="996" w:type="dxa"/>
            <w:gridSpan w:val="2"/>
          </w:tcPr>
          <w:p w14:paraId="67103584" w14:textId="77777777" w:rsidR="004B5AA8" w:rsidRPr="008838E0" w:rsidRDefault="004B5AA8" w:rsidP="007B4F52">
            <w:pPr>
              <w:ind w:left="942" w:hanging="766"/>
              <w:jc w:val="cente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Grain</w:t>
            </w:r>
          </w:p>
        </w:tc>
        <w:tc>
          <w:tcPr>
            <w:tcW w:w="1515" w:type="dxa"/>
          </w:tcPr>
          <w:p w14:paraId="73E209D4"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val="en-US"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straw</w:t>
            </w:r>
          </w:p>
        </w:tc>
        <w:tc>
          <w:tcPr>
            <w:tcW w:w="1463" w:type="dxa"/>
          </w:tcPr>
          <w:p w14:paraId="419FF40A" w14:textId="77777777" w:rsidR="004B5AA8" w:rsidRPr="008838E0" w:rsidRDefault="004B5AA8" w:rsidP="007B4F52">
            <w:pP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Total</w:t>
            </w:r>
          </w:p>
        </w:tc>
        <w:tc>
          <w:tcPr>
            <w:tcW w:w="982" w:type="dxa"/>
            <w:noWrap/>
          </w:tcPr>
          <w:p w14:paraId="3061FE5F"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val="en-US"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Grain</w:t>
            </w:r>
          </w:p>
        </w:tc>
        <w:tc>
          <w:tcPr>
            <w:tcW w:w="934" w:type="dxa"/>
          </w:tcPr>
          <w:p w14:paraId="3A685B14" w14:textId="77777777" w:rsidR="004B5AA8" w:rsidRPr="008838E0" w:rsidRDefault="004B5AA8" w:rsidP="007B4F52">
            <w:pPr>
              <w:rPr>
                <w:rFonts w:ascii="Times New Roman" w:eastAsia="Times New Roman" w:hAnsi="Times New Roman" w:cs="Times New Roman"/>
                <w:b/>
                <w:bCs/>
                <w:color w:val="000000" w:themeColor="text1"/>
                <w:spacing w:val="-2"/>
                <w:kern w:val="0"/>
                <w:sz w:val="24"/>
                <w:szCs w:val="24"/>
                <w:lang w:val="en-US"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straw</w:t>
            </w:r>
          </w:p>
        </w:tc>
        <w:tc>
          <w:tcPr>
            <w:tcW w:w="930" w:type="dxa"/>
            <w:noWrap/>
          </w:tcPr>
          <w:p w14:paraId="507ADC91"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val="en-US" w:eastAsia="en-IN" w:bidi="bn-IN"/>
                <w14:ligatures w14:val="none"/>
              </w:rPr>
            </w:pPr>
            <w:r w:rsidRPr="008838E0">
              <w:rPr>
                <w:rFonts w:ascii="Times New Roman" w:eastAsia="Times New Roman" w:hAnsi="Times New Roman" w:cs="Times New Roman"/>
                <w:b/>
                <w:bCs/>
                <w:color w:val="000000" w:themeColor="text1"/>
                <w:spacing w:val="-2"/>
                <w:kern w:val="0"/>
                <w:sz w:val="24"/>
                <w:szCs w:val="24"/>
                <w:lang w:val="en-US" w:eastAsia="en-IN" w:bidi="bn-IN"/>
                <w14:ligatures w14:val="none"/>
              </w:rPr>
              <w:t>Total</w:t>
            </w:r>
          </w:p>
        </w:tc>
      </w:tr>
      <w:tr w:rsidR="004B5AA8" w:rsidRPr="008838E0" w14:paraId="69FF89E0" w14:textId="77777777" w:rsidTr="007B4F52">
        <w:trPr>
          <w:trHeight w:val="224"/>
          <w:jc w:val="center"/>
        </w:trPr>
        <w:tc>
          <w:tcPr>
            <w:tcW w:w="497" w:type="dxa"/>
            <w:hideMark/>
          </w:tcPr>
          <w:p w14:paraId="207A05EA"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kern w:val="0"/>
                <w:sz w:val="24"/>
                <w:szCs w:val="24"/>
                <w:lang w:val="en-US" w:eastAsia="en-IN" w:bidi="bn-IN"/>
                <w14:ligatures w14:val="none"/>
              </w:rPr>
              <w:t>T1</w:t>
            </w:r>
          </w:p>
        </w:tc>
        <w:tc>
          <w:tcPr>
            <w:tcW w:w="2548" w:type="dxa"/>
            <w:hideMark/>
          </w:tcPr>
          <w:p w14:paraId="04419CE8"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spacing w:val="-2"/>
                <w:kern w:val="0"/>
                <w:sz w:val="24"/>
                <w:szCs w:val="24"/>
                <w:lang w:val="en-US" w:eastAsia="en-IN" w:bidi="bn-IN"/>
                <w14:ligatures w14:val="none"/>
              </w:rPr>
              <w:t>CONTROL</w:t>
            </w:r>
          </w:p>
        </w:tc>
        <w:tc>
          <w:tcPr>
            <w:tcW w:w="1204" w:type="dxa"/>
          </w:tcPr>
          <w:p w14:paraId="642D1AEA"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30.75</w:t>
            </w:r>
          </w:p>
        </w:tc>
        <w:tc>
          <w:tcPr>
            <w:tcW w:w="1145" w:type="dxa"/>
          </w:tcPr>
          <w:p w14:paraId="316E6A69" w14:textId="77777777" w:rsidR="004B5AA8" w:rsidRPr="008838E0" w:rsidRDefault="004B5AA8" w:rsidP="007B4F52">
            <w:pPr>
              <w:jc w:val="center"/>
              <w:rPr>
                <w:rFonts w:ascii="Times New Roman" w:hAnsi="Times New Roman" w:cs="Times New Roman"/>
                <w:spacing w:val="-4"/>
                <w:sz w:val="24"/>
                <w:szCs w:val="24"/>
              </w:rPr>
            </w:pPr>
            <w:r w:rsidRPr="008838E0">
              <w:rPr>
                <w:rFonts w:ascii="Times New Roman" w:hAnsi="Times New Roman" w:cs="Times New Roman"/>
                <w:spacing w:val="-4"/>
                <w:sz w:val="24"/>
                <w:szCs w:val="24"/>
              </w:rPr>
              <w:t>4.91</w:t>
            </w:r>
          </w:p>
        </w:tc>
        <w:tc>
          <w:tcPr>
            <w:tcW w:w="1106" w:type="dxa"/>
          </w:tcPr>
          <w:p w14:paraId="73F50B18"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35.66</w:t>
            </w:r>
          </w:p>
        </w:tc>
        <w:tc>
          <w:tcPr>
            <w:tcW w:w="996" w:type="dxa"/>
            <w:gridSpan w:val="2"/>
          </w:tcPr>
          <w:p w14:paraId="1AB78677"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9.17</w:t>
            </w:r>
          </w:p>
        </w:tc>
        <w:tc>
          <w:tcPr>
            <w:tcW w:w="1515" w:type="dxa"/>
          </w:tcPr>
          <w:p w14:paraId="0DAE48B1"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4"/>
                <w:sz w:val="24"/>
                <w:szCs w:val="24"/>
              </w:rPr>
              <w:t>0.74</w:t>
            </w:r>
          </w:p>
        </w:tc>
        <w:tc>
          <w:tcPr>
            <w:tcW w:w="1463" w:type="dxa"/>
          </w:tcPr>
          <w:p w14:paraId="72277063"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9.91</w:t>
            </w:r>
          </w:p>
        </w:tc>
        <w:tc>
          <w:tcPr>
            <w:tcW w:w="982" w:type="dxa"/>
            <w:noWrap/>
          </w:tcPr>
          <w:p w14:paraId="6E0F67BE"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4"/>
                <w:sz w:val="24"/>
                <w:szCs w:val="24"/>
              </w:rPr>
              <w:t>6.63</w:t>
            </w:r>
          </w:p>
        </w:tc>
        <w:tc>
          <w:tcPr>
            <w:tcW w:w="934" w:type="dxa"/>
          </w:tcPr>
          <w:p w14:paraId="600BE5DF"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36.17</w:t>
            </w:r>
          </w:p>
        </w:tc>
        <w:tc>
          <w:tcPr>
            <w:tcW w:w="930" w:type="dxa"/>
            <w:noWrap/>
          </w:tcPr>
          <w:p w14:paraId="437E93F9"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42.80</w:t>
            </w:r>
          </w:p>
        </w:tc>
      </w:tr>
      <w:tr w:rsidR="004B5AA8" w:rsidRPr="008838E0" w14:paraId="2C2034D0" w14:textId="77777777" w:rsidTr="007B4F52">
        <w:trPr>
          <w:trHeight w:val="230"/>
          <w:jc w:val="center"/>
        </w:trPr>
        <w:tc>
          <w:tcPr>
            <w:tcW w:w="497" w:type="dxa"/>
            <w:hideMark/>
          </w:tcPr>
          <w:p w14:paraId="0B594F17"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kern w:val="0"/>
                <w:sz w:val="24"/>
                <w:szCs w:val="24"/>
                <w:lang w:val="en-US" w:eastAsia="en-IN" w:bidi="bn-IN"/>
                <w14:ligatures w14:val="none"/>
              </w:rPr>
              <w:t>T2</w:t>
            </w:r>
          </w:p>
        </w:tc>
        <w:tc>
          <w:tcPr>
            <w:tcW w:w="2548" w:type="dxa"/>
            <w:hideMark/>
          </w:tcPr>
          <w:p w14:paraId="7C3BCA5E"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100% RDF</w:t>
            </w:r>
          </w:p>
        </w:tc>
        <w:tc>
          <w:tcPr>
            <w:tcW w:w="1204" w:type="dxa"/>
          </w:tcPr>
          <w:p w14:paraId="1CCF6E03"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55.86</w:t>
            </w:r>
          </w:p>
        </w:tc>
        <w:tc>
          <w:tcPr>
            <w:tcW w:w="1145" w:type="dxa"/>
          </w:tcPr>
          <w:p w14:paraId="5CBC384A" w14:textId="77777777" w:rsidR="004B5AA8" w:rsidRPr="008838E0" w:rsidRDefault="004B5AA8" w:rsidP="007B4F52">
            <w:pPr>
              <w:jc w:val="center"/>
              <w:rPr>
                <w:rFonts w:ascii="Times New Roman" w:hAnsi="Times New Roman" w:cs="Times New Roman"/>
                <w:spacing w:val="-4"/>
                <w:sz w:val="24"/>
                <w:szCs w:val="24"/>
              </w:rPr>
            </w:pPr>
            <w:r w:rsidRPr="008838E0">
              <w:rPr>
                <w:rFonts w:ascii="Times New Roman" w:hAnsi="Times New Roman" w:cs="Times New Roman"/>
                <w:spacing w:val="-2"/>
                <w:sz w:val="24"/>
                <w:szCs w:val="24"/>
              </w:rPr>
              <w:t>15.57</w:t>
            </w:r>
          </w:p>
        </w:tc>
        <w:tc>
          <w:tcPr>
            <w:tcW w:w="1106" w:type="dxa"/>
          </w:tcPr>
          <w:p w14:paraId="3BC8487F"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71.43</w:t>
            </w:r>
          </w:p>
        </w:tc>
        <w:tc>
          <w:tcPr>
            <w:tcW w:w="996" w:type="dxa"/>
            <w:gridSpan w:val="2"/>
          </w:tcPr>
          <w:p w14:paraId="0D921345"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22.13</w:t>
            </w:r>
          </w:p>
        </w:tc>
        <w:tc>
          <w:tcPr>
            <w:tcW w:w="1515" w:type="dxa"/>
          </w:tcPr>
          <w:p w14:paraId="37F9FD75"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4"/>
                <w:sz w:val="24"/>
                <w:szCs w:val="24"/>
              </w:rPr>
              <w:t>3.12</w:t>
            </w:r>
          </w:p>
        </w:tc>
        <w:tc>
          <w:tcPr>
            <w:tcW w:w="1463" w:type="dxa"/>
          </w:tcPr>
          <w:p w14:paraId="0C7D3E9C"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25.25</w:t>
            </w:r>
          </w:p>
        </w:tc>
        <w:tc>
          <w:tcPr>
            <w:tcW w:w="982" w:type="dxa"/>
            <w:noWrap/>
          </w:tcPr>
          <w:p w14:paraId="3BD796A0"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13.78</w:t>
            </w:r>
          </w:p>
        </w:tc>
        <w:tc>
          <w:tcPr>
            <w:tcW w:w="934" w:type="dxa"/>
          </w:tcPr>
          <w:p w14:paraId="58BA5B8E"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69.25</w:t>
            </w:r>
          </w:p>
        </w:tc>
        <w:tc>
          <w:tcPr>
            <w:tcW w:w="930" w:type="dxa"/>
            <w:noWrap/>
          </w:tcPr>
          <w:p w14:paraId="005731DA"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83.03</w:t>
            </w:r>
          </w:p>
        </w:tc>
      </w:tr>
      <w:tr w:rsidR="004B5AA8" w:rsidRPr="008838E0" w14:paraId="6C79B624" w14:textId="77777777" w:rsidTr="007B4F52">
        <w:trPr>
          <w:trHeight w:val="134"/>
          <w:jc w:val="center"/>
        </w:trPr>
        <w:tc>
          <w:tcPr>
            <w:tcW w:w="497" w:type="dxa"/>
            <w:hideMark/>
          </w:tcPr>
          <w:p w14:paraId="6A96E761"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kern w:val="0"/>
                <w:sz w:val="24"/>
                <w:szCs w:val="24"/>
                <w:lang w:val="en-US" w:eastAsia="en-IN" w:bidi="bn-IN"/>
                <w14:ligatures w14:val="none"/>
              </w:rPr>
              <w:t>T3</w:t>
            </w:r>
          </w:p>
        </w:tc>
        <w:tc>
          <w:tcPr>
            <w:tcW w:w="2548" w:type="dxa"/>
            <w:hideMark/>
          </w:tcPr>
          <w:p w14:paraId="3A3757F8"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75% RDF + FYM</w:t>
            </w:r>
          </w:p>
        </w:tc>
        <w:tc>
          <w:tcPr>
            <w:tcW w:w="1204" w:type="dxa"/>
          </w:tcPr>
          <w:p w14:paraId="783695DD"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53.93</w:t>
            </w:r>
          </w:p>
        </w:tc>
        <w:tc>
          <w:tcPr>
            <w:tcW w:w="1145" w:type="dxa"/>
          </w:tcPr>
          <w:p w14:paraId="61203825" w14:textId="77777777" w:rsidR="004B5AA8" w:rsidRPr="008838E0" w:rsidRDefault="004B5AA8" w:rsidP="007B4F52">
            <w:pPr>
              <w:jc w:val="center"/>
              <w:rPr>
                <w:rFonts w:ascii="Times New Roman" w:hAnsi="Times New Roman" w:cs="Times New Roman"/>
                <w:spacing w:val="-4"/>
                <w:sz w:val="24"/>
                <w:szCs w:val="24"/>
              </w:rPr>
            </w:pPr>
            <w:r w:rsidRPr="008838E0">
              <w:rPr>
                <w:rFonts w:ascii="Times New Roman" w:hAnsi="Times New Roman" w:cs="Times New Roman"/>
                <w:spacing w:val="-2"/>
                <w:sz w:val="24"/>
                <w:szCs w:val="24"/>
              </w:rPr>
              <w:t>13.89</w:t>
            </w:r>
          </w:p>
        </w:tc>
        <w:tc>
          <w:tcPr>
            <w:tcW w:w="1106" w:type="dxa"/>
          </w:tcPr>
          <w:p w14:paraId="2C16BCD5"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67.82</w:t>
            </w:r>
          </w:p>
        </w:tc>
        <w:tc>
          <w:tcPr>
            <w:tcW w:w="996" w:type="dxa"/>
            <w:gridSpan w:val="2"/>
          </w:tcPr>
          <w:p w14:paraId="7F57059A"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21.04</w:t>
            </w:r>
          </w:p>
        </w:tc>
        <w:tc>
          <w:tcPr>
            <w:tcW w:w="1515" w:type="dxa"/>
          </w:tcPr>
          <w:p w14:paraId="487ED710"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4"/>
                <w:sz w:val="24"/>
                <w:szCs w:val="24"/>
              </w:rPr>
              <w:t>2.89</w:t>
            </w:r>
          </w:p>
        </w:tc>
        <w:tc>
          <w:tcPr>
            <w:tcW w:w="1463" w:type="dxa"/>
          </w:tcPr>
          <w:p w14:paraId="450D4CDD"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23.93</w:t>
            </w:r>
          </w:p>
        </w:tc>
        <w:tc>
          <w:tcPr>
            <w:tcW w:w="982" w:type="dxa"/>
            <w:noWrap/>
          </w:tcPr>
          <w:p w14:paraId="2A4AA223"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12.36</w:t>
            </w:r>
          </w:p>
        </w:tc>
        <w:tc>
          <w:tcPr>
            <w:tcW w:w="934" w:type="dxa"/>
          </w:tcPr>
          <w:p w14:paraId="0C3AE91E"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64.12</w:t>
            </w:r>
          </w:p>
        </w:tc>
        <w:tc>
          <w:tcPr>
            <w:tcW w:w="930" w:type="dxa"/>
            <w:noWrap/>
          </w:tcPr>
          <w:p w14:paraId="4B0DD38D"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76.48</w:t>
            </w:r>
          </w:p>
        </w:tc>
      </w:tr>
      <w:tr w:rsidR="004B5AA8" w:rsidRPr="008838E0" w14:paraId="46212AC0" w14:textId="77777777" w:rsidTr="007B4F52">
        <w:trPr>
          <w:trHeight w:val="220"/>
          <w:jc w:val="center"/>
        </w:trPr>
        <w:tc>
          <w:tcPr>
            <w:tcW w:w="497" w:type="dxa"/>
            <w:hideMark/>
          </w:tcPr>
          <w:p w14:paraId="144D6ED4"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kern w:val="0"/>
                <w:sz w:val="24"/>
                <w:szCs w:val="24"/>
                <w:lang w:val="en-US" w:eastAsia="en-IN" w:bidi="bn-IN"/>
                <w14:ligatures w14:val="none"/>
              </w:rPr>
              <w:t>T4</w:t>
            </w:r>
          </w:p>
        </w:tc>
        <w:tc>
          <w:tcPr>
            <w:tcW w:w="2548" w:type="dxa"/>
            <w:hideMark/>
          </w:tcPr>
          <w:p w14:paraId="79A17648"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75% RDF + VC</w:t>
            </w:r>
          </w:p>
        </w:tc>
        <w:tc>
          <w:tcPr>
            <w:tcW w:w="1204" w:type="dxa"/>
          </w:tcPr>
          <w:p w14:paraId="42439BFF"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57.67</w:t>
            </w:r>
          </w:p>
        </w:tc>
        <w:tc>
          <w:tcPr>
            <w:tcW w:w="1145" w:type="dxa"/>
          </w:tcPr>
          <w:p w14:paraId="36C45895" w14:textId="77777777" w:rsidR="004B5AA8" w:rsidRPr="008838E0" w:rsidRDefault="004B5AA8" w:rsidP="007B4F52">
            <w:pPr>
              <w:jc w:val="center"/>
              <w:rPr>
                <w:rFonts w:ascii="Times New Roman" w:hAnsi="Times New Roman" w:cs="Times New Roman"/>
                <w:spacing w:val="-4"/>
                <w:sz w:val="24"/>
                <w:szCs w:val="24"/>
              </w:rPr>
            </w:pPr>
            <w:r w:rsidRPr="008838E0">
              <w:rPr>
                <w:rFonts w:ascii="Times New Roman" w:hAnsi="Times New Roman" w:cs="Times New Roman"/>
                <w:spacing w:val="-2"/>
                <w:sz w:val="24"/>
                <w:szCs w:val="24"/>
              </w:rPr>
              <w:t>16.42</w:t>
            </w:r>
          </w:p>
        </w:tc>
        <w:tc>
          <w:tcPr>
            <w:tcW w:w="1106" w:type="dxa"/>
          </w:tcPr>
          <w:p w14:paraId="258728E4"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74.09</w:t>
            </w:r>
          </w:p>
        </w:tc>
        <w:tc>
          <w:tcPr>
            <w:tcW w:w="996" w:type="dxa"/>
            <w:gridSpan w:val="2"/>
          </w:tcPr>
          <w:p w14:paraId="4D3887B9"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23.26</w:t>
            </w:r>
          </w:p>
        </w:tc>
        <w:tc>
          <w:tcPr>
            <w:tcW w:w="1515" w:type="dxa"/>
          </w:tcPr>
          <w:p w14:paraId="0CBB9655"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4"/>
                <w:sz w:val="24"/>
                <w:szCs w:val="24"/>
              </w:rPr>
              <w:t>3.75</w:t>
            </w:r>
          </w:p>
        </w:tc>
        <w:tc>
          <w:tcPr>
            <w:tcW w:w="1463" w:type="dxa"/>
          </w:tcPr>
          <w:p w14:paraId="1382F15B"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27.01</w:t>
            </w:r>
          </w:p>
        </w:tc>
        <w:tc>
          <w:tcPr>
            <w:tcW w:w="982" w:type="dxa"/>
            <w:noWrap/>
          </w:tcPr>
          <w:p w14:paraId="2171E58F"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14.42</w:t>
            </w:r>
          </w:p>
        </w:tc>
        <w:tc>
          <w:tcPr>
            <w:tcW w:w="934" w:type="dxa"/>
          </w:tcPr>
          <w:p w14:paraId="29806CF4"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78.15</w:t>
            </w:r>
          </w:p>
        </w:tc>
        <w:tc>
          <w:tcPr>
            <w:tcW w:w="930" w:type="dxa"/>
            <w:noWrap/>
          </w:tcPr>
          <w:p w14:paraId="3EE0837D"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92.57</w:t>
            </w:r>
          </w:p>
        </w:tc>
      </w:tr>
      <w:tr w:rsidR="004B5AA8" w:rsidRPr="008838E0" w14:paraId="15BB7F74" w14:textId="77777777" w:rsidTr="007B4F52">
        <w:trPr>
          <w:trHeight w:val="265"/>
          <w:jc w:val="center"/>
        </w:trPr>
        <w:tc>
          <w:tcPr>
            <w:tcW w:w="497" w:type="dxa"/>
            <w:hideMark/>
          </w:tcPr>
          <w:p w14:paraId="0171E783"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kern w:val="0"/>
                <w:sz w:val="24"/>
                <w:szCs w:val="24"/>
                <w:lang w:val="en-US" w:eastAsia="en-IN" w:bidi="bn-IN"/>
                <w14:ligatures w14:val="none"/>
              </w:rPr>
              <w:t>T5</w:t>
            </w:r>
          </w:p>
        </w:tc>
        <w:tc>
          <w:tcPr>
            <w:tcW w:w="2548" w:type="dxa"/>
            <w:hideMark/>
          </w:tcPr>
          <w:p w14:paraId="09CB4550"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75% RDF + FYM + VC</w:t>
            </w:r>
          </w:p>
        </w:tc>
        <w:tc>
          <w:tcPr>
            <w:tcW w:w="1204" w:type="dxa"/>
          </w:tcPr>
          <w:p w14:paraId="562ED4CC"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61.15</w:t>
            </w:r>
          </w:p>
        </w:tc>
        <w:tc>
          <w:tcPr>
            <w:tcW w:w="1145" w:type="dxa"/>
          </w:tcPr>
          <w:p w14:paraId="5DA66711" w14:textId="77777777" w:rsidR="004B5AA8" w:rsidRPr="008838E0" w:rsidRDefault="004B5AA8" w:rsidP="007B4F52">
            <w:pPr>
              <w:jc w:val="center"/>
              <w:rPr>
                <w:rFonts w:ascii="Times New Roman" w:hAnsi="Times New Roman" w:cs="Times New Roman"/>
                <w:spacing w:val="-4"/>
                <w:sz w:val="24"/>
                <w:szCs w:val="24"/>
              </w:rPr>
            </w:pPr>
            <w:r w:rsidRPr="008838E0">
              <w:rPr>
                <w:rFonts w:ascii="Times New Roman" w:hAnsi="Times New Roman" w:cs="Times New Roman"/>
                <w:spacing w:val="-2"/>
                <w:sz w:val="24"/>
                <w:szCs w:val="24"/>
              </w:rPr>
              <w:t>18.27</w:t>
            </w:r>
          </w:p>
        </w:tc>
        <w:tc>
          <w:tcPr>
            <w:tcW w:w="1106" w:type="dxa"/>
          </w:tcPr>
          <w:p w14:paraId="53CCEE50"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79.42</w:t>
            </w:r>
          </w:p>
        </w:tc>
        <w:tc>
          <w:tcPr>
            <w:tcW w:w="996" w:type="dxa"/>
            <w:gridSpan w:val="2"/>
          </w:tcPr>
          <w:p w14:paraId="77DF458E"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24.37</w:t>
            </w:r>
          </w:p>
        </w:tc>
        <w:tc>
          <w:tcPr>
            <w:tcW w:w="1515" w:type="dxa"/>
          </w:tcPr>
          <w:p w14:paraId="4B7C5843"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4"/>
                <w:sz w:val="24"/>
                <w:szCs w:val="24"/>
              </w:rPr>
              <w:t>4.13</w:t>
            </w:r>
          </w:p>
        </w:tc>
        <w:tc>
          <w:tcPr>
            <w:tcW w:w="1463" w:type="dxa"/>
          </w:tcPr>
          <w:p w14:paraId="7C52EFF5"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28.50</w:t>
            </w:r>
          </w:p>
        </w:tc>
        <w:tc>
          <w:tcPr>
            <w:tcW w:w="982" w:type="dxa"/>
            <w:noWrap/>
          </w:tcPr>
          <w:p w14:paraId="14CC803E"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15.82</w:t>
            </w:r>
          </w:p>
        </w:tc>
        <w:tc>
          <w:tcPr>
            <w:tcW w:w="934" w:type="dxa"/>
          </w:tcPr>
          <w:p w14:paraId="04609648"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82.10</w:t>
            </w:r>
          </w:p>
        </w:tc>
        <w:tc>
          <w:tcPr>
            <w:tcW w:w="930" w:type="dxa"/>
            <w:noWrap/>
          </w:tcPr>
          <w:p w14:paraId="0871EDC6"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97.92</w:t>
            </w:r>
          </w:p>
        </w:tc>
      </w:tr>
      <w:tr w:rsidR="004B5AA8" w:rsidRPr="008838E0" w14:paraId="6404D1A4" w14:textId="77777777" w:rsidTr="007B4F52">
        <w:trPr>
          <w:trHeight w:val="269"/>
          <w:jc w:val="center"/>
        </w:trPr>
        <w:tc>
          <w:tcPr>
            <w:tcW w:w="497" w:type="dxa"/>
            <w:hideMark/>
          </w:tcPr>
          <w:p w14:paraId="5515334C"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kern w:val="0"/>
                <w:sz w:val="24"/>
                <w:szCs w:val="24"/>
                <w:lang w:val="en-US" w:eastAsia="en-IN" w:bidi="bn-IN"/>
                <w14:ligatures w14:val="none"/>
              </w:rPr>
              <w:t>T6</w:t>
            </w:r>
          </w:p>
        </w:tc>
        <w:tc>
          <w:tcPr>
            <w:tcW w:w="2548" w:type="dxa"/>
            <w:hideMark/>
          </w:tcPr>
          <w:p w14:paraId="295DC041"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50% RDF + FYM</w:t>
            </w:r>
          </w:p>
        </w:tc>
        <w:tc>
          <w:tcPr>
            <w:tcW w:w="1204" w:type="dxa"/>
          </w:tcPr>
          <w:p w14:paraId="0CA548B2"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43.82</w:t>
            </w:r>
          </w:p>
        </w:tc>
        <w:tc>
          <w:tcPr>
            <w:tcW w:w="1145" w:type="dxa"/>
          </w:tcPr>
          <w:p w14:paraId="3BE2884A" w14:textId="77777777" w:rsidR="004B5AA8" w:rsidRPr="008838E0" w:rsidRDefault="004B5AA8" w:rsidP="007B4F52">
            <w:pPr>
              <w:jc w:val="center"/>
              <w:rPr>
                <w:rFonts w:ascii="Times New Roman" w:hAnsi="Times New Roman" w:cs="Times New Roman"/>
                <w:spacing w:val="-4"/>
                <w:sz w:val="24"/>
                <w:szCs w:val="24"/>
              </w:rPr>
            </w:pPr>
            <w:r w:rsidRPr="008838E0">
              <w:rPr>
                <w:rFonts w:ascii="Times New Roman" w:hAnsi="Times New Roman" w:cs="Times New Roman"/>
                <w:spacing w:val="-2"/>
                <w:sz w:val="24"/>
                <w:szCs w:val="24"/>
              </w:rPr>
              <w:t>10.22</w:t>
            </w:r>
          </w:p>
        </w:tc>
        <w:tc>
          <w:tcPr>
            <w:tcW w:w="1106" w:type="dxa"/>
          </w:tcPr>
          <w:p w14:paraId="7C935E7D"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54.04</w:t>
            </w:r>
          </w:p>
        </w:tc>
        <w:tc>
          <w:tcPr>
            <w:tcW w:w="996" w:type="dxa"/>
            <w:gridSpan w:val="2"/>
          </w:tcPr>
          <w:p w14:paraId="3C9CD8EC"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18.42</w:t>
            </w:r>
          </w:p>
        </w:tc>
        <w:tc>
          <w:tcPr>
            <w:tcW w:w="1515" w:type="dxa"/>
          </w:tcPr>
          <w:p w14:paraId="683AA4C8"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4"/>
                <w:sz w:val="24"/>
                <w:szCs w:val="24"/>
              </w:rPr>
              <w:t>2.18</w:t>
            </w:r>
          </w:p>
        </w:tc>
        <w:tc>
          <w:tcPr>
            <w:tcW w:w="1463" w:type="dxa"/>
          </w:tcPr>
          <w:p w14:paraId="2CD07EB3"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20.60</w:t>
            </w:r>
          </w:p>
        </w:tc>
        <w:tc>
          <w:tcPr>
            <w:tcW w:w="982" w:type="dxa"/>
            <w:noWrap/>
          </w:tcPr>
          <w:p w14:paraId="55995E09"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11.27</w:t>
            </w:r>
          </w:p>
        </w:tc>
        <w:tc>
          <w:tcPr>
            <w:tcW w:w="934" w:type="dxa"/>
          </w:tcPr>
          <w:p w14:paraId="77B96445"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57.25</w:t>
            </w:r>
          </w:p>
        </w:tc>
        <w:tc>
          <w:tcPr>
            <w:tcW w:w="930" w:type="dxa"/>
            <w:noWrap/>
          </w:tcPr>
          <w:p w14:paraId="1E48A594"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68.52</w:t>
            </w:r>
          </w:p>
        </w:tc>
      </w:tr>
      <w:tr w:rsidR="004B5AA8" w:rsidRPr="008838E0" w14:paraId="0EF43712" w14:textId="77777777" w:rsidTr="007B4F52">
        <w:trPr>
          <w:trHeight w:val="281"/>
          <w:jc w:val="center"/>
        </w:trPr>
        <w:tc>
          <w:tcPr>
            <w:tcW w:w="497" w:type="dxa"/>
            <w:hideMark/>
          </w:tcPr>
          <w:p w14:paraId="27EB673B"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kern w:val="0"/>
                <w:sz w:val="24"/>
                <w:szCs w:val="24"/>
                <w:lang w:val="en-US" w:eastAsia="en-IN" w:bidi="bn-IN"/>
                <w14:ligatures w14:val="none"/>
              </w:rPr>
              <w:t>T7</w:t>
            </w:r>
          </w:p>
        </w:tc>
        <w:tc>
          <w:tcPr>
            <w:tcW w:w="2548" w:type="dxa"/>
            <w:hideMark/>
          </w:tcPr>
          <w:p w14:paraId="0CE4166F"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50% RDF + VC</w:t>
            </w:r>
          </w:p>
        </w:tc>
        <w:tc>
          <w:tcPr>
            <w:tcW w:w="1204" w:type="dxa"/>
          </w:tcPr>
          <w:p w14:paraId="253D4531"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45.25</w:t>
            </w:r>
          </w:p>
        </w:tc>
        <w:tc>
          <w:tcPr>
            <w:tcW w:w="1145" w:type="dxa"/>
          </w:tcPr>
          <w:p w14:paraId="3A942A5D" w14:textId="77777777" w:rsidR="004B5AA8" w:rsidRPr="008838E0" w:rsidRDefault="004B5AA8" w:rsidP="007B4F52">
            <w:pPr>
              <w:jc w:val="center"/>
              <w:rPr>
                <w:rFonts w:ascii="Times New Roman" w:hAnsi="Times New Roman" w:cs="Times New Roman"/>
                <w:spacing w:val="-4"/>
                <w:sz w:val="24"/>
                <w:szCs w:val="24"/>
              </w:rPr>
            </w:pPr>
            <w:r w:rsidRPr="008838E0">
              <w:rPr>
                <w:rFonts w:ascii="Times New Roman" w:hAnsi="Times New Roman" w:cs="Times New Roman"/>
                <w:spacing w:val="-2"/>
                <w:sz w:val="24"/>
                <w:szCs w:val="24"/>
              </w:rPr>
              <w:t>12.35</w:t>
            </w:r>
          </w:p>
        </w:tc>
        <w:tc>
          <w:tcPr>
            <w:tcW w:w="1106" w:type="dxa"/>
          </w:tcPr>
          <w:p w14:paraId="612A0926"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57.60</w:t>
            </w:r>
          </w:p>
        </w:tc>
        <w:tc>
          <w:tcPr>
            <w:tcW w:w="996" w:type="dxa"/>
            <w:gridSpan w:val="2"/>
          </w:tcPr>
          <w:p w14:paraId="24ADEF11"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19.74</w:t>
            </w:r>
          </w:p>
        </w:tc>
        <w:tc>
          <w:tcPr>
            <w:tcW w:w="1515" w:type="dxa"/>
          </w:tcPr>
          <w:p w14:paraId="3FB9271B"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4"/>
                <w:sz w:val="24"/>
                <w:szCs w:val="24"/>
              </w:rPr>
              <w:t>2.67</w:t>
            </w:r>
          </w:p>
        </w:tc>
        <w:tc>
          <w:tcPr>
            <w:tcW w:w="1463" w:type="dxa"/>
          </w:tcPr>
          <w:p w14:paraId="3D1E1F09"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22.41</w:t>
            </w:r>
          </w:p>
        </w:tc>
        <w:tc>
          <w:tcPr>
            <w:tcW w:w="982" w:type="dxa"/>
            <w:noWrap/>
          </w:tcPr>
          <w:p w14:paraId="47996925"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12.73</w:t>
            </w:r>
          </w:p>
        </w:tc>
        <w:tc>
          <w:tcPr>
            <w:tcW w:w="934" w:type="dxa"/>
          </w:tcPr>
          <w:p w14:paraId="63639837"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61.27</w:t>
            </w:r>
          </w:p>
        </w:tc>
        <w:tc>
          <w:tcPr>
            <w:tcW w:w="930" w:type="dxa"/>
            <w:noWrap/>
          </w:tcPr>
          <w:p w14:paraId="7ED365C5"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74.00</w:t>
            </w:r>
          </w:p>
        </w:tc>
      </w:tr>
      <w:tr w:rsidR="004B5AA8" w:rsidRPr="008838E0" w14:paraId="53D9B064" w14:textId="77777777" w:rsidTr="007B4F52">
        <w:trPr>
          <w:trHeight w:val="277"/>
          <w:jc w:val="center"/>
        </w:trPr>
        <w:tc>
          <w:tcPr>
            <w:tcW w:w="497" w:type="dxa"/>
            <w:hideMark/>
          </w:tcPr>
          <w:p w14:paraId="49F174CC" w14:textId="77777777" w:rsidR="004B5AA8" w:rsidRPr="008838E0" w:rsidRDefault="004B5AA8" w:rsidP="007B4F52">
            <w:pPr>
              <w:rPr>
                <w:rFonts w:ascii="Times New Roman" w:eastAsia="Times New Roman" w:hAnsi="Times New Roman" w:cs="Times New Roman"/>
                <w:b/>
                <w:bCs/>
                <w:color w:val="000000" w:themeColor="text1"/>
                <w:kern w:val="0"/>
                <w:sz w:val="24"/>
                <w:szCs w:val="24"/>
                <w:lang w:eastAsia="en-IN" w:bidi="bn-IN"/>
                <w14:ligatures w14:val="none"/>
              </w:rPr>
            </w:pPr>
            <w:r w:rsidRPr="008838E0">
              <w:rPr>
                <w:rFonts w:ascii="Times New Roman" w:eastAsia="Times New Roman" w:hAnsi="Times New Roman" w:cs="Times New Roman"/>
                <w:b/>
                <w:bCs/>
                <w:color w:val="000000" w:themeColor="text1"/>
                <w:kern w:val="0"/>
                <w:sz w:val="24"/>
                <w:szCs w:val="24"/>
                <w:lang w:val="en-US" w:eastAsia="en-IN" w:bidi="bn-IN"/>
                <w14:ligatures w14:val="none"/>
              </w:rPr>
              <w:t>T8</w:t>
            </w:r>
          </w:p>
        </w:tc>
        <w:tc>
          <w:tcPr>
            <w:tcW w:w="2548" w:type="dxa"/>
            <w:hideMark/>
          </w:tcPr>
          <w:p w14:paraId="4F1A85FB"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50% RDF + FYM + VC</w:t>
            </w:r>
          </w:p>
        </w:tc>
        <w:tc>
          <w:tcPr>
            <w:tcW w:w="1204" w:type="dxa"/>
          </w:tcPr>
          <w:p w14:paraId="4792E026"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48.12</w:t>
            </w:r>
          </w:p>
        </w:tc>
        <w:tc>
          <w:tcPr>
            <w:tcW w:w="1145" w:type="dxa"/>
          </w:tcPr>
          <w:p w14:paraId="68ADF635" w14:textId="77777777" w:rsidR="004B5AA8" w:rsidRPr="008838E0" w:rsidRDefault="004B5AA8" w:rsidP="007B4F52">
            <w:pPr>
              <w:jc w:val="center"/>
              <w:rPr>
                <w:rFonts w:ascii="Times New Roman" w:hAnsi="Times New Roman" w:cs="Times New Roman"/>
                <w:spacing w:val="-4"/>
                <w:sz w:val="24"/>
                <w:szCs w:val="24"/>
              </w:rPr>
            </w:pPr>
            <w:r w:rsidRPr="008838E0">
              <w:rPr>
                <w:rFonts w:ascii="Times New Roman" w:hAnsi="Times New Roman" w:cs="Times New Roman"/>
                <w:spacing w:val="-2"/>
                <w:sz w:val="24"/>
                <w:szCs w:val="24"/>
              </w:rPr>
              <w:t>13.67</w:t>
            </w:r>
          </w:p>
        </w:tc>
        <w:tc>
          <w:tcPr>
            <w:tcW w:w="1106" w:type="dxa"/>
          </w:tcPr>
          <w:p w14:paraId="74CB3860"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61.79</w:t>
            </w:r>
          </w:p>
        </w:tc>
        <w:tc>
          <w:tcPr>
            <w:tcW w:w="996" w:type="dxa"/>
            <w:gridSpan w:val="2"/>
          </w:tcPr>
          <w:p w14:paraId="333EB502"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21.14</w:t>
            </w:r>
          </w:p>
        </w:tc>
        <w:tc>
          <w:tcPr>
            <w:tcW w:w="1515" w:type="dxa"/>
          </w:tcPr>
          <w:p w14:paraId="07B2EA91"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4"/>
                <w:sz w:val="24"/>
                <w:szCs w:val="24"/>
              </w:rPr>
              <w:t>3.10</w:t>
            </w:r>
          </w:p>
        </w:tc>
        <w:tc>
          <w:tcPr>
            <w:tcW w:w="1463" w:type="dxa"/>
          </w:tcPr>
          <w:p w14:paraId="75DD722C"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24.24</w:t>
            </w:r>
          </w:p>
        </w:tc>
        <w:tc>
          <w:tcPr>
            <w:tcW w:w="982" w:type="dxa"/>
            <w:noWrap/>
          </w:tcPr>
          <w:p w14:paraId="4B71F659"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13.25</w:t>
            </w:r>
          </w:p>
        </w:tc>
        <w:tc>
          <w:tcPr>
            <w:tcW w:w="934" w:type="dxa"/>
          </w:tcPr>
          <w:p w14:paraId="6E04919E"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72.43</w:t>
            </w:r>
          </w:p>
        </w:tc>
        <w:tc>
          <w:tcPr>
            <w:tcW w:w="930" w:type="dxa"/>
            <w:noWrap/>
          </w:tcPr>
          <w:p w14:paraId="405339B5"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85.68</w:t>
            </w:r>
          </w:p>
        </w:tc>
      </w:tr>
      <w:tr w:rsidR="004B5AA8" w:rsidRPr="008838E0" w14:paraId="23498B5D" w14:textId="77777777" w:rsidTr="007B4F52">
        <w:trPr>
          <w:trHeight w:val="235"/>
          <w:jc w:val="center"/>
        </w:trPr>
        <w:tc>
          <w:tcPr>
            <w:tcW w:w="497" w:type="dxa"/>
            <w:hideMark/>
          </w:tcPr>
          <w:p w14:paraId="6150CBC9"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kern w:val="0"/>
                <w:sz w:val="24"/>
                <w:szCs w:val="24"/>
                <w:lang w:val="en-US" w:eastAsia="en-IN" w:bidi="bn-IN"/>
                <w14:ligatures w14:val="none"/>
              </w:rPr>
              <w:t> </w:t>
            </w:r>
          </w:p>
        </w:tc>
        <w:tc>
          <w:tcPr>
            <w:tcW w:w="2548" w:type="dxa"/>
            <w:hideMark/>
          </w:tcPr>
          <w:p w14:paraId="73A6C797" w14:textId="77777777" w:rsidR="004B5AA8" w:rsidRPr="008838E0" w:rsidRDefault="004B5AA8" w:rsidP="007B4F52">
            <w:pP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eastAsia="Times New Roman" w:hAnsi="Times New Roman" w:cs="Times New Roman"/>
                <w:color w:val="000000" w:themeColor="text1"/>
                <w:spacing w:val="-2"/>
                <w:kern w:val="0"/>
                <w:sz w:val="24"/>
                <w:szCs w:val="24"/>
                <w:lang w:val="en-US" w:eastAsia="en-IN" w:bidi="bn-IN"/>
                <w14:ligatures w14:val="none"/>
              </w:rPr>
              <w:t>CD (5%)</w:t>
            </w:r>
          </w:p>
        </w:tc>
        <w:tc>
          <w:tcPr>
            <w:tcW w:w="1204" w:type="dxa"/>
          </w:tcPr>
          <w:p w14:paraId="6043E96F"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2.571</w:t>
            </w:r>
          </w:p>
        </w:tc>
        <w:tc>
          <w:tcPr>
            <w:tcW w:w="1145" w:type="dxa"/>
          </w:tcPr>
          <w:p w14:paraId="285F31A6" w14:textId="77777777" w:rsidR="004B5AA8" w:rsidRPr="008838E0" w:rsidRDefault="004B5AA8" w:rsidP="007B4F52">
            <w:pPr>
              <w:jc w:val="center"/>
              <w:rPr>
                <w:rFonts w:ascii="Times New Roman" w:hAnsi="Times New Roman" w:cs="Times New Roman"/>
                <w:spacing w:val="-4"/>
                <w:sz w:val="24"/>
                <w:szCs w:val="24"/>
              </w:rPr>
            </w:pPr>
            <w:r w:rsidRPr="008838E0">
              <w:rPr>
                <w:rFonts w:ascii="Times New Roman" w:hAnsi="Times New Roman" w:cs="Times New Roman"/>
                <w:spacing w:val="-2"/>
                <w:sz w:val="24"/>
                <w:szCs w:val="24"/>
              </w:rPr>
              <w:t>0.675</w:t>
            </w:r>
          </w:p>
        </w:tc>
        <w:tc>
          <w:tcPr>
            <w:tcW w:w="1106" w:type="dxa"/>
          </w:tcPr>
          <w:p w14:paraId="67007D7A"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p>
        </w:tc>
        <w:tc>
          <w:tcPr>
            <w:tcW w:w="996" w:type="dxa"/>
            <w:gridSpan w:val="2"/>
          </w:tcPr>
          <w:p w14:paraId="18DA98CD"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0.996</w:t>
            </w:r>
          </w:p>
        </w:tc>
        <w:tc>
          <w:tcPr>
            <w:tcW w:w="1515" w:type="dxa"/>
          </w:tcPr>
          <w:p w14:paraId="15249E08" w14:textId="77777777" w:rsidR="004B5AA8" w:rsidRPr="008838E0" w:rsidRDefault="004B5AA8" w:rsidP="007B4F52">
            <w:pPr>
              <w:jc w:val="center"/>
              <w:rPr>
                <w:rFonts w:ascii="Times New Roman" w:eastAsia="Times New Roman" w:hAnsi="Times New Roman" w:cs="Times New Roman"/>
                <w:color w:val="000000" w:themeColor="text1"/>
                <w:spacing w:val="-2"/>
                <w:kern w:val="0"/>
                <w:sz w:val="24"/>
                <w:szCs w:val="24"/>
                <w:lang w:val="en-US" w:eastAsia="en-IN" w:bidi="bn-IN"/>
                <w14:ligatures w14:val="none"/>
              </w:rPr>
            </w:pPr>
            <w:r w:rsidRPr="008838E0">
              <w:rPr>
                <w:rFonts w:ascii="Times New Roman" w:hAnsi="Times New Roman" w:cs="Times New Roman"/>
                <w:spacing w:val="-2"/>
                <w:sz w:val="24"/>
                <w:szCs w:val="24"/>
              </w:rPr>
              <w:t>0.141</w:t>
            </w:r>
          </w:p>
        </w:tc>
        <w:tc>
          <w:tcPr>
            <w:tcW w:w="1463" w:type="dxa"/>
          </w:tcPr>
          <w:p w14:paraId="38CF5D2B"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p>
        </w:tc>
        <w:tc>
          <w:tcPr>
            <w:tcW w:w="982" w:type="dxa"/>
            <w:noWrap/>
          </w:tcPr>
          <w:p w14:paraId="0636004F"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3.156</w:t>
            </w:r>
          </w:p>
        </w:tc>
        <w:tc>
          <w:tcPr>
            <w:tcW w:w="934" w:type="dxa"/>
          </w:tcPr>
          <w:p w14:paraId="60B68753"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r w:rsidRPr="008838E0">
              <w:rPr>
                <w:rFonts w:ascii="Times New Roman" w:hAnsi="Times New Roman" w:cs="Times New Roman"/>
                <w:spacing w:val="-2"/>
                <w:sz w:val="24"/>
                <w:szCs w:val="24"/>
              </w:rPr>
              <w:t>2.614</w:t>
            </w:r>
          </w:p>
        </w:tc>
        <w:tc>
          <w:tcPr>
            <w:tcW w:w="930" w:type="dxa"/>
            <w:noWrap/>
          </w:tcPr>
          <w:p w14:paraId="557276EF" w14:textId="77777777" w:rsidR="004B5AA8" w:rsidRPr="008838E0" w:rsidRDefault="004B5AA8" w:rsidP="007B4F52">
            <w:pPr>
              <w:jc w:val="center"/>
              <w:rPr>
                <w:rFonts w:ascii="Times New Roman" w:eastAsia="Times New Roman" w:hAnsi="Times New Roman" w:cs="Times New Roman"/>
                <w:color w:val="000000" w:themeColor="text1"/>
                <w:kern w:val="0"/>
                <w:sz w:val="24"/>
                <w:szCs w:val="24"/>
                <w:lang w:eastAsia="en-IN" w:bidi="bn-IN"/>
                <w14:ligatures w14:val="none"/>
              </w:rPr>
            </w:pPr>
          </w:p>
        </w:tc>
      </w:tr>
      <w:bookmarkEnd w:id="1"/>
    </w:tbl>
    <w:p w14:paraId="57742EC6" w14:textId="77777777" w:rsidR="004B5AA8" w:rsidRPr="00CB1074" w:rsidRDefault="004B5AA8" w:rsidP="004B5AA8">
      <w:pPr>
        <w:spacing w:line="360" w:lineRule="auto"/>
        <w:jc w:val="both"/>
        <w:rPr>
          <w:rFonts w:ascii="Times New Roman" w:hAnsi="Times New Roman" w:cs="Times New Roman"/>
          <w:color w:val="000000" w:themeColor="text1"/>
          <w:sz w:val="24"/>
          <w:szCs w:val="24"/>
        </w:rPr>
      </w:pPr>
    </w:p>
    <w:p w14:paraId="6E133061" w14:textId="77777777" w:rsidR="00B51A45" w:rsidRDefault="00B51A45" w:rsidP="00012083">
      <w:pPr>
        <w:spacing w:after="0" w:line="360" w:lineRule="auto"/>
        <w:jc w:val="both"/>
        <w:rPr>
          <w:rFonts w:ascii="Times New Roman" w:hAnsi="Times New Roman" w:cs="Times New Roman"/>
          <w:sz w:val="24"/>
          <w:szCs w:val="24"/>
        </w:rPr>
      </w:pPr>
    </w:p>
    <w:sectPr w:rsidR="00B51A45" w:rsidSect="00C07434">
      <w:headerReference w:type="even" r:id="rId26"/>
      <w:headerReference w:type="default" r:id="rId27"/>
      <w:headerReference w:type="first" r:id="rId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B625A" w14:textId="77777777" w:rsidR="005F5329" w:rsidRDefault="005F5329" w:rsidP="00C07434">
      <w:pPr>
        <w:spacing w:after="0" w:line="240" w:lineRule="auto"/>
      </w:pPr>
      <w:r>
        <w:separator/>
      </w:r>
    </w:p>
  </w:endnote>
  <w:endnote w:type="continuationSeparator" w:id="0">
    <w:p w14:paraId="01638AB9" w14:textId="77777777" w:rsidR="005F5329" w:rsidRDefault="005F5329" w:rsidP="00C07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88A2B" w14:textId="77777777" w:rsidR="00087183" w:rsidRDefault="00087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2102B" w14:textId="77777777" w:rsidR="00087183" w:rsidRDefault="00087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20A68" w14:textId="77777777" w:rsidR="00087183" w:rsidRDefault="00087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A6372" w14:textId="77777777" w:rsidR="005F5329" w:rsidRDefault="005F5329" w:rsidP="00C07434">
      <w:pPr>
        <w:spacing w:after="0" w:line="240" w:lineRule="auto"/>
      </w:pPr>
      <w:r>
        <w:separator/>
      </w:r>
    </w:p>
  </w:footnote>
  <w:footnote w:type="continuationSeparator" w:id="0">
    <w:p w14:paraId="0376DAD9" w14:textId="77777777" w:rsidR="005F5329" w:rsidRDefault="005F5329" w:rsidP="00C07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F49AC" w14:textId="10E3A924" w:rsidR="00087183" w:rsidRDefault="00087183">
    <w:pPr>
      <w:pStyle w:val="Header"/>
    </w:pPr>
    <w:r>
      <w:rPr>
        <w:noProof/>
      </w:rPr>
      <w:pict w14:anchorId="19FCC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8764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0DE46" w14:textId="5A575F21" w:rsidR="00087183" w:rsidRDefault="00087183">
    <w:pPr>
      <w:pStyle w:val="Header"/>
    </w:pPr>
    <w:r>
      <w:rPr>
        <w:noProof/>
      </w:rPr>
      <w:pict w14:anchorId="16A1D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8764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7BB93" w14:textId="5E5EA246" w:rsidR="00087183" w:rsidRDefault="00087183">
    <w:pPr>
      <w:pStyle w:val="Header"/>
    </w:pPr>
    <w:r>
      <w:rPr>
        <w:noProof/>
      </w:rPr>
      <w:pict w14:anchorId="39F74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8764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76CE" w14:textId="3A0778F9" w:rsidR="00087183" w:rsidRDefault="00087183">
    <w:pPr>
      <w:pStyle w:val="Header"/>
    </w:pPr>
    <w:r>
      <w:rPr>
        <w:noProof/>
      </w:rPr>
      <w:pict w14:anchorId="1F3B1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876441"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A7A31" w14:textId="1FD17220" w:rsidR="00C07434" w:rsidRDefault="00087183">
    <w:pPr>
      <w:pStyle w:val="Header"/>
    </w:pPr>
    <w:r>
      <w:rPr>
        <w:noProof/>
      </w:rPr>
      <w:pict w14:anchorId="16FA6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876442"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1126F" w14:textId="1C040222" w:rsidR="00087183" w:rsidRDefault="00087183">
    <w:pPr>
      <w:pStyle w:val="Header"/>
    </w:pPr>
    <w:r>
      <w:rPr>
        <w:noProof/>
      </w:rPr>
      <w:pict w14:anchorId="1624C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876440"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C215B3"/>
    <w:multiLevelType w:val="hybridMultilevel"/>
    <w:tmpl w:val="5AEA587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3EFF7FAE"/>
    <w:multiLevelType w:val="multilevel"/>
    <w:tmpl w:val="01C4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A0506E"/>
    <w:multiLevelType w:val="hybridMultilevel"/>
    <w:tmpl w:val="32647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E5"/>
    <w:rsid w:val="00000EF2"/>
    <w:rsid w:val="00012083"/>
    <w:rsid w:val="00015590"/>
    <w:rsid w:val="00026BDD"/>
    <w:rsid w:val="0007575E"/>
    <w:rsid w:val="00087183"/>
    <w:rsid w:val="000943A9"/>
    <w:rsid w:val="000F5273"/>
    <w:rsid w:val="000F6EDB"/>
    <w:rsid w:val="00103094"/>
    <w:rsid w:val="0012303C"/>
    <w:rsid w:val="00134B6C"/>
    <w:rsid w:val="00162D70"/>
    <w:rsid w:val="001E0E74"/>
    <w:rsid w:val="001F4504"/>
    <w:rsid w:val="00225AEC"/>
    <w:rsid w:val="00242727"/>
    <w:rsid w:val="0024566C"/>
    <w:rsid w:val="00287630"/>
    <w:rsid w:val="002925CB"/>
    <w:rsid w:val="002D316F"/>
    <w:rsid w:val="002F1A8F"/>
    <w:rsid w:val="00311786"/>
    <w:rsid w:val="003660DA"/>
    <w:rsid w:val="00390492"/>
    <w:rsid w:val="003A1CD8"/>
    <w:rsid w:val="003C5B81"/>
    <w:rsid w:val="00455066"/>
    <w:rsid w:val="00472DC8"/>
    <w:rsid w:val="004B5AA8"/>
    <w:rsid w:val="004D0274"/>
    <w:rsid w:val="004D29AE"/>
    <w:rsid w:val="00540459"/>
    <w:rsid w:val="00580E3B"/>
    <w:rsid w:val="00590B41"/>
    <w:rsid w:val="00591461"/>
    <w:rsid w:val="005E477F"/>
    <w:rsid w:val="005F5329"/>
    <w:rsid w:val="0060135D"/>
    <w:rsid w:val="00640E4D"/>
    <w:rsid w:val="0066074F"/>
    <w:rsid w:val="00696329"/>
    <w:rsid w:val="00702DCF"/>
    <w:rsid w:val="00711A52"/>
    <w:rsid w:val="00726048"/>
    <w:rsid w:val="00731E58"/>
    <w:rsid w:val="007B4010"/>
    <w:rsid w:val="007E115B"/>
    <w:rsid w:val="007E6CDC"/>
    <w:rsid w:val="00836F6A"/>
    <w:rsid w:val="008A69F1"/>
    <w:rsid w:val="008D79BD"/>
    <w:rsid w:val="009107F5"/>
    <w:rsid w:val="00922900"/>
    <w:rsid w:val="00931B35"/>
    <w:rsid w:val="00961FC1"/>
    <w:rsid w:val="009C3EAC"/>
    <w:rsid w:val="009D4CC6"/>
    <w:rsid w:val="009E5560"/>
    <w:rsid w:val="009F5E9E"/>
    <w:rsid w:val="00A900F8"/>
    <w:rsid w:val="00AA3710"/>
    <w:rsid w:val="00AF1109"/>
    <w:rsid w:val="00AF3951"/>
    <w:rsid w:val="00B0763E"/>
    <w:rsid w:val="00B51A45"/>
    <w:rsid w:val="00B53E48"/>
    <w:rsid w:val="00B61A72"/>
    <w:rsid w:val="00B853E5"/>
    <w:rsid w:val="00C05036"/>
    <w:rsid w:val="00C07434"/>
    <w:rsid w:val="00C36904"/>
    <w:rsid w:val="00C6061B"/>
    <w:rsid w:val="00CD48C9"/>
    <w:rsid w:val="00D8032D"/>
    <w:rsid w:val="00EB2827"/>
    <w:rsid w:val="00EF7957"/>
    <w:rsid w:val="00F178C1"/>
    <w:rsid w:val="00F53BA6"/>
    <w:rsid w:val="00F6276B"/>
    <w:rsid w:val="00F83AC5"/>
    <w:rsid w:val="00F84292"/>
    <w:rsid w:val="00FA7B8C"/>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C42A8B3"/>
  <w15:chartTrackingRefBased/>
  <w15:docId w15:val="{ED2658D8-B8B4-4F55-A69F-CDD498F1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5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53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53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53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5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3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53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53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53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53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5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3E5"/>
    <w:rPr>
      <w:rFonts w:eastAsiaTheme="majorEastAsia" w:cstheme="majorBidi"/>
      <w:color w:val="272727" w:themeColor="text1" w:themeTint="D8"/>
    </w:rPr>
  </w:style>
  <w:style w:type="paragraph" w:styleId="Title">
    <w:name w:val="Title"/>
    <w:basedOn w:val="Normal"/>
    <w:next w:val="Normal"/>
    <w:link w:val="TitleChar"/>
    <w:uiPriority w:val="10"/>
    <w:qFormat/>
    <w:rsid w:val="00B85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3E5"/>
    <w:pPr>
      <w:spacing w:before="160"/>
      <w:jc w:val="center"/>
    </w:pPr>
    <w:rPr>
      <w:i/>
      <w:iCs/>
      <w:color w:val="404040" w:themeColor="text1" w:themeTint="BF"/>
    </w:rPr>
  </w:style>
  <w:style w:type="character" w:customStyle="1" w:styleId="QuoteChar">
    <w:name w:val="Quote Char"/>
    <w:basedOn w:val="DefaultParagraphFont"/>
    <w:link w:val="Quote"/>
    <w:uiPriority w:val="29"/>
    <w:rsid w:val="00B853E5"/>
    <w:rPr>
      <w:i/>
      <w:iCs/>
      <w:color w:val="404040" w:themeColor="text1" w:themeTint="BF"/>
    </w:rPr>
  </w:style>
  <w:style w:type="paragraph" w:styleId="ListParagraph">
    <w:name w:val="List Paragraph"/>
    <w:basedOn w:val="Normal"/>
    <w:uiPriority w:val="34"/>
    <w:qFormat/>
    <w:rsid w:val="00B853E5"/>
    <w:pPr>
      <w:ind w:left="720"/>
      <w:contextualSpacing/>
    </w:pPr>
  </w:style>
  <w:style w:type="character" w:styleId="IntenseEmphasis">
    <w:name w:val="Intense Emphasis"/>
    <w:basedOn w:val="DefaultParagraphFont"/>
    <w:uiPriority w:val="21"/>
    <w:qFormat/>
    <w:rsid w:val="00B853E5"/>
    <w:rPr>
      <w:i/>
      <w:iCs/>
      <w:color w:val="2F5496" w:themeColor="accent1" w:themeShade="BF"/>
    </w:rPr>
  </w:style>
  <w:style w:type="paragraph" w:styleId="IntenseQuote">
    <w:name w:val="Intense Quote"/>
    <w:basedOn w:val="Normal"/>
    <w:next w:val="Normal"/>
    <w:link w:val="IntenseQuoteChar"/>
    <w:uiPriority w:val="30"/>
    <w:qFormat/>
    <w:rsid w:val="00B85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53E5"/>
    <w:rPr>
      <w:i/>
      <w:iCs/>
      <w:color w:val="2F5496" w:themeColor="accent1" w:themeShade="BF"/>
    </w:rPr>
  </w:style>
  <w:style w:type="character" w:styleId="IntenseReference">
    <w:name w:val="Intense Reference"/>
    <w:basedOn w:val="DefaultParagraphFont"/>
    <w:uiPriority w:val="32"/>
    <w:qFormat/>
    <w:rsid w:val="00B853E5"/>
    <w:rPr>
      <w:b/>
      <w:bCs/>
      <w:smallCaps/>
      <w:color w:val="2F5496" w:themeColor="accent1" w:themeShade="BF"/>
      <w:spacing w:val="5"/>
    </w:rPr>
  </w:style>
  <w:style w:type="character" w:styleId="Hyperlink">
    <w:name w:val="Hyperlink"/>
    <w:basedOn w:val="DefaultParagraphFont"/>
    <w:uiPriority w:val="99"/>
    <w:unhideWhenUsed/>
    <w:rsid w:val="00472DC8"/>
    <w:rPr>
      <w:color w:val="0563C1" w:themeColor="hyperlink"/>
      <w:u w:val="single"/>
    </w:rPr>
  </w:style>
  <w:style w:type="character" w:customStyle="1" w:styleId="UnresolvedMention1">
    <w:name w:val="Unresolved Mention1"/>
    <w:basedOn w:val="DefaultParagraphFont"/>
    <w:uiPriority w:val="99"/>
    <w:semiHidden/>
    <w:unhideWhenUsed/>
    <w:rsid w:val="00472DC8"/>
    <w:rPr>
      <w:color w:val="605E5C"/>
      <w:shd w:val="clear" w:color="auto" w:fill="E1DFDD"/>
    </w:rPr>
  </w:style>
  <w:style w:type="paragraph" w:styleId="Header">
    <w:name w:val="header"/>
    <w:basedOn w:val="Normal"/>
    <w:link w:val="HeaderChar"/>
    <w:uiPriority w:val="99"/>
    <w:unhideWhenUsed/>
    <w:rsid w:val="00C07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434"/>
  </w:style>
  <w:style w:type="paragraph" w:styleId="Footer">
    <w:name w:val="footer"/>
    <w:basedOn w:val="Normal"/>
    <w:link w:val="FooterChar"/>
    <w:uiPriority w:val="99"/>
    <w:unhideWhenUsed/>
    <w:rsid w:val="00C07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434"/>
  </w:style>
  <w:style w:type="table" w:styleId="TableGrid">
    <w:name w:val="Table Grid"/>
    <w:basedOn w:val="TableNormal"/>
    <w:uiPriority w:val="39"/>
    <w:rsid w:val="00C07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07434"/>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7E1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38380">
      <w:bodyDiv w:val="1"/>
      <w:marLeft w:val="0"/>
      <w:marRight w:val="0"/>
      <w:marTop w:val="0"/>
      <w:marBottom w:val="0"/>
      <w:divBdr>
        <w:top w:val="none" w:sz="0" w:space="0" w:color="auto"/>
        <w:left w:val="none" w:sz="0" w:space="0" w:color="auto"/>
        <w:bottom w:val="none" w:sz="0" w:space="0" w:color="auto"/>
        <w:right w:val="none" w:sz="0" w:space="0" w:color="auto"/>
      </w:divBdr>
    </w:div>
    <w:div w:id="1232959678">
      <w:bodyDiv w:val="1"/>
      <w:marLeft w:val="0"/>
      <w:marRight w:val="0"/>
      <w:marTop w:val="0"/>
      <w:marBottom w:val="0"/>
      <w:divBdr>
        <w:top w:val="none" w:sz="0" w:space="0" w:color="auto"/>
        <w:left w:val="none" w:sz="0" w:space="0" w:color="auto"/>
        <w:bottom w:val="none" w:sz="0" w:space="0" w:color="auto"/>
        <w:right w:val="none" w:sz="0" w:space="0" w:color="auto"/>
      </w:divBdr>
    </w:div>
    <w:div w:id="1264344785">
      <w:bodyDiv w:val="1"/>
      <w:marLeft w:val="0"/>
      <w:marRight w:val="0"/>
      <w:marTop w:val="0"/>
      <w:marBottom w:val="0"/>
      <w:divBdr>
        <w:top w:val="none" w:sz="0" w:space="0" w:color="auto"/>
        <w:left w:val="none" w:sz="0" w:space="0" w:color="auto"/>
        <w:bottom w:val="none" w:sz="0" w:space="0" w:color="auto"/>
        <w:right w:val="none" w:sz="0" w:space="0" w:color="auto"/>
      </w:divBdr>
    </w:div>
    <w:div w:id="1275136527">
      <w:bodyDiv w:val="1"/>
      <w:marLeft w:val="0"/>
      <w:marRight w:val="0"/>
      <w:marTop w:val="0"/>
      <w:marBottom w:val="0"/>
      <w:divBdr>
        <w:top w:val="none" w:sz="0" w:space="0" w:color="auto"/>
        <w:left w:val="none" w:sz="0" w:space="0" w:color="auto"/>
        <w:bottom w:val="none" w:sz="0" w:space="0" w:color="auto"/>
        <w:right w:val="none" w:sz="0" w:space="0" w:color="auto"/>
      </w:divBdr>
    </w:div>
    <w:div w:id="1326470020">
      <w:bodyDiv w:val="1"/>
      <w:marLeft w:val="0"/>
      <w:marRight w:val="0"/>
      <w:marTop w:val="0"/>
      <w:marBottom w:val="0"/>
      <w:divBdr>
        <w:top w:val="none" w:sz="0" w:space="0" w:color="auto"/>
        <w:left w:val="none" w:sz="0" w:space="0" w:color="auto"/>
        <w:bottom w:val="none" w:sz="0" w:space="0" w:color="auto"/>
        <w:right w:val="none" w:sz="0" w:space="0" w:color="auto"/>
      </w:divBdr>
    </w:div>
    <w:div w:id="1576015302">
      <w:bodyDiv w:val="1"/>
      <w:marLeft w:val="0"/>
      <w:marRight w:val="0"/>
      <w:marTop w:val="0"/>
      <w:marBottom w:val="0"/>
      <w:divBdr>
        <w:top w:val="none" w:sz="0" w:space="0" w:color="auto"/>
        <w:left w:val="none" w:sz="0" w:space="0" w:color="auto"/>
        <w:bottom w:val="none" w:sz="0" w:space="0" w:color="auto"/>
        <w:right w:val="none" w:sz="0" w:space="0" w:color="auto"/>
      </w:divBdr>
    </w:div>
    <w:div w:id="1757945222">
      <w:bodyDiv w:val="1"/>
      <w:marLeft w:val="0"/>
      <w:marRight w:val="0"/>
      <w:marTop w:val="0"/>
      <w:marBottom w:val="0"/>
      <w:divBdr>
        <w:top w:val="none" w:sz="0" w:space="0" w:color="auto"/>
        <w:left w:val="none" w:sz="0" w:space="0" w:color="auto"/>
        <w:bottom w:val="none" w:sz="0" w:space="0" w:color="auto"/>
        <w:right w:val="none" w:sz="0" w:space="0" w:color="auto"/>
      </w:divBdr>
    </w:div>
    <w:div w:id="1910731957">
      <w:bodyDiv w:val="1"/>
      <w:marLeft w:val="0"/>
      <w:marRight w:val="0"/>
      <w:marTop w:val="0"/>
      <w:marBottom w:val="0"/>
      <w:divBdr>
        <w:top w:val="none" w:sz="0" w:space="0" w:color="auto"/>
        <w:left w:val="none" w:sz="0" w:space="0" w:color="auto"/>
        <w:bottom w:val="none" w:sz="0" w:space="0" w:color="auto"/>
        <w:right w:val="none" w:sz="0" w:space="0" w:color="auto"/>
      </w:divBdr>
    </w:div>
    <w:div w:id="1954163320">
      <w:bodyDiv w:val="1"/>
      <w:marLeft w:val="0"/>
      <w:marRight w:val="0"/>
      <w:marTop w:val="0"/>
      <w:marBottom w:val="0"/>
      <w:divBdr>
        <w:top w:val="none" w:sz="0" w:space="0" w:color="auto"/>
        <w:left w:val="none" w:sz="0" w:space="0" w:color="auto"/>
        <w:bottom w:val="none" w:sz="0" w:space="0" w:color="auto"/>
        <w:right w:val="none" w:sz="0" w:space="0" w:color="auto"/>
      </w:divBdr>
    </w:div>
    <w:div w:id="1984237223">
      <w:bodyDiv w:val="1"/>
      <w:marLeft w:val="0"/>
      <w:marRight w:val="0"/>
      <w:marTop w:val="0"/>
      <w:marBottom w:val="0"/>
      <w:divBdr>
        <w:top w:val="none" w:sz="0" w:space="0" w:color="auto"/>
        <w:left w:val="none" w:sz="0" w:space="0" w:color="auto"/>
        <w:bottom w:val="none" w:sz="0" w:space="0" w:color="auto"/>
        <w:right w:val="none" w:sz="0" w:space="0" w:color="auto"/>
      </w:divBdr>
    </w:div>
    <w:div w:id="1986469193">
      <w:bodyDiv w:val="1"/>
      <w:marLeft w:val="0"/>
      <w:marRight w:val="0"/>
      <w:marTop w:val="0"/>
      <w:marBottom w:val="0"/>
      <w:divBdr>
        <w:top w:val="none" w:sz="0" w:space="0" w:color="auto"/>
        <w:left w:val="none" w:sz="0" w:space="0" w:color="auto"/>
        <w:bottom w:val="none" w:sz="0" w:space="0" w:color="auto"/>
        <w:right w:val="none" w:sz="0" w:space="0" w:color="auto"/>
      </w:divBdr>
    </w:div>
    <w:div w:id="1991325621">
      <w:bodyDiv w:val="1"/>
      <w:marLeft w:val="0"/>
      <w:marRight w:val="0"/>
      <w:marTop w:val="0"/>
      <w:marBottom w:val="0"/>
      <w:divBdr>
        <w:top w:val="none" w:sz="0" w:space="0" w:color="auto"/>
        <w:left w:val="none" w:sz="0" w:space="0" w:color="auto"/>
        <w:bottom w:val="none" w:sz="0" w:space="0" w:color="auto"/>
        <w:right w:val="none" w:sz="0" w:space="0" w:color="auto"/>
      </w:divBdr>
    </w:div>
    <w:div w:id="2053458554">
      <w:bodyDiv w:val="1"/>
      <w:marLeft w:val="0"/>
      <w:marRight w:val="0"/>
      <w:marTop w:val="0"/>
      <w:marBottom w:val="0"/>
      <w:divBdr>
        <w:top w:val="none" w:sz="0" w:space="0" w:color="auto"/>
        <w:left w:val="none" w:sz="0" w:space="0" w:color="auto"/>
        <w:bottom w:val="none" w:sz="0" w:space="0" w:color="auto"/>
        <w:right w:val="none" w:sz="0" w:space="0" w:color="auto"/>
      </w:divBdr>
    </w:div>
    <w:div w:id="207966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2/v34i1831051" TargetMode="External"/><Relationship Id="rId13" Type="http://schemas.openxmlformats.org/officeDocument/2006/relationships/hyperlink" Target="https://doi.org/10.1007/978-3-319-47516-5_1" TargetMode="External"/><Relationship Id="rId18" Type="http://schemas.openxmlformats.org/officeDocument/2006/relationships/hyperlink" Target="https://www.gauravpublications.com/"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researchgate.net/publication/335378138_Vermicomposting_and_its_uses_in_Sustainable_Agriculture" TargetMode="External"/><Relationship Id="rId17" Type="http://schemas.openxmlformats.org/officeDocument/2006/relationships/hyperlink" Target="https://doi.org/10.1007/s10333-019-00770-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7/978-981-10-2558-7_4"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preprints/osf/3258-0403-2016-013"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1830/2348-7542.2019.001"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hyperlink" Target="https://doi.org/10.9734/jeai/2025/v47i53398" TargetMode="External"/><Relationship Id="rId19" Type="http://schemas.openxmlformats.org/officeDocument/2006/relationships/hyperlink" Target="https://www.iiste.org/Journals/index.php/JBAH/article/view/30400" TargetMode="External"/><Relationship Id="rId4" Type="http://schemas.openxmlformats.org/officeDocument/2006/relationships/settings" Target="settings.xml"/><Relationship Id="rId9" Type="http://schemas.openxmlformats.org/officeDocument/2006/relationships/hyperlink" Target="https://www.chemijournal.com/archives/2018/vol6issue4/PartG/6-4-10-700.pdf" TargetMode="External"/><Relationship Id="rId14" Type="http://schemas.openxmlformats.org/officeDocument/2006/relationships/hyperlink" Target="https://doi.org/10.31830/2454-1761.2020.013"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E71BF-92A4-488A-8930-6CEBD649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13</Pages>
  <Words>4633</Words>
  <Characters>26413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cp:keywords/>
  <dc:description/>
  <cp:lastModifiedBy>SDI 1084</cp:lastModifiedBy>
  <cp:revision>37</cp:revision>
  <dcterms:created xsi:type="dcterms:W3CDTF">2025-05-21T11:37:00Z</dcterms:created>
  <dcterms:modified xsi:type="dcterms:W3CDTF">2025-12-17T10:35:00Z</dcterms:modified>
</cp:coreProperties>
</file>