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AAF" w:rsidRDefault="00F14AAF"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HAZARD</w:t>
      </w:r>
      <w:r w:rsidR="00BD42C7" w:rsidRPr="00077D33">
        <w:rPr>
          <w:rFonts w:ascii="Times New Roman" w:hAnsi="Times New Roman" w:cs="Times New Roman"/>
          <w:sz w:val="24"/>
          <w:szCs w:val="24"/>
        </w:rPr>
        <w:t>: A MICROBIOLOGICAL RI</w:t>
      </w:r>
      <w:r w:rsidR="00074694" w:rsidRPr="00077D33">
        <w:rPr>
          <w:rFonts w:ascii="Times New Roman" w:hAnsi="Times New Roman" w:cs="Times New Roman"/>
          <w:sz w:val="24"/>
          <w:szCs w:val="24"/>
        </w:rPr>
        <w:t>S</w:t>
      </w:r>
      <w:r w:rsidR="00BD42C7" w:rsidRPr="00077D33">
        <w:rPr>
          <w:rFonts w:ascii="Times New Roman" w:hAnsi="Times New Roman" w:cs="Times New Roman"/>
          <w:sz w:val="24"/>
          <w:szCs w:val="24"/>
        </w:rPr>
        <w:t>K ASSESSMENT IN TRADITIONAL MILK HANDLING OF CO</w:t>
      </w:r>
      <w:r w:rsidRPr="00077D33">
        <w:rPr>
          <w:rFonts w:ascii="Times New Roman" w:hAnsi="Times New Roman" w:cs="Times New Roman"/>
          <w:sz w:val="24"/>
          <w:szCs w:val="24"/>
        </w:rPr>
        <w:t>W</w:t>
      </w:r>
      <w:r w:rsidR="00BD42C7" w:rsidRPr="00077D33">
        <w:rPr>
          <w:rFonts w:ascii="Times New Roman" w:hAnsi="Times New Roman" w:cs="Times New Roman"/>
          <w:sz w:val="24"/>
          <w:szCs w:val="24"/>
        </w:rPr>
        <w:t xml:space="preserve"> AND GOAT MILK </w:t>
      </w:r>
      <w:r w:rsidRPr="00077D33">
        <w:rPr>
          <w:rFonts w:ascii="Times New Roman" w:hAnsi="Times New Roman" w:cs="Times New Roman"/>
          <w:sz w:val="24"/>
          <w:szCs w:val="24"/>
        </w:rPr>
        <w:t>IN SOU</w:t>
      </w:r>
      <w:r w:rsidR="00BD42C7" w:rsidRPr="00077D33">
        <w:rPr>
          <w:rFonts w:ascii="Times New Roman" w:hAnsi="Times New Roman" w:cs="Times New Roman"/>
          <w:sz w:val="24"/>
          <w:szCs w:val="24"/>
        </w:rPr>
        <w:t>THWESTERN NIGERIA</w:t>
      </w:r>
    </w:p>
    <w:p w:rsidR="00B049C6" w:rsidRPr="00B049C6" w:rsidRDefault="00B049C6" w:rsidP="00B049C6">
      <w:pPr>
        <w:spacing w:line="360" w:lineRule="auto"/>
        <w:jc w:val="both"/>
        <w:rPr>
          <w:rFonts w:ascii="Times New Roman" w:hAnsi="Times New Roman" w:cs="Times New Roman"/>
          <w:bCs/>
          <w:sz w:val="24"/>
          <w:szCs w:val="24"/>
        </w:rPr>
      </w:pPr>
      <w:bookmarkStart w:id="0" w:name="_GoBack"/>
      <w:bookmarkEnd w:id="0"/>
    </w:p>
    <w:p w:rsidR="00B049C6" w:rsidRDefault="00B049C6" w:rsidP="00077D33">
      <w:pPr>
        <w:spacing w:line="360" w:lineRule="auto"/>
        <w:jc w:val="both"/>
        <w:rPr>
          <w:rFonts w:ascii="Times New Roman" w:hAnsi="Times New Roman" w:cs="Times New Roman"/>
          <w:sz w:val="24"/>
          <w:szCs w:val="24"/>
        </w:rPr>
      </w:pPr>
    </w:p>
    <w:p w:rsidR="009A608A" w:rsidRDefault="00674148" w:rsidP="00077D33">
      <w:pPr>
        <w:spacing w:line="360" w:lineRule="auto"/>
        <w:jc w:val="both"/>
        <w:rPr>
          <w:rFonts w:ascii="Times New Roman" w:hAnsi="Times New Roman" w:cs="Times New Roman"/>
          <w:sz w:val="24"/>
          <w:szCs w:val="24"/>
        </w:rPr>
      </w:pPr>
      <w:r>
        <w:rPr>
          <w:rFonts w:ascii="Times New Roman" w:hAnsi="Times New Roman" w:cs="Times New Roman"/>
          <w:sz w:val="24"/>
          <w:szCs w:val="24"/>
        </w:rPr>
        <w:t>Abstract</w:t>
      </w:r>
    </w:p>
    <w:p w:rsidR="00D41E15" w:rsidRPr="007D1395" w:rsidRDefault="00494A33" w:rsidP="00077D33">
      <w:pPr>
        <w:spacing w:line="360" w:lineRule="auto"/>
        <w:jc w:val="both"/>
        <w:rPr>
          <w:rFonts w:ascii="Times New Roman" w:hAnsi="Times New Roman" w:cs="Times New Roman"/>
          <w:sz w:val="24"/>
          <w:szCs w:val="24"/>
        </w:rPr>
      </w:pPr>
      <w:r>
        <w:rPr>
          <w:rFonts w:ascii="Times New Roman" w:hAnsi="Times New Roman" w:cs="Times New Roman"/>
          <w:sz w:val="24"/>
          <w:szCs w:val="24"/>
        </w:rPr>
        <w:t>Milk is a nutritionally complete food pivotal to food security and rural livelihood in Nigeria</w:t>
      </w:r>
      <w:r w:rsidR="00B65E51">
        <w:rPr>
          <w:rFonts w:ascii="Times New Roman" w:hAnsi="Times New Roman" w:cs="Times New Roman"/>
          <w:sz w:val="24"/>
          <w:szCs w:val="24"/>
        </w:rPr>
        <w:t>. Goat milk is valued for its digestibility and nutrient dense, while cow milk remains widely consumed due to production volume. Despite these benefits, traditional handling practice which involve manual milking, use of non</w:t>
      </w:r>
      <w:r w:rsidR="00F034B3">
        <w:rPr>
          <w:rFonts w:ascii="Times New Roman" w:hAnsi="Times New Roman" w:cs="Times New Roman"/>
          <w:sz w:val="24"/>
          <w:szCs w:val="24"/>
        </w:rPr>
        <w:t>-</w:t>
      </w:r>
      <w:r w:rsidR="009510D0">
        <w:rPr>
          <w:rFonts w:ascii="Times New Roman" w:hAnsi="Times New Roman" w:cs="Times New Roman"/>
          <w:sz w:val="24"/>
          <w:szCs w:val="24"/>
        </w:rPr>
        <w:t>sterile utensils, untreated water, and open-air</w:t>
      </w:r>
      <w:r w:rsidR="00B65E51">
        <w:rPr>
          <w:rFonts w:ascii="Times New Roman" w:hAnsi="Times New Roman" w:cs="Times New Roman"/>
          <w:sz w:val="24"/>
          <w:szCs w:val="24"/>
        </w:rPr>
        <w:t xml:space="preserve"> </w:t>
      </w:r>
      <w:r w:rsidR="009510D0">
        <w:rPr>
          <w:rFonts w:ascii="Times New Roman" w:hAnsi="Times New Roman" w:cs="Times New Roman"/>
          <w:sz w:val="24"/>
          <w:szCs w:val="24"/>
        </w:rPr>
        <w:t>exposure create significant risks of microbial contamination. This study</w:t>
      </w:r>
      <w:r w:rsidR="00F421C6">
        <w:rPr>
          <w:rFonts w:ascii="Times New Roman" w:hAnsi="Times New Roman" w:cs="Times New Roman"/>
          <w:sz w:val="24"/>
          <w:szCs w:val="24"/>
        </w:rPr>
        <w:t xml:space="preserve"> provides a microbiological risk assessment of cow and goat milk handling in four Local Government Areas (LGAs)</w:t>
      </w:r>
      <w:r w:rsidR="00C40710">
        <w:rPr>
          <w:rFonts w:ascii="Times New Roman" w:hAnsi="Times New Roman" w:cs="Times New Roman"/>
          <w:sz w:val="24"/>
          <w:szCs w:val="24"/>
        </w:rPr>
        <w:t xml:space="preserve"> of Oyo State: </w:t>
      </w:r>
      <w:proofErr w:type="spellStart"/>
      <w:proofErr w:type="gramStart"/>
      <w:r w:rsidR="00C40710">
        <w:rPr>
          <w:rFonts w:ascii="Times New Roman" w:hAnsi="Times New Roman" w:cs="Times New Roman"/>
          <w:sz w:val="24"/>
          <w:szCs w:val="24"/>
        </w:rPr>
        <w:t>Akinyele</w:t>
      </w:r>
      <w:proofErr w:type="spellEnd"/>
      <w:r w:rsidR="00C40710">
        <w:rPr>
          <w:rFonts w:ascii="Times New Roman" w:hAnsi="Times New Roman" w:cs="Times New Roman"/>
          <w:sz w:val="24"/>
          <w:szCs w:val="24"/>
        </w:rPr>
        <w:t xml:space="preserve"> ,</w:t>
      </w:r>
      <w:proofErr w:type="spellStart"/>
      <w:r w:rsidR="00C40710">
        <w:rPr>
          <w:rFonts w:ascii="Times New Roman" w:hAnsi="Times New Roman" w:cs="Times New Roman"/>
          <w:sz w:val="24"/>
          <w:szCs w:val="24"/>
        </w:rPr>
        <w:t>Ido</w:t>
      </w:r>
      <w:proofErr w:type="spellEnd"/>
      <w:proofErr w:type="gramEnd"/>
      <w:r w:rsidR="00C40710">
        <w:rPr>
          <w:rFonts w:ascii="Times New Roman" w:hAnsi="Times New Roman" w:cs="Times New Roman"/>
          <w:sz w:val="24"/>
          <w:szCs w:val="24"/>
        </w:rPr>
        <w:t xml:space="preserve">, </w:t>
      </w:r>
      <w:proofErr w:type="spellStart"/>
      <w:r w:rsidR="00C40710">
        <w:rPr>
          <w:rFonts w:ascii="Times New Roman" w:hAnsi="Times New Roman" w:cs="Times New Roman"/>
          <w:sz w:val="24"/>
          <w:szCs w:val="24"/>
        </w:rPr>
        <w:t>Ibarapa</w:t>
      </w:r>
      <w:proofErr w:type="spellEnd"/>
      <w:r w:rsidR="00C40710">
        <w:rPr>
          <w:rFonts w:ascii="Times New Roman" w:hAnsi="Times New Roman" w:cs="Times New Roman"/>
          <w:sz w:val="24"/>
          <w:szCs w:val="24"/>
        </w:rPr>
        <w:t xml:space="preserve"> East and Ibadan North</w:t>
      </w:r>
      <w:r w:rsidR="0018653B">
        <w:rPr>
          <w:rFonts w:ascii="Times New Roman" w:hAnsi="Times New Roman" w:cs="Times New Roman"/>
          <w:sz w:val="24"/>
          <w:szCs w:val="24"/>
        </w:rPr>
        <w:t xml:space="preserve"> while simultaneously evaluating their nutritional profiles. A cross-sectional design was adopted. Samples were collected from milking utensils, water sources and air using WHO recommendation protocols. Protein fractions were determined by Kjeldahl method, fatty acids by </w:t>
      </w:r>
      <w:proofErr w:type="spellStart"/>
      <w:r w:rsidR="0018653B">
        <w:rPr>
          <w:rFonts w:ascii="Times New Roman" w:hAnsi="Times New Roman" w:cs="Times New Roman"/>
          <w:sz w:val="24"/>
          <w:szCs w:val="24"/>
        </w:rPr>
        <w:t>so</w:t>
      </w:r>
      <w:r w:rsidR="00C82E10">
        <w:rPr>
          <w:rFonts w:ascii="Times New Roman" w:hAnsi="Times New Roman" w:cs="Times New Roman"/>
          <w:sz w:val="24"/>
          <w:szCs w:val="24"/>
        </w:rPr>
        <w:t>x</w:t>
      </w:r>
      <w:r w:rsidR="0018653B">
        <w:rPr>
          <w:rFonts w:ascii="Times New Roman" w:hAnsi="Times New Roman" w:cs="Times New Roman"/>
          <w:sz w:val="24"/>
          <w:szCs w:val="24"/>
        </w:rPr>
        <w:t>hlet</w:t>
      </w:r>
      <w:proofErr w:type="spellEnd"/>
      <w:r w:rsidR="0018653B">
        <w:rPr>
          <w:rFonts w:ascii="Times New Roman" w:hAnsi="Times New Roman" w:cs="Times New Roman"/>
          <w:sz w:val="24"/>
          <w:szCs w:val="24"/>
        </w:rPr>
        <w:t xml:space="preserve"> extraction and gas chromatography and microbial loads</w:t>
      </w:r>
      <w:r w:rsidR="00EB42B2">
        <w:rPr>
          <w:rFonts w:ascii="Times New Roman" w:hAnsi="Times New Roman" w:cs="Times New Roman"/>
          <w:sz w:val="24"/>
          <w:szCs w:val="24"/>
        </w:rPr>
        <w:t xml:space="preserve"> by standard plate counts on nutrient and MacConkey agar. Statistical</w:t>
      </w:r>
      <w:r w:rsidR="00C82E10">
        <w:rPr>
          <w:rFonts w:ascii="Times New Roman" w:hAnsi="Times New Roman" w:cs="Times New Roman"/>
          <w:sz w:val="24"/>
          <w:szCs w:val="24"/>
        </w:rPr>
        <w:t xml:space="preserve"> </w:t>
      </w:r>
      <w:r w:rsidR="00EB42B2">
        <w:rPr>
          <w:rFonts w:ascii="Times New Roman" w:hAnsi="Times New Roman" w:cs="Times New Roman"/>
          <w:sz w:val="24"/>
          <w:szCs w:val="24"/>
        </w:rPr>
        <w:t>analysis employed ANOVA with</w:t>
      </w:r>
      <w:r w:rsidR="00C82E10">
        <w:rPr>
          <w:rFonts w:ascii="Times New Roman" w:hAnsi="Times New Roman" w:cs="Times New Roman"/>
          <w:sz w:val="24"/>
          <w:szCs w:val="24"/>
        </w:rPr>
        <w:t>i</w:t>
      </w:r>
      <w:r w:rsidR="00EB42B2">
        <w:rPr>
          <w:rFonts w:ascii="Times New Roman" w:hAnsi="Times New Roman" w:cs="Times New Roman"/>
          <w:sz w:val="24"/>
          <w:szCs w:val="24"/>
        </w:rPr>
        <w:t>n Duncan post hoc tests at p</w:t>
      </w:r>
      <w:r w:rsidR="00B168F2">
        <w:rPr>
          <w:rFonts w:ascii="Times New Roman" w:hAnsi="Times New Roman" w:cs="Times New Roman"/>
          <w:sz w:val="24"/>
          <w:szCs w:val="24"/>
        </w:rPr>
        <w:t>&lt;0.05</w:t>
      </w:r>
      <w:r w:rsidR="00AE1C46">
        <w:rPr>
          <w:rFonts w:ascii="Times New Roman" w:hAnsi="Times New Roman" w:cs="Times New Roman"/>
          <w:sz w:val="24"/>
          <w:szCs w:val="24"/>
        </w:rPr>
        <w:t>.</w:t>
      </w:r>
      <w:r w:rsidR="00371FC7">
        <w:rPr>
          <w:rFonts w:ascii="Times New Roman" w:hAnsi="Times New Roman" w:cs="Times New Roman"/>
          <w:sz w:val="24"/>
          <w:szCs w:val="24"/>
        </w:rPr>
        <w:t xml:space="preserve"> </w:t>
      </w:r>
      <w:r w:rsidR="00AE1C46">
        <w:rPr>
          <w:rFonts w:ascii="Times New Roman" w:hAnsi="Times New Roman" w:cs="Times New Roman"/>
          <w:sz w:val="24"/>
          <w:szCs w:val="24"/>
        </w:rPr>
        <w:t>Results showed goat milk constantly</w:t>
      </w:r>
      <w:r w:rsidR="00ED6846">
        <w:rPr>
          <w:rFonts w:ascii="Times New Roman" w:hAnsi="Times New Roman" w:cs="Times New Roman"/>
          <w:sz w:val="24"/>
          <w:szCs w:val="24"/>
        </w:rPr>
        <w:t xml:space="preserve"> contained higher crude protein (4.70-5.15%) compared to cow milk (3.91-3.96%), with more casein</w:t>
      </w:r>
      <w:r w:rsidR="006257FE">
        <w:rPr>
          <w:rFonts w:ascii="Times New Roman" w:hAnsi="Times New Roman" w:cs="Times New Roman"/>
          <w:sz w:val="24"/>
          <w:szCs w:val="24"/>
        </w:rPr>
        <w:t xml:space="preserve">, whey, and bioactive peptide fractions. Fatty acid analysis revealed goat milk had higher total fat (up to 4.80%), saturated fatty acids (3.36%) and </w:t>
      </w:r>
      <w:r w:rsidR="00C82E10">
        <w:rPr>
          <w:rFonts w:ascii="Times New Roman" w:hAnsi="Times New Roman" w:cs="Times New Roman"/>
          <w:sz w:val="24"/>
          <w:szCs w:val="24"/>
        </w:rPr>
        <w:t xml:space="preserve">favorable monounsaturated and polyunsaturated profiles, underscoring its digestibility and functional value. However, </w:t>
      </w:r>
      <w:r w:rsidR="007D1395">
        <w:rPr>
          <w:rFonts w:ascii="Times New Roman" w:hAnsi="Times New Roman" w:cs="Times New Roman"/>
          <w:sz w:val="24"/>
          <w:szCs w:val="24"/>
        </w:rPr>
        <w:t xml:space="preserve">microbial contaminations </w:t>
      </w:r>
      <w:proofErr w:type="gramStart"/>
      <w:r w:rsidR="007D1395">
        <w:rPr>
          <w:rFonts w:ascii="Times New Roman" w:hAnsi="Times New Roman" w:cs="Times New Roman"/>
          <w:sz w:val="24"/>
          <w:szCs w:val="24"/>
        </w:rPr>
        <w:t>was</w:t>
      </w:r>
      <w:proofErr w:type="gramEnd"/>
      <w:r w:rsidR="007D1395">
        <w:rPr>
          <w:rFonts w:ascii="Times New Roman" w:hAnsi="Times New Roman" w:cs="Times New Roman"/>
          <w:sz w:val="24"/>
          <w:szCs w:val="24"/>
        </w:rPr>
        <w:t xml:space="preserve"> widespread. Water sources recorded the highest total bacteria counts (up to 4.60 × 10</w:t>
      </w:r>
      <w:r w:rsidR="007D1395" w:rsidRPr="007D1395">
        <w:rPr>
          <w:rFonts w:ascii="Times New Roman" w:hAnsi="Times New Roman" w:cs="Times New Roman"/>
          <w:sz w:val="24"/>
          <w:szCs w:val="24"/>
          <w:vertAlign w:val="superscript"/>
        </w:rPr>
        <w:t>5</w:t>
      </w:r>
      <w:r w:rsidR="007D1395">
        <w:rPr>
          <w:rFonts w:ascii="Times New Roman" w:hAnsi="Times New Roman" w:cs="Times New Roman"/>
          <w:sz w:val="24"/>
          <w:szCs w:val="24"/>
          <w:vertAlign w:val="superscript"/>
        </w:rPr>
        <w:t xml:space="preserve"> </w:t>
      </w:r>
      <w:r w:rsidR="007D1395">
        <w:rPr>
          <w:rFonts w:ascii="Times New Roman" w:hAnsi="Times New Roman" w:cs="Times New Roman"/>
          <w:sz w:val="24"/>
          <w:szCs w:val="24"/>
        </w:rPr>
        <w:t>CFU/</w:t>
      </w:r>
      <w:proofErr w:type="spellStart"/>
      <w:r w:rsidR="007D1395">
        <w:rPr>
          <w:rFonts w:ascii="Times New Roman" w:hAnsi="Times New Roman" w:cs="Times New Roman"/>
          <w:sz w:val="24"/>
          <w:szCs w:val="24"/>
        </w:rPr>
        <w:t>Ml</w:t>
      </w:r>
      <w:proofErr w:type="spellEnd"/>
      <w:r w:rsidR="007D1395">
        <w:rPr>
          <w:rFonts w:ascii="Times New Roman" w:hAnsi="Times New Roman" w:cs="Times New Roman"/>
          <w:sz w:val="24"/>
          <w:szCs w:val="24"/>
        </w:rPr>
        <w:t xml:space="preserve">), followed by utensils and air. </w:t>
      </w:r>
      <w:r w:rsidR="0014689F">
        <w:rPr>
          <w:rFonts w:ascii="Times New Roman" w:hAnsi="Times New Roman" w:cs="Times New Roman"/>
          <w:sz w:val="24"/>
          <w:szCs w:val="24"/>
        </w:rPr>
        <w:t xml:space="preserve">Coliforms were detected in all water samples, exceeding WHO’s recommended limit of 0 CFU/100 </w:t>
      </w:r>
      <w:proofErr w:type="spellStart"/>
      <w:r w:rsidR="00D41E15">
        <w:rPr>
          <w:rFonts w:ascii="Times New Roman" w:hAnsi="Times New Roman" w:cs="Times New Roman"/>
          <w:sz w:val="24"/>
          <w:szCs w:val="24"/>
        </w:rPr>
        <w:t>Ml</w:t>
      </w:r>
      <w:proofErr w:type="spellEnd"/>
      <w:r w:rsidR="00D41E15">
        <w:rPr>
          <w:rFonts w:ascii="Times New Roman" w:hAnsi="Times New Roman" w:cs="Times New Roman"/>
          <w:sz w:val="24"/>
          <w:szCs w:val="24"/>
        </w:rPr>
        <w:t>, indicating fecal contamination. Regional disparities were evident: Akinyele LGA exhibited the highest contamination, while Ido LGA showed the lowest, reflecting differences in hygienic practices and access to clean water. The findings highlight the dual reality of cow and goat milk in Nigeria: nutritionally indispensable yet microbiologically hazardous under tr</w:t>
      </w:r>
      <w:r w:rsidR="00A378DD">
        <w:rPr>
          <w:rFonts w:ascii="Times New Roman" w:hAnsi="Times New Roman" w:cs="Times New Roman"/>
          <w:sz w:val="24"/>
          <w:szCs w:val="24"/>
        </w:rPr>
        <w:t xml:space="preserve">aditional handlings. Goat milk </w:t>
      </w:r>
      <w:r w:rsidR="00D41E15">
        <w:rPr>
          <w:rFonts w:ascii="Times New Roman" w:hAnsi="Times New Roman" w:cs="Times New Roman"/>
          <w:sz w:val="24"/>
          <w:szCs w:val="24"/>
        </w:rPr>
        <w:t>offers superior nutritional quality, but its benefits are undermined by unsafe practices. P</w:t>
      </w:r>
      <w:r w:rsidR="001673ED">
        <w:rPr>
          <w:rFonts w:ascii="Times New Roman" w:hAnsi="Times New Roman" w:cs="Times New Roman"/>
          <w:sz w:val="24"/>
          <w:szCs w:val="24"/>
        </w:rPr>
        <w:t xml:space="preserve">ublic health implications are significant, with risks of </w:t>
      </w:r>
      <w:r w:rsidR="001673ED">
        <w:rPr>
          <w:rFonts w:ascii="Times New Roman" w:hAnsi="Times New Roman" w:cs="Times New Roman"/>
          <w:sz w:val="24"/>
          <w:szCs w:val="24"/>
        </w:rPr>
        <w:lastRenderedPageBreak/>
        <w:t>foodborne illnesses. Addressing this challenge requires hygienic training for farmers, provision of clean wate</w:t>
      </w:r>
      <w:r w:rsidR="00A378DD">
        <w:rPr>
          <w:rFonts w:ascii="Times New Roman" w:hAnsi="Times New Roman" w:cs="Times New Roman"/>
          <w:sz w:val="24"/>
          <w:szCs w:val="24"/>
        </w:rPr>
        <w:t>r and utensils</w:t>
      </w:r>
      <w:r w:rsidR="001673ED">
        <w:rPr>
          <w:rFonts w:ascii="Times New Roman" w:hAnsi="Times New Roman" w:cs="Times New Roman"/>
          <w:sz w:val="24"/>
          <w:szCs w:val="24"/>
        </w:rPr>
        <w:t xml:space="preserve">, strengthened regulatory oversight and community-based behavioral change initiatives. Ultimately, safeguarding milk </w:t>
      </w:r>
      <w:r w:rsidR="008018A4">
        <w:rPr>
          <w:rFonts w:ascii="Times New Roman" w:hAnsi="Times New Roman" w:cs="Times New Roman"/>
          <w:sz w:val="24"/>
          <w:szCs w:val="24"/>
        </w:rPr>
        <w:t>nutritional</w:t>
      </w:r>
      <w:r w:rsidR="001673ED">
        <w:rPr>
          <w:rFonts w:ascii="Times New Roman" w:hAnsi="Times New Roman" w:cs="Times New Roman"/>
          <w:sz w:val="24"/>
          <w:szCs w:val="24"/>
        </w:rPr>
        <w:t xml:space="preserve"> integrity while reducing microbial risks is essential for improving dietary quality and protecting </w:t>
      </w:r>
      <w:r w:rsidR="00A378DD">
        <w:rPr>
          <w:rFonts w:ascii="Times New Roman" w:hAnsi="Times New Roman" w:cs="Times New Roman"/>
          <w:sz w:val="24"/>
          <w:szCs w:val="24"/>
        </w:rPr>
        <w:t>consumer’s</w:t>
      </w:r>
      <w:r w:rsidR="001673ED">
        <w:rPr>
          <w:rFonts w:ascii="Times New Roman" w:hAnsi="Times New Roman" w:cs="Times New Roman"/>
          <w:sz w:val="24"/>
          <w:szCs w:val="24"/>
        </w:rPr>
        <w:t xml:space="preserve"> health in Nigeria</w:t>
      </w:r>
      <w:r w:rsidR="00AF2618">
        <w:rPr>
          <w:rFonts w:ascii="Times New Roman" w:hAnsi="Times New Roman" w:cs="Times New Roman"/>
          <w:sz w:val="24"/>
          <w:szCs w:val="24"/>
        </w:rPr>
        <w:t>’s informal dairy sector.</w:t>
      </w:r>
    </w:p>
    <w:p w:rsidR="00CA737E" w:rsidRPr="00077D33" w:rsidRDefault="00C96F77"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Keyword</w:t>
      </w:r>
    </w:p>
    <w:p w:rsidR="00AD6EB1" w:rsidRPr="00077D33" w:rsidRDefault="00AD6EB1"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w:t>
      </w:r>
      <w:r w:rsidR="00326960" w:rsidRPr="00077D33">
        <w:rPr>
          <w:rFonts w:ascii="Times New Roman" w:hAnsi="Times New Roman" w:cs="Times New Roman"/>
          <w:sz w:val="24"/>
          <w:szCs w:val="24"/>
        </w:rPr>
        <w:t>k hazard, microbiological risk assessment, cow and goat milk</w:t>
      </w:r>
      <w:r w:rsidR="00635FCF" w:rsidRPr="00077D33">
        <w:rPr>
          <w:rFonts w:ascii="Times New Roman" w:hAnsi="Times New Roman" w:cs="Times New Roman"/>
          <w:sz w:val="24"/>
          <w:szCs w:val="24"/>
        </w:rPr>
        <w:t>, dairy</w:t>
      </w:r>
      <w:r w:rsidRPr="00077D33">
        <w:rPr>
          <w:rFonts w:ascii="Times New Roman" w:hAnsi="Times New Roman" w:cs="Times New Roman"/>
          <w:sz w:val="24"/>
          <w:szCs w:val="24"/>
        </w:rPr>
        <w:t xml:space="preserve"> hygiene</w:t>
      </w:r>
      <w:r w:rsidR="008018A4">
        <w:rPr>
          <w:rFonts w:ascii="Times New Roman" w:hAnsi="Times New Roman" w:cs="Times New Roman"/>
          <w:sz w:val="24"/>
          <w:szCs w:val="24"/>
        </w:rPr>
        <w:t>,</w:t>
      </w:r>
      <w:r w:rsidR="00635FCF" w:rsidRPr="00077D33">
        <w:rPr>
          <w:rFonts w:ascii="Times New Roman" w:hAnsi="Times New Roman" w:cs="Times New Roman"/>
          <w:sz w:val="24"/>
          <w:szCs w:val="24"/>
        </w:rPr>
        <w:t xml:space="preserve"> coliform count</w:t>
      </w:r>
    </w:p>
    <w:p w:rsidR="009A608A" w:rsidRPr="00077D33" w:rsidRDefault="009462B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Introduction</w:t>
      </w:r>
    </w:p>
    <w:p w:rsidR="00C917A9" w:rsidRPr="00077D33" w:rsidRDefault="00821A27"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Milk is </w:t>
      </w:r>
      <w:r w:rsidR="00F722F0" w:rsidRPr="00077D33">
        <w:rPr>
          <w:rFonts w:ascii="Times New Roman" w:hAnsi="Times New Roman" w:cs="Times New Roman"/>
          <w:sz w:val="24"/>
          <w:szCs w:val="24"/>
        </w:rPr>
        <w:t>a nutritionally complete food, rich in proteins, fats, vitamins and mineral essential for human health.</w:t>
      </w:r>
      <w:r w:rsidR="00B6656A" w:rsidRPr="00077D33">
        <w:rPr>
          <w:rFonts w:ascii="Times New Roman" w:hAnsi="Times New Roman" w:cs="Times New Roman"/>
          <w:sz w:val="24"/>
          <w:szCs w:val="24"/>
        </w:rPr>
        <w:t xml:space="preserve"> It</w:t>
      </w:r>
      <w:r w:rsidR="008C69C2" w:rsidRPr="00077D33">
        <w:rPr>
          <w:rFonts w:ascii="Times New Roman" w:hAnsi="Times New Roman" w:cs="Times New Roman"/>
          <w:sz w:val="24"/>
          <w:szCs w:val="24"/>
        </w:rPr>
        <w:t xml:space="preserve"> is a vital source of nutrition and a very vital to food security globally, especially in Nigeria where it supports the livelihoods of millions of people (Ghali-Mohammed </w:t>
      </w:r>
      <w:r w:rsidR="008C69C2" w:rsidRPr="00077D33">
        <w:rPr>
          <w:rFonts w:ascii="Times New Roman" w:hAnsi="Times New Roman" w:cs="Times New Roman"/>
          <w:i/>
          <w:sz w:val="24"/>
          <w:szCs w:val="24"/>
        </w:rPr>
        <w:t>et al.,</w:t>
      </w:r>
      <w:r w:rsidR="008C69C2" w:rsidRPr="00077D33">
        <w:rPr>
          <w:rFonts w:ascii="Times New Roman" w:hAnsi="Times New Roman" w:cs="Times New Roman"/>
          <w:sz w:val="24"/>
          <w:szCs w:val="24"/>
        </w:rPr>
        <w:t xml:space="preserve"> 2025).</w:t>
      </w:r>
      <w:r w:rsidR="002E504F" w:rsidRPr="00077D33">
        <w:rPr>
          <w:rFonts w:ascii="Times New Roman" w:hAnsi="Times New Roman" w:cs="Times New Roman"/>
          <w:sz w:val="24"/>
          <w:szCs w:val="24"/>
        </w:rPr>
        <w:t xml:space="preserve"> </w:t>
      </w:r>
      <w:r w:rsidR="00671341" w:rsidRPr="00077D33">
        <w:rPr>
          <w:rFonts w:ascii="Times New Roman" w:hAnsi="Times New Roman" w:cs="Times New Roman"/>
          <w:sz w:val="24"/>
          <w:szCs w:val="24"/>
        </w:rPr>
        <w:t xml:space="preserve"> </w:t>
      </w:r>
      <w:r w:rsidR="00F75E3D" w:rsidRPr="00077D33">
        <w:rPr>
          <w:rFonts w:ascii="Times New Roman" w:hAnsi="Times New Roman" w:cs="Times New Roman"/>
          <w:sz w:val="24"/>
          <w:szCs w:val="24"/>
        </w:rPr>
        <w:t xml:space="preserve">Cow and goat milk are central to rural diets and </w:t>
      </w:r>
      <w:r w:rsidR="008D1DE0" w:rsidRPr="00077D33">
        <w:rPr>
          <w:rFonts w:ascii="Times New Roman" w:hAnsi="Times New Roman" w:cs="Times New Roman"/>
          <w:sz w:val="24"/>
          <w:szCs w:val="24"/>
        </w:rPr>
        <w:t>economies</w:t>
      </w:r>
      <w:r w:rsidR="00F75E3D" w:rsidRPr="00077D33">
        <w:rPr>
          <w:rFonts w:ascii="Times New Roman" w:hAnsi="Times New Roman" w:cs="Times New Roman"/>
          <w:sz w:val="24"/>
          <w:szCs w:val="24"/>
        </w:rPr>
        <w:t xml:space="preserve">, particularly among Fulani pastoralists and smallholder farmers. Goat </w:t>
      </w:r>
      <w:r w:rsidR="008D1DE0" w:rsidRPr="00077D33">
        <w:rPr>
          <w:rFonts w:ascii="Times New Roman" w:hAnsi="Times New Roman" w:cs="Times New Roman"/>
          <w:sz w:val="24"/>
          <w:szCs w:val="24"/>
        </w:rPr>
        <w:t>milk</w:t>
      </w:r>
      <w:r w:rsidR="00F75E3D" w:rsidRPr="00077D33">
        <w:rPr>
          <w:rFonts w:ascii="Times New Roman" w:hAnsi="Times New Roman" w:cs="Times New Roman"/>
          <w:sz w:val="24"/>
          <w:szCs w:val="24"/>
        </w:rPr>
        <w:t xml:space="preserve"> is often favored for its digestibility and higher nutrient density</w:t>
      </w:r>
      <w:r w:rsidR="000B3D29" w:rsidRPr="00077D33">
        <w:rPr>
          <w:rFonts w:ascii="Times New Roman" w:hAnsi="Times New Roman" w:cs="Times New Roman"/>
          <w:sz w:val="24"/>
          <w:szCs w:val="24"/>
        </w:rPr>
        <w:t xml:space="preserve">, while cow milk remains </w:t>
      </w:r>
      <w:r w:rsidR="0025361E" w:rsidRPr="00077D33">
        <w:rPr>
          <w:rFonts w:ascii="Times New Roman" w:hAnsi="Times New Roman" w:cs="Times New Roman"/>
          <w:sz w:val="24"/>
          <w:szCs w:val="24"/>
        </w:rPr>
        <w:t>wi</w:t>
      </w:r>
      <w:r w:rsidR="008D1DE0" w:rsidRPr="00077D33">
        <w:rPr>
          <w:rFonts w:ascii="Times New Roman" w:hAnsi="Times New Roman" w:cs="Times New Roman"/>
          <w:sz w:val="24"/>
          <w:szCs w:val="24"/>
        </w:rPr>
        <w:t>d</w:t>
      </w:r>
      <w:r w:rsidR="0025361E" w:rsidRPr="00077D33">
        <w:rPr>
          <w:rFonts w:ascii="Times New Roman" w:hAnsi="Times New Roman" w:cs="Times New Roman"/>
          <w:sz w:val="24"/>
          <w:szCs w:val="24"/>
        </w:rPr>
        <w:t>e</w:t>
      </w:r>
      <w:r w:rsidR="008D1DE0" w:rsidRPr="00077D33">
        <w:rPr>
          <w:rFonts w:ascii="Times New Roman" w:hAnsi="Times New Roman" w:cs="Times New Roman"/>
          <w:sz w:val="24"/>
          <w:szCs w:val="24"/>
        </w:rPr>
        <w:t>ly</w:t>
      </w:r>
      <w:r w:rsidR="000B3D29" w:rsidRPr="00077D33">
        <w:rPr>
          <w:rFonts w:ascii="Times New Roman" w:hAnsi="Times New Roman" w:cs="Times New Roman"/>
          <w:sz w:val="24"/>
          <w:szCs w:val="24"/>
        </w:rPr>
        <w:t xml:space="preserve"> consumed due to its availability and volume of production </w:t>
      </w:r>
      <w:r w:rsidR="00CD5067" w:rsidRPr="00077D33">
        <w:rPr>
          <w:rFonts w:ascii="Times New Roman" w:hAnsi="Times New Roman" w:cs="Times New Roman"/>
          <w:sz w:val="24"/>
          <w:szCs w:val="24"/>
        </w:rPr>
        <w:t>(</w:t>
      </w:r>
      <w:r w:rsidR="000B3D29" w:rsidRPr="00077D33">
        <w:rPr>
          <w:rFonts w:ascii="Times New Roman" w:hAnsi="Times New Roman" w:cs="Times New Roman"/>
          <w:sz w:val="24"/>
          <w:szCs w:val="24"/>
        </w:rPr>
        <w:t xml:space="preserve">Mohammad </w:t>
      </w:r>
      <w:r w:rsidR="000B3D29" w:rsidRPr="00077D33">
        <w:rPr>
          <w:rFonts w:ascii="Times New Roman" w:hAnsi="Times New Roman" w:cs="Times New Roman"/>
          <w:i/>
          <w:sz w:val="24"/>
          <w:szCs w:val="24"/>
        </w:rPr>
        <w:t>et al.,</w:t>
      </w:r>
      <w:r w:rsidR="000B3D29" w:rsidRPr="00077D33">
        <w:rPr>
          <w:rFonts w:ascii="Times New Roman" w:hAnsi="Times New Roman" w:cs="Times New Roman"/>
          <w:sz w:val="24"/>
          <w:szCs w:val="24"/>
        </w:rPr>
        <w:t xml:space="preserve"> 2023).</w:t>
      </w:r>
      <w:r w:rsidR="005238F0" w:rsidRPr="00077D33">
        <w:rPr>
          <w:rFonts w:ascii="Times New Roman" w:hAnsi="Times New Roman" w:cs="Times New Roman"/>
          <w:sz w:val="24"/>
          <w:szCs w:val="24"/>
        </w:rPr>
        <w:t xml:space="preserve"> Despite their nutritional benefits, both cow and goat milk are highly susceptible to microbial contamination</w:t>
      </w:r>
      <w:r w:rsidR="008A18C2" w:rsidRPr="00077D33">
        <w:rPr>
          <w:rFonts w:ascii="Times New Roman" w:hAnsi="Times New Roman" w:cs="Times New Roman"/>
          <w:sz w:val="24"/>
          <w:szCs w:val="24"/>
        </w:rPr>
        <w:t>. Their</w:t>
      </w:r>
      <w:r w:rsidR="002E504F" w:rsidRPr="00077D33">
        <w:rPr>
          <w:rFonts w:ascii="Times New Roman" w:hAnsi="Times New Roman" w:cs="Times New Roman"/>
          <w:sz w:val="24"/>
          <w:szCs w:val="24"/>
        </w:rPr>
        <w:t xml:space="preserve"> </w:t>
      </w:r>
      <w:proofErr w:type="gramStart"/>
      <w:r w:rsidR="002E504F" w:rsidRPr="00077D33">
        <w:rPr>
          <w:rFonts w:ascii="Times New Roman" w:hAnsi="Times New Roman" w:cs="Times New Roman"/>
          <w:sz w:val="24"/>
          <w:szCs w:val="24"/>
        </w:rPr>
        <w:t>high water</w:t>
      </w:r>
      <w:proofErr w:type="gramEnd"/>
      <w:r w:rsidR="002E504F" w:rsidRPr="00077D33">
        <w:rPr>
          <w:rFonts w:ascii="Times New Roman" w:hAnsi="Times New Roman" w:cs="Times New Roman"/>
          <w:sz w:val="24"/>
          <w:szCs w:val="24"/>
        </w:rPr>
        <w:t xml:space="preserve"> content,</w:t>
      </w:r>
      <w:r w:rsidR="006F6F2C" w:rsidRPr="00077D33">
        <w:rPr>
          <w:rFonts w:ascii="Times New Roman" w:hAnsi="Times New Roman" w:cs="Times New Roman"/>
          <w:sz w:val="24"/>
          <w:szCs w:val="24"/>
        </w:rPr>
        <w:t xml:space="preserve"> </w:t>
      </w:r>
      <w:r w:rsidR="002E504F" w:rsidRPr="00077D33">
        <w:rPr>
          <w:rFonts w:ascii="Times New Roman" w:hAnsi="Times New Roman" w:cs="Times New Roman"/>
          <w:sz w:val="24"/>
          <w:szCs w:val="24"/>
        </w:rPr>
        <w:t>neutral p</w:t>
      </w:r>
      <w:r w:rsidR="000B3D29" w:rsidRPr="00077D33">
        <w:rPr>
          <w:rFonts w:ascii="Times New Roman" w:hAnsi="Times New Roman" w:cs="Times New Roman"/>
          <w:sz w:val="24"/>
          <w:szCs w:val="24"/>
        </w:rPr>
        <w:t>H</w:t>
      </w:r>
      <w:r w:rsidR="002E504F" w:rsidRPr="00077D33">
        <w:rPr>
          <w:rFonts w:ascii="Times New Roman" w:hAnsi="Times New Roman" w:cs="Times New Roman"/>
          <w:sz w:val="24"/>
          <w:szCs w:val="24"/>
        </w:rPr>
        <w:t xml:space="preserve"> and rich nutritional profile makes it an ideal medium for microbial growth,</w:t>
      </w:r>
      <w:r w:rsidR="00F01E1E" w:rsidRPr="00077D33">
        <w:rPr>
          <w:rFonts w:ascii="Times New Roman" w:hAnsi="Times New Roman" w:cs="Times New Roman"/>
          <w:sz w:val="24"/>
          <w:szCs w:val="24"/>
        </w:rPr>
        <w:t xml:space="preserve"> </w:t>
      </w:r>
      <w:r w:rsidR="002E504F" w:rsidRPr="00077D33">
        <w:rPr>
          <w:rFonts w:ascii="Times New Roman" w:hAnsi="Times New Roman" w:cs="Times New Roman"/>
          <w:sz w:val="24"/>
          <w:szCs w:val="24"/>
        </w:rPr>
        <w:t>rendering it highly susceptible to contamination (</w:t>
      </w:r>
      <w:proofErr w:type="spellStart"/>
      <w:r w:rsidR="002E504F" w:rsidRPr="00077D33">
        <w:rPr>
          <w:rFonts w:ascii="Times New Roman" w:hAnsi="Times New Roman" w:cs="Times New Roman"/>
          <w:sz w:val="24"/>
          <w:szCs w:val="24"/>
        </w:rPr>
        <w:t>Uzoaga</w:t>
      </w:r>
      <w:proofErr w:type="spellEnd"/>
      <w:r w:rsidR="002E504F" w:rsidRPr="00077D33">
        <w:rPr>
          <w:rFonts w:ascii="Times New Roman" w:hAnsi="Times New Roman" w:cs="Times New Roman"/>
          <w:sz w:val="24"/>
          <w:szCs w:val="24"/>
        </w:rPr>
        <w:t xml:space="preserve"> </w:t>
      </w:r>
      <w:r w:rsidR="002E504F" w:rsidRPr="00077D33">
        <w:rPr>
          <w:rFonts w:ascii="Times New Roman" w:hAnsi="Times New Roman" w:cs="Times New Roman"/>
          <w:i/>
          <w:sz w:val="24"/>
          <w:szCs w:val="24"/>
        </w:rPr>
        <w:t>et al.,</w:t>
      </w:r>
      <w:r w:rsidR="002E504F" w:rsidRPr="00077D33">
        <w:rPr>
          <w:rFonts w:ascii="Times New Roman" w:hAnsi="Times New Roman" w:cs="Times New Roman"/>
          <w:sz w:val="24"/>
          <w:szCs w:val="24"/>
        </w:rPr>
        <w:t xml:space="preserve"> 2020). </w:t>
      </w:r>
      <w:r w:rsidR="00051A0B" w:rsidRPr="00077D33">
        <w:rPr>
          <w:rFonts w:ascii="Times New Roman" w:hAnsi="Times New Roman" w:cs="Times New Roman"/>
          <w:sz w:val="24"/>
          <w:szCs w:val="24"/>
        </w:rPr>
        <w:t xml:space="preserve">This vulnerability is </w:t>
      </w:r>
      <w:r w:rsidR="00106E08" w:rsidRPr="00077D33">
        <w:rPr>
          <w:rFonts w:ascii="Times New Roman" w:hAnsi="Times New Roman" w:cs="Times New Roman"/>
          <w:sz w:val="24"/>
          <w:szCs w:val="24"/>
        </w:rPr>
        <w:t>exacerbated in tradit</w:t>
      </w:r>
      <w:r w:rsidR="00C96F77">
        <w:rPr>
          <w:rFonts w:ascii="Times New Roman" w:hAnsi="Times New Roman" w:cs="Times New Roman"/>
          <w:sz w:val="24"/>
          <w:szCs w:val="24"/>
        </w:rPr>
        <w:t xml:space="preserve">ional dairy system, where milk </w:t>
      </w:r>
      <w:proofErr w:type="gramStart"/>
      <w:r w:rsidR="00C96F77">
        <w:rPr>
          <w:rFonts w:ascii="Times New Roman" w:hAnsi="Times New Roman" w:cs="Times New Roman"/>
          <w:sz w:val="24"/>
          <w:szCs w:val="24"/>
        </w:rPr>
        <w:t>were</w:t>
      </w:r>
      <w:proofErr w:type="gramEnd"/>
      <w:r w:rsidR="00106E08" w:rsidRPr="00077D33">
        <w:rPr>
          <w:rFonts w:ascii="Times New Roman" w:hAnsi="Times New Roman" w:cs="Times New Roman"/>
          <w:sz w:val="24"/>
          <w:szCs w:val="24"/>
        </w:rPr>
        <w:t xml:space="preserve"> handled manually, often using </w:t>
      </w:r>
      <w:proofErr w:type="spellStart"/>
      <w:r w:rsidR="00106E08" w:rsidRPr="00077D33">
        <w:rPr>
          <w:rFonts w:ascii="Times New Roman" w:hAnsi="Times New Roman" w:cs="Times New Roman"/>
          <w:sz w:val="24"/>
          <w:szCs w:val="24"/>
        </w:rPr>
        <w:t>non</w:t>
      </w:r>
      <w:proofErr w:type="spellEnd"/>
      <w:r w:rsidR="00BA172D" w:rsidRPr="00077D33">
        <w:rPr>
          <w:rFonts w:ascii="Times New Roman" w:hAnsi="Times New Roman" w:cs="Times New Roman"/>
          <w:sz w:val="24"/>
          <w:szCs w:val="24"/>
        </w:rPr>
        <w:t>̶ sterile</w:t>
      </w:r>
      <w:r w:rsidR="00106E08" w:rsidRPr="00077D33">
        <w:rPr>
          <w:rFonts w:ascii="Times New Roman" w:hAnsi="Times New Roman" w:cs="Times New Roman"/>
          <w:sz w:val="24"/>
          <w:szCs w:val="24"/>
        </w:rPr>
        <w:t xml:space="preserve"> utensil, untreated water</w:t>
      </w:r>
      <w:r w:rsidR="00B540C6" w:rsidRPr="00077D33">
        <w:rPr>
          <w:rFonts w:ascii="Times New Roman" w:hAnsi="Times New Roman" w:cs="Times New Roman"/>
          <w:sz w:val="24"/>
          <w:szCs w:val="24"/>
        </w:rPr>
        <w:t xml:space="preserve"> and exposed to open air̶</w:t>
      </w:r>
      <w:r w:rsidR="007D0DE6" w:rsidRPr="00077D33">
        <w:rPr>
          <w:rFonts w:ascii="Times New Roman" w:hAnsi="Times New Roman" w:cs="Times New Roman"/>
          <w:sz w:val="24"/>
          <w:szCs w:val="24"/>
        </w:rPr>
        <w:t xml:space="preserve"> </w:t>
      </w:r>
      <w:r w:rsidR="00B540C6" w:rsidRPr="00077D33">
        <w:rPr>
          <w:rFonts w:ascii="Times New Roman" w:hAnsi="Times New Roman" w:cs="Times New Roman"/>
          <w:sz w:val="24"/>
          <w:szCs w:val="24"/>
        </w:rPr>
        <w:t>environment</w:t>
      </w:r>
      <w:r w:rsidR="007D0DE6" w:rsidRPr="00077D33">
        <w:rPr>
          <w:rFonts w:ascii="Times New Roman" w:hAnsi="Times New Roman" w:cs="Times New Roman"/>
          <w:sz w:val="24"/>
          <w:szCs w:val="24"/>
        </w:rPr>
        <w:t xml:space="preserve">. These practices are common in Southwestern Nigeria, where </w:t>
      </w:r>
      <w:r w:rsidR="00BA172D" w:rsidRPr="00077D33">
        <w:rPr>
          <w:rFonts w:ascii="Times New Roman" w:hAnsi="Times New Roman" w:cs="Times New Roman"/>
          <w:sz w:val="24"/>
          <w:szCs w:val="24"/>
        </w:rPr>
        <w:t>access</w:t>
      </w:r>
      <w:r w:rsidR="007D0DE6" w:rsidRPr="00077D33">
        <w:rPr>
          <w:rFonts w:ascii="Times New Roman" w:hAnsi="Times New Roman" w:cs="Times New Roman"/>
          <w:sz w:val="24"/>
          <w:szCs w:val="24"/>
        </w:rPr>
        <w:t xml:space="preserve"> to </w:t>
      </w:r>
      <w:r w:rsidR="007C14FE">
        <w:rPr>
          <w:rFonts w:ascii="Times New Roman" w:hAnsi="Times New Roman" w:cs="Times New Roman"/>
          <w:sz w:val="24"/>
          <w:szCs w:val="24"/>
        </w:rPr>
        <w:t xml:space="preserve">a </w:t>
      </w:r>
      <w:r w:rsidR="007D0DE6" w:rsidRPr="00077D33">
        <w:rPr>
          <w:rFonts w:ascii="Times New Roman" w:hAnsi="Times New Roman" w:cs="Times New Roman"/>
          <w:sz w:val="24"/>
          <w:szCs w:val="24"/>
        </w:rPr>
        <w:t xml:space="preserve">modern infrastructure and hygiene training is limited (Azeez </w:t>
      </w:r>
      <w:r w:rsidR="007D0DE6" w:rsidRPr="00077D33">
        <w:rPr>
          <w:rFonts w:ascii="Times New Roman" w:hAnsi="Times New Roman" w:cs="Times New Roman"/>
          <w:i/>
          <w:sz w:val="24"/>
          <w:szCs w:val="24"/>
        </w:rPr>
        <w:t>et al.,</w:t>
      </w:r>
      <w:r w:rsidR="007D0DE6" w:rsidRPr="00077D33">
        <w:rPr>
          <w:rFonts w:ascii="Times New Roman" w:hAnsi="Times New Roman" w:cs="Times New Roman"/>
          <w:sz w:val="24"/>
          <w:szCs w:val="24"/>
        </w:rPr>
        <w:t xml:space="preserve"> 202</w:t>
      </w:r>
      <w:r w:rsidR="00BA172D" w:rsidRPr="00077D33">
        <w:rPr>
          <w:rFonts w:ascii="Times New Roman" w:hAnsi="Times New Roman" w:cs="Times New Roman"/>
          <w:sz w:val="24"/>
          <w:szCs w:val="24"/>
        </w:rPr>
        <w:t>5).</w:t>
      </w:r>
      <w:r w:rsidR="00106E08" w:rsidRPr="00077D33">
        <w:rPr>
          <w:rFonts w:ascii="Times New Roman" w:hAnsi="Times New Roman" w:cs="Times New Roman"/>
          <w:sz w:val="24"/>
          <w:szCs w:val="24"/>
        </w:rPr>
        <w:t xml:space="preserve"> </w:t>
      </w:r>
      <w:r w:rsidR="002E504F" w:rsidRPr="00077D33">
        <w:rPr>
          <w:rFonts w:ascii="Times New Roman" w:hAnsi="Times New Roman" w:cs="Times New Roman"/>
          <w:sz w:val="24"/>
          <w:szCs w:val="24"/>
        </w:rPr>
        <w:t>Contamination can occur at various stages of milk production</w:t>
      </w:r>
      <w:r w:rsidR="00593550" w:rsidRPr="00077D33">
        <w:rPr>
          <w:rFonts w:ascii="Times New Roman" w:hAnsi="Times New Roman" w:cs="Times New Roman"/>
          <w:sz w:val="24"/>
          <w:szCs w:val="24"/>
        </w:rPr>
        <w:t>.</w:t>
      </w:r>
      <w:r w:rsidR="006F6F2C" w:rsidRPr="00077D33">
        <w:rPr>
          <w:rFonts w:ascii="Times New Roman" w:hAnsi="Times New Roman" w:cs="Times New Roman"/>
          <w:sz w:val="24"/>
          <w:szCs w:val="24"/>
        </w:rPr>
        <w:t xml:space="preserve"> </w:t>
      </w:r>
      <w:r w:rsidR="00593550" w:rsidRPr="00077D33">
        <w:rPr>
          <w:rFonts w:ascii="Times New Roman" w:hAnsi="Times New Roman" w:cs="Times New Roman"/>
          <w:sz w:val="24"/>
          <w:szCs w:val="24"/>
        </w:rPr>
        <w:t xml:space="preserve">This can be from the udder, through handling </w:t>
      </w:r>
      <w:r w:rsidR="006F6F2C" w:rsidRPr="00077D33">
        <w:rPr>
          <w:rFonts w:ascii="Times New Roman" w:hAnsi="Times New Roman" w:cs="Times New Roman"/>
          <w:sz w:val="24"/>
          <w:szCs w:val="24"/>
        </w:rPr>
        <w:t>equipment’s</w:t>
      </w:r>
      <w:r w:rsidR="00593550" w:rsidRPr="00077D33">
        <w:rPr>
          <w:rFonts w:ascii="Times New Roman" w:hAnsi="Times New Roman" w:cs="Times New Roman"/>
          <w:sz w:val="24"/>
          <w:szCs w:val="24"/>
        </w:rPr>
        <w:t xml:space="preserve"> and utensils as well as the surrounding environment. In Nigeria’s informal dairy sector, milk handling is mostly done without observing hygienic </w:t>
      </w:r>
      <w:r w:rsidR="006F6F2C" w:rsidRPr="00077D33">
        <w:rPr>
          <w:rFonts w:ascii="Times New Roman" w:hAnsi="Times New Roman" w:cs="Times New Roman"/>
          <w:sz w:val="24"/>
          <w:szCs w:val="24"/>
        </w:rPr>
        <w:t>practices, posing</w:t>
      </w:r>
      <w:r w:rsidR="00593550" w:rsidRPr="00077D33">
        <w:rPr>
          <w:rFonts w:ascii="Times New Roman" w:hAnsi="Times New Roman" w:cs="Times New Roman"/>
          <w:sz w:val="24"/>
          <w:szCs w:val="24"/>
        </w:rPr>
        <w:t xml:space="preserve"> serious threats to public health (</w:t>
      </w:r>
      <w:proofErr w:type="spellStart"/>
      <w:r w:rsidR="00593550" w:rsidRPr="00077D33">
        <w:rPr>
          <w:rFonts w:ascii="Times New Roman" w:hAnsi="Times New Roman" w:cs="Times New Roman"/>
          <w:sz w:val="24"/>
          <w:szCs w:val="24"/>
        </w:rPr>
        <w:t>Odetokun</w:t>
      </w:r>
      <w:proofErr w:type="spellEnd"/>
      <w:r w:rsidR="00593550" w:rsidRPr="00077D33">
        <w:rPr>
          <w:rFonts w:ascii="Times New Roman" w:hAnsi="Times New Roman" w:cs="Times New Roman"/>
          <w:sz w:val="24"/>
          <w:szCs w:val="24"/>
        </w:rPr>
        <w:t xml:space="preserve"> </w:t>
      </w:r>
      <w:r w:rsidR="00593550" w:rsidRPr="00077D33">
        <w:rPr>
          <w:rFonts w:ascii="Times New Roman" w:hAnsi="Times New Roman" w:cs="Times New Roman"/>
          <w:i/>
          <w:sz w:val="24"/>
          <w:szCs w:val="24"/>
        </w:rPr>
        <w:t>et al.,</w:t>
      </w:r>
      <w:r w:rsidR="00593550" w:rsidRPr="00077D33">
        <w:rPr>
          <w:rFonts w:ascii="Times New Roman" w:hAnsi="Times New Roman" w:cs="Times New Roman"/>
          <w:sz w:val="24"/>
          <w:szCs w:val="24"/>
        </w:rPr>
        <w:t xml:space="preserve"> 2024). Studies have revealed that traditional milk processors, particularly Fulani pastoralists often rely on untreated water and lack of sanitation infrastructure, increasing the risk of contamination with pathogens like </w:t>
      </w:r>
      <w:proofErr w:type="gramStart"/>
      <w:r w:rsidR="00593550" w:rsidRPr="00077D33">
        <w:rPr>
          <w:rFonts w:ascii="Times New Roman" w:hAnsi="Times New Roman" w:cs="Times New Roman"/>
          <w:i/>
          <w:sz w:val="24"/>
          <w:szCs w:val="24"/>
        </w:rPr>
        <w:t>E.coli</w:t>
      </w:r>
      <w:proofErr w:type="gramEnd"/>
      <w:r w:rsidR="00593550" w:rsidRPr="00077D33">
        <w:rPr>
          <w:rFonts w:ascii="Times New Roman" w:hAnsi="Times New Roman" w:cs="Times New Roman"/>
          <w:i/>
          <w:sz w:val="24"/>
          <w:szCs w:val="24"/>
        </w:rPr>
        <w:t>, Staphylococcus</w:t>
      </w:r>
      <w:r w:rsidR="00593550" w:rsidRPr="00077D33">
        <w:rPr>
          <w:rFonts w:ascii="Times New Roman" w:hAnsi="Times New Roman" w:cs="Times New Roman"/>
          <w:sz w:val="24"/>
          <w:szCs w:val="24"/>
        </w:rPr>
        <w:t xml:space="preserve"> </w:t>
      </w:r>
      <w:r w:rsidR="00593550" w:rsidRPr="00077D33">
        <w:rPr>
          <w:rFonts w:ascii="Times New Roman" w:hAnsi="Times New Roman" w:cs="Times New Roman"/>
          <w:i/>
          <w:sz w:val="24"/>
          <w:szCs w:val="24"/>
        </w:rPr>
        <w:t>aureus</w:t>
      </w:r>
      <w:r w:rsidR="00593550" w:rsidRPr="00077D33">
        <w:rPr>
          <w:rFonts w:ascii="Times New Roman" w:hAnsi="Times New Roman" w:cs="Times New Roman"/>
          <w:sz w:val="24"/>
          <w:szCs w:val="24"/>
        </w:rPr>
        <w:t xml:space="preserve"> and </w:t>
      </w:r>
      <w:r w:rsidR="00593550" w:rsidRPr="00077D33">
        <w:rPr>
          <w:rFonts w:ascii="Times New Roman" w:hAnsi="Times New Roman" w:cs="Times New Roman"/>
          <w:i/>
          <w:sz w:val="24"/>
          <w:szCs w:val="24"/>
        </w:rPr>
        <w:t>Salmonella</w:t>
      </w:r>
      <w:r w:rsidR="00593550" w:rsidRPr="00077D33">
        <w:rPr>
          <w:rFonts w:ascii="Times New Roman" w:hAnsi="Times New Roman" w:cs="Times New Roman"/>
          <w:sz w:val="24"/>
          <w:szCs w:val="24"/>
        </w:rPr>
        <w:t xml:space="preserve"> </w:t>
      </w:r>
      <w:r w:rsidR="00593550" w:rsidRPr="00077D33">
        <w:rPr>
          <w:rFonts w:ascii="Times New Roman" w:hAnsi="Times New Roman" w:cs="Times New Roman"/>
          <w:i/>
          <w:sz w:val="24"/>
          <w:szCs w:val="24"/>
        </w:rPr>
        <w:t>spp.</w:t>
      </w:r>
      <w:r w:rsidR="00593550" w:rsidRPr="00077D33">
        <w:rPr>
          <w:rFonts w:ascii="Times New Roman" w:hAnsi="Times New Roman" w:cs="Times New Roman"/>
          <w:sz w:val="24"/>
          <w:szCs w:val="24"/>
        </w:rPr>
        <w:t xml:space="preserve"> </w:t>
      </w:r>
      <w:r w:rsidR="00A15CE4" w:rsidRPr="00077D33">
        <w:rPr>
          <w:rFonts w:ascii="Times New Roman" w:hAnsi="Times New Roman" w:cs="Times New Roman"/>
          <w:sz w:val="24"/>
          <w:szCs w:val="24"/>
        </w:rPr>
        <w:t xml:space="preserve">which are indicators of fecal contamination and poor sanitation </w:t>
      </w:r>
      <w:r w:rsidR="00593550" w:rsidRPr="00077D33">
        <w:rPr>
          <w:rFonts w:ascii="Times New Roman" w:hAnsi="Times New Roman" w:cs="Times New Roman"/>
          <w:sz w:val="24"/>
          <w:szCs w:val="24"/>
        </w:rPr>
        <w:t xml:space="preserve">(Ghali-Mohammed </w:t>
      </w:r>
      <w:r w:rsidR="00593550" w:rsidRPr="00077D33">
        <w:rPr>
          <w:rFonts w:ascii="Times New Roman" w:hAnsi="Times New Roman" w:cs="Times New Roman"/>
          <w:i/>
          <w:sz w:val="24"/>
          <w:szCs w:val="24"/>
        </w:rPr>
        <w:t>et al.,</w:t>
      </w:r>
      <w:r w:rsidR="00593550" w:rsidRPr="00077D33">
        <w:rPr>
          <w:rFonts w:ascii="Times New Roman" w:hAnsi="Times New Roman" w:cs="Times New Roman"/>
          <w:sz w:val="24"/>
          <w:szCs w:val="24"/>
        </w:rPr>
        <w:t xml:space="preserve"> 2025)</w:t>
      </w:r>
      <w:r w:rsidR="006F6F2C" w:rsidRPr="00077D33">
        <w:rPr>
          <w:rFonts w:ascii="Times New Roman" w:hAnsi="Times New Roman" w:cs="Times New Roman"/>
          <w:sz w:val="24"/>
          <w:szCs w:val="24"/>
        </w:rPr>
        <w:t>.</w:t>
      </w:r>
    </w:p>
    <w:p w:rsidR="008C69C2" w:rsidRPr="00077D33" w:rsidRDefault="00C917A9"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lastRenderedPageBreak/>
        <w:t xml:space="preserve">The World Health </w:t>
      </w:r>
      <w:proofErr w:type="spellStart"/>
      <w:r w:rsidRPr="00077D33">
        <w:rPr>
          <w:rFonts w:ascii="Times New Roman" w:hAnsi="Times New Roman" w:cs="Times New Roman"/>
          <w:sz w:val="24"/>
          <w:szCs w:val="24"/>
        </w:rPr>
        <w:t>Organisation</w:t>
      </w:r>
      <w:proofErr w:type="spellEnd"/>
      <w:r w:rsidRPr="00077D33">
        <w:rPr>
          <w:rFonts w:ascii="Times New Roman" w:hAnsi="Times New Roman" w:cs="Times New Roman"/>
          <w:sz w:val="24"/>
          <w:szCs w:val="24"/>
        </w:rPr>
        <w:t xml:space="preserve"> (WHO) has </w:t>
      </w:r>
      <w:r w:rsidR="00821A27" w:rsidRPr="00077D33">
        <w:rPr>
          <w:rFonts w:ascii="Times New Roman" w:hAnsi="Times New Roman" w:cs="Times New Roman"/>
          <w:sz w:val="24"/>
          <w:szCs w:val="24"/>
        </w:rPr>
        <w:t xml:space="preserve">emphasized that milk safety is a critical public health concern, especially in informal markets where regulatory oversight is minimal. Their </w:t>
      </w:r>
      <w:r w:rsidR="00F86D22" w:rsidRPr="00077D33">
        <w:rPr>
          <w:rFonts w:ascii="Times New Roman" w:hAnsi="Times New Roman" w:cs="Times New Roman"/>
          <w:sz w:val="24"/>
          <w:szCs w:val="24"/>
        </w:rPr>
        <w:t xml:space="preserve">technical presentation </w:t>
      </w:r>
      <w:r w:rsidR="0077117C" w:rsidRPr="00077D33">
        <w:rPr>
          <w:rFonts w:ascii="Times New Roman" w:hAnsi="Times New Roman" w:cs="Times New Roman"/>
          <w:sz w:val="24"/>
          <w:szCs w:val="24"/>
        </w:rPr>
        <w:t>on food safety in primary milk production indicates the nee</w:t>
      </w:r>
      <w:r w:rsidR="007C14FE">
        <w:rPr>
          <w:rFonts w:ascii="Times New Roman" w:hAnsi="Times New Roman" w:cs="Times New Roman"/>
          <w:sz w:val="24"/>
          <w:szCs w:val="24"/>
        </w:rPr>
        <w:t>d for clean equipment, safe wate</w:t>
      </w:r>
      <w:r w:rsidR="0077117C" w:rsidRPr="00077D33">
        <w:rPr>
          <w:rFonts w:ascii="Times New Roman" w:hAnsi="Times New Roman" w:cs="Times New Roman"/>
          <w:sz w:val="24"/>
          <w:szCs w:val="24"/>
        </w:rPr>
        <w:t>r</w:t>
      </w:r>
      <w:r w:rsidR="007D1395">
        <w:rPr>
          <w:rFonts w:ascii="Times New Roman" w:hAnsi="Times New Roman" w:cs="Times New Roman"/>
          <w:sz w:val="24"/>
          <w:szCs w:val="24"/>
        </w:rPr>
        <w:t xml:space="preserve"> and </w:t>
      </w:r>
      <w:proofErr w:type="spellStart"/>
      <w:r w:rsidR="007D1395">
        <w:rPr>
          <w:rFonts w:ascii="Times New Roman" w:hAnsi="Times New Roman" w:cs="Times New Roman"/>
          <w:sz w:val="24"/>
          <w:szCs w:val="24"/>
        </w:rPr>
        <w:t>vertin</w:t>
      </w:r>
      <w:r w:rsidR="007C14FE">
        <w:rPr>
          <w:rFonts w:ascii="Times New Roman" w:hAnsi="Times New Roman" w:cs="Times New Roman"/>
          <w:sz w:val="24"/>
          <w:szCs w:val="24"/>
        </w:rPr>
        <w:t>a</w:t>
      </w:r>
      <w:r w:rsidR="00AC5ADC" w:rsidRPr="00077D33">
        <w:rPr>
          <w:rFonts w:ascii="Times New Roman" w:hAnsi="Times New Roman" w:cs="Times New Roman"/>
          <w:sz w:val="24"/>
          <w:szCs w:val="24"/>
        </w:rPr>
        <w:t>ry</w:t>
      </w:r>
      <w:proofErr w:type="spellEnd"/>
      <w:r w:rsidR="00AC5ADC" w:rsidRPr="00077D33">
        <w:rPr>
          <w:rFonts w:ascii="Times New Roman" w:hAnsi="Times New Roman" w:cs="Times New Roman"/>
          <w:sz w:val="24"/>
          <w:szCs w:val="24"/>
        </w:rPr>
        <w:t xml:space="preserve"> oversight to prevent contamination (WHO, 2023</w:t>
      </w:r>
      <w:proofErr w:type="gramStart"/>
      <w:r w:rsidR="00AC5ADC" w:rsidRPr="00077D33">
        <w:rPr>
          <w:rFonts w:ascii="Times New Roman" w:hAnsi="Times New Roman" w:cs="Times New Roman"/>
          <w:sz w:val="24"/>
          <w:szCs w:val="24"/>
        </w:rPr>
        <w:t>).</w:t>
      </w:r>
      <w:r w:rsidR="00557167" w:rsidRPr="00077D33">
        <w:rPr>
          <w:rFonts w:ascii="Times New Roman" w:hAnsi="Times New Roman" w:cs="Times New Roman"/>
          <w:sz w:val="24"/>
          <w:szCs w:val="24"/>
        </w:rPr>
        <w:t>In</w:t>
      </w:r>
      <w:proofErr w:type="gramEnd"/>
      <w:r w:rsidR="00557167" w:rsidRPr="00077D33">
        <w:rPr>
          <w:rFonts w:ascii="Times New Roman" w:hAnsi="Times New Roman" w:cs="Times New Roman"/>
          <w:sz w:val="24"/>
          <w:szCs w:val="24"/>
        </w:rPr>
        <w:t xml:space="preserve"> Nigeria several studies have consistently reported microbial loads in raw milk that exceeded WHO thr</w:t>
      </w:r>
      <w:r w:rsidR="00A234C6" w:rsidRPr="00077D33">
        <w:rPr>
          <w:rFonts w:ascii="Times New Roman" w:hAnsi="Times New Roman" w:cs="Times New Roman"/>
          <w:sz w:val="24"/>
          <w:szCs w:val="24"/>
        </w:rPr>
        <w:t xml:space="preserve">esholds. Adediran </w:t>
      </w:r>
      <w:r w:rsidR="00371FC7">
        <w:rPr>
          <w:rFonts w:ascii="Times New Roman" w:hAnsi="Times New Roman" w:cs="Times New Roman"/>
          <w:i/>
          <w:sz w:val="24"/>
          <w:szCs w:val="24"/>
        </w:rPr>
        <w:t xml:space="preserve">et al. </w:t>
      </w:r>
      <w:r w:rsidR="00371FC7" w:rsidRPr="00371FC7">
        <w:rPr>
          <w:rFonts w:ascii="Times New Roman" w:hAnsi="Times New Roman" w:cs="Times New Roman"/>
          <w:sz w:val="24"/>
          <w:szCs w:val="24"/>
        </w:rPr>
        <w:t>(</w:t>
      </w:r>
      <w:r w:rsidR="00A234C6" w:rsidRPr="00371FC7">
        <w:rPr>
          <w:rFonts w:ascii="Times New Roman" w:hAnsi="Times New Roman" w:cs="Times New Roman"/>
          <w:sz w:val="24"/>
          <w:szCs w:val="24"/>
        </w:rPr>
        <w:t>2023</w:t>
      </w:r>
      <w:r w:rsidR="00371FC7">
        <w:rPr>
          <w:rFonts w:ascii="Times New Roman" w:hAnsi="Times New Roman" w:cs="Times New Roman"/>
          <w:sz w:val="24"/>
          <w:szCs w:val="24"/>
        </w:rPr>
        <w:t>)</w:t>
      </w:r>
      <w:r w:rsidR="00A234C6" w:rsidRPr="00077D33">
        <w:rPr>
          <w:rFonts w:ascii="Times New Roman" w:hAnsi="Times New Roman" w:cs="Times New Roman"/>
          <w:sz w:val="24"/>
          <w:szCs w:val="24"/>
        </w:rPr>
        <w:t xml:space="preserve"> </w:t>
      </w:r>
      <w:r w:rsidR="00557167" w:rsidRPr="00077D33">
        <w:rPr>
          <w:rFonts w:ascii="Times New Roman" w:hAnsi="Times New Roman" w:cs="Times New Roman"/>
          <w:sz w:val="24"/>
          <w:szCs w:val="24"/>
        </w:rPr>
        <w:t>found high level of total bacterial cou</w:t>
      </w:r>
      <w:r w:rsidR="003A1415" w:rsidRPr="00077D33">
        <w:rPr>
          <w:rFonts w:ascii="Times New Roman" w:hAnsi="Times New Roman" w:cs="Times New Roman"/>
          <w:sz w:val="24"/>
          <w:szCs w:val="24"/>
        </w:rPr>
        <w:t xml:space="preserve">nts and coliform counts in raw </w:t>
      </w:r>
      <w:r w:rsidR="00557167" w:rsidRPr="00077D33">
        <w:rPr>
          <w:rFonts w:ascii="Times New Roman" w:hAnsi="Times New Roman" w:cs="Times New Roman"/>
          <w:sz w:val="24"/>
          <w:szCs w:val="24"/>
        </w:rPr>
        <w:t xml:space="preserve">milk samples </w:t>
      </w:r>
      <w:r w:rsidR="00A234C6" w:rsidRPr="00077D33">
        <w:rPr>
          <w:rFonts w:ascii="Times New Roman" w:hAnsi="Times New Roman" w:cs="Times New Roman"/>
          <w:sz w:val="24"/>
          <w:szCs w:val="24"/>
        </w:rPr>
        <w:t>in dairy farms in Ibadan Metropolis Oyo State, Nigeria</w:t>
      </w:r>
      <w:r w:rsidR="003A1415" w:rsidRPr="00077D33">
        <w:rPr>
          <w:rFonts w:ascii="Times New Roman" w:hAnsi="Times New Roman" w:cs="Times New Roman"/>
          <w:sz w:val="24"/>
          <w:szCs w:val="24"/>
        </w:rPr>
        <w:t xml:space="preserve">. </w:t>
      </w:r>
      <w:proofErr w:type="gramStart"/>
      <w:r w:rsidR="003A1415" w:rsidRPr="00077D33">
        <w:rPr>
          <w:rFonts w:ascii="Times New Roman" w:hAnsi="Times New Roman" w:cs="Times New Roman"/>
          <w:sz w:val="24"/>
          <w:szCs w:val="24"/>
        </w:rPr>
        <w:t>Similarly</w:t>
      </w:r>
      <w:proofErr w:type="gramEnd"/>
      <w:r w:rsidR="003A1415" w:rsidRPr="00077D33">
        <w:rPr>
          <w:rFonts w:ascii="Times New Roman" w:hAnsi="Times New Roman" w:cs="Times New Roman"/>
          <w:sz w:val="24"/>
          <w:szCs w:val="24"/>
        </w:rPr>
        <w:t xml:space="preserve"> </w:t>
      </w:r>
      <w:proofErr w:type="spellStart"/>
      <w:r w:rsidR="003A1415" w:rsidRPr="00077D33">
        <w:rPr>
          <w:rFonts w:ascii="Times New Roman" w:hAnsi="Times New Roman" w:cs="Times New Roman"/>
          <w:sz w:val="24"/>
          <w:szCs w:val="24"/>
        </w:rPr>
        <w:t>Ugoago</w:t>
      </w:r>
      <w:proofErr w:type="spellEnd"/>
      <w:r w:rsidR="003A1415" w:rsidRPr="00077D33">
        <w:rPr>
          <w:rFonts w:ascii="Times New Roman" w:hAnsi="Times New Roman" w:cs="Times New Roman"/>
          <w:sz w:val="24"/>
          <w:szCs w:val="24"/>
        </w:rPr>
        <w:t xml:space="preserve"> </w:t>
      </w:r>
      <w:r w:rsidR="003A1415" w:rsidRPr="00077D33">
        <w:rPr>
          <w:rFonts w:ascii="Times New Roman" w:hAnsi="Times New Roman" w:cs="Times New Roman"/>
          <w:i/>
          <w:sz w:val="24"/>
          <w:szCs w:val="24"/>
        </w:rPr>
        <w:t>et al.</w:t>
      </w:r>
      <w:r w:rsidR="003A1415" w:rsidRPr="00077D33">
        <w:rPr>
          <w:rFonts w:ascii="Times New Roman" w:hAnsi="Times New Roman" w:cs="Times New Roman"/>
          <w:sz w:val="24"/>
          <w:szCs w:val="24"/>
        </w:rPr>
        <w:t xml:space="preserve"> (2023) also found high levels of coliforms an</w:t>
      </w:r>
      <w:r w:rsidR="00AF1B30" w:rsidRPr="00077D33">
        <w:rPr>
          <w:rFonts w:ascii="Times New Roman" w:hAnsi="Times New Roman" w:cs="Times New Roman"/>
          <w:sz w:val="24"/>
          <w:szCs w:val="24"/>
        </w:rPr>
        <w:t>d</w:t>
      </w:r>
      <w:r w:rsidR="003A1415" w:rsidRPr="00077D33">
        <w:rPr>
          <w:rFonts w:ascii="Times New Roman" w:hAnsi="Times New Roman" w:cs="Times New Roman"/>
          <w:sz w:val="24"/>
          <w:szCs w:val="24"/>
        </w:rPr>
        <w:t xml:space="preserve"> total bacterial count in raw milk samples from informal market in Abuja</w:t>
      </w:r>
      <w:r w:rsidR="00B108B2" w:rsidRPr="00077D33">
        <w:rPr>
          <w:rFonts w:ascii="Times New Roman" w:hAnsi="Times New Roman" w:cs="Times New Roman"/>
          <w:sz w:val="24"/>
          <w:szCs w:val="24"/>
        </w:rPr>
        <w:t>.</w:t>
      </w:r>
      <w:r w:rsidR="00821A27" w:rsidRPr="00077D33">
        <w:rPr>
          <w:rFonts w:ascii="Times New Roman" w:hAnsi="Times New Roman" w:cs="Times New Roman"/>
          <w:sz w:val="24"/>
          <w:szCs w:val="24"/>
        </w:rPr>
        <w:t xml:space="preserve"> </w:t>
      </w:r>
      <w:r w:rsidR="00763A86" w:rsidRPr="00077D33">
        <w:rPr>
          <w:rFonts w:ascii="Times New Roman" w:hAnsi="Times New Roman" w:cs="Times New Roman"/>
          <w:sz w:val="24"/>
          <w:szCs w:val="24"/>
        </w:rPr>
        <w:t xml:space="preserve">While many studies have </w:t>
      </w:r>
      <w:proofErr w:type="gramStart"/>
      <w:r w:rsidR="00763A86" w:rsidRPr="00077D33">
        <w:rPr>
          <w:rFonts w:ascii="Times New Roman" w:hAnsi="Times New Roman" w:cs="Times New Roman"/>
          <w:sz w:val="24"/>
          <w:szCs w:val="24"/>
        </w:rPr>
        <w:t>examine</w:t>
      </w:r>
      <w:proofErr w:type="gramEnd"/>
      <w:r w:rsidR="00763A86" w:rsidRPr="00077D33">
        <w:rPr>
          <w:rFonts w:ascii="Times New Roman" w:hAnsi="Times New Roman" w:cs="Times New Roman"/>
          <w:sz w:val="24"/>
          <w:szCs w:val="24"/>
        </w:rPr>
        <w:t xml:space="preserve"> microbial contamination in Nigerian milk, few have simultaneously assess both nutritional profile and microbiological contamination risks in cow and goat milk. </w:t>
      </w:r>
      <w:r w:rsidR="00821A27" w:rsidRPr="00077D33">
        <w:rPr>
          <w:rFonts w:ascii="Times New Roman" w:hAnsi="Times New Roman" w:cs="Times New Roman"/>
          <w:sz w:val="24"/>
          <w:szCs w:val="24"/>
        </w:rPr>
        <w:t xml:space="preserve"> </w:t>
      </w:r>
      <w:r w:rsidR="00763A86" w:rsidRPr="00077D33">
        <w:rPr>
          <w:rFonts w:ascii="Times New Roman" w:hAnsi="Times New Roman" w:cs="Times New Roman"/>
          <w:sz w:val="24"/>
          <w:szCs w:val="24"/>
        </w:rPr>
        <w:t>As a results of these</w:t>
      </w:r>
      <w:r w:rsidR="007B4771" w:rsidRPr="00077D33">
        <w:rPr>
          <w:rFonts w:ascii="Times New Roman" w:hAnsi="Times New Roman" w:cs="Times New Roman"/>
          <w:sz w:val="24"/>
          <w:szCs w:val="24"/>
        </w:rPr>
        <w:t>, the present study ai</w:t>
      </w:r>
      <w:r w:rsidR="00763A86" w:rsidRPr="00077D33">
        <w:rPr>
          <w:rFonts w:ascii="Times New Roman" w:hAnsi="Times New Roman" w:cs="Times New Roman"/>
          <w:sz w:val="24"/>
          <w:szCs w:val="24"/>
        </w:rPr>
        <w:t xml:space="preserve">ms to assess the microbiological </w:t>
      </w:r>
      <w:r w:rsidR="009076F0" w:rsidRPr="00077D33">
        <w:rPr>
          <w:rFonts w:ascii="Times New Roman" w:hAnsi="Times New Roman" w:cs="Times New Roman"/>
          <w:sz w:val="24"/>
          <w:szCs w:val="24"/>
        </w:rPr>
        <w:t xml:space="preserve">risk assessment across four Local Government Area in Southwestern Nigeria, which are </w:t>
      </w:r>
      <w:proofErr w:type="spellStart"/>
      <w:r w:rsidR="009076F0" w:rsidRPr="00077D33">
        <w:rPr>
          <w:rFonts w:ascii="Times New Roman" w:hAnsi="Times New Roman" w:cs="Times New Roman"/>
          <w:sz w:val="24"/>
          <w:szCs w:val="24"/>
        </w:rPr>
        <w:t>Akinyele</w:t>
      </w:r>
      <w:proofErr w:type="spellEnd"/>
      <w:r w:rsidR="009076F0" w:rsidRPr="00077D33">
        <w:rPr>
          <w:rFonts w:ascii="Times New Roman" w:hAnsi="Times New Roman" w:cs="Times New Roman"/>
          <w:sz w:val="24"/>
          <w:szCs w:val="24"/>
        </w:rPr>
        <w:t xml:space="preserve">, </w:t>
      </w:r>
      <w:proofErr w:type="spellStart"/>
      <w:r w:rsidR="009076F0" w:rsidRPr="00077D33">
        <w:rPr>
          <w:rFonts w:ascii="Times New Roman" w:hAnsi="Times New Roman" w:cs="Times New Roman"/>
          <w:sz w:val="24"/>
          <w:szCs w:val="24"/>
        </w:rPr>
        <w:t>Ido</w:t>
      </w:r>
      <w:proofErr w:type="spellEnd"/>
      <w:r w:rsidR="009076F0" w:rsidRPr="00077D33">
        <w:rPr>
          <w:rFonts w:ascii="Times New Roman" w:hAnsi="Times New Roman" w:cs="Times New Roman"/>
          <w:sz w:val="24"/>
          <w:szCs w:val="24"/>
        </w:rPr>
        <w:t xml:space="preserve">, </w:t>
      </w:r>
      <w:proofErr w:type="spellStart"/>
      <w:r w:rsidR="009076F0" w:rsidRPr="00077D33">
        <w:rPr>
          <w:rFonts w:ascii="Times New Roman" w:hAnsi="Times New Roman" w:cs="Times New Roman"/>
          <w:sz w:val="24"/>
          <w:szCs w:val="24"/>
        </w:rPr>
        <w:t>Ibarapa</w:t>
      </w:r>
      <w:proofErr w:type="spellEnd"/>
      <w:r w:rsidR="009076F0" w:rsidRPr="00077D33">
        <w:rPr>
          <w:rFonts w:ascii="Times New Roman" w:hAnsi="Times New Roman" w:cs="Times New Roman"/>
          <w:sz w:val="24"/>
          <w:szCs w:val="24"/>
        </w:rPr>
        <w:t xml:space="preserve"> East and Ibadan North. By analyzing samples from milking utensils, water sources and air and comparing protein and fatty acid profile, the research provides a comprehensive view of milk safety and quality </w:t>
      </w:r>
      <w:r w:rsidR="000E00B0" w:rsidRPr="00077D33">
        <w:rPr>
          <w:rFonts w:ascii="Times New Roman" w:hAnsi="Times New Roman" w:cs="Times New Roman"/>
          <w:sz w:val="24"/>
          <w:szCs w:val="24"/>
        </w:rPr>
        <w:t>in traditional handling systems</w:t>
      </w:r>
      <w:r w:rsidR="007B4771" w:rsidRPr="00077D33">
        <w:rPr>
          <w:rFonts w:ascii="Times New Roman" w:hAnsi="Times New Roman" w:cs="Times New Roman"/>
          <w:sz w:val="24"/>
          <w:szCs w:val="24"/>
        </w:rPr>
        <w:t>.</w:t>
      </w:r>
    </w:p>
    <w:p w:rsidR="00E50A24" w:rsidRPr="00077D33" w:rsidRDefault="00E50A24"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MATERIALS AND METHODS</w:t>
      </w:r>
    </w:p>
    <w:p w:rsidR="00052884" w:rsidRPr="00077D33" w:rsidRDefault="00052884"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Study Areas</w:t>
      </w:r>
    </w:p>
    <w:p w:rsidR="00052884" w:rsidRPr="00077D33" w:rsidRDefault="00052884"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The study was conducted across dairy farms in four Local Government Areas within Oyo State: </w:t>
      </w:r>
      <w:proofErr w:type="spellStart"/>
      <w:r w:rsidRPr="00077D33">
        <w:rPr>
          <w:rFonts w:ascii="Times New Roman" w:hAnsi="Times New Roman" w:cs="Times New Roman"/>
          <w:sz w:val="24"/>
          <w:szCs w:val="24"/>
        </w:rPr>
        <w:t>Akinyele</w:t>
      </w:r>
      <w:proofErr w:type="spellEnd"/>
      <w:r w:rsidRPr="00077D33">
        <w:rPr>
          <w:rFonts w:ascii="Times New Roman" w:hAnsi="Times New Roman" w:cs="Times New Roman"/>
          <w:sz w:val="24"/>
          <w:szCs w:val="24"/>
        </w:rPr>
        <w:t xml:space="preserve">, </w:t>
      </w:r>
      <w:proofErr w:type="spellStart"/>
      <w:r w:rsidRPr="00077D33">
        <w:rPr>
          <w:rFonts w:ascii="Times New Roman" w:hAnsi="Times New Roman" w:cs="Times New Roman"/>
          <w:sz w:val="24"/>
          <w:szCs w:val="24"/>
        </w:rPr>
        <w:t>Ido</w:t>
      </w:r>
      <w:proofErr w:type="spellEnd"/>
      <w:r w:rsidRPr="00077D33">
        <w:rPr>
          <w:rFonts w:ascii="Times New Roman" w:hAnsi="Times New Roman" w:cs="Times New Roman"/>
          <w:sz w:val="24"/>
          <w:szCs w:val="24"/>
        </w:rPr>
        <w:t xml:space="preserve">, </w:t>
      </w:r>
      <w:proofErr w:type="spellStart"/>
      <w:r w:rsidRPr="00077D33">
        <w:rPr>
          <w:rFonts w:ascii="Times New Roman" w:hAnsi="Times New Roman" w:cs="Times New Roman"/>
          <w:sz w:val="24"/>
          <w:szCs w:val="24"/>
        </w:rPr>
        <w:t>Ibarapa</w:t>
      </w:r>
      <w:proofErr w:type="spellEnd"/>
      <w:r w:rsidRPr="00077D33">
        <w:rPr>
          <w:rFonts w:ascii="Times New Roman" w:hAnsi="Times New Roman" w:cs="Times New Roman"/>
          <w:sz w:val="24"/>
          <w:szCs w:val="24"/>
        </w:rPr>
        <w:t xml:space="preserve"> East and Ibadan North</w:t>
      </w:r>
      <w:r w:rsidR="009462BA">
        <w:rPr>
          <w:rFonts w:ascii="Times New Roman" w:hAnsi="Times New Roman" w:cs="Times New Roman"/>
          <w:sz w:val="24"/>
          <w:szCs w:val="24"/>
        </w:rPr>
        <w:t>. One dairy farm</w:t>
      </w:r>
      <w:r w:rsidR="00525666" w:rsidRPr="00077D33">
        <w:rPr>
          <w:rFonts w:ascii="Times New Roman" w:hAnsi="Times New Roman" w:cs="Times New Roman"/>
          <w:sz w:val="24"/>
          <w:szCs w:val="24"/>
        </w:rPr>
        <w:t xml:space="preserve"> was selected from each LGA based on </w:t>
      </w:r>
      <w:r w:rsidR="00842990" w:rsidRPr="00077D33">
        <w:rPr>
          <w:rFonts w:ascii="Times New Roman" w:hAnsi="Times New Roman" w:cs="Times New Roman"/>
          <w:sz w:val="24"/>
          <w:szCs w:val="24"/>
        </w:rPr>
        <w:t xml:space="preserve">their active dairy farming communities and </w:t>
      </w:r>
      <w:r w:rsidR="00525666" w:rsidRPr="00077D33">
        <w:rPr>
          <w:rFonts w:ascii="Times New Roman" w:hAnsi="Times New Roman" w:cs="Times New Roman"/>
          <w:sz w:val="24"/>
          <w:szCs w:val="24"/>
        </w:rPr>
        <w:t>accessibility.</w:t>
      </w:r>
    </w:p>
    <w:p w:rsidR="00E326E3" w:rsidRPr="00077D33" w:rsidRDefault="00E326E3"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Study Design</w:t>
      </w:r>
    </w:p>
    <w:p w:rsidR="00E326E3" w:rsidRPr="00077D33" w:rsidRDefault="00E9208E"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w:t>
      </w:r>
      <w:r w:rsidR="00AC4082" w:rsidRPr="00077D33">
        <w:rPr>
          <w:rFonts w:ascii="Times New Roman" w:hAnsi="Times New Roman" w:cs="Times New Roman"/>
          <w:sz w:val="24"/>
          <w:szCs w:val="24"/>
        </w:rPr>
        <w:t xml:space="preserve"> cros</w:t>
      </w:r>
      <w:r w:rsidRPr="00077D33">
        <w:rPr>
          <w:rFonts w:ascii="Times New Roman" w:hAnsi="Times New Roman" w:cs="Times New Roman"/>
          <w:sz w:val="24"/>
          <w:szCs w:val="24"/>
        </w:rPr>
        <w:t>s-sectional observational design was adopted to assess microbial contamination risks in traditional milk handling environment.</w:t>
      </w:r>
      <w:r w:rsidR="00690237" w:rsidRPr="00077D33">
        <w:rPr>
          <w:rFonts w:ascii="Times New Roman" w:hAnsi="Times New Roman" w:cs="Times New Roman"/>
          <w:sz w:val="24"/>
          <w:szCs w:val="24"/>
        </w:rPr>
        <w:t xml:space="preserve"> The study focused on evaluating hygienic condition and environmental vecto</w:t>
      </w:r>
      <w:r w:rsidR="00AC4082" w:rsidRPr="00077D33">
        <w:rPr>
          <w:rFonts w:ascii="Times New Roman" w:hAnsi="Times New Roman" w:cs="Times New Roman"/>
          <w:sz w:val="24"/>
          <w:szCs w:val="24"/>
        </w:rPr>
        <w:t>r</w:t>
      </w:r>
      <w:r w:rsidR="00690237" w:rsidRPr="00077D33">
        <w:rPr>
          <w:rFonts w:ascii="Times New Roman" w:hAnsi="Times New Roman" w:cs="Times New Roman"/>
          <w:sz w:val="24"/>
          <w:szCs w:val="24"/>
        </w:rPr>
        <w:t>s of contamination of cow and goat milk.</w:t>
      </w:r>
    </w:p>
    <w:p w:rsidR="004F28B6" w:rsidRPr="00077D33" w:rsidRDefault="004F28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Sample collection</w:t>
      </w:r>
    </w:p>
    <w:p w:rsidR="002B2E2A" w:rsidRPr="00077D33" w:rsidRDefault="002C662F"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The study adopted a cross-sectional design</w:t>
      </w:r>
      <w:r w:rsidR="00555770" w:rsidRPr="00077D33">
        <w:rPr>
          <w:rFonts w:ascii="Times New Roman" w:hAnsi="Times New Roman" w:cs="Times New Roman"/>
          <w:sz w:val="24"/>
          <w:szCs w:val="24"/>
        </w:rPr>
        <w:t>.</w:t>
      </w:r>
      <w:r w:rsidR="00A23A9A" w:rsidRPr="00077D33">
        <w:rPr>
          <w:rFonts w:ascii="Times New Roman" w:hAnsi="Times New Roman" w:cs="Times New Roman"/>
          <w:sz w:val="24"/>
          <w:szCs w:val="24"/>
        </w:rPr>
        <w:t xml:space="preserve"> </w:t>
      </w:r>
      <w:r w:rsidR="00EB0D75" w:rsidRPr="00077D33">
        <w:rPr>
          <w:rFonts w:ascii="Times New Roman" w:hAnsi="Times New Roman" w:cs="Times New Roman"/>
          <w:sz w:val="24"/>
          <w:szCs w:val="24"/>
        </w:rPr>
        <w:t>Milking utensils were swabbed using sterile cotton applicators</w:t>
      </w:r>
      <w:r w:rsidR="00525666" w:rsidRPr="00077D33">
        <w:rPr>
          <w:rFonts w:ascii="Times New Roman" w:hAnsi="Times New Roman" w:cs="Times New Roman"/>
          <w:sz w:val="24"/>
          <w:szCs w:val="24"/>
        </w:rPr>
        <w:t xml:space="preserve"> </w:t>
      </w:r>
      <w:r w:rsidR="00414429" w:rsidRPr="00077D33">
        <w:rPr>
          <w:rFonts w:ascii="Times New Roman" w:hAnsi="Times New Roman" w:cs="Times New Roman"/>
          <w:sz w:val="24"/>
          <w:szCs w:val="24"/>
        </w:rPr>
        <w:t xml:space="preserve">moistened with buffered peptone water. Swabs were taken </w:t>
      </w:r>
      <w:r w:rsidR="00525666" w:rsidRPr="00077D33">
        <w:rPr>
          <w:rFonts w:ascii="Times New Roman" w:hAnsi="Times New Roman" w:cs="Times New Roman"/>
          <w:sz w:val="24"/>
          <w:szCs w:val="24"/>
        </w:rPr>
        <w:t>from commonly used milking utensils</w:t>
      </w:r>
      <w:r w:rsidR="00706806" w:rsidRPr="00077D33">
        <w:rPr>
          <w:rFonts w:ascii="Times New Roman" w:hAnsi="Times New Roman" w:cs="Times New Roman"/>
          <w:sz w:val="24"/>
          <w:szCs w:val="24"/>
        </w:rPr>
        <w:t xml:space="preserve"> (</w:t>
      </w:r>
      <w:proofErr w:type="spellStart"/>
      <w:r w:rsidR="00706806" w:rsidRPr="00077D33">
        <w:rPr>
          <w:rFonts w:ascii="Times New Roman" w:hAnsi="Times New Roman" w:cs="Times New Roman"/>
          <w:sz w:val="24"/>
          <w:szCs w:val="24"/>
        </w:rPr>
        <w:t>Koljiya</w:t>
      </w:r>
      <w:proofErr w:type="spellEnd"/>
      <w:r w:rsidR="00706806" w:rsidRPr="00077D33">
        <w:rPr>
          <w:rFonts w:ascii="Times New Roman" w:hAnsi="Times New Roman" w:cs="Times New Roman"/>
          <w:sz w:val="24"/>
          <w:szCs w:val="24"/>
        </w:rPr>
        <w:t xml:space="preserve"> </w:t>
      </w:r>
      <w:r w:rsidR="00706806" w:rsidRPr="00077D33">
        <w:rPr>
          <w:rFonts w:ascii="Times New Roman" w:hAnsi="Times New Roman" w:cs="Times New Roman"/>
          <w:i/>
          <w:sz w:val="24"/>
          <w:szCs w:val="24"/>
        </w:rPr>
        <w:t>et al.,</w:t>
      </w:r>
      <w:r w:rsidR="00706806" w:rsidRPr="00077D33">
        <w:rPr>
          <w:rFonts w:ascii="Times New Roman" w:hAnsi="Times New Roman" w:cs="Times New Roman"/>
          <w:sz w:val="24"/>
          <w:szCs w:val="24"/>
        </w:rPr>
        <w:t xml:space="preserve"> 2025)</w:t>
      </w:r>
    </w:p>
    <w:p w:rsidR="002B2E2A" w:rsidRPr="00077D33" w:rsidRDefault="002B2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lastRenderedPageBreak/>
        <w:t>W</w:t>
      </w:r>
      <w:r w:rsidR="00EB0D75" w:rsidRPr="00077D33">
        <w:rPr>
          <w:rFonts w:ascii="Times New Roman" w:hAnsi="Times New Roman" w:cs="Times New Roman"/>
          <w:sz w:val="24"/>
          <w:szCs w:val="24"/>
        </w:rPr>
        <w:t xml:space="preserve">ater samples were obtained </w:t>
      </w:r>
      <w:r w:rsidR="00525666" w:rsidRPr="00077D33">
        <w:rPr>
          <w:rFonts w:ascii="Times New Roman" w:hAnsi="Times New Roman" w:cs="Times New Roman"/>
          <w:sz w:val="24"/>
          <w:szCs w:val="24"/>
        </w:rPr>
        <w:t xml:space="preserve">from water source used </w:t>
      </w:r>
      <w:r w:rsidR="008D1B5A" w:rsidRPr="00077D33">
        <w:rPr>
          <w:rFonts w:ascii="Times New Roman" w:hAnsi="Times New Roman" w:cs="Times New Roman"/>
          <w:sz w:val="24"/>
          <w:szCs w:val="24"/>
        </w:rPr>
        <w:t xml:space="preserve">for </w:t>
      </w:r>
      <w:r w:rsidRPr="00077D33">
        <w:rPr>
          <w:rFonts w:ascii="Times New Roman" w:hAnsi="Times New Roman" w:cs="Times New Roman"/>
          <w:sz w:val="24"/>
          <w:szCs w:val="24"/>
        </w:rPr>
        <w:t xml:space="preserve">cleaning and milking </w:t>
      </w:r>
      <w:r w:rsidR="002329B1" w:rsidRPr="00077D33">
        <w:rPr>
          <w:rFonts w:ascii="Times New Roman" w:hAnsi="Times New Roman" w:cs="Times New Roman"/>
          <w:sz w:val="24"/>
          <w:szCs w:val="24"/>
        </w:rPr>
        <w:t xml:space="preserve">(Alabi </w:t>
      </w:r>
      <w:r w:rsidR="002329B1" w:rsidRPr="00077D33">
        <w:rPr>
          <w:rFonts w:ascii="Times New Roman" w:hAnsi="Times New Roman" w:cs="Times New Roman"/>
          <w:i/>
          <w:sz w:val="24"/>
          <w:szCs w:val="24"/>
        </w:rPr>
        <w:t>et al.,</w:t>
      </w:r>
      <w:r w:rsidR="002329B1" w:rsidRPr="00077D33">
        <w:rPr>
          <w:rFonts w:ascii="Times New Roman" w:hAnsi="Times New Roman" w:cs="Times New Roman"/>
          <w:sz w:val="24"/>
          <w:szCs w:val="24"/>
        </w:rPr>
        <w:t xml:space="preserve"> 2024)</w:t>
      </w:r>
      <w:r w:rsidRPr="00077D33">
        <w:rPr>
          <w:rFonts w:ascii="Times New Roman" w:hAnsi="Times New Roman" w:cs="Times New Roman"/>
          <w:sz w:val="24"/>
          <w:szCs w:val="24"/>
        </w:rPr>
        <w:t xml:space="preserve"> </w:t>
      </w:r>
    </w:p>
    <w:p w:rsidR="002C662F" w:rsidRPr="00077D33" w:rsidRDefault="002B2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Air sampling was conducted </w:t>
      </w:r>
      <w:r w:rsidR="00525666" w:rsidRPr="00077D33">
        <w:rPr>
          <w:rFonts w:ascii="Times New Roman" w:hAnsi="Times New Roman" w:cs="Times New Roman"/>
          <w:sz w:val="24"/>
          <w:szCs w:val="24"/>
        </w:rPr>
        <w:t xml:space="preserve">by </w:t>
      </w:r>
      <w:r w:rsidR="00EB0D75" w:rsidRPr="00077D33">
        <w:rPr>
          <w:rFonts w:ascii="Times New Roman" w:hAnsi="Times New Roman" w:cs="Times New Roman"/>
          <w:sz w:val="24"/>
          <w:szCs w:val="24"/>
        </w:rPr>
        <w:t>using sett</w:t>
      </w:r>
      <w:r w:rsidR="00B2405C" w:rsidRPr="00077D33">
        <w:rPr>
          <w:rFonts w:ascii="Times New Roman" w:hAnsi="Times New Roman" w:cs="Times New Roman"/>
          <w:sz w:val="24"/>
          <w:szCs w:val="24"/>
        </w:rPr>
        <w:t>le plate technique</w:t>
      </w:r>
      <w:r w:rsidR="00EB0D75" w:rsidRPr="00077D33">
        <w:rPr>
          <w:rFonts w:ascii="Times New Roman" w:hAnsi="Times New Roman" w:cs="Times New Roman"/>
          <w:sz w:val="24"/>
          <w:szCs w:val="24"/>
        </w:rPr>
        <w:t>, where nutrient agar plate</w:t>
      </w:r>
      <w:r w:rsidR="00A455E6" w:rsidRPr="00077D33">
        <w:rPr>
          <w:rFonts w:ascii="Times New Roman" w:hAnsi="Times New Roman" w:cs="Times New Roman"/>
          <w:sz w:val="24"/>
          <w:szCs w:val="24"/>
        </w:rPr>
        <w:t>s were exposed for 30 minutes at the</w:t>
      </w:r>
      <w:r w:rsidR="00EB0D75" w:rsidRPr="00077D33">
        <w:rPr>
          <w:rFonts w:ascii="Times New Roman" w:hAnsi="Times New Roman" w:cs="Times New Roman"/>
          <w:sz w:val="24"/>
          <w:szCs w:val="24"/>
        </w:rPr>
        <w:t xml:space="preserve"> milking areas </w:t>
      </w:r>
      <w:r w:rsidR="00CD30A9" w:rsidRPr="00077D33">
        <w:rPr>
          <w:rFonts w:ascii="Times New Roman" w:hAnsi="Times New Roman" w:cs="Times New Roman"/>
          <w:sz w:val="24"/>
          <w:szCs w:val="24"/>
        </w:rPr>
        <w:t>t</w:t>
      </w:r>
      <w:r w:rsidR="00A455E6" w:rsidRPr="00077D33">
        <w:rPr>
          <w:rFonts w:ascii="Times New Roman" w:hAnsi="Times New Roman" w:cs="Times New Roman"/>
          <w:sz w:val="24"/>
          <w:szCs w:val="24"/>
        </w:rPr>
        <w:t>o capture airborne microorganisms (</w:t>
      </w:r>
      <w:r w:rsidR="001A5D69" w:rsidRPr="00077D33">
        <w:rPr>
          <w:rFonts w:ascii="Times New Roman" w:hAnsi="Times New Roman" w:cs="Times New Roman"/>
          <w:sz w:val="24"/>
          <w:szCs w:val="24"/>
        </w:rPr>
        <w:t>Ajani</w:t>
      </w:r>
      <w:r w:rsidR="00A23A9A" w:rsidRPr="00077D33">
        <w:rPr>
          <w:rFonts w:ascii="Times New Roman" w:hAnsi="Times New Roman" w:cs="Times New Roman"/>
          <w:sz w:val="24"/>
          <w:szCs w:val="24"/>
        </w:rPr>
        <w:t xml:space="preserve"> </w:t>
      </w:r>
      <w:r w:rsidR="00A23A9A" w:rsidRPr="00077D33">
        <w:rPr>
          <w:rFonts w:ascii="Times New Roman" w:hAnsi="Times New Roman" w:cs="Times New Roman"/>
          <w:i/>
          <w:sz w:val="24"/>
          <w:szCs w:val="24"/>
        </w:rPr>
        <w:t>et al.,</w:t>
      </w:r>
      <w:r w:rsidR="00A455E6" w:rsidRPr="00077D33">
        <w:rPr>
          <w:rFonts w:ascii="Times New Roman" w:hAnsi="Times New Roman" w:cs="Times New Roman"/>
          <w:sz w:val="24"/>
          <w:szCs w:val="24"/>
        </w:rPr>
        <w:t xml:space="preserve"> </w:t>
      </w:r>
      <w:r w:rsidR="001A5D69" w:rsidRPr="00077D33">
        <w:rPr>
          <w:rFonts w:ascii="Times New Roman" w:hAnsi="Times New Roman" w:cs="Times New Roman"/>
          <w:sz w:val="24"/>
          <w:szCs w:val="24"/>
        </w:rPr>
        <w:t>2024</w:t>
      </w:r>
      <w:r w:rsidR="00A23A9A" w:rsidRPr="00077D33">
        <w:rPr>
          <w:rFonts w:ascii="Times New Roman" w:hAnsi="Times New Roman" w:cs="Times New Roman"/>
          <w:sz w:val="24"/>
          <w:szCs w:val="24"/>
        </w:rPr>
        <w:t>)</w:t>
      </w:r>
      <w:r w:rsidR="00555770" w:rsidRPr="00077D33">
        <w:rPr>
          <w:rFonts w:ascii="Times New Roman" w:hAnsi="Times New Roman" w:cs="Times New Roman"/>
          <w:sz w:val="24"/>
          <w:szCs w:val="24"/>
        </w:rPr>
        <w:t>.</w:t>
      </w:r>
    </w:p>
    <w:p w:rsidR="009D78CF" w:rsidRPr="00077D33" w:rsidRDefault="009D78CF"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All samples </w:t>
      </w:r>
      <w:r w:rsidR="00532AE2" w:rsidRPr="00077D33">
        <w:rPr>
          <w:rFonts w:ascii="Times New Roman" w:hAnsi="Times New Roman" w:cs="Times New Roman"/>
          <w:sz w:val="24"/>
          <w:szCs w:val="24"/>
        </w:rPr>
        <w:t>were</w:t>
      </w:r>
      <w:r w:rsidRPr="00077D33">
        <w:rPr>
          <w:rFonts w:ascii="Times New Roman" w:hAnsi="Times New Roman" w:cs="Times New Roman"/>
          <w:sz w:val="24"/>
          <w:szCs w:val="24"/>
        </w:rPr>
        <w:t xml:space="preserve"> </w:t>
      </w:r>
      <w:r w:rsidR="00A36C62" w:rsidRPr="00077D33">
        <w:rPr>
          <w:rFonts w:ascii="Times New Roman" w:hAnsi="Times New Roman" w:cs="Times New Roman"/>
          <w:sz w:val="24"/>
          <w:szCs w:val="24"/>
        </w:rPr>
        <w:t>transported</w:t>
      </w:r>
      <w:r w:rsidRPr="00077D33">
        <w:rPr>
          <w:rFonts w:ascii="Times New Roman" w:hAnsi="Times New Roman" w:cs="Times New Roman"/>
          <w:sz w:val="24"/>
          <w:szCs w:val="24"/>
        </w:rPr>
        <w:t xml:space="preserve"> to the l</w:t>
      </w:r>
      <w:r w:rsidR="002329B1" w:rsidRPr="00077D33">
        <w:rPr>
          <w:rFonts w:ascii="Times New Roman" w:hAnsi="Times New Roman" w:cs="Times New Roman"/>
          <w:sz w:val="24"/>
          <w:szCs w:val="24"/>
        </w:rPr>
        <w:t xml:space="preserve">aboratory and processed within </w:t>
      </w:r>
      <w:r w:rsidRPr="00077D33">
        <w:rPr>
          <w:rFonts w:ascii="Times New Roman" w:hAnsi="Times New Roman" w:cs="Times New Roman"/>
          <w:sz w:val="24"/>
          <w:szCs w:val="24"/>
        </w:rPr>
        <w:t xml:space="preserve">few hours of collection, following WHO </w:t>
      </w:r>
      <w:r w:rsidR="00A36C62" w:rsidRPr="00077D33">
        <w:rPr>
          <w:rFonts w:ascii="Times New Roman" w:hAnsi="Times New Roman" w:cs="Times New Roman"/>
          <w:sz w:val="24"/>
          <w:szCs w:val="24"/>
        </w:rPr>
        <w:t>guidelines</w:t>
      </w:r>
      <w:r w:rsidRPr="00077D33">
        <w:rPr>
          <w:rFonts w:ascii="Times New Roman" w:hAnsi="Times New Roman" w:cs="Times New Roman"/>
          <w:sz w:val="24"/>
          <w:szCs w:val="24"/>
        </w:rPr>
        <w:t xml:space="preserve"> for microbiological sample handling (WHO, 2023).</w:t>
      </w:r>
    </w:p>
    <w:p w:rsidR="003667E5" w:rsidRPr="00077D33" w:rsidRDefault="003667E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Nutritional Analysis</w:t>
      </w:r>
    </w:p>
    <w:p w:rsidR="00926A45" w:rsidRPr="00077D33" w:rsidRDefault="00926A4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Protein profile</w:t>
      </w:r>
    </w:p>
    <w:p w:rsidR="00926A45" w:rsidRPr="00077D33" w:rsidRDefault="00926A4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The </w:t>
      </w:r>
      <w:r w:rsidR="001F35F7" w:rsidRPr="00077D33">
        <w:rPr>
          <w:rFonts w:ascii="Times New Roman" w:hAnsi="Times New Roman" w:cs="Times New Roman"/>
          <w:sz w:val="24"/>
          <w:szCs w:val="24"/>
        </w:rPr>
        <w:t>protein profile was determined us</w:t>
      </w:r>
      <w:r w:rsidR="001D4C87" w:rsidRPr="00077D33">
        <w:rPr>
          <w:rFonts w:ascii="Times New Roman" w:hAnsi="Times New Roman" w:cs="Times New Roman"/>
          <w:sz w:val="24"/>
          <w:szCs w:val="24"/>
        </w:rPr>
        <w:t>i</w:t>
      </w:r>
      <w:r w:rsidR="00A36C62" w:rsidRPr="00077D33">
        <w:rPr>
          <w:rFonts w:ascii="Times New Roman" w:hAnsi="Times New Roman" w:cs="Times New Roman"/>
          <w:sz w:val="24"/>
          <w:szCs w:val="24"/>
        </w:rPr>
        <w:t xml:space="preserve">ng Kjeldahl method </w:t>
      </w:r>
      <w:r w:rsidR="001D4C87" w:rsidRPr="00077D33">
        <w:rPr>
          <w:rFonts w:ascii="Times New Roman" w:hAnsi="Times New Roman" w:cs="Times New Roman"/>
          <w:sz w:val="24"/>
          <w:szCs w:val="24"/>
        </w:rPr>
        <w:t xml:space="preserve">adapted by Muhammad </w:t>
      </w:r>
      <w:r w:rsidR="001D4C87" w:rsidRPr="00077D33">
        <w:rPr>
          <w:rFonts w:ascii="Times New Roman" w:hAnsi="Times New Roman" w:cs="Times New Roman"/>
          <w:i/>
          <w:sz w:val="24"/>
          <w:szCs w:val="24"/>
        </w:rPr>
        <w:t>et al.,</w:t>
      </w:r>
      <w:r w:rsidR="001D4C87" w:rsidRPr="00077D33">
        <w:rPr>
          <w:rFonts w:ascii="Times New Roman" w:hAnsi="Times New Roman" w:cs="Times New Roman"/>
          <w:sz w:val="24"/>
          <w:szCs w:val="24"/>
        </w:rPr>
        <w:t xml:space="preserve"> (2023).</w:t>
      </w:r>
    </w:p>
    <w:p w:rsidR="00926A45" w:rsidRPr="00077D33" w:rsidRDefault="00926A4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Fatty acid profile</w:t>
      </w:r>
    </w:p>
    <w:p w:rsidR="00BA7CE3" w:rsidRPr="00077D33" w:rsidRDefault="00BA7CE3"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Fatty acid profile was determined using Soxhlet extraction and gas chromatography</w:t>
      </w:r>
      <w:r w:rsidR="001D4C87" w:rsidRPr="00077D33">
        <w:rPr>
          <w:rFonts w:ascii="Times New Roman" w:hAnsi="Times New Roman" w:cs="Times New Roman"/>
          <w:sz w:val="24"/>
          <w:szCs w:val="24"/>
        </w:rPr>
        <w:t xml:space="preserve"> by the method adapted by Muhamm</w:t>
      </w:r>
      <w:r w:rsidRPr="00077D33">
        <w:rPr>
          <w:rFonts w:ascii="Times New Roman" w:hAnsi="Times New Roman" w:cs="Times New Roman"/>
          <w:sz w:val="24"/>
          <w:szCs w:val="24"/>
        </w:rPr>
        <w:t xml:space="preserve">ad </w:t>
      </w:r>
      <w:r w:rsidRPr="00077D33">
        <w:rPr>
          <w:rFonts w:ascii="Times New Roman" w:hAnsi="Times New Roman" w:cs="Times New Roman"/>
          <w:i/>
          <w:sz w:val="24"/>
          <w:szCs w:val="24"/>
        </w:rPr>
        <w:t>et al.,</w:t>
      </w:r>
      <w:r w:rsidRPr="00077D33">
        <w:rPr>
          <w:rFonts w:ascii="Times New Roman" w:hAnsi="Times New Roman" w:cs="Times New Roman"/>
          <w:sz w:val="24"/>
          <w:szCs w:val="24"/>
        </w:rPr>
        <w:t xml:space="preserve"> (2023)</w:t>
      </w:r>
    </w:p>
    <w:p w:rsidR="004F28B6" w:rsidRPr="00077D33" w:rsidRDefault="009843BC"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Microbiological A</w:t>
      </w:r>
      <w:r w:rsidR="004224FF" w:rsidRPr="00077D33">
        <w:rPr>
          <w:rFonts w:ascii="Times New Roman" w:hAnsi="Times New Roman" w:cs="Times New Roman"/>
          <w:sz w:val="24"/>
          <w:szCs w:val="24"/>
        </w:rPr>
        <w:t>nalysis</w:t>
      </w:r>
      <w:r w:rsidR="001D7CF5" w:rsidRPr="00077D33">
        <w:rPr>
          <w:rFonts w:ascii="Times New Roman" w:hAnsi="Times New Roman" w:cs="Times New Roman"/>
          <w:sz w:val="24"/>
          <w:szCs w:val="24"/>
        </w:rPr>
        <w:t xml:space="preserve"> </w:t>
      </w:r>
    </w:p>
    <w:p w:rsidR="001D7CF5" w:rsidRPr="00077D33" w:rsidRDefault="000A584C"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Microbiological analysis involved </w:t>
      </w:r>
      <w:r w:rsidR="00464335" w:rsidRPr="00077D33">
        <w:rPr>
          <w:rFonts w:ascii="Times New Roman" w:hAnsi="Times New Roman" w:cs="Times New Roman"/>
          <w:sz w:val="24"/>
          <w:szCs w:val="24"/>
        </w:rPr>
        <w:t xml:space="preserve">involve standard plate counts where </w:t>
      </w:r>
      <w:r w:rsidRPr="00077D33">
        <w:rPr>
          <w:rFonts w:ascii="Times New Roman" w:hAnsi="Times New Roman" w:cs="Times New Roman"/>
          <w:sz w:val="24"/>
          <w:szCs w:val="24"/>
        </w:rPr>
        <w:t>serial dilution</w:t>
      </w:r>
      <w:r w:rsidR="002B6FB5" w:rsidRPr="00077D33">
        <w:rPr>
          <w:rFonts w:ascii="Times New Roman" w:hAnsi="Times New Roman" w:cs="Times New Roman"/>
          <w:sz w:val="24"/>
          <w:szCs w:val="24"/>
        </w:rPr>
        <w:t xml:space="preserve"> up to </w:t>
      </w:r>
      <w:r w:rsidR="004B50B0" w:rsidRPr="00077D33">
        <w:rPr>
          <w:rFonts w:ascii="Times New Roman" w:hAnsi="Times New Roman" w:cs="Times New Roman"/>
          <w:sz w:val="24"/>
          <w:szCs w:val="24"/>
        </w:rPr>
        <w:t>10</w:t>
      </w:r>
      <w:r w:rsidR="004B50B0" w:rsidRPr="00077D33">
        <w:rPr>
          <w:rFonts w:ascii="Times New Roman" w:hAnsi="Times New Roman" w:cs="Times New Roman"/>
          <w:sz w:val="24"/>
          <w:szCs w:val="24"/>
          <w:vertAlign w:val="superscript"/>
        </w:rPr>
        <w:t>5</w:t>
      </w:r>
      <w:r w:rsidRPr="00077D33">
        <w:rPr>
          <w:rFonts w:ascii="Times New Roman" w:hAnsi="Times New Roman" w:cs="Times New Roman"/>
          <w:sz w:val="24"/>
          <w:szCs w:val="24"/>
        </w:rPr>
        <w:t xml:space="preserve"> </w:t>
      </w:r>
      <w:r w:rsidR="00464335" w:rsidRPr="00077D33">
        <w:rPr>
          <w:rFonts w:ascii="Times New Roman" w:hAnsi="Times New Roman" w:cs="Times New Roman"/>
          <w:sz w:val="24"/>
          <w:szCs w:val="24"/>
        </w:rPr>
        <w:t xml:space="preserve">where done </w:t>
      </w:r>
      <w:r w:rsidRPr="00077D33">
        <w:rPr>
          <w:rFonts w:ascii="Times New Roman" w:hAnsi="Times New Roman" w:cs="Times New Roman"/>
          <w:sz w:val="24"/>
          <w:szCs w:val="24"/>
        </w:rPr>
        <w:t>and plating on nutrient agar for total bacterial count (TBC) and MacConkey agar for total coliform count (TCC)</w:t>
      </w:r>
      <w:r w:rsidR="00DC7E8B" w:rsidRPr="00077D33">
        <w:rPr>
          <w:rFonts w:ascii="Times New Roman" w:hAnsi="Times New Roman" w:cs="Times New Roman"/>
          <w:sz w:val="24"/>
          <w:szCs w:val="24"/>
        </w:rPr>
        <w:t>. Plates were incubated at 37 ̊C for 24̶</w:t>
      </w:r>
      <w:r w:rsidR="009C4B17" w:rsidRPr="00077D33">
        <w:rPr>
          <w:rFonts w:ascii="Times New Roman" w:hAnsi="Times New Roman" w:cs="Times New Roman"/>
          <w:sz w:val="24"/>
          <w:szCs w:val="24"/>
        </w:rPr>
        <w:t xml:space="preserve"> </w:t>
      </w:r>
      <w:r w:rsidR="00DC7E8B" w:rsidRPr="00077D33">
        <w:rPr>
          <w:rFonts w:ascii="Times New Roman" w:hAnsi="Times New Roman" w:cs="Times New Roman"/>
          <w:sz w:val="24"/>
          <w:szCs w:val="24"/>
        </w:rPr>
        <w:t>48 hours</w:t>
      </w:r>
      <w:r w:rsidR="005F3F8F" w:rsidRPr="00077D33">
        <w:rPr>
          <w:rFonts w:ascii="Times New Roman" w:hAnsi="Times New Roman" w:cs="Times New Roman"/>
          <w:sz w:val="24"/>
          <w:szCs w:val="24"/>
        </w:rPr>
        <w:t>.</w:t>
      </w:r>
      <w:r w:rsidR="00BB3693" w:rsidRPr="00077D33">
        <w:rPr>
          <w:rFonts w:ascii="Times New Roman" w:hAnsi="Times New Roman" w:cs="Times New Roman"/>
          <w:sz w:val="24"/>
          <w:szCs w:val="24"/>
        </w:rPr>
        <w:t xml:space="preserve"> </w:t>
      </w:r>
      <w:r w:rsidR="005F3F8F" w:rsidRPr="00077D33">
        <w:rPr>
          <w:rFonts w:ascii="Times New Roman" w:hAnsi="Times New Roman" w:cs="Times New Roman"/>
          <w:sz w:val="24"/>
          <w:szCs w:val="24"/>
        </w:rPr>
        <w:t>Colony counts were expressed in CFU/mL (</w:t>
      </w:r>
      <w:proofErr w:type="spellStart"/>
      <w:r w:rsidR="005F3F8F" w:rsidRPr="00077D33">
        <w:rPr>
          <w:rFonts w:ascii="Times New Roman" w:hAnsi="Times New Roman" w:cs="Times New Roman"/>
          <w:sz w:val="24"/>
          <w:szCs w:val="24"/>
        </w:rPr>
        <w:t>Ezugwu</w:t>
      </w:r>
      <w:proofErr w:type="spellEnd"/>
      <w:r w:rsidR="005F3F8F" w:rsidRPr="00077D33">
        <w:rPr>
          <w:rFonts w:ascii="Times New Roman" w:hAnsi="Times New Roman" w:cs="Times New Roman"/>
          <w:sz w:val="24"/>
          <w:szCs w:val="24"/>
        </w:rPr>
        <w:t xml:space="preserve"> and </w:t>
      </w:r>
      <w:proofErr w:type="spellStart"/>
      <w:r w:rsidR="00692C5F" w:rsidRPr="00077D33">
        <w:rPr>
          <w:rFonts w:ascii="Times New Roman" w:hAnsi="Times New Roman" w:cs="Times New Roman"/>
          <w:sz w:val="24"/>
          <w:szCs w:val="24"/>
        </w:rPr>
        <w:t>Agbakoba</w:t>
      </w:r>
      <w:proofErr w:type="spellEnd"/>
      <w:r w:rsidR="00692C5F" w:rsidRPr="00077D33">
        <w:rPr>
          <w:rFonts w:ascii="Times New Roman" w:hAnsi="Times New Roman" w:cs="Times New Roman"/>
          <w:sz w:val="24"/>
          <w:szCs w:val="24"/>
        </w:rPr>
        <w:t>, 2023</w:t>
      </w:r>
      <w:r w:rsidR="005F3F8F" w:rsidRPr="00077D33">
        <w:rPr>
          <w:rFonts w:ascii="Times New Roman" w:hAnsi="Times New Roman" w:cs="Times New Roman"/>
          <w:sz w:val="24"/>
          <w:szCs w:val="24"/>
        </w:rPr>
        <w:t>)</w:t>
      </w:r>
      <w:r w:rsidR="00995779" w:rsidRPr="00077D33">
        <w:rPr>
          <w:rFonts w:ascii="Times New Roman" w:hAnsi="Times New Roman" w:cs="Times New Roman"/>
          <w:sz w:val="24"/>
          <w:szCs w:val="24"/>
        </w:rPr>
        <w:t>.</w:t>
      </w:r>
    </w:p>
    <w:p w:rsidR="00E655DA" w:rsidRPr="00077D33" w:rsidRDefault="00DF4937" w:rsidP="00077D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 </w:t>
      </w:r>
      <w:r w:rsidR="008E5A6F">
        <w:rPr>
          <w:rFonts w:ascii="Times New Roman" w:hAnsi="Times New Roman" w:cs="Times New Roman"/>
          <w:sz w:val="24"/>
          <w:szCs w:val="24"/>
        </w:rPr>
        <w:t xml:space="preserve">and </w:t>
      </w:r>
      <w:r w:rsidR="008E5A6F" w:rsidRPr="008E5A6F">
        <w:rPr>
          <w:rFonts w:ascii="Times New Roman" w:hAnsi="Times New Roman" w:cs="Times New Roman"/>
          <w:sz w:val="24"/>
          <w:szCs w:val="24"/>
        </w:rPr>
        <w:t>Discussion</w:t>
      </w:r>
    </w:p>
    <w:p w:rsidR="00513CBB" w:rsidRPr="00077D33" w:rsidRDefault="00513CBB"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Data were </w:t>
      </w:r>
      <w:proofErr w:type="spellStart"/>
      <w:r w:rsidRPr="00077D33">
        <w:rPr>
          <w:rFonts w:ascii="Times New Roman" w:hAnsi="Times New Roman" w:cs="Times New Roman"/>
          <w:sz w:val="24"/>
          <w:szCs w:val="24"/>
        </w:rPr>
        <w:t>analysed</w:t>
      </w:r>
      <w:proofErr w:type="spellEnd"/>
      <w:r w:rsidRPr="00077D33">
        <w:rPr>
          <w:rFonts w:ascii="Times New Roman" w:hAnsi="Times New Roman" w:cs="Times New Roman"/>
          <w:sz w:val="24"/>
          <w:szCs w:val="24"/>
        </w:rPr>
        <w:t xml:space="preserve"> by the use of SPSS version 24 using AVOVA to compare</w:t>
      </w:r>
      <w:r w:rsidR="008535B3" w:rsidRPr="00077D33">
        <w:rPr>
          <w:rFonts w:ascii="Times New Roman" w:hAnsi="Times New Roman" w:cs="Times New Roman"/>
          <w:sz w:val="24"/>
          <w:szCs w:val="24"/>
        </w:rPr>
        <w:t xml:space="preserve"> microbiological loads across LGAs and different sample types at significance p˂ 0.05</w:t>
      </w:r>
      <w:r w:rsidR="00646557" w:rsidRPr="00077D33">
        <w:rPr>
          <w:rFonts w:ascii="Times New Roman" w:hAnsi="Times New Roman" w:cs="Times New Roman"/>
          <w:sz w:val="24"/>
          <w:szCs w:val="24"/>
        </w:rPr>
        <w:t xml:space="preserve"> (</w:t>
      </w:r>
      <w:proofErr w:type="spellStart"/>
      <w:r w:rsidR="00646557" w:rsidRPr="00077D33">
        <w:rPr>
          <w:rFonts w:ascii="Times New Roman" w:hAnsi="Times New Roman" w:cs="Times New Roman"/>
          <w:sz w:val="24"/>
          <w:szCs w:val="24"/>
        </w:rPr>
        <w:t>Elutade</w:t>
      </w:r>
      <w:proofErr w:type="spellEnd"/>
      <w:r w:rsidR="00646557" w:rsidRPr="00077D33">
        <w:rPr>
          <w:rFonts w:ascii="Times New Roman" w:hAnsi="Times New Roman" w:cs="Times New Roman"/>
          <w:sz w:val="24"/>
          <w:szCs w:val="24"/>
        </w:rPr>
        <w:t xml:space="preserve"> </w:t>
      </w:r>
      <w:r w:rsidR="00646557" w:rsidRPr="00077D33">
        <w:rPr>
          <w:rFonts w:ascii="Times New Roman" w:hAnsi="Times New Roman" w:cs="Times New Roman"/>
          <w:i/>
          <w:sz w:val="24"/>
          <w:szCs w:val="24"/>
        </w:rPr>
        <w:t>et al.,</w:t>
      </w:r>
      <w:r w:rsidR="00646557" w:rsidRPr="00077D33">
        <w:rPr>
          <w:rFonts w:ascii="Times New Roman" w:hAnsi="Times New Roman" w:cs="Times New Roman"/>
          <w:sz w:val="24"/>
          <w:szCs w:val="24"/>
        </w:rPr>
        <w:t xml:space="preserve"> 2023)</w:t>
      </w:r>
    </w:p>
    <w:p w:rsidR="009C2327" w:rsidRPr="00077D33" w:rsidRDefault="009C2327" w:rsidP="00077D33">
      <w:pPr>
        <w:spacing w:line="360" w:lineRule="auto"/>
        <w:jc w:val="both"/>
        <w:rPr>
          <w:rFonts w:ascii="Times New Roman" w:hAnsi="Times New Roman" w:cs="Times New Roman"/>
          <w:sz w:val="24"/>
          <w:szCs w:val="24"/>
        </w:rPr>
      </w:pPr>
    </w:p>
    <w:p w:rsidR="009C2327" w:rsidRPr="00077D33" w:rsidRDefault="009C2327" w:rsidP="00077D33">
      <w:pPr>
        <w:spacing w:line="360" w:lineRule="auto"/>
        <w:jc w:val="both"/>
        <w:rPr>
          <w:rFonts w:ascii="Times New Roman" w:hAnsi="Times New Roman" w:cs="Times New Roman"/>
          <w:sz w:val="24"/>
          <w:szCs w:val="24"/>
        </w:rPr>
      </w:pPr>
    </w:p>
    <w:p w:rsidR="009C2327" w:rsidRPr="00077D33" w:rsidRDefault="00AC4EA3"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Table 1: Protein analysis of raw cow and goat milk</w:t>
      </w:r>
    </w:p>
    <w:tbl>
      <w:tblPr>
        <w:tblpPr w:leftFromText="180" w:rightFromText="180" w:tblpY="630"/>
        <w:tblW w:w="16753" w:type="dxa"/>
        <w:tblLook w:val="04A0" w:firstRow="1" w:lastRow="0" w:firstColumn="1" w:lastColumn="0" w:noHBand="0" w:noVBand="1"/>
      </w:tblPr>
      <w:tblGrid>
        <w:gridCol w:w="1137"/>
        <w:gridCol w:w="1139"/>
        <w:gridCol w:w="1176"/>
        <w:gridCol w:w="1260"/>
        <w:gridCol w:w="323"/>
        <w:gridCol w:w="348"/>
        <w:gridCol w:w="236"/>
        <w:gridCol w:w="353"/>
        <w:gridCol w:w="1164"/>
        <w:gridCol w:w="1260"/>
        <w:gridCol w:w="1176"/>
        <w:gridCol w:w="608"/>
        <w:gridCol w:w="236"/>
        <w:gridCol w:w="4156"/>
        <w:gridCol w:w="2213"/>
      </w:tblGrid>
      <w:tr w:rsidR="009C2327" w:rsidRPr="00077D33" w:rsidTr="00681C63">
        <w:trPr>
          <w:gridAfter w:val="1"/>
          <w:wAfter w:w="2213" w:type="dxa"/>
          <w:trHeight w:val="300"/>
        </w:trPr>
        <w:tc>
          <w:tcPr>
            <w:tcW w:w="1137"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lastRenderedPageBreak/>
              <w:t>Cow milk</w:t>
            </w:r>
          </w:p>
        </w:tc>
        <w:tc>
          <w:tcPr>
            <w:tcW w:w="1113"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p>
        </w:tc>
        <w:tc>
          <w:tcPr>
            <w:tcW w:w="2759" w:type="dxa"/>
            <w:gridSpan w:val="3"/>
            <w:noWrap/>
            <w:vAlign w:val="bottom"/>
            <w:hideMark/>
          </w:tcPr>
          <w:p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348"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236"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3947" w:type="dxa"/>
            <w:gridSpan w:val="4"/>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Goat milk</w:t>
            </w:r>
          </w:p>
        </w:tc>
        <w:tc>
          <w:tcPr>
            <w:tcW w:w="608" w:type="dxa"/>
          </w:tcPr>
          <w:p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236"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4156"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sz w:val="24"/>
                <w:szCs w:val="24"/>
              </w:rPr>
            </w:pPr>
          </w:p>
        </w:tc>
      </w:tr>
      <w:tr w:rsidR="00346CE2" w:rsidRPr="00077D33" w:rsidTr="00681C63">
        <w:trPr>
          <w:trHeight w:val="873"/>
        </w:trPr>
        <w:tc>
          <w:tcPr>
            <w:tcW w:w="1137" w:type="dxa"/>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Sampling site</w:t>
            </w:r>
          </w:p>
        </w:tc>
        <w:tc>
          <w:tcPr>
            <w:tcW w:w="1113" w:type="dxa"/>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Crude protein (%)</w:t>
            </w:r>
          </w:p>
        </w:tc>
        <w:tc>
          <w:tcPr>
            <w:tcW w:w="1176" w:type="dxa"/>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casein</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whey</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gridSpan w:val="4"/>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Others</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(peptides, enzymes)</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64" w:type="dxa"/>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Crude </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Protein</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casein</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whey</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7213" w:type="dxa"/>
            <w:gridSpan w:val="4"/>
            <w:tcBorders>
              <w:top w:val="single" w:sz="4" w:space="0" w:color="auto"/>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Others</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(peptides, </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enzymes</w:t>
            </w:r>
          </w:p>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r>
      <w:tr w:rsidR="00346CE2" w:rsidRPr="00077D33" w:rsidTr="00681C63">
        <w:trPr>
          <w:trHeight w:val="630"/>
        </w:trPr>
        <w:tc>
          <w:tcPr>
            <w:tcW w:w="1137" w:type="dxa"/>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Akinyele LGA</w:t>
            </w:r>
          </w:p>
        </w:tc>
        <w:tc>
          <w:tcPr>
            <w:tcW w:w="1113" w:type="dxa"/>
            <w:tcBorders>
              <w:top w:val="single" w:sz="4" w:space="0" w:color="auto"/>
            </w:tcBorders>
            <w:noWrap/>
            <w:vAlign w:val="bottom"/>
            <w:hideMark/>
          </w:tcPr>
          <w:p w:rsidR="009C2327" w:rsidRPr="00077D33" w:rsidRDefault="00172CD6"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3.91</w:t>
            </w:r>
            <w:r w:rsidR="00087926" w:rsidRPr="00077D33">
              <w:rPr>
                <w:rFonts w:ascii="Times New Roman" w:eastAsia="Times New Roman" w:hAnsi="Times New Roman" w:cs="Times New Roman"/>
                <w:color w:val="000000"/>
                <w:sz w:val="24"/>
                <w:szCs w:val="24"/>
              </w:rPr>
              <w:t>±</w:t>
            </w:r>
            <w:r w:rsidR="009C2327" w:rsidRPr="00077D33">
              <w:rPr>
                <w:rFonts w:ascii="Times New Roman" w:eastAsia="Times New Roman" w:hAnsi="Times New Roman" w:cs="Times New Roman"/>
                <w:color w:val="000000"/>
                <w:sz w:val="24"/>
                <w:szCs w:val="24"/>
              </w:rPr>
              <w:t>0.0</w:t>
            </w:r>
            <w:r w:rsidR="00F27FF2" w:rsidRPr="00077D33">
              <w:rPr>
                <w:rFonts w:ascii="Times New Roman" w:eastAsia="Times New Roman" w:hAnsi="Times New Roman" w:cs="Times New Roman"/>
                <w:color w:val="000000"/>
                <w:sz w:val="24"/>
                <w:szCs w:val="24"/>
                <w:vertAlign w:val="superscript"/>
              </w:rPr>
              <w:t>a</w:t>
            </w:r>
          </w:p>
        </w:tc>
        <w:tc>
          <w:tcPr>
            <w:tcW w:w="1176" w:type="dxa"/>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3.13</w:t>
            </w:r>
            <w:r w:rsidR="004F10E1"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4F10E1" w:rsidRPr="00077D33">
              <w:rPr>
                <w:rFonts w:ascii="Times New Roman" w:eastAsia="Times New Roman" w:hAnsi="Times New Roman" w:cs="Times New Roman"/>
                <w:color w:val="000000"/>
                <w:sz w:val="24"/>
                <w:szCs w:val="24"/>
                <w:vertAlign w:val="superscript"/>
              </w:rPr>
              <w:t>a</w:t>
            </w:r>
          </w:p>
        </w:tc>
        <w:tc>
          <w:tcPr>
            <w:tcW w:w="1260" w:type="dxa"/>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0.78</w:t>
            </w:r>
            <w:r w:rsidR="00A21E19" w:rsidRPr="00077D33">
              <w:rPr>
                <w:rFonts w:ascii="Times New Roman" w:eastAsia="Times New Roman" w:hAnsi="Times New Roman" w:cs="Times New Roman"/>
                <w:color w:val="000000"/>
                <w:sz w:val="24"/>
                <w:szCs w:val="24"/>
              </w:rPr>
              <w:t>± 0.0</w:t>
            </w:r>
            <w:r w:rsidR="00A437B0" w:rsidRPr="00077D33">
              <w:rPr>
                <w:rFonts w:ascii="Times New Roman" w:eastAsia="Times New Roman" w:hAnsi="Times New Roman" w:cs="Times New Roman"/>
                <w:color w:val="000000"/>
                <w:sz w:val="24"/>
                <w:szCs w:val="24"/>
                <w:vertAlign w:val="superscript"/>
              </w:rPr>
              <w:t>a</w:t>
            </w:r>
          </w:p>
        </w:tc>
        <w:tc>
          <w:tcPr>
            <w:tcW w:w="1260" w:type="dxa"/>
            <w:gridSpan w:val="4"/>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4.70</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b</w:t>
            </w:r>
          </w:p>
        </w:tc>
        <w:tc>
          <w:tcPr>
            <w:tcW w:w="1260" w:type="dxa"/>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3.53</w:t>
            </w:r>
            <w:r w:rsidR="00A21E19"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1.18</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b</w:t>
            </w:r>
          </w:p>
        </w:tc>
        <w:tc>
          <w:tcPr>
            <w:tcW w:w="7213" w:type="dxa"/>
            <w:gridSpan w:val="4"/>
            <w:tcBorders>
              <w:top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0.08</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r>
      <w:tr w:rsidR="009C2327" w:rsidRPr="00077D33" w:rsidTr="00681C63">
        <w:trPr>
          <w:trHeight w:val="720"/>
        </w:trPr>
        <w:tc>
          <w:tcPr>
            <w:tcW w:w="1137"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Ido LGA</w:t>
            </w:r>
          </w:p>
        </w:tc>
        <w:tc>
          <w:tcPr>
            <w:tcW w:w="1113"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3.91</w:t>
            </w:r>
            <w:r w:rsidR="00A21E19"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F27FF2" w:rsidRPr="00077D33">
              <w:rPr>
                <w:rFonts w:ascii="Times New Roman" w:eastAsia="Times New Roman" w:hAnsi="Times New Roman" w:cs="Times New Roman"/>
                <w:color w:val="000000"/>
                <w:sz w:val="24"/>
                <w:szCs w:val="24"/>
                <w:vertAlign w:val="superscript"/>
              </w:rPr>
              <w:t>a</w:t>
            </w:r>
          </w:p>
        </w:tc>
        <w:tc>
          <w:tcPr>
            <w:tcW w:w="1176"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3.12</w:t>
            </w:r>
            <w:r w:rsidR="004F10E1"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4F10E1"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0.79</w:t>
            </w:r>
            <w:r w:rsidR="00A21E19" w:rsidRPr="00077D33">
              <w:rPr>
                <w:rFonts w:ascii="Times New Roman" w:eastAsia="Times New Roman" w:hAnsi="Times New Roman" w:cs="Times New Roman"/>
                <w:color w:val="000000"/>
                <w:sz w:val="24"/>
                <w:szCs w:val="24"/>
              </w:rPr>
              <w:t>± 0.0</w:t>
            </w:r>
            <w:r w:rsidR="00A437B0"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4.70</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b</w:t>
            </w:r>
          </w:p>
        </w:tc>
        <w:tc>
          <w:tcPr>
            <w:tcW w:w="1260"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3.54</w:t>
            </w:r>
            <w:r w:rsidR="00A21E19"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c>
          <w:tcPr>
            <w:tcW w:w="1170"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1.17</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b</w:t>
            </w:r>
          </w:p>
        </w:tc>
        <w:tc>
          <w:tcPr>
            <w:tcW w:w="7213" w:type="dxa"/>
            <w:gridSpan w:val="4"/>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0.08</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r>
      <w:tr w:rsidR="00346CE2" w:rsidRPr="00077D33" w:rsidTr="00681C63">
        <w:trPr>
          <w:trHeight w:val="900"/>
        </w:trPr>
        <w:tc>
          <w:tcPr>
            <w:tcW w:w="1137"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proofErr w:type="spellStart"/>
            <w:r w:rsidRPr="00077D33">
              <w:rPr>
                <w:rFonts w:ascii="Times New Roman" w:eastAsia="Times New Roman" w:hAnsi="Times New Roman" w:cs="Times New Roman"/>
                <w:color w:val="000000"/>
                <w:sz w:val="24"/>
                <w:szCs w:val="24"/>
              </w:rPr>
              <w:t>Ibarapa</w:t>
            </w:r>
            <w:proofErr w:type="spellEnd"/>
            <w:r w:rsidRPr="00077D33">
              <w:rPr>
                <w:rFonts w:ascii="Times New Roman" w:eastAsia="Times New Roman" w:hAnsi="Times New Roman" w:cs="Times New Roman"/>
                <w:color w:val="000000"/>
                <w:sz w:val="24"/>
                <w:szCs w:val="24"/>
              </w:rPr>
              <w:t xml:space="preserve"> East</w:t>
            </w:r>
          </w:p>
        </w:tc>
        <w:tc>
          <w:tcPr>
            <w:tcW w:w="1113"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3.96</w:t>
            </w:r>
            <w:r w:rsidR="00087926"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087926" w:rsidRPr="00077D33">
              <w:rPr>
                <w:rFonts w:ascii="Times New Roman" w:eastAsia="Times New Roman" w:hAnsi="Times New Roman" w:cs="Times New Roman"/>
                <w:color w:val="000000"/>
                <w:sz w:val="24"/>
                <w:szCs w:val="24"/>
                <w:vertAlign w:val="superscript"/>
              </w:rPr>
              <w:t>a</w:t>
            </w:r>
          </w:p>
        </w:tc>
        <w:tc>
          <w:tcPr>
            <w:tcW w:w="1176"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3.17</w:t>
            </w:r>
            <w:r w:rsidR="00A437B0"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A437B0"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0.79</w:t>
            </w:r>
            <w:r w:rsidR="00A21E19" w:rsidRPr="00077D33">
              <w:rPr>
                <w:rFonts w:ascii="Times New Roman" w:eastAsia="Times New Roman" w:hAnsi="Times New Roman" w:cs="Times New Roman"/>
                <w:color w:val="000000"/>
                <w:sz w:val="24"/>
                <w:szCs w:val="24"/>
              </w:rPr>
              <w:t>± 0.0</w:t>
            </w:r>
            <w:r w:rsidR="00A437B0"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5.15</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3.86</w:t>
            </w:r>
            <w:r w:rsidR="00E94405"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1.29</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a</w:t>
            </w:r>
          </w:p>
        </w:tc>
        <w:tc>
          <w:tcPr>
            <w:tcW w:w="7213" w:type="dxa"/>
            <w:gridSpan w:val="4"/>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r>
      <w:tr w:rsidR="00346CE2" w:rsidRPr="00077D33" w:rsidTr="00681C63">
        <w:trPr>
          <w:trHeight w:val="990"/>
        </w:trPr>
        <w:tc>
          <w:tcPr>
            <w:tcW w:w="1137" w:type="dxa"/>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Ibadan North</w:t>
            </w:r>
          </w:p>
        </w:tc>
        <w:tc>
          <w:tcPr>
            <w:tcW w:w="1113" w:type="dxa"/>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3.94</w:t>
            </w:r>
            <w:r w:rsidR="00087926"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4F10E1" w:rsidRPr="00077D33">
              <w:rPr>
                <w:rFonts w:ascii="Times New Roman" w:eastAsia="Times New Roman" w:hAnsi="Times New Roman" w:cs="Times New Roman"/>
                <w:color w:val="000000"/>
                <w:sz w:val="24"/>
                <w:szCs w:val="24"/>
                <w:vertAlign w:val="superscript"/>
              </w:rPr>
              <w:t>a</w:t>
            </w:r>
          </w:p>
        </w:tc>
        <w:tc>
          <w:tcPr>
            <w:tcW w:w="1176" w:type="dxa"/>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3.15</w:t>
            </w:r>
            <w:r w:rsidR="00A437B0"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A437B0" w:rsidRPr="00077D33">
              <w:rPr>
                <w:rFonts w:ascii="Times New Roman" w:eastAsia="Times New Roman" w:hAnsi="Times New Roman" w:cs="Times New Roman"/>
                <w:color w:val="000000"/>
                <w:sz w:val="24"/>
                <w:szCs w:val="24"/>
                <w:vertAlign w:val="superscript"/>
              </w:rPr>
              <w:t>a</w:t>
            </w:r>
          </w:p>
        </w:tc>
        <w:tc>
          <w:tcPr>
            <w:tcW w:w="1260" w:type="dxa"/>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0.79</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260" w:type="dxa"/>
            <w:gridSpan w:val="4"/>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5.10</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a</w:t>
            </w:r>
          </w:p>
        </w:tc>
        <w:tc>
          <w:tcPr>
            <w:tcW w:w="1260" w:type="dxa"/>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3.83</w:t>
            </w:r>
            <w:r w:rsidR="00E94405"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c>
          <w:tcPr>
            <w:tcW w:w="1170" w:type="dxa"/>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1.28</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a</w:t>
            </w:r>
          </w:p>
        </w:tc>
        <w:tc>
          <w:tcPr>
            <w:tcW w:w="7213" w:type="dxa"/>
            <w:gridSpan w:val="4"/>
            <w:tcBorders>
              <w:bottom w:val="single" w:sz="4" w:space="0" w:color="auto"/>
            </w:tcBorders>
            <w:noWrap/>
            <w:vAlign w:val="bottom"/>
            <w:hideMark/>
          </w:tcPr>
          <w:p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r>
    </w:tbl>
    <w:p w:rsidR="009035FC" w:rsidRPr="00077D33" w:rsidRDefault="009035FC" w:rsidP="00077D33">
      <w:pPr>
        <w:spacing w:line="360" w:lineRule="auto"/>
        <w:jc w:val="both"/>
        <w:rPr>
          <w:rFonts w:ascii="Times New Roman" w:hAnsi="Times New Roman" w:cs="Times New Roman"/>
          <w:i/>
          <w:sz w:val="24"/>
          <w:szCs w:val="24"/>
        </w:rPr>
      </w:pPr>
      <w:r w:rsidRPr="00077D33">
        <w:rPr>
          <w:rFonts w:ascii="Times New Roman" w:hAnsi="Times New Roman" w:cs="Times New Roman"/>
          <w:i/>
          <w:sz w:val="24"/>
          <w:szCs w:val="24"/>
        </w:rPr>
        <w:t>The above table displays the results as means ± standard deviation. The Duncan Multiple Range Test rating of the post hoc test is shown by the superscripts. While the means with the same superscript were similar, those with different su</w:t>
      </w:r>
      <w:r w:rsidR="00241E5A">
        <w:rPr>
          <w:rFonts w:ascii="Times New Roman" w:hAnsi="Times New Roman" w:cs="Times New Roman"/>
          <w:i/>
          <w:sz w:val="24"/>
          <w:szCs w:val="24"/>
        </w:rPr>
        <w:t>perscripts differed significantly</w:t>
      </w:r>
      <w:r w:rsidRPr="00077D33">
        <w:rPr>
          <w:rFonts w:ascii="Times New Roman" w:hAnsi="Times New Roman" w:cs="Times New Roman"/>
          <w:i/>
          <w:sz w:val="24"/>
          <w:szCs w:val="24"/>
        </w:rPr>
        <w:t xml:space="preserve"> from one another down the column at p&lt;0.05</w:t>
      </w:r>
    </w:p>
    <w:p w:rsidR="001540FA" w:rsidRPr="00077D33" w:rsidRDefault="001540FA" w:rsidP="00077D33">
      <w:pPr>
        <w:spacing w:line="360" w:lineRule="auto"/>
        <w:jc w:val="both"/>
        <w:rPr>
          <w:rFonts w:ascii="Times New Roman" w:hAnsi="Times New Roman" w:cs="Times New Roman"/>
          <w:i/>
          <w:sz w:val="24"/>
          <w:szCs w:val="24"/>
        </w:rPr>
      </w:pPr>
    </w:p>
    <w:p w:rsidR="001540FA" w:rsidRPr="00077D33" w:rsidRDefault="001540FA" w:rsidP="00077D33">
      <w:pPr>
        <w:spacing w:line="360" w:lineRule="auto"/>
        <w:jc w:val="both"/>
        <w:rPr>
          <w:rFonts w:ascii="Times New Roman" w:hAnsi="Times New Roman" w:cs="Times New Roman"/>
          <w:sz w:val="24"/>
          <w:szCs w:val="24"/>
        </w:rPr>
      </w:pPr>
    </w:p>
    <w:p w:rsidR="001540FA" w:rsidRPr="00077D33" w:rsidRDefault="001540FA" w:rsidP="00077D33">
      <w:pPr>
        <w:spacing w:line="360" w:lineRule="auto"/>
        <w:jc w:val="both"/>
        <w:rPr>
          <w:rFonts w:ascii="Times New Roman" w:hAnsi="Times New Roman" w:cs="Times New Roman"/>
          <w:sz w:val="24"/>
          <w:szCs w:val="24"/>
        </w:rPr>
      </w:pPr>
    </w:p>
    <w:p w:rsidR="001540FA" w:rsidRPr="00077D33" w:rsidRDefault="001540FA" w:rsidP="00077D33">
      <w:pPr>
        <w:spacing w:line="360" w:lineRule="auto"/>
        <w:jc w:val="both"/>
        <w:rPr>
          <w:rFonts w:ascii="Times New Roman" w:hAnsi="Times New Roman" w:cs="Times New Roman"/>
          <w:sz w:val="24"/>
          <w:szCs w:val="24"/>
        </w:rPr>
      </w:pPr>
    </w:p>
    <w:p w:rsidR="001540FA" w:rsidRPr="00077D33" w:rsidRDefault="001540FA" w:rsidP="00077D33">
      <w:pPr>
        <w:spacing w:line="360" w:lineRule="auto"/>
        <w:jc w:val="both"/>
        <w:rPr>
          <w:rFonts w:ascii="Times New Roman" w:hAnsi="Times New Roman" w:cs="Times New Roman"/>
          <w:sz w:val="24"/>
          <w:szCs w:val="24"/>
        </w:rPr>
      </w:pPr>
    </w:p>
    <w:p w:rsidR="001540FA" w:rsidRPr="00077D33" w:rsidRDefault="001540FA" w:rsidP="00077D33">
      <w:pPr>
        <w:spacing w:line="360" w:lineRule="auto"/>
        <w:jc w:val="both"/>
        <w:rPr>
          <w:rFonts w:ascii="Times New Roman" w:hAnsi="Times New Roman" w:cs="Times New Roman"/>
          <w:sz w:val="24"/>
          <w:szCs w:val="24"/>
        </w:rPr>
      </w:pPr>
    </w:p>
    <w:p w:rsidR="001540FA" w:rsidRPr="00077D33" w:rsidRDefault="001540FA" w:rsidP="00077D33">
      <w:pPr>
        <w:spacing w:line="360" w:lineRule="auto"/>
        <w:jc w:val="both"/>
        <w:rPr>
          <w:rFonts w:ascii="Times New Roman" w:hAnsi="Times New Roman" w:cs="Times New Roman"/>
          <w:sz w:val="24"/>
          <w:szCs w:val="24"/>
        </w:rPr>
      </w:pPr>
    </w:p>
    <w:p w:rsidR="00AC4EA3" w:rsidRDefault="00AC4EA3" w:rsidP="00077D33">
      <w:pPr>
        <w:spacing w:line="360" w:lineRule="auto"/>
        <w:jc w:val="both"/>
        <w:rPr>
          <w:rFonts w:ascii="Times New Roman" w:hAnsi="Times New Roman" w:cs="Times New Roman"/>
          <w:sz w:val="24"/>
          <w:szCs w:val="24"/>
        </w:rPr>
      </w:pPr>
    </w:p>
    <w:p w:rsidR="001540FA" w:rsidRPr="00077D33" w:rsidRDefault="002530B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Table 2: Fatty acid analysis of raw cow and goat milk</w:t>
      </w:r>
    </w:p>
    <w:p w:rsidR="00D5709C" w:rsidRPr="00077D33" w:rsidRDefault="00D5709C" w:rsidP="00077D33">
      <w:pPr>
        <w:spacing w:line="360" w:lineRule="auto"/>
        <w:jc w:val="both"/>
        <w:rPr>
          <w:rFonts w:ascii="Times New Roman" w:hAnsi="Times New Roman" w:cs="Times New Roman"/>
          <w:i/>
          <w:sz w:val="24"/>
          <w:szCs w:val="24"/>
        </w:rPr>
      </w:pPr>
      <w:r w:rsidRPr="00077D33">
        <w:rPr>
          <w:rFonts w:ascii="Times New Roman" w:hAnsi="Times New Roman" w:cs="Times New Roman"/>
          <w:i/>
          <w:sz w:val="24"/>
          <w:szCs w:val="24"/>
        </w:rPr>
        <w:lastRenderedPageBreak/>
        <w:t xml:space="preserve">The above table displays the results as means ± standard deviation. The Duncan Multiple Range </w:t>
      </w:r>
      <w:r w:rsidR="001319B4" w:rsidRPr="00077D33">
        <w:rPr>
          <w:rFonts w:ascii="Times New Roman" w:hAnsi="Times New Roman" w:cs="Times New Roman"/>
          <w:i/>
          <w:sz w:val="24"/>
          <w:szCs w:val="24"/>
        </w:rPr>
        <w:t xml:space="preserve">  </w:t>
      </w:r>
      <w:r w:rsidRPr="00077D33">
        <w:rPr>
          <w:rFonts w:ascii="Times New Roman" w:hAnsi="Times New Roman" w:cs="Times New Roman"/>
          <w:i/>
          <w:sz w:val="24"/>
          <w:szCs w:val="24"/>
        </w:rPr>
        <w:t>Test rating of the post hoc test is shown by the superscripts. While the means with the same superscript were similar, those with different superscripts differe</w:t>
      </w:r>
      <w:r w:rsidR="00695D67">
        <w:rPr>
          <w:rFonts w:ascii="Times New Roman" w:hAnsi="Times New Roman" w:cs="Times New Roman"/>
          <w:i/>
          <w:sz w:val="24"/>
          <w:szCs w:val="24"/>
        </w:rPr>
        <w:t>d significantly</w:t>
      </w:r>
      <w:r w:rsidRPr="00077D33">
        <w:rPr>
          <w:rFonts w:ascii="Times New Roman" w:hAnsi="Times New Roman" w:cs="Times New Roman"/>
          <w:i/>
          <w:sz w:val="24"/>
          <w:szCs w:val="24"/>
        </w:rPr>
        <w:t xml:space="preserve"> from one another down the column at p&lt;0.05</w:t>
      </w:r>
    </w:p>
    <w:p w:rsidR="00F905FA" w:rsidRDefault="00F34A7A" w:rsidP="00F905FA">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Keys </w:t>
      </w:r>
      <w:r w:rsidR="00F905FA">
        <w:rPr>
          <w:rFonts w:ascii="Times New Roman" w:eastAsia="Times New Roman" w:hAnsi="Times New Roman" w:cs="Times New Roman"/>
          <w:color w:val="000000"/>
          <w:sz w:val="24"/>
          <w:szCs w:val="24"/>
        </w:rPr>
        <w:tab/>
      </w:r>
    </w:p>
    <w:p w:rsidR="00F905FA" w:rsidRDefault="00F905FA" w:rsidP="00F905FA">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MUFA: Monounsaturated Fat</w:t>
      </w:r>
      <w:r>
        <w:rPr>
          <w:rFonts w:ascii="Times New Roman" w:eastAsia="Times New Roman" w:hAnsi="Times New Roman" w:cs="Times New Roman"/>
          <w:color w:val="000000"/>
          <w:sz w:val="24"/>
          <w:szCs w:val="24"/>
        </w:rPr>
        <w:t xml:space="preserve">          </w:t>
      </w:r>
      <w:r w:rsidRPr="00077D33">
        <w:rPr>
          <w:rFonts w:ascii="Times New Roman" w:eastAsia="Times New Roman" w:hAnsi="Times New Roman" w:cs="Times New Roman"/>
          <w:color w:val="000000"/>
          <w:sz w:val="24"/>
          <w:szCs w:val="24"/>
        </w:rPr>
        <w:t>PUFA: Polyunsaturated Fat</w:t>
      </w:r>
    </w:p>
    <w:p w:rsidR="000614D3" w:rsidRPr="00077D33" w:rsidRDefault="0005703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TF: Total Fat</w:t>
      </w:r>
      <w:r w:rsidR="00F905FA">
        <w:rPr>
          <w:rFonts w:ascii="Times New Roman" w:eastAsia="Times New Roman" w:hAnsi="Times New Roman" w:cs="Times New Roman"/>
          <w:color w:val="000000"/>
          <w:sz w:val="24"/>
          <w:szCs w:val="24"/>
        </w:rPr>
        <w:t xml:space="preserve">                                     </w:t>
      </w:r>
      <w:r w:rsidR="000614D3" w:rsidRPr="00077D33">
        <w:rPr>
          <w:rFonts w:ascii="Times New Roman" w:eastAsia="Times New Roman" w:hAnsi="Times New Roman" w:cs="Times New Roman"/>
          <w:color w:val="000000"/>
          <w:sz w:val="24"/>
          <w:szCs w:val="24"/>
        </w:rPr>
        <w:t>SFA: Saturated Fat</w:t>
      </w:r>
    </w:p>
    <w:p w:rsidR="00DE05E4" w:rsidRPr="00077D33" w:rsidRDefault="00DE05E4" w:rsidP="00077D33">
      <w:pPr>
        <w:spacing w:line="360" w:lineRule="auto"/>
        <w:jc w:val="both"/>
        <w:rPr>
          <w:rFonts w:ascii="Times New Roman" w:hAnsi="Times New Roman" w:cs="Times New Roman"/>
          <w:sz w:val="24"/>
          <w:szCs w:val="24"/>
        </w:rPr>
      </w:pPr>
    </w:p>
    <w:p w:rsidR="001540FA" w:rsidRPr="00077D33" w:rsidRDefault="001540FA" w:rsidP="00077D33">
      <w:pPr>
        <w:spacing w:line="360" w:lineRule="auto"/>
        <w:jc w:val="both"/>
        <w:rPr>
          <w:rFonts w:ascii="Times New Roman" w:hAnsi="Times New Roman" w:cs="Times New Roman"/>
          <w:sz w:val="24"/>
          <w:szCs w:val="24"/>
        </w:rPr>
      </w:pPr>
    </w:p>
    <w:tbl>
      <w:tblPr>
        <w:tblpPr w:leftFromText="180" w:rightFromText="180" w:tblpY="630"/>
        <w:tblW w:w="19230" w:type="dxa"/>
        <w:tblLook w:val="04A0" w:firstRow="1" w:lastRow="0" w:firstColumn="1" w:lastColumn="0" w:noHBand="0" w:noVBand="1"/>
      </w:tblPr>
      <w:tblGrid>
        <w:gridCol w:w="1137"/>
        <w:gridCol w:w="1148"/>
        <w:gridCol w:w="1260"/>
        <w:gridCol w:w="1170"/>
        <w:gridCol w:w="1170"/>
        <w:gridCol w:w="211"/>
        <w:gridCol w:w="468"/>
        <w:gridCol w:w="236"/>
        <w:gridCol w:w="345"/>
        <w:gridCol w:w="1170"/>
        <w:gridCol w:w="1260"/>
        <w:gridCol w:w="210"/>
        <w:gridCol w:w="382"/>
        <w:gridCol w:w="4168"/>
        <w:gridCol w:w="4930"/>
      </w:tblGrid>
      <w:tr w:rsidR="001E7E0F" w:rsidRPr="00077D33" w:rsidTr="00F34A7A">
        <w:trPr>
          <w:gridAfter w:val="1"/>
          <w:wAfter w:w="4930" w:type="dxa"/>
          <w:trHeight w:val="300"/>
        </w:trPr>
        <w:tc>
          <w:tcPr>
            <w:tcW w:w="1137"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Cow milk</w:t>
            </w:r>
          </w:p>
        </w:tc>
        <w:tc>
          <w:tcPr>
            <w:tcW w:w="1113"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p>
        </w:tc>
        <w:tc>
          <w:tcPr>
            <w:tcW w:w="3811" w:type="dxa"/>
            <w:gridSpan w:val="4"/>
            <w:noWrap/>
            <w:vAlign w:val="bottom"/>
            <w:hideMark/>
          </w:tcPr>
          <w:p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468"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236"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1515" w:type="dxa"/>
            <w:gridSpan w:val="2"/>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Goat</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milk</w:t>
            </w:r>
          </w:p>
        </w:tc>
        <w:tc>
          <w:tcPr>
            <w:tcW w:w="1470" w:type="dxa"/>
            <w:gridSpan w:val="2"/>
          </w:tcPr>
          <w:p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382"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4168"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sz w:val="24"/>
                <w:szCs w:val="24"/>
              </w:rPr>
            </w:pPr>
          </w:p>
        </w:tc>
      </w:tr>
      <w:tr w:rsidR="00F34A7A" w:rsidRPr="00077D33" w:rsidTr="00F34A7A">
        <w:trPr>
          <w:trHeight w:val="873"/>
        </w:trPr>
        <w:tc>
          <w:tcPr>
            <w:tcW w:w="1137" w:type="dxa"/>
            <w:tcBorders>
              <w:top w:val="single" w:sz="4" w:space="0" w:color="auto"/>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Sampling site</w:t>
            </w:r>
          </w:p>
        </w:tc>
        <w:tc>
          <w:tcPr>
            <w:tcW w:w="1113" w:type="dxa"/>
            <w:tcBorders>
              <w:top w:val="single" w:sz="4" w:space="0" w:color="auto"/>
              <w:bottom w:val="single" w:sz="4" w:space="0" w:color="auto"/>
            </w:tcBorders>
            <w:noWrap/>
            <w:vAlign w:val="bottom"/>
            <w:hideMark/>
          </w:tcPr>
          <w:p w:rsidR="00DC5198" w:rsidRPr="00077D33" w:rsidRDefault="00A51185"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TF</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rsidR="00DC5198" w:rsidRPr="00077D33" w:rsidRDefault="000614D3"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SFA</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rsidR="00DC5198" w:rsidRPr="00077D33" w:rsidRDefault="006A63E0"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MUFA</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rsidR="00DC5198" w:rsidRPr="00077D33" w:rsidRDefault="0005703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PUFA</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gridSpan w:val="4"/>
            <w:tcBorders>
              <w:top w:val="single" w:sz="4" w:space="0" w:color="auto"/>
              <w:bottom w:val="single" w:sz="4" w:space="0" w:color="auto"/>
            </w:tcBorders>
            <w:noWrap/>
            <w:vAlign w:val="bottom"/>
            <w:hideMark/>
          </w:tcPr>
          <w:p w:rsidR="00DC5198" w:rsidRPr="00077D33" w:rsidRDefault="00A51185"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TF</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rsidR="00DC5198" w:rsidRPr="00077D33" w:rsidRDefault="009623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SFA</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rsidR="009623E4" w:rsidRPr="00077D33" w:rsidRDefault="00DE05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MUFA</w:t>
            </w:r>
          </w:p>
          <w:p w:rsidR="00DC5198" w:rsidRPr="00077D33" w:rsidRDefault="009623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 (%)</w:t>
            </w:r>
          </w:p>
        </w:tc>
        <w:tc>
          <w:tcPr>
            <w:tcW w:w="9690" w:type="dxa"/>
            <w:gridSpan w:val="4"/>
            <w:tcBorders>
              <w:top w:val="single" w:sz="4" w:space="0" w:color="auto"/>
              <w:bottom w:val="single" w:sz="4" w:space="0" w:color="auto"/>
            </w:tcBorders>
            <w:noWrap/>
            <w:vAlign w:val="bottom"/>
            <w:hideMark/>
          </w:tcPr>
          <w:p w:rsidR="00DC5198" w:rsidRPr="00077D33" w:rsidRDefault="009623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PUFA</w:t>
            </w:r>
          </w:p>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r>
      <w:tr w:rsidR="00F34A7A" w:rsidRPr="00077D33" w:rsidTr="00F34A7A">
        <w:trPr>
          <w:trHeight w:val="630"/>
        </w:trPr>
        <w:tc>
          <w:tcPr>
            <w:tcW w:w="1137" w:type="dxa"/>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Akinyele LGA</w:t>
            </w:r>
          </w:p>
        </w:tc>
        <w:tc>
          <w:tcPr>
            <w:tcW w:w="1113" w:type="dxa"/>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3.90</w:t>
            </w:r>
            <w:r w:rsidR="000E65E6" w:rsidRPr="00077D33">
              <w:rPr>
                <w:rFonts w:ascii="Times New Roman" w:eastAsia="Times New Roman" w:hAnsi="Times New Roman" w:cs="Times New Roman"/>
                <w:color w:val="000000"/>
                <w:sz w:val="24"/>
                <w:szCs w:val="24"/>
              </w:rPr>
              <w:t>±</w:t>
            </w:r>
            <w:r w:rsidR="000614D3"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260" w:type="dxa"/>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2.73</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1.09</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0.08</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b</w:t>
            </w:r>
          </w:p>
        </w:tc>
        <w:tc>
          <w:tcPr>
            <w:tcW w:w="1260" w:type="dxa"/>
            <w:gridSpan w:val="4"/>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4.40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3.08</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c</w:t>
            </w:r>
          </w:p>
        </w:tc>
        <w:tc>
          <w:tcPr>
            <w:tcW w:w="1260" w:type="dxa"/>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1.21</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b</w:t>
            </w:r>
          </w:p>
        </w:tc>
        <w:tc>
          <w:tcPr>
            <w:tcW w:w="9690" w:type="dxa"/>
            <w:gridSpan w:val="4"/>
            <w:tcBorders>
              <w:top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0.11</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r>
      <w:tr w:rsidR="006A63E0" w:rsidRPr="00077D33" w:rsidTr="00F34A7A">
        <w:trPr>
          <w:trHeight w:val="720"/>
        </w:trPr>
        <w:tc>
          <w:tcPr>
            <w:tcW w:w="1137"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Ido LGA</w:t>
            </w:r>
          </w:p>
        </w:tc>
        <w:tc>
          <w:tcPr>
            <w:tcW w:w="1113"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4.10</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26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2.87</w:t>
            </w:r>
            <w:r w:rsidR="00636B48"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636B48" w:rsidRPr="00077D33">
              <w:rPr>
                <w:rFonts w:ascii="Times New Roman" w:eastAsia="Times New Roman" w:hAnsi="Times New Roman" w:cs="Times New Roman"/>
                <w:color w:val="000000"/>
                <w:sz w:val="24"/>
                <w:szCs w:val="24"/>
                <w:vertAlign w:val="superscript"/>
              </w:rPr>
              <w:t>b</w:t>
            </w:r>
          </w:p>
        </w:tc>
        <w:tc>
          <w:tcPr>
            <w:tcW w:w="117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1.23</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1A136B"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4.70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3.29</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b</w:t>
            </w:r>
          </w:p>
        </w:tc>
        <w:tc>
          <w:tcPr>
            <w:tcW w:w="126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1.32</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c>
          <w:tcPr>
            <w:tcW w:w="9690" w:type="dxa"/>
            <w:gridSpan w:val="4"/>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0.09</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b</w:t>
            </w:r>
          </w:p>
        </w:tc>
      </w:tr>
      <w:tr w:rsidR="00F34A7A" w:rsidRPr="00077D33" w:rsidTr="00F34A7A">
        <w:trPr>
          <w:trHeight w:val="900"/>
        </w:trPr>
        <w:tc>
          <w:tcPr>
            <w:tcW w:w="1137"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proofErr w:type="spellStart"/>
            <w:r w:rsidRPr="00077D33">
              <w:rPr>
                <w:rFonts w:ascii="Times New Roman" w:eastAsia="Times New Roman" w:hAnsi="Times New Roman" w:cs="Times New Roman"/>
                <w:color w:val="000000"/>
                <w:sz w:val="24"/>
                <w:szCs w:val="24"/>
              </w:rPr>
              <w:t>Ibarapa</w:t>
            </w:r>
            <w:proofErr w:type="spellEnd"/>
            <w:r w:rsidRPr="00077D33">
              <w:rPr>
                <w:rFonts w:ascii="Times New Roman" w:eastAsia="Times New Roman" w:hAnsi="Times New Roman" w:cs="Times New Roman"/>
                <w:color w:val="000000"/>
                <w:sz w:val="24"/>
                <w:szCs w:val="24"/>
              </w:rPr>
              <w:t xml:space="preserve"> East</w:t>
            </w:r>
          </w:p>
        </w:tc>
        <w:tc>
          <w:tcPr>
            <w:tcW w:w="1113"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4.30</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3.01</w:t>
            </w:r>
            <w:r w:rsidR="00636B48"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636B48"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1.29</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0.11</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1A136B"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4.80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3.36</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1.34</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c>
          <w:tcPr>
            <w:tcW w:w="9690" w:type="dxa"/>
            <w:gridSpan w:val="4"/>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r>
      <w:tr w:rsidR="00F34A7A" w:rsidRPr="00077D33" w:rsidTr="00F34A7A">
        <w:trPr>
          <w:trHeight w:val="990"/>
        </w:trPr>
        <w:tc>
          <w:tcPr>
            <w:tcW w:w="1137" w:type="dxa"/>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Ibadan North</w:t>
            </w:r>
          </w:p>
        </w:tc>
        <w:tc>
          <w:tcPr>
            <w:tcW w:w="1113" w:type="dxa"/>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4.00</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260" w:type="dxa"/>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2.80</w:t>
            </w:r>
            <w:r w:rsidR="00636B48"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636B48" w:rsidRPr="00077D33">
              <w:rPr>
                <w:rFonts w:ascii="Times New Roman" w:eastAsia="Times New Roman" w:hAnsi="Times New Roman" w:cs="Times New Roman"/>
                <w:color w:val="000000"/>
                <w:sz w:val="24"/>
                <w:szCs w:val="24"/>
                <w:vertAlign w:val="superscript"/>
              </w:rPr>
              <w:t>b</w:t>
            </w:r>
          </w:p>
        </w:tc>
        <w:tc>
          <w:tcPr>
            <w:tcW w:w="1170" w:type="dxa"/>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1.20</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a</w:t>
            </w:r>
          </w:p>
        </w:tc>
        <w:tc>
          <w:tcPr>
            <w:tcW w:w="1170" w:type="dxa"/>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1A136B" w:rsidRPr="00077D33">
              <w:rPr>
                <w:rFonts w:ascii="Times New Roman" w:eastAsia="Times New Roman" w:hAnsi="Times New Roman" w:cs="Times New Roman"/>
                <w:color w:val="000000"/>
                <w:sz w:val="24"/>
                <w:szCs w:val="24"/>
                <w:vertAlign w:val="superscript"/>
              </w:rPr>
              <w:t>a</w:t>
            </w:r>
          </w:p>
        </w:tc>
        <w:tc>
          <w:tcPr>
            <w:tcW w:w="1260" w:type="dxa"/>
            <w:gridSpan w:val="4"/>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4.30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170" w:type="dxa"/>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3.01</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260" w:type="dxa"/>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1.29</w:t>
            </w:r>
            <w:r w:rsidR="001E7E0F" w:rsidRPr="00077D33">
              <w:rPr>
                <w:rFonts w:ascii="Times New Roman" w:eastAsia="Times New Roman" w:hAnsi="Times New Roman" w:cs="Times New Roman"/>
                <w:color w:val="000000"/>
                <w:sz w:val="24"/>
                <w:szCs w:val="24"/>
              </w:rPr>
              <w:t>± 0.0</w:t>
            </w:r>
            <w:r w:rsidR="004F5207" w:rsidRPr="00077D33">
              <w:rPr>
                <w:rFonts w:ascii="Times New Roman" w:eastAsia="Times New Roman" w:hAnsi="Times New Roman" w:cs="Times New Roman"/>
                <w:color w:val="000000"/>
                <w:sz w:val="24"/>
                <w:szCs w:val="24"/>
                <w:vertAlign w:val="superscript"/>
              </w:rPr>
              <w:t>b</w:t>
            </w:r>
          </w:p>
        </w:tc>
        <w:tc>
          <w:tcPr>
            <w:tcW w:w="9690" w:type="dxa"/>
            <w:gridSpan w:val="4"/>
            <w:tcBorders>
              <w:bottom w:val="single" w:sz="4" w:space="0" w:color="auto"/>
            </w:tcBorders>
            <w:noWrap/>
            <w:vAlign w:val="bottom"/>
            <w:hideMark/>
          </w:tcPr>
          <w:p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r>
    </w:tbl>
    <w:p w:rsidR="00DC5198" w:rsidRPr="00077D33" w:rsidRDefault="00DC5198" w:rsidP="00077D33">
      <w:pPr>
        <w:spacing w:line="360" w:lineRule="auto"/>
        <w:jc w:val="both"/>
        <w:rPr>
          <w:rFonts w:ascii="Times New Roman" w:hAnsi="Times New Roman" w:cs="Times New Roman"/>
          <w:sz w:val="24"/>
          <w:szCs w:val="24"/>
        </w:rPr>
      </w:pPr>
    </w:p>
    <w:p w:rsidR="00AC4EA3" w:rsidRDefault="00AC4EA3" w:rsidP="00077D33">
      <w:pPr>
        <w:spacing w:line="360" w:lineRule="auto"/>
        <w:jc w:val="both"/>
        <w:rPr>
          <w:rFonts w:ascii="Times New Roman" w:hAnsi="Times New Roman" w:cs="Times New Roman"/>
          <w:sz w:val="24"/>
          <w:szCs w:val="24"/>
        </w:rPr>
      </w:pPr>
    </w:p>
    <w:p w:rsidR="00AC4EA3" w:rsidRDefault="00AC4EA3" w:rsidP="00077D33">
      <w:pPr>
        <w:spacing w:line="360" w:lineRule="auto"/>
        <w:jc w:val="both"/>
        <w:rPr>
          <w:rFonts w:ascii="Times New Roman" w:hAnsi="Times New Roman" w:cs="Times New Roman"/>
          <w:sz w:val="24"/>
          <w:szCs w:val="24"/>
        </w:rPr>
      </w:pPr>
    </w:p>
    <w:p w:rsidR="00AC4EA3" w:rsidRDefault="00AC4EA3" w:rsidP="00077D33">
      <w:pPr>
        <w:spacing w:line="360" w:lineRule="auto"/>
        <w:jc w:val="both"/>
        <w:rPr>
          <w:rFonts w:ascii="Times New Roman" w:hAnsi="Times New Roman" w:cs="Times New Roman"/>
          <w:sz w:val="24"/>
          <w:szCs w:val="24"/>
        </w:rPr>
      </w:pPr>
    </w:p>
    <w:p w:rsidR="00B17B40" w:rsidRPr="00AC4EA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Table 3</w:t>
      </w:r>
      <w:r w:rsidR="001C57FE" w:rsidRPr="00077D33">
        <w:rPr>
          <w:rFonts w:ascii="Times New Roman" w:hAnsi="Times New Roman" w:cs="Times New Roman"/>
          <w:sz w:val="24"/>
          <w:szCs w:val="24"/>
        </w:rPr>
        <w:t xml:space="preserve">: Comparative microbial load in </w:t>
      </w:r>
      <w:r w:rsidR="008305FC" w:rsidRPr="00077D33">
        <w:rPr>
          <w:rFonts w:ascii="Times New Roman" w:hAnsi="Times New Roman" w:cs="Times New Roman"/>
          <w:sz w:val="24"/>
          <w:szCs w:val="24"/>
        </w:rPr>
        <w:t>milking</w:t>
      </w:r>
      <w:r w:rsidR="001C57FE" w:rsidRPr="00077D33">
        <w:rPr>
          <w:rFonts w:ascii="Times New Roman" w:hAnsi="Times New Roman" w:cs="Times New Roman"/>
          <w:sz w:val="24"/>
          <w:szCs w:val="24"/>
        </w:rPr>
        <w:t xml:space="preserve"> utensil, water and milking surroundings of cow and goat milk farms</w:t>
      </w:r>
      <w:r w:rsidR="00AC4EA3">
        <w:rPr>
          <w:rFonts w:ascii="Times New Roman" w:hAnsi="Times New Roman" w:cs="Times New Roman"/>
          <w:sz w:val="24"/>
          <w:szCs w:val="24"/>
        </w:rPr>
        <w:t xml:space="preserve"> (10</w:t>
      </w:r>
      <w:r w:rsidR="00DA27AA">
        <w:rPr>
          <w:rFonts w:ascii="Times New Roman" w:hAnsi="Times New Roman" w:cs="Times New Roman"/>
          <w:sz w:val="24"/>
          <w:szCs w:val="24"/>
          <w:vertAlign w:val="superscript"/>
        </w:rPr>
        <w:t>6</w:t>
      </w:r>
      <w:r w:rsidR="00AC4EA3">
        <w:rPr>
          <w:rFonts w:ascii="Times New Roman" w:hAnsi="Times New Roman" w:cs="Times New Roman"/>
          <w:sz w:val="24"/>
          <w:szCs w:val="24"/>
        </w:rPr>
        <w:t>).</w:t>
      </w:r>
    </w:p>
    <w:tbl>
      <w:tblPr>
        <w:tblStyle w:val="TableGrid"/>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1436"/>
        <w:gridCol w:w="1710"/>
        <w:gridCol w:w="1620"/>
        <w:gridCol w:w="1530"/>
        <w:gridCol w:w="1440"/>
        <w:gridCol w:w="1376"/>
      </w:tblGrid>
      <w:tr w:rsidR="00E60AB6" w:rsidRPr="00077D33" w:rsidTr="00F158E9">
        <w:trPr>
          <w:trHeight w:val="300"/>
        </w:trPr>
        <w:tc>
          <w:tcPr>
            <w:tcW w:w="1349"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436"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Cow farm</w:t>
            </w:r>
          </w:p>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TBC</w:t>
            </w:r>
          </w:p>
        </w:tc>
        <w:tc>
          <w:tcPr>
            <w:tcW w:w="171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62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Goat farm</w:t>
            </w:r>
          </w:p>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TBC</w:t>
            </w:r>
          </w:p>
        </w:tc>
        <w:tc>
          <w:tcPr>
            <w:tcW w:w="144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376"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r>
      <w:tr w:rsidR="00E60AB6" w:rsidRPr="00077D33" w:rsidTr="00F158E9">
        <w:trPr>
          <w:trHeight w:val="300"/>
        </w:trPr>
        <w:tc>
          <w:tcPr>
            <w:tcW w:w="1349"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Sampling sites</w:t>
            </w:r>
          </w:p>
        </w:tc>
        <w:tc>
          <w:tcPr>
            <w:tcW w:w="1436"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utensil</w:t>
            </w:r>
          </w:p>
        </w:tc>
        <w:tc>
          <w:tcPr>
            <w:tcW w:w="171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water </w:t>
            </w:r>
          </w:p>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for milking and cleaning</w:t>
            </w:r>
          </w:p>
        </w:tc>
        <w:tc>
          <w:tcPr>
            <w:tcW w:w="162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surrounding</w:t>
            </w:r>
          </w:p>
        </w:tc>
        <w:tc>
          <w:tcPr>
            <w:tcW w:w="153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w:t>
            </w:r>
          </w:p>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 utensil</w:t>
            </w:r>
          </w:p>
        </w:tc>
        <w:tc>
          <w:tcPr>
            <w:tcW w:w="144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water </w:t>
            </w:r>
          </w:p>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for milking </w:t>
            </w:r>
          </w:p>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and cleaning</w:t>
            </w:r>
          </w:p>
        </w:tc>
        <w:tc>
          <w:tcPr>
            <w:tcW w:w="1376"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surrounding</w:t>
            </w:r>
          </w:p>
        </w:tc>
      </w:tr>
      <w:tr w:rsidR="00E60AB6" w:rsidRPr="00077D33" w:rsidTr="00F158E9">
        <w:trPr>
          <w:trHeight w:val="300"/>
        </w:trPr>
        <w:tc>
          <w:tcPr>
            <w:tcW w:w="1349"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Akinyele</w:t>
            </w:r>
          </w:p>
          <w:p w:rsidR="00DC5198" w:rsidRPr="00077D33" w:rsidRDefault="00DC5198"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3.80 ± 0.0</w:t>
            </w:r>
            <w:r w:rsidR="00DA54C3" w:rsidRPr="00077D33">
              <w:rPr>
                <w:rFonts w:ascii="Times New Roman" w:hAnsi="Times New Roman" w:cs="Times New Roman"/>
                <w:sz w:val="24"/>
                <w:szCs w:val="24"/>
                <w:vertAlign w:val="superscript"/>
              </w:rPr>
              <w:t>a</w:t>
            </w:r>
          </w:p>
        </w:tc>
        <w:tc>
          <w:tcPr>
            <w:tcW w:w="171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4.60 ± 0.0</w:t>
            </w:r>
            <w:r w:rsidR="00DA54C3" w:rsidRPr="00077D33">
              <w:rPr>
                <w:rFonts w:ascii="Times New Roman" w:hAnsi="Times New Roman" w:cs="Times New Roman"/>
                <w:sz w:val="24"/>
                <w:szCs w:val="24"/>
                <w:vertAlign w:val="superscript"/>
              </w:rPr>
              <w:t>a</w:t>
            </w:r>
          </w:p>
        </w:tc>
        <w:tc>
          <w:tcPr>
            <w:tcW w:w="162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1.10 ± 0.1</w:t>
            </w:r>
            <w:r w:rsidR="00DA54C3" w:rsidRPr="00077D33">
              <w:rPr>
                <w:rFonts w:ascii="Times New Roman" w:hAnsi="Times New Roman" w:cs="Times New Roman"/>
                <w:sz w:val="24"/>
                <w:szCs w:val="24"/>
                <w:vertAlign w:val="superscript"/>
              </w:rPr>
              <w:t>a</w:t>
            </w:r>
          </w:p>
        </w:tc>
        <w:tc>
          <w:tcPr>
            <w:tcW w:w="153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3.40 ± 0.0</w:t>
            </w:r>
            <w:r w:rsidR="00DA54C3" w:rsidRPr="00077D33">
              <w:rPr>
                <w:rFonts w:ascii="Times New Roman" w:hAnsi="Times New Roman" w:cs="Times New Roman"/>
                <w:sz w:val="24"/>
                <w:szCs w:val="24"/>
                <w:vertAlign w:val="superscript"/>
              </w:rPr>
              <w:t>a</w:t>
            </w:r>
          </w:p>
        </w:tc>
        <w:tc>
          <w:tcPr>
            <w:tcW w:w="144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4.38 ± 0.0</w:t>
            </w:r>
            <w:r w:rsidR="00344C17" w:rsidRPr="00077D33">
              <w:rPr>
                <w:rFonts w:ascii="Times New Roman" w:hAnsi="Times New Roman" w:cs="Times New Roman"/>
                <w:sz w:val="24"/>
                <w:szCs w:val="24"/>
                <w:vertAlign w:val="superscript"/>
              </w:rPr>
              <w:t>a</w:t>
            </w:r>
          </w:p>
        </w:tc>
        <w:tc>
          <w:tcPr>
            <w:tcW w:w="1376" w:type="dxa"/>
            <w:tcBorders>
              <w:top w:val="single" w:sz="4" w:space="0" w:color="auto"/>
            </w:tcBorders>
            <w:noWrap/>
            <w:hideMark/>
          </w:tcPr>
          <w:p w:rsidR="00E60AB6" w:rsidRPr="00077D33" w:rsidRDefault="00344C17"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0.09</w:t>
            </w:r>
            <w:r w:rsidR="00E60AB6" w:rsidRPr="00077D33">
              <w:rPr>
                <w:rFonts w:ascii="Times New Roman" w:hAnsi="Times New Roman" w:cs="Times New Roman"/>
                <w:sz w:val="24"/>
                <w:szCs w:val="24"/>
              </w:rPr>
              <w:t xml:space="preserve"> ± 0.0</w:t>
            </w:r>
            <w:r w:rsidR="00C92305" w:rsidRPr="00077D33">
              <w:rPr>
                <w:rFonts w:ascii="Times New Roman" w:hAnsi="Times New Roman" w:cs="Times New Roman"/>
                <w:sz w:val="24"/>
                <w:szCs w:val="24"/>
                <w:vertAlign w:val="superscript"/>
              </w:rPr>
              <w:t>c</w:t>
            </w:r>
          </w:p>
        </w:tc>
      </w:tr>
      <w:tr w:rsidR="00E60AB6" w:rsidRPr="00077D33" w:rsidTr="00E60AB6">
        <w:trPr>
          <w:trHeight w:val="300"/>
        </w:trPr>
        <w:tc>
          <w:tcPr>
            <w:tcW w:w="1349" w:type="dxa"/>
            <w:noWrap/>
            <w:hideMark/>
          </w:tcPr>
          <w:p w:rsidR="00DC5198"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Ido</w:t>
            </w:r>
            <w:r w:rsidR="003D1E2A" w:rsidRPr="00077D33">
              <w:rPr>
                <w:rFonts w:ascii="Times New Roman" w:hAnsi="Times New Roman" w:cs="Times New Roman"/>
                <w:sz w:val="24"/>
                <w:szCs w:val="24"/>
              </w:rPr>
              <w:t xml:space="preserve"> </w:t>
            </w:r>
            <w:r w:rsidR="00DC5198" w:rsidRPr="00077D33">
              <w:rPr>
                <w:rFonts w:ascii="Times New Roman" w:hAnsi="Times New Roman" w:cs="Times New Roman"/>
                <w:sz w:val="24"/>
                <w:szCs w:val="24"/>
              </w:rPr>
              <w:t>LGA</w:t>
            </w:r>
          </w:p>
        </w:tc>
        <w:tc>
          <w:tcPr>
            <w:tcW w:w="143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0.12 ± 0.0</w:t>
            </w:r>
            <w:r w:rsidR="00DA54C3" w:rsidRPr="00077D33">
              <w:rPr>
                <w:rFonts w:ascii="Times New Roman" w:hAnsi="Times New Roman" w:cs="Times New Roman"/>
                <w:sz w:val="24"/>
                <w:szCs w:val="24"/>
                <w:vertAlign w:val="superscript"/>
              </w:rPr>
              <w:t>c</w:t>
            </w:r>
          </w:p>
        </w:tc>
        <w:tc>
          <w:tcPr>
            <w:tcW w:w="171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2.50 ± 0.0</w:t>
            </w:r>
            <w:r w:rsidR="00DA54C3" w:rsidRPr="00077D33">
              <w:rPr>
                <w:rFonts w:ascii="Times New Roman" w:hAnsi="Times New Roman" w:cs="Times New Roman"/>
                <w:sz w:val="24"/>
                <w:szCs w:val="24"/>
                <w:vertAlign w:val="superscript"/>
              </w:rPr>
              <w:t>c</w:t>
            </w:r>
          </w:p>
        </w:tc>
        <w:tc>
          <w:tcPr>
            <w:tcW w:w="162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0.42 ± 0.0</w:t>
            </w:r>
            <w:r w:rsidR="00DA54C3" w:rsidRPr="00077D33">
              <w:rPr>
                <w:rFonts w:ascii="Times New Roman" w:hAnsi="Times New Roman" w:cs="Times New Roman"/>
                <w:sz w:val="24"/>
                <w:szCs w:val="24"/>
                <w:vertAlign w:val="superscript"/>
              </w:rPr>
              <w:t>c</w:t>
            </w:r>
          </w:p>
        </w:tc>
        <w:tc>
          <w:tcPr>
            <w:tcW w:w="153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0.17 ± 0.0</w:t>
            </w:r>
            <w:r w:rsidR="00DA54C3" w:rsidRPr="00077D33">
              <w:rPr>
                <w:rFonts w:ascii="Times New Roman" w:hAnsi="Times New Roman" w:cs="Times New Roman"/>
                <w:sz w:val="24"/>
                <w:szCs w:val="24"/>
                <w:vertAlign w:val="superscript"/>
              </w:rPr>
              <w:t>c</w:t>
            </w:r>
          </w:p>
        </w:tc>
        <w:tc>
          <w:tcPr>
            <w:tcW w:w="144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2.35 ± 0.0</w:t>
            </w:r>
            <w:r w:rsidR="00344C17" w:rsidRPr="00077D33">
              <w:rPr>
                <w:rFonts w:ascii="Times New Roman" w:hAnsi="Times New Roman" w:cs="Times New Roman"/>
                <w:sz w:val="24"/>
                <w:szCs w:val="24"/>
                <w:vertAlign w:val="superscript"/>
              </w:rPr>
              <w:t>c</w:t>
            </w:r>
          </w:p>
        </w:tc>
        <w:tc>
          <w:tcPr>
            <w:tcW w:w="137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0.35 ± 0.0</w:t>
            </w:r>
            <w:r w:rsidR="00C92305" w:rsidRPr="00077D33">
              <w:rPr>
                <w:rFonts w:ascii="Times New Roman" w:hAnsi="Times New Roman" w:cs="Times New Roman"/>
                <w:sz w:val="24"/>
                <w:szCs w:val="24"/>
                <w:vertAlign w:val="superscript"/>
              </w:rPr>
              <w:t>b</w:t>
            </w:r>
          </w:p>
        </w:tc>
      </w:tr>
      <w:tr w:rsidR="00E60AB6" w:rsidRPr="00077D33" w:rsidTr="00E60AB6">
        <w:trPr>
          <w:trHeight w:val="300"/>
        </w:trPr>
        <w:tc>
          <w:tcPr>
            <w:tcW w:w="1349" w:type="dxa"/>
            <w:noWrap/>
            <w:hideMark/>
          </w:tcPr>
          <w:p w:rsidR="00E60AB6" w:rsidRPr="00077D33" w:rsidRDefault="00E60AB6" w:rsidP="00077D33">
            <w:pPr>
              <w:spacing w:line="360" w:lineRule="auto"/>
              <w:jc w:val="both"/>
              <w:rPr>
                <w:rFonts w:ascii="Times New Roman" w:hAnsi="Times New Roman" w:cs="Times New Roman"/>
                <w:sz w:val="24"/>
                <w:szCs w:val="24"/>
              </w:rPr>
            </w:pPr>
            <w:proofErr w:type="spellStart"/>
            <w:r w:rsidRPr="00077D33">
              <w:rPr>
                <w:rFonts w:ascii="Times New Roman" w:hAnsi="Times New Roman" w:cs="Times New Roman"/>
                <w:sz w:val="24"/>
                <w:szCs w:val="24"/>
              </w:rPr>
              <w:t>IbarapaEast</w:t>
            </w:r>
            <w:proofErr w:type="spellEnd"/>
          </w:p>
          <w:p w:rsidR="00DC5198" w:rsidRPr="00077D33" w:rsidRDefault="00DC5198"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0.23 ± 0.0</w:t>
            </w:r>
            <w:r w:rsidR="00DA54C3" w:rsidRPr="00077D33">
              <w:rPr>
                <w:rFonts w:ascii="Times New Roman" w:hAnsi="Times New Roman" w:cs="Times New Roman"/>
                <w:sz w:val="24"/>
                <w:szCs w:val="24"/>
                <w:vertAlign w:val="superscript"/>
              </w:rPr>
              <w:t>b</w:t>
            </w:r>
          </w:p>
        </w:tc>
        <w:tc>
          <w:tcPr>
            <w:tcW w:w="171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3.10± 0.0</w:t>
            </w:r>
            <w:r w:rsidR="00DA54C3" w:rsidRPr="00077D33">
              <w:rPr>
                <w:rFonts w:ascii="Times New Roman" w:hAnsi="Times New Roman" w:cs="Times New Roman"/>
                <w:sz w:val="24"/>
                <w:szCs w:val="24"/>
                <w:vertAlign w:val="superscript"/>
              </w:rPr>
              <w:t>b</w:t>
            </w:r>
          </w:p>
        </w:tc>
        <w:tc>
          <w:tcPr>
            <w:tcW w:w="162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0.95 ± 0.0</w:t>
            </w:r>
            <w:r w:rsidR="00DA54C3" w:rsidRPr="00077D33">
              <w:rPr>
                <w:rFonts w:ascii="Times New Roman" w:hAnsi="Times New Roman" w:cs="Times New Roman"/>
                <w:sz w:val="24"/>
                <w:szCs w:val="24"/>
                <w:vertAlign w:val="superscript"/>
              </w:rPr>
              <w:t>ab</w:t>
            </w:r>
          </w:p>
        </w:tc>
        <w:tc>
          <w:tcPr>
            <w:tcW w:w="153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0.26 ± 0.0</w:t>
            </w:r>
            <w:r w:rsidR="00DA54C3" w:rsidRPr="00077D33">
              <w:rPr>
                <w:rFonts w:ascii="Times New Roman" w:hAnsi="Times New Roman" w:cs="Times New Roman"/>
                <w:sz w:val="24"/>
                <w:szCs w:val="24"/>
                <w:vertAlign w:val="superscript"/>
              </w:rPr>
              <w:t>b</w:t>
            </w:r>
          </w:p>
        </w:tc>
        <w:tc>
          <w:tcPr>
            <w:tcW w:w="144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3.15 ± 0.0</w:t>
            </w:r>
            <w:r w:rsidR="00344C17" w:rsidRPr="00077D33">
              <w:rPr>
                <w:rFonts w:ascii="Times New Roman" w:hAnsi="Times New Roman" w:cs="Times New Roman"/>
                <w:sz w:val="24"/>
                <w:szCs w:val="24"/>
                <w:vertAlign w:val="superscript"/>
              </w:rPr>
              <w:t>b</w:t>
            </w:r>
          </w:p>
        </w:tc>
        <w:tc>
          <w:tcPr>
            <w:tcW w:w="137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0.52 ± 0.0</w:t>
            </w:r>
            <w:r w:rsidR="00C92305" w:rsidRPr="00077D33">
              <w:rPr>
                <w:rFonts w:ascii="Times New Roman" w:hAnsi="Times New Roman" w:cs="Times New Roman"/>
                <w:sz w:val="24"/>
                <w:szCs w:val="24"/>
                <w:vertAlign w:val="superscript"/>
              </w:rPr>
              <w:t>ab</w:t>
            </w:r>
          </w:p>
        </w:tc>
      </w:tr>
      <w:tr w:rsidR="00E60AB6" w:rsidRPr="00077D33" w:rsidTr="00F158E9">
        <w:trPr>
          <w:trHeight w:val="300"/>
        </w:trPr>
        <w:tc>
          <w:tcPr>
            <w:tcW w:w="1349"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Ibadan North</w:t>
            </w:r>
          </w:p>
          <w:p w:rsidR="00DC5198" w:rsidRPr="00077D33" w:rsidRDefault="00DC5198"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0.18 ± 0.0</w:t>
            </w:r>
            <w:r w:rsidR="00DA54C3" w:rsidRPr="00077D33">
              <w:rPr>
                <w:rFonts w:ascii="Times New Roman" w:hAnsi="Times New Roman" w:cs="Times New Roman"/>
                <w:sz w:val="24"/>
                <w:szCs w:val="24"/>
                <w:vertAlign w:val="superscript"/>
              </w:rPr>
              <w:t>bc</w:t>
            </w:r>
          </w:p>
        </w:tc>
        <w:tc>
          <w:tcPr>
            <w:tcW w:w="171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2.20 ± 0.2</w:t>
            </w:r>
            <w:r w:rsidR="00DA54C3" w:rsidRPr="00077D33">
              <w:rPr>
                <w:rFonts w:ascii="Times New Roman" w:hAnsi="Times New Roman" w:cs="Times New Roman"/>
                <w:sz w:val="24"/>
                <w:szCs w:val="24"/>
                <w:vertAlign w:val="superscript"/>
              </w:rPr>
              <w:t>bc</w:t>
            </w:r>
          </w:p>
        </w:tc>
        <w:tc>
          <w:tcPr>
            <w:tcW w:w="162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0.68 ± 0.0</w:t>
            </w:r>
            <w:r w:rsidR="00DA54C3" w:rsidRPr="00077D33">
              <w:rPr>
                <w:rFonts w:ascii="Times New Roman" w:hAnsi="Times New Roman" w:cs="Times New Roman"/>
                <w:sz w:val="24"/>
                <w:szCs w:val="24"/>
                <w:vertAlign w:val="superscript"/>
              </w:rPr>
              <w:t>bc</w:t>
            </w:r>
          </w:p>
        </w:tc>
        <w:tc>
          <w:tcPr>
            <w:tcW w:w="153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0.20 ± 0.0</w:t>
            </w:r>
            <w:r w:rsidR="00DA54C3" w:rsidRPr="00077D33">
              <w:rPr>
                <w:rFonts w:ascii="Times New Roman" w:hAnsi="Times New Roman" w:cs="Times New Roman"/>
                <w:sz w:val="24"/>
                <w:szCs w:val="24"/>
                <w:vertAlign w:val="superscript"/>
              </w:rPr>
              <w:t>bc</w:t>
            </w:r>
          </w:p>
        </w:tc>
        <w:tc>
          <w:tcPr>
            <w:tcW w:w="144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2.4± 0.0</w:t>
            </w:r>
            <w:r w:rsidR="00344C17" w:rsidRPr="00077D33">
              <w:rPr>
                <w:rFonts w:ascii="Times New Roman" w:hAnsi="Times New Roman" w:cs="Times New Roman"/>
                <w:sz w:val="24"/>
                <w:szCs w:val="24"/>
                <w:vertAlign w:val="superscript"/>
              </w:rPr>
              <w:t>bc</w:t>
            </w:r>
          </w:p>
        </w:tc>
        <w:tc>
          <w:tcPr>
            <w:tcW w:w="1376"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0.59± 0.0</w:t>
            </w:r>
            <w:r w:rsidR="00C92305" w:rsidRPr="00077D33">
              <w:rPr>
                <w:rFonts w:ascii="Times New Roman" w:hAnsi="Times New Roman" w:cs="Times New Roman"/>
                <w:sz w:val="24"/>
                <w:szCs w:val="24"/>
                <w:vertAlign w:val="superscript"/>
              </w:rPr>
              <w:t>a</w:t>
            </w:r>
          </w:p>
        </w:tc>
      </w:tr>
      <w:tr w:rsidR="00E60AB6" w:rsidRPr="00077D33" w:rsidTr="00F158E9">
        <w:trPr>
          <w:trHeight w:val="300"/>
        </w:trPr>
        <w:tc>
          <w:tcPr>
            <w:tcW w:w="1349"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436"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TCC</w:t>
            </w:r>
          </w:p>
        </w:tc>
        <w:tc>
          <w:tcPr>
            <w:tcW w:w="171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62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TCC</w:t>
            </w:r>
          </w:p>
        </w:tc>
        <w:tc>
          <w:tcPr>
            <w:tcW w:w="1440"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c>
          <w:tcPr>
            <w:tcW w:w="1376" w:type="dxa"/>
            <w:tcBorders>
              <w:top w:val="single" w:sz="4" w:space="0" w:color="auto"/>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p>
        </w:tc>
      </w:tr>
      <w:tr w:rsidR="00E60AB6" w:rsidRPr="00077D33" w:rsidTr="00F158E9">
        <w:trPr>
          <w:trHeight w:val="300"/>
        </w:trPr>
        <w:tc>
          <w:tcPr>
            <w:tcW w:w="1349"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Akinyele</w:t>
            </w:r>
          </w:p>
          <w:p w:rsidR="003D1E2A" w:rsidRPr="00077D33" w:rsidRDefault="003D1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0.25 ± 0.0</w:t>
            </w:r>
            <w:r w:rsidR="002E5DF5" w:rsidRPr="00077D33">
              <w:rPr>
                <w:rFonts w:ascii="Times New Roman" w:hAnsi="Times New Roman" w:cs="Times New Roman"/>
                <w:sz w:val="24"/>
                <w:szCs w:val="24"/>
                <w:vertAlign w:val="superscript"/>
              </w:rPr>
              <w:t>a</w:t>
            </w:r>
          </w:p>
        </w:tc>
        <w:tc>
          <w:tcPr>
            <w:tcW w:w="171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0.25 ± 0.0</w:t>
            </w:r>
            <w:r w:rsidR="002E5DF5" w:rsidRPr="00077D33">
              <w:rPr>
                <w:rFonts w:ascii="Times New Roman" w:hAnsi="Times New Roman" w:cs="Times New Roman"/>
                <w:sz w:val="24"/>
                <w:szCs w:val="24"/>
                <w:vertAlign w:val="superscript"/>
              </w:rPr>
              <w:t>a</w:t>
            </w:r>
          </w:p>
        </w:tc>
        <w:tc>
          <w:tcPr>
            <w:tcW w:w="162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0.18 ± 0.0</w:t>
            </w:r>
            <w:r w:rsidR="000B355D" w:rsidRPr="00077D33">
              <w:rPr>
                <w:rFonts w:ascii="Times New Roman" w:hAnsi="Times New Roman" w:cs="Times New Roman"/>
                <w:sz w:val="24"/>
                <w:szCs w:val="24"/>
                <w:vertAlign w:val="superscript"/>
              </w:rPr>
              <w:t>a</w:t>
            </w:r>
          </w:p>
        </w:tc>
        <w:tc>
          <w:tcPr>
            <w:tcW w:w="153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0.21 ± 0.0</w:t>
            </w:r>
            <w:r w:rsidR="000B355D" w:rsidRPr="00077D33">
              <w:rPr>
                <w:rFonts w:ascii="Times New Roman" w:hAnsi="Times New Roman" w:cs="Times New Roman"/>
                <w:sz w:val="24"/>
                <w:szCs w:val="24"/>
                <w:vertAlign w:val="superscript"/>
              </w:rPr>
              <w:t>a</w:t>
            </w:r>
          </w:p>
        </w:tc>
        <w:tc>
          <w:tcPr>
            <w:tcW w:w="1440"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0.23 ± 0.0</w:t>
            </w:r>
            <w:r w:rsidR="000B355D" w:rsidRPr="00077D33">
              <w:rPr>
                <w:rFonts w:ascii="Times New Roman" w:hAnsi="Times New Roman" w:cs="Times New Roman"/>
                <w:sz w:val="24"/>
                <w:szCs w:val="24"/>
                <w:vertAlign w:val="superscript"/>
              </w:rPr>
              <w:t>a</w:t>
            </w:r>
          </w:p>
        </w:tc>
        <w:tc>
          <w:tcPr>
            <w:tcW w:w="1376" w:type="dxa"/>
            <w:tcBorders>
              <w:top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0.11 ± 0.0</w:t>
            </w:r>
            <w:r w:rsidR="00847AE8" w:rsidRPr="00077D33">
              <w:rPr>
                <w:rFonts w:ascii="Times New Roman" w:hAnsi="Times New Roman" w:cs="Times New Roman"/>
                <w:sz w:val="24"/>
                <w:szCs w:val="24"/>
                <w:vertAlign w:val="superscript"/>
              </w:rPr>
              <w:t>ab</w:t>
            </w:r>
          </w:p>
        </w:tc>
      </w:tr>
      <w:tr w:rsidR="00E60AB6" w:rsidRPr="00077D33" w:rsidTr="00E60AB6">
        <w:trPr>
          <w:trHeight w:val="300"/>
        </w:trPr>
        <w:tc>
          <w:tcPr>
            <w:tcW w:w="1349" w:type="dxa"/>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Ido</w:t>
            </w:r>
            <w:r w:rsidR="003D1E2A" w:rsidRPr="00077D33">
              <w:rPr>
                <w:rFonts w:ascii="Times New Roman" w:hAnsi="Times New Roman" w:cs="Times New Roman"/>
                <w:sz w:val="24"/>
                <w:szCs w:val="24"/>
              </w:rPr>
              <w:t xml:space="preserve"> LGA</w:t>
            </w:r>
          </w:p>
        </w:tc>
        <w:tc>
          <w:tcPr>
            <w:tcW w:w="143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w:t>
            </w:r>
            <w:r w:rsidR="002E5DF5" w:rsidRPr="00077D33">
              <w:rPr>
                <w:rFonts w:ascii="Times New Roman" w:hAnsi="Times New Roman" w:cs="Times New Roman"/>
                <w:sz w:val="24"/>
                <w:szCs w:val="24"/>
              </w:rPr>
              <w:t xml:space="preserve">.00 </w:t>
            </w:r>
            <w:r w:rsidRPr="00077D33">
              <w:rPr>
                <w:rFonts w:ascii="Times New Roman" w:hAnsi="Times New Roman" w:cs="Times New Roman"/>
                <w:sz w:val="24"/>
                <w:szCs w:val="24"/>
              </w:rPr>
              <w:t>± 0.0</w:t>
            </w:r>
            <w:r w:rsidR="002E5DF5" w:rsidRPr="00077D33">
              <w:rPr>
                <w:rFonts w:ascii="Times New Roman" w:hAnsi="Times New Roman" w:cs="Times New Roman"/>
                <w:sz w:val="24"/>
                <w:szCs w:val="24"/>
                <w:vertAlign w:val="superscript"/>
              </w:rPr>
              <w:t>c</w:t>
            </w:r>
          </w:p>
        </w:tc>
        <w:tc>
          <w:tcPr>
            <w:tcW w:w="171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w:t>
            </w:r>
            <w:r w:rsidR="000B355D" w:rsidRPr="00077D33">
              <w:rPr>
                <w:rFonts w:ascii="Times New Roman" w:hAnsi="Times New Roman" w:cs="Times New Roman"/>
                <w:sz w:val="24"/>
                <w:szCs w:val="24"/>
              </w:rPr>
              <w:t>.00</w:t>
            </w:r>
            <w:r w:rsidRPr="00077D33">
              <w:rPr>
                <w:rFonts w:ascii="Times New Roman" w:hAnsi="Times New Roman" w:cs="Times New Roman"/>
                <w:sz w:val="24"/>
                <w:szCs w:val="24"/>
              </w:rPr>
              <w:t>± 0.0</w:t>
            </w:r>
            <w:r w:rsidR="000B355D" w:rsidRPr="00077D33">
              <w:rPr>
                <w:rFonts w:ascii="Times New Roman" w:hAnsi="Times New Roman" w:cs="Times New Roman"/>
                <w:sz w:val="24"/>
                <w:szCs w:val="24"/>
                <w:vertAlign w:val="superscript"/>
              </w:rPr>
              <w:t>c</w:t>
            </w:r>
          </w:p>
        </w:tc>
        <w:tc>
          <w:tcPr>
            <w:tcW w:w="162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0.10 ± 0.0</w:t>
            </w:r>
            <w:r w:rsidR="000B355D" w:rsidRPr="00077D33">
              <w:rPr>
                <w:rFonts w:ascii="Times New Roman" w:hAnsi="Times New Roman" w:cs="Times New Roman"/>
                <w:sz w:val="24"/>
                <w:szCs w:val="24"/>
                <w:vertAlign w:val="superscript"/>
              </w:rPr>
              <w:t>b</w:t>
            </w:r>
          </w:p>
        </w:tc>
        <w:tc>
          <w:tcPr>
            <w:tcW w:w="153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0.13 ± 0.0</w:t>
            </w:r>
            <w:r w:rsidR="000B355D" w:rsidRPr="00077D33">
              <w:rPr>
                <w:rFonts w:ascii="Times New Roman" w:hAnsi="Times New Roman" w:cs="Times New Roman"/>
                <w:sz w:val="24"/>
                <w:szCs w:val="24"/>
                <w:vertAlign w:val="superscript"/>
              </w:rPr>
              <w:t>b</w:t>
            </w:r>
          </w:p>
        </w:tc>
        <w:tc>
          <w:tcPr>
            <w:tcW w:w="144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w:t>
            </w:r>
            <w:r w:rsidR="000B355D" w:rsidRPr="00077D33">
              <w:rPr>
                <w:rFonts w:ascii="Times New Roman" w:hAnsi="Times New Roman" w:cs="Times New Roman"/>
                <w:sz w:val="24"/>
                <w:szCs w:val="24"/>
              </w:rPr>
              <w:t>.00</w:t>
            </w:r>
            <w:r w:rsidRPr="00077D33">
              <w:rPr>
                <w:rFonts w:ascii="Times New Roman" w:hAnsi="Times New Roman" w:cs="Times New Roman"/>
                <w:sz w:val="24"/>
                <w:szCs w:val="24"/>
              </w:rPr>
              <w:t xml:space="preserve"> ± 0.0</w:t>
            </w:r>
            <w:r w:rsidR="000B355D" w:rsidRPr="00077D33">
              <w:rPr>
                <w:rFonts w:ascii="Times New Roman" w:hAnsi="Times New Roman" w:cs="Times New Roman"/>
                <w:sz w:val="24"/>
                <w:szCs w:val="24"/>
                <w:vertAlign w:val="superscript"/>
              </w:rPr>
              <w:t>c</w:t>
            </w:r>
          </w:p>
        </w:tc>
        <w:tc>
          <w:tcPr>
            <w:tcW w:w="137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0.07 ± 0.0</w:t>
            </w:r>
            <w:r w:rsidR="00847AE8" w:rsidRPr="00077D33">
              <w:rPr>
                <w:rFonts w:ascii="Times New Roman" w:hAnsi="Times New Roman" w:cs="Times New Roman"/>
                <w:sz w:val="24"/>
                <w:szCs w:val="24"/>
                <w:vertAlign w:val="superscript"/>
              </w:rPr>
              <w:t>b</w:t>
            </w:r>
          </w:p>
        </w:tc>
      </w:tr>
      <w:tr w:rsidR="00E60AB6" w:rsidRPr="00077D33" w:rsidTr="00C206A9">
        <w:trPr>
          <w:trHeight w:val="300"/>
        </w:trPr>
        <w:tc>
          <w:tcPr>
            <w:tcW w:w="1349" w:type="dxa"/>
            <w:noWrap/>
            <w:hideMark/>
          </w:tcPr>
          <w:p w:rsidR="00E60AB6" w:rsidRPr="00077D33" w:rsidRDefault="00E60AB6" w:rsidP="00077D33">
            <w:pPr>
              <w:spacing w:line="360" w:lineRule="auto"/>
              <w:jc w:val="both"/>
              <w:rPr>
                <w:rFonts w:ascii="Times New Roman" w:hAnsi="Times New Roman" w:cs="Times New Roman"/>
                <w:sz w:val="24"/>
                <w:szCs w:val="24"/>
              </w:rPr>
            </w:pPr>
            <w:proofErr w:type="spellStart"/>
            <w:r w:rsidRPr="00077D33">
              <w:rPr>
                <w:rFonts w:ascii="Times New Roman" w:hAnsi="Times New Roman" w:cs="Times New Roman"/>
                <w:sz w:val="24"/>
                <w:szCs w:val="24"/>
              </w:rPr>
              <w:t>IbarapaEast</w:t>
            </w:r>
            <w:proofErr w:type="spellEnd"/>
          </w:p>
          <w:p w:rsidR="003D1E2A" w:rsidRPr="00077D33" w:rsidRDefault="003D1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0.22 ± 0.0</w:t>
            </w:r>
            <w:r w:rsidR="002E5DF5" w:rsidRPr="00077D33">
              <w:rPr>
                <w:rFonts w:ascii="Times New Roman" w:hAnsi="Times New Roman" w:cs="Times New Roman"/>
                <w:sz w:val="24"/>
                <w:szCs w:val="24"/>
                <w:vertAlign w:val="superscript"/>
              </w:rPr>
              <w:t>ab</w:t>
            </w:r>
          </w:p>
        </w:tc>
        <w:tc>
          <w:tcPr>
            <w:tcW w:w="171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0.19 ± 0.0</w:t>
            </w:r>
            <w:r w:rsidR="000B355D" w:rsidRPr="00077D33">
              <w:rPr>
                <w:rFonts w:ascii="Times New Roman" w:hAnsi="Times New Roman" w:cs="Times New Roman"/>
                <w:sz w:val="24"/>
                <w:szCs w:val="24"/>
                <w:vertAlign w:val="superscript"/>
              </w:rPr>
              <w:t>b</w:t>
            </w:r>
          </w:p>
        </w:tc>
        <w:tc>
          <w:tcPr>
            <w:tcW w:w="162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0.15 ± 0.0</w:t>
            </w:r>
            <w:r w:rsidR="000B355D" w:rsidRPr="00077D33">
              <w:rPr>
                <w:rFonts w:ascii="Times New Roman" w:hAnsi="Times New Roman" w:cs="Times New Roman"/>
                <w:sz w:val="24"/>
                <w:szCs w:val="24"/>
                <w:vertAlign w:val="superscript"/>
              </w:rPr>
              <w:t>ab</w:t>
            </w:r>
          </w:p>
        </w:tc>
        <w:tc>
          <w:tcPr>
            <w:tcW w:w="153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0.20 ± 0.0</w:t>
            </w:r>
            <w:r w:rsidR="000B355D" w:rsidRPr="00077D33">
              <w:rPr>
                <w:rFonts w:ascii="Times New Roman" w:hAnsi="Times New Roman" w:cs="Times New Roman"/>
                <w:sz w:val="24"/>
                <w:szCs w:val="24"/>
                <w:vertAlign w:val="superscript"/>
              </w:rPr>
              <w:t>ab</w:t>
            </w:r>
          </w:p>
        </w:tc>
        <w:tc>
          <w:tcPr>
            <w:tcW w:w="1440"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0.12 ± 0.0</w:t>
            </w:r>
            <w:r w:rsidR="000B355D" w:rsidRPr="00077D33">
              <w:rPr>
                <w:rFonts w:ascii="Times New Roman" w:hAnsi="Times New Roman" w:cs="Times New Roman"/>
                <w:sz w:val="24"/>
                <w:szCs w:val="24"/>
                <w:vertAlign w:val="superscript"/>
              </w:rPr>
              <w:t>b</w:t>
            </w:r>
          </w:p>
        </w:tc>
        <w:tc>
          <w:tcPr>
            <w:tcW w:w="1376" w:type="dxa"/>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0.09± 0.0</w:t>
            </w:r>
            <w:r w:rsidR="00847AE8" w:rsidRPr="00077D33">
              <w:rPr>
                <w:rFonts w:ascii="Times New Roman" w:hAnsi="Times New Roman" w:cs="Times New Roman"/>
                <w:sz w:val="24"/>
                <w:szCs w:val="24"/>
                <w:vertAlign w:val="superscript"/>
              </w:rPr>
              <w:t>ab</w:t>
            </w:r>
          </w:p>
        </w:tc>
      </w:tr>
      <w:tr w:rsidR="00E60AB6" w:rsidRPr="00077D33" w:rsidTr="00C206A9">
        <w:trPr>
          <w:trHeight w:val="300"/>
        </w:trPr>
        <w:tc>
          <w:tcPr>
            <w:tcW w:w="1349"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Ibadan North</w:t>
            </w:r>
            <w:r w:rsidR="003D1E2A" w:rsidRPr="00077D33">
              <w:rPr>
                <w:rFonts w:ascii="Times New Roman" w:hAnsi="Times New Roman" w:cs="Times New Roman"/>
                <w:sz w:val="24"/>
                <w:szCs w:val="24"/>
              </w:rPr>
              <w:t xml:space="preserve"> LGA</w:t>
            </w:r>
          </w:p>
        </w:tc>
        <w:tc>
          <w:tcPr>
            <w:tcW w:w="1436"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0.14 ± 0.0</w:t>
            </w:r>
            <w:r w:rsidR="002E5DF5" w:rsidRPr="00077D33">
              <w:rPr>
                <w:rFonts w:ascii="Times New Roman" w:hAnsi="Times New Roman" w:cs="Times New Roman"/>
                <w:sz w:val="24"/>
                <w:szCs w:val="24"/>
                <w:vertAlign w:val="superscript"/>
              </w:rPr>
              <w:t>b</w:t>
            </w:r>
          </w:p>
        </w:tc>
        <w:tc>
          <w:tcPr>
            <w:tcW w:w="171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0.50 ± 0.0</w:t>
            </w:r>
            <w:r w:rsidR="000B355D" w:rsidRPr="00077D33">
              <w:rPr>
                <w:rFonts w:ascii="Times New Roman" w:hAnsi="Times New Roman" w:cs="Times New Roman"/>
                <w:sz w:val="24"/>
                <w:szCs w:val="24"/>
                <w:vertAlign w:val="superscript"/>
              </w:rPr>
              <w:t>ab</w:t>
            </w:r>
          </w:p>
        </w:tc>
        <w:tc>
          <w:tcPr>
            <w:tcW w:w="162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0.08 ± 0.0</w:t>
            </w:r>
            <w:r w:rsidR="000B355D" w:rsidRPr="00077D33">
              <w:rPr>
                <w:rFonts w:ascii="Times New Roman" w:hAnsi="Times New Roman" w:cs="Times New Roman"/>
                <w:sz w:val="24"/>
                <w:szCs w:val="24"/>
                <w:vertAlign w:val="superscript"/>
              </w:rPr>
              <w:t>b</w:t>
            </w:r>
          </w:p>
        </w:tc>
        <w:tc>
          <w:tcPr>
            <w:tcW w:w="153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0.11 ± 0.0</w:t>
            </w:r>
            <w:r w:rsidR="000B355D" w:rsidRPr="00077D33">
              <w:rPr>
                <w:rFonts w:ascii="Times New Roman" w:hAnsi="Times New Roman" w:cs="Times New Roman"/>
                <w:sz w:val="24"/>
                <w:szCs w:val="24"/>
                <w:vertAlign w:val="superscript"/>
              </w:rPr>
              <w:t>b</w:t>
            </w:r>
          </w:p>
        </w:tc>
        <w:tc>
          <w:tcPr>
            <w:tcW w:w="1440"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0.38 ± 0.0</w:t>
            </w:r>
            <w:r w:rsidR="000B355D" w:rsidRPr="00077D33">
              <w:rPr>
                <w:rFonts w:ascii="Times New Roman" w:hAnsi="Times New Roman" w:cs="Times New Roman"/>
                <w:sz w:val="24"/>
                <w:szCs w:val="24"/>
                <w:vertAlign w:val="superscript"/>
              </w:rPr>
              <w:t>ab</w:t>
            </w:r>
          </w:p>
        </w:tc>
        <w:tc>
          <w:tcPr>
            <w:tcW w:w="1376" w:type="dxa"/>
            <w:tcBorders>
              <w:bottom w:val="single" w:sz="4" w:space="0" w:color="auto"/>
            </w:tcBorders>
            <w:noWrap/>
            <w:hideMark/>
          </w:tcPr>
          <w:p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0.05 ± 0.0</w:t>
            </w:r>
            <w:r w:rsidR="00847AE8" w:rsidRPr="00077D33">
              <w:rPr>
                <w:rFonts w:ascii="Times New Roman" w:hAnsi="Times New Roman" w:cs="Times New Roman"/>
                <w:sz w:val="24"/>
                <w:szCs w:val="24"/>
                <w:vertAlign w:val="superscript"/>
              </w:rPr>
              <w:t>b</w:t>
            </w:r>
          </w:p>
        </w:tc>
      </w:tr>
    </w:tbl>
    <w:p w:rsidR="00413A7E" w:rsidRPr="00077D33" w:rsidRDefault="00413A7E" w:rsidP="00077D33">
      <w:pPr>
        <w:spacing w:line="360" w:lineRule="auto"/>
        <w:jc w:val="both"/>
        <w:rPr>
          <w:rFonts w:ascii="Times New Roman" w:hAnsi="Times New Roman" w:cs="Times New Roman"/>
          <w:i/>
          <w:sz w:val="24"/>
          <w:szCs w:val="24"/>
        </w:rPr>
      </w:pPr>
      <w:r w:rsidRPr="00077D33">
        <w:rPr>
          <w:rFonts w:ascii="Times New Roman" w:hAnsi="Times New Roman" w:cs="Times New Roman"/>
          <w:i/>
          <w:sz w:val="24"/>
          <w:szCs w:val="24"/>
        </w:rPr>
        <w:t>The above table displays the results as means ± standard deviation. The Duncan Multiple Range Test rating of the post hoc test is shown by the superscripts. While the means with the same superscript were similar, those with different su</w:t>
      </w:r>
      <w:r w:rsidR="00CC6A04">
        <w:rPr>
          <w:rFonts w:ascii="Times New Roman" w:hAnsi="Times New Roman" w:cs="Times New Roman"/>
          <w:i/>
          <w:sz w:val="24"/>
          <w:szCs w:val="24"/>
        </w:rPr>
        <w:t>perscripts differed significantly</w:t>
      </w:r>
      <w:r w:rsidRPr="00077D33">
        <w:rPr>
          <w:rFonts w:ascii="Times New Roman" w:hAnsi="Times New Roman" w:cs="Times New Roman"/>
          <w:i/>
          <w:sz w:val="24"/>
          <w:szCs w:val="24"/>
        </w:rPr>
        <w:t xml:space="preserve"> from one another down the column at p&lt;0.05</w:t>
      </w:r>
    </w:p>
    <w:p w:rsidR="00226EAB" w:rsidRDefault="00226EAB" w:rsidP="00226EAB">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Keys </w:t>
      </w:r>
      <w:r>
        <w:rPr>
          <w:rFonts w:ascii="Times New Roman" w:eastAsia="Times New Roman" w:hAnsi="Times New Roman" w:cs="Times New Roman"/>
          <w:color w:val="000000"/>
          <w:sz w:val="24"/>
          <w:szCs w:val="24"/>
        </w:rPr>
        <w:tab/>
      </w:r>
    </w:p>
    <w:p w:rsidR="00226EAB" w:rsidRDefault="00226EAB" w:rsidP="00226EA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TBC</w:t>
      </w:r>
      <w:r w:rsidRPr="00077D33">
        <w:rPr>
          <w:rFonts w:ascii="Times New Roman" w:eastAsia="Times New Roman" w:hAnsi="Times New Roman" w:cs="Times New Roman"/>
          <w:color w:val="000000"/>
          <w:sz w:val="24"/>
          <w:szCs w:val="24"/>
        </w:rPr>
        <w:t>: Monounsaturated Fat</w:t>
      </w:r>
      <w:r>
        <w:rPr>
          <w:rFonts w:ascii="Times New Roman" w:eastAsia="Times New Roman" w:hAnsi="Times New Roman" w:cs="Times New Roman"/>
          <w:color w:val="000000"/>
          <w:sz w:val="24"/>
          <w:szCs w:val="24"/>
        </w:rPr>
        <w:t xml:space="preserve">          TCC</w:t>
      </w:r>
      <w:r w:rsidRPr="00077D33">
        <w:rPr>
          <w:rFonts w:ascii="Times New Roman" w:eastAsia="Times New Roman" w:hAnsi="Times New Roman" w:cs="Times New Roman"/>
          <w:color w:val="000000"/>
          <w:sz w:val="24"/>
          <w:szCs w:val="24"/>
        </w:rPr>
        <w:t>: Polyunsaturated Fat</w:t>
      </w:r>
    </w:p>
    <w:p w:rsidR="003667E5" w:rsidRPr="00077D33" w:rsidRDefault="002412BB"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fldChar w:fldCharType="begin"/>
      </w:r>
      <w:r w:rsidRPr="00077D33">
        <w:rPr>
          <w:rFonts w:ascii="Times New Roman" w:hAnsi="Times New Roman" w:cs="Times New Roman"/>
          <w:sz w:val="24"/>
          <w:szCs w:val="24"/>
        </w:rPr>
        <w:instrText xml:space="preserve"> LINK </w:instrText>
      </w:r>
      <w:r w:rsidR="00236B63">
        <w:rPr>
          <w:rFonts w:ascii="Times New Roman" w:hAnsi="Times New Roman" w:cs="Times New Roman"/>
          <w:sz w:val="24"/>
          <w:szCs w:val="24"/>
        </w:rPr>
        <w:instrText xml:space="preserve">Excel.Sheet.12 "C:\\Users\\User\\Downloads\\contamination route of cow and goat milk dairy farm.xlsx" Sheet1!R11C1:R19C9 </w:instrText>
      </w:r>
      <w:r w:rsidRPr="00077D33">
        <w:rPr>
          <w:rFonts w:ascii="Times New Roman" w:hAnsi="Times New Roman" w:cs="Times New Roman"/>
          <w:sz w:val="24"/>
          <w:szCs w:val="24"/>
        </w:rPr>
        <w:instrText xml:space="preserve">\a \f 5 \h  \* MERGEFORMAT </w:instrText>
      </w:r>
      <w:r w:rsidRPr="00077D33">
        <w:rPr>
          <w:rFonts w:ascii="Times New Roman" w:hAnsi="Times New Roman" w:cs="Times New Roman"/>
          <w:sz w:val="24"/>
          <w:szCs w:val="24"/>
        </w:rPr>
        <w:fldChar w:fldCharType="separate"/>
      </w:r>
    </w:p>
    <w:p w:rsidR="00F82D52" w:rsidRPr="00077D33" w:rsidRDefault="002412BB" w:rsidP="00D12E5D">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fldChar w:fldCharType="end"/>
      </w:r>
    </w:p>
    <w:p w:rsidR="00CA45F0" w:rsidRPr="00077D33" w:rsidRDefault="001001F3" w:rsidP="00077D33">
      <w:pPr>
        <w:pStyle w:val="NormalWeb"/>
        <w:spacing w:line="360" w:lineRule="auto"/>
        <w:jc w:val="both"/>
      </w:pPr>
      <w:r w:rsidRPr="00077D33">
        <w:lastRenderedPageBreak/>
        <w:t xml:space="preserve">Table 1 shows the protein profile of cow and goat milk from four different Local Government Area in Oyo State. </w:t>
      </w:r>
      <w:r w:rsidR="00FB2C6D" w:rsidRPr="00077D33">
        <w:t>Protein is a critical macronutrient in milk, contributing to its nutritional value and functional properties. In this study, p</w:t>
      </w:r>
      <w:r w:rsidR="00F82D52" w:rsidRPr="00077D33">
        <w:t>rotein analysis showed that goat milk consistently had higher crude protein levels than cow milk</w:t>
      </w:r>
      <w:r w:rsidR="00A276BE" w:rsidRPr="00077D33">
        <w:t xml:space="preserve"> across all the four Local </w:t>
      </w:r>
      <w:r w:rsidR="004341A7" w:rsidRPr="00077D33">
        <w:t>Government</w:t>
      </w:r>
      <w:r w:rsidR="00B13D66" w:rsidRPr="00077D33">
        <w:t xml:space="preserve"> Area</w:t>
      </w:r>
      <w:r w:rsidR="00F82D52" w:rsidRPr="00077D33">
        <w:t xml:space="preserve">. For instance, </w:t>
      </w:r>
      <w:proofErr w:type="spellStart"/>
      <w:r w:rsidR="00F82D52" w:rsidRPr="00077D33">
        <w:t>Ibarapa</w:t>
      </w:r>
      <w:proofErr w:type="spellEnd"/>
      <w:r w:rsidR="00F82D52" w:rsidRPr="00077D33">
        <w:t xml:space="preserve"> East goat milk had 5.15 ± 0.0% crude</w:t>
      </w:r>
      <w:r w:rsidR="006C2CAE" w:rsidRPr="00077D33">
        <w:t xml:space="preserve"> protein compared to 3.96 ± 0.0</w:t>
      </w:r>
      <w:r w:rsidR="00F82D52" w:rsidRPr="00077D33">
        <w:t xml:space="preserve">% in cow milk. </w:t>
      </w:r>
      <w:r w:rsidR="00301E30" w:rsidRPr="00077D33">
        <w:t xml:space="preserve">The protein fraction was further partitioned into casein and whey proteins. </w:t>
      </w:r>
      <w:r w:rsidR="00F82D52" w:rsidRPr="00077D33">
        <w:t xml:space="preserve">Estimated casein and whey contents followed similar patterns, with goat milk outperforming cow milk in all LGAs. </w:t>
      </w:r>
      <w:proofErr w:type="spellStart"/>
      <w:r w:rsidR="00301E30" w:rsidRPr="00077D33">
        <w:t>Casein</w:t>
      </w:r>
      <w:proofErr w:type="spellEnd"/>
      <w:r w:rsidR="00301E30" w:rsidRPr="00077D33">
        <w:t xml:space="preserve"> which constitutes approximately 80% of the total milk protein, plays an important role in calcium and phosphate transport and is essential for infant growth and development. Goat milk exhibited higher casein levels.</w:t>
      </w:r>
      <w:r w:rsidR="004C176F" w:rsidRPr="00077D33">
        <w:t xml:space="preserve"> This revealed</w:t>
      </w:r>
      <w:r w:rsidR="000F28B1" w:rsidRPr="00077D33">
        <w:t xml:space="preserve"> its superior suitability for cheese production</w:t>
      </w:r>
      <w:r w:rsidR="00BF687E" w:rsidRPr="00077D33">
        <w:t xml:space="preserve"> and infant nutrition. </w:t>
      </w:r>
      <w:r w:rsidR="00301E30" w:rsidRPr="00077D33">
        <w:t xml:space="preserve"> </w:t>
      </w:r>
      <w:r w:rsidR="00F82D52" w:rsidRPr="00077D33">
        <w:t>These findings align with global data on goat milk’s superior digestibility and nutrient density (Mohammad et al., 2023).</w:t>
      </w:r>
      <w:r w:rsidR="00BF687E" w:rsidRPr="00077D33">
        <w:t xml:space="preserve"> Whey protein, including α-lactalbumin and β-lactoglobulin, are known for their high digestibility and immunomodulatory properties. Goat milk again outperformed cow milk in this regard, with whey content reaching up to 1.29 ± 0.0% in </w:t>
      </w:r>
      <w:proofErr w:type="spellStart"/>
      <w:r w:rsidR="00BF687E" w:rsidRPr="00077D33">
        <w:t>Ibarapa</w:t>
      </w:r>
      <w:proofErr w:type="spellEnd"/>
      <w:r w:rsidR="00BF687E" w:rsidRPr="00077D33">
        <w:t xml:space="preserve"> East, compared to 0.79 ± 0.0% in cow milk. These proteins are particularly beneficial for individuals with cow milk protein intolerance, as goat milk proteins form softer curds and are digested more rapidly (Ndudi </w:t>
      </w:r>
      <w:r w:rsidR="00BF687E" w:rsidRPr="00077D33">
        <w:rPr>
          <w:i/>
        </w:rPr>
        <w:t xml:space="preserve">et al., </w:t>
      </w:r>
      <w:r w:rsidR="00BF687E" w:rsidRPr="00077D33">
        <w:t>2024).</w:t>
      </w:r>
      <w:r w:rsidR="00CA45F0" w:rsidRPr="00077D33">
        <w:t xml:space="preserve">  The component comprising peptides and enzymes, was also marginally higher in goat milk (0.10 ± 0.0%) than in cow milk (0.05 ± 0.0%). These bioactive peptides have been associated with antimicrobial, antihypertensive, and antioxidant activities, further enhancing the functional value of goat milk (Ghali-Mohammed </w:t>
      </w:r>
      <w:r w:rsidR="00CA45F0" w:rsidRPr="00077D33">
        <w:rPr>
          <w:i/>
        </w:rPr>
        <w:t>et al.,</w:t>
      </w:r>
      <w:r w:rsidR="00CA45F0" w:rsidRPr="00077D33">
        <w:t xml:space="preserve"> 2025).</w:t>
      </w:r>
    </w:p>
    <w:p w:rsidR="008F01CD" w:rsidRPr="00077D33" w:rsidRDefault="007554D9" w:rsidP="00077D33">
      <w:pPr>
        <w:spacing w:before="100" w:beforeAutospacing="1" w:after="100" w:afterAutospacing="1" w:line="360" w:lineRule="auto"/>
        <w:jc w:val="both"/>
        <w:rPr>
          <w:rFonts w:ascii="Times New Roman" w:eastAsia="Times New Roman" w:hAnsi="Times New Roman" w:cs="Times New Roman"/>
          <w:sz w:val="24"/>
          <w:szCs w:val="24"/>
        </w:rPr>
      </w:pPr>
      <w:r w:rsidRPr="00077D33">
        <w:rPr>
          <w:rFonts w:ascii="Times New Roman" w:eastAsia="Times New Roman" w:hAnsi="Times New Roman" w:cs="Times New Roman"/>
          <w:sz w:val="24"/>
          <w:szCs w:val="24"/>
        </w:rPr>
        <w:t xml:space="preserve">Table 2 shows the fatty acid profile </w:t>
      </w:r>
      <w:r w:rsidRPr="00077D33">
        <w:rPr>
          <w:rFonts w:ascii="Times New Roman" w:hAnsi="Times New Roman" w:cs="Times New Roman"/>
          <w:sz w:val="24"/>
          <w:szCs w:val="24"/>
        </w:rPr>
        <w:t>of cow and goat milk from four different Local Government Area</w:t>
      </w:r>
      <w:r w:rsidR="00CC6A04">
        <w:rPr>
          <w:rFonts w:ascii="Times New Roman" w:hAnsi="Times New Roman" w:cs="Times New Roman"/>
          <w:sz w:val="24"/>
          <w:szCs w:val="24"/>
        </w:rPr>
        <w:t>s</w:t>
      </w:r>
      <w:r w:rsidRPr="00077D33">
        <w:rPr>
          <w:rFonts w:ascii="Times New Roman" w:hAnsi="Times New Roman" w:cs="Times New Roman"/>
          <w:sz w:val="24"/>
          <w:szCs w:val="24"/>
        </w:rPr>
        <w:t xml:space="preserve"> in Oyo State. </w:t>
      </w:r>
      <w:r w:rsidR="00054DD6" w:rsidRPr="00077D33">
        <w:rPr>
          <w:rFonts w:ascii="Times New Roman" w:eastAsia="Times New Roman" w:hAnsi="Times New Roman" w:cs="Times New Roman"/>
          <w:sz w:val="24"/>
          <w:szCs w:val="24"/>
        </w:rPr>
        <w:t xml:space="preserve">Milk fat is a complex mixture of triglycerides, phospholipids, and free fatty acids, which significantly influence flavor, texture, and nutritional quality. The total fat (TF) content in goat milk was higher than in cow milk across all LGAs. For example, goat milk from </w:t>
      </w:r>
      <w:proofErr w:type="spellStart"/>
      <w:r w:rsidR="00054DD6" w:rsidRPr="00077D33">
        <w:rPr>
          <w:rFonts w:ascii="Times New Roman" w:eastAsia="Times New Roman" w:hAnsi="Times New Roman" w:cs="Times New Roman"/>
          <w:sz w:val="24"/>
          <w:szCs w:val="24"/>
        </w:rPr>
        <w:t>Ibarapa</w:t>
      </w:r>
      <w:proofErr w:type="spellEnd"/>
      <w:r w:rsidR="00054DD6" w:rsidRPr="00077D33">
        <w:rPr>
          <w:rFonts w:ascii="Times New Roman" w:eastAsia="Times New Roman" w:hAnsi="Times New Roman" w:cs="Times New Roman"/>
          <w:sz w:val="24"/>
          <w:szCs w:val="24"/>
        </w:rPr>
        <w:t xml:space="preserve"> East had a TF of 4.80 ± 0.0%, compared to 4.30 ± 0.0% in cow milk. This aligns with previous findings that goat milk contains smaller fat globules and a higher proportion of short- and medium-chain fatty acids, which are more readily diges</w:t>
      </w:r>
      <w:r w:rsidR="00DB3A17">
        <w:rPr>
          <w:rFonts w:ascii="Times New Roman" w:eastAsia="Times New Roman" w:hAnsi="Times New Roman" w:cs="Times New Roman"/>
          <w:sz w:val="24"/>
          <w:szCs w:val="24"/>
        </w:rPr>
        <w:t>ted and metabolized (Mohammed and</w:t>
      </w:r>
      <w:r w:rsidR="00054DD6" w:rsidRPr="00077D33">
        <w:rPr>
          <w:rFonts w:ascii="Times New Roman" w:eastAsia="Times New Roman" w:hAnsi="Times New Roman" w:cs="Times New Roman"/>
          <w:sz w:val="24"/>
          <w:szCs w:val="24"/>
        </w:rPr>
        <w:t xml:space="preserve"> </w:t>
      </w:r>
      <w:proofErr w:type="spellStart"/>
      <w:r w:rsidR="00054DD6" w:rsidRPr="00077D33">
        <w:rPr>
          <w:rFonts w:ascii="Times New Roman" w:eastAsia="Times New Roman" w:hAnsi="Times New Roman" w:cs="Times New Roman"/>
          <w:sz w:val="24"/>
          <w:szCs w:val="24"/>
        </w:rPr>
        <w:t>Biyabra</w:t>
      </w:r>
      <w:proofErr w:type="spellEnd"/>
      <w:r w:rsidR="00054DD6" w:rsidRPr="00077D33">
        <w:rPr>
          <w:rFonts w:ascii="Times New Roman" w:eastAsia="Times New Roman" w:hAnsi="Times New Roman" w:cs="Times New Roman"/>
          <w:sz w:val="24"/>
          <w:szCs w:val="24"/>
        </w:rPr>
        <w:t>, 2024).</w:t>
      </w:r>
      <w:r w:rsidR="00114ACE" w:rsidRPr="00077D33">
        <w:rPr>
          <w:rFonts w:ascii="Times New Roman" w:eastAsia="Times New Roman" w:hAnsi="Times New Roman" w:cs="Times New Roman"/>
          <w:sz w:val="24"/>
          <w:szCs w:val="24"/>
        </w:rPr>
        <w:t xml:space="preserve"> </w:t>
      </w:r>
      <w:r w:rsidR="00054DD6" w:rsidRPr="00077D33">
        <w:rPr>
          <w:rFonts w:ascii="Times New Roman" w:eastAsia="Times New Roman" w:hAnsi="Times New Roman" w:cs="Times New Roman"/>
          <w:sz w:val="24"/>
          <w:szCs w:val="24"/>
        </w:rPr>
        <w:t xml:space="preserve">Saturated fatty acids (SFA) constituted the largest proportion of total fat, with goat milk from </w:t>
      </w:r>
      <w:proofErr w:type="spellStart"/>
      <w:r w:rsidR="00054DD6" w:rsidRPr="00077D33">
        <w:rPr>
          <w:rFonts w:ascii="Times New Roman" w:eastAsia="Times New Roman" w:hAnsi="Times New Roman" w:cs="Times New Roman"/>
          <w:sz w:val="24"/>
          <w:szCs w:val="24"/>
        </w:rPr>
        <w:t>Ibarapa</w:t>
      </w:r>
      <w:proofErr w:type="spellEnd"/>
      <w:r w:rsidR="00054DD6" w:rsidRPr="00077D33">
        <w:rPr>
          <w:rFonts w:ascii="Times New Roman" w:eastAsia="Times New Roman" w:hAnsi="Times New Roman" w:cs="Times New Roman"/>
          <w:sz w:val="24"/>
          <w:szCs w:val="24"/>
        </w:rPr>
        <w:t xml:space="preserve"> East showing the highest SFA content at 3.36 ± 0.0%, compared to 3.01 ± 0.0% in cow milk. While high SFA intake has been linked to cardiovascular risks, the specific profile of </w:t>
      </w:r>
      <w:r w:rsidR="00054DD6" w:rsidRPr="00077D33">
        <w:rPr>
          <w:rFonts w:ascii="Times New Roman" w:eastAsia="Times New Roman" w:hAnsi="Times New Roman" w:cs="Times New Roman"/>
          <w:sz w:val="24"/>
          <w:szCs w:val="24"/>
        </w:rPr>
        <w:lastRenderedPageBreak/>
        <w:t>goat milk—rich in caproic, caprylic, and capric acids—may confer metabolic benefits, including improved lipid metabolism and reduced</w:t>
      </w:r>
      <w:r w:rsidR="008F01CD" w:rsidRPr="00077D33">
        <w:rPr>
          <w:rFonts w:ascii="Times New Roman" w:eastAsia="Times New Roman" w:hAnsi="Times New Roman" w:cs="Times New Roman"/>
          <w:sz w:val="24"/>
          <w:szCs w:val="24"/>
        </w:rPr>
        <w:t xml:space="preserve"> adiposity (Ndudi </w:t>
      </w:r>
      <w:r w:rsidR="008F01CD" w:rsidRPr="00077D33">
        <w:rPr>
          <w:rFonts w:ascii="Times New Roman" w:eastAsia="Times New Roman" w:hAnsi="Times New Roman" w:cs="Times New Roman"/>
          <w:i/>
          <w:sz w:val="24"/>
          <w:szCs w:val="24"/>
        </w:rPr>
        <w:t>et al.,</w:t>
      </w:r>
      <w:r w:rsidR="008F01CD" w:rsidRPr="00077D33">
        <w:rPr>
          <w:rFonts w:ascii="Times New Roman" w:eastAsia="Times New Roman" w:hAnsi="Times New Roman" w:cs="Times New Roman"/>
          <w:sz w:val="24"/>
          <w:szCs w:val="24"/>
        </w:rPr>
        <w:t xml:space="preserve"> 2024). </w:t>
      </w:r>
      <w:r w:rsidR="00054DD6" w:rsidRPr="00077D33">
        <w:rPr>
          <w:rFonts w:ascii="Times New Roman" w:hAnsi="Times New Roman" w:cs="Times New Roman"/>
          <w:sz w:val="24"/>
          <w:szCs w:val="24"/>
        </w:rPr>
        <w:t>Monounsaturated fatty acids (MUFA), particularly oleic acid, were also more abundant in goat milk (up to 1.34 ± 0.0%) than in cow milk (1.29 ± 0.0%). MUFAs are known to support cardiovascular health by improving lipid profiles and reducing inflammation. The presence of polyunsaturated fatty acids (PUFA), though lower in concentration, is nutritionally significant. Goat milk from Akinyele LGA recorded the highest PUFA content at 0.11 ± 0.0%, slightly higher than cow milk from the same location (0.08 ± 0.0%).</w:t>
      </w:r>
      <w:r w:rsidR="008F01CD" w:rsidRPr="00077D33">
        <w:rPr>
          <w:rFonts w:ascii="Times New Roman" w:hAnsi="Times New Roman" w:cs="Times New Roman"/>
          <w:sz w:val="24"/>
          <w:szCs w:val="24"/>
        </w:rPr>
        <w:t xml:space="preserve"> </w:t>
      </w:r>
      <w:r w:rsidR="008F01CD" w:rsidRPr="00077D33">
        <w:rPr>
          <w:rFonts w:ascii="Times New Roman" w:eastAsia="Times New Roman" w:hAnsi="Times New Roman" w:cs="Times New Roman"/>
          <w:sz w:val="24"/>
          <w:szCs w:val="24"/>
        </w:rPr>
        <w:t xml:space="preserve">The balance of SFA, MUFA, and PUFA in goat milk suggests a more favorable lipid profile, particularly for populations at risk of metabolic disorders. Moreover, the presence of essential fatty acids such as linoleic and α-linolenic acids, though not quantified in this study, is likely higher in goat milk due to its dietary and metabolic characteristics (Alabi </w:t>
      </w:r>
      <w:r w:rsidR="008F01CD" w:rsidRPr="00077D33">
        <w:rPr>
          <w:rFonts w:ascii="Times New Roman" w:eastAsia="Times New Roman" w:hAnsi="Times New Roman" w:cs="Times New Roman"/>
          <w:i/>
          <w:sz w:val="24"/>
          <w:szCs w:val="24"/>
        </w:rPr>
        <w:t>et al.,</w:t>
      </w:r>
      <w:r w:rsidR="008F01CD" w:rsidRPr="00077D33">
        <w:rPr>
          <w:rFonts w:ascii="Times New Roman" w:eastAsia="Times New Roman" w:hAnsi="Times New Roman" w:cs="Times New Roman"/>
          <w:sz w:val="24"/>
          <w:szCs w:val="24"/>
        </w:rPr>
        <w:t xml:space="preserve"> 2024).</w:t>
      </w:r>
    </w:p>
    <w:p w:rsidR="00270E3F" w:rsidRPr="00077D33" w:rsidRDefault="001C57FE" w:rsidP="00077D33">
      <w:pPr>
        <w:pStyle w:val="NormalWeb"/>
        <w:spacing w:line="360" w:lineRule="auto"/>
        <w:jc w:val="both"/>
      </w:pPr>
      <w:r w:rsidRPr="00077D33">
        <w:t xml:space="preserve">Fatty acid analysis revealed higher saturated and monounsaturated fats in goat milk, particularly in </w:t>
      </w:r>
      <w:proofErr w:type="spellStart"/>
      <w:r w:rsidRPr="00077D33">
        <w:t>Ibarapa</w:t>
      </w:r>
      <w:proofErr w:type="spellEnd"/>
      <w:r w:rsidRPr="00077D33">
        <w:t xml:space="preserve"> East and </w:t>
      </w:r>
      <w:proofErr w:type="spellStart"/>
      <w:r w:rsidRPr="00077D33">
        <w:t>Ido</w:t>
      </w:r>
      <w:proofErr w:type="spellEnd"/>
      <w:r w:rsidRPr="00077D33">
        <w:t xml:space="preserve"> LGAs. Goat milk from </w:t>
      </w:r>
      <w:proofErr w:type="spellStart"/>
      <w:r w:rsidRPr="00077D33">
        <w:t>Ibarapa</w:t>
      </w:r>
      <w:proofErr w:type="spellEnd"/>
      <w:r w:rsidRPr="00077D33">
        <w:t xml:space="preserve"> East recorded 4.80 ± 0.0a% total fat and 3.36 ± 0.0a% saturated fat, compared to 4.30 ± 0.0a% and 3.01 ± 0.0a% in cow milk, respectively. These </w:t>
      </w:r>
      <w:proofErr w:type="spellStart"/>
      <w:r w:rsidRPr="00077D33">
        <w:t>fats</w:t>
      </w:r>
      <w:proofErr w:type="spellEnd"/>
      <w:r w:rsidRPr="00077D33">
        <w:t xml:space="preserve"> are essential for energy metabolism and cellular function. However, excessive saturated fat intake may pose cardiovascular risks, necessitating balanced consumption.</w:t>
      </w:r>
      <w:r w:rsidR="00270E3F" w:rsidRPr="00077D33">
        <w:t xml:space="preserve"> The superior protein and fat composition of goat milk underscores its potential as a functional food, especially in nutritionally vulnerable populations. Its higher digestibility, richer amino acid profile, and favorable lipid composition make it suitable for infants, the elderly, and individuals with cow milk intolerance. However, the benefits of these nutrients can be undermined by microbial contamination, as observed in this study. Therefore, ensuring hygienic handling and storage is essential to preserve the nutritional integrity of milk.</w:t>
      </w:r>
    </w:p>
    <w:p w:rsidR="00270E3F" w:rsidRPr="00077D33" w:rsidRDefault="00270E3F" w:rsidP="00077D33">
      <w:pPr>
        <w:pStyle w:val="NormalWeb"/>
        <w:spacing w:line="360" w:lineRule="auto"/>
        <w:jc w:val="both"/>
      </w:pPr>
      <w:r w:rsidRPr="00077D33">
        <w:t>In rural Nigerian communities where malnutrition and food insecurity persist, promoting the consumption of hygienically processed goat milk could contribute to improved dietary quality. Public health interventions should thus integrate nutritional education with food safety training to maximize the benefits of traditional dairy products.</w:t>
      </w:r>
    </w:p>
    <w:p w:rsidR="001C57FE" w:rsidRPr="00077D33" w:rsidRDefault="001C57FE" w:rsidP="00077D33">
      <w:pPr>
        <w:spacing w:before="100" w:beforeAutospacing="1" w:after="100" w:afterAutospacing="1" w:line="360" w:lineRule="auto"/>
        <w:jc w:val="both"/>
        <w:rPr>
          <w:rFonts w:ascii="Times New Roman" w:eastAsia="Times New Roman" w:hAnsi="Times New Roman" w:cs="Times New Roman"/>
          <w:sz w:val="24"/>
          <w:szCs w:val="24"/>
        </w:rPr>
      </w:pPr>
    </w:p>
    <w:p w:rsidR="001226D9" w:rsidRPr="00077D33" w:rsidRDefault="007902AF" w:rsidP="00077D33">
      <w:pPr>
        <w:spacing w:line="360" w:lineRule="auto"/>
        <w:jc w:val="both"/>
        <w:rPr>
          <w:rFonts w:ascii="Times New Roman" w:hAnsi="Times New Roman" w:cs="Times New Roman"/>
          <w:sz w:val="24"/>
          <w:szCs w:val="24"/>
        </w:rPr>
      </w:pPr>
      <w:r w:rsidRPr="00077D33">
        <w:rPr>
          <w:rFonts w:ascii="Times New Roman" w:eastAsia="Times New Roman" w:hAnsi="Times New Roman" w:cs="Times New Roman"/>
          <w:sz w:val="24"/>
          <w:szCs w:val="24"/>
        </w:rPr>
        <w:lastRenderedPageBreak/>
        <w:t xml:space="preserve">Table 3 shows </w:t>
      </w:r>
      <w:r w:rsidRPr="00077D33">
        <w:rPr>
          <w:rFonts w:ascii="Times New Roman" w:hAnsi="Times New Roman" w:cs="Times New Roman"/>
          <w:sz w:val="24"/>
          <w:szCs w:val="24"/>
        </w:rPr>
        <w:t xml:space="preserve">the </w:t>
      </w:r>
      <w:r w:rsidR="00270E3F" w:rsidRPr="00077D33">
        <w:rPr>
          <w:rFonts w:ascii="Times New Roman" w:hAnsi="Times New Roman" w:cs="Times New Roman"/>
          <w:sz w:val="24"/>
          <w:szCs w:val="24"/>
        </w:rPr>
        <w:t>c</w:t>
      </w:r>
      <w:r w:rsidRPr="00077D33">
        <w:rPr>
          <w:rFonts w:ascii="Times New Roman" w:hAnsi="Times New Roman" w:cs="Times New Roman"/>
          <w:sz w:val="24"/>
          <w:szCs w:val="24"/>
        </w:rPr>
        <w:t xml:space="preserve">omparative microbial load in milking utensil, water and milking surroundings of cow and goat milk </w:t>
      </w:r>
      <w:proofErr w:type="gramStart"/>
      <w:r w:rsidRPr="00077D33">
        <w:rPr>
          <w:rFonts w:ascii="Times New Roman" w:hAnsi="Times New Roman" w:cs="Times New Roman"/>
          <w:sz w:val="24"/>
          <w:szCs w:val="24"/>
        </w:rPr>
        <w:t>farms</w:t>
      </w:r>
      <w:r w:rsidR="001C57FE" w:rsidRPr="00077D33">
        <w:rPr>
          <w:rFonts w:ascii="Times New Roman" w:eastAsia="Times New Roman" w:hAnsi="Times New Roman" w:cs="Times New Roman"/>
          <w:sz w:val="24"/>
          <w:szCs w:val="24"/>
        </w:rPr>
        <w:t xml:space="preserve">  </w:t>
      </w:r>
      <w:r w:rsidR="001226D9" w:rsidRPr="00077D33">
        <w:rPr>
          <w:rFonts w:ascii="Times New Roman" w:hAnsi="Times New Roman" w:cs="Times New Roman"/>
          <w:sz w:val="24"/>
          <w:szCs w:val="24"/>
        </w:rPr>
        <w:t>Milk</w:t>
      </w:r>
      <w:proofErr w:type="gramEnd"/>
      <w:r w:rsidR="001226D9" w:rsidRPr="00077D33">
        <w:rPr>
          <w:rFonts w:ascii="Times New Roman" w:hAnsi="Times New Roman" w:cs="Times New Roman"/>
          <w:sz w:val="24"/>
          <w:szCs w:val="24"/>
        </w:rPr>
        <w:t xml:space="preserve"> is a biologically rich fluid that supports microbial growth due to its high water activity, neutral pH, and nutrient density (</w:t>
      </w:r>
      <w:proofErr w:type="spellStart"/>
      <w:r w:rsidR="001226D9" w:rsidRPr="00077D33">
        <w:rPr>
          <w:rFonts w:ascii="Times New Roman" w:hAnsi="Times New Roman" w:cs="Times New Roman"/>
          <w:sz w:val="24"/>
          <w:szCs w:val="24"/>
        </w:rPr>
        <w:t>Uzoaga</w:t>
      </w:r>
      <w:proofErr w:type="spellEnd"/>
      <w:r w:rsidR="001226D9" w:rsidRPr="00077D33">
        <w:rPr>
          <w:rFonts w:ascii="Times New Roman" w:hAnsi="Times New Roman" w:cs="Times New Roman"/>
          <w:sz w:val="24"/>
          <w:szCs w:val="24"/>
        </w:rPr>
        <w:t xml:space="preserve"> </w:t>
      </w:r>
      <w:r w:rsidR="001226D9" w:rsidRPr="00077D33">
        <w:rPr>
          <w:rFonts w:ascii="Times New Roman" w:hAnsi="Times New Roman" w:cs="Times New Roman"/>
          <w:i/>
          <w:sz w:val="24"/>
          <w:szCs w:val="24"/>
        </w:rPr>
        <w:t xml:space="preserve">et al., </w:t>
      </w:r>
      <w:r w:rsidR="001226D9" w:rsidRPr="00077D33">
        <w:rPr>
          <w:rFonts w:ascii="Times New Roman" w:hAnsi="Times New Roman" w:cs="Times New Roman"/>
          <w:sz w:val="24"/>
          <w:szCs w:val="24"/>
        </w:rPr>
        <w:t xml:space="preserve">2020). In traditional dairy systems across Southwestern Nigeria, milk is often handled manually using non-sterile utensils, untreated water, and exposed to open-air environments. These practices significantly increase the risk of microbial contamination (Azeez et al., 2025). The present study revealed that </w:t>
      </w:r>
      <w:r w:rsidR="00B024E5">
        <w:rPr>
          <w:rFonts w:ascii="Times New Roman" w:hAnsi="Times New Roman" w:cs="Times New Roman"/>
          <w:sz w:val="24"/>
          <w:szCs w:val="24"/>
        </w:rPr>
        <w:t>utensil and water for cleaning and milking cow</w:t>
      </w:r>
      <w:r w:rsidR="00730867">
        <w:rPr>
          <w:rFonts w:ascii="Times New Roman" w:hAnsi="Times New Roman" w:cs="Times New Roman"/>
          <w:sz w:val="24"/>
          <w:szCs w:val="24"/>
        </w:rPr>
        <w:t xml:space="preserve"> </w:t>
      </w:r>
      <w:r w:rsidR="00B024E5">
        <w:rPr>
          <w:rFonts w:ascii="Times New Roman" w:hAnsi="Times New Roman" w:cs="Times New Roman"/>
          <w:sz w:val="24"/>
          <w:szCs w:val="24"/>
        </w:rPr>
        <w:t>contributed more to microbial contaminant of both co</w:t>
      </w:r>
      <w:r w:rsidR="003421A4">
        <w:rPr>
          <w:rFonts w:ascii="Times New Roman" w:hAnsi="Times New Roman" w:cs="Times New Roman"/>
          <w:sz w:val="24"/>
          <w:szCs w:val="24"/>
        </w:rPr>
        <w:t>w</w:t>
      </w:r>
      <w:r w:rsidR="00B024E5">
        <w:rPr>
          <w:rFonts w:ascii="Times New Roman" w:hAnsi="Times New Roman" w:cs="Times New Roman"/>
          <w:sz w:val="24"/>
          <w:szCs w:val="24"/>
        </w:rPr>
        <w:t xml:space="preserve"> and goat milk. Cow </w:t>
      </w:r>
      <w:r w:rsidR="001226D9" w:rsidRPr="00077D33">
        <w:rPr>
          <w:rFonts w:ascii="Times New Roman" w:hAnsi="Times New Roman" w:cs="Times New Roman"/>
          <w:sz w:val="24"/>
          <w:szCs w:val="24"/>
        </w:rPr>
        <w:t xml:space="preserve">milking utensils had </w:t>
      </w:r>
      <w:r w:rsidR="00B024E5">
        <w:rPr>
          <w:rFonts w:ascii="Times New Roman" w:hAnsi="Times New Roman" w:cs="Times New Roman"/>
          <w:sz w:val="24"/>
          <w:szCs w:val="24"/>
        </w:rPr>
        <w:t xml:space="preserve">slightly higher TBC (3.80) than goat </w:t>
      </w:r>
      <w:proofErr w:type="spellStart"/>
      <w:r w:rsidR="00B024E5">
        <w:rPr>
          <w:rFonts w:ascii="Times New Roman" w:hAnsi="Times New Roman" w:cs="Times New Roman"/>
          <w:sz w:val="24"/>
          <w:szCs w:val="24"/>
        </w:rPr>
        <w:t>goat</w:t>
      </w:r>
      <w:proofErr w:type="spellEnd"/>
      <w:r w:rsidR="00B024E5">
        <w:rPr>
          <w:rFonts w:ascii="Times New Roman" w:hAnsi="Times New Roman" w:cs="Times New Roman"/>
          <w:sz w:val="24"/>
          <w:szCs w:val="24"/>
        </w:rPr>
        <w:t xml:space="preserve"> milking utensil (3.40), therefore indicating differencing in milking routine and herd sizes</w:t>
      </w:r>
      <w:r w:rsidR="00E15FA1">
        <w:rPr>
          <w:rFonts w:ascii="Times New Roman" w:hAnsi="Times New Roman" w:cs="Times New Roman"/>
          <w:sz w:val="24"/>
          <w:szCs w:val="24"/>
        </w:rPr>
        <w:t>.</w:t>
      </w:r>
      <w:r w:rsidR="00764BF2">
        <w:rPr>
          <w:rFonts w:ascii="Times New Roman" w:hAnsi="Times New Roman" w:cs="Times New Roman"/>
          <w:sz w:val="24"/>
          <w:szCs w:val="24"/>
        </w:rPr>
        <w:t xml:space="preserve"> For the TCC, there was no significant difference </w:t>
      </w:r>
      <w:r w:rsidR="005A4B09">
        <w:rPr>
          <w:rFonts w:ascii="Times New Roman" w:hAnsi="Times New Roman" w:cs="Times New Roman"/>
          <w:sz w:val="24"/>
          <w:szCs w:val="24"/>
        </w:rPr>
        <w:t xml:space="preserve">for cow farm and goat milk </w:t>
      </w:r>
      <w:r w:rsidR="00764BF2">
        <w:rPr>
          <w:rFonts w:ascii="Times New Roman" w:hAnsi="Times New Roman" w:cs="Times New Roman"/>
          <w:sz w:val="24"/>
          <w:szCs w:val="24"/>
        </w:rPr>
        <w:t>(</w:t>
      </w:r>
      <w:r w:rsidR="005A4B09">
        <w:rPr>
          <w:rFonts w:ascii="Times New Roman" w:hAnsi="Times New Roman" w:cs="Times New Roman"/>
          <w:sz w:val="24"/>
          <w:szCs w:val="24"/>
        </w:rPr>
        <w:t xml:space="preserve">0.25-0.00 and 0.21-0.11 </w:t>
      </w:r>
      <w:r w:rsidR="000F553F">
        <w:rPr>
          <w:rFonts w:ascii="Times New Roman" w:hAnsi="Times New Roman" w:cs="Times New Roman"/>
          <w:sz w:val="24"/>
          <w:szCs w:val="24"/>
        </w:rPr>
        <w:t>respectively</w:t>
      </w:r>
      <w:r w:rsidR="005A4B09">
        <w:rPr>
          <w:rFonts w:ascii="Times New Roman" w:hAnsi="Times New Roman" w:cs="Times New Roman"/>
          <w:sz w:val="24"/>
          <w:szCs w:val="24"/>
        </w:rPr>
        <w:t>).</w:t>
      </w:r>
      <w:r w:rsidR="00B024E5">
        <w:rPr>
          <w:rFonts w:ascii="Times New Roman" w:hAnsi="Times New Roman" w:cs="Times New Roman"/>
          <w:sz w:val="24"/>
          <w:szCs w:val="24"/>
        </w:rPr>
        <w:t xml:space="preserve"> </w:t>
      </w:r>
      <w:r w:rsidR="00CB62D4">
        <w:rPr>
          <w:rFonts w:ascii="Times New Roman" w:hAnsi="Times New Roman" w:cs="Times New Roman"/>
          <w:sz w:val="24"/>
          <w:szCs w:val="24"/>
        </w:rPr>
        <w:t xml:space="preserve">In both cow and goat farm there was no significant difference in the TBC for water use for </w:t>
      </w:r>
      <w:r w:rsidR="00B024E5">
        <w:rPr>
          <w:rFonts w:ascii="Times New Roman" w:hAnsi="Times New Roman" w:cs="Times New Roman"/>
          <w:sz w:val="24"/>
          <w:szCs w:val="24"/>
        </w:rPr>
        <w:t>cleaning</w:t>
      </w:r>
      <w:r w:rsidR="00CB62D4">
        <w:rPr>
          <w:rFonts w:ascii="Times New Roman" w:hAnsi="Times New Roman" w:cs="Times New Roman"/>
          <w:sz w:val="24"/>
          <w:szCs w:val="24"/>
        </w:rPr>
        <w:t xml:space="preserve"> and milking</w:t>
      </w:r>
      <w:r w:rsidR="003421A4">
        <w:rPr>
          <w:rFonts w:ascii="Times New Roman" w:hAnsi="Times New Roman" w:cs="Times New Roman"/>
          <w:sz w:val="24"/>
          <w:szCs w:val="24"/>
        </w:rPr>
        <w:t xml:space="preserve"> (4.60-2.20 and 4.38-2.4 </w:t>
      </w:r>
      <w:r w:rsidR="008E7DD3">
        <w:rPr>
          <w:rFonts w:ascii="Times New Roman" w:hAnsi="Times New Roman" w:cs="Times New Roman"/>
          <w:sz w:val="24"/>
          <w:szCs w:val="24"/>
        </w:rPr>
        <w:t>r</w:t>
      </w:r>
      <w:r w:rsidR="003421A4">
        <w:rPr>
          <w:rFonts w:ascii="Times New Roman" w:hAnsi="Times New Roman" w:cs="Times New Roman"/>
          <w:sz w:val="24"/>
          <w:szCs w:val="24"/>
        </w:rPr>
        <w:t>e</w:t>
      </w:r>
      <w:r w:rsidR="008E7DD3">
        <w:rPr>
          <w:rFonts w:ascii="Times New Roman" w:hAnsi="Times New Roman" w:cs="Times New Roman"/>
          <w:sz w:val="24"/>
          <w:szCs w:val="24"/>
        </w:rPr>
        <w:t>s</w:t>
      </w:r>
      <w:r w:rsidR="003421A4">
        <w:rPr>
          <w:rFonts w:ascii="Times New Roman" w:hAnsi="Times New Roman" w:cs="Times New Roman"/>
          <w:sz w:val="24"/>
          <w:szCs w:val="24"/>
        </w:rPr>
        <w:t>pectively).</w:t>
      </w:r>
      <w:r w:rsidR="00B024E5">
        <w:rPr>
          <w:rFonts w:ascii="Times New Roman" w:hAnsi="Times New Roman" w:cs="Times New Roman"/>
          <w:sz w:val="24"/>
          <w:szCs w:val="24"/>
        </w:rPr>
        <w:t xml:space="preserve"> </w:t>
      </w:r>
      <w:r w:rsidR="00332932">
        <w:rPr>
          <w:rFonts w:ascii="Times New Roman" w:hAnsi="Times New Roman" w:cs="Times New Roman"/>
          <w:sz w:val="24"/>
          <w:szCs w:val="24"/>
        </w:rPr>
        <w:t xml:space="preserve">Similar trends was observed in </w:t>
      </w:r>
      <w:r w:rsidR="0099716C">
        <w:rPr>
          <w:rFonts w:ascii="Times New Roman" w:hAnsi="Times New Roman" w:cs="Times New Roman"/>
          <w:sz w:val="24"/>
          <w:szCs w:val="24"/>
        </w:rPr>
        <w:t xml:space="preserve">TCC with the exception of </w:t>
      </w:r>
      <w:r w:rsidR="00483D94">
        <w:rPr>
          <w:rFonts w:ascii="Times New Roman" w:hAnsi="Times New Roman" w:cs="Times New Roman"/>
          <w:sz w:val="24"/>
          <w:szCs w:val="24"/>
        </w:rPr>
        <w:t>Ibadan North region</w:t>
      </w:r>
      <w:r w:rsidR="00727973">
        <w:rPr>
          <w:rFonts w:ascii="Times New Roman" w:hAnsi="Times New Roman" w:cs="Times New Roman"/>
          <w:sz w:val="24"/>
          <w:szCs w:val="24"/>
        </w:rPr>
        <w:t xml:space="preserve"> which have </w:t>
      </w:r>
      <w:r w:rsidR="00042827">
        <w:rPr>
          <w:rFonts w:ascii="Times New Roman" w:hAnsi="Times New Roman" w:cs="Times New Roman"/>
          <w:sz w:val="24"/>
          <w:szCs w:val="24"/>
        </w:rPr>
        <w:t xml:space="preserve">elevated TTC of the milking water </w:t>
      </w:r>
      <w:r w:rsidR="00BF155A">
        <w:rPr>
          <w:rFonts w:ascii="Times New Roman" w:hAnsi="Times New Roman" w:cs="Times New Roman"/>
          <w:sz w:val="24"/>
          <w:szCs w:val="24"/>
        </w:rPr>
        <w:t>from both cow and goat farm</w:t>
      </w:r>
      <w:r w:rsidR="00583D28">
        <w:rPr>
          <w:rFonts w:ascii="Times New Roman" w:hAnsi="Times New Roman" w:cs="Times New Roman"/>
          <w:sz w:val="24"/>
          <w:szCs w:val="24"/>
        </w:rPr>
        <w:t xml:space="preserve"> (0.50 and 0.38 respectively</w:t>
      </w:r>
      <w:proofErr w:type="gramStart"/>
      <w:r w:rsidR="00D02D99">
        <w:rPr>
          <w:rFonts w:ascii="Times New Roman" w:hAnsi="Times New Roman" w:cs="Times New Roman"/>
          <w:sz w:val="24"/>
          <w:szCs w:val="24"/>
        </w:rPr>
        <w:t>)</w:t>
      </w:r>
      <w:r w:rsidR="004B55FA">
        <w:rPr>
          <w:rFonts w:ascii="Times New Roman" w:hAnsi="Times New Roman" w:cs="Times New Roman"/>
          <w:sz w:val="24"/>
          <w:szCs w:val="24"/>
        </w:rPr>
        <w:t>.</w:t>
      </w:r>
      <w:r w:rsidR="00B516DE">
        <w:rPr>
          <w:rFonts w:ascii="Times New Roman" w:hAnsi="Times New Roman" w:cs="Times New Roman"/>
          <w:sz w:val="24"/>
          <w:szCs w:val="24"/>
        </w:rPr>
        <w:t>This</w:t>
      </w:r>
      <w:proofErr w:type="gramEnd"/>
      <w:r w:rsidR="00B516DE">
        <w:rPr>
          <w:rFonts w:ascii="Times New Roman" w:hAnsi="Times New Roman" w:cs="Times New Roman"/>
          <w:sz w:val="24"/>
          <w:szCs w:val="24"/>
        </w:rPr>
        <w:t xml:space="preserve"> is </w:t>
      </w:r>
      <w:r w:rsidR="008C7D98">
        <w:rPr>
          <w:rFonts w:ascii="Times New Roman" w:hAnsi="Times New Roman" w:cs="Times New Roman"/>
          <w:sz w:val="24"/>
          <w:szCs w:val="24"/>
        </w:rPr>
        <w:t>indicative</w:t>
      </w:r>
      <w:r w:rsidR="00B516DE">
        <w:rPr>
          <w:rFonts w:ascii="Times New Roman" w:hAnsi="Times New Roman" w:cs="Times New Roman"/>
          <w:sz w:val="24"/>
          <w:szCs w:val="24"/>
        </w:rPr>
        <w:t xml:space="preserve"> of </w:t>
      </w:r>
      <w:proofErr w:type="spellStart"/>
      <w:r w:rsidR="00B516DE">
        <w:rPr>
          <w:rFonts w:ascii="Times New Roman" w:hAnsi="Times New Roman" w:cs="Times New Roman"/>
          <w:sz w:val="24"/>
          <w:szCs w:val="24"/>
        </w:rPr>
        <w:t>faecal</w:t>
      </w:r>
      <w:proofErr w:type="spellEnd"/>
      <w:r w:rsidR="00B516DE">
        <w:rPr>
          <w:rFonts w:ascii="Times New Roman" w:hAnsi="Times New Roman" w:cs="Times New Roman"/>
          <w:sz w:val="24"/>
          <w:szCs w:val="24"/>
        </w:rPr>
        <w:t xml:space="preserve"> indicator</w:t>
      </w:r>
      <w:r w:rsidR="00797128">
        <w:rPr>
          <w:rFonts w:ascii="Times New Roman" w:hAnsi="Times New Roman" w:cs="Times New Roman"/>
          <w:sz w:val="24"/>
          <w:szCs w:val="24"/>
        </w:rPr>
        <w:t xml:space="preserve"> </w:t>
      </w:r>
      <w:r w:rsidR="00140FF6">
        <w:rPr>
          <w:rFonts w:ascii="Times New Roman" w:hAnsi="Times New Roman" w:cs="Times New Roman"/>
          <w:sz w:val="24"/>
          <w:szCs w:val="24"/>
        </w:rPr>
        <w:t>organism</w:t>
      </w:r>
      <w:r w:rsidR="003E7DCA">
        <w:rPr>
          <w:rFonts w:ascii="Times New Roman" w:hAnsi="Times New Roman" w:cs="Times New Roman"/>
          <w:sz w:val="24"/>
          <w:szCs w:val="24"/>
        </w:rPr>
        <w:t>s</w:t>
      </w:r>
      <w:r w:rsidR="00C33208">
        <w:rPr>
          <w:rFonts w:ascii="Times New Roman" w:hAnsi="Times New Roman" w:cs="Times New Roman"/>
          <w:sz w:val="24"/>
          <w:szCs w:val="24"/>
        </w:rPr>
        <w:t xml:space="preserve"> and potential pathogen risk if not adequately treated.</w:t>
      </w:r>
      <w:r w:rsidR="00BF155A">
        <w:rPr>
          <w:rFonts w:ascii="Times New Roman" w:hAnsi="Times New Roman" w:cs="Times New Roman"/>
          <w:sz w:val="24"/>
          <w:szCs w:val="24"/>
        </w:rPr>
        <w:t xml:space="preserve"> </w:t>
      </w:r>
      <w:r w:rsidR="00E819BE">
        <w:rPr>
          <w:rFonts w:ascii="Times New Roman" w:hAnsi="Times New Roman" w:cs="Times New Roman"/>
          <w:sz w:val="24"/>
          <w:szCs w:val="24"/>
        </w:rPr>
        <w:t>The TBC from surrounding of most cow farms were higher than the one observed in goat milk surrounding</w:t>
      </w:r>
      <w:r w:rsidR="00AB2251">
        <w:rPr>
          <w:rFonts w:ascii="Times New Roman" w:hAnsi="Times New Roman" w:cs="Times New Roman"/>
          <w:sz w:val="24"/>
          <w:szCs w:val="24"/>
        </w:rPr>
        <w:t>s</w:t>
      </w:r>
      <w:r w:rsidR="009E514D">
        <w:rPr>
          <w:rFonts w:ascii="Times New Roman" w:hAnsi="Times New Roman" w:cs="Times New Roman"/>
          <w:sz w:val="24"/>
          <w:szCs w:val="24"/>
        </w:rPr>
        <w:t>, this may be attributed to more dust load, manure proximity and animal traffic seen in cow farms than goat farms.</w:t>
      </w:r>
      <w:r w:rsidR="00E819BE">
        <w:rPr>
          <w:rFonts w:ascii="Times New Roman" w:hAnsi="Times New Roman" w:cs="Times New Roman"/>
          <w:sz w:val="24"/>
          <w:szCs w:val="24"/>
        </w:rPr>
        <w:t xml:space="preserve"> </w:t>
      </w:r>
      <w:r w:rsidR="00B024E5">
        <w:rPr>
          <w:rFonts w:ascii="Times New Roman" w:hAnsi="Times New Roman" w:cs="Times New Roman"/>
          <w:sz w:val="24"/>
          <w:szCs w:val="24"/>
        </w:rPr>
        <w:t xml:space="preserve"> </w:t>
      </w:r>
      <w:r w:rsidR="001226D9" w:rsidRPr="00077D33">
        <w:rPr>
          <w:rFonts w:ascii="Times New Roman" w:hAnsi="Times New Roman" w:cs="Times New Roman"/>
          <w:sz w:val="24"/>
          <w:szCs w:val="24"/>
        </w:rPr>
        <w:t xml:space="preserve">These findings are consistent with previous studies conducted in Ibadan and Abuja, which reported elevated microbial loads in raw milk samples from informal markets (Adediran </w:t>
      </w:r>
      <w:r w:rsidR="001226D9" w:rsidRPr="00077D33">
        <w:rPr>
          <w:rFonts w:ascii="Times New Roman" w:hAnsi="Times New Roman" w:cs="Times New Roman"/>
          <w:i/>
          <w:sz w:val="24"/>
          <w:szCs w:val="24"/>
        </w:rPr>
        <w:t>et al.,</w:t>
      </w:r>
      <w:r w:rsidR="001226D9" w:rsidRPr="00077D33">
        <w:rPr>
          <w:rFonts w:ascii="Times New Roman" w:hAnsi="Times New Roman" w:cs="Times New Roman"/>
          <w:sz w:val="24"/>
          <w:szCs w:val="24"/>
        </w:rPr>
        <w:t xml:space="preserve"> 2023; </w:t>
      </w:r>
      <w:proofErr w:type="spellStart"/>
      <w:r w:rsidR="001226D9" w:rsidRPr="00077D33">
        <w:rPr>
          <w:rFonts w:ascii="Times New Roman" w:hAnsi="Times New Roman" w:cs="Times New Roman"/>
          <w:sz w:val="24"/>
          <w:szCs w:val="24"/>
        </w:rPr>
        <w:t>Ugoago</w:t>
      </w:r>
      <w:proofErr w:type="spellEnd"/>
      <w:r w:rsidR="001226D9" w:rsidRPr="00077D33">
        <w:rPr>
          <w:rFonts w:ascii="Times New Roman" w:hAnsi="Times New Roman" w:cs="Times New Roman"/>
          <w:sz w:val="24"/>
          <w:szCs w:val="24"/>
        </w:rPr>
        <w:t xml:space="preserve"> </w:t>
      </w:r>
      <w:r w:rsidR="001226D9" w:rsidRPr="00077D33">
        <w:rPr>
          <w:rFonts w:ascii="Times New Roman" w:hAnsi="Times New Roman" w:cs="Times New Roman"/>
          <w:i/>
          <w:sz w:val="24"/>
          <w:szCs w:val="24"/>
        </w:rPr>
        <w:t>et al.,</w:t>
      </w:r>
      <w:r w:rsidR="001226D9" w:rsidRPr="00077D33">
        <w:rPr>
          <w:rFonts w:ascii="Times New Roman" w:hAnsi="Times New Roman" w:cs="Times New Roman"/>
          <w:sz w:val="24"/>
          <w:szCs w:val="24"/>
        </w:rPr>
        <w:t xml:space="preserve"> 2023).</w:t>
      </w:r>
      <w:r w:rsidR="00A13626" w:rsidRPr="00077D33">
        <w:rPr>
          <w:rFonts w:ascii="Times New Roman" w:hAnsi="Times New Roman" w:cs="Times New Roman"/>
          <w:sz w:val="24"/>
          <w:szCs w:val="24"/>
        </w:rPr>
        <w:t xml:space="preserve"> </w:t>
      </w:r>
      <w:r w:rsidR="001226D9" w:rsidRPr="00077D33">
        <w:rPr>
          <w:rFonts w:ascii="Times New Roman" w:hAnsi="Times New Roman" w:cs="Times New Roman"/>
          <w:sz w:val="24"/>
          <w:szCs w:val="24"/>
        </w:rPr>
        <w:t>Coliforms were detected in all water samples used for cleaning and milking, exceeding the World Health Organization’s (WHO) recommended limit of 0 CFU/100 mL (WHO, 2023). Their presence indicates fecal contamination and poor sanitation. Milking utensils also showed significant coliform counts, reinforcing the need for improved hygiene practices. Although airborne transmission was minimal, it still contributed to the overall microbial burden.</w:t>
      </w:r>
    </w:p>
    <w:p w:rsidR="001068F1" w:rsidRPr="00077D33" w:rsidRDefault="00937405" w:rsidP="00077D33">
      <w:pPr>
        <w:spacing w:before="100" w:beforeAutospacing="1" w:after="100" w:afterAutospacing="1" w:line="360" w:lineRule="auto"/>
        <w:jc w:val="both"/>
        <w:rPr>
          <w:rFonts w:ascii="Times New Roman" w:eastAsia="Times New Roman" w:hAnsi="Times New Roman" w:cs="Times New Roman"/>
          <w:sz w:val="24"/>
          <w:szCs w:val="24"/>
        </w:rPr>
      </w:pPr>
      <w:r w:rsidRPr="00077D33">
        <w:rPr>
          <w:rFonts w:ascii="Times New Roman" w:eastAsia="Times New Roman" w:hAnsi="Times New Roman" w:cs="Times New Roman"/>
          <w:sz w:val="24"/>
          <w:szCs w:val="24"/>
        </w:rPr>
        <w:t xml:space="preserve">The study compared microbial contamination across four Local Government Areas (LGAs): </w:t>
      </w:r>
      <w:proofErr w:type="spellStart"/>
      <w:r w:rsidRPr="00077D33">
        <w:rPr>
          <w:rFonts w:ascii="Times New Roman" w:eastAsia="Times New Roman" w:hAnsi="Times New Roman" w:cs="Times New Roman"/>
          <w:sz w:val="24"/>
          <w:szCs w:val="24"/>
        </w:rPr>
        <w:t>Akinyele</w:t>
      </w:r>
      <w:proofErr w:type="spellEnd"/>
      <w:r w:rsidRPr="00077D33">
        <w:rPr>
          <w:rFonts w:ascii="Times New Roman" w:eastAsia="Times New Roman" w:hAnsi="Times New Roman" w:cs="Times New Roman"/>
          <w:sz w:val="24"/>
          <w:szCs w:val="24"/>
        </w:rPr>
        <w:t xml:space="preserve">, </w:t>
      </w:r>
      <w:proofErr w:type="spellStart"/>
      <w:r w:rsidRPr="00077D33">
        <w:rPr>
          <w:rFonts w:ascii="Times New Roman" w:eastAsia="Times New Roman" w:hAnsi="Times New Roman" w:cs="Times New Roman"/>
          <w:sz w:val="24"/>
          <w:szCs w:val="24"/>
        </w:rPr>
        <w:t>Ido</w:t>
      </w:r>
      <w:proofErr w:type="spellEnd"/>
      <w:r w:rsidRPr="00077D33">
        <w:rPr>
          <w:rFonts w:ascii="Times New Roman" w:eastAsia="Times New Roman" w:hAnsi="Times New Roman" w:cs="Times New Roman"/>
          <w:sz w:val="24"/>
          <w:szCs w:val="24"/>
        </w:rPr>
        <w:t xml:space="preserve">, </w:t>
      </w:r>
      <w:proofErr w:type="spellStart"/>
      <w:r w:rsidRPr="00077D33">
        <w:rPr>
          <w:rFonts w:ascii="Times New Roman" w:eastAsia="Times New Roman" w:hAnsi="Times New Roman" w:cs="Times New Roman"/>
          <w:sz w:val="24"/>
          <w:szCs w:val="24"/>
        </w:rPr>
        <w:t>Ibarapa</w:t>
      </w:r>
      <w:proofErr w:type="spellEnd"/>
      <w:r w:rsidRPr="00077D33">
        <w:rPr>
          <w:rFonts w:ascii="Times New Roman" w:eastAsia="Times New Roman" w:hAnsi="Times New Roman" w:cs="Times New Roman"/>
          <w:sz w:val="24"/>
          <w:szCs w:val="24"/>
        </w:rPr>
        <w:t xml:space="preserve"> East, and Ibadan North. Akinyele LGA recorded the highest </w:t>
      </w:r>
      <w:r w:rsidR="00915032">
        <w:rPr>
          <w:rFonts w:ascii="Times New Roman" w:eastAsia="Times New Roman" w:hAnsi="Times New Roman" w:cs="Times New Roman"/>
          <w:sz w:val="24"/>
          <w:szCs w:val="24"/>
        </w:rPr>
        <w:t xml:space="preserve">value for </w:t>
      </w:r>
      <w:r w:rsidR="006A7367">
        <w:rPr>
          <w:rFonts w:ascii="Times New Roman" w:eastAsia="Times New Roman" w:hAnsi="Times New Roman" w:cs="Times New Roman"/>
          <w:sz w:val="24"/>
          <w:szCs w:val="24"/>
        </w:rPr>
        <w:t xml:space="preserve">TBC in cow farm </w:t>
      </w:r>
      <w:r w:rsidR="00712F7E">
        <w:rPr>
          <w:rFonts w:ascii="Times New Roman" w:eastAsia="Times New Roman" w:hAnsi="Times New Roman" w:cs="Times New Roman"/>
          <w:sz w:val="24"/>
          <w:szCs w:val="24"/>
        </w:rPr>
        <w:t xml:space="preserve">was observed in </w:t>
      </w:r>
      <w:r w:rsidR="00915032">
        <w:rPr>
          <w:rFonts w:ascii="Times New Roman" w:eastAsia="Times New Roman" w:hAnsi="Times New Roman" w:cs="Times New Roman"/>
          <w:sz w:val="24"/>
          <w:szCs w:val="24"/>
        </w:rPr>
        <w:t>water use</w:t>
      </w:r>
      <w:r w:rsidR="00712F7E">
        <w:rPr>
          <w:rFonts w:ascii="Times New Roman" w:eastAsia="Times New Roman" w:hAnsi="Times New Roman" w:cs="Times New Roman"/>
          <w:sz w:val="24"/>
          <w:szCs w:val="24"/>
        </w:rPr>
        <w:t>d for milking and cleaning (</w:t>
      </w:r>
      <w:r w:rsidR="00712F7E" w:rsidRPr="00077D33">
        <w:rPr>
          <w:rFonts w:ascii="Times New Roman" w:hAnsi="Times New Roman" w:cs="Times New Roman"/>
          <w:sz w:val="24"/>
          <w:szCs w:val="24"/>
        </w:rPr>
        <w:t>4.60</w:t>
      </w:r>
      <w:r w:rsidR="00915032">
        <w:rPr>
          <w:rFonts w:ascii="Times New Roman" w:eastAsia="Times New Roman" w:hAnsi="Times New Roman" w:cs="Times New Roman"/>
          <w:sz w:val="24"/>
          <w:szCs w:val="24"/>
        </w:rPr>
        <w:t>)</w:t>
      </w:r>
      <w:r w:rsidR="00712F7E">
        <w:rPr>
          <w:rFonts w:ascii="Times New Roman" w:eastAsia="Times New Roman" w:hAnsi="Times New Roman" w:cs="Times New Roman"/>
          <w:sz w:val="24"/>
          <w:szCs w:val="24"/>
        </w:rPr>
        <w:t>.</w:t>
      </w:r>
      <w:r w:rsidR="00493AB7">
        <w:rPr>
          <w:rFonts w:ascii="Times New Roman" w:eastAsia="Times New Roman" w:hAnsi="Times New Roman" w:cs="Times New Roman"/>
          <w:sz w:val="24"/>
          <w:szCs w:val="24"/>
        </w:rPr>
        <w:t xml:space="preserve"> </w:t>
      </w:r>
      <w:r w:rsidR="00712F7E">
        <w:rPr>
          <w:rFonts w:ascii="Times New Roman" w:eastAsia="Times New Roman" w:hAnsi="Times New Roman" w:cs="Times New Roman"/>
          <w:sz w:val="24"/>
          <w:szCs w:val="24"/>
        </w:rPr>
        <w:t xml:space="preserve">For TCC </w:t>
      </w:r>
      <w:r w:rsidR="00663D43">
        <w:rPr>
          <w:rFonts w:ascii="Times New Roman" w:eastAsia="Times New Roman" w:hAnsi="Times New Roman" w:cs="Times New Roman"/>
          <w:sz w:val="24"/>
          <w:szCs w:val="24"/>
        </w:rPr>
        <w:t>the highest value was in Akinyele LGA in utensil used (0.2</w:t>
      </w:r>
      <w:r w:rsidR="00663D43">
        <w:rPr>
          <w:rFonts w:ascii="Times New Roman" w:hAnsi="Times New Roman" w:cs="Times New Roman"/>
          <w:sz w:val="24"/>
          <w:szCs w:val="24"/>
        </w:rPr>
        <w:t>5)</w:t>
      </w:r>
      <w:r w:rsidR="00663D43">
        <w:rPr>
          <w:rFonts w:ascii="Times New Roman" w:eastAsia="Times New Roman" w:hAnsi="Times New Roman" w:cs="Times New Roman"/>
          <w:sz w:val="24"/>
          <w:szCs w:val="24"/>
        </w:rPr>
        <w:t xml:space="preserve"> and water for milking and cleaning (0.2</w:t>
      </w:r>
      <w:r w:rsidR="00663D43">
        <w:rPr>
          <w:rFonts w:ascii="Times New Roman" w:hAnsi="Times New Roman" w:cs="Times New Roman"/>
          <w:sz w:val="24"/>
          <w:szCs w:val="24"/>
        </w:rPr>
        <w:t>5)</w:t>
      </w:r>
      <w:r w:rsidRPr="00077D33">
        <w:rPr>
          <w:rFonts w:ascii="Times New Roman" w:eastAsia="Times New Roman" w:hAnsi="Times New Roman" w:cs="Times New Roman"/>
          <w:sz w:val="24"/>
          <w:szCs w:val="24"/>
        </w:rPr>
        <w:t>.</w:t>
      </w:r>
      <w:r w:rsidR="00B82CD8">
        <w:rPr>
          <w:rFonts w:ascii="Times New Roman" w:eastAsia="Times New Roman" w:hAnsi="Times New Roman" w:cs="Times New Roman"/>
          <w:sz w:val="24"/>
          <w:szCs w:val="24"/>
        </w:rPr>
        <w:t xml:space="preserve"> Similar trend was observed in TBC of </w:t>
      </w:r>
      <w:r w:rsidR="00F974E6">
        <w:rPr>
          <w:rFonts w:ascii="Times New Roman" w:eastAsia="Times New Roman" w:hAnsi="Times New Roman" w:cs="Times New Roman"/>
          <w:sz w:val="24"/>
          <w:szCs w:val="24"/>
        </w:rPr>
        <w:t>utensil</w:t>
      </w:r>
      <w:r w:rsidR="00B82CD8">
        <w:rPr>
          <w:rFonts w:ascii="Times New Roman" w:eastAsia="Times New Roman" w:hAnsi="Times New Roman" w:cs="Times New Roman"/>
          <w:sz w:val="24"/>
          <w:szCs w:val="24"/>
        </w:rPr>
        <w:t xml:space="preserve"> and water used in goat farming</w:t>
      </w:r>
      <w:r w:rsidR="006A7367">
        <w:rPr>
          <w:rFonts w:ascii="Times New Roman" w:eastAsia="Times New Roman" w:hAnsi="Times New Roman" w:cs="Times New Roman"/>
          <w:sz w:val="24"/>
          <w:szCs w:val="24"/>
        </w:rPr>
        <w:t>.</w:t>
      </w:r>
      <w:r w:rsidRPr="00077D33">
        <w:rPr>
          <w:rFonts w:ascii="Times New Roman" w:eastAsia="Times New Roman" w:hAnsi="Times New Roman" w:cs="Times New Roman"/>
          <w:sz w:val="24"/>
          <w:szCs w:val="24"/>
        </w:rPr>
        <w:t xml:space="preserve"> In contrast, Ido LGA exhibited the lowest contamination levels, w</w:t>
      </w:r>
      <w:r w:rsidR="006A7367">
        <w:rPr>
          <w:rFonts w:ascii="Times New Roman" w:eastAsia="Times New Roman" w:hAnsi="Times New Roman" w:cs="Times New Roman"/>
          <w:sz w:val="24"/>
          <w:szCs w:val="24"/>
        </w:rPr>
        <w:t xml:space="preserve">ith cow milk utensil TBC (00.0) and water </w:t>
      </w:r>
      <w:r w:rsidR="006A7367">
        <w:rPr>
          <w:rFonts w:ascii="Times New Roman" w:eastAsia="Times New Roman" w:hAnsi="Times New Roman" w:cs="Times New Roman"/>
          <w:sz w:val="24"/>
          <w:szCs w:val="24"/>
        </w:rPr>
        <w:lastRenderedPageBreak/>
        <w:t>(0.00</w:t>
      </w:r>
      <w:proofErr w:type="gramStart"/>
      <w:r w:rsidR="006A7367">
        <w:rPr>
          <w:rFonts w:ascii="Times New Roman" w:eastAsia="Times New Roman" w:hAnsi="Times New Roman" w:cs="Times New Roman"/>
          <w:sz w:val="24"/>
          <w:szCs w:val="24"/>
        </w:rPr>
        <w:t>)</w:t>
      </w:r>
      <w:r w:rsidRPr="00077D33">
        <w:rPr>
          <w:rFonts w:ascii="Times New Roman" w:eastAsia="Times New Roman" w:hAnsi="Times New Roman" w:cs="Times New Roman"/>
          <w:sz w:val="24"/>
          <w:szCs w:val="24"/>
        </w:rPr>
        <w:t>.</w:t>
      </w:r>
      <w:r w:rsidR="006A7367">
        <w:rPr>
          <w:rFonts w:ascii="Times New Roman" w:eastAsia="Times New Roman" w:hAnsi="Times New Roman" w:cs="Times New Roman"/>
          <w:sz w:val="24"/>
          <w:szCs w:val="24"/>
        </w:rPr>
        <w:t>Similar</w:t>
      </w:r>
      <w:proofErr w:type="gramEnd"/>
      <w:r w:rsidR="006A7367">
        <w:rPr>
          <w:rFonts w:ascii="Times New Roman" w:eastAsia="Times New Roman" w:hAnsi="Times New Roman" w:cs="Times New Roman"/>
          <w:sz w:val="24"/>
          <w:szCs w:val="24"/>
        </w:rPr>
        <w:t xml:space="preserve"> trends was also observed in the TCC of the water used for utensils</w:t>
      </w:r>
      <w:r w:rsidRPr="00077D33">
        <w:rPr>
          <w:rFonts w:ascii="Times New Roman" w:eastAsia="Times New Roman" w:hAnsi="Times New Roman" w:cs="Times New Roman"/>
          <w:sz w:val="24"/>
          <w:szCs w:val="24"/>
        </w:rPr>
        <w:t xml:space="preserve"> These disparities may reflect differences in local practices, access to clean water, and awareness of hygiene protocols.</w:t>
      </w:r>
      <w:r w:rsidR="007A5369">
        <w:rPr>
          <w:rFonts w:ascii="Times New Roman" w:eastAsia="Times New Roman" w:hAnsi="Times New Roman" w:cs="Times New Roman"/>
          <w:sz w:val="24"/>
          <w:szCs w:val="24"/>
        </w:rPr>
        <w:t xml:space="preserve"> This is observed in the high level of hygienic measures put in place b</w:t>
      </w:r>
      <w:r w:rsidR="007566A2">
        <w:rPr>
          <w:rFonts w:ascii="Times New Roman" w:eastAsia="Times New Roman" w:hAnsi="Times New Roman" w:cs="Times New Roman"/>
          <w:sz w:val="24"/>
          <w:szCs w:val="24"/>
        </w:rPr>
        <w:t>y most dairy farmers in Ido</w:t>
      </w:r>
      <w:r w:rsidR="00FA14FA">
        <w:rPr>
          <w:rFonts w:ascii="Times New Roman" w:eastAsia="Times New Roman" w:hAnsi="Times New Roman" w:cs="Times New Roman"/>
          <w:sz w:val="24"/>
          <w:szCs w:val="24"/>
        </w:rPr>
        <w:t xml:space="preserve"> LGA </w:t>
      </w:r>
      <w:r w:rsidR="007566A2">
        <w:rPr>
          <w:rFonts w:ascii="Times New Roman" w:eastAsia="Times New Roman" w:hAnsi="Times New Roman" w:cs="Times New Roman"/>
          <w:sz w:val="24"/>
          <w:szCs w:val="24"/>
        </w:rPr>
        <w:t>compare to most farmers in Akinyele LGA where poor sanitation is observed.</w:t>
      </w:r>
      <w:r w:rsidRPr="00077D33">
        <w:rPr>
          <w:rFonts w:ascii="Times New Roman" w:eastAsia="Times New Roman" w:hAnsi="Times New Roman" w:cs="Times New Roman"/>
          <w:sz w:val="24"/>
          <w:szCs w:val="24"/>
        </w:rPr>
        <w:t xml:space="preserve"> Similar regional variations were observed in Northern Oyo State, where poor sanitation in cattle milk processing facilities led to elevated Staphylococcus aureus counts (Ghali-Mohammed </w:t>
      </w:r>
      <w:r w:rsidRPr="00077D33">
        <w:rPr>
          <w:rFonts w:ascii="Times New Roman" w:eastAsia="Times New Roman" w:hAnsi="Times New Roman" w:cs="Times New Roman"/>
          <w:i/>
          <w:sz w:val="24"/>
          <w:szCs w:val="24"/>
        </w:rPr>
        <w:t>et al.,</w:t>
      </w:r>
      <w:r w:rsidRPr="00077D33">
        <w:rPr>
          <w:rFonts w:ascii="Times New Roman" w:eastAsia="Times New Roman" w:hAnsi="Times New Roman" w:cs="Times New Roman"/>
          <w:sz w:val="24"/>
          <w:szCs w:val="24"/>
        </w:rPr>
        <w:t xml:space="preserve"> 2025).</w:t>
      </w:r>
      <w:r w:rsidR="001068F1" w:rsidRPr="00077D33">
        <w:rPr>
          <w:rFonts w:ascii="Times New Roman" w:eastAsia="Times New Roman" w:hAnsi="Times New Roman" w:cs="Times New Roman"/>
          <w:sz w:val="24"/>
          <w:szCs w:val="24"/>
        </w:rPr>
        <w:t xml:space="preserve"> The presence of coliforms and high bacterial loads poses serious health risks, including gastrointestinal infections and foodborne illnesses. Pathogens such as </w:t>
      </w:r>
      <w:r w:rsidR="001068F1" w:rsidRPr="00A91595">
        <w:rPr>
          <w:rFonts w:ascii="Times New Roman" w:eastAsia="Times New Roman" w:hAnsi="Times New Roman" w:cs="Times New Roman"/>
          <w:i/>
          <w:sz w:val="24"/>
          <w:szCs w:val="24"/>
        </w:rPr>
        <w:t>E. coli, Staphylococcus aureus</w:t>
      </w:r>
      <w:r w:rsidR="001068F1" w:rsidRPr="00077D33">
        <w:rPr>
          <w:rFonts w:ascii="Times New Roman" w:eastAsia="Times New Roman" w:hAnsi="Times New Roman" w:cs="Times New Roman"/>
          <w:sz w:val="24"/>
          <w:szCs w:val="24"/>
        </w:rPr>
        <w:t xml:space="preserve">, and </w:t>
      </w:r>
      <w:r w:rsidR="001068F1" w:rsidRPr="00A91595">
        <w:rPr>
          <w:rFonts w:ascii="Times New Roman" w:eastAsia="Times New Roman" w:hAnsi="Times New Roman" w:cs="Times New Roman"/>
          <w:i/>
          <w:sz w:val="24"/>
          <w:szCs w:val="24"/>
        </w:rPr>
        <w:t>Salmonella spp.</w:t>
      </w:r>
      <w:r w:rsidR="001068F1" w:rsidRPr="00077D33">
        <w:rPr>
          <w:rFonts w:ascii="Times New Roman" w:eastAsia="Times New Roman" w:hAnsi="Times New Roman" w:cs="Times New Roman"/>
          <w:sz w:val="24"/>
          <w:szCs w:val="24"/>
        </w:rPr>
        <w:t xml:space="preserve"> are indicators of fecal contamination and poor sanitation (</w:t>
      </w:r>
      <w:proofErr w:type="spellStart"/>
      <w:r w:rsidR="001068F1" w:rsidRPr="00077D33">
        <w:rPr>
          <w:rFonts w:ascii="Times New Roman" w:eastAsia="Times New Roman" w:hAnsi="Times New Roman" w:cs="Times New Roman"/>
          <w:sz w:val="24"/>
          <w:szCs w:val="24"/>
        </w:rPr>
        <w:t>Odetokun</w:t>
      </w:r>
      <w:proofErr w:type="spellEnd"/>
      <w:r w:rsidR="001068F1" w:rsidRPr="00077D33">
        <w:rPr>
          <w:rFonts w:ascii="Times New Roman" w:eastAsia="Times New Roman" w:hAnsi="Times New Roman" w:cs="Times New Roman"/>
          <w:sz w:val="24"/>
          <w:szCs w:val="24"/>
        </w:rPr>
        <w:t xml:space="preserve"> </w:t>
      </w:r>
      <w:r w:rsidR="001068F1" w:rsidRPr="00077D33">
        <w:rPr>
          <w:rFonts w:ascii="Times New Roman" w:eastAsia="Times New Roman" w:hAnsi="Times New Roman" w:cs="Times New Roman"/>
          <w:i/>
          <w:sz w:val="24"/>
          <w:szCs w:val="24"/>
        </w:rPr>
        <w:t>et al.,</w:t>
      </w:r>
      <w:r w:rsidR="001068F1" w:rsidRPr="00077D33">
        <w:rPr>
          <w:rFonts w:ascii="Times New Roman" w:eastAsia="Times New Roman" w:hAnsi="Times New Roman" w:cs="Times New Roman"/>
          <w:sz w:val="24"/>
          <w:szCs w:val="24"/>
        </w:rPr>
        <w:t xml:space="preserve"> 2024). Inadequate oversight in informal markets exacerbates these risks. A recent study in </w:t>
      </w:r>
      <w:proofErr w:type="spellStart"/>
      <w:r w:rsidR="001068F1" w:rsidRPr="00077D33">
        <w:rPr>
          <w:rFonts w:ascii="Times New Roman" w:eastAsia="Times New Roman" w:hAnsi="Times New Roman" w:cs="Times New Roman"/>
          <w:sz w:val="24"/>
          <w:szCs w:val="24"/>
        </w:rPr>
        <w:t>Wukari</w:t>
      </w:r>
      <w:proofErr w:type="spellEnd"/>
      <w:r w:rsidR="001068F1" w:rsidRPr="00077D33">
        <w:rPr>
          <w:rFonts w:ascii="Times New Roman" w:eastAsia="Times New Roman" w:hAnsi="Times New Roman" w:cs="Times New Roman"/>
          <w:sz w:val="24"/>
          <w:szCs w:val="24"/>
        </w:rPr>
        <w:t xml:space="preserve">, Taraba State, found similar contamination in fermented milk sold by Fulani women, with high levels of </w:t>
      </w:r>
      <w:r w:rsidR="001068F1" w:rsidRPr="00582F00">
        <w:rPr>
          <w:rFonts w:ascii="Times New Roman" w:eastAsia="Times New Roman" w:hAnsi="Times New Roman" w:cs="Times New Roman"/>
          <w:i/>
          <w:sz w:val="24"/>
          <w:szCs w:val="24"/>
        </w:rPr>
        <w:t>E. coli</w:t>
      </w:r>
      <w:r w:rsidR="001068F1" w:rsidRPr="00077D33">
        <w:rPr>
          <w:rFonts w:ascii="Times New Roman" w:eastAsia="Times New Roman" w:hAnsi="Times New Roman" w:cs="Times New Roman"/>
          <w:sz w:val="24"/>
          <w:szCs w:val="24"/>
        </w:rPr>
        <w:t xml:space="preserve"> and </w:t>
      </w:r>
      <w:r w:rsidR="001068F1" w:rsidRPr="00582F00">
        <w:rPr>
          <w:rFonts w:ascii="Times New Roman" w:eastAsia="Times New Roman" w:hAnsi="Times New Roman" w:cs="Times New Roman"/>
          <w:i/>
          <w:sz w:val="24"/>
          <w:szCs w:val="24"/>
        </w:rPr>
        <w:t>Staphylococcus aureus</w:t>
      </w:r>
      <w:r w:rsidR="001068F1" w:rsidRPr="00077D33">
        <w:rPr>
          <w:rFonts w:ascii="Times New Roman" w:eastAsia="Times New Roman" w:hAnsi="Times New Roman" w:cs="Times New Roman"/>
          <w:sz w:val="24"/>
          <w:szCs w:val="24"/>
        </w:rPr>
        <w:t xml:space="preserve"> (Mohammed </w:t>
      </w:r>
      <w:r w:rsidR="00E20537">
        <w:rPr>
          <w:rFonts w:ascii="Times New Roman" w:eastAsia="Times New Roman" w:hAnsi="Times New Roman" w:cs="Times New Roman"/>
          <w:sz w:val="24"/>
          <w:szCs w:val="24"/>
        </w:rPr>
        <w:t>and</w:t>
      </w:r>
      <w:r w:rsidR="001068F1" w:rsidRPr="00077D33">
        <w:rPr>
          <w:rFonts w:ascii="Times New Roman" w:eastAsia="Times New Roman" w:hAnsi="Times New Roman" w:cs="Times New Roman"/>
          <w:sz w:val="24"/>
          <w:szCs w:val="24"/>
        </w:rPr>
        <w:t xml:space="preserve"> </w:t>
      </w:r>
      <w:proofErr w:type="spellStart"/>
      <w:r w:rsidR="001068F1" w:rsidRPr="00077D33">
        <w:rPr>
          <w:rFonts w:ascii="Times New Roman" w:eastAsia="Times New Roman" w:hAnsi="Times New Roman" w:cs="Times New Roman"/>
          <w:sz w:val="24"/>
          <w:szCs w:val="24"/>
        </w:rPr>
        <w:t>Biyabra</w:t>
      </w:r>
      <w:proofErr w:type="spellEnd"/>
      <w:r w:rsidR="001068F1" w:rsidRPr="00077D33">
        <w:rPr>
          <w:rFonts w:ascii="Times New Roman" w:eastAsia="Times New Roman" w:hAnsi="Times New Roman" w:cs="Times New Roman"/>
          <w:sz w:val="24"/>
          <w:szCs w:val="24"/>
        </w:rPr>
        <w:t>, 2024). These findings underscore the widespread nature of microbial hazards in Nigeria’s informal dairy sector.</w:t>
      </w:r>
    </w:p>
    <w:p w:rsidR="00D104BB" w:rsidRPr="00077D33" w:rsidRDefault="00D104BB" w:rsidP="00077D33">
      <w:pPr>
        <w:spacing w:before="100" w:beforeAutospacing="1" w:after="100" w:afterAutospacing="1" w:line="360" w:lineRule="auto"/>
        <w:jc w:val="both"/>
        <w:rPr>
          <w:rFonts w:ascii="Times New Roman" w:eastAsia="Times New Roman" w:hAnsi="Times New Roman" w:cs="Times New Roman"/>
          <w:sz w:val="24"/>
          <w:szCs w:val="24"/>
        </w:rPr>
      </w:pPr>
      <w:r w:rsidRPr="00077D33">
        <w:rPr>
          <w:rFonts w:ascii="Times New Roman" w:eastAsia="Times New Roman" w:hAnsi="Times New Roman" w:cs="Times New Roman"/>
          <w:sz w:val="24"/>
          <w:szCs w:val="24"/>
        </w:rPr>
        <w:t xml:space="preserve">Water used for cleaning and milking was the most contaminated vector, followed by utensils and air. This pattern mirrors findings from other Nigerian studies, which emphasize the role of untreated water in spreading pathogens (Alabi </w:t>
      </w:r>
      <w:r w:rsidRPr="00FA14FA">
        <w:rPr>
          <w:rFonts w:ascii="Times New Roman" w:eastAsia="Times New Roman" w:hAnsi="Times New Roman" w:cs="Times New Roman"/>
          <w:i/>
          <w:sz w:val="24"/>
          <w:szCs w:val="24"/>
        </w:rPr>
        <w:t>et al.,</w:t>
      </w:r>
      <w:r w:rsidRPr="00077D33">
        <w:rPr>
          <w:rFonts w:ascii="Times New Roman" w:eastAsia="Times New Roman" w:hAnsi="Times New Roman" w:cs="Times New Roman"/>
          <w:sz w:val="24"/>
          <w:szCs w:val="24"/>
        </w:rPr>
        <w:t xml:space="preserve"> 2024). Airborne transmission was minimal but still contributed to overall microbial load. The settle plate technique used in this study confirmed airborne microorganisms in milking areas, though at lower concentrations than water and utensils.</w:t>
      </w:r>
    </w:p>
    <w:p w:rsidR="00D104BB" w:rsidRPr="00077D33" w:rsidRDefault="00D104BB" w:rsidP="00077D33">
      <w:pPr>
        <w:spacing w:before="100" w:beforeAutospacing="1" w:after="100" w:afterAutospacing="1" w:line="360" w:lineRule="auto"/>
        <w:jc w:val="both"/>
        <w:rPr>
          <w:rFonts w:ascii="Times New Roman" w:eastAsia="Times New Roman" w:hAnsi="Times New Roman" w:cs="Times New Roman"/>
          <w:sz w:val="24"/>
          <w:szCs w:val="24"/>
        </w:rPr>
      </w:pPr>
    </w:p>
    <w:p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405623" w:rsidRDefault="00405623"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90B73" w:rsidRPr="00077D33" w:rsidRDefault="00090B73"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7D33">
        <w:rPr>
          <w:rFonts w:ascii="Times New Roman" w:eastAsia="Times New Roman" w:hAnsi="Times New Roman" w:cs="Times New Roman"/>
          <w:b/>
          <w:bCs/>
          <w:sz w:val="24"/>
          <w:szCs w:val="24"/>
        </w:rPr>
        <w:lastRenderedPageBreak/>
        <w:t>CONCLUSION</w:t>
      </w:r>
    </w:p>
    <w:p w:rsidR="000954A9" w:rsidRDefault="00090B73" w:rsidP="000954A9">
      <w:pPr>
        <w:pStyle w:val="NormalWeb"/>
        <w:spacing w:line="360" w:lineRule="auto"/>
        <w:jc w:val="both"/>
      </w:pPr>
      <w:r w:rsidRPr="00077D33">
        <w:t xml:space="preserve">This study provides a comprehensive microbiological risk assessment of traditional milk handling practices in Southwestern Nigeria, focusing on cow and goat milk across four Local Government Areas: </w:t>
      </w:r>
      <w:proofErr w:type="spellStart"/>
      <w:r w:rsidRPr="00077D33">
        <w:t>Akinyele</w:t>
      </w:r>
      <w:proofErr w:type="spellEnd"/>
      <w:r w:rsidRPr="00077D33">
        <w:t xml:space="preserve">, </w:t>
      </w:r>
      <w:proofErr w:type="spellStart"/>
      <w:r w:rsidRPr="00077D33">
        <w:t>Ido</w:t>
      </w:r>
      <w:proofErr w:type="spellEnd"/>
      <w:r w:rsidRPr="00077D33">
        <w:t xml:space="preserve">, </w:t>
      </w:r>
      <w:proofErr w:type="spellStart"/>
      <w:r w:rsidRPr="00077D33">
        <w:t>Ibarapa</w:t>
      </w:r>
      <w:proofErr w:type="spellEnd"/>
      <w:r w:rsidRPr="00077D33">
        <w:t xml:space="preserve"> East, and Ibada</w:t>
      </w:r>
      <w:r w:rsidR="00B03D4B" w:rsidRPr="00077D33">
        <w:t xml:space="preserve">n North. The findings </w:t>
      </w:r>
      <w:r w:rsidR="009B1A76" w:rsidRPr="00077D33">
        <w:t>emphasized</w:t>
      </w:r>
      <w:r w:rsidRPr="00077D33">
        <w:t xml:space="preserve"> the dual</w:t>
      </w:r>
      <w:r w:rsidR="00B03D4B" w:rsidRPr="00077D33">
        <w:t xml:space="preserve"> reality of milk as both </w:t>
      </w:r>
      <w:proofErr w:type="spellStart"/>
      <w:proofErr w:type="gramStart"/>
      <w:r w:rsidR="00B03D4B" w:rsidRPr="00077D33">
        <w:t>a</w:t>
      </w:r>
      <w:proofErr w:type="spellEnd"/>
      <w:proofErr w:type="gramEnd"/>
      <w:r w:rsidR="00B03D4B" w:rsidRPr="00077D33">
        <w:t xml:space="preserve"> important</w:t>
      </w:r>
      <w:r w:rsidRPr="00077D33">
        <w:t xml:space="preserve"> nutritional resource and a potential vector for microbial contamination when handled under suboptimal hygienic conditions.</w:t>
      </w:r>
      <w:r w:rsidR="004943E9" w:rsidRPr="00077D33">
        <w:t xml:space="preserve"> Nutritionally, goat milk consistently outperformed cow milk in terms of crude protein, casein, whey, and total fat content. The superior protein profile and favorable fatty acid composition of goat milk Characterized by higher levels of digestible casein, bioactive peptides, and medium-chain fatty acids—position it as a nutritionally advantageous alternative, especially for vulnerable populations such as children, the elderly, and individuals with cow milk intolerance. However, the nutritional benefits are undermined by the presence of pathogenic microorganisms, which pose serious public health risks including gastrointestinal infections and foodborne illnesses.</w:t>
      </w:r>
      <w:r w:rsidR="00B2633A">
        <w:t xml:space="preserve"> </w:t>
      </w:r>
      <w:r w:rsidRPr="00077D33">
        <w:t>The microbiological analysis revealed alarmingly high levels of total bacterial count (TBC) and total coliform count (TCC) in milking uten</w:t>
      </w:r>
      <w:r w:rsidR="00850B40">
        <w:t>sils and water sources, with most</w:t>
      </w:r>
      <w:r w:rsidRPr="00077D33">
        <w:t xml:space="preserve"> water samples exceeding the World Health Organization’s recommended safety threshold. These results highlight the critical role of environmental vectors—particularly water and equipment—in facilitating microbial contamination. Airborne transmission, while present, was comparatively minimal, suggesting that direct contact and waterborne exposure are the dominant routes of contamination.</w:t>
      </w:r>
      <w:r w:rsidR="00CF5756">
        <w:t xml:space="preserve"> </w:t>
      </w:r>
      <w:r w:rsidR="00716226" w:rsidRPr="00077D33">
        <w:t>The study also revealed significant regional disparities in contamination levels, with Akinyele LGA exhibiting the highest microbial loads and Ido LGA the lowest. These differences may reflect variations in access to clean water, hygiene awareness, and infrastructural support. Such findings emphasize the need for localized interventions tailored to the specific challenges and resources of each community.</w:t>
      </w:r>
      <w:r w:rsidR="007C2EA4">
        <w:t xml:space="preserve"> </w:t>
      </w:r>
      <w:r w:rsidR="00716226" w:rsidRPr="00077D33">
        <w:t xml:space="preserve">From a public health perspective, the implications are profound. The informal nature of Nigeria’s dairy sector, coupled with limited regulatory oversight, creates an environment where unsafe milk handling practices persist unchecked. The presence of pathogens such as </w:t>
      </w:r>
      <w:r w:rsidR="00716226" w:rsidRPr="00854979">
        <w:rPr>
          <w:i/>
        </w:rPr>
        <w:t xml:space="preserve">E. coli, Staphylococcus aureus, </w:t>
      </w:r>
      <w:r w:rsidR="00716226" w:rsidRPr="00077D33">
        <w:t xml:space="preserve">and </w:t>
      </w:r>
      <w:r w:rsidR="00716226" w:rsidRPr="00854979">
        <w:rPr>
          <w:i/>
        </w:rPr>
        <w:t>Salmonella spp.</w:t>
      </w:r>
      <w:r w:rsidR="00716226" w:rsidRPr="00077D33">
        <w:t xml:space="preserve"> in milk handling environments calls for urgent action to prevent outbreaks and protect consumer health.</w:t>
      </w:r>
      <w:r w:rsidR="00686E2E">
        <w:t xml:space="preserve"> </w:t>
      </w:r>
      <w:r w:rsidR="000954A9" w:rsidRPr="00077D33">
        <w:t>In conclusion, while cow and goat milk remain indispensable to food security and nutrition in Nigeria,</w:t>
      </w:r>
      <w:r w:rsidR="00497DB5">
        <w:t xml:space="preserve"> milking hazard remains critical public health concern because</w:t>
      </w:r>
      <w:r w:rsidR="000954A9" w:rsidRPr="00077D33">
        <w:t xml:space="preserve"> their safety is compromised by</w:t>
      </w:r>
      <w:r w:rsidR="00577E7C">
        <w:t xml:space="preserve"> traditional handling practices which </w:t>
      </w:r>
      <w:r w:rsidR="00497DB5">
        <w:t xml:space="preserve">expose consumers to microbiological </w:t>
      </w:r>
      <w:r w:rsidR="00497DB5">
        <w:lastRenderedPageBreak/>
        <w:t>risks</w:t>
      </w:r>
      <w:r w:rsidR="00266107">
        <w:t xml:space="preserve">. The </w:t>
      </w:r>
      <w:r w:rsidR="00497DB5">
        <w:t xml:space="preserve">findings from this study </w:t>
      </w:r>
      <w:r w:rsidR="000954A9" w:rsidRPr="00077D33">
        <w:t xml:space="preserve">serve as a call to action for stakeholders—including government agencies, public health institutions, and community leaders—to invest in sustainable solutions that safeguard both the nutritional value and microbiological integrity of milk. Future research should explore </w:t>
      </w:r>
      <w:r w:rsidR="006E7EF4">
        <w:t xml:space="preserve">scalable interventions, such as </w:t>
      </w:r>
      <w:r w:rsidR="000954A9" w:rsidRPr="00077D33">
        <w:t>low-cost sterilization technologies and community-based monitoring systems, to enhance milk safety in rural and peri-urban settings.</w:t>
      </w:r>
    </w:p>
    <w:p w:rsidR="005344B6" w:rsidRDefault="005344B6" w:rsidP="005344B6">
      <w:pPr>
        <w:pStyle w:val="NormalWeb"/>
        <w:spacing w:line="360" w:lineRule="auto"/>
        <w:jc w:val="both"/>
      </w:pPr>
      <w:r>
        <w:t>RECOMMENDATIONS</w:t>
      </w:r>
    </w:p>
    <w:p w:rsidR="00847AB0" w:rsidRDefault="00EC6A71" w:rsidP="00D24DE9">
      <w:pPr>
        <w:pStyle w:val="NormalWeb"/>
        <w:spacing w:line="360" w:lineRule="auto"/>
        <w:jc w:val="both"/>
      </w:pPr>
      <w:r w:rsidRPr="00077D33">
        <w:t>To address these challenges, a multi-pronged strat</w:t>
      </w:r>
      <w:r w:rsidR="00686E2E">
        <w:t>egy is essential. This includes t</w:t>
      </w:r>
      <w:r w:rsidRPr="00077D33">
        <w:t>raining programs for pastoralists and smallholder farmers on hygien</w:t>
      </w:r>
      <w:r w:rsidR="00686E2E">
        <w:t xml:space="preserve">ic milk handling and sanitation, </w:t>
      </w:r>
      <w:r w:rsidRPr="00077D33">
        <w:t>Provision of clean water sources, sterilization equip</w:t>
      </w:r>
      <w:r w:rsidR="00CD0F54">
        <w:t xml:space="preserve">ment, and cold chain facilities, </w:t>
      </w:r>
      <w:r w:rsidRPr="00077D33">
        <w:t>Strengthening regulatory frameworks to monitor and enforce milk safet</w:t>
      </w:r>
      <w:r w:rsidR="0025328D">
        <w:t xml:space="preserve">y standards in informal markets, </w:t>
      </w:r>
      <w:r w:rsidRPr="00077D33">
        <w:t>Leveraging local leaders and cultural institutions to promote behavior</w:t>
      </w:r>
      <w:r w:rsidR="00CF5756">
        <w:t xml:space="preserve">al change and hygiene awareness, </w:t>
      </w:r>
      <w:proofErr w:type="spellStart"/>
      <w:r w:rsidRPr="00077D33">
        <w:t>egular</w:t>
      </w:r>
      <w:proofErr w:type="spellEnd"/>
      <w:r w:rsidRPr="00077D33">
        <w:t xml:space="preserve"> health checks for livestock and monitoring of milk quality t</w:t>
      </w:r>
      <w:r w:rsidR="00D24DE9">
        <w:t>o prevent zoonotic transmission.</w:t>
      </w: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D24DE9" w:rsidRDefault="00D24DE9" w:rsidP="00D24DE9">
      <w:pPr>
        <w:pStyle w:val="NormalWeb"/>
        <w:spacing w:line="360" w:lineRule="auto"/>
        <w:jc w:val="both"/>
      </w:pPr>
    </w:p>
    <w:p w:rsidR="003F138E" w:rsidRDefault="003F138E" w:rsidP="00D24DE9">
      <w:pPr>
        <w:pStyle w:val="NormalWeb"/>
        <w:spacing w:line="360" w:lineRule="auto"/>
        <w:jc w:val="both"/>
      </w:pPr>
    </w:p>
    <w:p w:rsidR="00B670C7" w:rsidRPr="00D24DE9" w:rsidRDefault="00B670C7" w:rsidP="00D24DE9">
      <w:pPr>
        <w:pStyle w:val="NormalWeb"/>
        <w:spacing w:line="360" w:lineRule="auto"/>
        <w:jc w:val="both"/>
      </w:pPr>
      <w:r>
        <w:lastRenderedPageBreak/>
        <w:t>REFERENCES</w:t>
      </w:r>
    </w:p>
    <w:p w:rsidR="00847AB0"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137B3">
        <w:rPr>
          <w:rFonts w:ascii="Times New Roman" w:eastAsia="Times New Roman" w:hAnsi="Times New Roman" w:cs="Times New Roman"/>
          <w:sz w:val="24"/>
          <w:szCs w:val="24"/>
        </w:rPr>
        <w:t>Adediran</w:t>
      </w:r>
      <w:proofErr w:type="spellEnd"/>
      <w:r w:rsidRPr="009137B3">
        <w:rPr>
          <w:rFonts w:ascii="Times New Roman" w:eastAsia="Times New Roman" w:hAnsi="Times New Roman" w:cs="Times New Roman"/>
          <w:sz w:val="24"/>
          <w:szCs w:val="24"/>
        </w:rPr>
        <w:t xml:space="preserve">, A. B., </w:t>
      </w:r>
      <w:proofErr w:type="spellStart"/>
      <w:r w:rsidRPr="009137B3">
        <w:rPr>
          <w:rFonts w:ascii="Times New Roman" w:eastAsia="Times New Roman" w:hAnsi="Times New Roman" w:cs="Times New Roman"/>
          <w:sz w:val="24"/>
          <w:szCs w:val="24"/>
        </w:rPr>
        <w:t>Aforijiku</w:t>
      </w:r>
      <w:proofErr w:type="spellEnd"/>
      <w:r w:rsidRPr="009137B3">
        <w:rPr>
          <w:rFonts w:ascii="Times New Roman" w:eastAsia="Times New Roman" w:hAnsi="Times New Roman" w:cs="Times New Roman"/>
          <w:sz w:val="24"/>
          <w:szCs w:val="24"/>
        </w:rPr>
        <w:t xml:space="preserve">, S., </w:t>
      </w:r>
      <w:proofErr w:type="spellStart"/>
      <w:r w:rsidRPr="009137B3">
        <w:rPr>
          <w:rFonts w:ascii="Times New Roman" w:eastAsia="Times New Roman" w:hAnsi="Times New Roman" w:cs="Times New Roman"/>
          <w:sz w:val="24"/>
          <w:szCs w:val="24"/>
        </w:rPr>
        <w:t>Adediran</w:t>
      </w:r>
      <w:proofErr w:type="spellEnd"/>
      <w:r w:rsidRPr="009137B3">
        <w:rPr>
          <w:rFonts w:ascii="Times New Roman" w:eastAsia="Times New Roman" w:hAnsi="Times New Roman" w:cs="Times New Roman"/>
          <w:sz w:val="24"/>
          <w:szCs w:val="24"/>
        </w:rPr>
        <w:t xml:space="preserve">, A. T., &amp; </w:t>
      </w:r>
      <w:proofErr w:type="spellStart"/>
      <w:r w:rsidRPr="009137B3">
        <w:rPr>
          <w:rFonts w:ascii="Times New Roman" w:eastAsia="Times New Roman" w:hAnsi="Times New Roman" w:cs="Times New Roman"/>
          <w:sz w:val="24"/>
          <w:szCs w:val="24"/>
        </w:rPr>
        <w:t>Fashogbon</w:t>
      </w:r>
      <w:proofErr w:type="spellEnd"/>
      <w:r w:rsidRPr="009137B3">
        <w:rPr>
          <w:rFonts w:ascii="Times New Roman" w:eastAsia="Times New Roman" w:hAnsi="Times New Roman" w:cs="Times New Roman"/>
          <w:sz w:val="24"/>
          <w:szCs w:val="24"/>
        </w:rPr>
        <w:t>, R. O. (2023). Bacteriological Quality and the Antibiogram of Isolates from Raw Cow Milk Produced in Ibadan Metropolis Oyo State, Nigeria. Nigerian Journal of Microbiology. https://www.nsmjournal.org.ng/</w:t>
      </w:r>
    </w:p>
    <w:p w:rsidR="00847AB0" w:rsidRPr="009137B3" w:rsidRDefault="00F57194"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 xml:space="preserve">Ajani, T., </w:t>
      </w:r>
      <w:proofErr w:type="spellStart"/>
      <w:r w:rsidRPr="009137B3">
        <w:rPr>
          <w:rFonts w:ascii="Times New Roman" w:eastAsia="Times New Roman" w:hAnsi="Times New Roman" w:cs="Times New Roman"/>
          <w:sz w:val="24"/>
          <w:szCs w:val="24"/>
        </w:rPr>
        <w:t>Adeale</w:t>
      </w:r>
      <w:proofErr w:type="spellEnd"/>
      <w:r w:rsidRPr="009137B3">
        <w:rPr>
          <w:rFonts w:ascii="Times New Roman" w:eastAsia="Times New Roman" w:hAnsi="Times New Roman" w:cs="Times New Roman"/>
          <w:sz w:val="24"/>
          <w:szCs w:val="24"/>
        </w:rPr>
        <w:t>, O., &amp; Mu</w:t>
      </w:r>
      <w:r w:rsidR="00C154F8" w:rsidRPr="009137B3">
        <w:rPr>
          <w:rFonts w:ascii="Times New Roman" w:eastAsia="Times New Roman" w:hAnsi="Times New Roman" w:cs="Times New Roman"/>
          <w:sz w:val="24"/>
          <w:szCs w:val="24"/>
        </w:rPr>
        <w:t>s</w:t>
      </w:r>
      <w:r w:rsidRPr="009137B3">
        <w:rPr>
          <w:rFonts w:ascii="Times New Roman" w:eastAsia="Times New Roman" w:hAnsi="Times New Roman" w:cs="Times New Roman"/>
          <w:sz w:val="24"/>
          <w:szCs w:val="24"/>
        </w:rPr>
        <w:t>a, K.</w:t>
      </w:r>
      <w:r w:rsidR="00847AB0" w:rsidRPr="009137B3">
        <w:rPr>
          <w:rFonts w:ascii="Times New Roman" w:eastAsia="Times New Roman" w:hAnsi="Times New Roman" w:cs="Times New Roman"/>
          <w:sz w:val="24"/>
          <w:szCs w:val="24"/>
        </w:rPr>
        <w:t xml:space="preserve"> (2024). Airborne microbial load in traditional dairy environments. </w:t>
      </w:r>
      <w:r w:rsidR="00847AB0" w:rsidRPr="009137B3">
        <w:rPr>
          <w:rFonts w:ascii="Times New Roman" w:eastAsia="Times New Roman" w:hAnsi="Times New Roman" w:cs="Times New Roman"/>
          <w:i/>
          <w:iCs/>
          <w:sz w:val="24"/>
          <w:szCs w:val="24"/>
        </w:rPr>
        <w:t>African Journal of Microbiology</w:t>
      </w:r>
      <w:r w:rsidR="00847AB0" w:rsidRPr="009137B3">
        <w:rPr>
          <w:rFonts w:ascii="Times New Roman" w:eastAsia="Times New Roman" w:hAnsi="Times New Roman" w:cs="Times New Roman"/>
          <w:sz w:val="24"/>
          <w:szCs w:val="24"/>
        </w:rPr>
        <w:t>, 18(1), 33–40.</w:t>
      </w:r>
    </w:p>
    <w:p w:rsidR="00847AB0" w:rsidRPr="009137B3" w:rsidRDefault="00847AB0"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Alabi, O.</w:t>
      </w:r>
      <w:r w:rsidR="00CA7064" w:rsidRPr="009137B3">
        <w:rPr>
          <w:rFonts w:ascii="Times New Roman" w:eastAsia="Times New Roman" w:hAnsi="Times New Roman" w:cs="Times New Roman"/>
          <w:sz w:val="24"/>
          <w:szCs w:val="24"/>
        </w:rPr>
        <w:t xml:space="preserve">, Salami, </w:t>
      </w:r>
      <w:proofErr w:type="gramStart"/>
      <w:r w:rsidR="00CA7064" w:rsidRPr="009137B3">
        <w:rPr>
          <w:rFonts w:ascii="Times New Roman" w:eastAsia="Times New Roman" w:hAnsi="Times New Roman" w:cs="Times New Roman"/>
          <w:sz w:val="24"/>
          <w:szCs w:val="24"/>
        </w:rPr>
        <w:t>R.,&amp;</w:t>
      </w:r>
      <w:proofErr w:type="gramEnd"/>
      <w:r w:rsidR="00CA7064" w:rsidRPr="009137B3">
        <w:rPr>
          <w:rFonts w:ascii="Times New Roman" w:eastAsia="Times New Roman" w:hAnsi="Times New Roman" w:cs="Times New Roman"/>
          <w:sz w:val="24"/>
          <w:szCs w:val="24"/>
        </w:rPr>
        <w:t xml:space="preserve"> Okon, J.</w:t>
      </w:r>
      <w:r w:rsidRPr="009137B3">
        <w:rPr>
          <w:rFonts w:ascii="Times New Roman" w:eastAsia="Times New Roman" w:hAnsi="Times New Roman" w:cs="Times New Roman"/>
          <w:sz w:val="24"/>
          <w:szCs w:val="24"/>
        </w:rPr>
        <w:t xml:space="preserve"> (2024). Water quality assessment in rural dairy farms. </w:t>
      </w:r>
      <w:r w:rsidRPr="009137B3">
        <w:rPr>
          <w:rFonts w:ascii="Times New Roman" w:eastAsia="Times New Roman" w:hAnsi="Times New Roman" w:cs="Times New Roman"/>
          <w:i/>
          <w:iCs/>
          <w:sz w:val="24"/>
          <w:szCs w:val="24"/>
        </w:rPr>
        <w:t>Journal of Environmental Health</w:t>
      </w:r>
      <w:r w:rsidRPr="009137B3">
        <w:rPr>
          <w:rFonts w:ascii="Times New Roman" w:eastAsia="Times New Roman" w:hAnsi="Times New Roman" w:cs="Times New Roman"/>
          <w:sz w:val="24"/>
          <w:szCs w:val="24"/>
        </w:rPr>
        <w:t>, 29(2), 78–85.</w:t>
      </w:r>
    </w:p>
    <w:p w:rsidR="00847AB0" w:rsidRPr="009137B3" w:rsidRDefault="002D2AF9"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Azeez, A., Laal, M., &amp; Ibrahim, Y.</w:t>
      </w:r>
      <w:r w:rsidR="00847AB0" w:rsidRPr="009137B3">
        <w:rPr>
          <w:rFonts w:ascii="Times New Roman" w:eastAsia="Times New Roman" w:hAnsi="Times New Roman" w:cs="Times New Roman"/>
          <w:sz w:val="24"/>
          <w:szCs w:val="24"/>
        </w:rPr>
        <w:t xml:space="preserve"> (2025). Hygiene practices in Nigerian dairy systems. </w:t>
      </w:r>
      <w:r w:rsidR="00847AB0" w:rsidRPr="009137B3">
        <w:rPr>
          <w:rFonts w:ascii="Times New Roman" w:eastAsia="Times New Roman" w:hAnsi="Times New Roman" w:cs="Times New Roman"/>
          <w:i/>
          <w:iCs/>
          <w:sz w:val="24"/>
          <w:szCs w:val="24"/>
        </w:rPr>
        <w:t>International Dairy Research</w:t>
      </w:r>
      <w:r w:rsidR="00847AB0" w:rsidRPr="009137B3">
        <w:rPr>
          <w:rFonts w:ascii="Times New Roman" w:eastAsia="Times New Roman" w:hAnsi="Times New Roman" w:cs="Times New Roman"/>
          <w:sz w:val="24"/>
          <w:szCs w:val="24"/>
        </w:rPr>
        <w:t>, 21(4), 112–120.</w:t>
      </w:r>
    </w:p>
    <w:p w:rsidR="00AC25ED"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137B3">
        <w:rPr>
          <w:rFonts w:ascii="Times New Roman" w:eastAsia="Times New Roman" w:hAnsi="Times New Roman" w:cs="Times New Roman"/>
          <w:sz w:val="24"/>
          <w:szCs w:val="24"/>
        </w:rPr>
        <w:t>Ezugwu</w:t>
      </w:r>
      <w:proofErr w:type="spellEnd"/>
      <w:r w:rsidRPr="009137B3">
        <w:rPr>
          <w:rFonts w:ascii="Times New Roman" w:eastAsia="Times New Roman" w:hAnsi="Times New Roman" w:cs="Times New Roman"/>
          <w:sz w:val="24"/>
          <w:szCs w:val="24"/>
        </w:rPr>
        <w:t xml:space="preserve">, N. V., &amp; </w:t>
      </w:r>
      <w:proofErr w:type="spellStart"/>
      <w:r w:rsidRPr="009137B3">
        <w:rPr>
          <w:rFonts w:ascii="Times New Roman" w:eastAsia="Times New Roman" w:hAnsi="Times New Roman" w:cs="Times New Roman"/>
          <w:sz w:val="24"/>
          <w:szCs w:val="24"/>
        </w:rPr>
        <w:t>Agbakoba</w:t>
      </w:r>
      <w:proofErr w:type="spellEnd"/>
      <w:r w:rsidRPr="009137B3">
        <w:rPr>
          <w:rFonts w:ascii="Times New Roman" w:eastAsia="Times New Roman" w:hAnsi="Times New Roman" w:cs="Times New Roman"/>
          <w:sz w:val="24"/>
          <w:szCs w:val="24"/>
        </w:rPr>
        <w:t>, N. R. (2023). Evaluation of the bacteriological quality of milk sold in Nnewi, Nigeria. Health Science Journal, 17(3), 1005. https://www.itmedicalteam.pl/health-science.html</w:t>
      </w:r>
    </w:p>
    <w:p w:rsidR="00847AB0"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137B3">
        <w:rPr>
          <w:rFonts w:ascii="Times New Roman" w:eastAsia="Times New Roman" w:hAnsi="Times New Roman" w:cs="Times New Roman"/>
          <w:sz w:val="24"/>
          <w:szCs w:val="24"/>
        </w:rPr>
        <w:t>Ghali</w:t>
      </w:r>
      <w:proofErr w:type="spellEnd"/>
      <w:r w:rsidRPr="009137B3">
        <w:rPr>
          <w:rFonts w:ascii="Times New Roman" w:eastAsia="Times New Roman" w:hAnsi="Times New Roman" w:cs="Times New Roman"/>
          <w:sz w:val="24"/>
          <w:szCs w:val="24"/>
        </w:rPr>
        <w:t xml:space="preserve">-Mohammed, I., Azeez, A. A., Akeem, A. O., </w:t>
      </w:r>
      <w:proofErr w:type="spellStart"/>
      <w:r w:rsidRPr="009137B3">
        <w:rPr>
          <w:rFonts w:ascii="Times New Roman" w:eastAsia="Times New Roman" w:hAnsi="Times New Roman" w:cs="Times New Roman"/>
          <w:sz w:val="24"/>
          <w:szCs w:val="24"/>
        </w:rPr>
        <w:t>Adetona</w:t>
      </w:r>
      <w:proofErr w:type="spellEnd"/>
      <w:r w:rsidRPr="009137B3">
        <w:rPr>
          <w:rFonts w:ascii="Times New Roman" w:eastAsia="Times New Roman" w:hAnsi="Times New Roman" w:cs="Times New Roman"/>
          <w:sz w:val="24"/>
          <w:szCs w:val="24"/>
        </w:rPr>
        <w:t xml:space="preserve">, M. A., Adeyemo, I. A., </w:t>
      </w:r>
      <w:proofErr w:type="spellStart"/>
      <w:r w:rsidRPr="009137B3">
        <w:rPr>
          <w:rFonts w:ascii="Times New Roman" w:eastAsia="Times New Roman" w:hAnsi="Times New Roman" w:cs="Times New Roman"/>
          <w:sz w:val="24"/>
          <w:szCs w:val="24"/>
        </w:rPr>
        <w:t>Olawoye</w:t>
      </w:r>
      <w:proofErr w:type="spellEnd"/>
      <w:r w:rsidRPr="009137B3">
        <w:rPr>
          <w:rFonts w:ascii="Times New Roman" w:eastAsia="Times New Roman" w:hAnsi="Times New Roman" w:cs="Times New Roman"/>
          <w:sz w:val="24"/>
          <w:szCs w:val="24"/>
        </w:rPr>
        <w:t xml:space="preserve">, O. C., Alhaji, N. B., &amp; </w:t>
      </w:r>
      <w:proofErr w:type="spellStart"/>
      <w:r w:rsidRPr="009137B3">
        <w:rPr>
          <w:rFonts w:ascii="Times New Roman" w:eastAsia="Times New Roman" w:hAnsi="Times New Roman" w:cs="Times New Roman"/>
          <w:sz w:val="24"/>
          <w:szCs w:val="24"/>
        </w:rPr>
        <w:t>Odetokun</w:t>
      </w:r>
      <w:proofErr w:type="spellEnd"/>
      <w:r w:rsidRPr="009137B3">
        <w:rPr>
          <w:rFonts w:ascii="Times New Roman" w:eastAsia="Times New Roman" w:hAnsi="Times New Roman" w:cs="Times New Roman"/>
          <w:sz w:val="24"/>
          <w:szCs w:val="24"/>
        </w:rPr>
        <w:t>, I. A. (2025). Assessment of keeping quality and microbial load of Staphylococcus aureus in cattle milk, processing facilities, and environment in Northern Oyo State, Nigeria. FUDMA Journal of Sciences, 9(3), 309–315. https://doi.org/10.33003/fjs-2025-0903-3016</w:t>
      </w:r>
    </w:p>
    <w:p w:rsidR="00847AB0" w:rsidRPr="009137B3" w:rsidRDefault="00F15E7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Mohammad, S., Ibrahim, A., &amp; Bello, R.</w:t>
      </w:r>
      <w:r w:rsidR="00847AB0" w:rsidRPr="009137B3">
        <w:rPr>
          <w:rFonts w:ascii="Times New Roman" w:eastAsia="Times New Roman" w:hAnsi="Times New Roman" w:cs="Times New Roman"/>
          <w:sz w:val="24"/>
          <w:szCs w:val="24"/>
        </w:rPr>
        <w:t xml:space="preserve"> (2023). Nutritional comparison of cow and goat milk. </w:t>
      </w:r>
      <w:r w:rsidR="00847AB0" w:rsidRPr="009137B3">
        <w:rPr>
          <w:rFonts w:ascii="Times New Roman" w:eastAsia="Times New Roman" w:hAnsi="Times New Roman" w:cs="Times New Roman"/>
          <w:i/>
          <w:iCs/>
          <w:sz w:val="24"/>
          <w:szCs w:val="24"/>
        </w:rPr>
        <w:t>Nutrition and Health Journal</w:t>
      </w:r>
      <w:r w:rsidR="00847AB0" w:rsidRPr="009137B3">
        <w:rPr>
          <w:rFonts w:ascii="Times New Roman" w:eastAsia="Times New Roman" w:hAnsi="Times New Roman" w:cs="Times New Roman"/>
          <w:sz w:val="24"/>
          <w:szCs w:val="24"/>
        </w:rPr>
        <w:t>, 11(4), 101–109.</w:t>
      </w:r>
    </w:p>
    <w:p w:rsidR="00F15E77"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 xml:space="preserve">Mohammed, K., &amp; </w:t>
      </w:r>
      <w:proofErr w:type="spellStart"/>
      <w:r w:rsidRPr="009137B3">
        <w:rPr>
          <w:rFonts w:ascii="Times New Roman" w:eastAsia="Times New Roman" w:hAnsi="Times New Roman" w:cs="Times New Roman"/>
          <w:sz w:val="24"/>
          <w:szCs w:val="24"/>
        </w:rPr>
        <w:t>Biyabra</w:t>
      </w:r>
      <w:proofErr w:type="spellEnd"/>
      <w:r w:rsidRPr="009137B3">
        <w:rPr>
          <w:rFonts w:ascii="Times New Roman" w:eastAsia="Times New Roman" w:hAnsi="Times New Roman" w:cs="Times New Roman"/>
          <w:sz w:val="24"/>
          <w:szCs w:val="24"/>
        </w:rPr>
        <w:t>, M. I. (2024). Incidence of Bacterial Contaminants in Fermented Milk (</w:t>
      </w:r>
      <w:proofErr w:type="spellStart"/>
      <w:r w:rsidRPr="009137B3">
        <w:rPr>
          <w:rFonts w:ascii="Times New Roman" w:eastAsia="Times New Roman" w:hAnsi="Times New Roman" w:cs="Times New Roman"/>
          <w:sz w:val="24"/>
          <w:szCs w:val="24"/>
        </w:rPr>
        <w:t>Nono</w:t>
      </w:r>
      <w:proofErr w:type="spellEnd"/>
      <w:r w:rsidRPr="009137B3">
        <w:rPr>
          <w:rFonts w:ascii="Times New Roman" w:eastAsia="Times New Roman" w:hAnsi="Times New Roman" w:cs="Times New Roman"/>
          <w:sz w:val="24"/>
          <w:szCs w:val="24"/>
        </w:rPr>
        <w:t>/</w:t>
      </w:r>
      <w:proofErr w:type="spellStart"/>
      <w:r w:rsidRPr="009137B3">
        <w:rPr>
          <w:rFonts w:ascii="Times New Roman" w:eastAsia="Times New Roman" w:hAnsi="Times New Roman" w:cs="Times New Roman"/>
          <w:sz w:val="24"/>
          <w:szCs w:val="24"/>
        </w:rPr>
        <w:t>Kindirmo</w:t>
      </w:r>
      <w:proofErr w:type="spellEnd"/>
      <w:r w:rsidRPr="009137B3">
        <w:rPr>
          <w:rFonts w:ascii="Times New Roman" w:eastAsia="Times New Roman" w:hAnsi="Times New Roman" w:cs="Times New Roman"/>
          <w:sz w:val="24"/>
          <w:szCs w:val="24"/>
        </w:rPr>
        <w:t xml:space="preserve">) Sold </w:t>
      </w:r>
      <w:proofErr w:type="gramStart"/>
      <w:r w:rsidRPr="009137B3">
        <w:rPr>
          <w:rFonts w:ascii="Times New Roman" w:eastAsia="Times New Roman" w:hAnsi="Times New Roman" w:cs="Times New Roman"/>
          <w:sz w:val="24"/>
          <w:szCs w:val="24"/>
        </w:rPr>
        <w:t>By</w:t>
      </w:r>
      <w:proofErr w:type="gramEnd"/>
      <w:r w:rsidRPr="009137B3">
        <w:rPr>
          <w:rFonts w:ascii="Times New Roman" w:eastAsia="Times New Roman" w:hAnsi="Times New Roman" w:cs="Times New Roman"/>
          <w:sz w:val="24"/>
          <w:szCs w:val="24"/>
        </w:rPr>
        <w:t xml:space="preserve"> Fulani Women to Consumers in </w:t>
      </w:r>
      <w:proofErr w:type="spellStart"/>
      <w:r w:rsidRPr="009137B3">
        <w:rPr>
          <w:rFonts w:ascii="Times New Roman" w:eastAsia="Times New Roman" w:hAnsi="Times New Roman" w:cs="Times New Roman"/>
          <w:sz w:val="24"/>
          <w:szCs w:val="24"/>
        </w:rPr>
        <w:t>Wukari</w:t>
      </w:r>
      <w:proofErr w:type="spellEnd"/>
      <w:r w:rsidRPr="009137B3">
        <w:rPr>
          <w:rFonts w:ascii="Times New Roman" w:eastAsia="Times New Roman" w:hAnsi="Times New Roman" w:cs="Times New Roman"/>
          <w:sz w:val="24"/>
          <w:szCs w:val="24"/>
        </w:rPr>
        <w:t xml:space="preserve"> Metropolis, Taraba State, Nigeria. Sahel Journal of Life Sciences FUDMA, 2(1), 195–203. https://doi.org/10.33003/sajols-2024-0201-024</w:t>
      </w:r>
    </w:p>
    <w:p w:rsidR="00847AB0" w:rsidRPr="009137B3" w:rsidRDefault="00F65D67" w:rsidP="00F65D67">
      <w:pPr>
        <w:pStyle w:val="NormalWeb"/>
        <w:numPr>
          <w:ilvl w:val="0"/>
          <w:numId w:val="2"/>
        </w:numPr>
        <w:spacing w:line="360" w:lineRule="auto"/>
        <w:jc w:val="both"/>
      </w:pPr>
      <w:proofErr w:type="spellStart"/>
      <w:r w:rsidRPr="009137B3">
        <w:t>Ndudi</w:t>
      </w:r>
      <w:proofErr w:type="spellEnd"/>
      <w:r w:rsidRPr="009137B3">
        <w:t xml:space="preserve">, W., Edo, G.I., Samuel, P.O., </w:t>
      </w:r>
      <w:proofErr w:type="spellStart"/>
      <w:r w:rsidRPr="009137B3">
        <w:t>Jikah</w:t>
      </w:r>
      <w:proofErr w:type="spellEnd"/>
      <w:r w:rsidRPr="009137B3">
        <w:t xml:space="preserve">, A.N., </w:t>
      </w:r>
      <w:proofErr w:type="spellStart"/>
      <w:r w:rsidRPr="009137B3">
        <w:t>Opiti</w:t>
      </w:r>
      <w:proofErr w:type="spellEnd"/>
      <w:r w:rsidRPr="009137B3">
        <w:t xml:space="preserve">, R.A., </w:t>
      </w:r>
      <w:proofErr w:type="spellStart"/>
      <w:r w:rsidRPr="009137B3">
        <w:t>Ainyanbhor</w:t>
      </w:r>
      <w:proofErr w:type="spellEnd"/>
      <w:r w:rsidRPr="009137B3">
        <w:t xml:space="preserve">, I.E., </w:t>
      </w:r>
      <w:proofErr w:type="spellStart"/>
      <w:r w:rsidRPr="009137B3">
        <w:t>Essaghah</w:t>
      </w:r>
      <w:proofErr w:type="spellEnd"/>
      <w:r w:rsidRPr="009137B3">
        <w:t xml:space="preserve">, E.A.E., &amp; </w:t>
      </w:r>
      <w:proofErr w:type="spellStart"/>
      <w:r w:rsidRPr="009137B3">
        <w:t>Agbo</w:t>
      </w:r>
      <w:proofErr w:type="spellEnd"/>
      <w:r w:rsidRPr="009137B3">
        <w:t>, J.J. (2024). Traditional fermented foods of Nigeria: microbiological safety and health benefits. Journal of Food Measurement and Characterization, 18, 4246–4271. https://doi.org/10.1007/s11694-024-02490-1</w:t>
      </w:r>
    </w:p>
    <w:p w:rsidR="00847AB0" w:rsidRPr="009137B3" w:rsidRDefault="00695646" w:rsidP="00F65D67">
      <w:pPr>
        <w:pStyle w:val="NormalWeb"/>
        <w:numPr>
          <w:ilvl w:val="0"/>
          <w:numId w:val="2"/>
        </w:numPr>
        <w:spacing w:line="360" w:lineRule="auto"/>
        <w:jc w:val="both"/>
      </w:pPr>
      <w:proofErr w:type="spellStart"/>
      <w:r w:rsidRPr="009137B3">
        <w:lastRenderedPageBreak/>
        <w:t>Odetokun</w:t>
      </w:r>
      <w:proofErr w:type="spellEnd"/>
      <w:r w:rsidRPr="009137B3">
        <w:t xml:space="preserve">, I., </w:t>
      </w:r>
      <w:proofErr w:type="spellStart"/>
      <w:r w:rsidRPr="009137B3">
        <w:t>Adewoye</w:t>
      </w:r>
      <w:proofErr w:type="spellEnd"/>
      <w:r w:rsidRPr="009137B3">
        <w:t xml:space="preserve">, O., &amp; Balogun, T. </w:t>
      </w:r>
      <w:r w:rsidR="00847AB0" w:rsidRPr="009137B3">
        <w:t xml:space="preserve">(2024). Informal dairy sector and health risks. </w:t>
      </w:r>
      <w:r w:rsidR="00847AB0" w:rsidRPr="009137B3">
        <w:rPr>
          <w:rStyle w:val="Emphasis"/>
        </w:rPr>
        <w:t>Public Health Perspectives</w:t>
      </w:r>
      <w:r w:rsidR="00847AB0" w:rsidRPr="009137B3">
        <w:t>, 16(2), 88–95.</w:t>
      </w:r>
    </w:p>
    <w:p w:rsidR="00847AB0" w:rsidRPr="009137B3" w:rsidRDefault="00847AB0" w:rsidP="00F65D67">
      <w:pPr>
        <w:pStyle w:val="NormalWeb"/>
        <w:numPr>
          <w:ilvl w:val="0"/>
          <w:numId w:val="2"/>
        </w:numPr>
        <w:spacing w:line="360" w:lineRule="auto"/>
        <w:jc w:val="both"/>
      </w:pPr>
      <w:r w:rsidRPr="009137B3">
        <w:t>Ugoago</w:t>
      </w:r>
      <w:r w:rsidR="00BB3786" w:rsidRPr="009137B3">
        <w:t>, T., Nwankwo, L., &amp; Eze, P.</w:t>
      </w:r>
      <w:r w:rsidRPr="009137B3">
        <w:t xml:space="preserve"> (2023). Microbial contamination in Abuja milk markets. </w:t>
      </w:r>
      <w:r w:rsidRPr="009137B3">
        <w:rPr>
          <w:rStyle w:val="Emphasis"/>
        </w:rPr>
        <w:t>Food Safety Bulletin</w:t>
      </w:r>
      <w:r w:rsidRPr="009137B3">
        <w:t>, 10(1), 39–47.</w:t>
      </w:r>
    </w:p>
    <w:p w:rsidR="00847AB0" w:rsidRPr="009137B3" w:rsidRDefault="00BB3786" w:rsidP="00F65D67">
      <w:pPr>
        <w:pStyle w:val="NormalWeb"/>
        <w:numPr>
          <w:ilvl w:val="0"/>
          <w:numId w:val="2"/>
        </w:numPr>
        <w:spacing w:line="360" w:lineRule="auto"/>
        <w:jc w:val="both"/>
      </w:pPr>
      <w:proofErr w:type="spellStart"/>
      <w:r w:rsidRPr="009137B3">
        <w:t>Uzoaga</w:t>
      </w:r>
      <w:proofErr w:type="spellEnd"/>
      <w:r w:rsidRPr="009137B3">
        <w:t>, J., Okere, C., &amp; Nnamdi, P.</w:t>
      </w:r>
      <w:r w:rsidR="00847AB0" w:rsidRPr="009137B3">
        <w:t xml:space="preserve"> (2020). Physicochemical properties of milk and microbial susceptibility. </w:t>
      </w:r>
      <w:r w:rsidR="00847AB0" w:rsidRPr="009137B3">
        <w:rPr>
          <w:rStyle w:val="Emphasis"/>
        </w:rPr>
        <w:t>Journal of Dairy Science</w:t>
      </w:r>
      <w:r w:rsidR="00847AB0" w:rsidRPr="009137B3">
        <w:t>, 8(3), 70–76.</w:t>
      </w:r>
    </w:p>
    <w:p w:rsidR="00847AB0" w:rsidRPr="009137B3" w:rsidRDefault="00F65D67" w:rsidP="00F65D67">
      <w:pPr>
        <w:pStyle w:val="NormalWeb"/>
        <w:numPr>
          <w:ilvl w:val="0"/>
          <w:numId w:val="2"/>
        </w:numPr>
        <w:spacing w:line="360" w:lineRule="auto"/>
        <w:jc w:val="both"/>
      </w:pPr>
      <w:r w:rsidRPr="009137B3">
        <w:t>World Health Organization &amp; Food and Agriculture Organization of the United Nations. (2023). Food safety is everyone's business in the primary production of milk. https://www.who.int/publications/i/item/9789240072421</w:t>
      </w:r>
    </w:p>
    <w:p w:rsidR="00A35320" w:rsidRPr="00077D33" w:rsidRDefault="00A35320" w:rsidP="00077D33">
      <w:pPr>
        <w:spacing w:line="360" w:lineRule="auto"/>
        <w:jc w:val="both"/>
        <w:rPr>
          <w:rFonts w:ascii="Times New Roman" w:hAnsi="Times New Roman" w:cs="Times New Roman"/>
          <w:sz w:val="24"/>
          <w:szCs w:val="24"/>
        </w:rPr>
      </w:pPr>
    </w:p>
    <w:p w:rsidR="00E50A24" w:rsidRPr="00077D33" w:rsidRDefault="00E50A24" w:rsidP="00077D33">
      <w:pPr>
        <w:spacing w:line="360" w:lineRule="auto"/>
        <w:jc w:val="both"/>
        <w:rPr>
          <w:rFonts w:ascii="Times New Roman" w:hAnsi="Times New Roman" w:cs="Times New Roman"/>
          <w:sz w:val="24"/>
          <w:szCs w:val="24"/>
        </w:rPr>
      </w:pPr>
    </w:p>
    <w:sectPr w:rsidR="00E50A24" w:rsidRPr="00077D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C11" w:rsidRDefault="00C60C11" w:rsidP="00835ECA">
      <w:pPr>
        <w:spacing w:after="0" w:line="240" w:lineRule="auto"/>
      </w:pPr>
      <w:r>
        <w:separator/>
      </w:r>
    </w:p>
  </w:endnote>
  <w:endnote w:type="continuationSeparator" w:id="0">
    <w:p w:rsidR="00C60C11" w:rsidRDefault="00C60C11" w:rsidP="0083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3C3" w:rsidRDefault="00124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4BC" w:rsidRDefault="008544BC">
    <w:pPr>
      <w:pStyle w:val="Footer"/>
    </w:pPr>
  </w:p>
  <w:p w:rsidR="008544BC" w:rsidRDefault="008544BC">
    <w:pPr>
      <w:pStyle w:val="Footer"/>
    </w:pPr>
  </w:p>
  <w:p w:rsidR="008544BC" w:rsidRDefault="00854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3C3" w:rsidRDefault="00124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C11" w:rsidRDefault="00C60C11" w:rsidP="00835ECA">
      <w:pPr>
        <w:spacing w:after="0" w:line="240" w:lineRule="auto"/>
      </w:pPr>
      <w:r>
        <w:separator/>
      </w:r>
    </w:p>
  </w:footnote>
  <w:footnote w:type="continuationSeparator" w:id="0">
    <w:p w:rsidR="00C60C11" w:rsidRDefault="00C60C11" w:rsidP="00835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3C3" w:rsidRDefault="001243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3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3C3" w:rsidRDefault="001243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3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3C3" w:rsidRDefault="001243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3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E2DA2"/>
    <w:multiLevelType w:val="multilevel"/>
    <w:tmpl w:val="D66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F1057"/>
    <w:multiLevelType w:val="hybridMultilevel"/>
    <w:tmpl w:val="1CE8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16"/>
    <w:rsid w:val="0003730B"/>
    <w:rsid w:val="00042827"/>
    <w:rsid w:val="00051A0B"/>
    <w:rsid w:val="00052789"/>
    <w:rsid w:val="00052884"/>
    <w:rsid w:val="00054DD6"/>
    <w:rsid w:val="00057037"/>
    <w:rsid w:val="000614D3"/>
    <w:rsid w:val="00072304"/>
    <w:rsid w:val="00072FE5"/>
    <w:rsid w:val="00074694"/>
    <w:rsid w:val="00077D33"/>
    <w:rsid w:val="00087926"/>
    <w:rsid w:val="00090B73"/>
    <w:rsid w:val="000954A9"/>
    <w:rsid w:val="000A584C"/>
    <w:rsid w:val="000B355D"/>
    <w:rsid w:val="000B3A21"/>
    <w:rsid w:val="000B3D29"/>
    <w:rsid w:val="000C5605"/>
    <w:rsid w:val="000D20EB"/>
    <w:rsid w:val="000E00B0"/>
    <w:rsid w:val="000E65E6"/>
    <w:rsid w:val="000F28B1"/>
    <w:rsid w:val="000F553F"/>
    <w:rsid w:val="001001F3"/>
    <w:rsid w:val="001068F1"/>
    <w:rsid w:val="00106E08"/>
    <w:rsid w:val="00114ACE"/>
    <w:rsid w:val="001226D9"/>
    <w:rsid w:val="00123AC2"/>
    <w:rsid w:val="001243C3"/>
    <w:rsid w:val="001319B4"/>
    <w:rsid w:val="00136C13"/>
    <w:rsid w:val="00140FF6"/>
    <w:rsid w:val="0014689F"/>
    <w:rsid w:val="001540FA"/>
    <w:rsid w:val="00162303"/>
    <w:rsid w:val="001673ED"/>
    <w:rsid w:val="00172CD6"/>
    <w:rsid w:val="00174B06"/>
    <w:rsid w:val="0018653B"/>
    <w:rsid w:val="001A136B"/>
    <w:rsid w:val="001A5542"/>
    <w:rsid w:val="001A5D69"/>
    <w:rsid w:val="001C57FE"/>
    <w:rsid w:val="001D4C87"/>
    <w:rsid w:val="001D7CF5"/>
    <w:rsid w:val="001E4837"/>
    <w:rsid w:val="001E7E0F"/>
    <w:rsid w:val="001F35F7"/>
    <w:rsid w:val="00202A4C"/>
    <w:rsid w:val="00203518"/>
    <w:rsid w:val="00226EAB"/>
    <w:rsid w:val="002329B1"/>
    <w:rsid w:val="00236B63"/>
    <w:rsid w:val="002412BB"/>
    <w:rsid w:val="00241E5A"/>
    <w:rsid w:val="002453E7"/>
    <w:rsid w:val="0025209F"/>
    <w:rsid w:val="002530BA"/>
    <w:rsid w:val="0025328D"/>
    <w:rsid w:val="0025361E"/>
    <w:rsid w:val="00266107"/>
    <w:rsid w:val="00270E3F"/>
    <w:rsid w:val="0028767E"/>
    <w:rsid w:val="00291EBD"/>
    <w:rsid w:val="002A386D"/>
    <w:rsid w:val="002A45AA"/>
    <w:rsid w:val="002B2E2A"/>
    <w:rsid w:val="002B6FB5"/>
    <w:rsid w:val="002C662F"/>
    <w:rsid w:val="002D2AF9"/>
    <w:rsid w:val="002E504F"/>
    <w:rsid w:val="002E5DF5"/>
    <w:rsid w:val="002F732D"/>
    <w:rsid w:val="00301E30"/>
    <w:rsid w:val="00323D41"/>
    <w:rsid w:val="00324BC0"/>
    <w:rsid w:val="00325E5F"/>
    <w:rsid w:val="00326960"/>
    <w:rsid w:val="00332932"/>
    <w:rsid w:val="00337715"/>
    <w:rsid w:val="003421A4"/>
    <w:rsid w:val="00344C17"/>
    <w:rsid w:val="00346CE2"/>
    <w:rsid w:val="003667E5"/>
    <w:rsid w:val="00371FC7"/>
    <w:rsid w:val="003765FD"/>
    <w:rsid w:val="003766A9"/>
    <w:rsid w:val="00392D8F"/>
    <w:rsid w:val="003A1415"/>
    <w:rsid w:val="003B0C8B"/>
    <w:rsid w:val="003D1E2A"/>
    <w:rsid w:val="003E7DCA"/>
    <w:rsid w:val="003F138E"/>
    <w:rsid w:val="003F3A42"/>
    <w:rsid w:val="00405623"/>
    <w:rsid w:val="00413A7E"/>
    <w:rsid w:val="00414429"/>
    <w:rsid w:val="004224FF"/>
    <w:rsid w:val="004341A7"/>
    <w:rsid w:val="00443739"/>
    <w:rsid w:val="00460F66"/>
    <w:rsid w:val="00464335"/>
    <w:rsid w:val="00483D94"/>
    <w:rsid w:val="00493AB7"/>
    <w:rsid w:val="004943E9"/>
    <w:rsid w:val="00494A33"/>
    <w:rsid w:val="00497DB5"/>
    <w:rsid w:val="004B50B0"/>
    <w:rsid w:val="004B55FA"/>
    <w:rsid w:val="004C176F"/>
    <w:rsid w:val="004C5292"/>
    <w:rsid w:val="004C6C69"/>
    <w:rsid w:val="004F10E1"/>
    <w:rsid w:val="004F28B6"/>
    <w:rsid w:val="004F3253"/>
    <w:rsid w:val="004F5207"/>
    <w:rsid w:val="00513CBB"/>
    <w:rsid w:val="005238F0"/>
    <w:rsid w:val="00525666"/>
    <w:rsid w:val="00526F32"/>
    <w:rsid w:val="00532AE2"/>
    <w:rsid w:val="005344B6"/>
    <w:rsid w:val="00546B74"/>
    <w:rsid w:val="00555770"/>
    <w:rsid w:val="00557167"/>
    <w:rsid w:val="00577E7C"/>
    <w:rsid w:val="00582F00"/>
    <w:rsid w:val="00583D28"/>
    <w:rsid w:val="005914F3"/>
    <w:rsid w:val="00593550"/>
    <w:rsid w:val="005A4B09"/>
    <w:rsid w:val="005E3FDD"/>
    <w:rsid w:val="005F3F8F"/>
    <w:rsid w:val="00617441"/>
    <w:rsid w:val="006257FE"/>
    <w:rsid w:val="00635FCF"/>
    <w:rsid w:val="00636B48"/>
    <w:rsid w:val="0064105B"/>
    <w:rsid w:val="00646557"/>
    <w:rsid w:val="00663D43"/>
    <w:rsid w:val="00671341"/>
    <w:rsid w:val="00674148"/>
    <w:rsid w:val="00681C63"/>
    <w:rsid w:val="00686E2E"/>
    <w:rsid w:val="00690237"/>
    <w:rsid w:val="00692C5F"/>
    <w:rsid w:val="00695646"/>
    <w:rsid w:val="00695D67"/>
    <w:rsid w:val="00695EF1"/>
    <w:rsid w:val="006A63E0"/>
    <w:rsid w:val="006A7367"/>
    <w:rsid w:val="006C2CAE"/>
    <w:rsid w:val="006C79FF"/>
    <w:rsid w:val="006E7EF4"/>
    <w:rsid w:val="006F590F"/>
    <w:rsid w:val="006F6F2C"/>
    <w:rsid w:val="00706806"/>
    <w:rsid w:val="00712F7E"/>
    <w:rsid w:val="00716226"/>
    <w:rsid w:val="00727973"/>
    <w:rsid w:val="00730867"/>
    <w:rsid w:val="00735971"/>
    <w:rsid w:val="00736758"/>
    <w:rsid w:val="007469BF"/>
    <w:rsid w:val="007476C4"/>
    <w:rsid w:val="007554D9"/>
    <w:rsid w:val="007566A2"/>
    <w:rsid w:val="00763A86"/>
    <w:rsid w:val="00764BF2"/>
    <w:rsid w:val="0077117C"/>
    <w:rsid w:val="00780866"/>
    <w:rsid w:val="00780DBF"/>
    <w:rsid w:val="007902AF"/>
    <w:rsid w:val="00790EB9"/>
    <w:rsid w:val="00797128"/>
    <w:rsid w:val="007A19E1"/>
    <w:rsid w:val="007A50F2"/>
    <w:rsid w:val="007A5369"/>
    <w:rsid w:val="007B4771"/>
    <w:rsid w:val="007C14FE"/>
    <w:rsid w:val="007C2EA4"/>
    <w:rsid w:val="007D0DE6"/>
    <w:rsid w:val="007D1395"/>
    <w:rsid w:val="007D45BC"/>
    <w:rsid w:val="007F3383"/>
    <w:rsid w:val="008018A4"/>
    <w:rsid w:val="00821A27"/>
    <w:rsid w:val="008305FC"/>
    <w:rsid w:val="00835ECA"/>
    <w:rsid w:val="00842990"/>
    <w:rsid w:val="00846C07"/>
    <w:rsid w:val="00847AB0"/>
    <w:rsid w:val="00847AE8"/>
    <w:rsid w:val="00850B40"/>
    <w:rsid w:val="008535B3"/>
    <w:rsid w:val="008544BC"/>
    <w:rsid w:val="00854979"/>
    <w:rsid w:val="00877523"/>
    <w:rsid w:val="0089607A"/>
    <w:rsid w:val="008A18C2"/>
    <w:rsid w:val="008C69C2"/>
    <w:rsid w:val="008C7D98"/>
    <w:rsid w:val="008D1B5A"/>
    <w:rsid w:val="008D1DE0"/>
    <w:rsid w:val="008E5A6F"/>
    <w:rsid w:val="008E7DD3"/>
    <w:rsid w:val="008F01CD"/>
    <w:rsid w:val="00901A58"/>
    <w:rsid w:val="009035FC"/>
    <w:rsid w:val="009076F0"/>
    <w:rsid w:val="009137B3"/>
    <w:rsid w:val="00915032"/>
    <w:rsid w:val="00926A45"/>
    <w:rsid w:val="00937405"/>
    <w:rsid w:val="009434ED"/>
    <w:rsid w:val="009462BA"/>
    <w:rsid w:val="009510D0"/>
    <w:rsid w:val="009579E5"/>
    <w:rsid w:val="00962274"/>
    <w:rsid w:val="009623E4"/>
    <w:rsid w:val="0098196E"/>
    <w:rsid w:val="009843BC"/>
    <w:rsid w:val="00995779"/>
    <w:rsid w:val="00996CAE"/>
    <w:rsid w:val="0099716C"/>
    <w:rsid w:val="00997CA8"/>
    <w:rsid w:val="009A608A"/>
    <w:rsid w:val="009B1A76"/>
    <w:rsid w:val="009C2327"/>
    <w:rsid w:val="009C2C99"/>
    <w:rsid w:val="009C4B17"/>
    <w:rsid w:val="009D78CF"/>
    <w:rsid w:val="009E29D4"/>
    <w:rsid w:val="009E514D"/>
    <w:rsid w:val="00A06E67"/>
    <w:rsid w:val="00A13626"/>
    <w:rsid w:val="00A15CE4"/>
    <w:rsid w:val="00A21E19"/>
    <w:rsid w:val="00A234C6"/>
    <w:rsid w:val="00A23A9A"/>
    <w:rsid w:val="00A2707C"/>
    <w:rsid w:val="00A276BE"/>
    <w:rsid w:val="00A35320"/>
    <w:rsid w:val="00A36C62"/>
    <w:rsid w:val="00A378DD"/>
    <w:rsid w:val="00A437B0"/>
    <w:rsid w:val="00A455E6"/>
    <w:rsid w:val="00A457B5"/>
    <w:rsid w:val="00A51185"/>
    <w:rsid w:val="00A521E0"/>
    <w:rsid w:val="00A55D24"/>
    <w:rsid w:val="00A70BD7"/>
    <w:rsid w:val="00A717FF"/>
    <w:rsid w:val="00A91595"/>
    <w:rsid w:val="00AB2251"/>
    <w:rsid w:val="00AC25ED"/>
    <w:rsid w:val="00AC4082"/>
    <w:rsid w:val="00AC4EA3"/>
    <w:rsid w:val="00AC5ADC"/>
    <w:rsid w:val="00AC6CD6"/>
    <w:rsid w:val="00AD058C"/>
    <w:rsid w:val="00AD6EB1"/>
    <w:rsid w:val="00AE1C46"/>
    <w:rsid w:val="00AF1B30"/>
    <w:rsid w:val="00AF2618"/>
    <w:rsid w:val="00B024E5"/>
    <w:rsid w:val="00B03D4B"/>
    <w:rsid w:val="00B049C6"/>
    <w:rsid w:val="00B108B2"/>
    <w:rsid w:val="00B13D66"/>
    <w:rsid w:val="00B168F2"/>
    <w:rsid w:val="00B17B40"/>
    <w:rsid w:val="00B2405C"/>
    <w:rsid w:val="00B2633A"/>
    <w:rsid w:val="00B516DE"/>
    <w:rsid w:val="00B540C6"/>
    <w:rsid w:val="00B65E51"/>
    <w:rsid w:val="00B6656A"/>
    <w:rsid w:val="00B670C7"/>
    <w:rsid w:val="00B82CD8"/>
    <w:rsid w:val="00B97870"/>
    <w:rsid w:val="00BA172D"/>
    <w:rsid w:val="00BA7CE3"/>
    <w:rsid w:val="00BB3693"/>
    <w:rsid w:val="00BB3786"/>
    <w:rsid w:val="00BB72CD"/>
    <w:rsid w:val="00BC31C9"/>
    <w:rsid w:val="00BD42C7"/>
    <w:rsid w:val="00BE22EB"/>
    <w:rsid w:val="00BF155A"/>
    <w:rsid w:val="00BF687E"/>
    <w:rsid w:val="00C027AD"/>
    <w:rsid w:val="00C154F8"/>
    <w:rsid w:val="00C206A9"/>
    <w:rsid w:val="00C20B58"/>
    <w:rsid w:val="00C3021F"/>
    <w:rsid w:val="00C33208"/>
    <w:rsid w:val="00C40710"/>
    <w:rsid w:val="00C41F67"/>
    <w:rsid w:val="00C60C11"/>
    <w:rsid w:val="00C61F6A"/>
    <w:rsid w:val="00C75A16"/>
    <w:rsid w:val="00C76408"/>
    <w:rsid w:val="00C82E10"/>
    <w:rsid w:val="00C917A9"/>
    <w:rsid w:val="00C92305"/>
    <w:rsid w:val="00C96F77"/>
    <w:rsid w:val="00CA45F0"/>
    <w:rsid w:val="00CA7064"/>
    <w:rsid w:val="00CA737E"/>
    <w:rsid w:val="00CB10AB"/>
    <w:rsid w:val="00CB62D4"/>
    <w:rsid w:val="00CC6A04"/>
    <w:rsid w:val="00CD0F54"/>
    <w:rsid w:val="00CD30A9"/>
    <w:rsid w:val="00CD5067"/>
    <w:rsid w:val="00CE0B3D"/>
    <w:rsid w:val="00CE5EC7"/>
    <w:rsid w:val="00CE74C9"/>
    <w:rsid w:val="00CF5756"/>
    <w:rsid w:val="00D01B5A"/>
    <w:rsid w:val="00D02D99"/>
    <w:rsid w:val="00D03A47"/>
    <w:rsid w:val="00D104BB"/>
    <w:rsid w:val="00D12E5D"/>
    <w:rsid w:val="00D24DE9"/>
    <w:rsid w:val="00D41E15"/>
    <w:rsid w:val="00D44887"/>
    <w:rsid w:val="00D5466B"/>
    <w:rsid w:val="00D5709C"/>
    <w:rsid w:val="00D6644D"/>
    <w:rsid w:val="00D77D03"/>
    <w:rsid w:val="00D82712"/>
    <w:rsid w:val="00D942F5"/>
    <w:rsid w:val="00DA27AA"/>
    <w:rsid w:val="00DA54C3"/>
    <w:rsid w:val="00DB14C7"/>
    <w:rsid w:val="00DB3A17"/>
    <w:rsid w:val="00DC2996"/>
    <w:rsid w:val="00DC5198"/>
    <w:rsid w:val="00DC7E8B"/>
    <w:rsid w:val="00DE05E4"/>
    <w:rsid w:val="00DE50DF"/>
    <w:rsid w:val="00DF4937"/>
    <w:rsid w:val="00DF534E"/>
    <w:rsid w:val="00E03436"/>
    <w:rsid w:val="00E15FA1"/>
    <w:rsid w:val="00E20537"/>
    <w:rsid w:val="00E302DE"/>
    <w:rsid w:val="00E326E3"/>
    <w:rsid w:val="00E4422C"/>
    <w:rsid w:val="00E50A24"/>
    <w:rsid w:val="00E60AB6"/>
    <w:rsid w:val="00E655DA"/>
    <w:rsid w:val="00E75151"/>
    <w:rsid w:val="00E77532"/>
    <w:rsid w:val="00E819BE"/>
    <w:rsid w:val="00E9208E"/>
    <w:rsid w:val="00E94405"/>
    <w:rsid w:val="00E95FF5"/>
    <w:rsid w:val="00EA0125"/>
    <w:rsid w:val="00EA3B90"/>
    <w:rsid w:val="00EB0D75"/>
    <w:rsid w:val="00EB384C"/>
    <w:rsid w:val="00EB42B2"/>
    <w:rsid w:val="00EC318B"/>
    <w:rsid w:val="00EC5D3F"/>
    <w:rsid w:val="00EC6A71"/>
    <w:rsid w:val="00ED6846"/>
    <w:rsid w:val="00EF6278"/>
    <w:rsid w:val="00F01E1E"/>
    <w:rsid w:val="00F034B3"/>
    <w:rsid w:val="00F14AAF"/>
    <w:rsid w:val="00F158E9"/>
    <w:rsid w:val="00F15E77"/>
    <w:rsid w:val="00F27FF2"/>
    <w:rsid w:val="00F34A7A"/>
    <w:rsid w:val="00F421C6"/>
    <w:rsid w:val="00F57194"/>
    <w:rsid w:val="00F65D67"/>
    <w:rsid w:val="00F722F0"/>
    <w:rsid w:val="00F75E3D"/>
    <w:rsid w:val="00F82D52"/>
    <w:rsid w:val="00F83BC3"/>
    <w:rsid w:val="00F85742"/>
    <w:rsid w:val="00F86788"/>
    <w:rsid w:val="00F86D22"/>
    <w:rsid w:val="00F905FA"/>
    <w:rsid w:val="00F974E6"/>
    <w:rsid w:val="00FA14FA"/>
    <w:rsid w:val="00FA3BE8"/>
    <w:rsid w:val="00FB27D6"/>
    <w:rsid w:val="00FB2C6D"/>
    <w:rsid w:val="00FD4687"/>
    <w:rsid w:val="00FD7ABF"/>
    <w:rsid w:val="00FF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5871CB2-E46B-4958-8AFD-58B56177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ECA"/>
  </w:style>
  <w:style w:type="paragraph" w:styleId="Footer">
    <w:name w:val="footer"/>
    <w:basedOn w:val="Normal"/>
    <w:link w:val="FooterChar"/>
    <w:uiPriority w:val="99"/>
    <w:unhideWhenUsed/>
    <w:rsid w:val="0083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ECA"/>
  </w:style>
  <w:style w:type="paragraph" w:styleId="NormalWeb">
    <w:name w:val="Normal (Web)"/>
    <w:basedOn w:val="Normal"/>
    <w:uiPriority w:val="99"/>
    <w:unhideWhenUsed/>
    <w:rsid w:val="00CE0B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7AB0"/>
    <w:rPr>
      <w:i/>
      <w:iCs/>
    </w:rPr>
  </w:style>
  <w:style w:type="character" w:styleId="Strong">
    <w:name w:val="Strong"/>
    <w:basedOn w:val="DefaultParagraphFont"/>
    <w:uiPriority w:val="22"/>
    <w:qFormat/>
    <w:rsid w:val="00EC6A71"/>
    <w:rPr>
      <w:b/>
      <w:bCs/>
    </w:rPr>
  </w:style>
  <w:style w:type="character" w:styleId="Hyperlink">
    <w:name w:val="Hyperlink"/>
    <w:basedOn w:val="DefaultParagraphFont"/>
    <w:uiPriority w:val="99"/>
    <w:unhideWhenUsed/>
    <w:rsid w:val="00B049C6"/>
    <w:rPr>
      <w:color w:val="0563C1" w:themeColor="hyperlink"/>
      <w:u w:val="single"/>
    </w:rPr>
  </w:style>
  <w:style w:type="character" w:styleId="UnresolvedMention">
    <w:name w:val="Unresolved Mention"/>
    <w:basedOn w:val="DefaultParagraphFont"/>
    <w:uiPriority w:val="99"/>
    <w:semiHidden/>
    <w:unhideWhenUsed/>
    <w:rsid w:val="00B049C6"/>
    <w:rPr>
      <w:color w:val="605E5C"/>
      <w:shd w:val="clear" w:color="auto" w:fill="E1DFDD"/>
    </w:rPr>
  </w:style>
  <w:style w:type="paragraph" w:styleId="ListParagraph">
    <w:name w:val="List Paragraph"/>
    <w:basedOn w:val="Normal"/>
    <w:uiPriority w:val="34"/>
    <w:qFormat/>
    <w:rsid w:val="00F65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1737">
      <w:bodyDiv w:val="1"/>
      <w:marLeft w:val="0"/>
      <w:marRight w:val="0"/>
      <w:marTop w:val="0"/>
      <w:marBottom w:val="0"/>
      <w:divBdr>
        <w:top w:val="none" w:sz="0" w:space="0" w:color="auto"/>
        <w:left w:val="none" w:sz="0" w:space="0" w:color="auto"/>
        <w:bottom w:val="none" w:sz="0" w:space="0" w:color="auto"/>
        <w:right w:val="none" w:sz="0" w:space="0" w:color="auto"/>
      </w:divBdr>
    </w:div>
    <w:div w:id="98140144">
      <w:bodyDiv w:val="1"/>
      <w:marLeft w:val="0"/>
      <w:marRight w:val="0"/>
      <w:marTop w:val="0"/>
      <w:marBottom w:val="0"/>
      <w:divBdr>
        <w:top w:val="none" w:sz="0" w:space="0" w:color="auto"/>
        <w:left w:val="none" w:sz="0" w:space="0" w:color="auto"/>
        <w:bottom w:val="none" w:sz="0" w:space="0" w:color="auto"/>
        <w:right w:val="none" w:sz="0" w:space="0" w:color="auto"/>
      </w:divBdr>
    </w:div>
    <w:div w:id="185217969">
      <w:bodyDiv w:val="1"/>
      <w:marLeft w:val="0"/>
      <w:marRight w:val="0"/>
      <w:marTop w:val="0"/>
      <w:marBottom w:val="0"/>
      <w:divBdr>
        <w:top w:val="none" w:sz="0" w:space="0" w:color="auto"/>
        <w:left w:val="none" w:sz="0" w:space="0" w:color="auto"/>
        <w:bottom w:val="none" w:sz="0" w:space="0" w:color="auto"/>
        <w:right w:val="none" w:sz="0" w:space="0" w:color="auto"/>
      </w:divBdr>
    </w:div>
    <w:div w:id="206572516">
      <w:bodyDiv w:val="1"/>
      <w:marLeft w:val="0"/>
      <w:marRight w:val="0"/>
      <w:marTop w:val="0"/>
      <w:marBottom w:val="0"/>
      <w:divBdr>
        <w:top w:val="none" w:sz="0" w:space="0" w:color="auto"/>
        <w:left w:val="none" w:sz="0" w:space="0" w:color="auto"/>
        <w:bottom w:val="none" w:sz="0" w:space="0" w:color="auto"/>
        <w:right w:val="none" w:sz="0" w:space="0" w:color="auto"/>
      </w:divBdr>
    </w:div>
    <w:div w:id="214779466">
      <w:bodyDiv w:val="1"/>
      <w:marLeft w:val="0"/>
      <w:marRight w:val="0"/>
      <w:marTop w:val="0"/>
      <w:marBottom w:val="0"/>
      <w:divBdr>
        <w:top w:val="none" w:sz="0" w:space="0" w:color="auto"/>
        <w:left w:val="none" w:sz="0" w:space="0" w:color="auto"/>
        <w:bottom w:val="none" w:sz="0" w:space="0" w:color="auto"/>
        <w:right w:val="none" w:sz="0" w:space="0" w:color="auto"/>
      </w:divBdr>
    </w:div>
    <w:div w:id="216211112">
      <w:bodyDiv w:val="1"/>
      <w:marLeft w:val="0"/>
      <w:marRight w:val="0"/>
      <w:marTop w:val="0"/>
      <w:marBottom w:val="0"/>
      <w:divBdr>
        <w:top w:val="none" w:sz="0" w:space="0" w:color="auto"/>
        <w:left w:val="none" w:sz="0" w:space="0" w:color="auto"/>
        <w:bottom w:val="none" w:sz="0" w:space="0" w:color="auto"/>
        <w:right w:val="none" w:sz="0" w:space="0" w:color="auto"/>
      </w:divBdr>
    </w:div>
    <w:div w:id="224730528">
      <w:bodyDiv w:val="1"/>
      <w:marLeft w:val="0"/>
      <w:marRight w:val="0"/>
      <w:marTop w:val="0"/>
      <w:marBottom w:val="0"/>
      <w:divBdr>
        <w:top w:val="none" w:sz="0" w:space="0" w:color="auto"/>
        <w:left w:val="none" w:sz="0" w:space="0" w:color="auto"/>
        <w:bottom w:val="none" w:sz="0" w:space="0" w:color="auto"/>
        <w:right w:val="none" w:sz="0" w:space="0" w:color="auto"/>
      </w:divBdr>
    </w:div>
    <w:div w:id="224880292">
      <w:bodyDiv w:val="1"/>
      <w:marLeft w:val="0"/>
      <w:marRight w:val="0"/>
      <w:marTop w:val="0"/>
      <w:marBottom w:val="0"/>
      <w:divBdr>
        <w:top w:val="none" w:sz="0" w:space="0" w:color="auto"/>
        <w:left w:val="none" w:sz="0" w:space="0" w:color="auto"/>
        <w:bottom w:val="none" w:sz="0" w:space="0" w:color="auto"/>
        <w:right w:val="none" w:sz="0" w:space="0" w:color="auto"/>
      </w:divBdr>
    </w:div>
    <w:div w:id="244844966">
      <w:bodyDiv w:val="1"/>
      <w:marLeft w:val="0"/>
      <w:marRight w:val="0"/>
      <w:marTop w:val="0"/>
      <w:marBottom w:val="0"/>
      <w:divBdr>
        <w:top w:val="none" w:sz="0" w:space="0" w:color="auto"/>
        <w:left w:val="none" w:sz="0" w:space="0" w:color="auto"/>
        <w:bottom w:val="none" w:sz="0" w:space="0" w:color="auto"/>
        <w:right w:val="none" w:sz="0" w:space="0" w:color="auto"/>
      </w:divBdr>
    </w:div>
    <w:div w:id="342512072">
      <w:bodyDiv w:val="1"/>
      <w:marLeft w:val="0"/>
      <w:marRight w:val="0"/>
      <w:marTop w:val="0"/>
      <w:marBottom w:val="0"/>
      <w:divBdr>
        <w:top w:val="none" w:sz="0" w:space="0" w:color="auto"/>
        <w:left w:val="none" w:sz="0" w:space="0" w:color="auto"/>
        <w:bottom w:val="none" w:sz="0" w:space="0" w:color="auto"/>
        <w:right w:val="none" w:sz="0" w:space="0" w:color="auto"/>
      </w:divBdr>
    </w:div>
    <w:div w:id="376783757">
      <w:bodyDiv w:val="1"/>
      <w:marLeft w:val="0"/>
      <w:marRight w:val="0"/>
      <w:marTop w:val="0"/>
      <w:marBottom w:val="0"/>
      <w:divBdr>
        <w:top w:val="none" w:sz="0" w:space="0" w:color="auto"/>
        <w:left w:val="none" w:sz="0" w:space="0" w:color="auto"/>
        <w:bottom w:val="none" w:sz="0" w:space="0" w:color="auto"/>
        <w:right w:val="none" w:sz="0" w:space="0" w:color="auto"/>
      </w:divBdr>
    </w:div>
    <w:div w:id="793518458">
      <w:bodyDiv w:val="1"/>
      <w:marLeft w:val="0"/>
      <w:marRight w:val="0"/>
      <w:marTop w:val="0"/>
      <w:marBottom w:val="0"/>
      <w:divBdr>
        <w:top w:val="none" w:sz="0" w:space="0" w:color="auto"/>
        <w:left w:val="none" w:sz="0" w:space="0" w:color="auto"/>
        <w:bottom w:val="none" w:sz="0" w:space="0" w:color="auto"/>
        <w:right w:val="none" w:sz="0" w:space="0" w:color="auto"/>
      </w:divBdr>
    </w:div>
    <w:div w:id="852649175">
      <w:bodyDiv w:val="1"/>
      <w:marLeft w:val="0"/>
      <w:marRight w:val="0"/>
      <w:marTop w:val="0"/>
      <w:marBottom w:val="0"/>
      <w:divBdr>
        <w:top w:val="none" w:sz="0" w:space="0" w:color="auto"/>
        <w:left w:val="none" w:sz="0" w:space="0" w:color="auto"/>
        <w:bottom w:val="none" w:sz="0" w:space="0" w:color="auto"/>
        <w:right w:val="none" w:sz="0" w:space="0" w:color="auto"/>
      </w:divBdr>
    </w:div>
    <w:div w:id="951715890">
      <w:bodyDiv w:val="1"/>
      <w:marLeft w:val="0"/>
      <w:marRight w:val="0"/>
      <w:marTop w:val="0"/>
      <w:marBottom w:val="0"/>
      <w:divBdr>
        <w:top w:val="none" w:sz="0" w:space="0" w:color="auto"/>
        <w:left w:val="none" w:sz="0" w:space="0" w:color="auto"/>
        <w:bottom w:val="none" w:sz="0" w:space="0" w:color="auto"/>
        <w:right w:val="none" w:sz="0" w:space="0" w:color="auto"/>
      </w:divBdr>
    </w:div>
    <w:div w:id="1050150965">
      <w:bodyDiv w:val="1"/>
      <w:marLeft w:val="0"/>
      <w:marRight w:val="0"/>
      <w:marTop w:val="0"/>
      <w:marBottom w:val="0"/>
      <w:divBdr>
        <w:top w:val="none" w:sz="0" w:space="0" w:color="auto"/>
        <w:left w:val="none" w:sz="0" w:space="0" w:color="auto"/>
        <w:bottom w:val="none" w:sz="0" w:space="0" w:color="auto"/>
        <w:right w:val="none" w:sz="0" w:space="0" w:color="auto"/>
      </w:divBdr>
    </w:div>
    <w:div w:id="1085304015">
      <w:bodyDiv w:val="1"/>
      <w:marLeft w:val="0"/>
      <w:marRight w:val="0"/>
      <w:marTop w:val="0"/>
      <w:marBottom w:val="0"/>
      <w:divBdr>
        <w:top w:val="none" w:sz="0" w:space="0" w:color="auto"/>
        <w:left w:val="none" w:sz="0" w:space="0" w:color="auto"/>
        <w:bottom w:val="none" w:sz="0" w:space="0" w:color="auto"/>
        <w:right w:val="none" w:sz="0" w:space="0" w:color="auto"/>
      </w:divBdr>
    </w:div>
    <w:div w:id="1238440400">
      <w:bodyDiv w:val="1"/>
      <w:marLeft w:val="0"/>
      <w:marRight w:val="0"/>
      <w:marTop w:val="0"/>
      <w:marBottom w:val="0"/>
      <w:divBdr>
        <w:top w:val="none" w:sz="0" w:space="0" w:color="auto"/>
        <w:left w:val="none" w:sz="0" w:space="0" w:color="auto"/>
        <w:bottom w:val="none" w:sz="0" w:space="0" w:color="auto"/>
        <w:right w:val="none" w:sz="0" w:space="0" w:color="auto"/>
      </w:divBdr>
    </w:div>
    <w:div w:id="1307272723">
      <w:bodyDiv w:val="1"/>
      <w:marLeft w:val="0"/>
      <w:marRight w:val="0"/>
      <w:marTop w:val="0"/>
      <w:marBottom w:val="0"/>
      <w:divBdr>
        <w:top w:val="none" w:sz="0" w:space="0" w:color="auto"/>
        <w:left w:val="none" w:sz="0" w:space="0" w:color="auto"/>
        <w:bottom w:val="none" w:sz="0" w:space="0" w:color="auto"/>
        <w:right w:val="none" w:sz="0" w:space="0" w:color="auto"/>
      </w:divBdr>
    </w:div>
    <w:div w:id="1360857182">
      <w:bodyDiv w:val="1"/>
      <w:marLeft w:val="0"/>
      <w:marRight w:val="0"/>
      <w:marTop w:val="0"/>
      <w:marBottom w:val="0"/>
      <w:divBdr>
        <w:top w:val="none" w:sz="0" w:space="0" w:color="auto"/>
        <w:left w:val="none" w:sz="0" w:space="0" w:color="auto"/>
        <w:bottom w:val="none" w:sz="0" w:space="0" w:color="auto"/>
        <w:right w:val="none" w:sz="0" w:space="0" w:color="auto"/>
      </w:divBdr>
    </w:div>
    <w:div w:id="1427270753">
      <w:bodyDiv w:val="1"/>
      <w:marLeft w:val="0"/>
      <w:marRight w:val="0"/>
      <w:marTop w:val="0"/>
      <w:marBottom w:val="0"/>
      <w:divBdr>
        <w:top w:val="none" w:sz="0" w:space="0" w:color="auto"/>
        <w:left w:val="none" w:sz="0" w:space="0" w:color="auto"/>
        <w:bottom w:val="none" w:sz="0" w:space="0" w:color="auto"/>
        <w:right w:val="none" w:sz="0" w:space="0" w:color="auto"/>
      </w:divBdr>
    </w:div>
    <w:div w:id="1475684722">
      <w:bodyDiv w:val="1"/>
      <w:marLeft w:val="0"/>
      <w:marRight w:val="0"/>
      <w:marTop w:val="0"/>
      <w:marBottom w:val="0"/>
      <w:divBdr>
        <w:top w:val="none" w:sz="0" w:space="0" w:color="auto"/>
        <w:left w:val="none" w:sz="0" w:space="0" w:color="auto"/>
        <w:bottom w:val="none" w:sz="0" w:space="0" w:color="auto"/>
        <w:right w:val="none" w:sz="0" w:space="0" w:color="auto"/>
      </w:divBdr>
    </w:div>
    <w:div w:id="1484660248">
      <w:bodyDiv w:val="1"/>
      <w:marLeft w:val="0"/>
      <w:marRight w:val="0"/>
      <w:marTop w:val="0"/>
      <w:marBottom w:val="0"/>
      <w:divBdr>
        <w:top w:val="none" w:sz="0" w:space="0" w:color="auto"/>
        <w:left w:val="none" w:sz="0" w:space="0" w:color="auto"/>
        <w:bottom w:val="none" w:sz="0" w:space="0" w:color="auto"/>
        <w:right w:val="none" w:sz="0" w:space="0" w:color="auto"/>
      </w:divBdr>
    </w:div>
    <w:div w:id="1529371504">
      <w:bodyDiv w:val="1"/>
      <w:marLeft w:val="0"/>
      <w:marRight w:val="0"/>
      <w:marTop w:val="0"/>
      <w:marBottom w:val="0"/>
      <w:divBdr>
        <w:top w:val="none" w:sz="0" w:space="0" w:color="auto"/>
        <w:left w:val="none" w:sz="0" w:space="0" w:color="auto"/>
        <w:bottom w:val="none" w:sz="0" w:space="0" w:color="auto"/>
        <w:right w:val="none" w:sz="0" w:space="0" w:color="auto"/>
      </w:divBdr>
    </w:div>
    <w:div w:id="1743717951">
      <w:bodyDiv w:val="1"/>
      <w:marLeft w:val="0"/>
      <w:marRight w:val="0"/>
      <w:marTop w:val="0"/>
      <w:marBottom w:val="0"/>
      <w:divBdr>
        <w:top w:val="none" w:sz="0" w:space="0" w:color="auto"/>
        <w:left w:val="none" w:sz="0" w:space="0" w:color="auto"/>
        <w:bottom w:val="none" w:sz="0" w:space="0" w:color="auto"/>
        <w:right w:val="none" w:sz="0" w:space="0" w:color="auto"/>
      </w:divBdr>
    </w:div>
    <w:div w:id="1835294334">
      <w:bodyDiv w:val="1"/>
      <w:marLeft w:val="0"/>
      <w:marRight w:val="0"/>
      <w:marTop w:val="0"/>
      <w:marBottom w:val="0"/>
      <w:divBdr>
        <w:top w:val="none" w:sz="0" w:space="0" w:color="auto"/>
        <w:left w:val="none" w:sz="0" w:space="0" w:color="auto"/>
        <w:bottom w:val="none" w:sz="0" w:space="0" w:color="auto"/>
        <w:right w:val="none" w:sz="0" w:space="0" w:color="auto"/>
      </w:divBdr>
    </w:div>
    <w:div w:id="1917132098">
      <w:bodyDiv w:val="1"/>
      <w:marLeft w:val="0"/>
      <w:marRight w:val="0"/>
      <w:marTop w:val="0"/>
      <w:marBottom w:val="0"/>
      <w:divBdr>
        <w:top w:val="none" w:sz="0" w:space="0" w:color="auto"/>
        <w:left w:val="none" w:sz="0" w:space="0" w:color="auto"/>
        <w:bottom w:val="none" w:sz="0" w:space="0" w:color="auto"/>
        <w:right w:val="none" w:sz="0" w:space="0" w:color="auto"/>
      </w:divBdr>
    </w:div>
    <w:div w:id="1951080490">
      <w:bodyDiv w:val="1"/>
      <w:marLeft w:val="0"/>
      <w:marRight w:val="0"/>
      <w:marTop w:val="0"/>
      <w:marBottom w:val="0"/>
      <w:divBdr>
        <w:top w:val="none" w:sz="0" w:space="0" w:color="auto"/>
        <w:left w:val="none" w:sz="0" w:space="0" w:color="auto"/>
        <w:bottom w:val="none" w:sz="0" w:space="0" w:color="auto"/>
        <w:right w:val="none" w:sz="0" w:space="0" w:color="auto"/>
      </w:divBdr>
    </w:div>
    <w:div w:id="19527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10</cp:revision>
  <dcterms:created xsi:type="dcterms:W3CDTF">2025-12-03T14:07:00Z</dcterms:created>
  <dcterms:modified xsi:type="dcterms:W3CDTF">2025-12-04T12:30:00Z</dcterms:modified>
</cp:coreProperties>
</file>