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D6E64" w:rsidRPr="00DF6657" w:rsidRDefault="001D6E64" w:rsidP="001D6E64">
      <w:pPr>
        <w:pStyle w:val="Normal1"/>
        <w:jc w:val="right"/>
        <w:rPr>
          <w:rFonts w:ascii="Arial" w:eastAsia="Times New Roman" w:hAnsi="Arial" w:cs="Arial"/>
          <w:b/>
          <w:bCs/>
          <w:color w:val="000000" w:themeColor="text1"/>
          <w:sz w:val="36"/>
          <w:szCs w:val="36"/>
        </w:rPr>
      </w:pPr>
      <w:r w:rsidRPr="00DF6657">
        <w:rPr>
          <w:rFonts w:ascii="Arial" w:eastAsia="Times New Roman" w:hAnsi="Arial" w:cs="Arial"/>
          <w:b/>
          <w:bCs/>
          <w:color w:val="000000" w:themeColor="text1"/>
          <w:sz w:val="36"/>
          <w:szCs w:val="36"/>
        </w:rPr>
        <w:t>A CASE STUDY ON APLASTIC ANEMIA</w:t>
      </w:r>
    </w:p>
    <w:p w:rsidR="00A258C3" w:rsidRPr="00790ADA" w:rsidRDefault="00A258C3" w:rsidP="00441B6F">
      <w:pPr>
        <w:pStyle w:val="Author"/>
        <w:spacing w:line="240" w:lineRule="auto"/>
        <w:jc w:val="both"/>
        <w:rPr>
          <w:rFonts w:ascii="Arial" w:hAnsi="Arial" w:cs="Arial"/>
          <w:sz w:val="36"/>
        </w:rPr>
      </w:pPr>
    </w:p>
    <w:p w:rsidR="00F47C86" w:rsidRDefault="00F47C86" w:rsidP="00DF6657">
      <w:pPr>
        <w:pStyle w:val="Affiliation"/>
        <w:spacing w:after="0" w:line="240" w:lineRule="auto"/>
        <w:rPr>
          <w:rFonts w:ascii="Arial" w:hAnsi="Arial" w:cs="Arial"/>
        </w:rPr>
      </w:pPr>
    </w:p>
    <w:p w:rsidR="002C57D2" w:rsidRPr="00F47C86" w:rsidRDefault="002C57D2" w:rsidP="00441B6F">
      <w:pPr>
        <w:pStyle w:val="Affiliation"/>
        <w:spacing w:after="0" w:line="240" w:lineRule="auto"/>
        <w:jc w:val="both"/>
        <w:rPr>
          <w:rFonts w:ascii="Arial" w:hAnsi="Arial" w:cs="Arial"/>
        </w:rPr>
      </w:pPr>
    </w:p>
    <w:p w:rsidR="00B01FCD" w:rsidRPr="00FB3A86" w:rsidRDefault="00841760" w:rsidP="00441B6F">
      <w:pPr>
        <w:pStyle w:val="Copyright"/>
        <w:spacing w:after="0" w:line="240" w:lineRule="auto"/>
        <w:jc w:val="both"/>
        <w:rPr>
          <w:rFonts w:ascii="Arial" w:hAnsi="Arial" w:cs="Arial"/>
        </w:rPr>
        <w:sectPr w:rsidR="00B01FCD" w:rsidRPr="00FB3A86" w:rsidSect="007147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9607BF" w:rsidRDefault="009607BF" w:rsidP="00441B6F">
      <w:pPr>
        <w:pStyle w:val="AbstHead"/>
        <w:spacing w:after="0"/>
        <w:jc w:val="both"/>
        <w:rPr>
          <w:rFonts w:ascii="Arial" w:hAnsi="Arial" w:cs="Arial"/>
        </w:rPr>
      </w:pP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9607BF" w:rsidRPr="00FB3A86" w:rsidRDefault="009607B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9607BF">
        <w:trPr>
          <w:trHeight w:val="5948"/>
        </w:trPr>
        <w:tc>
          <w:tcPr>
            <w:tcW w:w="9576" w:type="dxa"/>
            <w:shd w:val="clear" w:color="auto" w:fill="F2F2F2"/>
          </w:tcPr>
          <w:p w:rsidR="008F4549" w:rsidRPr="008F4549" w:rsidRDefault="008F4549" w:rsidP="008F4549">
            <w:pPr>
              <w:pStyle w:val="NormalWeb"/>
              <w:jc w:val="both"/>
              <w:rPr>
                <w:rFonts w:ascii="Arial" w:hAnsi="Arial" w:cs="Arial"/>
                <w:sz w:val="20"/>
                <w:szCs w:val="20"/>
              </w:rPr>
            </w:pPr>
            <w:r w:rsidRPr="008F4549">
              <w:rPr>
                <w:rStyle w:val="Strong"/>
                <w:rFonts w:ascii="Arial" w:hAnsi="Arial" w:cs="Arial"/>
                <w:sz w:val="20"/>
                <w:szCs w:val="20"/>
              </w:rPr>
              <w:t>Introduction:</w:t>
            </w:r>
            <w:r w:rsidRPr="008F4549">
              <w:rPr>
                <w:rFonts w:ascii="Arial" w:hAnsi="Arial" w:cs="Arial"/>
                <w:sz w:val="20"/>
                <w:szCs w:val="20"/>
              </w:rPr>
              <w:br/>
              <w:t>Aplastic anemia is a rare but serious hematological disorder characterized by bone marrow failure leading to pancytopenia. The condition often presents with nonspecific symptoms, resulting in delayed diagnosis and an increased risk of life-threatening complications. Early identification and appropriate management are crucial for improving patient outcomes.</w:t>
            </w:r>
          </w:p>
          <w:p w:rsidR="008F4549" w:rsidRPr="008F4549" w:rsidRDefault="00F47C86" w:rsidP="008F4549">
            <w:pPr>
              <w:pStyle w:val="NormalWeb"/>
              <w:jc w:val="both"/>
              <w:rPr>
                <w:rFonts w:ascii="Arial" w:hAnsi="Arial" w:cs="Arial"/>
                <w:sz w:val="20"/>
                <w:szCs w:val="20"/>
              </w:rPr>
            </w:pPr>
            <w:proofErr w:type="spellStart"/>
            <w:r>
              <w:rPr>
                <w:rStyle w:val="Strong"/>
                <w:rFonts w:ascii="Arial" w:hAnsi="Arial" w:cs="Arial"/>
                <w:sz w:val="20"/>
                <w:szCs w:val="20"/>
              </w:rPr>
              <w:t>Case</w:t>
            </w:r>
            <w:r w:rsidR="008F4549" w:rsidRPr="008F4549">
              <w:rPr>
                <w:rStyle w:val="Strong"/>
                <w:rFonts w:ascii="Arial" w:hAnsi="Arial" w:cs="Arial"/>
                <w:sz w:val="20"/>
                <w:szCs w:val="20"/>
              </w:rPr>
              <w:t>Presentation</w:t>
            </w:r>
            <w:proofErr w:type="spellEnd"/>
            <w:r w:rsidR="008F4549" w:rsidRPr="008F4549">
              <w:rPr>
                <w:rStyle w:val="Strong"/>
                <w:rFonts w:ascii="Arial" w:hAnsi="Arial" w:cs="Arial"/>
                <w:sz w:val="20"/>
                <w:szCs w:val="20"/>
              </w:rPr>
              <w:t>:</w:t>
            </w:r>
            <w:r w:rsidR="008F4549" w:rsidRPr="008F4549">
              <w:rPr>
                <w:rFonts w:ascii="Arial" w:hAnsi="Arial" w:cs="Arial"/>
                <w:sz w:val="20"/>
                <w:szCs w:val="20"/>
              </w:rPr>
              <w:br/>
              <w:t>A 23-year-old female with a known history of aplastic anemia presented with heavy menstrual bleeding and generalized weakness. Laboratory investigations revealed severe pancytopenia, including markedly reduced hemoglobin, leukocyte, and platelet counts. Bone marrow findings were consistent with a hypocellular marrow. The patient was treated with supportive measures such as packed red blood cell and platelet transfusions, along with immunosuppressive therapy using cyclosporine and adjunctive agents, including danazol and tranexamic acid.</w:t>
            </w:r>
          </w:p>
          <w:p w:rsidR="008F4549" w:rsidRPr="008F4549" w:rsidRDefault="008F4549" w:rsidP="008F4549">
            <w:pPr>
              <w:pStyle w:val="NormalWeb"/>
              <w:rPr>
                <w:rStyle w:val="Strong"/>
                <w:rFonts w:ascii="Arial" w:hAnsi="Arial" w:cs="Arial"/>
                <w:sz w:val="20"/>
                <w:szCs w:val="20"/>
              </w:rPr>
            </w:pPr>
            <w:r w:rsidRPr="008F4549">
              <w:rPr>
                <w:rStyle w:val="Strong"/>
                <w:rFonts w:ascii="Arial" w:hAnsi="Arial" w:cs="Arial"/>
                <w:sz w:val="20"/>
                <w:szCs w:val="20"/>
              </w:rPr>
              <w:t>Discussion:</w:t>
            </w:r>
            <w:r w:rsidRPr="008F4549">
              <w:rPr>
                <w:rFonts w:ascii="Arial" w:hAnsi="Arial" w:cs="Arial"/>
                <w:sz w:val="20"/>
                <w:szCs w:val="20"/>
              </w:rPr>
              <w:br/>
              <w:t>Aplastic anemia is primarily an immune-mediated disorder characterized by the destruction of hematopoietic stem cells. Accurate differentiation from other causes of pancytopenia is essential for effective management. Immunosuppressive therapy remains the mainstay of treatment for patients who are not eligible for hematopoietic stem cell transplantation, with regular monitoring required to evaluate response and prevent complications.</w:t>
            </w:r>
            <w:r w:rsidRPr="008F4549">
              <w:rPr>
                <w:rStyle w:val="Strong"/>
                <w:rFonts w:ascii="Arial" w:hAnsi="Arial" w:cs="Arial"/>
                <w:sz w:val="20"/>
                <w:szCs w:val="20"/>
              </w:rPr>
              <w:t xml:space="preserve"> </w:t>
            </w:r>
          </w:p>
          <w:p w:rsidR="00505F06" w:rsidRPr="008F4549" w:rsidRDefault="008F4549" w:rsidP="00F47C86">
            <w:pPr>
              <w:pStyle w:val="NormalWeb"/>
              <w:jc w:val="both"/>
            </w:pPr>
            <w:r w:rsidRPr="008F4549">
              <w:rPr>
                <w:rStyle w:val="Strong"/>
                <w:rFonts w:ascii="Arial" w:hAnsi="Arial" w:cs="Arial"/>
                <w:sz w:val="20"/>
                <w:szCs w:val="20"/>
              </w:rPr>
              <w:t>Conclusion:</w:t>
            </w:r>
            <w:r w:rsidRPr="008F4549">
              <w:rPr>
                <w:rFonts w:ascii="Arial" w:hAnsi="Arial" w:cs="Arial"/>
                <w:sz w:val="20"/>
                <w:szCs w:val="20"/>
              </w:rPr>
              <w:br/>
              <w:t>This case emphasizes the challenges in diagnosing and managing aplastic anemia in young adults. Early recognition and timely supportive care with immunosuppressive therapy are crucial for improving clinical outcomes, survival, and quality of life.</w:t>
            </w:r>
          </w:p>
        </w:tc>
      </w:tr>
    </w:tbl>
    <w:p w:rsidR="00636EB2" w:rsidRDefault="00636EB2" w:rsidP="00441B6F">
      <w:pPr>
        <w:pStyle w:val="Body"/>
        <w:spacing w:after="0"/>
        <w:rPr>
          <w:rFonts w:ascii="Arial" w:hAnsi="Arial" w:cs="Arial"/>
          <w:i/>
        </w:rPr>
      </w:pPr>
    </w:p>
    <w:p w:rsidR="00A24E7E" w:rsidRPr="008F4549" w:rsidRDefault="00A24E7E" w:rsidP="00441B6F">
      <w:pPr>
        <w:pStyle w:val="Body"/>
        <w:spacing w:after="0"/>
        <w:rPr>
          <w:rFonts w:ascii="Arial" w:hAnsi="Arial" w:cs="Arial"/>
          <w:i/>
        </w:rPr>
      </w:pPr>
      <w:r>
        <w:rPr>
          <w:rFonts w:ascii="Arial" w:hAnsi="Arial" w:cs="Arial"/>
          <w:i/>
        </w:rPr>
        <w:t>Keywords</w:t>
      </w:r>
      <w:r w:rsidRPr="008F4549">
        <w:rPr>
          <w:rFonts w:ascii="Arial" w:hAnsi="Arial" w:cs="Arial"/>
        </w:rPr>
        <w:t xml:space="preserve">: </w:t>
      </w:r>
      <w:r w:rsidR="008F4549" w:rsidRPr="008F4549">
        <w:rPr>
          <w:rFonts w:ascii="Arial" w:hAnsi="Arial" w:cs="Arial"/>
          <w:i/>
        </w:rPr>
        <w:t>Aplastic anemia; Pancytopenia; Bone marrow failure; Immun</w:t>
      </w:r>
      <w:r w:rsidR="008F4549">
        <w:rPr>
          <w:rFonts w:ascii="Arial" w:hAnsi="Arial" w:cs="Arial"/>
          <w:i/>
        </w:rPr>
        <w:t>osuppressive therapy.</w:t>
      </w:r>
    </w:p>
    <w:p w:rsidR="0024282C" w:rsidRDefault="0024282C" w:rsidP="00441B6F">
      <w:pPr>
        <w:pStyle w:val="Body"/>
        <w:spacing w:after="0"/>
        <w:rPr>
          <w:rFonts w:ascii="Arial" w:hAnsi="Arial" w:cs="Arial"/>
          <w:i/>
          <w:sz w:val="18"/>
        </w:rPr>
      </w:pPr>
    </w:p>
    <w:p w:rsidR="008F4549" w:rsidRDefault="008F4549" w:rsidP="00441B6F">
      <w:pPr>
        <w:pStyle w:val="Body"/>
        <w:spacing w:after="0"/>
        <w:rPr>
          <w:rFonts w:ascii="Arial" w:hAnsi="Arial" w:cs="Arial"/>
          <w:i/>
          <w:sz w:val="18"/>
        </w:rPr>
      </w:pPr>
    </w:p>
    <w:p w:rsidR="008F4549" w:rsidRDefault="008F4549" w:rsidP="00441B6F">
      <w:pPr>
        <w:pStyle w:val="Body"/>
        <w:spacing w:after="0"/>
        <w:rPr>
          <w:rFonts w:ascii="Arial" w:hAnsi="Arial" w:cs="Arial"/>
          <w:i/>
          <w:sz w:val="18"/>
        </w:rPr>
      </w:pPr>
    </w:p>
    <w:p w:rsidR="00505F06" w:rsidRDefault="00505F06" w:rsidP="00441B6F">
      <w:pPr>
        <w:pStyle w:val="Body"/>
        <w:spacing w:after="0"/>
        <w:rPr>
          <w:rFonts w:ascii="Arial" w:hAnsi="Arial" w:cs="Arial"/>
          <w:i/>
        </w:rPr>
      </w:pPr>
    </w:p>
    <w:p w:rsidR="00EC3F53" w:rsidRPr="00A24E7E" w:rsidRDefault="00EC3F53" w:rsidP="00441B6F">
      <w:pPr>
        <w:pStyle w:val="Body"/>
        <w:spacing w:after="0"/>
        <w:rPr>
          <w:rFonts w:ascii="Arial" w:hAnsi="Arial" w:cs="Arial"/>
          <w:i/>
        </w:rPr>
      </w:pPr>
    </w:p>
    <w:p w:rsidR="00790ADA" w:rsidRDefault="00B01FCD" w:rsidP="00C66462">
      <w:pPr>
        <w:pStyle w:val="AbstHead"/>
        <w:numPr>
          <w:ilvl w:val="0"/>
          <w:numId w:val="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F47C86" w:rsidRPr="00FB3A86" w:rsidRDefault="00F47C86" w:rsidP="00F47C86">
      <w:pPr>
        <w:pStyle w:val="AbstHead"/>
        <w:spacing w:after="0"/>
        <w:ind w:left="720"/>
        <w:jc w:val="both"/>
        <w:rPr>
          <w:rFonts w:ascii="Arial" w:hAnsi="Arial" w:cs="Arial"/>
        </w:rPr>
      </w:pPr>
    </w:p>
    <w:p w:rsidR="00505F06" w:rsidRDefault="00EC3F53" w:rsidP="00441B6F">
      <w:pPr>
        <w:pStyle w:val="Body"/>
        <w:spacing w:after="0"/>
        <w:rPr>
          <w:rFonts w:ascii="Arial" w:hAnsi="Arial" w:cs="Arial"/>
        </w:rPr>
      </w:pPr>
      <w:r w:rsidRPr="00EC3F53">
        <w:rPr>
          <w:rFonts w:ascii="Arial" w:hAnsi="Arial" w:cs="Arial"/>
        </w:rPr>
        <w:t>Aplastic anemia (AA) is a rare, heterogeneous disorder, characterized by failure of hematopoiesis and leads to bone marrow aplasia and pancytopenia.</w:t>
      </w:r>
      <w:r w:rsidRPr="00EC3F53">
        <w:rPr>
          <w:rFonts w:ascii="Arial" w:hAnsi="Arial" w:cs="Arial"/>
          <w:vertAlign w:val="superscript"/>
        </w:rPr>
        <w:t xml:space="preserve">[1] </w:t>
      </w:r>
      <w:r w:rsidRPr="00EC3F53">
        <w:rPr>
          <w:rFonts w:ascii="Arial" w:hAnsi="Arial" w:cs="Arial"/>
        </w:rPr>
        <w:t xml:space="preserve">Paul Ehrlich introduced the concept of aplastic anemia in 1888 when he studied a case of a pregnant woman who died of bone marrow failure. However it was not until 1904 that Anatole </w:t>
      </w:r>
      <w:proofErr w:type="spellStart"/>
      <w:r w:rsidRPr="00EC3F53">
        <w:rPr>
          <w:rFonts w:ascii="Arial" w:hAnsi="Arial" w:cs="Arial"/>
        </w:rPr>
        <w:t>Chauffard</w:t>
      </w:r>
      <w:proofErr w:type="spellEnd"/>
      <w:r w:rsidRPr="00EC3F53">
        <w:rPr>
          <w:rFonts w:ascii="Arial" w:hAnsi="Arial" w:cs="Arial"/>
        </w:rPr>
        <w:t xml:space="preserve"> named this disorder aplastic </w:t>
      </w:r>
      <w:proofErr w:type="gramStart"/>
      <w:r w:rsidRPr="00EC3F53">
        <w:rPr>
          <w:rFonts w:ascii="Arial" w:hAnsi="Arial" w:cs="Arial"/>
        </w:rPr>
        <w:t>anemia</w:t>
      </w:r>
      <w:r>
        <w:rPr>
          <w:rFonts w:ascii="Arial" w:hAnsi="Arial" w:cs="Arial"/>
        </w:rPr>
        <w:t>.</w:t>
      </w:r>
      <w:r w:rsidRPr="00EC3F53">
        <w:rPr>
          <w:rFonts w:ascii="Arial" w:hAnsi="Arial" w:cs="Arial"/>
          <w:vertAlign w:val="superscript"/>
        </w:rPr>
        <w:t>[</w:t>
      </w:r>
      <w:proofErr w:type="gramEnd"/>
      <w:r w:rsidRPr="00EC3F53">
        <w:rPr>
          <w:rFonts w:ascii="Arial" w:hAnsi="Arial" w:cs="Arial"/>
          <w:vertAlign w:val="superscript"/>
        </w:rPr>
        <w:t>2]</w:t>
      </w:r>
    </w:p>
    <w:p w:rsidR="00790ADA" w:rsidRDefault="00790ADA" w:rsidP="00441B6F">
      <w:pPr>
        <w:pStyle w:val="Body"/>
        <w:spacing w:after="0"/>
        <w:rPr>
          <w:rFonts w:ascii="Arial" w:hAnsi="Arial" w:cs="Arial"/>
        </w:rPr>
      </w:pPr>
    </w:p>
    <w:p w:rsidR="00EC3F53" w:rsidRPr="00EC3F53" w:rsidRDefault="00EC3F53" w:rsidP="00C66462">
      <w:pPr>
        <w:pStyle w:val="Body"/>
        <w:numPr>
          <w:ilvl w:val="0"/>
          <w:numId w:val="2"/>
        </w:numPr>
        <w:rPr>
          <w:rFonts w:ascii="Arial" w:hAnsi="Arial" w:cs="Arial"/>
          <w:b/>
          <w:sz w:val="22"/>
          <w:szCs w:val="22"/>
        </w:rPr>
      </w:pPr>
      <w:r w:rsidRPr="00EC3F53">
        <w:rPr>
          <w:rFonts w:ascii="Arial" w:hAnsi="Arial" w:cs="Arial"/>
          <w:b/>
          <w:sz w:val="22"/>
          <w:szCs w:val="22"/>
        </w:rPr>
        <w:t xml:space="preserve">Epidemiology </w:t>
      </w:r>
      <w:r w:rsidRPr="00EC3F53">
        <w:rPr>
          <w:rFonts w:ascii="Arial" w:hAnsi="Arial" w:cs="Arial"/>
          <w:b/>
          <w:sz w:val="22"/>
          <w:szCs w:val="22"/>
        </w:rPr>
        <w:tab/>
      </w:r>
    </w:p>
    <w:p w:rsidR="00EC3F53" w:rsidRDefault="00EC3F53" w:rsidP="00EC3F53">
      <w:pPr>
        <w:pStyle w:val="Body"/>
        <w:spacing w:after="0"/>
        <w:rPr>
          <w:rFonts w:ascii="Arial" w:hAnsi="Arial" w:cs="Arial"/>
        </w:rPr>
      </w:pPr>
      <w:r w:rsidRPr="00EC3F53">
        <w:rPr>
          <w:rFonts w:ascii="Arial" w:hAnsi="Arial" w:cs="Arial"/>
        </w:rPr>
        <w:lastRenderedPageBreak/>
        <w:t>The overall incidence is 2.34 per million inhabitants per year and the incidence increased with age. The sex-specific incidence rates were 2.54 for males and 2.16 for females</w:t>
      </w:r>
      <w:r>
        <w:rPr>
          <w:rFonts w:ascii="Arial" w:hAnsi="Arial" w:cs="Arial"/>
        </w:rPr>
        <w:t>.</w:t>
      </w:r>
      <w:r w:rsidRPr="00EC3F53">
        <w:rPr>
          <w:rFonts w:ascii="Arial" w:hAnsi="Arial" w:cs="Arial"/>
          <w:vertAlign w:val="superscript"/>
        </w:rPr>
        <w:t>[3]</w:t>
      </w:r>
      <w:r>
        <w:rPr>
          <w:rFonts w:ascii="Arial" w:hAnsi="Arial" w:cs="Arial"/>
          <w:vertAlign w:val="superscript"/>
        </w:rPr>
        <w:t xml:space="preserve"> </w:t>
      </w:r>
    </w:p>
    <w:p w:rsidR="00EC3F53" w:rsidRDefault="00EC3F53" w:rsidP="00F47C86">
      <w:pPr>
        <w:pStyle w:val="Body"/>
        <w:spacing w:after="0"/>
        <w:rPr>
          <w:rFonts w:ascii="Arial" w:hAnsi="Arial" w:cs="Arial"/>
        </w:rPr>
      </w:pPr>
    </w:p>
    <w:p w:rsidR="00F47C86" w:rsidRDefault="00F47C86" w:rsidP="00C66462">
      <w:pPr>
        <w:pStyle w:val="Body"/>
        <w:numPr>
          <w:ilvl w:val="0"/>
          <w:numId w:val="2"/>
        </w:numPr>
        <w:spacing w:after="0"/>
        <w:rPr>
          <w:rFonts w:ascii="Arial" w:hAnsi="Arial" w:cs="Arial"/>
          <w:b/>
          <w:sz w:val="22"/>
          <w:szCs w:val="22"/>
        </w:rPr>
      </w:pPr>
      <w:r w:rsidRPr="00F47C86">
        <w:rPr>
          <w:rFonts w:ascii="Arial" w:hAnsi="Arial" w:cs="Arial"/>
          <w:b/>
          <w:sz w:val="22"/>
          <w:szCs w:val="22"/>
        </w:rPr>
        <w:t>Etiology</w:t>
      </w:r>
    </w:p>
    <w:p w:rsidR="00F47C86" w:rsidRDefault="00F47C86" w:rsidP="00F47C86">
      <w:pPr>
        <w:pStyle w:val="Body"/>
        <w:spacing w:after="0"/>
        <w:ind w:left="360"/>
        <w:rPr>
          <w:rFonts w:ascii="Arial" w:hAnsi="Arial" w:cs="Arial"/>
          <w:b/>
          <w:sz w:val="22"/>
          <w:szCs w:val="22"/>
        </w:rPr>
      </w:pPr>
    </w:p>
    <w:p w:rsidR="00F47C86" w:rsidRPr="00F47C86" w:rsidRDefault="00F47C86" w:rsidP="00C66462">
      <w:pPr>
        <w:pStyle w:val="Body"/>
        <w:numPr>
          <w:ilvl w:val="0"/>
          <w:numId w:val="3"/>
        </w:numPr>
        <w:rPr>
          <w:rFonts w:ascii="Arial" w:hAnsi="Arial" w:cs="Arial"/>
        </w:rPr>
      </w:pPr>
      <w:r w:rsidRPr="00F47C86">
        <w:rPr>
          <w:rFonts w:ascii="Arial" w:hAnsi="Arial" w:cs="Arial"/>
        </w:rPr>
        <w:t>Most cases of Aplastic Anemia are idiopathic (cause unknown).</w:t>
      </w:r>
    </w:p>
    <w:p w:rsidR="00F47C86" w:rsidRPr="00C3108B" w:rsidRDefault="00F47C86" w:rsidP="00C3108B">
      <w:pPr>
        <w:pStyle w:val="Body"/>
        <w:numPr>
          <w:ilvl w:val="0"/>
          <w:numId w:val="3"/>
        </w:numPr>
        <w:rPr>
          <w:rFonts w:ascii="Arial" w:hAnsi="Arial" w:cs="Arial"/>
        </w:rPr>
      </w:pPr>
      <w:r w:rsidRPr="00F47C86">
        <w:rPr>
          <w:rFonts w:ascii="Arial" w:hAnsi="Arial" w:cs="Arial"/>
        </w:rPr>
        <w:t>Aplastic Anemia may also be caused by :</w:t>
      </w:r>
      <w:r w:rsidR="00C3108B">
        <w:rPr>
          <w:rFonts w:ascii="Arial" w:hAnsi="Arial" w:cs="Arial"/>
        </w:rPr>
        <w:t xml:space="preserve"> </w:t>
      </w:r>
      <w:r w:rsidRPr="00C3108B">
        <w:rPr>
          <w:rFonts w:ascii="Arial" w:hAnsi="Arial" w:cs="Arial"/>
        </w:rPr>
        <w:t>Cytotoxic drugs (e.g., Chloramphenicol, gold)</w:t>
      </w:r>
      <w:r w:rsidR="00C3108B">
        <w:rPr>
          <w:rFonts w:ascii="Arial" w:hAnsi="Arial" w:cs="Arial"/>
        </w:rPr>
        <w:t xml:space="preserve">, </w:t>
      </w:r>
      <w:r w:rsidRPr="00C3108B">
        <w:rPr>
          <w:rFonts w:ascii="Arial" w:hAnsi="Arial" w:cs="Arial"/>
        </w:rPr>
        <w:t>Radiation exposure</w:t>
      </w:r>
      <w:r w:rsidR="00C3108B">
        <w:rPr>
          <w:rFonts w:ascii="Arial" w:hAnsi="Arial" w:cs="Arial"/>
        </w:rPr>
        <w:t xml:space="preserve">, </w:t>
      </w:r>
      <w:r w:rsidRPr="00C3108B">
        <w:rPr>
          <w:rFonts w:ascii="Arial" w:hAnsi="Arial" w:cs="Arial"/>
        </w:rPr>
        <w:t>Toxic chemicals (e.g., Benzene, solvents and glue vapors)</w:t>
      </w:r>
      <w:r w:rsidR="00C3108B">
        <w:rPr>
          <w:rFonts w:ascii="Arial" w:hAnsi="Arial" w:cs="Arial"/>
        </w:rPr>
        <w:t xml:space="preserve">, </w:t>
      </w:r>
      <w:r w:rsidRPr="00C3108B">
        <w:rPr>
          <w:rFonts w:ascii="Arial" w:hAnsi="Arial" w:cs="Arial"/>
        </w:rPr>
        <w:t>Viral infections (e.g., Epstein–Barr virus and seronegative non A–G hepatitis)</w:t>
      </w:r>
      <w:r w:rsidR="00C3108B">
        <w:rPr>
          <w:rFonts w:ascii="Arial" w:hAnsi="Arial" w:cs="Arial"/>
        </w:rPr>
        <w:t xml:space="preserve">, </w:t>
      </w:r>
      <w:r w:rsidRPr="00C3108B">
        <w:rPr>
          <w:rFonts w:ascii="Arial" w:hAnsi="Arial" w:cs="Arial"/>
        </w:rPr>
        <w:t>Immune-related disorders (e.g., Eosinophilic fasciitis, systemic lupus erythematosus (SLE) and graft-versus-host disease).</w:t>
      </w:r>
      <w:r w:rsidRPr="00C3108B">
        <w:rPr>
          <w:rFonts w:ascii="Arial" w:hAnsi="Arial" w:cs="Arial"/>
          <w:vertAlign w:val="superscript"/>
        </w:rPr>
        <w:t>[2]</w:t>
      </w:r>
    </w:p>
    <w:p w:rsidR="00F47C86" w:rsidRDefault="00F47C86" w:rsidP="00F47C86">
      <w:pPr>
        <w:pStyle w:val="Body"/>
        <w:rPr>
          <w:rFonts w:ascii="Arial" w:hAnsi="Arial" w:cs="Arial"/>
        </w:rPr>
      </w:pPr>
    </w:p>
    <w:p w:rsidR="00F47C86" w:rsidRPr="00F47C86" w:rsidRDefault="00F47C86" w:rsidP="00C66462">
      <w:pPr>
        <w:pStyle w:val="Body"/>
        <w:numPr>
          <w:ilvl w:val="0"/>
          <w:numId w:val="2"/>
        </w:numPr>
        <w:rPr>
          <w:rFonts w:ascii="Arial" w:hAnsi="Arial" w:cs="Arial"/>
          <w:sz w:val="22"/>
          <w:szCs w:val="22"/>
        </w:rPr>
      </w:pPr>
      <w:r w:rsidRPr="00F47C86">
        <w:rPr>
          <w:rFonts w:ascii="Arial" w:hAnsi="Arial" w:cs="Arial"/>
          <w:b/>
          <w:sz w:val="22"/>
          <w:szCs w:val="22"/>
        </w:rPr>
        <w:t xml:space="preserve">Pathophysiology </w:t>
      </w:r>
    </w:p>
    <w:p w:rsidR="00F47C86" w:rsidRPr="00F47C86" w:rsidRDefault="00F47C86" w:rsidP="00C3108B">
      <w:pPr>
        <w:pStyle w:val="Body"/>
        <w:ind w:left="360"/>
        <w:jc w:val="center"/>
        <w:rPr>
          <w:rFonts w:ascii="Arial" w:hAnsi="Arial" w:cs="Arial"/>
          <w:sz w:val="22"/>
          <w:szCs w:val="22"/>
        </w:rPr>
      </w:pPr>
      <w:r w:rsidRPr="00F47C86">
        <w:rPr>
          <w:rFonts w:ascii="Arial" w:hAnsi="Arial" w:cs="Arial"/>
          <w:noProof/>
          <w:sz w:val="22"/>
          <w:szCs w:val="22"/>
        </w:rPr>
        <w:drawing>
          <wp:inline distT="0" distB="0" distL="0" distR="0">
            <wp:extent cx="6298461" cy="4403751"/>
            <wp:effectExtent l="19050" t="0" r="7089" b="0"/>
            <wp:docPr id="1" name="Picture 1" descr="WhatsApp Image 2025-12-28 at 11.37.48 AM.jpeg"/>
            <wp:cNvGraphicFramePr/>
            <a:graphic xmlns:a="http://schemas.openxmlformats.org/drawingml/2006/main">
              <a:graphicData uri="http://schemas.openxmlformats.org/drawingml/2006/picture">
                <pic:pic xmlns:pic="http://schemas.openxmlformats.org/drawingml/2006/picture">
                  <pic:nvPicPr>
                    <pic:cNvPr id="0" name="image1.jpg" descr="WhatsApp Image 2025-12-28 at 11.37.48 AM.jpeg"/>
                    <pic:cNvPicPr preferRelativeResize="0"/>
                  </pic:nvPicPr>
                  <pic:blipFill>
                    <a:blip r:embed="rId14" cstate="print"/>
                    <a:srcRect/>
                    <a:stretch>
                      <a:fillRect/>
                    </a:stretch>
                  </pic:blipFill>
                  <pic:spPr>
                    <a:xfrm>
                      <a:off x="0" y="0"/>
                      <a:ext cx="6304644" cy="4408074"/>
                    </a:xfrm>
                    <a:prstGeom prst="rect">
                      <a:avLst/>
                    </a:prstGeom>
                    <a:ln/>
                  </pic:spPr>
                </pic:pic>
              </a:graphicData>
            </a:graphic>
          </wp:inline>
        </w:drawing>
      </w:r>
    </w:p>
    <w:p w:rsidR="005A32F5" w:rsidRDefault="00F47C86" w:rsidP="00C3108B">
      <w:pPr>
        <w:pStyle w:val="Body"/>
        <w:spacing w:after="0"/>
        <w:jc w:val="center"/>
        <w:rPr>
          <w:rFonts w:ascii="Arial" w:hAnsi="Arial" w:cs="Arial"/>
          <w:b/>
          <w:sz w:val="22"/>
          <w:szCs w:val="22"/>
        </w:rPr>
      </w:pPr>
      <w:r w:rsidRPr="00F47C86">
        <w:rPr>
          <w:rFonts w:ascii="Arial" w:hAnsi="Arial" w:cs="Arial"/>
          <w:b/>
          <w:sz w:val="22"/>
          <w:szCs w:val="22"/>
        </w:rPr>
        <w:t>Fig. 1. Pathophysiology of aplastic anemia</w:t>
      </w:r>
    </w:p>
    <w:p w:rsidR="00F47C86" w:rsidRDefault="00F47C86" w:rsidP="00F47C86">
      <w:pPr>
        <w:pStyle w:val="Body"/>
        <w:spacing w:after="0"/>
        <w:rPr>
          <w:rFonts w:ascii="Arial" w:hAnsi="Arial" w:cs="Arial"/>
          <w:b/>
          <w:sz w:val="22"/>
          <w:szCs w:val="22"/>
        </w:rPr>
      </w:pPr>
    </w:p>
    <w:p w:rsidR="005A32F5" w:rsidRDefault="005A32F5" w:rsidP="00C66462">
      <w:pPr>
        <w:pStyle w:val="Body"/>
        <w:numPr>
          <w:ilvl w:val="0"/>
          <w:numId w:val="2"/>
        </w:numPr>
        <w:spacing w:after="0"/>
        <w:rPr>
          <w:rFonts w:ascii="Arial" w:hAnsi="Arial" w:cs="Arial"/>
          <w:b/>
          <w:sz w:val="22"/>
          <w:szCs w:val="22"/>
        </w:rPr>
      </w:pPr>
      <w:r>
        <w:rPr>
          <w:rFonts w:ascii="Arial" w:hAnsi="Arial" w:cs="Arial"/>
          <w:b/>
          <w:sz w:val="22"/>
          <w:szCs w:val="22"/>
        </w:rPr>
        <w:t>Clinical manifestations</w:t>
      </w:r>
    </w:p>
    <w:p w:rsidR="005A32F5" w:rsidRDefault="005A32F5" w:rsidP="005A32F5">
      <w:pPr>
        <w:pStyle w:val="Body"/>
        <w:spacing w:after="0"/>
        <w:ind w:left="360"/>
        <w:rPr>
          <w:rFonts w:ascii="Arial" w:hAnsi="Arial" w:cs="Arial"/>
          <w:b/>
          <w:sz w:val="22"/>
          <w:szCs w:val="22"/>
        </w:rPr>
      </w:pPr>
    </w:p>
    <w:p w:rsidR="005A32F5" w:rsidRPr="005A32F5" w:rsidRDefault="005A32F5" w:rsidP="005A32F5">
      <w:pPr>
        <w:pStyle w:val="Body"/>
        <w:ind w:left="360"/>
        <w:rPr>
          <w:rFonts w:ascii="Arial" w:hAnsi="Arial" w:cs="Arial"/>
        </w:rPr>
      </w:pPr>
      <w:r w:rsidRPr="005A32F5">
        <w:rPr>
          <w:rFonts w:ascii="Arial" w:hAnsi="Arial" w:cs="Arial"/>
        </w:rPr>
        <w:t xml:space="preserve">Signs of </w:t>
      </w:r>
      <w:proofErr w:type="gramStart"/>
      <w:r w:rsidRPr="005A32F5">
        <w:rPr>
          <w:rFonts w:ascii="Arial" w:hAnsi="Arial" w:cs="Arial"/>
        </w:rPr>
        <w:t>pancytopenia :</w:t>
      </w:r>
      <w:proofErr w:type="gramEnd"/>
      <w:r w:rsidRPr="005A32F5">
        <w:rPr>
          <w:rFonts w:ascii="Arial" w:hAnsi="Arial" w:cs="Arial"/>
        </w:rPr>
        <w:t>-</w:t>
      </w:r>
    </w:p>
    <w:p w:rsidR="005A32F5" w:rsidRPr="005A32F5" w:rsidRDefault="005A32F5" w:rsidP="00C66462">
      <w:pPr>
        <w:pStyle w:val="Body"/>
        <w:numPr>
          <w:ilvl w:val="0"/>
          <w:numId w:val="6"/>
        </w:numPr>
        <w:rPr>
          <w:rFonts w:ascii="Arial" w:hAnsi="Arial" w:cs="Arial"/>
        </w:rPr>
      </w:pPr>
      <w:proofErr w:type="gramStart"/>
      <w:r w:rsidRPr="005A32F5">
        <w:rPr>
          <w:rFonts w:ascii="Arial" w:hAnsi="Arial" w:cs="Arial"/>
          <w:u w:val="single"/>
        </w:rPr>
        <w:t>Anemia</w:t>
      </w:r>
      <w:r w:rsidRPr="005A32F5">
        <w:rPr>
          <w:rFonts w:ascii="Arial" w:hAnsi="Arial" w:cs="Arial"/>
        </w:rPr>
        <w:t xml:space="preserve"> :</w:t>
      </w:r>
      <w:proofErr w:type="gramEnd"/>
      <w:r w:rsidRPr="005A32F5">
        <w:rPr>
          <w:rFonts w:ascii="Arial" w:hAnsi="Arial" w:cs="Arial"/>
        </w:rPr>
        <w:t xml:space="preserve"> Pallor, tachycardia, dyspnea.</w:t>
      </w:r>
    </w:p>
    <w:p w:rsidR="005A32F5" w:rsidRPr="005A32F5" w:rsidRDefault="005A32F5" w:rsidP="00C66462">
      <w:pPr>
        <w:pStyle w:val="Body"/>
        <w:numPr>
          <w:ilvl w:val="0"/>
          <w:numId w:val="6"/>
        </w:numPr>
        <w:rPr>
          <w:rFonts w:ascii="Arial" w:hAnsi="Arial" w:cs="Arial"/>
        </w:rPr>
      </w:pPr>
      <w:proofErr w:type="gramStart"/>
      <w:r w:rsidRPr="005A32F5">
        <w:rPr>
          <w:rFonts w:ascii="Arial" w:hAnsi="Arial" w:cs="Arial"/>
          <w:u w:val="single"/>
        </w:rPr>
        <w:t>Neutropenia</w:t>
      </w:r>
      <w:r w:rsidRPr="005A32F5">
        <w:rPr>
          <w:rFonts w:ascii="Arial" w:hAnsi="Arial" w:cs="Arial"/>
        </w:rPr>
        <w:t xml:space="preserve"> :</w:t>
      </w:r>
      <w:proofErr w:type="gramEnd"/>
      <w:r w:rsidRPr="005A32F5">
        <w:rPr>
          <w:rFonts w:ascii="Arial" w:hAnsi="Arial" w:cs="Arial"/>
        </w:rPr>
        <w:t xml:space="preserve"> Fever, signs of infection.</w:t>
      </w:r>
    </w:p>
    <w:p w:rsidR="005A32F5" w:rsidRDefault="005A32F5" w:rsidP="00C3108B">
      <w:pPr>
        <w:pStyle w:val="Body"/>
        <w:numPr>
          <w:ilvl w:val="0"/>
          <w:numId w:val="6"/>
        </w:numPr>
        <w:rPr>
          <w:rFonts w:ascii="Arial" w:hAnsi="Arial" w:cs="Arial"/>
        </w:rPr>
      </w:pPr>
      <w:r w:rsidRPr="005A32F5">
        <w:rPr>
          <w:rFonts w:ascii="Arial" w:hAnsi="Arial" w:cs="Arial"/>
          <w:u w:val="single"/>
        </w:rPr>
        <w:t>Thrombocytopenia</w:t>
      </w:r>
      <w:r w:rsidRPr="005A32F5">
        <w:rPr>
          <w:rFonts w:ascii="Arial" w:hAnsi="Arial" w:cs="Arial"/>
        </w:rPr>
        <w:t xml:space="preserve"> : Petechiae, bruising, mucosal ble</w:t>
      </w:r>
      <w:r>
        <w:rPr>
          <w:rFonts w:ascii="Arial" w:hAnsi="Arial" w:cs="Arial"/>
        </w:rPr>
        <w:t>eding.</w:t>
      </w:r>
      <w:r w:rsidRPr="005A32F5">
        <w:rPr>
          <w:rFonts w:ascii="Arial" w:hAnsi="Arial" w:cs="Arial"/>
          <w:vertAlign w:val="superscript"/>
        </w:rPr>
        <w:t>[5]</w:t>
      </w:r>
    </w:p>
    <w:p w:rsidR="005A32F5" w:rsidRDefault="005A32F5" w:rsidP="00C66462">
      <w:pPr>
        <w:pStyle w:val="Body"/>
        <w:numPr>
          <w:ilvl w:val="0"/>
          <w:numId w:val="2"/>
        </w:numPr>
        <w:rPr>
          <w:rFonts w:ascii="Arial" w:hAnsi="Arial" w:cs="Arial"/>
          <w:b/>
          <w:sz w:val="22"/>
          <w:szCs w:val="22"/>
        </w:rPr>
      </w:pPr>
      <w:r w:rsidRPr="005A32F5">
        <w:rPr>
          <w:rFonts w:ascii="Arial" w:hAnsi="Arial" w:cs="Arial"/>
          <w:b/>
          <w:sz w:val="22"/>
          <w:szCs w:val="22"/>
        </w:rPr>
        <w:lastRenderedPageBreak/>
        <w:t xml:space="preserve">Diagnosis </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Full blood </w:t>
      </w:r>
      <w:proofErr w:type="gramStart"/>
      <w:r w:rsidRPr="005A32F5">
        <w:rPr>
          <w:rFonts w:ascii="Arial" w:hAnsi="Arial" w:cs="Arial"/>
          <w:u w:val="single"/>
        </w:rPr>
        <w:t>count</w:t>
      </w:r>
      <w:r w:rsidRPr="005A32F5">
        <w:rPr>
          <w:rFonts w:ascii="Arial" w:hAnsi="Arial" w:cs="Arial"/>
        </w:rPr>
        <w:t xml:space="preserve"> :</w:t>
      </w:r>
      <w:proofErr w:type="gramEnd"/>
      <w:r w:rsidRPr="005A32F5">
        <w:rPr>
          <w:rFonts w:ascii="Arial" w:hAnsi="Arial" w:cs="Arial"/>
        </w:rPr>
        <w:t xml:space="preserve"> Demonstrates pancytopenia with reduced hemoglobin, neutrophils and platelets.</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Reticulocyte </w:t>
      </w:r>
      <w:proofErr w:type="gramStart"/>
      <w:r w:rsidRPr="005A32F5">
        <w:rPr>
          <w:rFonts w:ascii="Arial" w:hAnsi="Arial" w:cs="Arial"/>
          <w:u w:val="single"/>
        </w:rPr>
        <w:t>count</w:t>
      </w:r>
      <w:r w:rsidRPr="005A32F5">
        <w:rPr>
          <w:rFonts w:ascii="Arial" w:hAnsi="Arial" w:cs="Arial"/>
        </w:rPr>
        <w:t xml:space="preserve"> :</w:t>
      </w:r>
      <w:proofErr w:type="gramEnd"/>
      <w:r w:rsidRPr="005A32F5">
        <w:rPr>
          <w:rFonts w:ascii="Arial" w:hAnsi="Arial" w:cs="Arial"/>
        </w:rPr>
        <w:t xml:space="preserve"> Shows reticulocytopenia, indicating reduced bone marrow activity and disease severity.</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Peripheral blood </w:t>
      </w:r>
      <w:proofErr w:type="gramStart"/>
      <w:r w:rsidRPr="005A32F5">
        <w:rPr>
          <w:rFonts w:ascii="Arial" w:hAnsi="Arial" w:cs="Arial"/>
          <w:u w:val="single"/>
        </w:rPr>
        <w:t>smear</w:t>
      </w:r>
      <w:r w:rsidRPr="005A32F5">
        <w:rPr>
          <w:rFonts w:ascii="Arial" w:hAnsi="Arial" w:cs="Arial"/>
        </w:rPr>
        <w:t xml:space="preserve"> :</w:t>
      </w:r>
      <w:proofErr w:type="gramEnd"/>
      <w:r w:rsidRPr="005A32F5">
        <w:rPr>
          <w:rFonts w:ascii="Arial" w:hAnsi="Arial" w:cs="Arial"/>
        </w:rPr>
        <w:t xml:space="preserve"> Reveals macrocytosis and abnormal cell morphology while excluding blasts or dysplasia.</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Hb F (Fetal hemoglobin) </w:t>
      </w:r>
      <w:proofErr w:type="gramStart"/>
      <w:r w:rsidRPr="005A32F5">
        <w:rPr>
          <w:rFonts w:ascii="Arial" w:hAnsi="Arial" w:cs="Arial"/>
          <w:u w:val="single"/>
        </w:rPr>
        <w:t>level</w:t>
      </w:r>
      <w:r w:rsidRPr="005A32F5">
        <w:rPr>
          <w:rFonts w:ascii="Arial" w:hAnsi="Arial" w:cs="Arial"/>
        </w:rPr>
        <w:t xml:space="preserve"> :</w:t>
      </w:r>
      <w:proofErr w:type="gramEnd"/>
      <w:r w:rsidRPr="005A32F5">
        <w:rPr>
          <w:rFonts w:ascii="Arial" w:hAnsi="Arial" w:cs="Arial"/>
        </w:rPr>
        <w:t xml:space="preserve"> Assessed before transfusion and may be elevated in inherited marrow failure syndromes.</w:t>
      </w:r>
    </w:p>
    <w:p w:rsidR="005A32F5" w:rsidRPr="00A92C3B" w:rsidRDefault="005A32F5" w:rsidP="00A92C3B">
      <w:pPr>
        <w:pStyle w:val="Body"/>
        <w:numPr>
          <w:ilvl w:val="0"/>
          <w:numId w:val="7"/>
        </w:numPr>
        <w:rPr>
          <w:rFonts w:ascii="Arial" w:hAnsi="Arial" w:cs="Arial"/>
        </w:rPr>
      </w:pPr>
      <w:r w:rsidRPr="005A32F5">
        <w:rPr>
          <w:rFonts w:ascii="Arial" w:hAnsi="Arial" w:cs="Arial"/>
          <w:u w:val="single"/>
        </w:rPr>
        <w:t xml:space="preserve">Vitamin B12 and folate </w:t>
      </w:r>
      <w:proofErr w:type="gramStart"/>
      <w:r w:rsidRPr="005A32F5">
        <w:rPr>
          <w:rFonts w:ascii="Arial" w:hAnsi="Arial" w:cs="Arial"/>
          <w:u w:val="single"/>
        </w:rPr>
        <w:t>levels</w:t>
      </w:r>
      <w:r w:rsidRPr="005A32F5">
        <w:rPr>
          <w:rFonts w:ascii="Arial" w:hAnsi="Arial" w:cs="Arial"/>
        </w:rPr>
        <w:t xml:space="preserve"> :</w:t>
      </w:r>
      <w:proofErr w:type="gramEnd"/>
      <w:r w:rsidRPr="005A32F5">
        <w:rPr>
          <w:rFonts w:ascii="Arial" w:hAnsi="Arial" w:cs="Arial"/>
        </w:rPr>
        <w:t xml:space="preserve"> Deficiencies should be corrected before confirming aplastic anemia; marrow aplasia due to deficiency is rare</w:t>
      </w:r>
      <w:r w:rsidR="00A92C3B">
        <w:rPr>
          <w:rFonts w:ascii="Arial" w:hAnsi="Arial" w:cs="Arial"/>
        </w:rPr>
        <w:t>.</w:t>
      </w:r>
      <w:r w:rsidR="00A92C3B" w:rsidRPr="00A92C3B">
        <w:rPr>
          <w:rFonts w:ascii="Arial" w:hAnsi="Arial" w:cs="Arial"/>
          <w:vertAlign w:val="superscript"/>
        </w:rPr>
        <w:t xml:space="preserve"> </w:t>
      </w:r>
      <w:r w:rsidRPr="00A92C3B">
        <w:rPr>
          <w:rFonts w:ascii="Arial" w:hAnsi="Arial" w:cs="Arial"/>
          <w:vertAlign w:val="superscript"/>
        </w:rPr>
        <w:t>[6]</w:t>
      </w:r>
    </w:p>
    <w:p w:rsidR="00D619A3" w:rsidRDefault="00D619A3" w:rsidP="00D619A3">
      <w:pPr>
        <w:pStyle w:val="Body"/>
        <w:ind w:left="720"/>
        <w:rPr>
          <w:rFonts w:ascii="Arial" w:hAnsi="Arial" w:cs="Arial"/>
        </w:rPr>
      </w:pPr>
    </w:p>
    <w:p w:rsidR="00D619A3" w:rsidRDefault="00D619A3" w:rsidP="00C66462">
      <w:pPr>
        <w:pStyle w:val="Body"/>
        <w:numPr>
          <w:ilvl w:val="0"/>
          <w:numId w:val="2"/>
        </w:numPr>
        <w:rPr>
          <w:rFonts w:ascii="Arial" w:hAnsi="Arial" w:cs="Arial"/>
          <w:b/>
          <w:sz w:val="22"/>
          <w:szCs w:val="22"/>
        </w:rPr>
      </w:pPr>
      <w:r w:rsidRPr="00D619A3">
        <w:rPr>
          <w:rFonts w:ascii="Arial" w:hAnsi="Arial" w:cs="Arial"/>
          <w:b/>
          <w:sz w:val="22"/>
          <w:szCs w:val="22"/>
        </w:rPr>
        <w:t>Treatment</w:t>
      </w: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HLA-Identical Sibling Transplantation (BMT)</w:t>
      </w:r>
    </w:p>
    <w:p w:rsidR="00D619A3" w:rsidRPr="00D619A3" w:rsidRDefault="00D619A3" w:rsidP="00C66462">
      <w:pPr>
        <w:pStyle w:val="Body"/>
        <w:numPr>
          <w:ilvl w:val="0"/>
          <w:numId w:val="9"/>
        </w:numPr>
        <w:rPr>
          <w:rFonts w:ascii="Arial" w:hAnsi="Arial" w:cs="Arial"/>
        </w:rPr>
      </w:pPr>
      <w:r w:rsidRPr="00D619A3">
        <w:rPr>
          <w:rFonts w:ascii="Arial" w:hAnsi="Arial" w:cs="Arial"/>
        </w:rPr>
        <w:t>First-line therapy for patients &lt;40 years with a matched sibling donor.</w:t>
      </w:r>
    </w:p>
    <w:p w:rsidR="00D619A3" w:rsidRPr="00D619A3" w:rsidRDefault="00D619A3" w:rsidP="00C66462">
      <w:pPr>
        <w:pStyle w:val="Body"/>
        <w:numPr>
          <w:ilvl w:val="0"/>
          <w:numId w:val="10"/>
        </w:numPr>
        <w:rPr>
          <w:rFonts w:ascii="Arial" w:hAnsi="Arial" w:cs="Arial"/>
        </w:rPr>
      </w:pPr>
      <w:r w:rsidRPr="00D619A3">
        <w:rPr>
          <w:rFonts w:ascii="Arial" w:hAnsi="Arial" w:cs="Arial"/>
        </w:rPr>
        <w:t>Conditioning regimen :</w:t>
      </w:r>
    </w:p>
    <w:p w:rsidR="00D619A3" w:rsidRPr="00D619A3" w:rsidRDefault="00D619A3" w:rsidP="00C66462">
      <w:pPr>
        <w:pStyle w:val="Body"/>
        <w:numPr>
          <w:ilvl w:val="0"/>
          <w:numId w:val="11"/>
        </w:numPr>
        <w:rPr>
          <w:rFonts w:ascii="Arial" w:hAnsi="Arial" w:cs="Arial"/>
        </w:rPr>
      </w:pPr>
      <w:proofErr w:type="gramStart"/>
      <w:r w:rsidRPr="00D619A3">
        <w:rPr>
          <w:rFonts w:ascii="Arial" w:hAnsi="Arial" w:cs="Arial"/>
        </w:rPr>
        <w:t>Standard :</w:t>
      </w:r>
      <w:proofErr w:type="gramEnd"/>
      <w:r w:rsidRPr="00D619A3">
        <w:rPr>
          <w:rFonts w:ascii="Arial" w:hAnsi="Arial" w:cs="Arial"/>
        </w:rPr>
        <w:t xml:space="preserve"> Cyclophosphamide 200 mg/kg (CY200) + ATG (Anti-Thymocyte Globulin).</w:t>
      </w:r>
    </w:p>
    <w:p w:rsidR="00D619A3" w:rsidRPr="00D619A3" w:rsidRDefault="00D619A3" w:rsidP="00C66462">
      <w:pPr>
        <w:pStyle w:val="Body"/>
        <w:numPr>
          <w:ilvl w:val="0"/>
          <w:numId w:val="11"/>
        </w:numPr>
        <w:rPr>
          <w:rFonts w:ascii="Arial" w:hAnsi="Arial" w:cs="Arial"/>
        </w:rPr>
      </w:pPr>
      <w:r w:rsidRPr="00D619A3">
        <w:rPr>
          <w:rFonts w:ascii="Arial" w:hAnsi="Arial" w:cs="Arial"/>
        </w:rPr>
        <w:t xml:space="preserve">FLU (Fludarabine) - based regimens with lower Cyclophosphamide </w:t>
      </w:r>
      <w:proofErr w:type="gramStart"/>
      <w:r w:rsidRPr="00D619A3">
        <w:rPr>
          <w:rFonts w:ascii="Arial" w:hAnsi="Arial" w:cs="Arial"/>
        </w:rPr>
        <w:t>doses :</w:t>
      </w:r>
      <w:proofErr w:type="gramEnd"/>
      <w:r w:rsidRPr="00D619A3">
        <w:rPr>
          <w:rFonts w:ascii="Arial" w:hAnsi="Arial" w:cs="Arial"/>
        </w:rPr>
        <w:t xml:space="preserve"> Recommended for older patients (&gt;40 years) to reduce toxicity.</w:t>
      </w:r>
    </w:p>
    <w:p w:rsidR="00D619A3" w:rsidRPr="00D619A3" w:rsidRDefault="00D619A3" w:rsidP="00C66462">
      <w:pPr>
        <w:pStyle w:val="Body"/>
        <w:numPr>
          <w:ilvl w:val="0"/>
          <w:numId w:val="11"/>
        </w:numPr>
        <w:rPr>
          <w:rFonts w:ascii="Arial" w:hAnsi="Arial" w:cs="Arial"/>
        </w:rPr>
      </w:pPr>
      <w:proofErr w:type="gramStart"/>
      <w:r w:rsidRPr="00D619A3">
        <w:rPr>
          <w:rFonts w:ascii="Arial" w:hAnsi="Arial" w:cs="Arial"/>
        </w:rPr>
        <w:t>Alternatives :</w:t>
      </w:r>
      <w:proofErr w:type="gramEnd"/>
      <w:r w:rsidRPr="00D619A3">
        <w:rPr>
          <w:rFonts w:ascii="Arial" w:hAnsi="Arial" w:cs="Arial"/>
        </w:rPr>
        <w:t xml:space="preserve"> Fludarabine + Anti-Thymocyte Globulin or Fludarabine + alemtuzumab (CAMPATH).</w:t>
      </w:r>
    </w:p>
    <w:p w:rsidR="00D619A3" w:rsidRDefault="00D619A3" w:rsidP="00D619A3">
      <w:pPr>
        <w:pStyle w:val="Body"/>
        <w:rPr>
          <w:rFonts w:ascii="Arial" w:hAnsi="Arial" w:cs="Arial"/>
        </w:rPr>
      </w:pP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Immunosuppressive Therapy (IST)</w:t>
      </w:r>
    </w:p>
    <w:p w:rsidR="00D619A3" w:rsidRPr="00D619A3" w:rsidRDefault="00D619A3" w:rsidP="00C66462">
      <w:pPr>
        <w:pStyle w:val="Body"/>
        <w:numPr>
          <w:ilvl w:val="0"/>
          <w:numId w:val="12"/>
        </w:numPr>
        <w:rPr>
          <w:rFonts w:ascii="Arial" w:hAnsi="Arial" w:cs="Arial"/>
        </w:rPr>
      </w:pPr>
      <w:r w:rsidRPr="00D619A3">
        <w:rPr>
          <w:rFonts w:ascii="Arial" w:hAnsi="Arial" w:cs="Arial"/>
        </w:rPr>
        <w:t xml:space="preserve">Standard first-line </w:t>
      </w:r>
      <w:proofErr w:type="gramStart"/>
      <w:r w:rsidRPr="00D619A3">
        <w:rPr>
          <w:rFonts w:ascii="Arial" w:hAnsi="Arial" w:cs="Arial"/>
        </w:rPr>
        <w:t>regimen :</w:t>
      </w:r>
      <w:proofErr w:type="gramEnd"/>
      <w:r w:rsidRPr="00D619A3">
        <w:rPr>
          <w:rFonts w:ascii="Arial" w:hAnsi="Arial" w:cs="Arial"/>
        </w:rPr>
        <w:t xml:space="preserve"> ATG + Cyclosporine A (</w:t>
      </w:r>
      <w:proofErr w:type="spellStart"/>
      <w:r w:rsidRPr="00D619A3">
        <w:rPr>
          <w:rFonts w:ascii="Arial" w:hAnsi="Arial" w:cs="Arial"/>
        </w:rPr>
        <w:t>CsA</w:t>
      </w:r>
      <w:proofErr w:type="spellEnd"/>
      <w:r w:rsidRPr="00D619A3">
        <w:rPr>
          <w:rFonts w:ascii="Arial" w:hAnsi="Arial" w:cs="Arial"/>
        </w:rPr>
        <w:t>).</w:t>
      </w:r>
    </w:p>
    <w:p w:rsidR="00D619A3" w:rsidRPr="00D619A3" w:rsidRDefault="00D619A3" w:rsidP="00C66462">
      <w:pPr>
        <w:pStyle w:val="Body"/>
        <w:numPr>
          <w:ilvl w:val="0"/>
          <w:numId w:val="12"/>
        </w:numPr>
        <w:rPr>
          <w:rFonts w:ascii="Arial" w:hAnsi="Arial" w:cs="Arial"/>
        </w:rPr>
      </w:pPr>
      <w:r w:rsidRPr="00D619A3">
        <w:rPr>
          <w:rFonts w:ascii="Arial" w:hAnsi="Arial" w:cs="Arial"/>
        </w:rPr>
        <w:t>Indications :</w:t>
      </w:r>
    </w:p>
    <w:p w:rsidR="00D619A3" w:rsidRPr="00D619A3" w:rsidRDefault="00D619A3" w:rsidP="00C66462">
      <w:pPr>
        <w:pStyle w:val="Body"/>
        <w:numPr>
          <w:ilvl w:val="0"/>
          <w:numId w:val="13"/>
        </w:numPr>
        <w:rPr>
          <w:rFonts w:ascii="Arial" w:hAnsi="Arial" w:cs="Arial"/>
        </w:rPr>
      </w:pPr>
      <w:r w:rsidRPr="00D619A3">
        <w:rPr>
          <w:rFonts w:ascii="Arial" w:hAnsi="Arial" w:cs="Arial"/>
        </w:rPr>
        <w:t>Patients without a matched sibling donor.</w:t>
      </w:r>
    </w:p>
    <w:p w:rsidR="00D619A3" w:rsidRPr="00D619A3" w:rsidRDefault="00D619A3" w:rsidP="00C66462">
      <w:pPr>
        <w:pStyle w:val="Body"/>
        <w:numPr>
          <w:ilvl w:val="0"/>
          <w:numId w:val="13"/>
        </w:numPr>
        <w:rPr>
          <w:rFonts w:ascii="Arial" w:hAnsi="Arial" w:cs="Arial"/>
        </w:rPr>
      </w:pPr>
      <w:r w:rsidRPr="00D619A3">
        <w:rPr>
          <w:rFonts w:ascii="Arial" w:hAnsi="Arial" w:cs="Arial"/>
        </w:rPr>
        <w:t>Patients &gt;40 years, even if matched sibling donor exists.</w:t>
      </w:r>
    </w:p>
    <w:p w:rsidR="00D619A3" w:rsidRDefault="00D619A3" w:rsidP="00D619A3">
      <w:pPr>
        <w:pStyle w:val="Body"/>
        <w:numPr>
          <w:ilvl w:val="0"/>
          <w:numId w:val="14"/>
        </w:numPr>
        <w:rPr>
          <w:rFonts w:ascii="Arial" w:hAnsi="Arial" w:cs="Arial"/>
        </w:rPr>
      </w:pPr>
      <w:proofErr w:type="spellStart"/>
      <w:r w:rsidRPr="00D619A3">
        <w:rPr>
          <w:rFonts w:ascii="Arial" w:hAnsi="Arial" w:cs="Arial"/>
        </w:rPr>
        <w:t>CsA</w:t>
      </w:r>
      <w:proofErr w:type="spellEnd"/>
      <w:r w:rsidRPr="00D619A3">
        <w:rPr>
          <w:rFonts w:ascii="Arial" w:hAnsi="Arial" w:cs="Arial"/>
        </w:rPr>
        <w:t xml:space="preserve"> </w:t>
      </w:r>
      <w:proofErr w:type="gramStart"/>
      <w:r w:rsidRPr="00D619A3">
        <w:rPr>
          <w:rFonts w:ascii="Arial" w:hAnsi="Arial" w:cs="Arial"/>
        </w:rPr>
        <w:t>duration :</w:t>
      </w:r>
      <w:proofErr w:type="gramEnd"/>
      <w:r w:rsidRPr="00D619A3">
        <w:rPr>
          <w:rFonts w:ascii="Arial" w:hAnsi="Arial" w:cs="Arial"/>
        </w:rPr>
        <w:t xml:space="preserve"> Minimum 6 months; prolonged low-dose therapy &gt;1 year is recommended with slow tapering.</w:t>
      </w:r>
    </w:p>
    <w:p w:rsidR="00D619A3" w:rsidRDefault="00D619A3" w:rsidP="00D619A3">
      <w:pPr>
        <w:pStyle w:val="Body"/>
        <w:rPr>
          <w:rFonts w:ascii="Arial" w:hAnsi="Arial" w:cs="Arial"/>
        </w:rPr>
      </w:pP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High-Dose Cyclophosphamide (CY)</w:t>
      </w:r>
    </w:p>
    <w:p w:rsidR="00D619A3" w:rsidRPr="00D619A3" w:rsidRDefault="00D619A3" w:rsidP="00C66462">
      <w:pPr>
        <w:pStyle w:val="Body"/>
        <w:numPr>
          <w:ilvl w:val="0"/>
          <w:numId w:val="18"/>
        </w:numPr>
        <w:rPr>
          <w:rFonts w:ascii="Arial" w:hAnsi="Arial" w:cs="Arial"/>
        </w:rPr>
      </w:pPr>
      <w:r w:rsidRPr="00D619A3">
        <w:rPr>
          <w:rFonts w:ascii="Arial" w:hAnsi="Arial" w:cs="Arial"/>
        </w:rPr>
        <w:t xml:space="preserve">Investigated as IST alternative to ATG + </w:t>
      </w:r>
      <w:proofErr w:type="spellStart"/>
      <w:r w:rsidRPr="00D619A3">
        <w:rPr>
          <w:rFonts w:ascii="Arial" w:hAnsi="Arial" w:cs="Arial"/>
        </w:rPr>
        <w:t>CsA</w:t>
      </w:r>
      <w:proofErr w:type="spellEnd"/>
      <w:r w:rsidRPr="00D619A3">
        <w:rPr>
          <w:rFonts w:ascii="Arial" w:hAnsi="Arial" w:cs="Arial"/>
        </w:rPr>
        <w:t>.</w:t>
      </w:r>
    </w:p>
    <w:p w:rsidR="00D619A3" w:rsidRPr="0006300E" w:rsidRDefault="00D619A3" w:rsidP="0006300E">
      <w:pPr>
        <w:pStyle w:val="Body"/>
        <w:numPr>
          <w:ilvl w:val="0"/>
          <w:numId w:val="18"/>
        </w:numPr>
        <w:rPr>
          <w:rFonts w:ascii="Arial" w:hAnsi="Arial" w:cs="Arial"/>
        </w:rPr>
      </w:pPr>
      <w:r w:rsidRPr="00D619A3">
        <w:rPr>
          <w:rFonts w:ascii="Arial" w:hAnsi="Arial" w:cs="Arial"/>
        </w:rPr>
        <w:t>Response rate : 77%; 10-year survival: 88%.</w:t>
      </w:r>
      <w:r w:rsidRPr="0006300E">
        <w:rPr>
          <w:rFonts w:ascii="Arial" w:hAnsi="Arial" w:cs="Arial"/>
          <w:vertAlign w:val="superscript"/>
        </w:rPr>
        <w:t>[7]</w:t>
      </w:r>
    </w:p>
    <w:p w:rsidR="00D619A3" w:rsidRDefault="00D619A3" w:rsidP="00334CD3">
      <w:pPr>
        <w:pStyle w:val="Body"/>
        <w:rPr>
          <w:rFonts w:ascii="Arial" w:hAnsi="Arial" w:cs="Arial"/>
        </w:rPr>
      </w:pPr>
    </w:p>
    <w:p w:rsidR="00334CD3" w:rsidRPr="00334CD3" w:rsidRDefault="00334CD3" w:rsidP="00C66462">
      <w:pPr>
        <w:pStyle w:val="Body"/>
        <w:numPr>
          <w:ilvl w:val="0"/>
          <w:numId w:val="20"/>
        </w:numPr>
        <w:rPr>
          <w:rFonts w:ascii="Arial" w:hAnsi="Arial" w:cs="Arial"/>
          <w:b/>
          <w:sz w:val="22"/>
          <w:szCs w:val="22"/>
        </w:rPr>
      </w:pPr>
      <w:r w:rsidRPr="00334CD3">
        <w:rPr>
          <w:rFonts w:ascii="Arial" w:hAnsi="Arial" w:cs="Arial"/>
          <w:b/>
          <w:sz w:val="22"/>
          <w:szCs w:val="22"/>
        </w:rPr>
        <w:t xml:space="preserve">CASE PRESENTATION </w:t>
      </w:r>
    </w:p>
    <w:p w:rsidR="00334CD3" w:rsidRPr="00334CD3" w:rsidRDefault="00334CD3" w:rsidP="00334CD3">
      <w:pPr>
        <w:pStyle w:val="Body"/>
        <w:rPr>
          <w:rFonts w:ascii="Arial" w:hAnsi="Arial" w:cs="Arial"/>
        </w:rPr>
      </w:pPr>
      <w:r w:rsidRPr="00334CD3">
        <w:rPr>
          <w:rFonts w:ascii="Arial" w:hAnsi="Arial" w:cs="Arial"/>
        </w:rPr>
        <w:lastRenderedPageBreak/>
        <w:t xml:space="preserve">A 23-year-old female patient was admitted to </w:t>
      </w:r>
      <w:proofErr w:type="spellStart"/>
      <w:r w:rsidRPr="00334CD3">
        <w:rPr>
          <w:rFonts w:ascii="Arial" w:hAnsi="Arial" w:cs="Arial"/>
        </w:rPr>
        <w:t>vijayanagara</w:t>
      </w:r>
      <w:proofErr w:type="spellEnd"/>
      <w:r w:rsidRPr="00334CD3">
        <w:rPr>
          <w:rFonts w:ascii="Arial" w:hAnsi="Arial" w:cs="Arial"/>
        </w:rPr>
        <w:t xml:space="preserve"> institute of medical science(VIMS), Ballari (Karnataka) with chief complaints of heavy menstrual bleed since 3 days which is brick red </w:t>
      </w:r>
      <w:proofErr w:type="spellStart"/>
      <w:r w:rsidRPr="00334CD3">
        <w:rPr>
          <w:rFonts w:ascii="Arial" w:hAnsi="Arial" w:cs="Arial"/>
        </w:rPr>
        <w:t>colour</w:t>
      </w:r>
      <w:proofErr w:type="spellEnd"/>
      <w:r w:rsidRPr="00334CD3">
        <w:rPr>
          <w:rFonts w:ascii="Arial" w:hAnsi="Arial" w:cs="Arial"/>
        </w:rPr>
        <w:t xml:space="preserve">  around 100-200ml and H/O passage of clots and the patient was changing around 3-4 pads for per day. On day 5 the patient was </w:t>
      </w:r>
      <w:proofErr w:type="spellStart"/>
      <w:r w:rsidRPr="00334CD3">
        <w:rPr>
          <w:rFonts w:ascii="Arial" w:hAnsi="Arial" w:cs="Arial"/>
        </w:rPr>
        <w:t>adviced</w:t>
      </w:r>
      <w:proofErr w:type="spellEnd"/>
      <w:r w:rsidRPr="00334CD3">
        <w:rPr>
          <w:rFonts w:ascii="Arial" w:hAnsi="Arial" w:cs="Arial"/>
        </w:rPr>
        <w:t xml:space="preserve"> to check for GBM Antibodies test were it was found to be positive(++).</w:t>
      </w:r>
    </w:p>
    <w:p w:rsidR="00334CD3" w:rsidRPr="00334CD3" w:rsidRDefault="00334CD3" w:rsidP="00334CD3">
      <w:pPr>
        <w:pStyle w:val="Body"/>
        <w:rPr>
          <w:rFonts w:ascii="Arial" w:hAnsi="Arial" w:cs="Arial"/>
        </w:rPr>
      </w:pPr>
      <w:r w:rsidRPr="00334CD3">
        <w:rPr>
          <w:rFonts w:ascii="Arial" w:hAnsi="Arial" w:cs="Arial"/>
          <w:b/>
        </w:rPr>
        <w:t>Social history -</w:t>
      </w:r>
      <w:r>
        <w:rPr>
          <w:rFonts w:ascii="Arial" w:hAnsi="Arial" w:cs="Arial"/>
        </w:rPr>
        <w:t xml:space="preserve"> </w:t>
      </w:r>
      <w:r w:rsidRPr="00334CD3">
        <w:rPr>
          <w:rFonts w:ascii="Arial" w:hAnsi="Arial" w:cs="Arial"/>
        </w:rPr>
        <w:t>No habits</w:t>
      </w:r>
    </w:p>
    <w:p w:rsidR="00334CD3" w:rsidRPr="00334CD3" w:rsidRDefault="00334CD3" w:rsidP="00334CD3">
      <w:pPr>
        <w:pStyle w:val="Body"/>
        <w:rPr>
          <w:rFonts w:ascii="Arial" w:hAnsi="Arial" w:cs="Arial"/>
        </w:rPr>
      </w:pPr>
      <w:r w:rsidRPr="00334CD3">
        <w:rPr>
          <w:rFonts w:ascii="Arial" w:hAnsi="Arial" w:cs="Arial"/>
          <w:b/>
        </w:rPr>
        <w:t>Past history -</w:t>
      </w:r>
      <w:r>
        <w:rPr>
          <w:rFonts w:ascii="Arial" w:hAnsi="Arial" w:cs="Arial"/>
        </w:rPr>
        <w:t xml:space="preserve"> </w:t>
      </w:r>
      <w:r w:rsidRPr="00334CD3">
        <w:rPr>
          <w:rFonts w:ascii="Arial" w:hAnsi="Arial" w:cs="Arial"/>
        </w:rPr>
        <w:t xml:space="preserve">K/C/O Aplastic anemia since 3 years on medication </w:t>
      </w:r>
      <w:proofErr w:type="spellStart"/>
      <w:r w:rsidRPr="00334CD3">
        <w:rPr>
          <w:rFonts w:ascii="Arial" w:hAnsi="Arial" w:cs="Arial"/>
        </w:rPr>
        <w:t>T.Cyclosporine</w:t>
      </w:r>
      <w:proofErr w:type="spellEnd"/>
      <w:r w:rsidRPr="00334CD3">
        <w:rPr>
          <w:rFonts w:ascii="Arial" w:hAnsi="Arial" w:cs="Arial"/>
        </w:rPr>
        <w:t xml:space="preserve"> 50mg and the H/O blood transfusion 3-4 times in the past 2 years </w:t>
      </w:r>
    </w:p>
    <w:p w:rsidR="00334CD3" w:rsidRPr="00334CD3" w:rsidRDefault="00334CD3" w:rsidP="00334CD3">
      <w:pPr>
        <w:pStyle w:val="Body"/>
        <w:rPr>
          <w:rFonts w:ascii="Arial" w:hAnsi="Arial" w:cs="Arial"/>
        </w:rPr>
      </w:pPr>
      <w:r w:rsidRPr="00334CD3">
        <w:rPr>
          <w:rFonts w:ascii="Arial" w:hAnsi="Arial" w:cs="Arial"/>
          <w:b/>
        </w:rPr>
        <w:t>Family history -</w:t>
      </w:r>
      <w:r w:rsidRPr="00334CD3">
        <w:rPr>
          <w:rFonts w:ascii="Arial" w:hAnsi="Arial" w:cs="Arial"/>
        </w:rPr>
        <w:t xml:space="preserve"> Nothing significant </w:t>
      </w:r>
    </w:p>
    <w:p w:rsidR="00334CD3" w:rsidRPr="00334CD3" w:rsidRDefault="00334CD3" w:rsidP="00334CD3">
      <w:pPr>
        <w:pStyle w:val="Body"/>
        <w:rPr>
          <w:rFonts w:ascii="Arial" w:hAnsi="Arial" w:cs="Arial"/>
          <w:b/>
        </w:rPr>
      </w:pPr>
      <w:r w:rsidRPr="00334CD3">
        <w:rPr>
          <w:rFonts w:ascii="Arial" w:hAnsi="Arial" w:cs="Arial"/>
          <w:b/>
        </w:rPr>
        <w:t>On Examination -</w:t>
      </w:r>
    </w:p>
    <w:p w:rsidR="00BE7EDE" w:rsidRPr="0006300E" w:rsidRDefault="0006300E" w:rsidP="00BE7EDE">
      <w:pPr>
        <w:pStyle w:val="Body"/>
        <w:rPr>
          <w:rFonts w:ascii="Arial" w:hAnsi="Arial" w:cs="Arial"/>
        </w:rPr>
      </w:pPr>
      <w:r w:rsidRPr="0006300E">
        <w:rPr>
          <w:rFonts w:ascii="Arial" w:hAnsi="Arial" w:cs="Arial"/>
        </w:rPr>
        <w:t>The patient’s blood pressure was recorded at 90/60 mmHg, and the pulse rate was 96 beats per minute. Oxygen saturation was 98% on room air. The random blood glucose level was 84 mg/dL. The patient was conscious and oriented. On respiratory examination, bilateral normal vesicular breath sounds were present. Cardiovascular examination revealed normal S1 and S2 heart sounds. Per abdominal examination showed a soft and non-tender abdomen.</w:t>
      </w:r>
    </w:p>
    <w:p w:rsidR="00BE7EDE" w:rsidRPr="00BE7EDE" w:rsidRDefault="006A7624" w:rsidP="006A7624">
      <w:pPr>
        <w:pStyle w:val="Body"/>
        <w:jc w:val="center"/>
        <w:rPr>
          <w:rFonts w:ascii="Arial" w:hAnsi="Arial" w:cs="Arial"/>
          <w:b/>
        </w:rPr>
      </w:pPr>
      <w:r>
        <w:rPr>
          <w:rFonts w:ascii="Arial" w:hAnsi="Arial" w:cs="Arial"/>
          <w:b/>
        </w:rPr>
        <w:t>Table 1. Laboratory examination of the patient</w:t>
      </w:r>
    </w:p>
    <w:tbl>
      <w:tblPr>
        <w:tblW w:w="8946"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06"/>
        <w:gridCol w:w="1440"/>
        <w:gridCol w:w="1440"/>
        <w:gridCol w:w="1350"/>
        <w:gridCol w:w="2610"/>
      </w:tblGrid>
      <w:tr w:rsidR="006A7624" w:rsidRPr="00BE7EDE" w:rsidTr="00655B99">
        <w:trPr>
          <w:trHeight w:val="893"/>
          <w:jc w:val="center"/>
        </w:trPr>
        <w:tc>
          <w:tcPr>
            <w:tcW w:w="2106"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PARAMETERS</w:t>
            </w:r>
          </w:p>
        </w:tc>
        <w:tc>
          <w:tcPr>
            <w:tcW w:w="144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(18-12-25)</w:t>
            </w:r>
          </w:p>
        </w:tc>
        <w:tc>
          <w:tcPr>
            <w:tcW w:w="144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(19-12-25)</w:t>
            </w:r>
          </w:p>
        </w:tc>
        <w:tc>
          <w:tcPr>
            <w:tcW w:w="135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(20-12-25)</w:t>
            </w:r>
          </w:p>
        </w:tc>
        <w:tc>
          <w:tcPr>
            <w:tcW w:w="261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REFERENCE RANGE</w:t>
            </w:r>
          </w:p>
        </w:tc>
      </w:tr>
      <w:tr w:rsidR="006A7624" w:rsidRPr="00BE7EDE" w:rsidTr="00A92C3B">
        <w:trPr>
          <w:trHeight w:val="1655"/>
          <w:jc w:val="center"/>
        </w:trPr>
        <w:tc>
          <w:tcPr>
            <w:tcW w:w="2106"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Hemoglobin</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Red blood cells</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PCV</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WBC</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Polymorphs</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 xml:space="preserve">Lymphocytes </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 xml:space="preserve">Platelets </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ESR</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RDW-CV</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CRP</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Serum ferritin</w:t>
            </w:r>
          </w:p>
        </w:tc>
        <w:tc>
          <w:tcPr>
            <w:tcW w:w="144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1.32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12.4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2350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17.0</w:t>
            </w:r>
          </w:p>
        </w:tc>
        <w:tc>
          <w:tcPr>
            <w:tcW w:w="144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4.7</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1.56</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14.5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1700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1.61</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11.9</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394.0</w:t>
            </w:r>
          </w:p>
        </w:tc>
        <w:tc>
          <w:tcPr>
            <w:tcW w:w="135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18.4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2070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72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0.17</w:t>
            </w:r>
          </w:p>
        </w:tc>
        <w:tc>
          <w:tcPr>
            <w:tcW w:w="261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12-16g/dl</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3.5-5.0 million/</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33-43%</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4500-11,000</w:t>
            </w:r>
            <w:r w:rsidR="00AC0095">
              <w:rPr>
                <w:rFonts w:ascii="Arial" w:eastAsia="Times New Roman" w:hAnsi="Arial" w:cs="Arial"/>
                <w:color w:val="000000"/>
                <w:sz w:val="20"/>
                <w:szCs w:val="20"/>
              </w:rPr>
              <w:t xml:space="preserve"> </w:t>
            </w:r>
            <w:r w:rsidRPr="00BE7EDE">
              <w:rPr>
                <w:rFonts w:ascii="Arial" w:eastAsia="Times New Roman" w:hAnsi="Arial" w:cs="Arial"/>
                <w:color w:val="000000"/>
                <w:sz w:val="20"/>
                <w:szCs w:val="20"/>
              </w:rPr>
              <w:t>cells/</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40-75%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1.5-4.5 lacs/</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0-20mm/hr</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11.5-14.5%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0-6g/l</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11-307ng/ml</w:t>
            </w: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bl>
    <w:p w:rsidR="00D619A3" w:rsidRDefault="00D619A3" w:rsidP="00BE7EDE">
      <w:pPr>
        <w:pStyle w:val="Body"/>
        <w:rPr>
          <w:rFonts w:ascii="Arial" w:hAnsi="Arial" w:cs="Arial"/>
        </w:rPr>
      </w:pPr>
    </w:p>
    <w:p w:rsidR="006A7624" w:rsidRPr="006A7624" w:rsidRDefault="006A7624" w:rsidP="00BE7EDE">
      <w:pPr>
        <w:pStyle w:val="Body"/>
        <w:rPr>
          <w:rFonts w:ascii="Arial" w:hAnsi="Arial" w:cs="Arial"/>
          <w:b/>
        </w:rPr>
      </w:pPr>
      <w:r w:rsidRPr="006A7624">
        <w:rPr>
          <w:rFonts w:ascii="Arial" w:hAnsi="Arial" w:cs="Arial"/>
          <w:b/>
        </w:rPr>
        <w:t>Other examinations –</w:t>
      </w:r>
    </w:p>
    <w:p w:rsidR="006A7624" w:rsidRDefault="006A7624" w:rsidP="00BE7EDE">
      <w:pPr>
        <w:pStyle w:val="Body"/>
        <w:rPr>
          <w:rFonts w:ascii="Arial" w:hAnsi="Arial" w:cs="Arial"/>
        </w:rPr>
      </w:pPr>
      <w:r w:rsidRPr="006A7624">
        <w:rPr>
          <w:rFonts w:ascii="Arial" w:hAnsi="Arial" w:cs="Arial"/>
          <w:u w:val="single"/>
        </w:rPr>
        <w:t xml:space="preserve">USG Abdomen and </w:t>
      </w:r>
      <w:proofErr w:type="gramStart"/>
      <w:r w:rsidRPr="006A7624">
        <w:rPr>
          <w:rFonts w:ascii="Arial" w:hAnsi="Arial" w:cs="Arial"/>
          <w:u w:val="single"/>
        </w:rPr>
        <w:t>pelvis</w:t>
      </w:r>
      <w:r>
        <w:rPr>
          <w:rFonts w:ascii="Arial" w:hAnsi="Arial" w:cs="Arial"/>
        </w:rPr>
        <w:t xml:space="preserve"> :</w:t>
      </w:r>
      <w:proofErr w:type="gramEnd"/>
      <w:r>
        <w:rPr>
          <w:rFonts w:ascii="Arial" w:hAnsi="Arial" w:cs="Arial"/>
        </w:rPr>
        <w:t xml:space="preserve"> Moderate ascites.</w:t>
      </w:r>
    </w:p>
    <w:p w:rsidR="002961BE" w:rsidRDefault="002961BE" w:rsidP="00BE7EDE">
      <w:pPr>
        <w:pStyle w:val="Body"/>
        <w:rPr>
          <w:rFonts w:ascii="Arial" w:hAnsi="Arial" w:cs="Arial"/>
        </w:rPr>
      </w:pPr>
    </w:p>
    <w:p w:rsidR="006A7624" w:rsidRPr="006A7624" w:rsidRDefault="006A7624" w:rsidP="006A7624">
      <w:pPr>
        <w:pStyle w:val="Body"/>
        <w:jc w:val="center"/>
        <w:rPr>
          <w:rFonts w:ascii="Arial" w:hAnsi="Arial" w:cs="Arial"/>
          <w:b/>
        </w:rPr>
      </w:pPr>
      <w:r w:rsidRPr="006A7624">
        <w:rPr>
          <w:rFonts w:ascii="Arial" w:hAnsi="Arial" w:cs="Arial"/>
          <w:b/>
        </w:rPr>
        <w:lastRenderedPageBreak/>
        <w:t>Table 2. Treatment regimen in hospital</w:t>
      </w:r>
    </w:p>
    <w:tbl>
      <w:tblPr>
        <w:tblW w:w="8586" w:type="dxa"/>
        <w:tblInd w:w="612" w:type="dxa"/>
        <w:tblBorders>
          <w:top w:val="single" w:sz="4" w:space="0" w:color="auto"/>
          <w:bottom w:val="single" w:sz="4" w:space="0" w:color="auto"/>
        </w:tblBorders>
        <w:tblLayout w:type="fixed"/>
        <w:tblLook w:val="0400" w:firstRow="0" w:lastRow="0" w:firstColumn="0" w:lastColumn="0" w:noHBand="0" w:noVBand="1"/>
      </w:tblPr>
      <w:tblGrid>
        <w:gridCol w:w="3571"/>
        <w:gridCol w:w="1475"/>
        <w:gridCol w:w="1380"/>
        <w:gridCol w:w="2160"/>
      </w:tblGrid>
      <w:tr w:rsidR="00AC0095" w:rsidRPr="006A7624" w:rsidTr="00AC0095">
        <w:trPr>
          <w:trHeight w:val="674"/>
        </w:trPr>
        <w:tc>
          <w:tcPr>
            <w:tcW w:w="3571"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NAME OF MEDICATIONS</w:t>
            </w:r>
          </w:p>
        </w:tc>
        <w:tc>
          <w:tcPr>
            <w:tcW w:w="1475" w:type="dxa"/>
            <w:tcBorders>
              <w:bottom w:val="single" w:sz="4" w:space="0" w:color="auto"/>
            </w:tcBorders>
            <w:vAlign w:val="center"/>
          </w:tcPr>
          <w:p w:rsidR="00AC0095" w:rsidRPr="006A7624" w:rsidRDefault="00AC0095" w:rsidP="00AC0095">
            <w:pPr>
              <w:pStyle w:val="Normal1"/>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DOSE</w:t>
            </w:r>
          </w:p>
        </w:tc>
        <w:tc>
          <w:tcPr>
            <w:tcW w:w="1380"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ROUTE</w:t>
            </w:r>
          </w:p>
        </w:tc>
        <w:tc>
          <w:tcPr>
            <w:tcW w:w="2160"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FREQUENCY</w:t>
            </w:r>
          </w:p>
        </w:tc>
      </w:tr>
      <w:tr w:rsidR="00AC0095" w:rsidRPr="006A7624" w:rsidTr="00AC0095">
        <w:trPr>
          <w:trHeight w:val="674"/>
        </w:trPr>
        <w:tc>
          <w:tcPr>
            <w:tcW w:w="3571"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TAB.CYCLOSPORINE</w:t>
            </w:r>
          </w:p>
        </w:tc>
        <w:tc>
          <w:tcPr>
            <w:tcW w:w="1475"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50mg</w:t>
            </w:r>
          </w:p>
        </w:tc>
        <w:tc>
          <w:tcPr>
            <w:tcW w:w="1380"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3 DAYS</w:t>
            </w:r>
          </w:p>
        </w:tc>
      </w:tr>
      <w:tr w:rsidR="00AC0095" w:rsidRPr="006A7624" w:rsidTr="00AC0095">
        <w:trPr>
          <w:trHeight w:val="699"/>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1PINT PRBC</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4PINT RDP</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4PINT FFP</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TAB.IRON FOLIC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333mg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3 DAYS</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TAB.FOLIC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OD FOR 3 DAYS</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TAB.ALBENDAZOLE</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TAB.DANAZOL</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 xml:space="preserve">nd </w:t>
            </w:r>
            <w:r w:rsidRPr="006A7624">
              <w:rPr>
                <w:rFonts w:ascii="Arial" w:eastAsia="Times New Roman" w:hAnsi="Arial" w:cs="Arial"/>
                <w:color w:val="000000"/>
                <w:sz w:val="20"/>
                <w:szCs w:val="20"/>
              </w:rPr>
              <w:t>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ING.TRANEXAMIC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nd</w:t>
            </w:r>
            <w:r w:rsidRPr="006A7624">
              <w:rPr>
                <w:rFonts w:ascii="Arial" w:eastAsia="Times New Roman" w:hAnsi="Arial" w:cs="Arial"/>
                <w:color w:val="000000"/>
                <w:sz w:val="20"/>
                <w:szCs w:val="20"/>
              </w:rPr>
              <w:t xml:space="preserve"> 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SYP.LACTULOSE</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10ml</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nd</w:t>
            </w:r>
            <w:r w:rsidRPr="006A7624">
              <w:rPr>
                <w:rFonts w:ascii="Arial" w:eastAsia="Times New Roman" w:hAnsi="Arial" w:cs="Arial"/>
                <w:color w:val="000000"/>
                <w:sz w:val="20"/>
                <w:szCs w:val="20"/>
              </w:rPr>
              <w:t xml:space="preserve"> 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bl>
    <w:p w:rsidR="005A32F5" w:rsidRPr="005A32F5" w:rsidRDefault="005A32F5" w:rsidP="005A32F5">
      <w:pPr>
        <w:pStyle w:val="Body"/>
        <w:rPr>
          <w:rFonts w:ascii="Arial" w:hAnsi="Arial" w:cs="Arial"/>
        </w:rPr>
      </w:pPr>
    </w:p>
    <w:p w:rsidR="00F47C86" w:rsidRDefault="005A32F5" w:rsidP="005A32F5">
      <w:pPr>
        <w:pStyle w:val="Body"/>
        <w:spacing w:after="0"/>
        <w:ind w:left="360"/>
        <w:rPr>
          <w:rFonts w:ascii="Arial" w:hAnsi="Arial" w:cs="Arial"/>
          <w:b/>
          <w:sz w:val="22"/>
          <w:szCs w:val="22"/>
        </w:rPr>
      </w:pPr>
      <w:r>
        <w:rPr>
          <w:rFonts w:ascii="Arial" w:hAnsi="Arial" w:cs="Arial"/>
          <w:b/>
          <w:sz w:val="22"/>
          <w:szCs w:val="22"/>
        </w:rPr>
        <w:t xml:space="preserve"> </w:t>
      </w:r>
    </w:p>
    <w:p w:rsidR="00AC0095" w:rsidRPr="00270213" w:rsidRDefault="00AC0095" w:rsidP="00C66462">
      <w:pPr>
        <w:pStyle w:val="Body"/>
        <w:numPr>
          <w:ilvl w:val="0"/>
          <w:numId w:val="20"/>
        </w:numPr>
        <w:spacing w:after="0"/>
        <w:rPr>
          <w:rFonts w:ascii="Arial" w:hAnsi="Arial" w:cs="Arial"/>
          <w:b/>
          <w:sz w:val="22"/>
          <w:szCs w:val="22"/>
        </w:rPr>
      </w:pPr>
      <w:r>
        <w:rPr>
          <w:rFonts w:ascii="Arial" w:hAnsi="Arial" w:cs="Arial"/>
          <w:b/>
          <w:sz w:val="22"/>
          <w:szCs w:val="22"/>
        </w:rPr>
        <w:t xml:space="preserve">DISCUSSION </w:t>
      </w:r>
    </w:p>
    <w:p w:rsidR="00017E00" w:rsidRPr="00017E00" w:rsidRDefault="00017E00" w:rsidP="00017E00">
      <w:pPr>
        <w:spacing w:before="100" w:beforeAutospacing="1" w:after="100" w:afterAutospacing="1"/>
        <w:jc w:val="both"/>
        <w:rPr>
          <w:rFonts w:ascii="Arial" w:hAnsi="Arial" w:cs="Arial"/>
        </w:rPr>
      </w:pPr>
      <w:r w:rsidRPr="00017E00">
        <w:rPr>
          <w:rFonts w:ascii="Arial" w:hAnsi="Arial" w:cs="Arial"/>
        </w:rPr>
        <w:t>Aplastic anemia is an uncommon but potentially life-threatening hematological disorder characterized by immune-mediated destruction of hematopoietic stem cells, resulting in bone marrow hypocellularity and pancytopenia. Owing to its nonspecific initial symptoms, diagnosis is frequently delayed, increasing the risk of severe complications such as bleeding and infection. In the present case, the patient exhibited profound anemia and thrombocytopenia, which clinically manifested as heavy menstrual bleeding and generalized weakness.</w:t>
      </w:r>
    </w:p>
    <w:p w:rsidR="00017E00" w:rsidRPr="00017E00" w:rsidRDefault="00017E00" w:rsidP="00017E00">
      <w:pPr>
        <w:spacing w:before="100" w:beforeAutospacing="1" w:after="100" w:afterAutospacing="1"/>
        <w:jc w:val="both"/>
        <w:rPr>
          <w:rFonts w:ascii="Arial" w:hAnsi="Arial" w:cs="Arial"/>
        </w:rPr>
      </w:pPr>
      <w:r w:rsidRPr="00017E00">
        <w:rPr>
          <w:rFonts w:ascii="Arial" w:hAnsi="Arial" w:cs="Arial"/>
        </w:rPr>
        <w:t>The patient had a known history of aplastic anemia for three years, suggesting a chronic or relapsing disease course. Relapse following an initial response to immunosuppressive therapy is well documented in aplastic anemia and highlights the need for long-term surveillance. The markedly reduced hemoglobin, leukocyte, and platelet counts observed at admission indicated disease progression or inadequate hematological recovery. Bone marrow findings consistent with hypocellularity further supported the diagnosis and helped exclude other causes of pancytopenia, such as acute leukemia or myelodysplastic syndromes.</w:t>
      </w:r>
    </w:p>
    <w:p w:rsidR="00017E00" w:rsidRPr="00017E00" w:rsidRDefault="00017E00" w:rsidP="00017E00">
      <w:pPr>
        <w:spacing w:before="100" w:beforeAutospacing="1" w:after="100" w:afterAutospacing="1"/>
        <w:jc w:val="both"/>
        <w:rPr>
          <w:rFonts w:ascii="Arial" w:hAnsi="Arial" w:cs="Arial"/>
        </w:rPr>
      </w:pPr>
      <w:r w:rsidRPr="00017E00">
        <w:rPr>
          <w:rFonts w:ascii="Arial" w:hAnsi="Arial" w:cs="Arial"/>
        </w:rPr>
        <w:t xml:space="preserve">Menorrhagia, as observed in this case, represents a significant yet often under-recognized clinical manifestation of thrombocytopenia in young female patients with aplastic anemia. Early identification and prompt management of bleeding complications are essential to prevent hemodynamic instability and reduce transfusion requirements. The use of </w:t>
      </w:r>
      <w:r w:rsidRPr="00017E00">
        <w:rPr>
          <w:rFonts w:ascii="Arial" w:hAnsi="Arial" w:cs="Arial"/>
        </w:rPr>
        <w:lastRenderedPageBreak/>
        <w:t>tranexamic acid in this patient was effective in controlling bleeding, while danazol was administered as an adjunct therapy to enhance platelet recovery and reduce transfusion dependence.</w:t>
      </w:r>
    </w:p>
    <w:p w:rsidR="00017E00" w:rsidRPr="00017E00" w:rsidRDefault="00017E00" w:rsidP="00017E00">
      <w:pPr>
        <w:spacing w:before="100" w:beforeAutospacing="1" w:after="100" w:afterAutospacing="1"/>
        <w:jc w:val="both"/>
        <w:rPr>
          <w:rFonts w:ascii="Arial" w:hAnsi="Arial" w:cs="Arial"/>
        </w:rPr>
      </w:pPr>
      <w:r w:rsidRPr="00017E00">
        <w:rPr>
          <w:rFonts w:ascii="Arial" w:hAnsi="Arial" w:cs="Arial"/>
        </w:rPr>
        <w:t>Immunosuppressive therapy remains the cornerstone of treatment for patients who are not immediate candidates for hematopoietic stem cell transplantation. Cyclosporine was continued in this patient because of its ability to suppress aberrant T-cell activity responsible for hematopoietic stem cell destruction. Supportive care, including packed red blood cell and platelet transfusions, played a critical role in stabilizing the patient during the acute phase. However, prolonged transfusion support necessitates careful monitoring for complications such as iron overload and alloimmunization.</w:t>
      </w:r>
    </w:p>
    <w:p w:rsidR="00017E00" w:rsidRPr="00017E00" w:rsidRDefault="00017E00" w:rsidP="00AC6C92">
      <w:pPr>
        <w:spacing w:before="100" w:beforeAutospacing="1" w:after="100" w:afterAutospacing="1"/>
        <w:jc w:val="both"/>
        <w:rPr>
          <w:rFonts w:ascii="Arial" w:hAnsi="Arial" w:cs="Arial"/>
          <w:vanish/>
          <w:sz w:val="16"/>
          <w:szCs w:val="16"/>
        </w:rPr>
      </w:pPr>
      <w:r w:rsidRPr="00017E00">
        <w:rPr>
          <w:rFonts w:ascii="Arial" w:hAnsi="Arial" w:cs="Arial"/>
        </w:rPr>
        <w:t>Long-term follow-up is essential in patients with chronic aplastic anemia to assess treatment response, monitor drug-related toxicity, and detect clonal evolution to conditions such as paroxysmal nocturnal hemoglobinuria or myelodysplastic syndrome. Although immunosuppressive therapy remains effective for many patients, hematopoietic stem cell transplantation continues to be the only curative option and should be reconsidered if the patient develops refractory disease or experiences recurrent relapses.</w:t>
      </w:r>
      <w:r w:rsidRPr="00017E00">
        <w:rPr>
          <w:rFonts w:ascii="Arial" w:hAnsi="Arial" w:cs="Arial"/>
          <w:vanish/>
          <w:sz w:val="16"/>
          <w:szCs w:val="16"/>
        </w:rPr>
        <w:t>Top of Form</w:t>
      </w:r>
    </w:p>
    <w:p w:rsidR="00017E00" w:rsidRPr="00017E00" w:rsidRDefault="00017E00" w:rsidP="00017E00">
      <w:pPr>
        <w:rPr>
          <w:rFonts w:ascii="Times New Roman" w:hAnsi="Times New Roman"/>
          <w:sz w:val="24"/>
          <w:szCs w:val="24"/>
        </w:rPr>
      </w:pPr>
    </w:p>
    <w:p w:rsidR="00017E00" w:rsidRPr="00017E00" w:rsidRDefault="00017E00" w:rsidP="00017E00">
      <w:pPr>
        <w:pBdr>
          <w:top w:val="single" w:sz="6" w:space="1" w:color="auto"/>
        </w:pBdr>
        <w:jc w:val="center"/>
        <w:rPr>
          <w:rFonts w:ascii="Arial" w:hAnsi="Arial" w:cs="Arial"/>
          <w:vanish/>
          <w:sz w:val="16"/>
          <w:szCs w:val="16"/>
        </w:rPr>
      </w:pPr>
      <w:r w:rsidRPr="00017E00">
        <w:rPr>
          <w:rFonts w:ascii="Arial" w:hAnsi="Arial" w:cs="Arial"/>
          <w:vanish/>
          <w:sz w:val="16"/>
          <w:szCs w:val="16"/>
        </w:rPr>
        <w:t>Bottom of Form</w:t>
      </w:r>
    </w:p>
    <w:p w:rsidR="001F2150" w:rsidRDefault="001F2150" w:rsidP="001F2150">
      <w:pPr>
        <w:pStyle w:val="Body"/>
        <w:spacing w:after="0"/>
        <w:rPr>
          <w:rFonts w:ascii="Arial" w:hAnsi="Arial" w:cs="Arial"/>
        </w:rPr>
      </w:pPr>
    </w:p>
    <w:p w:rsidR="001F2150" w:rsidRPr="00270213" w:rsidRDefault="001F2150" w:rsidP="00C66462">
      <w:pPr>
        <w:pStyle w:val="Body"/>
        <w:numPr>
          <w:ilvl w:val="0"/>
          <w:numId w:val="20"/>
        </w:numPr>
        <w:spacing w:after="0"/>
        <w:rPr>
          <w:rFonts w:ascii="Arial" w:hAnsi="Arial" w:cs="Arial"/>
          <w:b/>
          <w:sz w:val="22"/>
          <w:szCs w:val="22"/>
        </w:rPr>
      </w:pPr>
      <w:r w:rsidRPr="001F2150">
        <w:rPr>
          <w:rFonts w:ascii="Arial" w:hAnsi="Arial" w:cs="Arial"/>
          <w:b/>
          <w:sz w:val="22"/>
          <w:szCs w:val="22"/>
        </w:rPr>
        <w:t xml:space="preserve">CONCLUSION </w:t>
      </w:r>
    </w:p>
    <w:p w:rsidR="001F2150" w:rsidRDefault="00017E00" w:rsidP="00B67790">
      <w:pPr>
        <w:spacing w:before="100" w:beforeAutospacing="1" w:after="100" w:afterAutospacing="1"/>
        <w:jc w:val="both"/>
        <w:rPr>
          <w:rFonts w:ascii="Arial" w:hAnsi="Arial" w:cs="Arial"/>
        </w:rPr>
      </w:pPr>
      <w:r w:rsidRPr="00017E00">
        <w:rPr>
          <w:rFonts w:ascii="Arial" w:hAnsi="Arial" w:cs="Arial"/>
        </w:rPr>
        <w:t>Aplastic anemia is a rare but serious hematological disorder associated with bone marrow failure and pancytopenia. This case illustrates the clinical challenges involved in managing chronic aplastic anemia in a young adult, particularly when complicated by severe thrombocytopenia and bleeding manifestations. Timely supportive care, including blood component therapy, along with continued immunosuppressive treatment using cyclosporine and adjunctive agents such as danazol and tranexamic acid, was essential in stabilizing the patient. Regular monitoring and individualized therapeutic strategies are crucial for preventing complications, assessing treatment response and determining the need for advanced interventions such as hematopoietic stem cell transplantation to improve long-term outcomes.</w:t>
      </w:r>
      <w:r>
        <w:rPr>
          <w:rFonts w:ascii="Arial" w:hAnsi="Arial" w:cs="Arial"/>
        </w:rPr>
        <w:t xml:space="preserve"> </w:t>
      </w:r>
      <w:r w:rsidRPr="00017E00">
        <w:rPr>
          <w:rFonts w:ascii="Arial" w:hAnsi="Arial" w:cs="Arial"/>
        </w:rPr>
        <w:t>Overall, this case highlights the complexities involved in managing aplastic anemia in young adults and underscores the importance of individualized treatment strategies, ear</w:t>
      </w:r>
      <w:r>
        <w:rPr>
          <w:rFonts w:ascii="Arial" w:hAnsi="Arial" w:cs="Arial"/>
        </w:rPr>
        <w:t>ly recognition of complications</w:t>
      </w:r>
      <w:r w:rsidRPr="00017E00">
        <w:rPr>
          <w:rFonts w:ascii="Arial" w:hAnsi="Arial" w:cs="Arial"/>
        </w:rPr>
        <w:t xml:space="preserve"> and sustained clinical monitoring to improve long-term outcomes.</w:t>
      </w:r>
    </w:p>
    <w:p w:rsidR="00270213" w:rsidRDefault="00270213" w:rsidP="00270213">
      <w:pPr>
        <w:pStyle w:val="Body"/>
        <w:spacing w:after="0"/>
        <w:rPr>
          <w:rFonts w:ascii="Arial" w:hAnsi="Arial" w:cs="Arial"/>
        </w:rPr>
      </w:pPr>
      <w:bookmarkStart w:id="0" w:name="_GoBack"/>
      <w:bookmarkEnd w:id="0"/>
    </w:p>
    <w:p w:rsidR="00270213" w:rsidRDefault="00270213" w:rsidP="00270213">
      <w:pPr>
        <w:pStyle w:val="Body"/>
        <w:spacing w:after="0"/>
        <w:rPr>
          <w:rFonts w:ascii="Arial" w:hAnsi="Arial" w:cs="Arial"/>
          <w:b/>
          <w:sz w:val="22"/>
          <w:szCs w:val="22"/>
        </w:rPr>
      </w:pPr>
      <w:r w:rsidRPr="00270213">
        <w:rPr>
          <w:rFonts w:ascii="Arial" w:hAnsi="Arial" w:cs="Arial"/>
          <w:b/>
          <w:sz w:val="22"/>
          <w:szCs w:val="22"/>
        </w:rPr>
        <w:t>CONSENT</w:t>
      </w:r>
    </w:p>
    <w:p w:rsidR="00270213" w:rsidRDefault="00270213" w:rsidP="00270213">
      <w:pPr>
        <w:pStyle w:val="Body"/>
        <w:spacing w:after="0"/>
        <w:rPr>
          <w:rFonts w:ascii="Arial" w:hAnsi="Arial" w:cs="Arial"/>
        </w:rPr>
      </w:pPr>
      <w:r>
        <w:rPr>
          <w:rFonts w:ascii="Arial" w:hAnsi="Arial" w:cs="Arial"/>
        </w:rPr>
        <w:t>As per international standards or university standards, patient(s) written consent has been collected and preserved by the author(s).</w:t>
      </w:r>
    </w:p>
    <w:p w:rsidR="00270213" w:rsidRDefault="00270213" w:rsidP="00270213">
      <w:pPr>
        <w:pStyle w:val="Body"/>
        <w:spacing w:after="0"/>
        <w:rPr>
          <w:rFonts w:ascii="Arial" w:hAnsi="Arial" w:cs="Arial"/>
        </w:rPr>
      </w:pPr>
    </w:p>
    <w:p w:rsidR="00270213" w:rsidRDefault="00270213" w:rsidP="00270213">
      <w:pPr>
        <w:pStyle w:val="Body"/>
        <w:spacing w:after="0"/>
        <w:rPr>
          <w:rFonts w:ascii="Arial" w:hAnsi="Arial" w:cs="Arial"/>
          <w:b/>
          <w:sz w:val="22"/>
          <w:szCs w:val="22"/>
        </w:rPr>
      </w:pPr>
      <w:r w:rsidRPr="00270213">
        <w:rPr>
          <w:rFonts w:ascii="Arial" w:hAnsi="Arial" w:cs="Arial"/>
          <w:b/>
          <w:sz w:val="22"/>
          <w:szCs w:val="22"/>
        </w:rPr>
        <w:t>ETHICAL APPROVAL</w:t>
      </w:r>
    </w:p>
    <w:p w:rsidR="00270213" w:rsidRDefault="00270213" w:rsidP="00270213">
      <w:pPr>
        <w:pStyle w:val="Body"/>
        <w:spacing w:after="0"/>
        <w:rPr>
          <w:rFonts w:ascii="Arial" w:hAnsi="Arial" w:cs="Arial"/>
        </w:rPr>
      </w:pPr>
      <w:r>
        <w:rPr>
          <w:rFonts w:ascii="Arial" w:hAnsi="Arial" w:cs="Arial"/>
        </w:rPr>
        <w:t xml:space="preserve">It is not applicable. </w:t>
      </w:r>
    </w:p>
    <w:p w:rsidR="00270213" w:rsidRDefault="00270213" w:rsidP="00270213">
      <w:pPr>
        <w:pStyle w:val="Body"/>
        <w:spacing w:after="0"/>
        <w:rPr>
          <w:rFonts w:ascii="Arial" w:hAnsi="Arial" w:cs="Arial"/>
        </w:rPr>
      </w:pPr>
    </w:p>
    <w:p w:rsidR="00270213" w:rsidRPr="00270213" w:rsidRDefault="00270213" w:rsidP="00270213">
      <w:pPr>
        <w:pStyle w:val="Body"/>
        <w:spacing w:after="0"/>
        <w:rPr>
          <w:rFonts w:ascii="Arial" w:hAnsi="Arial" w:cs="Arial"/>
          <w:b/>
          <w:sz w:val="22"/>
          <w:szCs w:val="22"/>
        </w:rPr>
      </w:pPr>
      <w:r w:rsidRPr="00270213">
        <w:rPr>
          <w:rFonts w:ascii="Arial" w:hAnsi="Arial" w:cs="Arial"/>
          <w:b/>
          <w:sz w:val="22"/>
          <w:szCs w:val="22"/>
        </w:rPr>
        <w:t>DISCLAIMER (ARTIFICIAL INTELLIGENCE)</w:t>
      </w:r>
    </w:p>
    <w:p w:rsidR="00270213" w:rsidRDefault="00270213" w:rsidP="00270213">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CO</w:t>
      </w:r>
      <w:r w:rsidR="00BC0DE6">
        <w:rPr>
          <w:rFonts w:ascii="Arial" w:hAnsi="Arial" w:cs="Arial"/>
        </w:rPr>
        <w:t xml:space="preserve">PILOT, </w:t>
      </w:r>
      <w:proofErr w:type="spellStart"/>
      <w:r w:rsidR="00BC0DE6">
        <w:rPr>
          <w:rFonts w:ascii="Arial" w:hAnsi="Arial" w:cs="Arial"/>
        </w:rPr>
        <w:t>etc</w:t>
      </w:r>
      <w:proofErr w:type="spellEnd"/>
      <w:r w:rsidR="00BC0DE6">
        <w:rPr>
          <w:rFonts w:ascii="Arial" w:hAnsi="Arial" w:cs="Arial"/>
        </w:rPr>
        <w:t>) and text-to-image generators have been used during writing or editing of this manuscript.</w:t>
      </w:r>
    </w:p>
    <w:p w:rsidR="00BC0DE6" w:rsidRDefault="00BC0DE6" w:rsidP="00270213">
      <w:pPr>
        <w:pStyle w:val="Body"/>
        <w:spacing w:after="0"/>
        <w:rPr>
          <w:rFonts w:ascii="Arial" w:hAnsi="Arial" w:cs="Arial"/>
        </w:rPr>
      </w:pPr>
    </w:p>
    <w:p w:rsidR="00BC0DE6" w:rsidRDefault="00BC0DE6" w:rsidP="00270213">
      <w:pPr>
        <w:pStyle w:val="Body"/>
        <w:spacing w:after="0"/>
        <w:rPr>
          <w:rFonts w:ascii="Arial" w:hAnsi="Arial" w:cs="Arial"/>
          <w:b/>
          <w:sz w:val="22"/>
          <w:szCs w:val="22"/>
        </w:rPr>
      </w:pPr>
      <w:r w:rsidRPr="00BC0DE6">
        <w:rPr>
          <w:rFonts w:ascii="Arial" w:hAnsi="Arial" w:cs="Arial"/>
          <w:b/>
          <w:sz w:val="22"/>
          <w:szCs w:val="22"/>
        </w:rPr>
        <w:t>COMPETING INTERESTS</w:t>
      </w:r>
    </w:p>
    <w:p w:rsidR="00860000" w:rsidRDefault="00BC0DE6" w:rsidP="00BC0DE6">
      <w:pPr>
        <w:pStyle w:val="Body"/>
        <w:spacing w:after="0"/>
        <w:rPr>
          <w:rFonts w:ascii="Arial" w:hAnsi="Arial" w:cs="Arial"/>
        </w:rPr>
      </w:pPr>
      <w:r>
        <w:rPr>
          <w:rFonts w:ascii="Arial" w:hAnsi="Arial" w:cs="Arial"/>
        </w:rPr>
        <w:t>Authors have declared that no competing interests exists.</w:t>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1F2150" w:rsidRDefault="001F2150" w:rsidP="00441B6F">
      <w:pPr>
        <w:pStyle w:val="ReferHead"/>
        <w:spacing w:after="0"/>
        <w:jc w:val="both"/>
        <w:rPr>
          <w:rFonts w:ascii="Arial" w:hAnsi="Arial" w:cs="Arial"/>
        </w:rPr>
      </w:pP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Jain D, Kumar R, Tyagi N, Negi A, Pande A, Mahajan A, et al. Etiology and survival of aplastic anemia: a study based on clinical investigation. J Clin Lab Anal. 2012;26(6):452–458.</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Singh P, Sinha A, Kamath A, Malhotra S, Chandra AB. Aplastic anemia: a quick review. J Cancer Prev Curr Res. 2017;7(5):152–156.</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Montané</w:t>
      </w:r>
      <w:proofErr w:type="spellEnd"/>
      <w:r w:rsidRPr="001F2150">
        <w:rPr>
          <w:rFonts w:ascii="Arial" w:hAnsi="Arial" w:cs="Arial"/>
          <w:b w:val="0"/>
          <w:caps w:val="0"/>
          <w:sz w:val="20"/>
        </w:rPr>
        <w:t xml:space="preserve"> E, Ibáñez L, Vidal X, </w:t>
      </w:r>
      <w:proofErr w:type="spellStart"/>
      <w:r w:rsidRPr="001F2150">
        <w:rPr>
          <w:rFonts w:ascii="Arial" w:hAnsi="Arial" w:cs="Arial"/>
          <w:b w:val="0"/>
          <w:caps w:val="0"/>
          <w:sz w:val="20"/>
        </w:rPr>
        <w:t>Ballarín</w:t>
      </w:r>
      <w:proofErr w:type="spellEnd"/>
      <w:r w:rsidRPr="001F2150">
        <w:rPr>
          <w:rFonts w:ascii="Arial" w:hAnsi="Arial" w:cs="Arial"/>
          <w:b w:val="0"/>
          <w:caps w:val="0"/>
          <w:sz w:val="20"/>
        </w:rPr>
        <w:t xml:space="preserve"> E, Puig R, García N, et al. Epidemiology of aplastic anemia: a prospective multicenter study. </w:t>
      </w:r>
      <w:proofErr w:type="spellStart"/>
      <w:r w:rsidRPr="001F2150">
        <w:rPr>
          <w:rFonts w:ascii="Arial" w:hAnsi="Arial" w:cs="Arial"/>
          <w:b w:val="0"/>
          <w:caps w:val="0"/>
          <w:sz w:val="20"/>
        </w:rPr>
        <w:t>Haematologica</w:t>
      </w:r>
      <w:proofErr w:type="spellEnd"/>
      <w:r w:rsidRPr="001F2150">
        <w:rPr>
          <w:rFonts w:ascii="Arial" w:hAnsi="Arial" w:cs="Arial"/>
          <w:b w:val="0"/>
          <w:caps w:val="0"/>
          <w:sz w:val="20"/>
        </w:rPr>
        <w:t>. 2008;93(4):518–523.</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 xml:space="preserve">Adapted from: Bacigalupo A. Blood. 2017;129(11):1428–1436; Singh P, et al. J Cancer Prev Curr Res. 2017;7(5):152–156; </w:t>
      </w:r>
      <w:proofErr w:type="spellStart"/>
      <w:r w:rsidRPr="001F2150">
        <w:rPr>
          <w:rFonts w:ascii="Arial" w:hAnsi="Arial" w:cs="Arial"/>
          <w:b w:val="0"/>
          <w:caps w:val="0"/>
          <w:sz w:val="20"/>
        </w:rPr>
        <w:t>Nimmana</w:t>
      </w:r>
      <w:proofErr w:type="spellEnd"/>
      <w:r w:rsidRPr="001F2150">
        <w:rPr>
          <w:rFonts w:ascii="Arial" w:hAnsi="Arial" w:cs="Arial"/>
          <w:b w:val="0"/>
          <w:caps w:val="0"/>
          <w:sz w:val="20"/>
        </w:rPr>
        <w:t xml:space="preserve"> BK, Penney SW.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2025.</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Nimmana</w:t>
      </w:r>
      <w:proofErr w:type="spellEnd"/>
      <w:r w:rsidRPr="001F2150">
        <w:rPr>
          <w:rFonts w:ascii="Arial" w:hAnsi="Arial" w:cs="Arial"/>
          <w:b w:val="0"/>
          <w:caps w:val="0"/>
          <w:sz w:val="20"/>
        </w:rPr>
        <w:t xml:space="preserve"> BK, Penney SW. Aplastic anemia. In: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xml:space="preserve"> [Internet]. Treasure Island (FL):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xml:space="preserve"> Publishing; 2025 Jan–. Updated 2025 Jul 7.</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Kulasekararaj</w:t>
      </w:r>
      <w:proofErr w:type="spellEnd"/>
      <w:r w:rsidRPr="001F2150">
        <w:rPr>
          <w:rFonts w:ascii="Arial" w:hAnsi="Arial" w:cs="Arial"/>
          <w:b w:val="0"/>
          <w:caps w:val="0"/>
          <w:sz w:val="20"/>
        </w:rPr>
        <w:t xml:space="preserve"> A, </w:t>
      </w:r>
      <w:proofErr w:type="spellStart"/>
      <w:r w:rsidRPr="001F2150">
        <w:rPr>
          <w:rFonts w:ascii="Arial" w:hAnsi="Arial" w:cs="Arial"/>
          <w:b w:val="0"/>
          <w:caps w:val="0"/>
          <w:sz w:val="20"/>
        </w:rPr>
        <w:t>Cavenagh</w:t>
      </w:r>
      <w:proofErr w:type="spellEnd"/>
      <w:r w:rsidRPr="001F2150">
        <w:rPr>
          <w:rFonts w:ascii="Arial" w:hAnsi="Arial" w:cs="Arial"/>
          <w:b w:val="0"/>
          <w:caps w:val="0"/>
          <w:sz w:val="20"/>
        </w:rPr>
        <w:t xml:space="preserve"> J, </w:t>
      </w:r>
      <w:proofErr w:type="spellStart"/>
      <w:r w:rsidRPr="001F2150">
        <w:rPr>
          <w:rFonts w:ascii="Arial" w:hAnsi="Arial" w:cs="Arial"/>
          <w:b w:val="0"/>
          <w:caps w:val="0"/>
          <w:sz w:val="20"/>
        </w:rPr>
        <w:t>Dokal</w:t>
      </w:r>
      <w:proofErr w:type="spellEnd"/>
      <w:r w:rsidRPr="001F2150">
        <w:rPr>
          <w:rFonts w:ascii="Arial" w:hAnsi="Arial" w:cs="Arial"/>
          <w:b w:val="0"/>
          <w:caps w:val="0"/>
          <w:sz w:val="20"/>
        </w:rPr>
        <w:t xml:space="preserve"> I, </w:t>
      </w:r>
      <w:proofErr w:type="spellStart"/>
      <w:r w:rsidRPr="001F2150">
        <w:rPr>
          <w:rFonts w:ascii="Arial" w:hAnsi="Arial" w:cs="Arial"/>
          <w:b w:val="0"/>
          <w:caps w:val="0"/>
          <w:sz w:val="20"/>
        </w:rPr>
        <w:t>Foukaneli</w:t>
      </w:r>
      <w:proofErr w:type="spellEnd"/>
      <w:r w:rsidRPr="001F2150">
        <w:rPr>
          <w:rFonts w:ascii="Arial" w:hAnsi="Arial" w:cs="Arial"/>
          <w:b w:val="0"/>
          <w:caps w:val="0"/>
          <w:sz w:val="20"/>
        </w:rPr>
        <w:t xml:space="preserve"> T, Gandhi S, Garg M, et al.; on behalf of the British Society for </w:t>
      </w:r>
      <w:proofErr w:type="spellStart"/>
      <w:r w:rsidRPr="001F2150">
        <w:rPr>
          <w:rFonts w:ascii="Arial" w:hAnsi="Arial" w:cs="Arial"/>
          <w:b w:val="0"/>
          <w:caps w:val="0"/>
          <w:sz w:val="20"/>
        </w:rPr>
        <w:t>Haematology</w:t>
      </w:r>
      <w:proofErr w:type="spellEnd"/>
      <w:r w:rsidRPr="001F2150">
        <w:rPr>
          <w:rFonts w:ascii="Arial" w:hAnsi="Arial" w:cs="Arial"/>
          <w:b w:val="0"/>
          <w:caps w:val="0"/>
          <w:sz w:val="20"/>
        </w:rPr>
        <w:t xml:space="preserve"> Committee. Guidelines for the diagnosis and management of adult aplastic </w:t>
      </w:r>
      <w:proofErr w:type="spellStart"/>
      <w:r w:rsidRPr="001F2150">
        <w:rPr>
          <w:rFonts w:ascii="Arial" w:hAnsi="Arial" w:cs="Arial"/>
          <w:b w:val="0"/>
          <w:caps w:val="0"/>
          <w:sz w:val="20"/>
        </w:rPr>
        <w:t>anaemia</w:t>
      </w:r>
      <w:proofErr w:type="spellEnd"/>
      <w:r w:rsidRPr="001F2150">
        <w:rPr>
          <w:rFonts w:ascii="Arial" w:hAnsi="Arial" w:cs="Arial"/>
          <w:b w:val="0"/>
          <w:caps w:val="0"/>
          <w:sz w:val="20"/>
        </w:rPr>
        <w:t xml:space="preserve">: A British Society for </w:t>
      </w:r>
      <w:proofErr w:type="spellStart"/>
      <w:r w:rsidRPr="001F2150">
        <w:rPr>
          <w:rFonts w:ascii="Arial" w:hAnsi="Arial" w:cs="Arial"/>
          <w:b w:val="0"/>
          <w:caps w:val="0"/>
          <w:sz w:val="20"/>
        </w:rPr>
        <w:t>Haematology</w:t>
      </w:r>
      <w:proofErr w:type="spellEnd"/>
      <w:r w:rsidRPr="001F2150">
        <w:rPr>
          <w:rFonts w:ascii="Arial" w:hAnsi="Arial" w:cs="Arial"/>
          <w:b w:val="0"/>
          <w:caps w:val="0"/>
          <w:sz w:val="20"/>
        </w:rPr>
        <w:t xml:space="preserve"> guideline. Br J Haematol. 2024;204(3):784–804. doi:10.1111/bjh.19236.</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Bacigalupo A. How I treat acquired aplastic anemia. Blood. 2017;129(11):1428–1436.</w:t>
      </w:r>
    </w:p>
    <w:p w:rsidR="001F2150" w:rsidRDefault="001F2150" w:rsidP="00441B6F">
      <w:pPr>
        <w:pStyle w:val="ReferHead"/>
        <w:spacing w:after="0"/>
        <w:jc w:val="both"/>
        <w:rPr>
          <w:rFonts w:ascii="Arial" w:hAnsi="Arial" w:cs="Arial"/>
        </w:rPr>
      </w:pPr>
    </w:p>
    <w:p w:rsidR="00790ADA" w:rsidRPr="00FB3A86" w:rsidRDefault="00790ADA" w:rsidP="00441B6F">
      <w:pPr>
        <w:pStyle w:val="ReferHead"/>
        <w:spacing w:after="0"/>
        <w:jc w:val="both"/>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71471F">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760" w:rsidRDefault="00841760" w:rsidP="00C37E61">
      <w:r>
        <w:separator/>
      </w:r>
    </w:p>
  </w:endnote>
  <w:endnote w:type="continuationSeparator" w:id="0">
    <w:p w:rsidR="00841760" w:rsidRDefault="008417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760" w:rsidRDefault="00841760" w:rsidP="00C37E61">
      <w:r>
        <w:separator/>
      </w:r>
    </w:p>
  </w:footnote>
  <w:footnote w:type="continuationSeparator" w:id="0">
    <w:p w:rsidR="00841760" w:rsidRDefault="008417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1471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12B"/>
    <w:multiLevelType w:val="hybridMultilevel"/>
    <w:tmpl w:val="DD5C9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B7DE1"/>
    <w:multiLevelType w:val="hybridMultilevel"/>
    <w:tmpl w:val="0442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20C72"/>
    <w:multiLevelType w:val="hybridMultilevel"/>
    <w:tmpl w:val="6A1C2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226F9"/>
    <w:multiLevelType w:val="multilevel"/>
    <w:tmpl w:val="906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2403"/>
    <w:multiLevelType w:val="hybridMultilevel"/>
    <w:tmpl w:val="26A63540"/>
    <w:lvl w:ilvl="0" w:tplc="1E4A687E">
      <w:start w:val="1"/>
      <w:numFmt w:val="decimal"/>
      <w:lvlText w:val="2.1%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A9318A"/>
    <w:multiLevelType w:val="hybridMultilevel"/>
    <w:tmpl w:val="4DE00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351248"/>
    <w:multiLevelType w:val="hybridMultilevel"/>
    <w:tmpl w:val="39DE4CB0"/>
    <w:lvl w:ilvl="0" w:tplc="8BDCF092">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929B8"/>
    <w:multiLevelType w:val="hybridMultilevel"/>
    <w:tmpl w:val="7F125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A0E4A"/>
    <w:multiLevelType w:val="hybridMultilevel"/>
    <w:tmpl w:val="A86A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5F22B1"/>
    <w:multiLevelType w:val="hybridMultilevel"/>
    <w:tmpl w:val="3668822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18580B"/>
    <w:multiLevelType w:val="hybridMultilevel"/>
    <w:tmpl w:val="8C66C58C"/>
    <w:lvl w:ilvl="0" w:tplc="7D721C36">
      <w:start w:val="2"/>
      <w:numFmt w:val="decimal"/>
      <w:lvlText w:val="%1."/>
      <w:lvlJc w:val="left"/>
      <w:pPr>
        <w:ind w:left="360" w:hanging="360"/>
      </w:pPr>
      <w:rPr>
        <w:rFonts w:hint="default"/>
        <w:b/>
        <w:i w:val="0"/>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7D298C"/>
    <w:multiLevelType w:val="hybridMultilevel"/>
    <w:tmpl w:val="39D8674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052F6B"/>
    <w:multiLevelType w:val="hybridMultilevel"/>
    <w:tmpl w:val="DAAEEB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4B1BFA"/>
    <w:multiLevelType w:val="hybridMultilevel"/>
    <w:tmpl w:val="0F020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D06BF5"/>
    <w:multiLevelType w:val="hybridMultilevel"/>
    <w:tmpl w:val="36F26750"/>
    <w:lvl w:ilvl="0" w:tplc="A6C2DE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F04DC6"/>
    <w:multiLevelType w:val="hybridMultilevel"/>
    <w:tmpl w:val="FABA4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A55EBE"/>
    <w:multiLevelType w:val="hybridMultilevel"/>
    <w:tmpl w:val="ECB21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21605C"/>
    <w:multiLevelType w:val="hybridMultilevel"/>
    <w:tmpl w:val="CB144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9" w15:restartNumberingAfterBreak="0">
    <w:nsid w:val="726902CA"/>
    <w:multiLevelType w:val="hybridMultilevel"/>
    <w:tmpl w:val="5C8E3AC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1823F0"/>
    <w:multiLevelType w:val="hybridMultilevel"/>
    <w:tmpl w:val="AB74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303E4"/>
    <w:multiLevelType w:val="hybridMultilevel"/>
    <w:tmpl w:val="EFD41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066087"/>
    <w:multiLevelType w:val="hybridMultilevel"/>
    <w:tmpl w:val="CA1C2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4"/>
  </w:num>
  <w:num w:numId="3">
    <w:abstractNumId w:val="7"/>
  </w:num>
  <w:num w:numId="4">
    <w:abstractNumId w:val="0"/>
  </w:num>
  <w:num w:numId="5">
    <w:abstractNumId w:val="14"/>
  </w:num>
  <w:num w:numId="6">
    <w:abstractNumId w:val="2"/>
  </w:num>
  <w:num w:numId="7">
    <w:abstractNumId w:val="1"/>
  </w:num>
  <w:num w:numId="8">
    <w:abstractNumId w:val="12"/>
  </w:num>
  <w:num w:numId="9">
    <w:abstractNumId w:val="5"/>
  </w:num>
  <w:num w:numId="10">
    <w:abstractNumId w:val="16"/>
  </w:num>
  <w:num w:numId="11">
    <w:abstractNumId w:val="11"/>
  </w:num>
  <w:num w:numId="12">
    <w:abstractNumId w:val="17"/>
  </w:num>
  <w:num w:numId="13">
    <w:abstractNumId w:val="9"/>
  </w:num>
  <w:num w:numId="14">
    <w:abstractNumId w:val="21"/>
  </w:num>
  <w:num w:numId="15">
    <w:abstractNumId w:val="19"/>
  </w:num>
  <w:num w:numId="16">
    <w:abstractNumId w:val="22"/>
  </w:num>
  <w:num w:numId="17">
    <w:abstractNumId w:val="13"/>
  </w:num>
  <w:num w:numId="18">
    <w:abstractNumId w:val="8"/>
  </w:num>
  <w:num w:numId="19">
    <w:abstractNumId w:val="15"/>
  </w:num>
  <w:num w:numId="20">
    <w:abstractNumId w:val="10"/>
  </w:num>
  <w:num w:numId="21">
    <w:abstractNumId w:val="20"/>
  </w:num>
  <w:num w:numId="22">
    <w:abstractNumId w:val="6"/>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E00"/>
    <w:rsid w:val="00030174"/>
    <w:rsid w:val="0004579C"/>
    <w:rsid w:val="0006300E"/>
    <w:rsid w:val="000A47FA"/>
    <w:rsid w:val="000A65D3"/>
    <w:rsid w:val="000B1E33"/>
    <w:rsid w:val="000C1267"/>
    <w:rsid w:val="000D689F"/>
    <w:rsid w:val="000E7B7B"/>
    <w:rsid w:val="000E7D62"/>
    <w:rsid w:val="00103357"/>
    <w:rsid w:val="00112CE1"/>
    <w:rsid w:val="00123C9F"/>
    <w:rsid w:val="00126190"/>
    <w:rsid w:val="00130F17"/>
    <w:rsid w:val="001320BF"/>
    <w:rsid w:val="00163BC4"/>
    <w:rsid w:val="00191062"/>
    <w:rsid w:val="00192B72"/>
    <w:rsid w:val="001A29D8"/>
    <w:rsid w:val="001A5CAA"/>
    <w:rsid w:val="001B0427"/>
    <w:rsid w:val="001D3A51"/>
    <w:rsid w:val="001D6E64"/>
    <w:rsid w:val="001E10D2"/>
    <w:rsid w:val="001E25B4"/>
    <w:rsid w:val="001E44FE"/>
    <w:rsid w:val="001F2150"/>
    <w:rsid w:val="00200595"/>
    <w:rsid w:val="00204835"/>
    <w:rsid w:val="00231920"/>
    <w:rsid w:val="0023195C"/>
    <w:rsid w:val="0024282C"/>
    <w:rsid w:val="002460DC"/>
    <w:rsid w:val="00250985"/>
    <w:rsid w:val="002556F6"/>
    <w:rsid w:val="00270213"/>
    <w:rsid w:val="00283105"/>
    <w:rsid w:val="00284C4C"/>
    <w:rsid w:val="00287E68"/>
    <w:rsid w:val="002961BE"/>
    <w:rsid w:val="00296529"/>
    <w:rsid w:val="002B27FB"/>
    <w:rsid w:val="002B685A"/>
    <w:rsid w:val="002C57D2"/>
    <w:rsid w:val="002E0D56"/>
    <w:rsid w:val="002F65B1"/>
    <w:rsid w:val="00315186"/>
    <w:rsid w:val="0033343E"/>
    <w:rsid w:val="00334CD3"/>
    <w:rsid w:val="003512C2"/>
    <w:rsid w:val="003571A0"/>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3B81"/>
    <w:rsid w:val="00554FDA"/>
    <w:rsid w:val="005A32F5"/>
    <w:rsid w:val="005C784C"/>
    <w:rsid w:val="005D17F6"/>
    <w:rsid w:val="005E5539"/>
    <w:rsid w:val="00602BF5"/>
    <w:rsid w:val="00617FDD"/>
    <w:rsid w:val="00633614"/>
    <w:rsid w:val="00633F68"/>
    <w:rsid w:val="00636EB2"/>
    <w:rsid w:val="006375B8"/>
    <w:rsid w:val="00655B99"/>
    <w:rsid w:val="0066510A"/>
    <w:rsid w:val="00673F9F"/>
    <w:rsid w:val="00686953"/>
    <w:rsid w:val="00687DEA"/>
    <w:rsid w:val="00687E67"/>
    <w:rsid w:val="006967F7"/>
    <w:rsid w:val="006A250C"/>
    <w:rsid w:val="006A7624"/>
    <w:rsid w:val="006B21D3"/>
    <w:rsid w:val="006B57D0"/>
    <w:rsid w:val="006D30FF"/>
    <w:rsid w:val="006D6940"/>
    <w:rsid w:val="006E79E0"/>
    <w:rsid w:val="006F11EC"/>
    <w:rsid w:val="0070082C"/>
    <w:rsid w:val="0071471F"/>
    <w:rsid w:val="007369E6"/>
    <w:rsid w:val="00746E59"/>
    <w:rsid w:val="00754C9A"/>
    <w:rsid w:val="0075599A"/>
    <w:rsid w:val="00761D52"/>
    <w:rsid w:val="0077749E"/>
    <w:rsid w:val="00790ADA"/>
    <w:rsid w:val="007D2288"/>
    <w:rsid w:val="007E088F"/>
    <w:rsid w:val="007F7B32"/>
    <w:rsid w:val="00804BC2"/>
    <w:rsid w:val="0081431A"/>
    <w:rsid w:val="0083216F"/>
    <w:rsid w:val="00841760"/>
    <w:rsid w:val="00860000"/>
    <w:rsid w:val="00863BD3"/>
    <w:rsid w:val="008641ED"/>
    <w:rsid w:val="00866D66"/>
    <w:rsid w:val="008671C6"/>
    <w:rsid w:val="00875803"/>
    <w:rsid w:val="008B459E"/>
    <w:rsid w:val="008E13AE"/>
    <w:rsid w:val="008E1506"/>
    <w:rsid w:val="008E710C"/>
    <w:rsid w:val="008F4549"/>
    <w:rsid w:val="008F69D6"/>
    <w:rsid w:val="00902823"/>
    <w:rsid w:val="00915CA6"/>
    <w:rsid w:val="00927834"/>
    <w:rsid w:val="009500A6"/>
    <w:rsid w:val="00957C18"/>
    <w:rsid w:val="009607BF"/>
    <w:rsid w:val="009659BA"/>
    <w:rsid w:val="00980D7F"/>
    <w:rsid w:val="00983040"/>
    <w:rsid w:val="009B3FB9"/>
    <w:rsid w:val="009C2465"/>
    <w:rsid w:val="009C50A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89C"/>
    <w:rsid w:val="00A92C3B"/>
    <w:rsid w:val="00A94063"/>
    <w:rsid w:val="00AA6219"/>
    <w:rsid w:val="00AA74E0"/>
    <w:rsid w:val="00AB703F"/>
    <w:rsid w:val="00AC0095"/>
    <w:rsid w:val="00AC6BB8"/>
    <w:rsid w:val="00AC6C92"/>
    <w:rsid w:val="00AE008F"/>
    <w:rsid w:val="00B01FCD"/>
    <w:rsid w:val="00B1776C"/>
    <w:rsid w:val="00B52583"/>
    <w:rsid w:val="00B52896"/>
    <w:rsid w:val="00B67790"/>
    <w:rsid w:val="00B95236"/>
    <w:rsid w:val="00B96BD9"/>
    <w:rsid w:val="00BA1B01"/>
    <w:rsid w:val="00BA2641"/>
    <w:rsid w:val="00BB37AA"/>
    <w:rsid w:val="00BC0DE6"/>
    <w:rsid w:val="00BC53A0"/>
    <w:rsid w:val="00BE62AD"/>
    <w:rsid w:val="00BE7EDE"/>
    <w:rsid w:val="00BF121F"/>
    <w:rsid w:val="00BF1F80"/>
    <w:rsid w:val="00C166EF"/>
    <w:rsid w:val="00C17EB0"/>
    <w:rsid w:val="00C27F5F"/>
    <w:rsid w:val="00C30A0F"/>
    <w:rsid w:val="00C3108B"/>
    <w:rsid w:val="00C37E61"/>
    <w:rsid w:val="00C66462"/>
    <w:rsid w:val="00C70F1B"/>
    <w:rsid w:val="00C71A47"/>
    <w:rsid w:val="00C7464C"/>
    <w:rsid w:val="00C85588"/>
    <w:rsid w:val="00CD6755"/>
    <w:rsid w:val="00CD6856"/>
    <w:rsid w:val="00CE0089"/>
    <w:rsid w:val="00CE793C"/>
    <w:rsid w:val="00CF193C"/>
    <w:rsid w:val="00D002DC"/>
    <w:rsid w:val="00D173F1"/>
    <w:rsid w:val="00D619A3"/>
    <w:rsid w:val="00D74CB0"/>
    <w:rsid w:val="00D8295D"/>
    <w:rsid w:val="00DC2A65"/>
    <w:rsid w:val="00DE15F0"/>
    <w:rsid w:val="00DE5663"/>
    <w:rsid w:val="00DE78AA"/>
    <w:rsid w:val="00DF6657"/>
    <w:rsid w:val="00E053D0"/>
    <w:rsid w:val="00E15994"/>
    <w:rsid w:val="00E3114E"/>
    <w:rsid w:val="00E31A70"/>
    <w:rsid w:val="00E35B02"/>
    <w:rsid w:val="00E66496"/>
    <w:rsid w:val="00E66B35"/>
    <w:rsid w:val="00E66E10"/>
    <w:rsid w:val="00E769F6"/>
    <w:rsid w:val="00E8407C"/>
    <w:rsid w:val="00E84F3C"/>
    <w:rsid w:val="00EA012C"/>
    <w:rsid w:val="00EC3F53"/>
    <w:rsid w:val="00EC6800"/>
    <w:rsid w:val="00EC6A55"/>
    <w:rsid w:val="00ED0288"/>
    <w:rsid w:val="00EE52CB"/>
    <w:rsid w:val="00EE5FBA"/>
    <w:rsid w:val="00EF581D"/>
    <w:rsid w:val="00EF7FD8"/>
    <w:rsid w:val="00F06F59"/>
    <w:rsid w:val="00F17988"/>
    <w:rsid w:val="00F469F0"/>
    <w:rsid w:val="00F47C86"/>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8A25EAB4-4229-401D-AC36-6CE84BF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1D6E64"/>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8F454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4549"/>
    <w:rPr>
      <w:b/>
      <w:bCs/>
    </w:rPr>
  </w:style>
  <w:style w:type="paragraph" w:styleId="z-TopofForm">
    <w:name w:val="HTML Top of Form"/>
    <w:basedOn w:val="Normal"/>
    <w:next w:val="Normal"/>
    <w:link w:val="z-TopofFormChar"/>
    <w:hidden/>
    <w:uiPriority w:val="99"/>
    <w:semiHidden/>
    <w:unhideWhenUsed/>
    <w:rsid w:val="00017E0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7E0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7E0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7E00"/>
    <w:rPr>
      <w:rFonts w:ascii="Arial" w:hAnsi="Arial" w:cs="Arial"/>
      <w:vanish/>
      <w:sz w:val="16"/>
      <w:szCs w:val="16"/>
    </w:rPr>
  </w:style>
  <w:style w:type="character" w:styleId="UnresolvedMention">
    <w:name w:val="Unresolved Mention"/>
    <w:basedOn w:val="DefaultParagraphFont"/>
    <w:uiPriority w:val="99"/>
    <w:semiHidden/>
    <w:unhideWhenUsed/>
    <w:rsid w:val="00AC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377160">
      <w:bodyDiv w:val="1"/>
      <w:marLeft w:val="0"/>
      <w:marRight w:val="0"/>
      <w:marTop w:val="0"/>
      <w:marBottom w:val="0"/>
      <w:divBdr>
        <w:top w:val="none" w:sz="0" w:space="0" w:color="auto"/>
        <w:left w:val="none" w:sz="0" w:space="0" w:color="auto"/>
        <w:bottom w:val="none" w:sz="0" w:space="0" w:color="auto"/>
        <w:right w:val="none" w:sz="0" w:space="0" w:color="auto"/>
      </w:divBdr>
      <w:divsChild>
        <w:div w:id="829489683">
          <w:marLeft w:val="0"/>
          <w:marRight w:val="0"/>
          <w:marTop w:val="0"/>
          <w:marBottom w:val="0"/>
          <w:divBdr>
            <w:top w:val="none" w:sz="0" w:space="0" w:color="auto"/>
            <w:left w:val="none" w:sz="0" w:space="0" w:color="auto"/>
            <w:bottom w:val="none" w:sz="0" w:space="0" w:color="auto"/>
            <w:right w:val="none" w:sz="0" w:space="0" w:color="auto"/>
          </w:divBdr>
          <w:divsChild>
            <w:div w:id="1649091611">
              <w:marLeft w:val="0"/>
              <w:marRight w:val="0"/>
              <w:marTop w:val="0"/>
              <w:marBottom w:val="0"/>
              <w:divBdr>
                <w:top w:val="none" w:sz="0" w:space="0" w:color="auto"/>
                <w:left w:val="none" w:sz="0" w:space="0" w:color="auto"/>
                <w:bottom w:val="none" w:sz="0" w:space="0" w:color="auto"/>
                <w:right w:val="none" w:sz="0" w:space="0" w:color="auto"/>
              </w:divBdr>
              <w:divsChild>
                <w:div w:id="374235756">
                  <w:marLeft w:val="0"/>
                  <w:marRight w:val="0"/>
                  <w:marTop w:val="0"/>
                  <w:marBottom w:val="0"/>
                  <w:divBdr>
                    <w:top w:val="none" w:sz="0" w:space="0" w:color="auto"/>
                    <w:left w:val="none" w:sz="0" w:space="0" w:color="auto"/>
                    <w:bottom w:val="none" w:sz="0" w:space="0" w:color="auto"/>
                    <w:right w:val="none" w:sz="0" w:space="0" w:color="auto"/>
                  </w:divBdr>
                  <w:divsChild>
                    <w:div w:id="285240521">
                      <w:marLeft w:val="0"/>
                      <w:marRight w:val="0"/>
                      <w:marTop w:val="0"/>
                      <w:marBottom w:val="0"/>
                      <w:divBdr>
                        <w:top w:val="none" w:sz="0" w:space="0" w:color="auto"/>
                        <w:left w:val="none" w:sz="0" w:space="0" w:color="auto"/>
                        <w:bottom w:val="none" w:sz="0" w:space="0" w:color="auto"/>
                        <w:right w:val="none" w:sz="0" w:space="0" w:color="auto"/>
                      </w:divBdr>
                      <w:divsChild>
                        <w:div w:id="1611283797">
                          <w:marLeft w:val="0"/>
                          <w:marRight w:val="0"/>
                          <w:marTop w:val="0"/>
                          <w:marBottom w:val="0"/>
                          <w:divBdr>
                            <w:top w:val="none" w:sz="0" w:space="0" w:color="auto"/>
                            <w:left w:val="none" w:sz="0" w:space="0" w:color="auto"/>
                            <w:bottom w:val="none" w:sz="0" w:space="0" w:color="auto"/>
                            <w:right w:val="none" w:sz="0" w:space="0" w:color="auto"/>
                          </w:divBdr>
                          <w:divsChild>
                            <w:div w:id="1273172899">
                              <w:marLeft w:val="0"/>
                              <w:marRight w:val="0"/>
                              <w:marTop w:val="0"/>
                              <w:marBottom w:val="0"/>
                              <w:divBdr>
                                <w:top w:val="none" w:sz="0" w:space="0" w:color="auto"/>
                                <w:left w:val="none" w:sz="0" w:space="0" w:color="auto"/>
                                <w:bottom w:val="none" w:sz="0" w:space="0" w:color="auto"/>
                                <w:right w:val="none" w:sz="0" w:space="0" w:color="auto"/>
                              </w:divBdr>
                              <w:divsChild>
                                <w:div w:id="8609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5509">
      <w:bodyDiv w:val="1"/>
      <w:marLeft w:val="0"/>
      <w:marRight w:val="0"/>
      <w:marTop w:val="0"/>
      <w:marBottom w:val="0"/>
      <w:divBdr>
        <w:top w:val="none" w:sz="0" w:space="0" w:color="auto"/>
        <w:left w:val="none" w:sz="0" w:space="0" w:color="auto"/>
        <w:bottom w:val="none" w:sz="0" w:space="0" w:color="auto"/>
        <w:right w:val="none" w:sz="0" w:space="0" w:color="auto"/>
      </w:divBdr>
      <w:divsChild>
        <w:div w:id="6442428">
          <w:marLeft w:val="0"/>
          <w:marRight w:val="0"/>
          <w:marTop w:val="0"/>
          <w:marBottom w:val="0"/>
          <w:divBdr>
            <w:top w:val="none" w:sz="0" w:space="0" w:color="auto"/>
            <w:left w:val="none" w:sz="0" w:space="0" w:color="auto"/>
            <w:bottom w:val="none" w:sz="0" w:space="0" w:color="auto"/>
            <w:right w:val="none" w:sz="0" w:space="0" w:color="auto"/>
          </w:divBdr>
          <w:divsChild>
            <w:div w:id="809052233">
              <w:marLeft w:val="0"/>
              <w:marRight w:val="0"/>
              <w:marTop w:val="0"/>
              <w:marBottom w:val="0"/>
              <w:divBdr>
                <w:top w:val="none" w:sz="0" w:space="0" w:color="auto"/>
                <w:left w:val="none" w:sz="0" w:space="0" w:color="auto"/>
                <w:bottom w:val="none" w:sz="0" w:space="0" w:color="auto"/>
                <w:right w:val="none" w:sz="0" w:space="0" w:color="auto"/>
              </w:divBdr>
              <w:divsChild>
                <w:div w:id="2121760558">
                  <w:marLeft w:val="0"/>
                  <w:marRight w:val="0"/>
                  <w:marTop w:val="0"/>
                  <w:marBottom w:val="0"/>
                  <w:divBdr>
                    <w:top w:val="none" w:sz="0" w:space="0" w:color="auto"/>
                    <w:left w:val="none" w:sz="0" w:space="0" w:color="auto"/>
                    <w:bottom w:val="none" w:sz="0" w:space="0" w:color="auto"/>
                    <w:right w:val="none" w:sz="0" w:space="0" w:color="auto"/>
                  </w:divBdr>
                  <w:divsChild>
                    <w:div w:id="1943108233">
                      <w:marLeft w:val="0"/>
                      <w:marRight w:val="0"/>
                      <w:marTop w:val="0"/>
                      <w:marBottom w:val="0"/>
                      <w:divBdr>
                        <w:top w:val="none" w:sz="0" w:space="0" w:color="auto"/>
                        <w:left w:val="none" w:sz="0" w:space="0" w:color="auto"/>
                        <w:bottom w:val="none" w:sz="0" w:space="0" w:color="auto"/>
                        <w:right w:val="none" w:sz="0" w:space="0" w:color="auto"/>
                      </w:divBdr>
                      <w:divsChild>
                        <w:div w:id="1634755497">
                          <w:marLeft w:val="0"/>
                          <w:marRight w:val="0"/>
                          <w:marTop w:val="0"/>
                          <w:marBottom w:val="0"/>
                          <w:divBdr>
                            <w:top w:val="none" w:sz="0" w:space="0" w:color="auto"/>
                            <w:left w:val="none" w:sz="0" w:space="0" w:color="auto"/>
                            <w:bottom w:val="none" w:sz="0" w:space="0" w:color="auto"/>
                            <w:right w:val="none" w:sz="0" w:space="0" w:color="auto"/>
                          </w:divBdr>
                          <w:divsChild>
                            <w:div w:id="1460418316">
                              <w:marLeft w:val="0"/>
                              <w:marRight w:val="0"/>
                              <w:marTop w:val="0"/>
                              <w:marBottom w:val="0"/>
                              <w:divBdr>
                                <w:top w:val="none" w:sz="0" w:space="0" w:color="auto"/>
                                <w:left w:val="none" w:sz="0" w:space="0" w:color="auto"/>
                                <w:bottom w:val="none" w:sz="0" w:space="0" w:color="auto"/>
                                <w:right w:val="none" w:sz="0" w:space="0" w:color="auto"/>
                              </w:divBdr>
                              <w:divsChild>
                                <w:div w:id="741682118">
                                  <w:marLeft w:val="0"/>
                                  <w:marRight w:val="0"/>
                                  <w:marTop w:val="0"/>
                                  <w:marBottom w:val="0"/>
                                  <w:divBdr>
                                    <w:top w:val="none" w:sz="0" w:space="0" w:color="auto"/>
                                    <w:left w:val="none" w:sz="0" w:space="0" w:color="auto"/>
                                    <w:bottom w:val="none" w:sz="0" w:space="0" w:color="auto"/>
                                    <w:right w:val="none" w:sz="0" w:space="0" w:color="auto"/>
                                  </w:divBdr>
                                  <w:divsChild>
                                    <w:div w:id="20913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073459">
          <w:marLeft w:val="0"/>
          <w:marRight w:val="0"/>
          <w:marTop w:val="0"/>
          <w:marBottom w:val="0"/>
          <w:divBdr>
            <w:top w:val="none" w:sz="0" w:space="0" w:color="auto"/>
            <w:left w:val="none" w:sz="0" w:space="0" w:color="auto"/>
            <w:bottom w:val="none" w:sz="0" w:space="0" w:color="auto"/>
            <w:right w:val="none" w:sz="0" w:space="0" w:color="auto"/>
          </w:divBdr>
          <w:divsChild>
            <w:div w:id="1885407597">
              <w:marLeft w:val="0"/>
              <w:marRight w:val="0"/>
              <w:marTop w:val="0"/>
              <w:marBottom w:val="0"/>
              <w:divBdr>
                <w:top w:val="none" w:sz="0" w:space="0" w:color="auto"/>
                <w:left w:val="none" w:sz="0" w:space="0" w:color="auto"/>
                <w:bottom w:val="none" w:sz="0" w:space="0" w:color="auto"/>
                <w:right w:val="none" w:sz="0" w:space="0" w:color="auto"/>
              </w:divBdr>
              <w:divsChild>
                <w:div w:id="550845577">
                  <w:marLeft w:val="0"/>
                  <w:marRight w:val="0"/>
                  <w:marTop w:val="0"/>
                  <w:marBottom w:val="0"/>
                  <w:divBdr>
                    <w:top w:val="none" w:sz="0" w:space="0" w:color="auto"/>
                    <w:left w:val="none" w:sz="0" w:space="0" w:color="auto"/>
                    <w:bottom w:val="none" w:sz="0" w:space="0" w:color="auto"/>
                    <w:right w:val="none" w:sz="0" w:space="0" w:color="auto"/>
                  </w:divBdr>
                  <w:divsChild>
                    <w:div w:id="1387492541">
                      <w:marLeft w:val="0"/>
                      <w:marRight w:val="0"/>
                      <w:marTop w:val="0"/>
                      <w:marBottom w:val="0"/>
                      <w:divBdr>
                        <w:top w:val="none" w:sz="0" w:space="0" w:color="auto"/>
                        <w:left w:val="none" w:sz="0" w:space="0" w:color="auto"/>
                        <w:bottom w:val="none" w:sz="0" w:space="0" w:color="auto"/>
                        <w:right w:val="none" w:sz="0" w:space="0" w:color="auto"/>
                      </w:divBdr>
                      <w:divsChild>
                        <w:div w:id="1851680240">
                          <w:marLeft w:val="0"/>
                          <w:marRight w:val="0"/>
                          <w:marTop w:val="0"/>
                          <w:marBottom w:val="0"/>
                          <w:divBdr>
                            <w:top w:val="none" w:sz="0" w:space="0" w:color="auto"/>
                            <w:left w:val="none" w:sz="0" w:space="0" w:color="auto"/>
                            <w:bottom w:val="none" w:sz="0" w:space="0" w:color="auto"/>
                            <w:right w:val="none" w:sz="0" w:space="0" w:color="auto"/>
                          </w:divBdr>
                          <w:divsChild>
                            <w:div w:id="1920940516">
                              <w:marLeft w:val="0"/>
                              <w:marRight w:val="0"/>
                              <w:marTop w:val="0"/>
                              <w:marBottom w:val="0"/>
                              <w:divBdr>
                                <w:top w:val="none" w:sz="0" w:space="0" w:color="auto"/>
                                <w:left w:val="none" w:sz="0" w:space="0" w:color="auto"/>
                                <w:bottom w:val="none" w:sz="0" w:space="0" w:color="auto"/>
                                <w:right w:val="none" w:sz="0" w:space="0" w:color="auto"/>
                              </w:divBdr>
                              <w:divsChild>
                                <w:div w:id="1368722723">
                                  <w:marLeft w:val="0"/>
                                  <w:marRight w:val="0"/>
                                  <w:marTop w:val="0"/>
                                  <w:marBottom w:val="0"/>
                                  <w:divBdr>
                                    <w:top w:val="none" w:sz="0" w:space="0" w:color="auto"/>
                                    <w:left w:val="none" w:sz="0" w:space="0" w:color="auto"/>
                                    <w:bottom w:val="none" w:sz="0" w:space="0" w:color="auto"/>
                                    <w:right w:val="none" w:sz="0" w:space="0" w:color="auto"/>
                                  </w:divBdr>
                                  <w:divsChild>
                                    <w:div w:id="1438211381">
                                      <w:marLeft w:val="0"/>
                                      <w:marRight w:val="0"/>
                                      <w:marTop w:val="0"/>
                                      <w:marBottom w:val="0"/>
                                      <w:divBdr>
                                        <w:top w:val="none" w:sz="0" w:space="0" w:color="auto"/>
                                        <w:left w:val="none" w:sz="0" w:space="0" w:color="auto"/>
                                        <w:bottom w:val="none" w:sz="0" w:space="0" w:color="auto"/>
                                        <w:right w:val="none" w:sz="0" w:space="0" w:color="auto"/>
                                      </w:divBdr>
                                      <w:divsChild>
                                        <w:div w:id="12006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7473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3187-9A72-4884-8426-55A6EB29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344</TotalTime>
  <Pages>7</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2026-01-15T10:58:00Z</dcterms:modified>
</cp:coreProperties>
</file>