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5A4BB" w14:textId="77777777" w:rsidR="00CE3F7E" w:rsidRPr="00CE3F7E" w:rsidRDefault="00CE3F7E" w:rsidP="00CE3F7E">
      <w:pPr>
        <w:spacing w:before="100" w:beforeAutospacing="1" w:after="100" w:afterAutospacing="1" w:line="240" w:lineRule="auto"/>
        <w:outlineLvl w:val="0"/>
        <w:rPr>
          <w:rFonts w:asciiTheme="majorBidi" w:eastAsia="Times New Roman" w:hAnsiTheme="majorBidi" w:cstheme="majorBidi"/>
          <w:b/>
          <w:bCs/>
          <w:i/>
          <w:iCs/>
          <w:kern w:val="36"/>
          <w:sz w:val="48"/>
          <w:szCs w:val="48"/>
          <w:u w:val="single"/>
          <w:lang w:val="en-US" w:eastAsia="fr-FR"/>
        </w:rPr>
      </w:pPr>
      <w:r w:rsidRPr="00CE3F7E">
        <w:rPr>
          <w:rFonts w:asciiTheme="majorBidi" w:eastAsia="Times New Roman" w:hAnsiTheme="majorBidi" w:cstheme="majorBidi"/>
          <w:b/>
          <w:bCs/>
          <w:i/>
          <w:iCs/>
          <w:kern w:val="36"/>
          <w:sz w:val="48"/>
          <w:szCs w:val="48"/>
          <w:u w:val="single"/>
          <w:lang w:val="en-US" w:eastAsia="fr-FR"/>
        </w:rPr>
        <w:t xml:space="preserve">Case report </w:t>
      </w:r>
    </w:p>
    <w:p w14:paraId="108F7B52" w14:textId="77777777" w:rsidR="00337780" w:rsidRPr="00337780" w:rsidRDefault="00337780" w:rsidP="00337780">
      <w:pPr>
        <w:spacing w:before="100" w:beforeAutospacing="1" w:after="100" w:afterAutospacing="1" w:line="240" w:lineRule="auto"/>
        <w:outlineLvl w:val="0"/>
        <w:rPr>
          <w:rFonts w:asciiTheme="majorBidi" w:eastAsia="Times New Roman" w:hAnsiTheme="majorBidi" w:cstheme="majorBidi"/>
          <w:b/>
          <w:bCs/>
          <w:kern w:val="36"/>
          <w:sz w:val="48"/>
          <w:szCs w:val="48"/>
          <w:lang w:val="en-US" w:eastAsia="fr-FR"/>
        </w:rPr>
      </w:pPr>
      <w:r w:rsidRPr="00337780">
        <w:rPr>
          <w:rFonts w:asciiTheme="majorBidi" w:eastAsia="Times New Roman" w:hAnsiTheme="majorBidi" w:cstheme="majorBidi"/>
          <w:b/>
          <w:bCs/>
          <w:kern w:val="36"/>
          <w:sz w:val="48"/>
          <w:szCs w:val="48"/>
          <w:lang w:val="en-US" w:eastAsia="fr-FR"/>
        </w:rPr>
        <w:t>Bilateral Asymmetric Best Vitelliform Macular Dystrophy in Adulthood: Insights from Multimodal Imaging</w:t>
      </w:r>
    </w:p>
    <w:p w14:paraId="73A52125" w14:textId="77777777" w:rsidR="00337780" w:rsidRPr="00107AD4" w:rsidRDefault="00337780" w:rsidP="00337780">
      <w:pPr>
        <w:spacing w:after="0" w:line="240" w:lineRule="auto"/>
        <w:rPr>
          <w:rFonts w:asciiTheme="majorBidi" w:eastAsia="Times New Roman" w:hAnsiTheme="majorBidi" w:cstheme="majorBidi"/>
          <w:sz w:val="24"/>
          <w:szCs w:val="24"/>
          <w:lang w:val="en-US" w:eastAsia="fr-FR"/>
        </w:rPr>
      </w:pPr>
    </w:p>
    <w:p w14:paraId="20F58B32" w14:textId="77777777" w:rsidR="00337780" w:rsidRPr="00337780" w:rsidRDefault="00337780" w:rsidP="00337780">
      <w:pPr>
        <w:spacing w:before="100" w:beforeAutospacing="1" w:after="100" w:afterAutospacing="1" w:line="240" w:lineRule="auto"/>
        <w:outlineLvl w:val="1"/>
        <w:rPr>
          <w:rFonts w:asciiTheme="majorBidi" w:eastAsia="Times New Roman" w:hAnsiTheme="majorBidi" w:cstheme="majorBidi"/>
          <w:b/>
          <w:bCs/>
          <w:sz w:val="36"/>
          <w:szCs w:val="36"/>
          <w:lang w:val="en-US" w:eastAsia="fr-FR"/>
        </w:rPr>
      </w:pPr>
      <w:r w:rsidRPr="00337780">
        <w:rPr>
          <w:rFonts w:asciiTheme="majorBidi" w:eastAsia="Times New Roman" w:hAnsiTheme="majorBidi" w:cstheme="majorBidi"/>
          <w:b/>
          <w:bCs/>
          <w:sz w:val="36"/>
          <w:szCs w:val="36"/>
          <w:lang w:val="en-US" w:eastAsia="fr-FR"/>
        </w:rPr>
        <w:t>Abstract</w:t>
      </w:r>
    </w:p>
    <w:p w14:paraId="06E9AF4B" w14:textId="77777777" w:rsidR="00337780" w:rsidRPr="00337780" w:rsidRDefault="00337780" w:rsidP="00337780">
      <w:pPr>
        <w:spacing w:before="100" w:beforeAutospacing="1" w:after="100" w:afterAutospacing="1" w:line="240" w:lineRule="auto"/>
        <w:rPr>
          <w:rFonts w:asciiTheme="majorBidi" w:eastAsia="Times New Roman" w:hAnsiTheme="majorBidi" w:cstheme="majorBidi"/>
          <w:sz w:val="24"/>
          <w:szCs w:val="24"/>
          <w:lang w:val="en-US" w:eastAsia="fr-FR"/>
        </w:rPr>
      </w:pPr>
      <w:r w:rsidRPr="00337780">
        <w:rPr>
          <w:rFonts w:asciiTheme="majorBidi" w:eastAsia="Times New Roman" w:hAnsiTheme="majorBidi" w:cstheme="majorBidi"/>
          <w:b/>
          <w:bCs/>
          <w:sz w:val="24"/>
          <w:szCs w:val="24"/>
          <w:lang w:val="en-US" w:eastAsia="fr-FR"/>
        </w:rPr>
        <w:t>Purpose:</w:t>
      </w:r>
      <w:r w:rsidRPr="00337780">
        <w:rPr>
          <w:rFonts w:asciiTheme="majorBidi" w:eastAsia="Times New Roman" w:hAnsiTheme="majorBidi" w:cstheme="majorBidi"/>
          <w:sz w:val="24"/>
          <w:szCs w:val="24"/>
          <w:lang w:val="en-US" w:eastAsia="fr-FR"/>
        </w:rPr>
        <w:br/>
        <w:t>To describe a rare presentation of bilateral asymmetric Best vitelliform macular dystrophy (BVMD) in adulthood and to highlight the role of multimodal imaging in disease characterization.</w:t>
      </w:r>
    </w:p>
    <w:p w14:paraId="4DF69794" w14:textId="77777777" w:rsidR="00337780" w:rsidRPr="00337780" w:rsidRDefault="00337780" w:rsidP="00337780">
      <w:pPr>
        <w:spacing w:before="100" w:beforeAutospacing="1" w:after="100" w:afterAutospacing="1" w:line="240" w:lineRule="auto"/>
        <w:rPr>
          <w:rFonts w:asciiTheme="majorBidi" w:eastAsia="Times New Roman" w:hAnsiTheme="majorBidi" w:cstheme="majorBidi"/>
          <w:sz w:val="24"/>
          <w:szCs w:val="24"/>
          <w:lang w:val="en-US" w:eastAsia="fr-FR"/>
        </w:rPr>
      </w:pPr>
      <w:r w:rsidRPr="00337780">
        <w:rPr>
          <w:rFonts w:asciiTheme="majorBidi" w:eastAsia="Times New Roman" w:hAnsiTheme="majorBidi" w:cstheme="majorBidi"/>
          <w:b/>
          <w:bCs/>
          <w:sz w:val="24"/>
          <w:szCs w:val="24"/>
          <w:lang w:val="en-US" w:eastAsia="fr-FR"/>
        </w:rPr>
        <w:t>Methods:</w:t>
      </w:r>
      <w:r w:rsidRPr="00337780">
        <w:rPr>
          <w:rFonts w:asciiTheme="majorBidi" w:eastAsia="Times New Roman" w:hAnsiTheme="majorBidi" w:cstheme="majorBidi"/>
          <w:sz w:val="24"/>
          <w:szCs w:val="24"/>
          <w:lang w:val="en-US" w:eastAsia="fr-FR"/>
        </w:rPr>
        <w:br/>
        <w:t>A 34-year-old male with long-standing decreased central visual acuity underwent comprehensive ophthalmic evaluation including best-corrected visual acuity, slit-lamp examination, fundus photography, fundus autofluorescence (FAF), and fluorescein angiography (FA). Findings were documented and compared to standard BVMD staging criteria.</w:t>
      </w:r>
    </w:p>
    <w:p w14:paraId="0821DF9C" w14:textId="77777777" w:rsidR="00337780" w:rsidRPr="00337780" w:rsidRDefault="00337780" w:rsidP="00337780">
      <w:pPr>
        <w:spacing w:before="100" w:beforeAutospacing="1" w:after="100" w:afterAutospacing="1" w:line="240" w:lineRule="auto"/>
        <w:rPr>
          <w:rFonts w:asciiTheme="majorBidi" w:eastAsia="Times New Roman" w:hAnsiTheme="majorBidi" w:cstheme="majorBidi"/>
          <w:sz w:val="24"/>
          <w:szCs w:val="24"/>
          <w:lang w:val="en-US" w:eastAsia="fr-FR"/>
        </w:rPr>
      </w:pPr>
      <w:r w:rsidRPr="00337780">
        <w:rPr>
          <w:rFonts w:asciiTheme="majorBidi" w:eastAsia="Times New Roman" w:hAnsiTheme="majorBidi" w:cstheme="majorBidi"/>
          <w:b/>
          <w:bCs/>
          <w:sz w:val="24"/>
          <w:szCs w:val="24"/>
          <w:lang w:val="en-US" w:eastAsia="fr-FR"/>
        </w:rPr>
        <w:t>Results:</w:t>
      </w:r>
      <w:r w:rsidRPr="00337780">
        <w:rPr>
          <w:rFonts w:asciiTheme="majorBidi" w:eastAsia="Times New Roman" w:hAnsiTheme="majorBidi" w:cstheme="majorBidi"/>
          <w:sz w:val="24"/>
          <w:szCs w:val="24"/>
          <w:lang w:val="en-US" w:eastAsia="fr-FR"/>
        </w:rPr>
        <w:br/>
        <w:t>Fundus examination revealed asymmetric macular lesions: the right eye demonstrated a Stage IV (</w:t>
      </w:r>
      <w:proofErr w:type="spellStart"/>
      <w:r w:rsidRPr="00337780">
        <w:rPr>
          <w:rFonts w:asciiTheme="majorBidi" w:eastAsia="Times New Roman" w:hAnsiTheme="majorBidi" w:cstheme="majorBidi"/>
          <w:sz w:val="24"/>
          <w:szCs w:val="24"/>
          <w:lang w:val="en-US" w:eastAsia="fr-FR"/>
        </w:rPr>
        <w:t>vitelliruptive</w:t>
      </w:r>
      <w:proofErr w:type="spellEnd"/>
      <w:r w:rsidRPr="00337780">
        <w:rPr>
          <w:rFonts w:asciiTheme="majorBidi" w:eastAsia="Times New Roman" w:hAnsiTheme="majorBidi" w:cstheme="majorBidi"/>
          <w:sz w:val="24"/>
          <w:szCs w:val="24"/>
          <w:lang w:val="en-US" w:eastAsia="fr-FR"/>
        </w:rPr>
        <w:t>) lesion, and the left eye showed a Stage III (</w:t>
      </w:r>
      <w:proofErr w:type="spellStart"/>
      <w:r w:rsidRPr="00337780">
        <w:rPr>
          <w:rFonts w:asciiTheme="majorBidi" w:eastAsia="Times New Roman" w:hAnsiTheme="majorBidi" w:cstheme="majorBidi"/>
          <w:sz w:val="24"/>
          <w:szCs w:val="24"/>
          <w:lang w:val="en-US" w:eastAsia="fr-FR"/>
        </w:rPr>
        <w:t>pseudohypopyon</w:t>
      </w:r>
      <w:proofErr w:type="spellEnd"/>
      <w:r w:rsidRPr="00337780">
        <w:rPr>
          <w:rFonts w:asciiTheme="majorBidi" w:eastAsia="Times New Roman" w:hAnsiTheme="majorBidi" w:cstheme="majorBidi"/>
          <w:sz w:val="24"/>
          <w:szCs w:val="24"/>
          <w:lang w:val="en-US" w:eastAsia="fr-FR"/>
        </w:rPr>
        <w:t xml:space="preserve">) lesion. FAF highlighted central </w:t>
      </w:r>
      <w:proofErr w:type="spellStart"/>
      <w:r w:rsidRPr="00337780">
        <w:rPr>
          <w:rFonts w:asciiTheme="majorBidi" w:eastAsia="Times New Roman" w:hAnsiTheme="majorBidi" w:cstheme="majorBidi"/>
          <w:sz w:val="24"/>
          <w:szCs w:val="24"/>
          <w:lang w:val="en-US" w:eastAsia="fr-FR"/>
        </w:rPr>
        <w:t>hypoautofluorescence</w:t>
      </w:r>
      <w:proofErr w:type="spellEnd"/>
      <w:r w:rsidRPr="00337780">
        <w:rPr>
          <w:rFonts w:asciiTheme="majorBidi" w:eastAsia="Times New Roman" w:hAnsiTheme="majorBidi" w:cstheme="majorBidi"/>
          <w:sz w:val="24"/>
          <w:szCs w:val="24"/>
          <w:lang w:val="en-US" w:eastAsia="fr-FR"/>
        </w:rPr>
        <w:t xml:space="preserve"> with scattered </w:t>
      </w:r>
      <w:proofErr w:type="spellStart"/>
      <w:r w:rsidRPr="00337780">
        <w:rPr>
          <w:rFonts w:asciiTheme="majorBidi" w:eastAsia="Times New Roman" w:hAnsiTheme="majorBidi" w:cstheme="majorBidi"/>
          <w:sz w:val="24"/>
          <w:szCs w:val="24"/>
          <w:lang w:val="en-US" w:eastAsia="fr-FR"/>
        </w:rPr>
        <w:t>hyperautofluorescent</w:t>
      </w:r>
      <w:proofErr w:type="spellEnd"/>
      <w:r w:rsidRPr="00337780">
        <w:rPr>
          <w:rFonts w:asciiTheme="majorBidi" w:eastAsia="Times New Roman" w:hAnsiTheme="majorBidi" w:cstheme="majorBidi"/>
          <w:sz w:val="24"/>
          <w:szCs w:val="24"/>
          <w:lang w:val="en-US" w:eastAsia="fr-FR"/>
        </w:rPr>
        <w:t xml:space="preserve"> areas in the right eye and a heterogeneous semi-lunar pattern in the left eye. FA confirmed semi-lunar staining without leakage in both eyes. Multimodal imaging enabled precise staging and detection of early retinal pigment epithelium dysfunction.</w:t>
      </w:r>
    </w:p>
    <w:p w14:paraId="168C2B28" w14:textId="77777777" w:rsidR="00337780" w:rsidRPr="00337780" w:rsidRDefault="00337780" w:rsidP="00337780">
      <w:pPr>
        <w:spacing w:before="100" w:beforeAutospacing="1" w:after="100" w:afterAutospacing="1" w:line="240" w:lineRule="auto"/>
        <w:rPr>
          <w:rFonts w:asciiTheme="majorBidi" w:eastAsia="Times New Roman" w:hAnsiTheme="majorBidi" w:cstheme="majorBidi"/>
          <w:sz w:val="24"/>
          <w:szCs w:val="24"/>
          <w:lang w:val="en-US" w:eastAsia="fr-FR"/>
        </w:rPr>
      </w:pPr>
      <w:r w:rsidRPr="00337780">
        <w:rPr>
          <w:rFonts w:asciiTheme="majorBidi" w:eastAsia="Times New Roman" w:hAnsiTheme="majorBidi" w:cstheme="majorBidi"/>
          <w:b/>
          <w:bCs/>
          <w:sz w:val="24"/>
          <w:szCs w:val="24"/>
          <w:lang w:val="en-US" w:eastAsia="fr-FR"/>
        </w:rPr>
        <w:t>Conclusion:</w:t>
      </w:r>
      <w:r w:rsidRPr="00337780">
        <w:rPr>
          <w:rFonts w:asciiTheme="majorBidi" w:eastAsia="Times New Roman" w:hAnsiTheme="majorBidi" w:cstheme="majorBidi"/>
          <w:sz w:val="24"/>
          <w:szCs w:val="24"/>
          <w:lang w:val="en-US" w:eastAsia="fr-FR"/>
        </w:rPr>
        <w:br/>
        <w:t>This case illustrates adult-onset asymmetric BVMD and underscores the value of multimodal imaging, particularly FAF and FA, for staging disease and identifying early structural changes. Recognition of these imaging markers is critical for appropriate follow-up and timely detection of complications such as choroidal neovascularization.</w:t>
      </w:r>
    </w:p>
    <w:p w14:paraId="1A605BF3" w14:textId="77777777" w:rsidR="00337780" w:rsidRPr="00107AD4" w:rsidRDefault="00337780" w:rsidP="00337780">
      <w:pPr>
        <w:spacing w:after="0" w:line="240" w:lineRule="auto"/>
        <w:rPr>
          <w:rFonts w:asciiTheme="majorBidi" w:eastAsia="Times New Roman" w:hAnsiTheme="majorBidi" w:cstheme="majorBidi"/>
          <w:sz w:val="24"/>
          <w:szCs w:val="24"/>
          <w:lang w:val="en-US" w:eastAsia="fr-FR"/>
        </w:rPr>
      </w:pPr>
    </w:p>
    <w:p w14:paraId="492407E0" w14:textId="77777777" w:rsidR="00CE3F7E" w:rsidRPr="00337780" w:rsidRDefault="00CE3F7E" w:rsidP="00CE3F7E">
      <w:pPr>
        <w:spacing w:before="100" w:beforeAutospacing="1" w:after="100" w:afterAutospacing="1" w:line="240" w:lineRule="auto"/>
        <w:rPr>
          <w:rFonts w:asciiTheme="majorBidi" w:eastAsia="Times New Roman" w:hAnsiTheme="majorBidi" w:cstheme="majorBidi"/>
          <w:sz w:val="24"/>
          <w:szCs w:val="24"/>
          <w:lang w:val="en-US" w:eastAsia="fr-FR"/>
        </w:rPr>
      </w:pPr>
      <w:r w:rsidRPr="00337780">
        <w:rPr>
          <w:rFonts w:asciiTheme="majorBidi" w:eastAsia="Times New Roman" w:hAnsiTheme="majorBidi" w:cstheme="majorBidi"/>
          <w:sz w:val="24"/>
          <w:szCs w:val="24"/>
          <w:lang w:val="en-US" w:eastAsia="fr-FR"/>
        </w:rPr>
        <w:br/>
      </w:r>
      <w:r w:rsidRPr="00337780">
        <w:rPr>
          <w:rFonts w:asciiTheme="majorBidi" w:eastAsia="Times New Roman" w:hAnsiTheme="majorBidi" w:cstheme="majorBidi"/>
          <w:b/>
          <w:bCs/>
          <w:sz w:val="24"/>
          <w:szCs w:val="24"/>
          <w:lang w:val="en-US" w:eastAsia="fr-FR"/>
        </w:rPr>
        <w:t>Keywords:</w:t>
      </w:r>
      <w:r w:rsidRPr="00337780">
        <w:rPr>
          <w:rFonts w:asciiTheme="majorBidi" w:eastAsia="Times New Roman" w:hAnsiTheme="majorBidi" w:cstheme="majorBidi"/>
          <w:sz w:val="24"/>
          <w:szCs w:val="24"/>
          <w:lang w:val="en-US" w:eastAsia="fr-FR"/>
        </w:rPr>
        <w:t xml:space="preserve"> Best vitelliform macular dystrophy, adult-onset, multimodal imaging, fundus autofluorescence, choroidal neovascularization</w:t>
      </w:r>
    </w:p>
    <w:p w14:paraId="7DB43883" w14:textId="77777777" w:rsidR="00337780" w:rsidRPr="00337780" w:rsidRDefault="00337780">
      <w:pPr>
        <w:rPr>
          <w:rFonts w:asciiTheme="majorBidi" w:eastAsia="Times New Roman" w:hAnsiTheme="majorBidi" w:cstheme="majorBidi"/>
          <w:b/>
          <w:bCs/>
          <w:sz w:val="36"/>
          <w:szCs w:val="36"/>
          <w:lang w:val="en-US" w:eastAsia="fr-FR"/>
        </w:rPr>
      </w:pPr>
      <w:r w:rsidRPr="00337780">
        <w:rPr>
          <w:rFonts w:asciiTheme="majorBidi" w:eastAsia="Times New Roman" w:hAnsiTheme="majorBidi" w:cstheme="majorBidi"/>
          <w:b/>
          <w:bCs/>
          <w:sz w:val="36"/>
          <w:szCs w:val="36"/>
          <w:lang w:val="en-US" w:eastAsia="fr-FR"/>
        </w:rPr>
        <w:br w:type="page"/>
      </w:r>
    </w:p>
    <w:p w14:paraId="05E9057C" w14:textId="77777777" w:rsidR="00337780" w:rsidRPr="00337780" w:rsidRDefault="00337780" w:rsidP="00337780">
      <w:pPr>
        <w:spacing w:before="100" w:beforeAutospacing="1" w:after="100" w:afterAutospacing="1" w:line="240" w:lineRule="auto"/>
        <w:outlineLvl w:val="1"/>
        <w:rPr>
          <w:rFonts w:asciiTheme="majorBidi" w:eastAsia="Times New Roman" w:hAnsiTheme="majorBidi" w:cstheme="majorBidi"/>
          <w:b/>
          <w:bCs/>
          <w:sz w:val="36"/>
          <w:szCs w:val="36"/>
          <w:lang w:val="en-US" w:eastAsia="fr-FR"/>
        </w:rPr>
      </w:pPr>
      <w:r w:rsidRPr="00337780">
        <w:rPr>
          <w:rFonts w:asciiTheme="majorBidi" w:eastAsia="Times New Roman" w:hAnsiTheme="majorBidi" w:cstheme="majorBidi"/>
          <w:b/>
          <w:bCs/>
          <w:sz w:val="36"/>
          <w:szCs w:val="36"/>
          <w:lang w:val="en-US" w:eastAsia="fr-FR"/>
        </w:rPr>
        <w:lastRenderedPageBreak/>
        <w:t>Introduction</w:t>
      </w:r>
    </w:p>
    <w:p w14:paraId="57841E51" w14:textId="77777777" w:rsidR="00337780" w:rsidRPr="00337780" w:rsidRDefault="00337780" w:rsidP="00337780">
      <w:pPr>
        <w:spacing w:before="100" w:beforeAutospacing="1" w:after="100" w:afterAutospacing="1" w:line="240" w:lineRule="auto"/>
        <w:rPr>
          <w:rFonts w:asciiTheme="majorBidi" w:eastAsia="Times New Roman" w:hAnsiTheme="majorBidi" w:cstheme="majorBidi"/>
          <w:sz w:val="24"/>
          <w:szCs w:val="24"/>
          <w:lang w:val="en-US" w:eastAsia="fr-FR"/>
        </w:rPr>
      </w:pPr>
      <w:r w:rsidRPr="00337780">
        <w:rPr>
          <w:rFonts w:asciiTheme="majorBidi" w:eastAsia="Times New Roman" w:hAnsiTheme="majorBidi" w:cstheme="majorBidi"/>
          <w:sz w:val="24"/>
          <w:szCs w:val="24"/>
          <w:lang w:val="en-US" w:eastAsia="fr-FR"/>
        </w:rPr>
        <w:t xml:space="preserve">Best vitelliform macular dystrophy (BVMD), also known as Best disease, is an autosomal dominant macular disorder classically presenting in childhood with a yolk-like yellow-orange lesion in the macula [1,2]. Lipofuscin accumulation occurs within the retinal pigment epithelium (RPE), leading to progressive photoreceptor degeneration. While pediatric presentations are well-described, </w:t>
      </w:r>
      <w:r w:rsidRPr="00337780">
        <w:rPr>
          <w:rFonts w:asciiTheme="majorBidi" w:eastAsia="Times New Roman" w:hAnsiTheme="majorBidi" w:cstheme="majorBidi"/>
          <w:b/>
          <w:bCs/>
          <w:sz w:val="24"/>
          <w:szCs w:val="24"/>
          <w:lang w:val="en-US" w:eastAsia="fr-FR"/>
        </w:rPr>
        <w:t>adult-onset and asymmetric forms are rare</w:t>
      </w:r>
      <w:r w:rsidRPr="00337780">
        <w:rPr>
          <w:rFonts w:asciiTheme="majorBidi" w:eastAsia="Times New Roman" w:hAnsiTheme="majorBidi" w:cstheme="majorBidi"/>
          <w:sz w:val="24"/>
          <w:szCs w:val="24"/>
          <w:lang w:val="en-US" w:eastAsia="fr-FR"/>
        </w:rPr>
        <w:t>, and can present diagnostic challenges [3,4].</w:t>
      </w:r>
    </w:p>
    <w:p w14:paraId="028BF314" w14:textId="77777777" w:rsidR="00337780" w:rsidRPr="00337780" w:rsidRDefault="00337780" w:rsidP="00337780">
      <w:pPr>
        <w:spacing w:before="100" w:beforeAutospacing="1" w:after="100" w:afterAutospacing="1" w:line="240" w:lineRule="auto"/>
        <w:rPr>
          <w:rFonts w:asciiTheme="majorBidi" w:eastAsia="Times New Roman" w:hAnsiTheme="majorBidi" w:cstheme="majorBidi"/>
          <w:sz w:val="24"/>
          <w:szCs w:val="24"/>
          <w:lang w:val="en-US" w:eastAsia="fr-FR"/>
        </w:rPr>
      </w:pPr>
      <w:r w:rsidRPr="00337780">
        <w:rPr>
          <w:rFonts w:asciiTheme="majorBidi" w:eastAsia="Times New Roman" w:hAnsiTheme="majorBidi" w:cstheme="majorBidi"/>
          <w:sz w:val="24"/>
          <w:szCs w:val="24"/>
          <w:lang w:val="en-US" w:eastAsia="fr-FR"/>
        </w:rPr>
        <w:t xml:space="preserve">Multimodal imaging, including </w:t>
      </w:r>
      <w:r w:rsidRPr="00337780">
        <w:rPr>
          <w:rFonts w:asciiTheme="majorBidi" w:eastAsia="Times New Roman" w:hAnsiTheme="majorBidi" w:cstheme="majorBidi"/>
          <w:b/>
          <w:bCs/>
          <w:sz w:val="24"/>
          <w:szCs w:val="24"/>
          <w:lang w:val="en-US" w:eastAsia="fr-FR"/>
        </w:rPr>
        <w:t>fundus autofluorescence (FAF), near-infrared FAF (NIR-FAF), optical coherence tomography (OCT), and OCT angiography (OCTA)</w:t>
      </w:r>
      <w:r w:rsidRPr="00337780">
        <w:rPr>
          <w:rFonts w:asciiTheme="majorBidi" w:eastAsia="Times New Roman" w:hAnsiTheme="majorBidi" w:cstheme="majorBidi"/>
          <w:sz w:val="24"/>
          <w:szCs w:val="24"/>
          <w:lang w:val="en-US" w:eastAsia="fr-FR"/>
        </w:rPr>
        <w:t xml:space="preserve">, provides essential structural, functional, and vascular information. FAF, in particular, can detect early RPE dysfunction even in subclinical stages, as demonstrated in prior studies showing characteristic hypo- and </w:t>
      </w:r>
      <w:proofErr w:type="spellStart"/>
      <w:r w:rsidRPr="00337780">
        <w:rPr>
          <w:rFonts w:asciiTheme="majorBidi" w:eastAsia="Times New Roman" w:hAnsiTheme="majorBidi" w:cstheme="majorBidi"/>
          <w:sz w:val="24"/>
          <w:szCs w:val="24"/>
          <w:lang w:val="en-US" w:eastAsia="fr-FR"/>
        </w:rPr>
        <w:t>hyperautofluorescent</w:t>
      </w:r>
      <w:proofErr w:type="spellEnd"/>
      <w:r w:rsidRPr="00337780">
        <w:rPr>
          <w:rFonts w:asciiTheme="majorBidi" w:eastAsia="Times New Roman" w:hAnsiTheme="majorBidi" w:cstheme="majorBidi"/>
          <w:sz w:val="24"/>
          <w:szCs w:val="24"/>
          <w:lang w:val="en-US" w:eastAsia="fr-FR"/>
        </w:rPr>
        <w:t xml:space="preserve"> patterns before overt visual impairment [5–7]. These imaging modalities have become increasingly important for </w:t>
      </w:r>
      <w:r w:rsidRPr="00337780">
        <w:rPr>
          <w:rFonts w:asciiTheme="majorBidi" w:eastAsia="Times New Roman" w:hAnsiTheme="majorBidi" w:cstheme="majorBidi"/>
          <w:b/>
          <w:bCs/>
          <w:sz w:val="24"/>
          <w:szCs w:val="24"/>
          <w:lang w:val="en-US" w:eastAsia="fr-FR"/>
        </w:rPr>
        <w:t>accurate staging, monitoring progression, and detecting complications such as choroidal neovascularization (CNV)</w:t>
      </w:r>
      <w:r w:rsidRPr="00337780">
        <w:rPr>
          <w:rFonts w:asciiTheme="majorBidi" w:eastAsia="Times New Roman" w:hAnsiTheme="majorBidi" w:cstheme="majorBidi"/>
          <w:sz w:val="24"/>
          <w:szCs w:val="24"/>
          <w:lang w:val="en-US" w:eastAsia="fr-FR"/>
        </w:rPr>
        <w:t xml:space="preserve"> [8,9].</w:t>
      </w:r>
    </w:p>
    <w:p w14:paraId="4DF8FE16" w14:textId="77777777" w:rsidR="00337780" w:rsidRPr="00337780" w:rsidRDefault="00337780" w:rsidP="00337780">
      <w:pPr>
        <w:spacing w:before="100" w:beforeAutospacing="1" w:after="100" w:afterAutospacing="1" w:line="240" w:lineRule="auto"/>
        <w:rPr>
          <w:rFonts w:asciiTheme="majorBidi" w:eastAsia="Times New Roman" w:hAnsiTheme="majorBidi" w:cstheme="majorBidi"/>
          <w:sz w:val="24"/>
          <w:szCs w:val="24"/>
          <w:lang w:val="en-US" w:eastAsia="fr-FR"/>
        </w:rPr>
      </w:pPr>
      <w:r w:rsidRPr="00337780">
        <w:rPr>
          <w:rFonts w:asciiTheme="majorBidi" w:eastAsia="Times New Roman" w:hAnsiTheme="majorBidi" w:cstheme="majorBidi"/>
          <w:sz w:val="24"/>
          <w:szCs w:val="24"/>
          <w:lang w:val="en-US" w:eastAsia="fr-FR"/>
        </w:rPr>
        <w:t xml:space="preserve">Here, we report a rare case of </w:t>
      </w:r>
      <w:r w:rsidRPr="00337780">
        <w:rPr>
          <w:rFonts w:asciiTheme="majorBidi" w:eastAsia="Times New Roman" w:hAnsiTheme="majorBidi" w:cstheme="majorBidi"/>
          <w:b/>
          <w:bCs/>
          <w:sz w:val="24"/>
          <w:szCs w:val="24"/>
          <w:lang w:val="en-US" w:eastAsia="fr-FR"/>
        </w:rPr>
        <w:t>bilateral asymmetric adult-onset BVMD</w:t>
      </w:r>
      <w:r w:rsidRPr="00337780">
        <w:rPr>
          <w:rFonts w:asciiTheme="majorBidi" w:eastAsia="Times New Roman" w:hAnsiTheme="majorBidi" w:cstheme="majorBidi"/>
          <w:sz w:val="24"/>
          <w:szCs w:val="24"/>
          <w:lang w:val="en-US" w:eastAsia="fr-FR"/>
        </w:rPr>
        <w:t xml:space="preserve"> and illustrate the utility of multimodal imaging in disease characterization.</w:t>
      </w:r>
    </w:p>
    <w:p w14:paraId="64387832" w14:textId="77777777" w:rsidR="00337780" w:rsidRPr="00CF35A7" w:rsidRDefault="00337780" w:rsidP="00337780">
      <w:pPr>
        <w:spacing w:after="0" w:line="240" w:lineRule="auto"/>
        <w:rPr>
          <w:rFonts w:asciiTheme="majorBidi" w:eastAsia="Times New Roman" w:hAnsiTheme="majorBidi" w:cstheme="majorBidi"/>
          <w:sz w:val="24"/>
          <w:szCs w:val="24"/>
          <w:lang w:val="en-US" w:eastAsia="fr-FR"/>
        </w:rPr>
      </w:pPr>
    </w:p>
    <w:p w14:paraId="6567FDB7" w14:textId="77777777" w:rsidR="00337780" w:rsidRPr="00337780" w:rsidRDefault="00337780" w:rsidP="00337780">
      <w:pPr>
        <w:spacing w:before="100" w:beforeAutospacing="1" w:after="100" w:afterAutospacing="1" w:line="240" w:lineRule="auto"/>
        <w:outlineLvl w:val="1"/>
        <w:rPr>
          <w:rFonts w:asciiTheme="majorBidi" w:eastAsia="Times New Roman" w:hAnsiTheme="majorBidi" w:cstheme="majorBidi"/>
          <w:b/>
          <w:bCs/>
          <w:sz w:val="36"/>
          <w:szCs w:val="36"/>
          <w:lang w:val="en-US" w:eastAsia="fr-FR"/>
        </w:rPr>
      </w:pPr>
      <w:r w:rsidRPr="00337780">
        <w:rPr>
          <w:rFonts w:asciiTheme="majorBidi" w:eastAsia="Times New Roman" w:hAnsiTheme="majorBidi" w:cstheme="majorBidi"/>
          <w:b/>
          <w:bCs/>
          <w:sz w:val="36"/>
          <w:szCs w:val="36"/>
          <w:lang w:val="en-US" w:eastAsia="fr-FR"/>
        </w:rPr>
        <w:t>Case Report</w:t>
      </w:r>
    </w:p>
    <w:p w14:paraId="617D305E" w14:textId="77777777" w:rsidR="00337780" w:rsidRPr="00337780" w:rsidRDefault="00337780" w:rsidP="00337780">
      <w:pPr>
        <w:pStyle w:val="NormalWeb"/>
        <w:rPr>
          <w:rFonts w:asciiTheme="majorBidi" w:hAnsiTheme="majorBidi" w:cstheme="majorBidi"/>
          <w:lang w:val="en-US"/>
        </w:rPr>
      </w:pPr>
      <w:r w:rsidRPr="00337780">
        <w:rPr>
          <w:rFonts w:asciiTheme="majorBidi" w:hAnsiTheme="majorBidi" w:cstheme="majorBidi"/>
          <w:lang w:val="en-US"/>
        </w:rPr>
        <w:t>A 34-year-old male presented with long-standing decreased central vision in both eyes. Best-corrected visual acuity was 20/40 in the right eye (OD) and 20/30 in the left eye (OS). Anterior segment examination was unremarkable. Peripheral retina was normal in both eyes.</w:t>
      </w:r>
    </w:p>
    <w:p w14:paraId="1AB56CA7" w14:textId="77777777" w:rsidR="00337780" w:rsidRPr="00337780" w:rsidRDefault="00337780" w:rsidP="00337780">
      <w:pPr>
        <w:pStyle w:val="NormalWeb"/>
        <w:rPr>
          <w:rFonts w:asciiTheme="majorBidi" w:hAnsiTheme="majorBidi" w:cstheme="majorBidi"/>
          <w:lang w:val="en-US"/>
        </w:rPr>
      </w:pPr>
      <w:r w:rsidRPr="00337780">
        <w:rPr>
          <w:rStyle w:val="Strong"/>
          <w:rFonts w:asciiTheme="majorBidi" w:hAnsiTheme="majorBidi" w:cstheme="majorBidi"/>
          <w:lang w:val="en-US"/>
        </w:rPr>
        <w:t xml:space="preserve">Fundus Examination </w:t>
      </w:r>
    </w:p>
    <w:p w14:paraId="3D1608BA" w14:textId="77777777" w:rsidR="00337780" w:rsidRPr="00337780" w:rsidRDefault="00337780" w:rsidP="00337780">
      <w:pPr>
        <w:pStyle w:val="NormalWeb"/>
        <w:numPr>
          <w:ilvl w:val="0"/>
          <w:numId w:val="3"/>
        </w:numPr>
        <w:rPr>
          <w:rFonts w:asciiTheme="majorBidi" w:hAnsiTheme="majorBidi" w:cstheme="majorBidi"/>
          <w:lang w:val="en-US"/>
        </w:rPr>
      </w:pPr>
      <w:r w:rsidRPr="00337780">
        <w:rPr>
          <w:rStyle w:val="Strong"/>
          <w:rFonts w:asciiTheme="majorBidi" w:hAnsiTheme="majorBidi" w:cstheme="majorBidi"/>
          <w:lang w:val="en-US"/>
        </w:rPr>
        <w:t>Right eye (OD):</w:t>
      </w:r>
      <w:r w:rsidRPr="00337780">
        <w:rPr>
          <w:rFonts w:asciiTheme="majorBidi" w:hAnsiTheme="majorBidi" w:cstheme="majorBidi"/>
          <w:lang w:val="en-US"/>
        </w:rPr>
        <w:t xml:space="preserve"> Stage IV (</w:t>
      </w:r>
      <w:proofErr w:type="spellStart"/>
      <w:r w:rsidRPr="00337780">
        <w:rPr>
          <w:rFonts w:asciiTheme="majorBidi" w:hAnsiTheme="majorBidi" w:cstheme="majorBidi"/>
          <w:lang w:val="en-US"/>
        </w:rPr>
        <w:t>vitelliruptive</w:t>
      </w:r>
      <w:proofErr w:type="spellEnd"/>
      <w:r w:rsidRPr="00337780">
        <w:rPr>
          <w:rFonts w:asciiTheme="majorBidi" w:hAnsiTheme="majorBidi" w:cstheme="majorBidi"/>
          <w:lang w:val="en-US"/>
        </w:rPr>
        <w:t>) lesion with breakup of vitelliform material, giving a “scrambled egg” appearance (Figure 1A).</w:t>
      </w:r>
    </w:p>
    <w:p w14:paraId="11599B0B" w14:textId="77777777" w:rsidR="00337780" w:rsidRPr="00337780" w:rsidRDefault="00337780" w:rsidP="00337780">
      <w:pPr>
        <w:pStyle w:val="NormalWeb"/>
        <w:numPr>
          <w:ilvl w:val="0"/>
          <w:numId w:val="3"/>
        </w:numPr>
        <w:rPr>
          <w:rFonts w:asciiTheme="majorBidi" w:hAnsiTheme="majorBidi" w:cstheme="majorBidi"/>
          <w:lang w:val="en-US"/>
        </w:rPr>
      </w:pPr>
      <w:r w:rsidRPr="00337780">
        <w:rPr>
          <w:rStyle w:val="Strong"/>
          <w:rFonts w:asciiTheme="majorBidi" w:hAnsiTheme="majorBidi" w:cstheme="majorBidi"/>
          <w:lang w:val="en-US"/>
        </w:rPr>
        <w:t>Left eye (OS):</w:t>
      </w:r>
      <w:r w:rsidRPr="00337780">
        <w:rPr>
          <w:rFonts w:asciiTheme="majorBidi" w:hAnsiTheme="majorBidi" w:cstheme="majorBidi"/>
          <w:lang w:val="en-US"/>
        </w:rPr>
        <w:t xml:space="preserve"> Stage III (</w:t>
      </w:r>
      <w:proofErr w:type="spellStart"/>
      <w:r w:rsidRPr="00337780">
        <w:rPr>
          <w:rFonts w:asciiTheme="majorBidi" w:hAnsiTheme="majorBidi" w:cstheme="majorBidi"/>
          <w:lang w:val="en-US"/>
        </w:rPr>
        <w:t>pseudohypopyon</w:t>
      </w:r>
      <w:proofErr w:type="spellEnd"/>
      <w:r w:rsidRPr="00337780">
        <w:rPr>
          <w:rFonts w:asciiTheme="majorBidi" w:hAnsiTheme="majorBidi" w:cstheme="majorBidi"/>
          <w:lang w:val="en-US"/>
        </w:rPr>
        <w:t>) lesion with semi-lunar configuration (Figure 1B).</w:t>
      </w:r>
    </w:p>
    <w:p w14:paraId="359DB5CF" w14:textId="77777777" w:rsidR="00337780" w:rsidRPr="00337780" w:rsidRDefault="00337780" w:rsidP="00337780">
      <w:pPr>
        <w:pStyle w:val="NormalWeb"/>
        <w:rPr>
          <w:rFonts w:asciiTheme="majorBidi" w:hAnsiTheme="majorBidi" w:cstheme="majorBidi"/>
        </w:rPr>
      </w:pPr>
      <w:r w:rsidRPr="00337780">
        <w:rPr>
          <w:rStyle w:val="Strong"/>
          <w:rFonts w:asciiTheme="majorBidi" w:hAnsiTheme="majorBidi" w:cstheme="majorBidi"/>
        </w:rPr>
        <w:t xml:space="preserve">Fundus </w:t>
      </w:r>
      <w:proofErr w:type="spellStart"/>
      <w:r w:rsidRPr="00337780">
        <w:rPr>
          <w:rStyle w:val="Strong"/>
          <w:rFonts w:asciiTheme="majorBidi" w:hAnsiTheme="majorBidi" w:cstheme="majorBidi"/>
        </w:rPr>
        <w:t>Autofluorescence</w:t>
      </w:r>
      <w:proofErr w:type="spellEnd"/>
      <w:r w:rsidRPr="00337780">
        <w:rPr>
          <w:rStyle w:val="Strong"/>
          <w:rFonts w:asciiTheme="majorBidi" w:hAnsiTheme="majorBidi" w:cstheme="majorBidi"/>
        </w:rPr>
        <w:t xml:space="preserve"> (FAF)</w:t>
      </w:r>
    </w:p>
    <w:p w14:paraId="7E54A49B" w14:textId="77777777" w:rsidR="00337780" w:rsidRPr="00337780" w:rsidRDefault="00337780" w:rsidP="00337780">
      <w:pPr>
        <w:pStyle w:val="NormalWeb"/>
        <w:numPr>
          <w:ilvl w:val="0"/>
          <w:numId w:val="4"/>
        </w:numPr>
        <w:rPr>
          <w:rFonts w:asciiTheme="majorBidi" w:hAnsiTheme="majorBidi" w:cstheme="majorBidi"/>
          <w:lang w:val="en-US"/>
        </w:rPr>
      </w:pPr>
      <w:r w:rsidRPr="00337780">
        <w:rPr>
          <w:rStyle w:val="Strong"/>
          <w:rFonts w:asciiTheme="majorBidi" w:hAnsiTheme="majorBidi" w:cstheme="majorBidi"/>
          <w:lang w:val="en-US"/>
        </w:rPr>
        <w:t>Right eye (OD):</w:t>
      </w:r>
      <w:r w:rsidRPr="00337780">
        <w:rPr>
          <w:rFonts w:asciiTheme="majorBidi" w:hAnsiTheme="majorBidi" w:cstheme="majorBidi"/>
          <w:lang w:val="en-US"/>
        </w:rPr>
        <w:t xml:space="preserve"> Central </w:t>
      </w:r>
      <w:proofErr w:type="spellStart"/>
      <w:r w:rsidRPr="00337780">
        <w:rPr>
          <w:rFonts w:asciiTheme="majorBidi" w:hAnsiTheme="majorBidi" w:cstheme="majorBidi"/>
          <w:lang w:val="en-US"/>
        </w:rPr>
        <w:t>hypoautofluorescence</w:t>
      </w:r>
      <w:proofErr w:type="spellEnd"/>
      <w:r w:rsidRPr="00337780">
        <w:rPr>
          <w:rFonts w:asciiTheme="majorBidi" w:hAnsiTheme="majorBidi" w:cstheme="majorBidi"/>
          <w:lang w:val="en-US"/>
        </w:rPr>
        <w:t xml:space="preserve"> with scattered punctiform </w:t>
      </w:r>
      <w:proofErr w:type="spellStart"/>
      <w:r w:rsidRPr="00337780">
        <w:rPr>
          <w:rFonts w:asciiTheme="majorBidi" w:hAnsiTheme="majorBidi" w:cstheme="majorBidi"/>
          <w:lang w:val="en-US"/>
        </w:rPr>
        <w:t>hyperautofluorescent</w:t>
      </w:r>
      <w:proofErr w:type="spellEnd"/>
      <w:r w:rsidRPr="00337780">
        <w:rPr>
          <w:rFonts w:asciiTheme="majorBidi" w:hAnsiTheme="majorBidi" w:cstheme="majorBidi"/>
          <w:lang w:val="en-US"/>
        </w:rPr>
        <w:t xml:space="preserve"> areas (Figure 2A).</w:t>
      </w:r>
    </w:p>
    <w:p w14:paraId="103BC96B" w14:textId="77777777" w:rsidR="00337780" w:rsidRPr="00337780" w:rsidRDefault="00337780" w:rsidP="00337780">
      <w:pPr>
        <w:pStyle w:val="NormalWeb"/>
        <w:numPr>
          <w:ilvl w:val="0"/>
          <w:numId w:val="4"/>
        </w:numPr>
        <w:rPr>
          <w:rFonts w:asciiTheme="majorBidi" w:hAnsiTheme="majorBidi" w:cstheme="majorBidi"/>
          <w:lang w:val="en-US"/>
        </w:rPr>
      </w:pPr>
      <w:r w:rsidRPr="00337780">
        <w:rPr>
          <w:rStyle w:val="Strong"/>
          <w:rFonts w:asciiTheme="majorBidi" w:hAnsiTheme="majorBidi" w:cstheme="majorBidi"/>
          <w:lang w:val="en-US"/>
        </w:rPr>
        <w:t>Left eye (OS):</w:t>
      </w:r>
      <w:r w:rsidRPr="00337780">
        <w:rPr>
          <w:rFonts w:asciiTheme="majorBidi" w:hAnsiTheme="majorBidi" w:cstheme="majorBidi"/>
          <w:lang w:val="en-US"/>
        </w:rPr>
        <w:t xml:space="preserve"> Heterogeneous semi-lunar </w:t>
      </w:r>
      <w:proofErr w:type="spellStart"/>
      <w:r w:rsidRPr="00337780">
        <w:rPr>
          <w:rFonts w:asciiTheme="majorBidi" w:hAnsiTheme="majorBidi" w:cstheme="majorBidi"/>
          <w:lang w:val="en-US"/>
        </w:rPr>
        <w:t>hyperautofluorescence</w:t>
      </w:r>
      <w:proofErr w:type="spellEnd"/>
      <w:r w:rsidRPr="00337780">
        <w:rPr>
          <w:rFonts w:asciiTheme="majorBidi" w:hAnsiTheme="majorBidi" w:cstheme="majorBidi"/>
          <w:lang w:val="en-US"/>
        </w:rPr>
        <w:t xml:space="preserve"> with peripheral </w:t>
      </w:r>
      <w:proofErr w:type="spellStart"/>
      <w:r w:rsidRPr="00337780">
        <w:rPr>
          <w:rFonts w:asciiTheme="majorBidi" w:hAnsiTheme="majorBidi" w:cstheme="majorBidi"/>
          <w:lang w:val="en-US"/>
        </w:rPr>
        <w:t>hypoautofluorescent</w:t>
      </w:r>
      <w:proofErr w:type="spellEnd"/>
      <w:r w:rsidRPr="00337780">
        <w:rPr>
          <w:rFonts w:asciiTheme="majorBidi" w:hAnsiTheme="majorBidi" w:cstheme="majorBidi"/>
          <w:lang w:val="en-US"/>
        </w:rPr>
        <w:t xml:space="preserve"> areas (Figure 2B).</w:t>
      </w:r>
    </w:p>
    <w:p w14:paraId="60AAD221" w14:textId="77777777" w:rsidR="00337780" w:rsidRPr="00337780" w:rsidRDefault="00337780" w:rsidP="00337780">
      <w:pPr>
        <w:pStyle w:val="NormalWeb"/>
        <w:rPr>
          <w:rFonts w:asciiTheme="majorBidi" w:hAnsiTheme="majorBidi" w:cstheme="majorBidi"/>
        </w:rPr>
      </w:pPr>
      <w:proofErr w:type="spellStart"/>
      <w:r w:rsidRPr="00337780">
        <w:rPr>
          <w:rStyle w:val="Strong"/>
          <w:rFonts w:asciiTheme="majorBidi" w:hAnsiTheme="majorBidi" w:cstheme="majorBidi"/>
        </w:rPr>
        <w:t>Fluorescein</w:t>
      </w:r>
      <w:proofErr w:type="spellEnd"/>
      <w:r w:rsidRPr="00337780">
        <w:rPr>
          <w:rStyle w:val="Strong"/>
          <w:rFonts w:asciiTheme="majorBidi" w:hAnsiTheme="majorBidi" w:cstheme="majorBidi"/>
        </w:rPr>
        <w:t xml:space="preserve"> </w:t>
      </w:r>
      <w:proofErr w:type="spellStart"/>
      <w:r w:rsidRPr="00337780">
        <w:rPr>
          <w:rStyle w:val="Strong"/>
          <w:rFonts w:asciiTheme="majorBidi" w:hAnsiTheme="majorBidi" w:cstheme="majorBidi"/>
        </w:rPr>
        <w:t>Angiography</w:t>
      </w:r>
      <w:proofErr w:type="spellEnd"/>
      <w:r w:rsidRPr="00337780">
        <w:rPr>
          <w:rStyle w:val="Strong"/>
          <w:rFonts w:asciiTheme="majorBidi" w:hAnsiTheme="majorBidi" w:cstheme="majorBidi"/>
        </w:rPr>
        <w:t xml:space="preserve"> (FA)</w:t>
      </w:r>
    </w:p>
    <w:p w14:paraId="144C280A" w14:textId="77777777" w:rsidR="00337780" w:rsidRPr="00337780" w:rsidRDefault="00337780" w:rsidP="00337780">
      <w:pPr>
        <w:pStyle w:val="NormalWeb"/>
        <w:numPr>
          <w:ilvl w:val="0"/>
          <w:numId w:val="5"/>
        </w:numPr>
        <w:rPr>
          <w:rFonts w:asciiTheme="majorBidi" w:hAnsiTheme="majorBidi" w:cstheme="majorBidi"/>
          <w:lang w:val="en-US"/>
        </w:rPr>
      </w:pPr>
      <w:r w:rsidRPr="00337780">
        <w:rPr>
          <w:rStyle w:val="Strong"/>
          <w:rFonts w:asciiTheme="majorBidi" w:hAnsiTheme="majorBidi" w:cstheme="majorBidi"/>
          <w:lang w:val="en-US"/>
        </w:rPr>
        <w:t>Right eye (OD):</w:t>
      </w:r>
      <w:r w:rsidRPr="00337780">
        <w:rPr>
          <w:rFonts w:asciiTheme="majorBidi" w:hAnsiTheme="majorBidi" w:cstheme="majorBidi"/>
          <w:lang w:val="en-US"/>
        </w:rPr>
        <w:t xml:space="preserve"> Early phase and late phase showing semi-lunar staining without leakage and bordered by a thin hyperfluorescent rim (Figure 3A–B).</w:t>
      </w:r>
    </w:p>
    <w:p w14:paraId="48A8B843" w14:textId="77777777" w:rsidR="00337780" w:rsidRPr="00337780" w:rsidRDefault="00337780" w:rsidP="00337780">
      <w:pPr>
        <w:pStyle w:val="NormalWeb"/>
        <w:numPr>
          <w:ilvl w:val="0"/>
          <w:numId w:val="5"/>
        </w:numPr>
        <w:rPr>
          <w:rFonts w:asciiTheme="majorBidi" w:hAnsiTheme="majorBidi" w:cstheme="majorBidi"/>
          <w:lang w:val="en-US"/>
        </w:rPr>
      </w:pPr>
      <w:r w:rsidRPr="00337780">
        <w:rPr>
          <w:rStyle w:val="Strong"/>
          <w:rFonts w:asciiTheme="majorBidi" w:hAnsiTheme="majorBidi" w:cstheme="majorBidi"/>
          <w:lang w:val="en-US"/>
        </w:rPr>
        <w:t>Left eye (OS):</w:t>
      </w:r>
      <w:r w:rsidRPr="00337780">
        <w:rPr>
          <w:rFonts w:asciiTheme="majorBidi" w:hAnsiTheme="majorBidi" w:cstheme="majorBidi"/>
          <w:lang w:val="en-US"/>
        </w:rPr>
        <w:t xml:space="preserve"> Early phase and late phase showing semi-lunar hyperfluorescent staining with irregular contours without leakage (Figure 3C–D).</w:t>
      </w:r>
    </w:p>
    <w:p w14:paraId="0BB1B7C3" w14:textId="77777777" w:rsidR="00337780" w:rsidRPr="00337780" w:rsidRDefault="00337780" w:rsidP="00337780">
      <w:pPr>
        <w:pStyle w:val="NormalWeb"/>
        <w:rPr>
          <w:rFonts w:asciiTheme="majorBidi" w:hAnsiTheme="majorBidi" w:cstheme="majorBidi"/>
          <w:lang w:val="en-US"/>
        </w:rPr>
      </w:pPr>
      <w:r w:rsidRPr="00337780">
        <w:rPr>
          <w:rFonts w:asciiTheme="majorBidi" w:hAnsiTheme="majorBidi" w:cstheme="majorBidi"/>
          <w:lang w:val="en-US"/>
        </w:rPr>
        <w:t xml:space="preserve">The patient was advised to undergo </w:t>
      </w:r>
      <w:r w:rsidRPr="00337780">
        <w:rPr>
          <w:rStyle w:val="Strong"/>
          <w:rFonts w:asciiTheme="majorBidi" w:hAnsiTheme="majorBidi" w:cstheme="majorBidi"/>
          <w:lang w:val="en-US"/>
        </w:rPr>
        <w:t>regular follow-up</w:t>
      </w:r>
      <w:r w:rsidRPr="00337780">
        <w:rPr>
          <w:rFonts w:asciiTheme="majorBidi" w:hAnsiTheme="majorBidi" w:cstheme="majorBidi"/>
          <w:lang w:val="en-US"/>
        </w:rPr>
        <w:t xml:space="preserve"> for early detection of potential complications, including choroidal neovascularization (CNV).</w:t>
      </w:r>
    </w:p>
    <w:p w14:paraId="3BE36A03" w14:textId="77777777" w:rsidR="00337780" w:rsidRPr="00CF35A7" w:rsidRDefault="00337780" w:rsidP="00337780">
      <w:pPr>
        <w:rPr>
          <w:rFonts w:asciiTheme="majorBidi" w:hAnsiTheme="majorBidi" w:cstheme="majorBidi"/>
          <w:lang w:val="en-US"/>
        </w:rPr>
      </w:pPr>
    </w:p>
    <w:p w14:paraId="1E66DB72" w14:textId="77777777" w:rsidR="00337780" w:rsidRPr="00CF35A7" w:rsidRDefault="00337780" w:rsidP="00337780">
      <w:pPr>
        <w:pStyle w:val="NormalWeb"/>
        <w:rPr>
          <w:rStyle w:val="Strong"/>
          <w:rFonts w:asciiTheme="majorBidi" w:hAnsiTheme="majorBidi" w:cstheme="majorBidi"/>
          <w:lang w:val="en-US"/>
        </w:rPr>
      </w:pPr>
    </w:p>
    <w:p w14:paraId="6AFD5C88" w14:textId="77777777" w:rsidR="00337780" w:rsidRPr="00337780" w:rsidRDefault="00337780" w:rsidP="00337780">
      <w:pPr>
        <w:pStyle w:val="NormalWeb"/>
        <w:rPr>
          <w:rFonts w:asciiTheme="majorBidi" w:hAnsiTheme="majorBidi" w:cstheme="majorBidi"/>
          <w:b/>
          <w:bCs/>
        </w:rPr>
      </w:pPr>
      <w:r w:rsidRPr="00337780">
        <w:rPr>
          <w:rFonts w:asciiTheme="majorBidi" w:hAnsiTheme="majorBidi" w:cstheme="majorBidi"/>
          <w:noProof/>
        </w:rPr>
        <w:drawing>
          <wp:anchor distT="0" distB="0" distL="114300" distR="114300" simplePos="0" relativeHeight="251658240" behindDoc="0" locked="0" layoutInCell="1" allowOverlap="1" wp14:anchorId="402611BF" wp14:editId="0F83A40E">
            <wp:simplePos x="0" y="0"/>
            <wp:positionH relativeFrom="column">
              <wp:posOffset>0</wp:posOffset>
            </wp:positionH>
            <wp:positionV relativeFrom="paragraph">
              <wp:posOffset>256540</wp:posOffset>
            </wp:positionV>
            <wp:extent cx="6645910" cy="3738324"/>
            <wp:effectExtent l="0" t="0" r="2540" b="0"/>
            <wp:wrapSquare wrapText="bothSides"/>
            <wp:docPr id="2" name="Image 2" descr="C:\Users\Boutayna\Desktop\travaux pub 2025\best cr\20251210_19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utayna\Desktop\travaux pub 2025\best cr\20251210_1910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780">
        <w:rPr>
          <w:rStyle w:val="Strong"/>
          <w:rFonts w:asciiTheme="majorBidi" w:hAnsiTheme="majorBidi" w:cstheme="majorBidi"/>
        </w:rPr>
        <w:t xml:space="preserve">Figure 1. </w:t>
      </w:r>
      <w:proofErr w:type="spellStart"/>
      <w:r w:rsidRPr="00337780">
        <w:rPr>
          <w:rStyle w:val="Strong"/>
          <w:rFonts w:asciiTheme="majorBidi" w:hAnsiTheme="majorBidi" w:cstheme="majorBidi"/>
        </w:rPr>
        <w:t>Color</w:t>
      </w:r>
      <w:proofErr w:type="spellEnd"/>
      <w:r w:rsidRPr="00337780">
        <w:rPr>
          <w:rStyle w:val="Strong"/>
          <w:rFonts w:asciiTheme="majorBidi" w:hAnsiTheme="majorBidi" w:cstheme="majorBidi"/>
        </w:rPr>
        <w:t xml:space="preserve"> Fundus </w:t>
      </w:r>
      <w:proofErr w:type="spellStart"/>
      <w:r w:rsidRPr="00337780">
        <w:rPr>
          <w:rStyle w:val="Strong"/>
          <w:rFonts w:asciiTheme="majorBidi" w:hAnsiTheme="majorBidi" w:cstheme="majorBidi"/>
        </w:rPr>
        <w:t>Photography</w:t>
      </w:r>
      <w:proofErr w:type="spellEnd"/>
    </w:p>
    <w:p w14:paraId="14D3CF7C" w14:textId="77777777" w:rsidR="00337780" w:rsidRPr="00337780" w:rsidRDefault="00337780" w:rsidP="00337780">
      <w:pPr>
        <w:pStyle w:val="NormalWeb"/>
        <w:numPr>
          <w:ilvl w:val="0"/>
          <w:numId w:val="6"/>
        </w:numPr>
        <w:rPr>
          <w:rFonts w:asciiTheme="majorBidi" w:hAnsiTheme="majorBidi" w:cstheme="majorBidi"/>
          <w:lang w:val="en-US"/>
        </w:rPr>
      </w:pPr>
      <w:r w:rsidRPr="00337780">
        <w:rPr>
          <w:rFonts w:asciiTheme="majorBidi" w:hAnsiTheme="majorBidi" w:cstheme="majorBidi"/>
          <w:lang w:val="en-US"/>
        </w:rPr>
        <w:t xml:space="preserve">(A) Right eye: Stage IV </w:t>
      </w:r>
      <w:proofErr w:type="spellStart"/>
      <w:r w:rsidRPr="00337780">
        <w:rPr>
          <w:rFonts w:asciiTheme="majorBidi" w:hAnsiTheme="majorBidi" w:cstheme="majorBidi"/>
          <w:lang w:val="en-US"/>
        </w:rPr>
        <w:t>vitelliruptive</w:t>
      </w:r>
      <w:proofErr w:type="spellEnd"/>
      <w:r w:rsidRPr="00337780">
        <w:rPr>
          <w:rFonts w:asciiTheme="majorBidi" w:hAnsiTheme="majorBidi" w:cstheme="majorBidi"/>
          <w:lang w:val="en-US"/>
        </w:rPr>
        <w:t xml:space="preserve"> lesion (“scrambled egg” appearance).</w:t>
      </w:r>
    </w:p>
    <w:p w14:paraId="1CCB881D" w14:textId="77777777" w:rsidR="00337780" w:rsidRPr="00337780" w:rsidRDefault="00337780" w:rsidP="00337780">
      <w:pPr>
        <w:pStyle w:val="NormalWeb"/>
        <w:numPr>
          <w:ilvl w:val="0"/>
          <w:numId w:val="6"/>
        </w:numPr>
        <w:rPr>
          <w:rStyle w:val="Strong"/>
          <w:rFonts w:asciiTheme="majorBidi" w:hAnsiTheme="majorBidi" w:cstheme="majorBidi"/>
          <w:b w:val="0"/>
          <w:bCs w:val="0"/>
          <w:lang w:val="en-US"/>
        </w:rPr>
      </w:pPr>
      <w:r w:rsidRPr="00337780">
        <w:rPr>
          <w:rFonts w:asciiTheme="majorBidi" w:hAnsiTheme="majorBidi" w:cstheme="majorBidi"/>
          <w:lang w:val="en-US"/>
        </w:rPr>
        <w:t xml:space="preserve">(B) Left eye: Stage III </w:t>
      </w:r>
      <w:proofErr w:type="spellStart"/>
      <w:r w:rsidRPr="00337780">
        <w:rPr>
          <w:rFonts w:asciiTheme="majorBidi" w:hAnsiTheme="majorBidi" w:cstheme="majorBidi"/>
          <w:lang w:val="en-US"/>
        </w:rPr>
        <w:t>pseudohypopyon</w:t>
      </w:r>
      <w:proofErr w:type="spellEnd"/>
      <w:r w:rsidRPr="00337780">
        <w:rPr>
          <w:rFonts w:asciiTheme="majorBidi" w:hAnsiTheme="majorBidi" w:cstheme="majorBidi"/>
          <w:lang w:val="en-US"/>
        </w:rPr>
        <w:t xml:space="preserve"> lesion with semi-lunar configuration.</w:t>
      </w:r>
    </w:p>
    <w:p w14:paraId="47317FA0" w14:textId="77777777" w:rsidR="00337780" w:rsidRPr="00CF35A7" w:rsidRDefault="00337780" w:rsidP="00337780">
      <w:pPr>
        <w:pStyle w:val="NormalWeb"/>
        <w:ind w:left="360"/>
        <w:rPr>
          <w:rStyle w:val="Strong"/>
          <w:rFonts w:asciiTheme="majorBidi" w:hAnsiTheme="majorBidi" w:cstheme="majorBidi"/>
          <w:lang w:val="en-US"/>
        </w:rPr>
      </w:pPr>
    </w:p>
    <w:p w14:paraId="50F9F4B7" w14:textId="77777777" w:rsidR="00337780" w:rsidRPr="00337780" w:rsidRDefault="00337780" w:rsidP="00337780">
      <w:pPr>
        <w:pStyle w:val="NormalWeb"/>
        <w:ind w:left="360"/>
        <w:rPr>
          <w:rFonts w:asciiTheme="majorBidi" w:hAnsiTheme="majorBidi" w:cstheme="majorBidi"/>
          <w:b/>
          <w:bCs/>
        </w:rPr>
      </w:pPr>
      <w:r w:rsidRPr="00337780">
        <w:rPr>
          <w:rStyle w:val="Strong"/>
          <w:rFonts w:asciiTheme="majorBidi" w:hAnsiTheme="majorBidi" w:cstheme="majorBidi"/>
          <w:noProof/>
        </w:rPr>
        <w:drawing>
          <wp:anchor distT="0" distB="0" distL="114300" distR="114300" simplePos="0" relativeHeight="251659264" behindDoc="1" locked="0" layoutInCell="1" allowOverlap="1" wp14:anchorId="4839747E" wp14:editId="5F36E395">
            <wp:simplePos x="0" y="0"/>
            <wp:positionH relativeFrom="column">
              <wp:posOffset>76200</wp:posOffset>
            </wp:positionH>
            <wp:positionV relativeFrom="paragraph">
              <wp:posOffset>257175</wp:posOffset>
            </wp:positionV>
            <wp:extent cx="6645910" cy="3738245"/>
            <wp:effectExtent l="0" t="0" r="2540" b="0"/>
            <wp:wrapTight wrapText="bothSides">
              <wp:wrapPolygon edited="0">
                <wp:start x="0" y="0"/>
                <wp:lineTo x="0" y="21464"/>
                <wp:lineTo x="21546" y="21464"/>
                <wp:lineTo x="21546" y="0"/>
                <wp:lineTo x="0" y="0"/>
              </wp:wrapPolygon>
            </wp:wrapTight>
            <wp:docPr id="3" name="Image 3" descr="C:\Users\Boutayna\Desktop\travaux pub 2025\best cr\20251210_13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utayna\Desktop\travaux pub 2025\best cr\20251210_1338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780">
        <w:rPr>
          <w:rStyle w:val="Strong"/>
          <w:rFonts w:asciiTheme="majorBidi" w:hAnsiTheme="majorBidi" w:cstheme="majorBidi"/>
        </w:rPr>
        <w:t xml:space="preserve">Figure 2. Fundus </w:t>
      </w:r>
      <w:proofErr w:type="spellStart"/>
      <w:r w:rsidRPr="00337780">
        <w:rPr>
          <w:rStyle w:val="Strong"/>
          <w:rFonts w:asciiTheme="majorBidi" w:hAnsiTheme="majorBidi" w:cstheme="majorBidi"/>
        </w:rPr>
        <w:t>Autofluorescence</w:t>
      </w:r>
      <w:proofErr w:type="spellEnd"/>
      <w:r w:rsidRPr="00337780">
        <w:rPr>
          <w:rStyle w:val="Strong"/>
          <w:rFonts w:asciiTheme="majorBidi" w:hAnsiTheme="majorBidi" w:cstheme="majorBidi"/>
        </w:rPr>
        <w:t xml:space="preserve"> (FAF)</w:t>
      </w:r>
    </w:p>
    <w:p w14:paraId="202DF749" w14:textId="77777777" w:rsidR="00337780" w:rsidRPr="00337780" w:rsidRDefault="00337780" w:rsidP="00337780">
      <w:pPr>
        <w:pStyle w:val="NormalWeb"/>
        <w:numPr>
          <w:ilvl w:val="0"/>
          <w:numId w:val="7"/>
        </w:numPr>
        <w:rPr>
          <w:rFonts w:asciiTheme="majorBidi" w:hAnsiTheme="majorBidi" w:cstheme="majorBidi"/>
          <w:lang w:val="en-US"/>
        </w:rPr>
      </w:pPr>
      <w:r w:rsidRPr="00337780">
        <w:rPr>
          <w:rFonts w:asciiTheme="majorBidi" w:hAnsiTheme="majorBidi" w:cstheme="majorBidi"/>
          <w:lang w:val="en-US"/>
        </w:rPr>
        <w:t xml:space="preserve">(A) Right eye: Central </w:t>
      </w:r>
      <w:proofErr w:type="spellStart"/>
      <w:r w:rsidRPr="00337780">
        <w:rPr>
          <w:rFonts w:asciiTheme="majorBidi" w:hAnsiTheme="majorBidi" w:cstheme="majorBidi"/>
          <w:lang w:val="en-US"/>
        </w:rPr>
        <w:t>hypoautofluorescence</w:t>
      </w:r>
      <w:proofErr w:type="spellEnd"/>
      <w:r w:rsidRPr="00337780">
        <w:rPr>
          <w:rFonts w:asciiTheme="majorBidi" w:hAnsiTheme="majorBidi" w:cstheme="majorBidi"/>
          <w:lang w:val="en-US"/>
        </w:rPr>
        <w:t xml:space="preserve"> with scattered </w:t>
      </w:r>
      <w:proofErr w:type="spellStart"/>
      <w:r w:rsidRPr="00337780">
        <w:rPr>
          <w:rFonts w:asciiTheme="majorBidi" w:hAnsiTheme="majorBidi" w:cstheme="majorBidi"/>
          <w:lang w:val="en-US"/>
        </w:rPr>
        <w:t>hyperautofluorescent</w:t>
      </w:r>
      <w:proofErr w:type="spellEnd"/>
      <w:r w:rsidRPr="00337780">
        <w:rPr>
          <w:rFonts w:asciiTheme="majorBidi" w:hAnsiTheme="majorBidi" w:cstheme="majorBidi"/>
          <w:lang w:val="en-US"/>
        </w:rPr>
        <w:t xml:space="preserve"> spots.</w:t>
      </w:r>
    </w:p>
    <w:p w14:paraId="1E746717" w14:textId="77777777" w:rsidR="00337780" w:rsidRPr="00337780" w:rsidRDefault="00337780" w:rsidP="00337780">
      <w:pPr>
        <w:pStyle w:val="NormalWeb"/>
        <w:numPr>
          <w:ilvl w:val="0"/>
          <w:numId w:val="7"/>
        </w:numPr>
        <w:rPr>
          <w:rFonts w:asciiTheme="majorBidi" w:hAnsiTheme="majorBidi" w:cstheme="majorBidi"/>
          <w:lang w:val="en-US"/>
        </w:rPr>
      </w:pPr>
      <w:r w:rsidRPr="00337780">
        <w:rPr>
          <w:rFonts w:asciiTheme="majorBidi" w:hAnsiTheme="majorBidi" w:cstheme="majorBidi"/>
          <w:lang w:val="en-US"/>
        </w:rPr>
        <w:lastRenderedPageBreak/>
        <w:t xml:space="preserve">(B) Left eye: Heterogeneous semi-lunar </w:t>
      </w:r>
      <w:proofErr w:type="spellStart"/>
      <w:r w:rsidRPr="00337780">
        <w:rPr>
          <w:rFonts w:asciiTheme="majorBidi" w:hAnsiTheme="majorBidi" w:cstheme="majorBidi"/>
          <w:lang w:val="en-US"/>
        </w:rPr>
        <w:t>hyperautofluorescence</w:t>
      </w:r>
      <w:proofErr w:type="spellEnd"/>
      <w:r w:rsidRPr="00337780">
        <w:rPr>
          <w:rFonts w:asciiTheme="majorBidi" w:hAnsiTheme="majorBidi" w:cstheme="majorBidi"/>
          <w:lang w:val="en-US"/>
        </w:rPr>
        <w:t xml:space="preserve"> with peripheral </w:t>
      </w:r>
      <w:proofErr w:type="spellStart"/>
      <w:r w:rsidRPr="00337780">
        <w:rPr>
          <w:rFonts w:asciiTheme="majorBidi" w:hAnsiTheme="majorBidi" w:cstheme="majorBidi"/>
          <w:lang w:val="en-US"/>
        </w:rPr>
        <w:t>hypoautofluorescent</w:t>
      </w:r>
      <w:proofErr w:type="spellEnd"/>
      <w:r w:rsidRPr="00337780">
        <w:rPr>
          <w:rFonts w:asciiTheme="majorBidi" w:hAnsiTheme="majorBidi" w:cstheme="majorBidi"/>
          <w:lang w:val="en-US"/>
        </w:rPr>
        <w:t xml:space="preserve"> areas.</w:t>
      </w:r>
    </w:p>
    <w:p w14:paraId="72A3A057" w14:textId="77777777" w:rsidR="00337780" w:rsidRPr="00337780" w:rsidRDefault="00337780" w:rsidP="00337780">
      <w:pPr>
        <w:pStyle w:val="NormalWeb"/>
        <w:rPr>
          <w:rStyle w:val="Strong"/>
          <w:rFonts w:asciiTheme="majorBidi" w:hAnsiTheme="majorBidi" w:cstheme="majorBidi"/>
        </w:rPr>
      </w:pPr>
      <w:r w:rsidRPr="00337780">
        <w:rPr>
          <w:rStyle w:val="Strong"/>
          <w:rFonts w:asciiTheme="majorBidi" w:hAnsiTheme="majorBidi" w:cstheme="majorBidi"/>
        </w:rPr>
        <w:t xml:space="preserve">Figure 3. </w:t>
      </w:r>
      <w:proofErr w:type="spellStart"/>
      <w:r w:rsidRPr="00337780">
        <w:rPr>
          <w:rStyle w:val="Strong"/>
          <w:rFonts w:asciiTheme="majorBidi" w:hAnsiTheme="majorBidi" w:cstheme="majorBidi"/>
        </w:rPr>
        <w:t>Fluorescein</w:t>
      </w:r>
      <w:proofErr w:type="spellEnd"/>
      <w:r w:rsidRPr="00337780">
        <w:rPr>
          <w:rStyle w:val="Strong"/>
          <w:rFonts w:asciiTheme="majorBidi" w:hAnsiTheme="majorBidi" w:cstheme="majorBidi"/>
        </w:rPr>
        <w:t xml:space="preserve"> </w:t>
      </w:r>
      <w:proofErr w:type="spellStart"/>
      <w:r w:rsidRPr="00337780">
        <w:rPr>
          <w:rStyle w:val="Strong"/>
          <w:rFonts w:asciiTheme="majorBidi" w:hAnsiTheme="majorBidi" w:cstheme="majorBidi"/>
        </w:rPr>
        <w:t>Angiography</w:t>
      </w:r>
      <w:proofErr w:type="spellEnd"/>
      <w:r w:rsidRPr="00337780">
        <w:rPr>
          <w:rStyle w:val="Strong"/>
          <w:rFonts w:asciiTheme="majorBidi" w:hAnsiTheme="majorBidi" w:cstheme="majorBidi"/>
        </w:rPr>
        <w:t xml:space="preserve"> (FA)</w:t>
      </w:r>
    </w:p>
    <w:p w14:paraId="0A4B1249" w14:textId="77777777" w:rsidR="00337780" w:rsidRPr="00337780" w:rsidRDefault="00337780" w:rsidP="00337780">
      <w:pPr>
        <w:pStyle w:val="NormalWeb"/>
        <w:rPr>
          <w:rFonts w:asciiTheme="majorBidi" w:hAnsiTheme="majorBidi" w:cstheme="majorBidi"/>
        </w:rPr>
      </w:pPr>
      <w:r w:rsidRPr="00337780">
        <w:rPr>
          <w:rFonts w:asciiTheme="majorBidi" w:hAnsiTheme="majorBidi" w:cstheme="majorBidi"/>
          <w:noProof/>
        </w:rPr>
        <w:drawing>
          <wp:inline distT="0" distB="0" distL="0" distR="0" wp14:anchorId="57C5B4DA" wp14:editId="56B7F459">
            <wp:extent cx="6645910" cy="6645910"/>
            <wp:effectExtent l="0" t="0" r="2540" b="2540"/>
            <wp:docPr id="4" name="Image 4" descr="C:\Users\Boutayna\Desktop\travaux pub 2025\best cr\20251210_13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utayna\Desktop\travaux pub 2025\best cr\20251210_1334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p>
    <w:p w14:paraId="7D09248D" w14:textId="77777777" w:rsidR="00337780" w:rsidRPr="00337780" w:rsidRDefault="00337780" w:rsidP="00337780">
      <w:pPr>
        <w:pStyle w:val="NormalWeb"/>
        <w:numPr>
          <w:ilvl w:val="0"/>
          <w:numId w:val="8"/>
        </w:numPr>
        <w:rPr>
          <w:rFonts w:asciiTheme="majorBidi" w:hAnsiTheme="majorBidi" w:cstheme="majorBidi"/>
          <w:lang w:val="en-US"/>
        </w:rPr>
      </w:pPr>
      <w:r w:rsidRPr="00337780">
        <w:rPr>
          <w:rFonts w:asciiTheme="majorBidi" w:hAnsiTheme="majorBidi" w:cstheme="majorBidi"/>
          <w:lang w:val="en-US"/>
        </w:rPr>
        <w:t>(A) Right eye, early phase: Semi-lunar staining without leakage.</w:t>
      </w:r>
    </w:p>
    <w:p w14:paraId="62CC319A" w14:textId="77777777" w:rsidR="00337780" w:rsidRPr="00337780" w:rsidRDefault="00337780" w:rsidP="00337780">
      <w:pPr>
        <w:pStyle w:val="NormalWeb"/>
        <w:numPr>
          <w:ilvl w:val="0"/>
          <w:numId w:val="8"/>
        </w:numPr>
        <w:rPr>
          <w:rFonts w:asciiTheme="majorBidi" w:hAnsiTheme="majorBidi" w:cstheme="majorBidi"/>
          <w:lang w:val="en-US"/>
        </w:rPr>
      </w:pPr>
      <w:r w:rsidRPr="00337780">
        <w:rPr>
          <w:rFonts w:asciiTheme="majorBidi" w:hAnsiTheme="majorBidi" w:cstheme="majorBidi"/>
          <w:lang w:val="en-US"/>
        </w:rPr>
        <w:t>(B) Right eye, late phase: Persistent semi-lunar staining with thin hyperfluorescent rim.</w:t>
      </w:r>
    </w:p>
    <w:p w14:paraId="4E97CEDD" w14:textId="77777777" w:rsidR="00337780" w:rsidRPr="00337780" w:rsidRDefault="00337780" w:rsidP="00337780">
      <w:pPr>
        <w:pStyle w:val="NormalWeb"/>
        <w:numPr>
          <w:ilvl w:val="0"/>
          <w:numId w:val="8"/>
        </w:numPr>
        <w:rPr>
          <w:rFonts w:asciiTheme="majorBidi" w:hAnsiTheme="majorBidi" w:cstheme="majorBidi"/>
          <w:lang w:val="en-US"/>
        </w:rPr>
      </w:pPr>
      <w:r w:rsidRPr="00337780">
        <w:rPr>
          <w:rFonts w:asciiTheme="majorBidi" w:hAnsiTheme="majorBidi" w:cstheme="majorBidi"/>
          <w:lang w:val="en-US"/>
        </w:rPr>
        <w:t>(C) Left eye, early phase: Semi-lunar hyperfluorescent staining with irregular contours, no leakage.</w:t>
      </w:r>
    </w:p>
    <w:p w14:paraId="30E7E009" w14:textId="77777777" w:rsidR="00337780" w:rsidRPr="00337780" w:rsidRDefault="00337780" w:rsidP="00337780">
      <w:pPr>
        <w:pStyle w:val="NormalWeb"/>
        <w:numPr>
          <w:ilvl w:val="0"/>
          <w:numId w:val="8"/>
        </w:numPr>
        <w:rPr>
          <w:rFonts w:asciiTheme="majorBidi" w:hAnsiTheme="majorBidi" w:cstheme="majorBidi"/>
          <w:lang w:val="en-US"/>
        </w:rPr>
      </w:pPr>
      <w:r w:rsidRPr="00337780">
        <w:rPr>
          <w:rFonts w:asciiTheme="majorBidi" w:hAnsiTheme="majorBidi" w:cstheme="majorBidi"/>
          <w:lang w:val="en-US"/>
        </w:rPr>
        <w:t>(D) Left eye, late phase: Persistent semi-lunar hyperfluorescent staining, no leakage.</w:t>
      </w:r>
    </w:p>
    <w:p w14:paraId="4A8A7463" w14:textId="77777777" w:rsidR="00337780" w:rsidRPr="00337780" w:rsidRDefault="00337780">
      <w:pPr>
        <w:rPr>
          <w:rStyle w:val="Strong"/>
          <w:rFonts w:asciiTheme="majorBidi" w:eastAsia="Times New Roman" w:hAnsiTheme="majorBidi" w:cstheme="majorBidi"/>
          <w:sz w:val="36"/>
          <w:szCs w:val="36"/>
          <w:lang w:val="en-US" w:eastAsia="fr-FR"/>
        </w:rPr>
      </w:pPr>
      <w:r w:rsidRPr="00337780">
        <w:rPr>
          <w:rStyle w:val="Strong"/>
          <w:rFonts w:asciiTheme="majorBidi" w:hAnsiTheme="majorBidi" w:cstheme="majorBidi"/>
          <w:b w:val="0"/>
          <w:bCs w:val="0"/>
          <w:lang w:val="en-US"/>
        </w:rPr>
        <w:br w:type="page"/>
      </w:r>
    </w:p>
    <w:p w14:paraId="3C9FDFDE" w14:textId="77777777" w:rsidR="00337780" w:rsidRPr="00337780" w:rsidRDefault="00337780" w:rsidP="00337780">
      <w:pPr>
        <w:pStyle w:val="Heading2"/>
        <w:rPr>
          <w:rFonts w:asciiTheme="majorBidi" w:hAnsiTheme="majorBidi" w:cstheme="majorBidi"/>
          <w:lang w:val="en-US"/>
        </w:rPr>
      </w:pPr>
      <w:r w:rsidRPr="00337780">
        <w:rPr>
          <w:rStyle w:val="Strong"/>
          <w:rFonts w:asciiTheme="majorBidi" w:hAnsiTheme="majorBidi" w:cstheme="majorBidi"/>
          <w:b/>
          <w:bCs/>
          <w:lang w:val="en-US"/>
        </w:rPr>
        <w:lastRenderedPageBreak/>
        <w:t xml:space="preserve">Discussion </w:t>
      </w:r>
    </w:p>
    <w:p w14:paraId="5C5C22AF" w14:textId="77777777" w:rsidR="00774524" w:rsidRPr="00774524" w:rsidRDefault="00774524" w:rsidP="00774524">
      <w:pPr>
        <w:pStyle w:val="NormalWeb"/>
        <w:rPr>
          <w:lang w:val="en-US"/>
        </w:rPr>
      </w:pPr>
      <w:r w:rsidRPr="00774524">
        <w:rPr>
          <w:lang w:val="en-US"/>
        </w:rPr>
        <w:t>Best vitelliform macular dystrophy (BVMD) is classically described as an autosomal dominant macular disorder presenting in childhood, characterized by yellow-orange vitelliform lesions resulting from lipofuscin accumulation within the retinal pigment epithelium (RPE) [1,2]. However, adult-onset and asymmetric presentations are rare and can pose diagnostic challenges [3,4]. Epidemiologically, BVMD affects approximately 1 in 10,000 individuals, with adult-onset and asymmetric forms being particularly uncommon [3,5]. Our report of bilateral asymmetric BVMD in a 34-year-old patient underscores these atypical manifestations and highlights the importance of multimodal imaging in disease characterization.</w:t>
      </w:r>
    </w:p>
    <w:p w14:paraId="55AB8803" w14:textId="77777777" w:rsidR="00774524" w:rsidRPr="00774524" w:rsidRDefault="00774524" w:rsidP="00774524">
      <w:pPr>
        <w:pStyle w:val="NormalWeb"/>
        <w:rPr>
          <w:lang w:val="en-US"/>
        </w:rPr>
      </w:pPr>
      <w:r w:rsidRPr="00774524">
        <w:rPr>
          <w:lang w:val="en-US"/>
        </w:rPr>
        <w:t xml:space="preserve">Color fundus photography remains a useful tool for documenting lesion morphology, but advanced imaging modalities, such as fundus autofluorescence (FAF), near-infrared FAF (NIR-FAF), optical coherence tomography (OCT), and OCT angiography (OCTA), provide essential structural, functional, and vascular information [3–7]. FAF can detect early RPE dysfunction even in subclinical or atypical cases. </w:t>
      </w:r>
      <w:proofErr w:type="spellStart"/>
      <w:r w:rsidRPr="00774524">
        <w:rPr>
          <w:lang w:val="en-US"/>
        </w:rPr>
        <w:t>Querques</w:t>
      </w:r>
      <w:proofErr w:type="spellEnd"/>
      <w:r w:rsidRPr="00774524">
        <w:rPr>
          <w:lang w:val="en-US"/>
        </w:rPr>
        <w:t xml:space="preserve"> et al. demonstrated that NIR-FAF reveals central </w:t>
      </w:r>
      <w:proofErr w:type="spellStart"/>
      <w:r w:rsidRPr="00774524">
        <w:rPr>
          <w:lang w:val="en-US"/>
        </w:rPr>
        <w:t>hypoautofluorescence</w:t>
      </w:r>
      <w:proofErr w:type="spellEnd"/>
      <w:r w:rsidRPr="00774524">
        <w:rPr>
          <w:lang w:val="en-US"/>
        </w:rPr>
        <w:t xml:space="preserve"> surrounded by </w:t>
      </w:r>
      <w:proofErr w:type="spellStart"/>
      <w:r w:rsidRPr="00774524">
        <w:rPr>
          <w:lang w:val="en-US"/>
        </w:rPr>
        <w:t>hyperautofluorescent</w:t>
      </w:r>
      <w:proofErr w:type="spellEnd"/>
      <w:r w:rsidRPr="00774524">
        <w:rPr>
          <w:lang w:val="en-US"/>
        </w:rPr>
        <w:t xml:space="preserve"> zones in eyes with clinically inapparent BVMD, highlighting its sensitivity for early disease detection [5]. Similarly, </w:t>
      </w:r>
      <w:proofErr w:type="spellStart"/>
      <w:r w:rsidRPr="00774524">
        <w:rPr>
          <w:lang w:val="en-US"/>
        </w:rPr>
        <w:t>Schönbach</w:t>
      </w:r>
      <w:proofErr w:type="spellEnd"/>
      <w:r w:rsidRPr="00774524">
        <w:rPr>
          <w:lang w:val="en-US"/>
        </w:rPr>
        <w:t xml:space="preserve"> and Scholl described a subclinical case in which FAF identified discrete </w:t>
      </w:r>
      <w:proofErr w:type="spellStart"/>
      <w:r w:rsidRPr="00774524">
        <w:rPr>
          <w:lang w:val="en-US"/>
        </w:rPr>
        <w:t>hyperautofluorescent</w:t>
      </w:r>
      <w:proofErr w:type="spellEnd"/>
      <w:r w:rsidRPr="00774524">
        <w:rPr>
          <w:lang w:val="en-US"/>
        </w:rPr>
        <w:t xml:space="preserve"> foci despite normal visual acuity and unremarkable OCT and microperimetry [6].</w:t>
      </w:r>
    </w:p>
    <w:p w14:paraId="308DBF45" w14:textId="77777777" w:rsidR="00774524" w:rsidRPr="00774524" w:rsidRDefault="00774524" w:rsidP="00774524">
      <w:pPr>
        <w:pStyle w:val="NormalWeb"/>
        <w:rPr>
          <w:lang w:val="en-US"/>
        </w:rPr>
      </w:pPr>
      <w:r w:rsidRPr="00774524">
        <w:rPr>
          <w:lang w:val="en-US"/>
        </w:rPr>
        <w:t xml:space="preserve">Correlation between FAF patterns and retinal function has been further emphasized in several studies. Battaglia Parodi et al. reported that </w:t>
      </w:r>
      <w:proofErr w:type="spellStart"/>
      <w:r w:rsidRPr="00774524">
        <w:rPr>
          <w:lang w:val="en-US"/>
        </w:rPr>
        <w:t>hyperautofluorescent</w:t>
      </w:r>
      <w:proofErr w:type="spellEnd"/>
      <w:r w:rsidRPr="00774524">
        <w:rPr>
          <w:lang w:val="en-US"/>
        </w:rPr>
        <w:t xml:space="preserve">, </w:t>
      </w:r>
      <w:proofErr w:type="spellStart"/>
      <w:r w:rsidRPr="00774524">
        <w:rPr>
          <w:lang w:val="en-US"/>
        </w:rPr>
        <w:t>hypoautofluorescent</w:t>
      </w:r>
      <w:proofErr w:type="spellEnd"/>
      <w:r w:rsidRPr="00774524">
        <w:rPr>
          <w:lang w:val="en-US"/>
        </w:rPr>
        <w:t xml:space="preserve">, and patchy patterns are associated with varying degrees of RPE and photoreceptor dysfunction, with patchy patterns often corresponding to reduced central retinal sensitivity [3,7]. Quantitative multimodal imaging, including OCT, can detect outer retinal changes such as thinning of the outer nuclear layer and disruption of the ellipsoid zone, which correlate with decreased visual function [4,6]. OCTA has also revealed the presence of non-exudative choroidal neovascularization (CNV), particularly in later stages, emphasizing the value of detailed vascular assessment for </w:t>
      </w:r>
      <w:r w:rsidRPr="00774524">
        <w:rPr>
          <w:rStyle w:val="Strong"/>
          <w:lang w:val="en-US"/>
        </w:rPr>
        <w:t>long-term surveillance</w:t>
      </w:r>
      <w:r w:rsidRPr="00774524">
        <w:rPr>
          <w:lang w:val="en-US"/>
        </w:rPr>
        <w:t xml:space="preserve"> [8].</w:t>
      </w:r>
    </w:p>
    <w:p w14:paraId="48EF8E49" w14:textId="77777777" w:rsidR="00774524" w:rsidRPr="00774524" w:rsidRDefault="00774524" w:rsidP="00774524">
      <w:pPr>
        <w:pStyle w:val="NormalWeb"/>
        <w:rPr>
          <w:lang w:val="en-US"/>
        </w:rPr>
      </w:pPr>
      <w:r w:rsidRPr="00774524">
        <w:rPr>
          <w:lang w:val="en-US"/>
        </w:rPr>
        <w:t xml:space="preserve">The pathophysiology of BVMD involves mutations in the BEST1 gene encoding </w:t>
      </w:r>
      <w:proofErr w:type="spellStart"/>
      <w:r w:rsidRPr="00774524">
        <w:rPr>
          <w:lang w:val="en-US"/>
        </w:rPr>
        <w:t>bestrophin</w:t>
      </w:r>
      <w:proofErr w:type="spellEnd"/>
      <w:r w:rsidRPr="00774524">
        <w:rPr>
          <w:lang w:val="en-US"/>
        </w:rPr>
        <w:t>, which disrupts RPE function and contributes to vitelliform material accumulation. Recent insights suggest that lipofuscin deposition may result from impaired photoreceptor-RPE apposition rather than primary metabolic defects, leading to progressive accumulation of shed outer segments [9]. Bianco et al. highlighted that multimodal imaging, including FAF, OCT, adaptive optics, and OCTA, provides a comprehensive assessment of lesion composition and disease evolution, enabling precise staging and monitoring, especially in adult-onset or asymmetric cases [9].</w:t>
      </w:r>
    </w:p>
    <w:p w14:paraId="293266A7" w14:textId="77777777" w:rsidR="00774524" w:rsidRPr="00774524" w:rsidRDefault="00774524" w:rsidP="00774524">
      <w:pPr>
        <w:pStyle w:val="NormalWeb"/>
        <w:rPr>
          <w:lang w:val="en-US"/>
        </w:rPr>
      </w:pPr>
      <w:r w:rsidRPr="00774524">
        <w:rPr>
          <w:lang w:val="en-US"/>
        </w:rPr>
        <w:t xml:space="preserve">In the present patient, asymmetric macular lesions were observed: a Stage IV </w:t>
      </w:r>
      <w:proofErr w:type="spellStart"/>
      <w:r w:rsidRPr="00774524">
        <w:rPr>
          <w:lang w:val="en-US"/>
        </w:rPr>
        <w:t>vitelliruptive</w:t>
      </w:r>
      <w:proofErr w:type="spellEnd"/>
      <w:r w:rsidRPr="00774524">
        <w:rPr>
          <w:lang w:val="en-US"/>
        </w:rPr>
        <w:t xml:space="preserve"> lesion in the right eye and a Stage III </w:t>
      </w:r>
      <w:proofErr w:type="spellStart"/>
      <w:r w:rsidRPr="00774524">
        <w:rPr>
          <w:lang w:val="en-US"/>
        </w:rPr>
        <w:t>pseudohypopyon</w:t>
      </w:r>
      <w:proofErr w:type="spellEnd"/>
      <w:r w:rsidRPr="00774524">
        <w:rPr>
          <w:lang w:val="en-US"/>
        </w:rPr>
        <w:t xml:space="preserve"> lesion in the left eye. FAF revealed central </w:t>
      </w:r>
      <w:proofErr w:type="spellStart"/>
      <w:r w:rsidRPr="00774524">
        <w:rPr>
          <w:lang w:val="en-US"/>
        </w:rPr>
        <w:t>hypoautofluorescence</w:t>
      </w:r>
      <w:proofErr w:type="spellEnd"/>
      <w:r w:rsidRPr="00774524">
        <w:rPr>
          <w:lang w:val="en-US"/>
        </w:rPr>
        <w:t xml:space="preserve"> with scattered </w:t>
      </w:r>
      <w:proofErr w:type="spellStart"/>
      <w:r w:rsidRPr="00774524">
        <w:rPr>
          <w:lang w:val="en-US"/>
        </w:rPr>
        <w:t>hyperautofluorescent</w:t>
      </w:r>
      <w:proofErr w:type="spellEnd"/>
      <w:r w:rsidRPr="00774524">
        <w:rPr>
          <w:lang w:val="en-US"/>
        </w:rPr>
        <w:t xml:space="preserve"> areas in the right eye, and a heterogeneous semi-lunar pattern in the left eye. These observations correspond with previously reported FAF patterns and their correlation with disease stage and functional impairment [3,5,7]. Fluorescein angiography showed semi-lunar staining without leakage, further supporting the utility of multimodal imaging in precise staging and early detection of RPE dysfunction.</w:t>
      </w:r>
    </w:p>
    <w:p w14:paraId="0D98F03C" w14:textId="77777777" w:rsidR="00774524" w:rsidRPr="00774524" w:rsidRDefault="00774524" w:rsidP="00774524">
      <w:pPr>
        <w:pStyle w:val="NormalWeb"/>
        <w:rPr>
          <w:lang w:val="en-US"/>
        </w:rPr>
      </w:pPr>
      <w:r w:rsidRPr="00774524">
        <w:rPr>
          <w:rStyle w:val="Strong"/>
          <w:lang w:val="en-US"/>
        </w:rPr>
        <w:t>Clinical and Practical Implications:</w:t>
      </w:r>
      <w:r w:rsidRPr="00774524">
        <w:rPr>
          <w:lang w:val="en-US"/>
        </w:rPr>
        <w:br/>
        <w:t xml:space="preserve">This case illustrates that adult-onset BVMD can present asymmetrically and progress subtly, emphasizing the need for </w:t>
      </w:r>
      <w:r w:rsidRPr="00774524">
        <w:rPr>
          <w:rStyle w:val="Strong"/>
          <w:lang w:val="en-US"/>
        </w:rPr>
        <w:t>detailed multimodal evaluation</w:t>
      </w:r>
      <w:r w:rsidRPr="00774524">
        <w:rPr>
          <w:lang w:val="en-US"/>
        </w:rPr>
        <w:t xml:space="preserve">, even when visual acuity is relatively preserved. Recognizing imaging biomarkers through FAF, NIR-FAF, OCT, and OCTA not only aids diagnosis but also facilitates early detection of complications, such as CNV, and guides </w:t>
      </w:r>
      <w:r w:rsidRPr="00774524">
        <w:rPr>
          <w:rStyle w:val="Strong"/>
          <w:lang w:val="en-US"/>
        </w:rPr>
        <w:t>appropriate follow-up</w:t>
      </w:r>
      <w:r w:rsidRPr="00774524">
        <w:rPr>
          <w:lang w:val="en-US"/>
        </w:rPr>
        <w:t>.</w:t>
      </w:r>
    </w:p>
    <w:p w14:paraId="3F44DFED" w14:textId="77777777" w:rsidR="00774524" w:rsidRPr="00774524" w:rsidRDefault="00774524" w:rsidP="00774524">
      <w:pPr>
        <w:pStyle w:val="NormalWeb"/>
        <w:rPr>
          <w:lang w:val="en-US"/>
        </w:rPr>
      </w:pPr>
      <w:r w:rsidRPr="00774524">
        <w:rPr>
          <w:rStyle w:val="Strong"/>
          <w:lang w:val="en-US"/>
        </w:rPr>
        <w:t>Practical recommendations for ophthalmologists include:</w:t>
      </w:r>
    </w:p>
    <w:p w14:paraId="504F4E6E" w14:textId="77777777" w:rsidR="00774524" w:rsidRPr="00774524" w:rsidRDefault="00774524" w:rsidP="00774524">
      <w:pPr>
        <w:pStyle w:val="NormalWeb"/>
        <w:numPr>
          <w:ilvl w:val="0"/>
          <w:numId w:val="9"/>
        </w:numPr>
        <w:rPr>
          <w:lang w:val="en-US"/>
        </w:rPr>
      </w:pPr>
      <w:r w:rsidRPr="00774524">
        <w:rPr>
          <w:lang w:val="en-US"/>
        </w:rPr>
        <w:lastRenderedPageBreak/>
        <w:t xml:space="preserve">Perform </w:t>
      </w:r>
      <w:r w:rsidRPr="00774524">
        <w:rPr>
          <w:rStyle w:val="Strong"/>
          <w:lang w:val="en-US"/>
        </w:rPr>
        <w:t>baseline multimodal imaging</w:t>
      </w:r>
      <w:r w:rsidRPr="00774524">
        <w:rPr>
          <w:lang w:val="en-US"/>
        </w:rPr>
        <w:t xml:space="preserve"> in all suspected BVMD cases, including FAF, OCT, and FA/OCTA if available.</w:t>
      </w:r>
    </w:p>
    <w:p w14:paraId="0D80A8CE" w14:textId="77777777" w:rsidR="00774524" w:rsidRPr="00774524" w:rsidRDefault="00774524" w:rsidP="00774524">
      <w:pPr>
        <w:pStyle w:val="NormalWeb"/>
        <w:numPr>
          <w:ilvl w:val="0"/>
          <w:numId w:val="9"/>
        </w:numPr>
        <w:rPr>
          <w:lang w:val="en-US"/>
        </w:rPr>
      </w:pPr>
      <w:r w:rsidRPr="00774524">
        <w:rPr>
          <w:lang w:val="en-US"/>
        </w:rPr>
        <w:t xml:space="preserve">Document </w:t>
      </w:r>
      <w:r w:rsidRPr="00774524">
        <w:rPr>
          <w:rStyle w:val="Strong"/>
          <w:lang w:val="en-US"/>
        </w:rPr>
        <w:t>lesion stage, symmetry, and FAF pattern</w:t>
      </w:r>
      <w:r w:rsidRPr="00774524">
        <w:rPr>
          <w:lang w:val="en-US"/>
        </w:rPr>
        <w:t xml:space="preserve"> to guide follow-up and prognosis.</w:t>
      </w:r>
    </w:p>
    <w:p w14:paraId="1BD8AE52" w14:textId="77777777" w:rsidR="00774524" w:rsidRPr="00774524" w:rsidRDefault="00774524" w:rsidP="00774524">
      <w:pPr>
        <w:pStyle w:val="NormalWeb"/>
        <w:numPr>
          <w:ilvl w:val="0"/>
          <w:numId w:val="9"/>
        </w:numPr>
        <w:rPr>
          <w:lang w:val="en-US"/>
        </w:rPr>
      </w:pPr>
      <w:r w:rsidRPr="00774524">
        <w:rPr>
          <w:lang w:val="en-US"/>
        </w:rPr>
        <w:t xml:space="preserve">Schedule </w:t>
      </w:r>
      <w:r w:rsidRPr="00774524">
        <w:rPr>
          <w:rStyle w:val="Strong"/>
          <w:lang w:val="en-US"/>
        </w:rPr>
        <w:t>periodic monitoring</w:t>
      </w:r>
      <w:r w:rsidRPr="00774524">
        <w:rPr>
          <w:lang w:val="en-US"/>
        </w:rPr>
        <w:t xml:space="preserve"> (every 6–12 months depending on lesion stage, patient age, and symptoms).</w:t>
      </w:r>
    </w:p>
    <w:p w14:paraId="62A43E34" w14:textId="77777777" w:rsidR="00774524" w:rsidRPr="00774524" w:rsidRDefault="00774524" w:rsidP="00774524">
      <w:pPr>
        <w:pStyle w:val="NormalWeb"/>
        <w:numPr>
          <w:ilvl w:val="0"/>
          <w:numId w:val="9"/>
        </w:numPr>
        <w:rPr>
          <w:lang w:val="en-US"/>
        </w:rPr>
      </w:pPr>
      <w:r w:rsidRPr="00774524">
        <w:rPr>
          <w:lang w:val="en-US"/>
        </w:rPr>
        <w:t xml:space="preserve">Educate patients on </w:t>
      </w:r>
      <w:r w:rsidRPr="00774524">
        <w:rPr>
          <w:rStyle w:val="Strong"/>
          <w:lang w:val="en-US"/>
        </w:rPr>
        <w:t>early warning signs of CNV</w:t>
      </w:r>
      <w:r w:rsidRPr="00774524">
        <w:rPr>
          <w:lang w:val="en-US"/>
        </w:rPr>
        <w:t xml:space="preserve"> (sudden distortion, scotoma) and the need for urgent assessment.</w:t>
      </w:r>
    </w:p>
    <w:p w14:paraId="51F3367E" w14:textId="77777777" w:rsidR="00774524" w:rsidRPr="00774524" w:rsidRDefault="00774524" w:rsidP="00774524">
      <w:pPr>
        <w:pStyle w:val="NormalWeb"/>
        <w:numPr>
          <w:ilvl w:val="0"/>
          <w:numId w:val="9"/>
        </w:numPr>
        <w:rPr>
          <w:lang w:val="en-US"/>
        </w:rPr>
      </w:pPr>
      <w:r w:rsidRPr="00774524">
        <w:rPr>
          <w:lang w:val="en-US"/>
        </w:rPr>
        <w:t xml:space="preserve">Consider </w:t>
      </w:r>
      <w:r w:rsidRPr="00774524">
        <w:rPr>
          <w:rStyle w:val="Strong"/>
          <w:lang w:val="en-US"/>
        </w:rPr>
        <w:t>genetic counseling</w:t>
      </w:r>
      <w:r w:rsidRPr="00774524">
        <w:rPr>
          <w:lang w:val="en-US"/>
        </w:rPr>
        <w:t>, particularly for adult-onset cases or family planning.</w:t>
      </w:r>
    </w:p>
    <w:p w14:paraId="7A7E654C" w14:textId="77777777" w:rsidR="00CF35A7" w:rsidRDefault="00774524" w:rsidP="00CF35A7">
      <w:pPr>
        <w:pStyle w:val="NormalWeb"/>
        <w:rPr>
          <w:lang w:val="en-US"/>
        </w:rPr>
      </w:pPr>
      <w:r w:rsidRPr="00774524">
        <w:rPr>
          <w:lang w:val="en-US"/>
        </w:rPr>
        <w:t xml:space="preserve">These insights underscore that </w:t>
      </w:r>
      <w:r w:rsidRPr="00774524">
        <w:rPr>
          <w:rStyle w:val="Strong"/>
          <w:lang w:val="en-US"/>
        </w:rPr>
        <w:t>multimodal imaging is essential for optimal management of BVMD</w:t>
      </w:r>
      <w:r w:rsidRPr="00774524">
        <w:rPr>
          <w:lang w:val="en-US"/>
        </w:rPr>
        <w:t xml:space="preserve">, particularly in atypical adult presentations, and highlight the value of a structured </w:t>
      </w:r>
      <w:r w:rsidRPr="00774524">
        <w:rPr>
          <w:rStyle w:val="Strong"/>
          <w:lang w:val="en-US"/>
        </w:rPr>
        <w:t>long-term surveillance strategy</w:t>
      </w:r>
      <w:r w:rsidRPr="00774524">
        <w:rPr>
          <w:lang w:val="en-US"/>
        </w:rPr>
        <w:t xml:space="preserve"> to preserve vision and detect complications promptly.</w:t>
      </w:r>
    </w:p>
    <w:p w14:paraId="78C95CE7" w14:textId="77777777" w:rsidR="00CF35A7" w:rsidRPr="002A4A96" w:rsidRDefault="00CF35A7" w:rsidP="00CF35A7">
      <w:pPr>
        <w:spacing w:after="0" w:line="240" w:lineRule="auto"/>
        <w:outlineLvl w:val="1"/>
        <w:rPr>
          <w:rFonts w:ascii="Times New Roman" w:eastAsia="Times New Roman" w:hAnsi="Times New Roman" w:cs="Times New Roman"/>
          <w:b/>
          <w:bCs/>
          <w:sz w:val="28"/>
          <w:szCs w:val="28"/>
          <w:lang w:val="en-US" w:eastAsia="fr-FR"/>
        </w:rPr>
      </w:pPr>
      <w:bookmarkStart w:id="0" w:name="_GoBack"/>
      <w:bookmarkEnd w:id="0"/>
      <w:r w:rsidRPr="002F208B">
        <w:rPr>
          <w:rFonts w:ascii="Times New Roman" w:eastAsia="Times New Roman" w:hAnsi="Times New Roman" w:cs="Times New Roman"/>
          <w:b/>
          <w:bCs/>
          <w:sz w:val="28"/>
          <w:szCs w:val="28"/>
          <w:lang w:val="en-US" w:eastAsia="fr-FR"/>
        </w:rPr>
        <w:t>Consent</w:t>
      </w:r>
    </w:p>
    <w:p w14:paraId="5FFDF331" w14:textId="77777777" w:rsidR="00CF35A7" w:rsidRPr="002A4A96" w:rsidRDefault="00CF35A7" w:rsidP="00CF35A7">
      <w:pPr>
        <w:spacing w:after="0" w:line="240" w:lineRule="auto"/>
        <w:rPr>
          <w:rFonts w:ascii="Times New Roman" w:eastAsia="Times New Roman" w:hAnsi="Times New Roman" w:cs="Times New Roman"/>
          <w:lang w:val="en-US" w:eastAsia="fr-FR"/>
        </w:rPr>
      </w:pPr>
      <w:r w:rsidRPr="002A4A96">
        <w:rPr>
          <w:rFonts w:ascii="Times New Roman" w:eastAsia="Times New Roman" w:hAnsi="Times New Roman" w:cs="Times New Roman"/>
          <w:lang w:val="en-US" w:eastAsia="fr-FR"/>
        </w:rPr>
        <w:t>Written informed consent for publication of this case report and accompanying images was obtained from all patients.</w:t>
      </w:r>
    </w:p>
    <w:p w14:paraId="2C678095" w14:textId="77777777" w:rsidR="00CF35A7" w:rsidRPr="002A4A96" w:rsidRDefault="00CF35A7" w:rsidP="00CF35A7">
      <w:pPr>
        <w:spacing w:after="0" w:line="240" w:lineRule="auto"/>
        <w:outlineLvl w:val="1"/>
        <w:rPr>
          <w:rFonts w:ascii="Times New Roman" w:eastAsia="Times New Roman" w:hAnsi="Times New Roman" w:cs="Times New Roman"/>
          <w:b/>
          <w:bCs/>
          <w:sz w:val="28"/>
          <w:szCs w:val="28"/>
          <w:lang w:val="en-US" w:eastAsia="fr-FR"/>
        </w:rPr>
      </w:pPr>
      <w:r w:rsidRPr="002F208B">
        <w:rPr>
          <w:rFonts w:ascii="Times New Roman" w:eastAsia="Times New Roman" w:hAnsi="Times New Roman" w:cs="Times New Roman"/>
          <w:b/>
          <w:bCs/>
          <w:sz w:val="28"/>
          <w:szCs w:val="28"/>
          <w:lang w:val="en-US" w:eastAsia="fr-FR"/>
        </w:rPr>
        <w:t>Ethical Approval</w:t>
      </w:r>
    </w:p>
    <w:p w14:paraId="19BCAF8B" w14:textId="77777777" w:rsidR="00CF35A7" w:rsidRDefault="00CF35A7" w:rsidP="00CF35A7">
      <w:pPr>
        <w:spacing w:after="0" w:line="240" w:lineRule="auto"/>
        <w:rPr>
          <w:rFonts w:ascii="Times New Roman" w:eastAsia="Times New Roman" w:hAnsi="Times New Roman" w:cs="Times New Roman"/>
          <w:lang w:val="en-US" w:eastAsia="fr-FR"/>
        </w:rPr>
      </w:pPr>
      <w:r w:rsidRPr="002A4A96">
        <w:rPr>
          <w:rFonts w:ascii="Times New Roman" w:eastAsia="Times New Roman" w:hAnsi="Times New Roman" w:cs="Times New Roman"/>
          <w:lang w:val="en-US" w:eastAsia="fr-FR"/>
        </w:rPr>
        <w:t>As this is a retrospective descriptive case series involving anonymized clinical data, formal ethical approval was not required.</w:t>
      </w:r>
    </w:p>
    <w:p w14:paraId="76A7320C" w14:textId="77777777" w:rsidR="00CF35A7" w:rsidRDefault="00CF35A7" w:rsidP="00CF35A7">
      <w:pPr>
        <w:spacing w:after="0" w:line="240" w:lineRule="auto"/>
        <w:rPr>
          <w:rFonts w:ascii="Times New Roman" w:eastAsia="Times New Roman" w:hAnsi="Times New Roman" w:cs="Times New Roman"/>
          <w:lang w:val="en-US" w:eastAsia="fr-FR"/>
        </w:rPr>
      </w:pPr>
    </w:p>
    <w:p w14:paraId="0737EC4D" w14:textId="77777777" w:rsidR="00337780" w:rsidRPr="00CF35A7" w:rsidRDefault="00CF35A7" w:rsidP="00CF35A7">
      <w:pPr>
        <w:spacing w:before="100" w:beforeAutospacing="1" w:after="100" w:afterAutospacing="1" w:line="240" w:lineRule="auto"/>
        <w:rPr>
          <w:rFonts w:ascii="Times New Roman" w:eastAsia="Times New Roman" w:hAnsi="Times New Roman" w:cs="Times New Roman"/>
          <w:sz w:val="24"/>
          <w:szCs w:val="24"/>
          <w:lang w:val="en-US" w:eastAsia="fr-FR"/>
        </w:rPr>
      </w:pPr>
      <w:r>
        <w:rPr>
          <w:rFonts w:ascii="Times New Roman" w:eastAsia="Times New Roman" w:hAnsi="Times New Roman" w:cs="Times New Roman"/>
          <w:b/>
          <w:bCs/>
          <w:sz w:val="24"/>
          <w:szCs w:val="24"/>
          <w:lang w:val="en-US" w:eastAsia="fr-FR"/>
        </w:rPr>
        <w:t>D</w:t>
      </w:r>
      <w:r w:rsidRPr="002E18AC">
        <w:rPr>
          <w:rFonts w:ascii="Times New Roman" w:eastAsia="Times New Roman" w:hAnsi="Times New Roman" w:cs="Times New Roman"/>
          <w:b/>
          <w:bCs/>
          <w:sz w:val="24"/>
          <w:szCs w:val="24"/>
          <w:lang w:val="en-US" w:eastAsia="fr-FR"/>
        </w:rPr>
        <w:t xml:space="preserve">isclaimer (artificial </w:t>
      </w:r>
      <w:proofErr w:type="gramStart"/>
      <w:r w:rsidRPr="002E18AC">
        <w:rPr>
          <w:rFonts w:ascii="Times New Roman" w:eastAsia="Times New Roman" w:hAnsi="Times New Roman" w:cs="Times New Roman"/>
          <w:b/>
          <w:bCs/>
          <w:sz w:val="24"/>
          <w:szCs w:val="24"/>
          <w:lang w:val="en-US" w:eastAsia="fr-FR"/>
        </w:rPr>
        <w:t>intelligence)</w:t>
      </w:r>
      <w:r w:rsidRPr="002E18AC">
        <w:rPr>
          <w:rFonts w:ascii="Times New Roman" w:eastAsia="Times New Roman" w:hAnsi="Times New Roman" w:cs="Times New Roman"/>
          <w:sz w:val="24"/>
          <w:szCs w:val="24"/>
          <w:lang w:val="en-US" w:eastAsia="fr-FR"/>
        </w:rPr>
        <w:t>The</w:t>
      </w:r>
      <w:proofErr w:type="gramEnd"/>
      <w:r w:rsidRPr="002E18AC">
        <w:rPr>
          <w:rFonts w:ascii="Times New Roman" w:eastAsia="Times New Roman" w:hAnsi="Times New Roman" w:cs="Times New Roman"/>
          <w:sz w:val="24"/>
          <w:szCs w:val="24"/>
          <w:lang w:val="en-US" w:eastAsia="fr-FR"/>
        </w:rPr>
        <w:t xml:space="preserve"> author(s) hereby declare that no generative AI technologies, including Large Language Models (e.g., ChatGPT, Copilot) or text-to-image generators, have been used in the writing or editing of this manuscript</w:t>
      </w:r>
    </w:p>
    <w:p w14:paraId="0770F5DB" w14:textId="77777777" w:rsidR="00337780" w:rsidRPr="00337780" w:rsidRDefault="00337780" w:rsidP="00337780">
      <w:pPr>
        <w:pStyle w:val="Heading3"/>
        <w:rPr>
          <w:rFonts w:asciiTheme="majorBidi" w:hAnsiTheme="majorBidi"/>
          <w:color w:val="auto"/>
          <w:sz w:val="32"/>
          <w:szCs w:val="32"/>
        </w:rPr>
      </w:pPr>
      <w:proofErr w:type="spellStart"/>
      <w:r w:rsidRPr="00337780">
        <w:rPr>
          <w:rStyle w:val="Strong"/>
          <w:rFonts w:asciiTheme="majorBidi" w:hAnsiTheme="majorBidi"/>
          <w:color w:val="auto"/>
          <w:sz w:val="32"/>
          <w:szCs w:val="32"/>
        </w:rPr>
        <w:t>References</w:t>
      </w:r>
      <w:proofErr w:type="spellEnd"/>
    </w:p>
    <w:p w14:paraId="139488A9" w14:textId="0A0C8F91" w:rsidR="00337780" w:rsidRPr="00337780" w:rsidRDefault="0059189F" w:rsidP="00337780">
      <w:pPr>
        <w:pStyle w:val="NormalWeb"/>
        <w:numPr>
          <w:ilvl w:val="0"/>
          <w:numId w:val="2"/>
        </w:numPr>
        <w:rPr>
          <w:rFonts w:asciiTheme="majorBidi" w:hAnsiTheme="majorBidi" w:cstheme="majorBidi"/>
        </w:rPr>
      </w:pPr>
      <w:proofErr w:type="spellStart"/>
      <w:r w:rsidRPr="0059189F">
        <w:rPr>
          <w:rFonts w:asciiTheme="majorBidi" w:hAnsiTheme="majorBidi" w:cstheme="majorBidi"/>
          <w:lang w:val="en-US"/>
        </w:rPr>
        <w:t>Pinckers</w:t>
      </w:r>
      <w:proofErr w:type="spellEnd"/>
      <w:r w:rsidRPr="0059189F">
        <w:rPr>
          <w:rFonts w:asciiTheme="majorBidi" w:hAnsiTheme="majorBidi" w:cstheme="majorBidi"/>
          <w:lang w:val="en-US"/>
        </w:rPr>
        <w:t xml:space="preserve">, A., </w:t>
      </w:r>
      <w:proofErr w:type="spellStart"/>
      <w:r w:rsidRPr="0059189F">
        <w:rPr>
          <w:rFonts w:asciiTheme="majorBidi" w:hAnsiTheme="majorBidi" w:cstheme="majorBidi"/>
          <w:lang w:val="en-US"/>
        </w:rPr>
        <w:t>Cuypers</w:t>
      </w:r>
      <w:proofErr w:type="spellEnd"/>
      <w:r w:rsidRPr="0059189F">
        <w:rPr>
          <w:rFonts w:asciiTheme="majorBidi" w:hAnsiTheme="majorBidi" w:cstheme="majorBidi"/>
          <w:lang w:val="en-US"/>
        </w:rPr>
        <w:t xml:space="preserve">, M. H., &amp; </w:t>
      </w:r>
      <w:proofErr w:type="spellStart"/>
      <w:r w:rsidRPr="0059189F">
        <w:rPr>
          <w:rFonts w:asciiTheme="majorBidi" w:hAnsiTheme="majorBidi" w:cstheme="majorBidi"/>
          <w:lang w:val="en-US"/>
        </w:rPr>
        <w:t>Aandekerk</w:t>
      </w:r>
      <w:proofErr w:type="spellEnd"/>
      <w:r w:rsidRPr="0059189F">
        <w:rPr>
          <w:rFonts w:asciiTheme="majorBidi" w:hAnsiTheme="majorBidi" w:cstheme="majorBidi"/>
          <w:lang w:val="en-US"/>
        </w:rPr>
        <w:t xml:space="preserve">, A. L. (1996). The EOG in Best's disease and dominant cystoid macular dystrophy (DCMD). Ophthalmic Genetics, 17(3), 103–108. </w:t>
      </w:r>
      <w:hyperlink r:id="rId10" w:history="1">
        <w:r w:rsidRPr="00FD08D0">
          <w:rPr>
            <w:rStyle w:val="Hyperlink"/>
            <w:rFonts w:asciiTheme="majorBidi" w:hAnsiTheme="majorBidi" w:cstheme="majorBidi"/>
            <w:lang w:val="en-US"/>
          </w:rPr>
          <w:t>https://doi.org/10.3109/13816819609057112</w:t>
        </w:r>
      </w:hyperlink>
      <w:r>
        <w:rPr>
          <w:rFonts w:asciiTheme="majorBidi" w:hAnsiTheme="majorBidi" w:cstheme="majorBidi"/>
          <w:lang w:val="en-US"/>
        </w:rPr>
        <w:t xml:space="preserve"> </w:t>
      </w:r>
    </w:p>
    <w:p w14:paraId="444B746A" w14:textId="1678875F" w:rsidR="00337780" w:rsidRPr="00337780" w:rsidRDefault="00084A21" w:rsidP="00337780">
      <w:pPr>
        <w:pStyle w:val="NormalWeb"/>
        <w:numPr>
          <w:ilvl w:val="0"/>
          <w:numId w:val="2"/>
        </w:numPr>
        <w:rPr>
          <w:rFonts w:asciiTheme="majorBidi" w:hAnsiTheme="majorBidi" w:cstheme="majorBidi"/>
        </w:rPr>
      </w:pPr>
      <w:proofErr w:type="spellStart"/>
      <w:r w:rsidRPr="00084A21">
        <w:rPr>
          <w:rFonts w:asciiTheme="majorBidi" w:hAnsiTheme="majorBidi" w:cstheme="majorBidi"/>
          <w:lang w:val="en-US"/>
        </w:rPr>
        <w:t>Weingeist</w:t>
      </w:r>
      <w:proofErr w:type="spellEnd"/>
      <w:r w:rsidRPr="00084A21">
        <w:rPr>
          <w:rFonts w:asciiTheme="majorBidi" w:hAnsiTheme="majorBidi" w:cstheme="majorBidi"/>
          <w:lang w:val="en-US"/>
        </w:rPr>
        <w:t xml:space="preserve">, T. A., </w:t>
      </w:r>
      <w:proofErr w:type="spellStart"/>
      <w:r w:rsidRPr="00084A21">
        <w:rPr>
          <w:rFonts w:asciiTheme="majorBidi" w:hAnsiTheme="majorBidi" w:cstheme="majorBidi"/>
          <w:lang w:val="en-US"/>
        </w:rPr>
        <w:t>Kobrin</w:t>
      </w:r>
      <w:proofErr w:type="spellEnd"/>
      <w:r w:rsidRPr="00084A21">
        <w:rPr>
          <w:rFonts w:asciiTheme="majorBidi" w:hAnsiTheme="majorBidi" w:cstheme="majorBidi"/>
          <w:lang w:val="en-US"/>
        </w:rPr>
        <w:t xml:space="preserve">, J. L., &amp; Watzke, R. C. (1982). Histopathology of Best's macular dystrophy. Archives of Ophthalmology, 100(7), 1108–1114. </w:t>
      </w:r>
      <w:hyperlink r:id="rId11" w:history="1">
        <w:r w:rsidRPr="00FD08D0">
          <w:rPr>
            <w:rStyle w:val="Hyperlink"/>
            <w:rFonts w:asciiTheme="majorBidi" w:hAnsiTheme="majorBidi" w:cstheme="majorBidi"/>
            <w:lang w:val="en-US"/>
          </w:rPr>
          <w:t>https://doi.org/10.1001/archopht.1982.01030040086016</w:t>
        </w:r>
      </w:hyperlink>
      <w:r>
        <w:rPr>
          <w:rFonts w:asciiTheme="majorBidi" w:hAnsiTheme="majorBidi" w:cstheme="majorBidi"/>
          <w:lang w:val="en-US"/>
        </w:rPr>
        <w:t xml:space="preserve"> </w:t>
      </w:r>
    </w:p>
    <w:p w14:paraId="1DBDE91E" w14:textId="7854B241" w:rsidR="00337780" w:rsidRPr="00337780" w:rsidRDefault="00084A21" w:rsidP="00337780">
      <w:pPr>
        <w:pStyle w:val="NormalWeb"/>
        <w:numPr>
          <w:ilvl w:val="0"/>
          <w:numId w:val="2"/>
        </w:numPr>
        <w:rPr>
          <w:rFonts w:asciiTheme="majorBidi" w:hAnsiTheme="majorBidi" w:cstheme="majorBidi"/>
        </w:rPr>
      </w:pPr>
      <w:r w:rsidRPr="00084A21">
        <w:rPr>
          <w:rFonts w:asciiTheme="majorBidi" w:hAnsiTheme="majorBidi" w:cstheme="majorBidi"/>
        </w:rPr>
        <w:t xml:space="preserve">Battaglia Parodi, M., Arrigo, A., </w:t>
      </w:r>
      <w:proofErr w:type="spellStart"/>
      <w:r w:rsidRPr="00084A21">
        <w:rPr>
          <w:rFonts w:asciiTheme="majorBidi" w:hAnsiTheme="majorBidi" w:cstheme="majorBidi"/>
        </w:rPr>
        <w:t>Calamuneri</w:t>
      </w:r>
      <w:proofErr w:type="spellEnd"/>
      <w:r w:rsidRPr="00084A21">
        <w:rPr>
          <w:rFonts w:asciiTheme="majorBidi" w:hAnsiTheme="majorBidi" w:cstheme="majorBidi"/>
        </w:rPr>
        <w:t xml:space="preserve">, A., </w:t>
      </w:r>
      <w:proofErr w:type="spellStart"/>
      <w:r w:rsidRPr="00084A21">
        <w:rPr>
          <w:rFonts w:asciiTheme="majorBidi" w:hAnsiTheme="majorBidi" w:cstheme="majorBidi"/>
        </w:rPr>
        <w:t>Aragona</w:t>
      </w:r>
      <w:proofErr w:type="spellEnd"/>
      <w:r w:rsidRPr="00084A21">
        <w:rPr>
          <w:rFonts w:asciiTheme="majorBidi" w:hAnsiTheme="majorBidi" w:cstheme="majorBidi"/>
        </w:rPr>
        <w:t xml:space="preserve">, E., &amp; Bandello, F. (2022). Multimodal </w:t>
      </w:r>
      <w:proofErr w:type="spellStart"/>
      <w:r w:rsidRPr="00084A21">
        <w:rPr>
          <w:rFonts w:asciiTheme="majorBidi" w:hAnsiTheme="majorBidi" w:cstheme="majorBidi"/>
        </w:rPr>
        <w:t>imaging</w:t>
      </w:r>
      <w:proofErr w:type="spellEnd"/>
      <w:r w:rsidRPr="00084A21">
        <w:rPr>
          <w:rFonts w:asciiTheme="majorBidi" w:hAnsiTheme="majorBidi" w:cstheme="majorBidi"/>
        </w:rPr>
        <w:t xml:space="preserve"> in </w:t>
      </w:r>
      <w:proofErr w:type="spellStart"/>
      <w:r w:rsidRPr="00084A21">
        <w:rPr>
          <w:rFonts w:asciiTheme="majorBidi" w:hAnsiTheme="majorBidi" w:cstheme="majorBidi"/>
        </w:rPr>
        <w:t>subclinical</w:t>
      </w:r>
      <w:proofErr w:type="spellEnd"/>
      <w:r w:rsidRPr="00084A21">
        <w:rPr>
          <w:rFonts w:asciiTheme="majorBidi" w:hAnsiTheme="majorBidi" w:cstheme="majorBidi"/>
        </w:rPr>
        <w:t xml:space="preserve"> best </w:t>
      </w:r>
      <w:proofErr w:type="spellStart"/>
      <w:r w:rsidRPr="00084A21">
        <w:rPr>
          <w:rFonts w:asciiTheme="majorBidi" w:hAnsiTheme="majorBidi" w:cstheme="majorBidi"/>
        </w:rPr>
        <w:t>vitelliform</w:t>
      </w:r>
      <w:proofErr w:type="spellEnd"/>
      <w:r w:rsidRPr="00084A21">
        <w:rPr>
          <w:rFonts w:asciiTheme="majorBidi" w:hAnsiTheme="majorBidi" w:cstheme="majorBidi"/>
        </w:rPr>
        <w:t xml:space="preserve"> </w:t>
      </w:r>
      <w:proofErr w:type="spellStart"/>
      <w:r w:rsidRPr="00084A21">
        <w:rPr>
          <w:rFonts w:asciiTheme="majorBidi" w:hAnsiTheme="majorBidi" w:cstheme="majorBidi"/>
        </w:rPr>
        <w:t>macular</w:t>
      </w:r>
      <w:proofErr w:type="spellEnd"/>
      <w:r w:rsidRPr="00084A21">
        <w:rPr>
          <w:rFonts w:asciiTheme="majorBidi" w:hAnsiTheme="majorBidi" w:cstheme="majorBidi"/>
        </w:rPr>
        <w:t xml:space="preserve"> </w:t>
      </w:r>
      <w:proofErr w:type="spellStart"/>
      <w:r w:rsidRPr="00084A21">
        <w:rPr>
          <w:rFonts w:asciiTheme="majorBidi" w:hAnsiTheme="majorBidi" w:cstheme="majorBidi"/>
        </w:rPr>
        <w:t>dystrophy</w:t>
      </w:r>
      <w:proofErr w:type="spellEnd"/>
      <w:r w:rsidRPr="00084A21">
        <w:rPr>
          <w:rFonts w:asciiTheme="majorBidi" w:hAnsiTheme="majorBidi" w:cstheme="majorBidi"/>
        </w:rPr>
        <w:t xml:space="preserve">. British Journal of </w:t>
      </w:r>
      <w:proofErr w:type="spellStart"/>
      <w:r w:rsidRPr="00084A21">
        <w:rPr>
          <w:rFonts w:asciiTheme="majorBidi" w:hAnsiTheme="majorBidi" w:cstheme="majorBidi"/>
        </w:rPr>
        <w:t>Ophthalmology</w:t>
      </w:r>
      <w:proofErr w:type="spellEnd"/>
      <w:r w:rsidRPr="00084A21">
        <w:rPr>
          <w:rFonts w:asciiTheme="majorBidi" w:hAnsiTheme="majorBidi" w:cstheme="majorBidi"/>
        </w:rPr>
        <w:t xml:space="preserve">, 106(4), 564–567. </w:t>
      </w:r>
      <w:hyperlink r:id="rId12" w:history="1">
        <w:r w:rsidRPr="00FD08D0">
          <w:rPr>
            <w:rStyle w:val="Hyperlink"/>
            <w:rFonts w:asciiTheme="majorBidi" w:hAnsiTheme="majorBidi" w:cstheme="majorBidi"/>
          </w:rPr>
          <w:t>https://doi.org/10.1136/bjophthalmol-2020-317635</w:t>
        </w:r>
      </w:hyperlink>
      <w:r>
        <w:rPr>
          <w:rFonts w:asciiTheme="majorBidi" w:hAnsiTheme="majorBidi" w:cstheme="majorBidi"/>
        </w:rPr>
        <w:t xml:space="preserve"> </w:t>
      </w:r>
    </w:p>
    <w:p w14:paraId="19A4D8E0" w14:textId="4ACF83CC" w:rsidR="00337780" w:rsidRPr="00337780" w:rsidRDefault="00084A21" w:rsidP="00337780">
      <w:pPr>
        <w:pStyle w:val="NormalWeb"/>
        <w:numPr>
          <w:ilvl w:val="0"/>
          <w:numId w:val="2"/>
        </w:numPr>
        <w:rPr>
          <w:rFonts w:asciiTheme="majorBidi" w:hAnsiTheme="majorBidi" w:cstheme="majorBidi"/>
        </w:rPr>
      </w:pPr>
      <w:r w:rsidRPr="00084A21">
        <w:rPr>
          <w:rFonts w:asciiTheme="majorBidi" w:hAnsiTheme="majorBidi" w:cstheme="majorBidi"/>
        </w:rPr>
        <w:t xml:space="preserve">Bianco, L., Arrigo, A., </w:t>
      </w:r>
      <w:proofErr w:type="spellStart"/>
      <w:r w:rsidRPr="00084A21">
        <w:rPr>
          <w:rFonts w:asciiTheme="majorBidi" w:hAnsiTheme="majorBidi" w:cstheme="majorBidi"/>
        </w:rPr>
        <w:t>Antropoli</w:t>
      </w:r>
      <w:proofErr w:type="spellEnd"/>
      <w:r w:rsidRPr="00084A21">
        <w:rPr>
          <w:rFonts w:asciiTheme="majorBidi" w:hAnsiTheme="majorBidi" w:cstheme="majorBidi"/>
        </w:rPr>
        <w:t xml:space="preserve">, A., &amp; Battaglia Parodi, M. (2024). Multimodal </w:t>
      </w:r>
      <w:proofErr w:type="spellStart"/>
      <w:r w:rsidRPr="00084A21">
        <w:rPr>
          <w:rFonts w:asciiTheme="majorBidi" w:hAnsiTheme="majorBidi" w:cstheme="majorBidi"/>
        </w:rPr>
        <w:t>imaging</w:t>
      </w:r>
      <w:proofErr w:type="spellEnd"/>
      <w:r w:rsidRPr="00084A21">
        <w:rPr>
          <w:rFonts w:asciiTheme="majorBidi" w:hAnsiTheme="majorBidi" w:cstheme="majorBidi"/>
        </w:rPr>
        <w:t xml:space="preserve"> in Best </w:t>
      </w:r>
      <w:proofErr w:type="spellStart"/>
      <w:r w:rsidRPr="00084A21">
        <w:rPr>
          <w:rFonts w:asciiTheme="majorBidi" w:hAnsiTheme="majorBidi" w:cstheme="majorBidi"/>
        </w:rPr>
        <w:t>Vitelliform</w:t>
      </w:r>
      <w:proofErr w:type="spellEnd"/>
      <w:r w:rsidRPr="00084A21">
        <w:rPr>
          <w:rFonts w:asciiTheme="majorBidi" w:hAnsiTheme="majorBidi" w:cstheme="majorBidi"/>
        </w:rPr>
        <w:t xml:space="preserve"> </w:t>
      </w:r>
      <w:proofErr w:type="spellStart"/>
      <w:r w:rsidRPr="00084A21">
        <w:rPr>
          <w:rFonts w:asciiTheme="majorBidi" w:hAnsiTheme="majorBidi" w:cstheme="majorBidi"/>
        </w:rPr>
        <w:t>Macular</w:t>
      </w:r>
      <w:proofErr w:type="spellEnd"/>
      <w:r w:rsidRPr="00084A21">
        <w:rPr>
          <w:rFonts w:asciiTheme="majorBidi" w:hAnsiTheme="majorBidi" w:cstheme="majorBidi"/>
        </w:rPr>
        <w:t xml:space="preserve"> </w:t>
      </w:r>
      <w:proofErr w:type="spellStart"/>
      <w:proofErr w:type="gramStart"/>
      <w:r w:rsidRPr="00084A21">
        <w:rPr>
          <w:rFonts w:asciiTheme="majorBidi" w:hAnsiTheme="majorBidi" w:cstheme="majorBidi"/>
        </w:rPr>
        <w:t>Dystrophy</w:t>
      </w:r>
      <w:proofErr w:type="spellEnd"/>
      <w:r w:rsidRPr="00084A21">
        <w:rPr>
          <w:rFonts w:asciiTheme="majorBidi" w:hAnsiTheme="majorBidi" w:cstheme="majorBidi"/>
        </w:rPr>
        <w:t>:</w:t>
      </w:r>
      <w:proofErr w:type="gramEnd"/>
      <w:r w:rsidRPr="00084A21">
        <w:rPr>
          <w:rFonts w:asciiTheme="majorBidi" w:hAnsiTheme="majorBidi" w:cstheme="majorBidi"/>
        </w:rPr>
        <w:t xml:space="preserve"> </w:t>
      </w:r>
      <w:proofErr w:type="spellStart"/>
      <w:r w:rsidRPr="00084A21">
        <w:rPr>
          <w:rFonts w:asciiTheme="majorBidi" w:hAnsiTheme="majorBidi" w:cstheme="majorBidi"/>
        </w:rPr>
        <w:t>Literature</w:t>
      </w:r>
      <w:proofErr w:type="spellEnd"/>
      <w:r w:rsidRPr="00084A21">
        <w:rPr>
          <w:rFonts w:asciiTheme="majorBidi" w:hAnsiTheme="majorBidi" w:cstheme="majorBidi"/>
        </w:rPr>
        <w:t xml:space="preserve"> </w:t>
      </w:r>
      <w:proofErr w:type="spellStart"/>
      <w:r w:rsidRPr="00084A21">
        <w:rPr>
          <w:rFonts w:asciiTheme="majorBidi" w:hAnsiTheme="majorBidi" w:cstheme="majorBidi"/>
        </w:rPr>
        <w:t>review</w:t>
      </w:r>
      <w:proofErr w:type="spellEnd"/>
      <w:r w:rsidRPr="00084A21">
        <w:rPr>
          <w:rFonts w:asciiTheme="majorBidi" w:hAnsiTheme="majorBidi" w:cstheme="majorBidi"/>
        </w:rPr>
        <w:t xml:space="preserve"> and </w:t>
      </w:r>
      <w:proofErr w:type="spellStart"/>
      <w:r w:rsidRPr="00084A21">
        <w:rPr>
          <w:rFonts w:asciiTheme="majorBidi" w:hAnsiTheme="majorBidi" w:cstheme="majorBidi"/>
        </w:rPr>
        <w:t>novel</w:t>
      </w:r>
      <w:proofErr w:type="spellEnd"/>
      <w:r w:rsidRPr="00084A21">
        <w:rPr>
          <w:rFonts w:asciiTheme="majorBidi" w:hAnsiTheme="majorBidi" w:cstheme="majorBidi"/>
        </w:rPr>
        <w:t xml:space="preserve"> insights. </w:t>
      </w:r>
      <w:proofErr w:type="spellStart"/>
      <w:r w:rsidRPr="00084A21">
        <w:rPr>
          <w:rFonts w:asciiTheme="majorBidi" w:hAnsiTheme="majorBidi" w:cstheme="majorBidi"/>
        </w:rPr>
        <w:t>European</w:t>
      </w:r>
      <w:proofErr w:type="spellEnd"/>
      <w:r w:rsidRPr="00084A21">
        <w:rPr>
          <w:rFonts w:asciiTheme="majorBidi" w:hAnsiTheme="majorBidi" w:cstheme="majorBidi"/>
        </w:rPr>
        <w:t xml:space="preserve"> Journal of </w:t>
      </w:r>
      <w:proofErr w:type="spellStart"/>
      <w:r w:rsidRPr="00084A21">
        <w:rPr>
          <w:rFonts w:asciiTheme="majorBidi" w:hAnsiTheme="majorBidi" w:cstheme="majorBidi"/>
        </w:rPr>
        <w:t>Ophthalmology</w:t>
      </w:r>
      <w:proofErr w:type="spellEnd"/>
      <w:r w:rsidRPr="00084A21">
        <w:rPr>
          <w:rFonts w:asciiTheme="majorBidi" w:hAnsiTheme="majorBidi" w:cstheme="majorBidi"/>
        </w:rPr>
        <w:t xml:space="preserve">. </w:t>
      </w:r>
      <w:hyperlink r:id="rId13" w:history="1">
        <w:r w:rsidRPr="00FD08D0">
          <w:rPr>
            <w:rStyle w:val="Hyperlink"/>
            <w:rFonts w:asciiTheme="majorBidi" w:hAnsiTheme="majorBidi" w:cstheme="majorBidi"/>
          </w:rPr>
          <w:t>https://doi.org/10.1177/11206721231166434</w:t>
        </w:r>
      </w:hyperlink>
      <w:r>
        <w:rPr>
          <w:rFonts w:asciiTheme="majorBidi" w:hAnsiTheme="majorBidi" w:cstheme="majorBidi"/>
        </w:rPr>
        <w:t xml:space="preserve"> </w:t>
      </w:r>
    </w:p>
    <w:p w14:paraId="6420CCF5" w14:textId="77777777" w:rsidR="00337780" w:rsidRPr="00337780" w:rsidRDefault="00337780" w:rsidP="00337780">
      <w:pPr>
        <w:pStyle w:val="NormalWeb"/>
        <w:numPr>
          <w:ilvl w:val="0"/>
          <w:numId w:val="2"/>
        </w:numPr>
        <w:rPr>
          <w:rFonts w:asciiTheme="majorBidi" w:hAnsiTheme="majorBidi" w:cstheme="majorBidi"/>
        </w:rPr>
      </w:pPr>
      <w:proofErr w:type="spellStart"/>
      <w:r w:rsidRPr="00337780">
        <w:rPr>
          <w:rFonts w:asciiTheme="majorBidi" w:hAnsiTheme="majorBidi" w:cstheme="majorBidi"/>
        </w:rPr>
        <w:t>Querques</w:t>
      </w:r>
      <w:proofErr w:type="spellEnd"/>
      <w:r w:rsidRPr="00337780">
        <w:rPr>
          <w:rFonts w:asciiTheme="majorBidi" w:hAnsiTheme="majorBidi" w:cstheme="majorBidi"/>
        </w:rPr>
        <w:t xml:space="preserve"> G, </w:t>
      </w:r>
      <w:proofErr w:type="spellStart"/>
      <w:r w:rsidRPr="00337780">
        <w:rPr>
          <w:rFonts w:asciiTheme="majorBidi" w:hAnsiTheme="majorBidi" w:cstheme="majorBidi"/>
        </w:rPr>
        <w:t>Bux</w:t>
      </w:r>
      <w:proofErr w:type="spellEnd"/>
      <w:r w:rsidRPr="00337780">
        <w:rPr>
          <w:rFonts w:asciiTheme="majorBidi" w:hAnsiTheme="majorBidi" w:cstheme="majorBidi"/>
        </w:rPr>
        <w:t xml:space="preserve"> AV, </w:t>
      </w:r>
      <w:proofErr w:type="spellStart"/>
      <w:r w:rsidRPr="00337780">
        <w:rPr>
          <w:rFonts w:asciiTheme="majorBidi" w:hAnsiTheme="majorBidi" w:cstheme="majorBidi"/>
        </w:rPr>
        <w:t>Carnevali</w:t>
      </w:r>
      <w:proofErr w:type="spellEnd"/>
      <w:r w:rsidRPr="00337780">
        <w:rPr>
          <w:rFonts w:asciiTheme="majorBidi" w:hAnsiTheme="majorBidi" w:cstheme="majorBidi"/>
        </w:rPr>
        <w:t xml:space="preserve"> A, et al. </w:t>
      </w:r>
      <w:r w:rsidRPr="00337780">
        <w:rPr>
          <w:rFonts w:asciiTheme="majorBidi" w:hAnsiTheme="majorBidi" w:cstheme="majorBidi"/>
          <w:lang w:val="en-US"/>
        </w:rPr>
        <w:t xml:space="preserve">Near-infrared fundus autofluorescence imaging in Best vitelliform macular dystrophy: characteristic patterns in subclinical cases. </w:t>
      </w:r>
      <w:proofErr w:type="spellStart"/>
      <w:r w:rsidRPr="00337780">
        <w:rPr>
          <w:rStyle w:val="Emphasis"/>
          <w:rFonts w:asciiTheme="majorBidi" w:hAnsiTheme="majorBidi" w:cstheme="majorBidi"/>
        </w:rPr>
        <w:t>Retina</w:t>
      </w:r>
      <w:proofErr w:type="spellEnd"/>
      <w:r w:rsidRPr="00337780">
        <w:rPr>
          <w:rStyle w:val="Emphasis"/>
          <w:rFonts w:asciiTheme="majorBidi" w:hAnsiTheme="majorBidi" w:cstheme="majorBidi"/>
        </w:rPr>
        <w:t>.</w:t>
      </w:r>
      <w:r w:rsidRPr="00337780">
        <w:rPr>
          <w:rFonts w:asciiTheme="majorBidi" w:hAnsiTheme="majorBidi" w:cstheme="majorBidi"/>
        </w:rPr>
        <w:t xml:space="preserve"> </w:t>
      </w:r>
      <w:proofErr w:type="gramStart"/>
      <w:r w:rsidRPr="00337780">
        <w:rPr>
          <w:rFonts w:asciiTheme="majorBidi" w:hAnsiTheme="majorBidi" w:cstheme="majorBidi"/>
        </w:rPr>
        <w:t>2014;</w:t>
      </w:r>
      <w:proofErr w:type="gramEnd"/>
      <w:r w:rsidRPr="00337780">
        <w:rPr>
          <w:rFonts w:asciiTheme="majorBidi" w:hAnsiTheme="majorBidi" w:cstheme="majorBidi"/>
        </w:rPr>
        <w:t xml:space="preserve">34(1):120–128. </w:t>
      </w:r>
      <w:proofErr w:type="gramStart"/>
      <w:r w:rsidRPr="00337780">
        <w:rPr>
          <w:rFonts w:asciiTheme="majorBidi" w:hAnsiTheme="majorBidi" w:cstheme="majorBidi"/>
        </w:rPr>
        <w:t>PMID:</w:t>
      </w:r>
      <w:proofErr w:type="gramEnd"/>
      <w:r w:rsidRPr="00337780">
        <w:rPr>
          <w:rFonts w:asciiTheme="majorBidi" w:hAnsiTheme="majorBidi" w:cstheme="majorBidi"/>
        </w:rPr>
        <w:t xml:space="preserve"> 25174897.</w:t>
      </w:r>
    </w:p>
    <w:p w14:paraId="5963CD10" w14:textId="62ECED58" w:rsidR="00337780" w:rsidRPr="00337780" w:rsidRDefault="00084A21" w:rsidP="00337780">
      <w:pPr>
        <w:pStyle w:val="NormalWeb"/>
        <w:numPr>
          <w:ilvl w:val="0"/>
          <w:numId w:val="2"/>
        </w:numPr>
        <w:rPr>
          <w:rFonts w:asciiTheme="majorBidi" w:hAnsiTheme="majorBidi" w:cstheme="majorBidi"/>
        </w:rPr>
      </w:pPr>
      <w:proofErr w:type="spellStart"/>
      <w:r w:rsidRPr="00084A21">
        <w:rPr>
          <w:rFonts w:asciiTheme="majorBidi" w:hAnsiTheme="majorBidi" w:cstheme="majorBidi"/>
          <w:lang w:val="en-US"/>
        </w:rPr>
        <w:t>Schönbach</w:t>
      </w:r>
      <w:proofErr w:type="spellEnd"/>
      <w:r w:rsidRPr="00084A21">
        <w:rPr>
          <w:rFonts w:asciiTheme="majorBidi" w:hAnsiTheme="majorBidi" w:cstheme="majorBidi"/>
          <w:lang w:val="en-US"/>
        </w:rPr>
        <w:t xml:space="preserve">, E. M., &amp; Scholl, H. P. (2017). Fundus Autofluorescence in a Subclinical Case of Best Disease. Retinal Cases and Brief Reports. </w:t>
      </w:r>
      <w:hyperlink r:id="rId14" w:history="1">
        <w:r w:rsidRPr="00FD08D0">
          <w:rPr>
            <w:rStyle w:val="Hyperlink"/>
            <w:rFonts w:asciiTheme="majorBidi" w:hAnsiTheme="majorBidi" w:cstheme="majorBidi"/>
            <w:lang w:val="en-US"/>
          </w:rPr>
          <w:t>https://doi.org/10.1097/ICB.0000000000000390</w:t>
        </w:r>
      </w:hyperlink>
      <w:r>
        <w:rPr>
          <w:rFonts w:asciiTheme="majorBidi" w:hAnsiTheme="majorBidi" w:cstheme="majorBidi"/>
          <w:lang w:val="en-US"/>
        </w:rPr>
        <w:t xml:space="preserve"> </w:t>
      </w:r>
    </w:p>
    <w:p w14:paraId="64BEB487" w14:textId="418B17E4" w:rsidR="00337780" w:rsidRPr="00337780" w:rsidRDefault="007C44C8" w:rsidP="00337780">
      <w:pPr>
        <w:pStyle w:val="NormalWeb"/>
        <w:numPr>
          <w:ilvl w:val="0"/>
          <w:numId w:val="2"/>
        </w:numPr>
        <w:rPr>
          <w:rFonts w:asciiTheme="majorBidi" w:hAnsiTheme="majorBidi" w:cstheme="majorBidi"/>
        </w:rPr>
      </w:pPr>
      <w:r w:rsidRPr="007C44C8">
        <w:rPr>
          <w:rFonts w:asciiTheme="majorBidi" w:hAnsiTheme="majorBidi" w:cstheme="majorBidi"/>
        </w:rPr>
        <w:t xml:space="preserve">Battaglia Parodi, M., Arrigo, A., </w:t>
      </w:r>
      <w:proofErr w:type="spellStart"/>
      <w:r w:rsidRPr="007C44C8">
        <w:rPr>
          <w:rFonts w:asciiTheme="majorBidi" w:hAnsiTheme="majorBidi" w:cstheme="majorBidi"/>
        </w:rPr>
        <w:t>Calamuneri</w:t>
      </w:r>
      <w:proofErr w:type="spellEnd"/>
      <w:r w:rsidRPr="007C44C8">
        <w:rPr>
          <w:rFonts w:asciiTheme="majorBidi" w:hAnsiTheme="majorBidi" w:cstheme="majorBidi"/>
        </w:rPr>
        <w:t xml:space="preserve">, A., </w:t>
      </w:r>
      <w:proofErr w:type="spellStart"/>
      <w:r w:rsidRPr="007C44C8">
        <w:rPr>
          <w:rFonts w:asciiTheme="majorBidi" w:hAnsiTheme="majorBidi" w:cstheme="majorBidi"/>
        </w:rPr>
        <w:t>Iacono</w:t>
      </w:r>
      <w:proofErr w:type="spellEnd"/>
      <w:r w:rsidRPr="007C44C8">
        <w:rPr>
          <w:rFonts w:asciiTheme="majorBidi" w:hAnsiTheme="majorBidi" w:cstheme="majorBidi"/>
        </w:rPr>
        <w:t xml:space="preserve">, P., Del Turco, C., &amp; Bandello, F. (2015). </w:t>
      </w:r>
      <w:proofErr w:type="spellStart"/>
      <w:r w:rsidRPr="007C44C8">
        <w:rPr>
          <w:rFonts w:asciiTheme="majorBidi" w:hAnsiTheme="majorBidi" w:cstheme="majorBidi"/>
        </w:rPr>
        <w:t>Functional</w:t>
      </w:r>
      <w:proofErr w:type="spellEnd"/>
      <w:r w:rsidRPr="007C44C8">
        <w:rPr>
          <w:rFonts w:asciiTheme="majorBidi" w:hAnsiTheme="majorBidi" w:cstheme="majorBidi"/>
        </w:rPr>
        <w:t xml:space="preserve"> </w:t>
      </w:r>
      <w:proofErr w:type="spellStart"/>
      <w:r w:rsidRPr="007C44C8">
        <w:rPr>
          <w:rFonts w:asciiTheme="majorBidi" w:hAnsiTheme="majorBidi" w:cstheme="majorBidi"/>
        </w:rPr>
        <w:t>Assessment</w:t>
      </w:r>
      <w:proofErr w:type="spellEnd"/>
      <w:r w:rsidRPr="007C44C8">
        <w:rPr>
          <w:rFonts w:asciiTheme="majorBidi" w:hAnsiTheme="majorBidi" w:cstheme="majorBidi"/>
        </w:rPr>
        <w:t xml:space="preserve"> of the Fundus </w:t>
      </w:r>
      <w:proofErr w:type="spellStart"/>
      <w:r w:rsidRPr="007C44C8">
        <w:rPr>
          <w:rFonts w:asciiTheme="majorBidi" w:hAnsiTheme="majorBidi" w:cstheme="majorBidi"/>
        </w:rPr>
        <w:t>Autofluorescence</w:t>
      </w:r>
      <w:proofErr w:type="spellEnd"/>
      <w:r w:rsidRPr="007C44C8">
        <w:rPr>
          <w:rFonts w:asciiTheme="majorBidi" w:hAnsiTheme="majorBidi" w:cstheme="majorBidi"/>
        </w:rPr>
        <w:t xml:space="preserve"> Pattern in Best </w:t>
      </w:r>
      <w:proofErr w:type="spellStart"/>
      <w:r w:rsidRPr="007C44C8">
        <w:rPr>
          <w:rFonts w:asciiTheme="majorBidi" w:hAnsiTheme="majorBidi" w:cstheme="majorBidi"/>
        </w:rPr>
        <w:t>Vitelliform</w:t>
      </w:r>
      <w:proofErr w:type="spellEnd"/>
      <w:r w:rsidRPr="007C44C8">
        <w:rPr>
          <w:rFonts w:asciiTheme="majorBidi" w:hAnsiTheme="majorBidi" w:cstheme="majorBidi"/>
        </w:rPr>
        <w:t xml:space="preserve"> </w:t>
      </w:r>
      <w:proofErr w:type="spellStart"/>
      <w:r w:rsidRPr="007C44C8">
        <w:rPr>
          <w:rFonts w:asciiTheme="majorBidi" w:hAnsiTheme="majorBidi" w:cstheme="majorBidi"/>
        </w:rPr>
        <w:t>Macular</w:t>
      </w:r>
      <w:proofErr w:type="spellEnd"/>
      <w:r w:rsidRPr="007C44C8">
        <w:rPr>
          <w:rFonts w:asciiTheme="majorBidi" w:hAnsiTheme="majorBidi" w:cstheme="majorBidi"/>
        </w:rPr>
        <w:t xml:space="preserve"> </w:t>
      </w:r>
      <w:proofErr w:type="spellStart"/>
      <w:r w:rsidRPr="007C44C8">
        <w:rPr>
          <w:rFonts w:asciiTheme="majorBidi" w:hAnsiTheme="majorBidi" w:cstheme="majorBidi"/>
        </w:rPr>
        <w:t>Dystrophy</w:t>
      </w:r>
      <w:proofErr w:type="spellEnd"/>
      <w:r w:rsidRPr="007C44C8">
        <w:rPr>
          <w:rFonts w:asciiTheme="majorBidi" w:hAnsiTheme="majorBidi" w:cstheme="majorBidi"/>
        </w:rPr>
        <w:t xml:space="preserve">. </w:t>
      </w:r>
      <w:proofErr w:type="spellStart"/>
      <w:r w:rsidRPr="007C44C8">
        <w:rPr>
          <w:rFonts w:asciiTheme="majorBidi" w:hAnsiTheme="majorBidi" w:cstheme="majorBidi"/>
        </w:rPr>
        <w:t>Retina</w:t>
      </w:r>
      <w:proofErr w:type="spellEnd"/>
      <w:r w:rsidRPr="007C44C8">
        <w:rPr>
          <w:rFonts w:asciiTheme="majorBidi" w:hAnsiTheme="majorBidi" w:cstheme="majorBidi"/>
        </w:rPr>
        <w:t xml:space="preserve">, 35(4), 737–744. </w:t>
      </w:r>
      <w:hyperlink r:id="rId15" w:history="1">
        <w:r w:rsidRPr="00FD08D0">
          <w:rPr>
            <w:rStyle w:val="Hyperlink"/>
            <w:rFonts w:asciiTheme="majorBidi" w:hAnsiTheme="majorBidi" w:cstheme="majorBidi"/>
          </w:rPr>
          <w:t>https://doi.org/10.1007/s00417-015-3194-9</w:t>
        </w:r>
      </w:hyperlink>
      <w:r>
        <w:rPr>
          <w:rFonts w:asciiTheme="majorBidi" w:hAnsiTheme="majorBidi" w:cstheme="majorBidi"/>
        </w:rPr>
        <w:t xml:space="preserve"> </w:t>
      </w:r>
    </w:p>
    <w:p w14:paraId="03209775" w14:textId="1B996957" w:rsidR="00337780" w:rsidRPr="00337780" w:rsidRDefault="005659E3" w:rsidP="00337780">
      <w:pPr>
        <w:pStyle w:val="NormalWeb"/>
        <w:numPr>
          <w:ilvl w:val="0"/>
          <w:numId w:val="2"/>
        </w:numPr>
        <w:rPr>
          <w:rFonts w:asciiTheme="majorBidi" w:hAnsiTheme="majorBidi" w:cstheme="majorBidi"/>
        </w:rPr>
      </w:pPr>
      <w:proofErr w:type="spellStart"/>
      <w:r w:rsidRPr="005659E3">
        <w:rPr>
          <w:rFonts w:asciiTheme="majorBidi" w:hAnsiTheme="majorBidi" w:cstheme="majorBidi"/>
          <w:lang w:val="en-US"/>
        </w:rPr>
        <w:t>Karaca</w:t>
      </w:r>
      <w:proofErr w:type="spellEnd"/>
      <w:r w:rsidRPr="005659E3">
        <w:rPr>
          <w:rFonts w:asciiTheme="majorBidi" w:hAnsiTheme="majorBidi" w:cstheme="majorBidi"/>
          <w:lang w:val="en-US"/>
        </w:rPr>
        <w:t xml:space="preserve"> </w:t>
      </w:r>
      <w:proofErr w:type="spellStart"/>
      <w:r w:rsidRPr="005659E3">
        <w:rPr>
          <w:rFonts w:asciiTheme="majorBidi" w:hAnsiTheme="majorBidi" w:cstheme="majorBidi"/>
          <w:lang w:val="en-US"/>
        </w:rPr>
        <w:t>Adiyeke</w:t>
      </w:r>
      <w:proofErr w:type="spellEnd"/>
      <w:r w:rsidRPr="005659E3">
        <w:rPr>
          <w:rFonts w:asciiTheme="majorBidi" w:hAnsiTheme="majorBidi" w:cstheme="majorBidi"/>
          <w:lang w:val="en-US"/>
        </w:rPr>
        <w:t xml:space="preserve">, S., &amp; Ture, G. (2022). Choroidal Neovascularization Associated with Best Vitelliform Macular Dystrophy. </w:t>
      </w:r>
      <w:proofErr w:type="spellStart"/>
      <w:r w:rsidRPr="005659E3">
        <w:rPr>
          <w:rFonts w:asciiTheme="majorBidi" w:hAnsiTheme="majorBidi" w:cstheme="majorBidi"/>
          <w:lang w:val="en-US"/>
        </w:rPr>
        <w:t>Beyoglu</w:t>
      </w:r>
      <w:proofErr w:type="spellEnd"/>
      <w:r w:rsidRPr="005659E3">
        <w:rPr>
          <w:rFonts w:asciiTheme="majorBidi" w:hAnsiTheme="majorBidi" w:cstheme="majorBidi"/>
          <w:lang w:val="en-US"/>
        </w:rPr>
        <w:t xml:space="preserve"> Eye Journal, 7(2), 103–108. </w:t>
      </w:r>
      <w:hyperlink r:id="rId16" w:history="1">
        <w:r w:rsidRPr="00FD08D0">
          <w:rPr>
            <w:rStyle w:val="Hyperlink"/>
            <w:rFonts w:asciiTheme="majorBidi" w:hAnsiTheme="majorBidi" w:cstheme="majorBidi"/>
            <w:lang w:val="en-US"/>
          </w:rPr>
          <w:t>https://doi.org/10.14744/bej.2022.54376</w:t>
        </w:r>
      </w:hyperlink>
      <w:r>
        <w:rPr>
          <w:rFonts w:asciiTheme="majorBidi" w:hAnsiTheme="majorBidi" w:cstheme="majorBidi"/>
          <w:lang w:val="en-US"/>
        </w:rPr>
        <w:t xml:space="preserve"> </w:t>
      </w:r>
    </w:p>
    <w:p w14:paraId="145F1303" w14:textId="7EB98827" w:rsidR="00337780" w:rsidRPr="00337780" w:rsidRDefault="005659E3" w:rsidP="00337780">
      <w:pPr>
        <w:pStyle w:val="NormalWeb"/>
        <w:numPr>
          <w:ilvl w:val="0"/>
          <w:numId w:val="2"/>
        </w:numPr>
        <w:rPr>
          <w:rFonts w:asciiTheme="majorBidi" w:hAnsiTheme="majorBidi" w:cstheme="majorBidi"/>
        </w:rPr>
      </w:pPr>
      <w:r w:rsidRPr="005659E3">
        <w:rPr>
          <w:rFonts w:asciiTheme="majorBidi" w:hAnsiTheme="majorBidi" w:cstheme="majorBidi"/>
          <w:lang w:val="en-US"/>
        </w:rPr>
        <w:t xml:space="preserve">Bianco, L., Arrigo, A., </w:t>
      </w:r>
      <w:proofErr w:type="spellStart"/>
      <w:r w:rsidRPr="005659E3">
        <w:rPr>
          <w:rFonts w:asciiTheme="majorBidi" w:hAnsiTheme="majorBidi" w:cstheme="majorBidi"/>
          <w:lang w:val="en-US"/>
        </w:rPr>
        <w:t>Antropoli</w:t>
      </w:r>
      <w:proofErr w:type="spellEnd"/>
      <w:r w:rsidRPr="005659E3">
        <w:rPr>
          <w:rFonts w:asciiTheme="majorBidi" w:hAnsiTheme="majorBidi" w:cstheme="majorBidi"/>
          <w:lang w:val="en-US"/>
        </w:rPr>
        <w:t xml:space="preserve">, A., </w:t>
      </w:r>
      <w:proofErr w:type="spellStart"/>
      <w:r w:rsidRPr="005659E3">
        <w:rPr>
          <w:rFonts w:asciiTheme="majorBidi" w:hAnsiTheme="majorBidi" w:cstheme="majorBidi"/>
          <w:lang w:val="en-US"/>
        </w:rPr>
        <w:t>Berni</w:t>
      </w:r>
      <w:proofErr w:type="spellEnd"/>
      <w:r w:rsidRPr="005659E3">
        <w:rPr>
          <w:rFonts w:asciiTheme="majorBidi" w:hAnsiTheme="majorBidi" w:cstheme="majorBidi"/>
          <w:lang w:val="en-US"/>
        </w:rPr>
        <w:t xml:space="preserve">, A., </w:t>
      </w:r>
      <w:proofErr w:type="spellStart"/>
      <w:r w:rsidRPr="005659E3">
        <w:rPr>
          <w:rFonts w:asciiTheme="majorBidi" w:hAnsiTheme="majorBidi" w:cstheme="majorBidi"/>
          <w:lang w:val="en-US"/>
        </w:rPr>
        <w:t>Saladino</w:t>
      </w:r>
      <w:proofErr w:type="spellEnd"/>
      <w:r w:rsidRPr="005659E3">
        <w:rPr>
          <w:rFonts w:asciiTheme="majorBidi" w:hAnsiTheme="majorBidi" w:cstheme="majorBidi"/>
          <w:lang w:val="en-US"/>
        </w:rPr>
        <w:t xml:space="preserve">, A., </w:t>
      </w:r>
      <w:proofErr w:type="spellStart"/>
      <w:r w:rsidRPr="005659E3">
        <w:rPr>
          <w:rFonts w:asciiTheme="majorBidi" w:hAnsiTheme="majorBidi" w:cstheme="majorBidi"/>
          <w:lang w:val="en-US"/>
        </w:rPr>
        <w:t>Vilela</w:t>
      </w:r>
      <w:proofErr w:type="spellEnd"/>
      <w:r w:rsidRPr="005659E3">
        <w:rPr>
          <w:rFonts w:asciiTheme="majorBidi" w:hAnsiTheme="majorBidi" w:cstheme="majorBidi"/>
          <w:lang w:val="en-US"/>
        </w:rPr>
        <w:t xml:space="preserve">, M. A. P., Mansour, A. M., Bandello, F., &amp; Battaglia </w:t>
      </w:r>
      <w:proofErr w:type="spellStart"/>
      <w:r w:rsidRPr="005659E3">
        <w:rPr>
          <w:rFonts w:asciiTheme="majorBidi" w:hAnsiTheme="majorBidi" w:cstheme="majorBidi"/>
          <w:lang w:val="en-US"/>
        </w:rPr>
        <w:t>Parodi</w:t>
      </w:r>
      <w:proofErr w:type="spellEnd"/>
      <w:r w:rsidRPr="005659E3">
        <w:rPr>
          <w:rFonts w:asciiTheme="majorBidi" w:hAnsiTheme="majorBidi" w:cstheme="majorBidi"/>
          <w:lang w:val="en-US"/>
        </w:rPr>
        <w:t xml:space="preserve">, M. (2024). Multimodal imaging in Best Vitelliform Macular Dystrophy: Literature review and novel insights. European Journal of Ophthalmology, 34(1), 39–51. </w:t>
      </w:r>
      <w:hyperlink r:id="rId17" w:history="1">
        <w:r w:rsidRPr="00FD08D0">
          <w:rPr>
            <w:rStyle w:val="Hyperlink"/>
            <w:rFonts w:asciiTheme="majorBidi" w:hAnsiTheme="majorBidi" w:cstheme="majorBidi"/>
            <w:lang w:val="en-US"/>
          </w:rPr>
          <w:t>https://doi.org/10.1177/11206721231166434</w:t>
        </w:r>
      </w:hyperlink>
      <w:r>
        <w:rPr>
          <w:rFonts w:asciiTheme="majorBidi" w:hAnsiTheme="majorBidi" w:cstheme="majorBidi"/>
          <w:lang w:val="en-US"/>
        </w:rPr>
        <w:t xml:space="preserve"> </w:t>
      </w:r>
    </w:p>
    <w:p w14:paraId="1E6913B7" w14:textId="77777777" w:rsidR="00B9671A" w:rsidRPr="00337780" w:rsidRDefault="00B9671A">
      <w:pPr>
        <w:rPr>
          <w:rFonts w:asciiTheme="majorBidi" w:hAnsiTheme="majorBidi" w:cstheme="majorBidi"/>
        </w:rPr>
      </w:pPr>
    </w:p>
    <w:sectPr w:rsidR="00B9671A" w:rsidRPr="00337780" w:rsidSect="00337780">
      <w:headerReference w:type="even" r:id="rId18"/>
      <w:headerReference w:type="default" r:id="rId19"/>
      <w:footerReference w:type="even" r:id="rId20"/>
      <w:footerReference w:type="default" r:id="rId21"/>
      <w:headerReference w:type="first" r:id="rId22"/>
      <w:footerReference w:type="firs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1AC61" w14:textId="77777777" w:rsidR="007E3215" w:rsidRDefault="007E3215" w:rsidP="00134807">
      <w:pPr>
        <w:spacing w:after="0" w:line="240" w:lineRule="auto"/>
      </w:pPr>
      <w:r>
        <w:separator/>
      </w:r>
    </w:p>
  </w:endnote>
  <w:endnote w:type="continuationSeparator" w:id="0">
    <w:p w14:paraId="430061F6" w14:textId="77777777" w:rsidR="007E3215" w:rsidRDefault="007E3215" w:rsidP="00134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C9A97" w14:textId="77777777" w:rsidR="00134807" w:rsidRDefault="00134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9231E" w14:textId="77777777" w:rsidR="00134807" w:rsidRDefault="001348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7E6D9" w14:textId="77777777" w:rsidR="00134807" w:rsidRDefault="001348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94D3E9" w14:textId="77777777" w:rsidR="007E3215" w:rsidRDefault="007E3215" w:rsidP="00134807">
      <w:pPr>
        <w:spacing w:after="0" w:line="240" w:lineRule="auto"/>
      </w:pPr>
      <w:r>
        <w:separator/>
      </w:r>
    </w:p>
  </w:footnote>
  <w:footnote w:type="continuationSeparator" w:id="0">
    <w:p w14:paraId="7EE963E3" w14:textId="77777777" w:rsidR="007E3215" w:rsidRDefault="007E3215" w:rsidP="00134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BA1B0" w14:textId="1CAAF160" w:rsidR="00134807" w:rsidRDefault="00134807">
    <w:pPr>
      <w:pStyle w:val="Header"/>
    </w:pPr>
    <w:r>
      <w:rPr>
        <w:noProof/>
      </w:rPr>
      <w:pict w14:anchorId="79FA91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431422" o:spid="_x0000_s2050" type="#_x0000_t136" style="position:absolute;margin-left:0;margin-top:0;width:620.7pt;height:117.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CCA4C" w14:textId="08B32015" w:rsidR="00134807" w:rsidRDefault="00134807">
    <w:pPr>
      <w:pStyle w:val="Header"/>
    </w:pPr>
    <w:r>
      <w:rPr>
        <w:noProof/>
      </w:rPr>
      <w:pict w14:anchorId="779776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431423" o:spid="_x0000_s2051" type="#_x0000_t136" style="position:absolute;margin-left:0;margin-top:0;width:620.7pt;height:117.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931A9" w14:textId="15EB2E74" w:rsidR="00134807" w:rsidRDefault="00134807">
    <w:pPr>
      <w:pStyle w:val="Header"/>
    </w:pPr>
    <w:r>
      <w:rPr>
        <w:noProof/>
      </w:rPr>
      <w:pict w14:anchorId="009958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431421" o:spid="_x0000_s2049" type="#_x0000_t136" style="position:absolute;margin-left:0;margin-top:0;width:620.7pt;height:117.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76BC8"/>
    <w:multiLevelType w:val="multilevel"/>
    <w:tmpl w:val="402E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E711A3"/>
    <w:multiLevelType w:val="multilevel"/>
    <w:tmpl w:val="79041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6940EF"/>
    <w:multiLevelType w:val="multilevel"/>
    <w:tmpl w:val="8F263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4C5745"/>
    <w:multiLevelType w:val="multilevel"/>
    <w:tmpl w:val="9AE6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982775"/>
    <w:multiLevelType w:val="multilevel"/>
    <w:tmpl w:val="C058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2D4B5E"/>
    <w:multiLevelType w:val="multilevel"/>
    <w:tmpl w:val="43E0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2C7F67"/>
    <w:multiLevelType w:val="multilevel"/>
    <w:tmpl w:val="D4C88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114135"/>
    <w:multiLevelType w:val="multilevel"/>
    <w:tmpl w:val="B98E1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6D71E15"/>
    <w:multiLevelType w:val="multilevel"/>
    <w:tmpl w:val="8C7A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3"/>
  </w:num>
  <w:num w:numId="4">
    <w:abstractNumId w:val="5"/>
  </w:num>
  <w:num w:numId="5">
    <w:abstractNumId w:val="4"/>
  </w:num>
  <w:num w:numId="6">
    <w:abstractNumId w:val="8"/>
  </w:num>
  <w:num w:numId="7">
    <w:abstractNumId w:val="6"/>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780"/>
    <w:rsid w:val="00084A21"/>
    <w:rsid w:val="00107AD4"/>
    <w:rsid w:val="00134807"/>
    <w:rsid w:val="00337780"/>
    <w:rsid w:val="005659E3"/>
    <w:rsid w:val="0059189F"/>
    <w:rsid w:val="00774524"/>
    <w:rsid w:val="007B244F"/>
    <w:rsid w:val="007B72CA"/>
    <w:rsid w:val="007C44C8"/>
    <w:rsid w:val="007E3215"/>
    <w:rsid w:val="00B9671A"/>
    <w:rsid w:val="00CE3F7E"/>
    <w:rsid w:val="00CF35A7"/>
    <w:rsid w:val="00FA706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BB36C3"/>
  <w15:chartTrackingRefBased/>
  <w15:docId w15:val="{C9E87251-EDCF-4CF9-90A9-51A6AA04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377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Heading2">
    <w:name w:val="heading 2"/>
    <w:basedOn w:val="Normal"/>
    <w:link w:val="Heading2Char"/>
    <w:uiPriority w:val="9"/>
    <w:qFormat/>
    <w:rsid w:val="0033778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Heading3">
    <w:name w:val="heading 3"/>
    <w:basedOn w:val="Normal"/>
    <w:next w:val="Normal"/>
    <w:link w:val="Heading3Char"/>
    <w:uiPriority w:val="9"/>
    <w:semiHidden/>
    <w:unhideWhenUsed/>
    <w:qFormat/>
    <w:rsid w:val="003377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7780"/>
    <w:rPr>
      <w:rFonts w:ascii="Times New Roman" w:eastAsia="Times New Roman" w:hAnsi="Times New Roman" w:cs="Times New Roman"/>
      <w:b/>
      <w:bCs/>
      <w:kern w:val="36"/>
      <w:sz w:val="48"/>
      <w:szCs w:val="48"/>
      <w:lang w:eastAsia="fr-FR"/>
    </w:rPr>
  </w:style>
  <w:style w:type="character" w:customStyle="1" w:styleId="Heading2Char">
    <w:name w:val="Heading 2 Char"/>
    <w:basedOn w:val="DefaultParagraphFont"/>
    <w:link w:val="Heading2"/>
    <w:uiPriority w:val="9"/>
    <w:rsid w:val="00337780"/>
    <w:rPr>
      <w:rFonts w:ascii="Times New Roman" w:eastAsia="Times New Roman" w:hAnsi="Times New Roman" w:cs="Times New Roman"/>
      <w:b/>
      <w:bCs/>
      <w:sz w:val="36"/>
      <w:szCs w:val="36"/>
      <w:lang w:eastAsia="fr-FR"/>
    </w:rPr>
  </w:style>
  <w:style w:type="character" w:styleId="Strong">
    <w:name w:val="Strong"/>
    <w:basedOn w:val="DefaultParagraphFont"/>
    <w:uiPriority w:val="22"/>
    <w:qFormat/>
    <w:rsid w:val="00337780"/>
    <w:rPr>
      <w:b/>
      <w:bCs/>
    </w:rPr>
  </w:style>
  <w:style w:type="paragraph" w:styleId="NormalWeb">
    <w:name w:val="Normal (Web)"/>
    <w:basedOn w:val="Normal"/>
    <w:uiPriority w:val="99"/>
    <w:semiHidden/>
    <w:unhideWhenUsed/>
    <w:rsid w:val="0033778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3Char">
    <w:name w:val="Heading 3 Char"/>
    <w:basedOn w:val="DefaultParagraphFont"/>
    <w:link w:val="Heading3"/>
    <w:uiPriority w:val="9"/>
    <w:semiHidden/>
    <w:rsid w:val="00337780"/>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337780"/>
    <w:rPr>
      <w:i/>
      <w:iCs/>
    </w:rPr>
  </w:style>
  <w:style w:type="character" w:styleId="Hyperlink">
    <w:name w:val="Hyperlink"/>
    <w:basedOn w:val="DefaultParagraphFont"/>
    <w:uiPriority w:val="99"/>
    <w:unhideWhenUsed/>
    <w:rsid w:val="0059189F"/>
    <w:rPr>
      <w:color w:val="0563C1" w:themeColor="hyperlink"/>
      <w:u w:val="single"/>
    </w:rPr>
  </w:style>
  <w:style w:type="character" w:styleId="UnresolvedMention">
    <w:name w:val="Unresolved Mention"/>
    <w:basedOn w:val="DefaultParagraphFont"/>
    <w:uiPriority w:val="99"/>
    <w:semiHidden/>
    <w:unhideWhenUsed/>
    <w:rsid w:val="0059189F"/>
    <w:rPr>
      <w:color w:val="605E5C"/>
      <w:shd w:val="clear" w:color="auto" w:fill="E1DFDD"/>
    </w:rPr>
  </w:style>
  <w:style w:type="paragraph" w:styleId="Header">
    <w:name w:val="header"/>
    <w:basedOn w:val="Normal"/>
    <w:link w:val="HeaderChar"/>
    <w:uiPriority w:val="99"/>
    <w:unhideWhenUsed/>
    <w:rsid w:val="00134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807"/>
  </w:style>
  <w:style w:type="paragraph" w:styleId="Footer">
    <w:name w:val="footer"/>
    <w:basedOn w:val="Normal"/>
    <w:link w:val="FooterChar"/>
    <w:uiPriority w:val="99"/>
    <w:unhideWhenUsed/>
    <w:rsid w:val="00134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8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177692">
      <w:bodyDiv w:val="1"/>
      <w:marLeft w:val="0"/>
      <w:marRight w:val="0"/>
      <w:marTop w:val="0"/>
      <w:marBottom w:val="0"/>
      <w:divBdr>
        <w:top w:val="none" w:sz="0" w:space="0" w:color="auto"/>
        <w:left w:val="none" w:sz="0" w:space="0" w:color="auto"/>
        <w:bottom w:val="none" w:sz="0" w:space="0" w:color="auto"/>
        <w:right w:val="none" w:sz="0" w:space="0" w:color="auto"/>
      </w:divBdr>
    </w:div>
    <w:div w:id="441848863">
      <w:bodyDiv w:val="1"/>
      <w:marLeft w:val="0"/>
      <w:marRight w:val="0"/>
      <w:marTop w:val="0"/>
      <w:marBottom w:val="0"/>
      <w:divBdr>
        <w:top w:val="none" w:sz="0" w:space="0" w:color="auto"/>
        <w:left w:val="none" w:sz="0" w:space="0" w:color="auto"/>
        <w:bottom w:val="none" w:sz="0" w:space="0" w:color="auto"/>
        <w:right w:val="none" w:sz="0" w:space="0" w:color="auto"/>
      </w:divBdr>
    </w:div>
    <w:div w:id="1026559958">
      <w:bodyDiv w:val="1"/>
      <w:marLeft w:val="0"/>
      <w:marRight w:val="0"/>
      <w:marTop w:val="0"/>
      <w:marBottom w:val="0"/>
      <w:divBdr>
        <w:top w:val="none" w:sz="0" w:space="0" w:color="auto"/>
        <w:left w:val="none" w:sz="0" w:space="0" w:color="auto"/>
        <w:bottom w:val="none" w:sz="0" w:space="0" w:color="auto"/>
        <w:right w:val="none" w:sz="0" w:space="0" w:color="auto"/>
      </w:divBdr>
    </w:div>
    <w:div w:id="121570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177/11206721231166434"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s://doi.org/10.1136/bjophthalmol-2020-317635" TargetMode="External"/><Relationship Id="rId17" Type="http://schemas.openxmlformats.org/officeDocument/2006/relationships/hyperlink" Target="https://doi.org/10.1177/11206721231166434"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4744/bej.2022.54376"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1/archopht.1982.01030040086016"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07/s00417-015-3194-9" TargetMode="External"/><Relationship Id="rId23" Type="http://schemas.openxmlformats.org/officeDocument/2006/relationships/footer" Target="footer3.xml"/><Relationship Id="rId10" Type="http://schemas.openxmlformats.org/officeDocument/2006/relationships/hyperlink" Target="https://doi.org/10.3109/13816819609057112"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97/ICB.0000000000000390" TargetMode="External"/><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1936</Words>
  <Characters>11039</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SDI 1084</cp:lastModifiedBy>
  <cp:revision>9</cp:revision>
  <dcterms:created xsi:type="dcterms:W3CDTF">2025-12-23T20:04:00Z</dcterms:created>
  <dcterms:modified xsi:type="dcterms:W3CDTF">2025-12-24T09:36:00Z</dcterms:modified>
</cp:coreProperties>
</file>