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F75B9" w14:textId="77777777" w:rsidR="00E242E3" w:rsidRDefault="00E242E3" w:rsidP="008F6AFD">
      <w:pPr>
        <w:jc w:val="center"/>
        <w:rPr>
          <w:rFonts w:ascii="Arial" w:hAnsi="Arial" w:cs="Arial"/>
          <w:bCs/>
          <w:iCs/>
          <w:kern w:val="28"/>
          <w:sz w:val="36"/>
        </w:rPr>
      </w:pPr>
      <w:r w:rsidRPr="00E242E3">
        <w:rPr>
          <w:rFonts w:ascii="Arial" w:hAnsi="Arial" w:cs="Arial"/>
          <w:bCs/>
          <w:iCs/>
          <w:kern w:val="28"/>
          <w:sz w:val="36"/>
        </w:rPr>
        <w:t xml:space="preserve">Case report </w:t>
      </w:r>
    </w:p>
    <w:p w14:paraId="1C45B06A" w14:textId="77777777" w:rsidR="00E242E3" w:rsidRDefault="00E242E3" w:rsidP="008F6AFD">
      <w:pPr>
        <w:jc w:val="center"/>
        <w:rPr>
          <w:rFonts w:ascii="Arial" w:hAnsi="Arial" w:cs="Arial"/>
          <w:bCs/>
          <w:iCs/>
          <w:kern w:val="28"/>
          <w:sz w:val="36"/>
        </w:rPr>
      </w:pPr>
    </w:p>
    <w:p w14:paraId="7D113120" w14:textId="48F28E30" w:rsidR="008F6AFD" w:rsidRPr="00142A8D" w:rsidRDefault="008F6AFD" w:rsidP="008F6AFD">
      <w:pPr>
        <w:jc w:val="center"/>
        <w:rPr>
          <w:rFonts w:asciiTheme="majorBidi" w:hAnsiTheme="majorBidi" w:cstheme="majorBidi"/>
          <w:b/>
          <w:bCs/>
          <w:sz w:val="30"/>
          <w:szCs w:val="30"/>
        </w:rPr>
      </w:pPr>
      <w:r w:rsidRPr="008F6AFD">
        <w:rPr>
          <w:rFonts w:ascii="Arial" w:hAnsi="Arial" w:cs="Arial"/>
          <w:bCs/>
          <w:iCs/>
          <w:kern w:val="28"/>
          <w:sz w:val="36"/>
        </w:rPr>
        <w:t xml:space="preserve">Scleral </w:t>
      </w:r>
      <w:proofErr w:type="gramStart"/>
      <w:r w:rsidRPr="008F6AFD">
        <w:rPr>
          <w:rFonts w:ascii="Arial" w:hAnsi="Arial" w:cs="Arial"/>
          <w:bCs/>
          <w:iCs/>
          <w:kern w:val="28"/>
          <w:sz w:val="36"/>
        </w:rPr>
        <w:t>Dellen :</w:t>
      </w:r>
      <w:proofErr w:type="gramEnd"/>
      <w:r w:rsidRPr="008F6AFD">
        <w:rPr>
          <w:rFonts w:ascii="Arial" w:hAnsi="Arial" w:cs="Arial"/>
          <w:bCs/>
          <w:iCs/>
          <w:kern w:val="28"/>
          <w:sz w:val="36"/>
        </w:rPr>
        <w:t xml:space="preserve"> A Rare Complication Following Pterygium Surgery Case Series and Literature Review</w:t>
      </w:r>
    </w:p>
    <w:p w14:paraId="322E0DF9" w14:textId="17969994" w:rsidR="00A258C3" w:rsidRPr="00790ADA" w:rsidRDefault="00A258C3" w:rsidP="008F6AFD">
      <w:pPr>
        <w:pStyle w:val="Author"/>
        <w:spacing w:line="240" w:lineRule="auto"/>
        <w:rPr>
          <w:rFonts w:ascii="Arial" w:hAnsi="Arial" w:cs="Arial"/>
          <w:sz w:val="36"/>
        </w:rPr>
      </w:pPr>
    </w:p>
    <w:p w14:paraId="4F8EA69F" w14:textId="77777777" w:rsidR="00790ADA" w:rsidRDefault="00790ADA" w:rsidP="00441B6F">
      <w:pPr>
        <w:pStyle w:val="Affiliation"/>
        <w:spacing w:after="0" w:line="240" w:lineRule="auto"/>
        <w:jc w:val="both"/>
        <w:rPr>
          <w:rFonts w:ascii="Arial" w:hAnsi="Arial" w:cs="Arial"/>
        </w:rPr>
      </w:pPr>
    </w:p>
    <w:p w14:paraId="2E9B00D9" w14:textId="77777777" w:rsidR="002C57D2" w:rsidRPr="00FB3A86" w:rsidRDefault="002C57D2" w:rsidP="00441B6F">
      <w:pPr>
        <w:pStyle w:val="Affiliation"/>
        <w:spacing w:after="0" w:line="240" w:lineRule="auto"/>
        <w:jc w:val="both"/>
        <w:rPr>
          <w:rFonts w:ascii="Arial" w:hAnsi="Arial" w:cs="Arial"/>
        </w:rPr>
      </w:pPr>
    </w:p>
    <w:p w14:paraId="0B7C4B91" w14:textId="77777777" w:rsidR="00B01FCD" w:rsidRPr="00FB3A86" w:rsidRDefault="003221BA" w:rsidP="00441B6F">
      <w:pPr>
        <w:pStyle w:val="Copyright"/>
        <w:spacing w:after="0" w:line="240" w:lineRule="auto"/>
        <w:jc w:val="both"/>
        <w:rPr>
          <w:rFonts w:ascii="Arial" w:hAnsi="Arial" w:cs="Arial"/>
        </w:rPr>
        <w:sectPr w:rsidR="00B01FCD" w:rsidRPr="00FB3A86" w:rsidSect="00E16C4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D2E503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A6BBF23" w14:textId="48A4928F" w:rsidR="00B01FCD" w:rsidRDefault="00B01FCD" w:rsidP="00441B6F">
      <w:pPr>
        <w:pStyle w:val="AbstHead"/>
        <w:spacing w:after="0"/>
        <w:jc w:val="both"/>
        <w:rPr>
          <w:rFonts w:ascii="Arial" w:hAnsi="Arial" w:cs="Arial"/>
        </w:rPr>
      </w:pPr>
      <w:r w:rsidRPr="00FB3A86">
        <w:rPr>
          <w:rFonts w:ascii="Arial" w:hAnsi="Arial" w:cs="Arial"/>
        </w:rPr>
        <w:t>ABSTRACT</w:t>
      </w:r>
    </w:p>
    <w:p w14:paraId="529063C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7731698" w14:textId="77777777" w:rsidTr="001E44FE">
        <w:tc>
          <w:tcPr>
            <w:tcW w:w="9576" w:type="dxa"/>
            <w:shd w:val="clear" w:color="auto" w:fill="F2F2F2"/>
          </w:tcPr>
          <w:p w14:paraId="578BCCDB" w14:textId="5000CE57" w:rsidR="008F6AFD" w:rsidRPr="003764E1" w:rsidRDefault="008F6AFD" w:rsidP="008F6AFD">
            <w:pPr>
              <w:rPr>
                <w:rFonts w:ascii="Arial" w:eastAsia="Calibri" w:hAnsi="Arial" w:cs="Arial"/>
                <w:szCs w:val="22"/>
              </w:rPr>
            </w:pPr>
            <w:r w:rsidRPr="003764E1">
              <w:rPr>
                <w:rFonts w:ascii="Arial" w:eastAsia="Calibri" w:hAnsi="Arial" w:cs="Arial"/>
                <w:szCs w:val="22"/>
              </w:rPr>
              <w:t xml:space="preserve">Scleral </w:t>
            </w:r>
            <w:proofErr w:type="spellStart"/>
            <w:r w:rsidRPr="003764E1">
              <w:rPr>
                <w:rFonts w:ascii="Arial" w:eastAsia="Calibri" w:hAnsi="Arial" w:cs="Arial"/>
                <w:szCs w:val="22"/>
              </w:rPr>
              <w:t>dellen</w:t>
            </w:r>
            <w:proofErr w:type="spellEnd"/>
            <w:r w:rsidRPr="003764E1">
              <w:rPr>
                <w:rFonts w:ascii="Arial" w:eastAsia="Calibri" w:hAnsi="Arial" w:cs="Arial"/>
                <w:szCs w:val="22"/>
              </w:rPr>
              <w:t xml:space="preserve"> is a rare, non-infectious complication following pterygium excision, arising from focal scleral dehydration and tear film instability. </w:t>
            </w:r>
          </w:p>
          <w:p w14:paraId="66994392" w14:textId="77777777" w:rsidR="008F6AFD" w:rsidRPr="003764E1" w:rsidRDefault="008F6AFD" w:rsidP="008F6AFD">
            <w:pPr>
              <w:rPr>
                <w:rFonts w:ascii="Arial" w:eastAsia="Calibri" w:hAnsi="Arial" w:cs="Arial"/>
                <w:szCs w:val="22"/>
              </w:rPr>
            </w:pPr>
          </w:p>
          <w:p w14:paraId="293EE49F" w14:textId="43474A6C" w:rsidR="008F6AFD" w:rsidRPr="003764E1" w:rsidRDefault="008F6AFD" w:rsidP="008F6AFD">
            <w:pPr>
              <w:rPr>
                <w:rFonts w:ascii="Arial" w:eastAsia="Calibri" w:hAnsi="Arial" w:cs="Arial"/>
                <w:szCs w:val="22"/>
              </w:rPr>
            </w:pPr>
            <w:r w:rsidRPr="003764E1">
              <w:rPr>
                <w:rFonts w:ascii="Arial" w:eastAsia="Calibri" w:hAnsi="Arial" w:cs="Arial"/>
                <w:szCs w:val="22"/>
              </w:rPr>
              <w:t xml:space="preserve">We report four male patients (38–65 years) who developed scleral </w:t>
            </w:r>
            <w:proofErr w:type="spellStart"/>
            <w:r w:rsidRPr="003764E1">
              <w:rPr>
                <w:rFonts w:ascii="Arial" w:eastAsia="Calibri" w:hAnsi="Arial" w:cs="Arial"/>
                <w:szCs w:val="22"/>
              </w:rPr>
              <w:t>dellen</w:t>
            </w:r>
            <w:proofErr w:type="spellEnd"/>
            <w:r w:rsidRPr="003764E1">
              <w:rPr>
                <w:rFonts w:ascii="Arial" w:eastAsia="Calibri" w:hAnsi="Arial" w:cs="Arial"/>
                <w:szCs w:val="22"/>
              </w:rPr>
              <w:t xml:space="preserve"> within 5–16 days after conjunctival autograft surgery performed without mitomycin c. All presented localized scleral thinning without systemic disease. Three cases resolved with intensive topical </w:t>
            </w:r>
            <w:proofErr w:type="gramStart"/>
            <w:r w:rsidRPr="003764E1">
              <w:rPr>
                <w:rFonts w:ascii="Arial" w:eastAsia="Calibri" w:hAnsi="Arial" w:cs="Arial"/>
                <w:szCs w:val="22"/>
              </w:rPr>
              <w:t>therapy :</w:t>
            </w:r>
            <w:proofErr w:type="gramEnd"/>
            <w:r w:rsidRPr="003764E1">
              <w:rPr>
                <w:rFonts w:ascii="Arial" w:eastAsia="Calibri" w:hAnsi="Arial" w:cs="Arial"/>
                <w:szCs w:val="22"/>
              </w:rPr>
              <w:t xml:space="preserve"> preservative-free lubricants, antibiotics, autologous serum (30%), and eye patching ; while one required amniotic membrane transplantation. Complete recovery occurred within four weeks.</w:t>
            </w:r>
          </w:p>
          <w:p w14:paraId="2E448AA7" w14:textId="77777777" w:rsidR="008F6AFD" w:rsidRPr="003764E1" w:rsidRDefault="008F6AFD" w:rsidP="008F6AFD">
            <w:pPr>
              <w:rPr>
                <w:rFonts w:ascii="Arial" w:eastAsia="Calibri" w:hAnsi="Arial" w:cs="Arial"/>
                <w:szCs w:val="22"/>
              </w:rPr>
            </w:pPr>
          </w:p>
          <w:p w14:paraId="6CD57349" w14:textId="65E1A868" w:rsidR="008F6AFD" w:rsidRPr="003764E1" w:rsidRDefault="00121C81" w:rsidP="008F6AFD">
            <w:pPr>
              <w:rPr>
                <w:rFonts w:ascii="Arial" w:eastAsia="Calibri" w:hAnsi="Arial" w:cs="Arial"/>
                <w:szCs w:val="22"/>
              </w:rPr>
            </w:pPr>
            <w:r>
              <w:rPr>
                <w:rFonts w:ascii="Arial" w:eastAsia="Calibri" w:hAnsi="Arial" w:cs="Arial"/>
                <w:szCs w:val="22"/>
              </w:rPr>
              <w:t>E</w:t>
            </w:r>
            <w:r w:rsidR="008F6AFD" w:rsidRPr="003764E1">
              <w:rPr>
                <w:rFonts w:ascii="Arial" w:eastAsia="Calibri" w:hAnsi="Arial" w:cs="Arial"/>
                <w:szCs w:val="22"/>
              </w:rPr>
              <w:t>arly recognition, meticulous graft coverage, cautious cautery, and prompt postoperative lubrication are key to preventing this rare complication.</w:t>
            </w:r>
          </w:p>
          <w:p w14:paraId="70556791" w14:textId="6A8DA8A6" w:rsidR="00505F06" w:rsidRPr="00BA1B01" w:rsidRDefault="00505F06" w:rsidP="00441B6F">
            <w:pPr>
              <w:pStyle w:val="Body"/>
              <w:spacing w:after="0"/>
              <w:rPr>
                <w:rFonts w:ascii="Arial" w:eastAsia="Calibri" w:hAnsi="Arial" w:cs="Arial"/>
                <w:szCs w:val="22"/>
              </w:rPr>
            </w:pPr>
          </w:p>
        </w:tc>
      </w:tr>
    </w:tbl>
    <w:p w14:paraId="353694DE" w14:textId="77777777" w:rsidR="00636EB2" w:rsidRDefault="00636EB2" w:rsidP="00441B6F">
      <w:pPr>
        <w:pStyle w:val="Body"/>
        <w:spacing w:after="0"/>
        <w:rPr>
          <w:rFonts w:ascii="Arial" w:hAnsi="Arial" w:cs="Arial"/>
          <w:i/>
        </w:rPr>
      </w:pPr>
    </w:p>
    <w:p w14:paraId="0290682F" w14:textId="07D561F7" w:rsidR="008F6AFD" w:rsidRPr="00142A8D" w:rsidRDefault="00A24E7E" w:rsidP="008F6AFD">
      <w:pPr>
        <w:rPr>
          <w:rFonts w:asciiTheme="majorBidi" w:hAnsiTheme="majorBidi" w:cstheme="majorBidi"/>
        </w:rPr>
      </w:pPr>
      <w:r>
        <w:rPr>
          <w:rFonts w:ascii="Arial" w:hAnsi="Arial" w:cs="Arial"/>
          <w:i/>
        </w:rPr>
        <w:t xml:space="preserve">Keywords: </w:t>
      </w:r>
      <w:r w:rsidR="008F6AFD" w:rsidRPr="008F6AFD">
        <w:rPr>
          <w:rFonts w:asciiTheme="minorBidi" w:hAnsiTheme="minorBidi" w:cstheme="minorBidi"/>
          <w:i/>
          <w:iCs/>
        </w:rPr>
        <w:t xml:space="preserve">Scleral </w:t>
      </w:r>
      <w:proofErr w:type="spellStart"/>
      <w:r w:rsidR="008F6AFD" w:rsidRPr="008F6AFD">
        <w:rPr>
          <w:rFonts w:asciiTheme="minorBidi" w:hAnsiTheme="minorBidi" w:cstheme="minorBidi"/>
          <w:i/>
          <w:iCs/>
        </w:rPr>
        <w:t>dellen</w:t>
      </w:r>
      <w:proofErr w:type="spellEnd"/>
      <w:r w:rsidR="008F6AFD" w:rsidRPr="008F6AFD">
        <w:rPr>
          <w:rFonts w:asciiTheme="minorBidi" w:hAnsiTheme="minorBidi" w:cstheme="minorBidi"/>
          <w:i/>
          <w:iCs/>
        </w:rPr>
        <w:t>, Pterygium surgery, Ocular surface complications, Conjunctival autograft, Amniotic membrane transplantation, Autologous serum eye drops.</w:t>
      </w:r>
    </w:p>
    <w:p w14:paraId="09F9E5B7" w14:textId="78F971A4" w:rsidR="00A24E7E" w:rsidRDefault="00A24E7E" w:rsidP="00441B6F">
      <w:pPr>
        <w:pStyle w:val="Body"/>
        <w:spacing w:after="0"/>
        <w:rPr>
          <w:rFonts w:ascii="Arial" w:hAnsi="Arial" w:cs="Arial"/>
          <w:i/>
        </w:rPr>
      </w:pPr>
    </w:p>
    <w:p w14:paraId="52EE4185" w14:textId="77777777" w:rsidR="00790ADA" w:rsidRDefault="00790ADA" w:rsidP="00441B6F">
      <w:pPr>
        <w:pStyle w:val="Body"/>
        <w:spacing w:after="0"/>
        <w:rPr>
          <w:rFonts w:ascii="Arial" w:hAnsi="Arial" w:cs="Arial"/>
          <w:i/>
        </w:rPr>
      </w:pPr>
    </w:p>
    <w:p w14:paraId="329AAE9E" w14:textId="0841B570" w:rsidR="00B52896" w:rsidRDefault="00B52896" w:rsidP="008F6AFD">
      <w:pPr>
        <w:pStyle w:val="Body"/>
        <w:spacing w:after="0"/>
        <w:rPr>
          <w:rFonts w:ascii="Arial" w:hAnsi="Arial" w:cs="Arial"/>
          <w:b/>
          <w:i/>
          <w:sz w:val="18"/>
        </w:rPr>
      </w:pPr>
    </w:p>
    <w:p w14:paraId="1DF4ABEC" w14:textId="77777777" w:rsidR="008F6AFD" w:rsidRDefault="008F6AFD" w:rsidP="008F6AFD">
      <w:pPr>
        <w:pStyle w:val="Body"/>
        <w:spacing w:after="0"/>
        <w:rPr>
          <w:rFonts w:ascii="Arial" w:hAnsi="Arial" w:cs="Arial"/>
          <w:b/>
          <w:i/>
          <w:sz w:val="18"/>
        </w:rPr>
      </w:pPr>
    </w:p>
    <w:p w14:paraId="7DF43D35" w14:textId="77777777" w:rsidR="008F6AFD" w:rsidRDefault="008F6AFD" w:rsidP="008F6AFD">
      <w:pPr>
        <w:pStyle w:val="Body"/>
        <w:spacing w:after="0"/>
        <w:rPr>
          <w:rFonts w:ascii="Arial" w:hAnsi="Arial" w:cs="Arial"/>
          <w:b/>
          <w:i/>
          <w:sz w:val="18"/>
        </w:rPr>
      </w:pPr>
    </w:p>
    <w:p w14:paraId="3D6EAAB9" w14:textId="77777777" w:rsidR="008F6AFD" w:rsidRDefault="008F6AFD" w:rsidP="00441B6F">
      <w:pPr>
        <w:pStyle w:val="Body"/>
        <w:spacing w:after="0"/>
        <w:rPr>
          <w:rFonts w:ascii="Arial" w:hAnsi="Arial" w:cs="Arial"/>
          <w:i/>
        </w:rPr>
      </w:pPr>
    </w:p>
    <w:p w14:paraId="42A59247" w14:textId="77777777" w:rsidR="008F6AFD" w:rsidRDefault="008F6AFD" w:rsidP="00441B6F">
      <w:pPr>
        <w:pStyle w:val="Body"/>
        <w:spacing w:after="0"/>
        <w:rPr>
          <w:rFonts w:ascii="Arial" w:hAnsi="Arial" w:cs="Arial"/>
          <w:i/>
        </w:rPr>
      </w:pPr>
    </w:p>
    <w:p w14:paraId="26AF8AAF" w14:textId="77777777" w:rsidR="003764E1" w:rsidRPr="00A24E7E" w:rsidRDefault="003764E1" w:rsidP="00441B6F">
      <w:pPr>
        <w:pStyle w:val="Body"/>
        <w:spacing w:after="0"/>
        <w:rPr>
          <w:rFonts w:ascii="Arial" w:hAnsi="Arial" w:cs="Arial"/>
          <w:i/>
        </w:rPr>
      </w:pPr>
    </w:p>
    <w:p w14:paraId="2776605B" w14:textId="7EAB0E49" w:rsidR="007F7B32" w:rsidRDefault="00902823" w:rsidP="003764E1">
      <w:pPr>
        <w:pStyle w:val="AbstHead"/>
        <w:spacing w:after="0"/>
        <w:jc w:val="both"/>
        <w:rPr>
          <w:rFonts w:ascii="Arial" w:hAnsi="Arial" w:cs="Arial"/>
        </w:rPr>
      </w:pPr>
      <w:r>
        <w:rPr>
          <w:rFonts w:ascii="Arial" w:hAnsi="Arial" w:cs="Arial"/>
        </w:rPr>
        <w:t xml:space="preserve">1. </w:t>
      </w:r>
      <w:proofErr w:type="gramStart"/>
      <w:r w:rsidR="00B01FCD" w:rsidRPr="00FB3A86">
        <w:rPr>
          <w:rFonts w:ascii="Arial" w:hAnsi="Arial" w:cs="Arial"/>
        </w:rPr>
        <w:t>INTRODUCTION</w:t>
      </w:r>
      <w:r w:rsidR="007F7B32">
        <w:rPr>
          <w:rFonts w:ascii="Arial" w:hAnsi="Arial" w:cs="Arial"/>
        </w:rPr>
        <w:t xml:space="preserve"> </w:t>
      </w:r>
      <w:r w:rsidR="003764E1">
        <w:rPr>
          <w:rFonts w:ascii="Arial" w:hAnsi="Arial" w:cs="Arial"/>
        </w:rPr>
        <w:t>:</w:t>
      </w:r>
      <w:proofErr w:type="gramEnd"/>
    </w:p>
    <w:p w14:paraId="035B4659" w14:textId="77777777" w:rsidR="00790ADA" w:rsidRPr="00FB3A86" w:rsidRDefault="00790ADA" w:rsidP="00441B6F">
      <w:pPr>
        <w:pStyle w:val="AbstHead"/>
        <w:spacing w:after="0"/>
        <w:jc w:val="both"/>
        <w:rPr>
          <w:rFonts w:ascii="Arial" w:hAnsi="Arial" w:cs="Arial"/>
        </w:rPr>
      </w:pPr>
    </w:p>
    <w:p w14:paraId="1E7F39C3" w14:textId="64A3E152" w:rsidR="003764E1" w:rsidRPr="003764E1" w:rsidRDefault="003764E1" w:rsidP="003764E1">
      <w:pPr>
        <w:rPr>
          <w:rFonts w:ascii="Arial" w:eastAsia="Calibri" w:hAnsi="Arial" w:cs="Arial"/>
          <w:szCs w:val="22"/>
        </w:rPr>
      </w:pPr>
      <w:r w:rsidRPr="003764E1">
        <w:rPr>
          <w:rFonts w:ascii="Arial" w:eastAsia="Calibri" w:hAnsi="Arial" w:cs="Arial"/>
          <w:szCs w:val="22"/>
        </w:rPr>
        <w:t xml:space="preserve">Pterygium is a common fibrovascular proliferation of the conjunctiva extending onto the cornea, often associated with ultraviolet exposure and chronic ocular irritation. Surgical excision with conjunctival autograft remains the preferred technique to minimize recurrence, and alternatives such as amniotic membrane transplantation or multilayer grafting have been described [1,2].  </w:t>
      </w:r>
    </w:p>
    <w:p w14:paraId="11D7BC38" w14:textId="77777777" w:rsidR="003764E1" w:rsidRPr="003764E1" w:rsidRDefault="003764E1" w:rsidP="003764E1">
      <w:pPr>
        <w:rPr>
          <w:rFonts w:ascii="Arial" w:eastAsia="Calibri" w:hAnsi="Arial" w:cs="Arial"/>
          <w:szCs w:val="22"/>
        </w:rPr>
      </w:pPr>
      <w:r w:rsidRPr="003764E1">
        <w:rPr>
          <w:rFonts w:ascii="Arial" w:eastAsia="Calibri" w:hAnsi="Arial" w:cs="Arial"/>
          <w:szCs w:val="22"/>
        </w:rPr>
        <w:t xml:space="preserve">While most postoperative complications are mild, rare but potentially serious events such as scleral </w:t>
      </w:r>
      <w:proofErr w:type="spellStart"/>
      <w:r w:rsidRPr="003764E1">
        <w:rPr>
          <w:rFonts w:ascii="Arial" w:eastAsia="Calibri" w:hAnsi="Arial" w:cs="Arial"/>
          <w:szCs w:val="22"/>
        </w:rPr>
        <w:t>dellen</w:t>
      </w:r>
      <w:proofErr w:type="spellEnd"/>
      <w:r w:rsidRPr="003764E1">
        <w:rPr>
          <w:rFonts w:ascii="Arial" w:eastAsia="Calibri" w:hAnsi="Arial" w:cs="Arial"/>
          <w:szCs w:val="22"/>
        </w:rPr>
        <w:t xml:space="preserve"> may occur. This entity, characterized by focal scleral thinning due to localized dehydration and tear film instability, typically develops in the early postoperative period and has been reported following various ocular surface procedures [3,4].   </w:t>
      </w:r>
    </w:p>
    <w:p w14:paraId="1C5C63AC" w14:textId="77777777" w:rsidR="003764E1" w:rsidRDefault="003764E1" w:rsidP="003764E1">
      <w:pPr>
        <w:rPr>
          <w:rFonts w:asciiTheme="majorBidi" w:hAnsiTheme="majorBidi" w:cstheme="majorBidi"/>
        </w:rPr>
      </w:pPr>
      <w:r w:rsidRPr="003764E1">
        <w:rPr>
          <w:rFonts w:ascii="Arial" w:eastAsia="Calibri" w:hAnsi="Arial" w:cs="Arial"/>
          <w:szCs w:val="22"/>
        </w:rPr>
        <w:t xml:space="preserve">We present four cases of scleral </w:t>
      </w:r>
      <w:proofErr w:type="spellStart"/>
      <w:r w:rsidRPr="003764E1">
        <w:rPr>
          <w:rFonts w:ascii="Arial" w:eastAsia="Calibri" w:hAnsi="Arial" w:cs="Arial"/>
          <w:szCs w:val="22"/>
        </w:rPr>
        <w:t>dellen</w:t>
      </w:r>
      <w:proofErr w:type="spellEnd"/>
      <w:r w:rsidRPr="003764E1">
        <w:rPr>
          <w:rFonts w:ascii="Arial" w:eastAsia="Calibri" w:hAnsi="Arial" w:cs="Arial"/>
          <w:szCs w:val="22"/>
        </w:rPr>
        <w:t xml:space="preserve"> following primary pterygium surgery, emphasizing risk factors, management strategies, and preventive considerations</w:t>
      </w:r>
      <w:r w:rsidRPr="00142A8D">
        <w:rPr>
          <w:rFonts w:asciiTheme="majorBidi" w:hAnsiTheme="majorBidi" w:cstheme="majorBidi"/>
        </w:rPr>
        <w:t>.</w:t>
      </w:r>
    </w:p>
    <w:p w14:paraId="23A3B6B6" w14:textId="77777777" w:rsidR="003764E1" w:rsidRPr="00142A8D" w:rsidRDefault="003764E1" w:rsidP="003764E1">
      <w:pPr>
        <w:rPr>
          <w:rFonts w:asciiTheme="majorBidi" w:hAnsiTheme="majorBidi" w:cstheme="majorBidi"/>
        </w:rPr>
      </w:pPr>
    </w:p>
    <w:p w14:paraId="322AD022" w14:textId="77777777" w:rsidR="003764E1" w:rsidRPr="008C79FC" w:rsidRDefault="00902823" w:rsidP="003764E1">
      <w:pPr>
        <w:rPr>
          <w:rFonts w:asciiTheme="majorBidi" w:hAnsiTheme="majorBidi" w:cstheme="majorBidi"/>
          <w:b/>
          <w:bCs/>
          <w:sz w:val="28"/>
          <w:szCs w:val="28"/>
        </w:rPr>
      </w:pPr>
      <w:r w:rsidRPr="003764E1">
        <w:rPr>
          <w:rFonts w:ascii="Arial" w:hAnsi="Arial" w:cs="Arial"/>
          <w:b/>
          <w:bCs/>
          <w:sz w:val="22"/>
          <w:szCs w:val="22"/>
        </w:rPr>
        <w:t>2</w:t>
      </w:r>
      <w:r w:rsidRPr="003764E1">
        <w:rPr>
          <w:rFonts w:ascii="Arial" w:hAnsi="Arial" w:cs="Arial"/>
          <w:b/>
          <w:bCs/>
          <w:caps/>
          <w:sz w:val="22"/>
          <w:szCs w:val="22"/>
        </w:rPr>
        <w:t>.</w:t>
      </w:r>
      <w:r w:rsidRPr="003764E1">
        <w:rPr>
          <w:rFonts w:ascii="Arial" w:hAnsi="Arial" w:cs="Arial"/>
          <w:b/>
          <w:caps/>
          <w:sz w:val="24"/>
          <w:szCs w:val="22"/>
        </w:rPr>
        <w:t xml:space="preserve"> </w:t>
      </w:r>
      <w:r w:rsidR="003764E1" w:rsidRPr="003764E1">
        <w:rPr>
          <w:rFonts w:ascii="Arial" w:hAnsi="Arial" w:cs="Arial"/>
          <w:b/>
          <w:caps/>
          <w:sz w:val="22"/>
        </w:rPr>
        <w:t xml:space="preserve">Presentation of </w:t>
      </w:r>
      <w:proofErr w:type="gramStart"/>
      <w:r w:rsidR="003764E1" w:rsidRPr="003764E1">
        <w:rPr>
          <w:rFonts w:ascii="Arial" w:hAnsi="Arial" w:cs="Arial"/>
          <w:b/>
          <w:caps/>
          <w:sz w:val="22"/>
        </w:rPr>
        <w:t>cases :</w:t>
      </w:r>
      <w:proofErr w:type="gramEnd"/>
    </w:p>
    <w:p w14:paraId="7B413318" w14:textId="2F7F7288" w:rsidR="007F7B32" w:rsidRDefault="007F7B32" w:rsidP="003764E1">
      <w:pPr>
        <w:pStyle w:val="Body"/>
        <w:spacing w:after="0"/>
        <w:rPr>
          <w:rFonts w:ascii="Arial" w:hAnsi="Arial" w:cs="Arial"/>
        </w:rPr>
      </w:pPr>
    </w:p>
    <w:p w14:paraId="42D02E6E" w14:textId="0B61C3C3" w:rsidR="003764E1" w:rsidRDefault="003764E1" w:rsidP="003764E1">
      <w:pPr>
        <w:rPr>
          <w:rFonts w:ascii="Arial" w:eastAsia="Calibri" w:hAnsi="Arial" w:cs="Arial"/>
          <w:szCs w:val="22"/>
        </w:rPr>
      </w:pPr>
      <w:r>
        <w:rPr>
          <w:rFonts w:ascii="Arial" w:eastAsia="Calibri" w:hAnsi="Arial" w:cs="Arial"/>
          <w:b/>
          <w:bCs/>
          <w:szCs w:val="22"/>
        </w:rPr>
        <w:t xml:space="preserve">2.1 </w:t>
      </w:r>
      <w:r w:rsidRPr="003764E1">
        <w:rPr>
          <w:rFonts w:ascii="Arial" w:eastAsia="Calibri" w:hAnsi="Arial" w:cs="Arial"/>
          <w:b/>
          <w:bCs/>
          <w:szCs w:val="22"/>
        </w:rPr>
        <w:t>Case 1:</w:t>
      </w:r>
      <w:r w:rsidRPr="008C79FC">
        <w:rPr>
          <w:rFonts w:asciiTheme="majorBidi" w:hAnsiTheme="majorBidi" w:cstheme="majorBidi"/>
        </w:rPr>
        <w:br/>
      </w:r>
      <w:r w:rsidRPr="003764E1">
        <w:rPr>
          <w:rFonts w:ascii="Arial" w:eastAsia="Calibri" w:hAnsi="Arial" w:cs="Arial"/>
          <w:szCs w:val="22"/>
        </w:rPr>
        <w:t xml:space="preserve">A 56-year-old man with no significant medical history underwent pterygium excision of the left eye. The conjunctival autograft was sutured with 7-0 </w:t>
      </w:r>
      <w:proofErr w:type="spellStart"/>
      <w:r w:rsidRPr="003764E1">
        <w:rPr>
          <w:rFonts w:ascii="Arial" w:eastAsia="Calibri" w:hAnsi="Arial" w:cs="Arial"/>
          <w:szCs w:val="22"/>
        </w:rPr>
        <w:t>Vicryl</w:t>
      </w:r>
      <w:proofErr w:type="spellEnd"/>
      <w:r w:rsidRPr="003764E1">
        <w:rPr>
          <w:rFonts w:ascii="Arial" w:eastAsia="Calibri" w:hAnsi="Arial" w:cs="Arial"/>
          <w:szCs w:val="22"/>
        </w:rPr>
        <w:t xml:space="preserve">, leaving a 2 mm bare scleral area. No mitomycin C or cautery was used. Postoperatively, the patient received topical dexamethasone 0.1%–tobramycin 0.3% eight times daily with tapering. The first two postoperative weeks were uneventful. On day 15, slit-lamp examination revealed a brownish nasal scleral thinning surrounded by edematous conjunctiva (Figure 1). </w:t>
      </w:r>
    </w:p>
    <w:p w14:paraId="3BEC6845" w14:textId="77777777" w:rsidR="003764E1" w:rsidRDefault="003764E1" w:rsidP="003764E1">
      <w:pPr>
        <w:rPr>
          <w:rFonts w:ascii="Arial" w:eastAsia="Calibri" w:hAnsi="Arial" w:cs="Arial"/>
          <w:szCs w:val="22"/>
        </w:rPr>
      </w:pPr>
    </w:p>
    <w:p w14:paraId="0F7F484F" w14:textId="403F8312" w:rsidR="003764E1" w:rsidRPr="003764E1" w:rsidRDefault="003764E1" w:rsidP="003764E1">
      <w:pPr>
        <w:jc w:val="center"/>
        <w:rPr>
          <w:rFonts w:ascii="Arial" w:eastAsia="Calibri" w:hAnsi="Arial" w:cs="Arial"/>
          <w:szCs w:val="22"/>
          <w:lang w:val="fr-FR"/>
        </w:rPr>
      </w:pPr>
      <w:r w:rsidRPr="003764E1">
        <w:rPr>
          <w:rFonts w:ascii="Arial" w:eastAsia="Calibri" w:hAnsi="Arial" w:cs="Arial"/>
          <w:noProof/>
          <w:szCs w:val="22"/>
          <w:lang w:val="fr-FR"/>
        </w:rPr>
        <w:drawing>
          <wp:inline distT="0" distB="0" distL="0" distR="0" wp14:anchorId="0DC9BDB4" wp14:editId="4A080652">
            <wp:extent cx="3304134" cy="2493800"/>
            <wp:effectExtent l="0" t="0" r="0" b="0"/>
            <wp:docPr id="1436114734" name="Image 2" descr="Une image contenant yeux, gros plan, organe, Ir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114734" name="Image 2" descr="Une image contenant yeux, gros plan, organe, Iris&#10;&#10;Le contenu généré par l’IA peut êtr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11808" cy="2499592"/>
                    </a:xfrm>
                    <a:prstGeom prst="rect">
                      <a:avLst/>
                    </a:prstGeom>
                    <a:noFill/>
                    <a:ln>
                      <a:noFill/>
                    </a:ln>
                  </pic:spPr>
                </pic:pic>
              </a:graphicData>
            </a:graphic>
          </wp:inline>
        </w:drawing>
      </w:r>
    </w:p>
    <w:p w14:paraId="02623777" w14:textId="77777777" w:rsidR="003764E1" w:rsidRDefault="003764E1" w:rsidP="003764E1">
      <w:pPr>
        <w:rPr>
          <w:rFonts w:ascii="Arial" w:eastAsia="Calibri" w:hAnsi="Arial" w:cs="Arial"/>
          <w:szCs w:val="22"/>
        </w:rPr>
      </w:pPr>
    </w:p>
    <w:p w14:paraId="3907E40D" w14:textId="71F5EBC1" w:rsidR="003764E1" w:rsidRPr="002D3A85" w:rsidRDefault="003764E1" w:rsidP="002D3A85">
      <w:pPr>
        <w:jc w:val="center"/>
        <w:rPr>
          <w:rFonts w:ascii="Arial" w:hAnsi="Arial" w:cs="Arial"/>
          <w:b/>
          <w:bCs/>
          <w:szCs w:val="22"/>
        </w:rPr>
      </w:pPr>
      <w:r w:rsidRPr="002D3A85">
        <w:rPr>
          <w:rFonts w:ascii="Arial" w:hAnsi="Arial" w:cs="Arial"/>
          <w:b/>
          <w:bCs/>
          <w:szCs w:val="22"/>
        </w:rPr>
        <w:t xml:space="preserve">Figure </w:t>
      </w:r>
      <w:proofErr w:type="gramStart"/>
      <w:r w:rsidRPr="002D3A85">
        <w:rPr>
          <w:rFonts w:ascii="Arial" w:hAnsi="Arial" w:cs="Arial"/>
          <w:b/>
          <w:bCs/>
          <w:szCs w:val="22"/>
        </w:rPr>
        <w:t>1 :</w:t>
      </w:r>
      <w:proofErr w:type="gramEnd"/>
      <w:r w:rsidRPr="002D3A85">
        <w:rPr>
          <w:rFonts w:ascii="Arial" w:hAnsi="Arial" w:cs="Arial"/>
          <w:b/>
          <w:bCs/>
          <w:szCs w:val="22"/>
        </w:rPr>
        <w:t xml:space="preserve">  Scleral </w:t>
      </w:r>
      <w:proofErr w:type="spellStart"/>
      <w:r w:rsidRPr="002D3A85">
        <w:rPr>
          <w:rFonts w:ascii="Arial" w:hAnsi="Arial" w:cs="Arial"/>
          <w:b/>
          <w:bCs/>
          <w:szCs w:val="22"/>
        </w:rPr>
        <w:t>dellen</w:t>
      </w:r>
      <w:proofErr w:type="spellEnd"/>
      <w:r w:rsidRPr="002D3A85">
        <w:rPr>
          <w:rFonts w:ascii="Arial" w:hAnsi="Arial" w:cs="Arial"/>
          <w:b/>
          <w:bCs/>
          <w:szCs w:val="22"/>
        </w:rPr>
        <w:t xml:space="preserve"> with focal scleral thinning and brown discoloration at postoperative day 15 (Case 1).</w:t>
      </w:r>
    </w:p>
    <w:p w14:paraId="03B0A912" w14:textId="77777777" w:rsidR="003764E1" w:rsidRDefault="003764E1" w:rsidP="003764E1">
      <w:pPr>
        <w:rPr>
          <w:rFonts w:ascii="Arial" w:eastAsia="Calibri" w:hAnsi="Arial" w:cs="Arial"/>
          <w:szCs w:val="22"/>
        </w:rPr>
      </w:pPr>
    </w:p>
    <w:p w14:paraId="23A19A8B" w14:textId="77777777" w:rsidR="003764E1" w:rsidRDefault="003764E1" w:rsidP="003764E1">
      <w:pPr>
        <w:rPr>
          <w:rFonts w:ascii="Arial" w:eastAsia="Calibri" w:hAnsi="Arial" w:cs="Arial"/>
          <w:szCs w:val="22"/>
        </w:rPr>
      </w:pPr>
      <w:r w:rsidRPr="003764E1">
        <w:rPr>
          <w:rFonts w:ascii="Arial" w:eastAsia="Calibri" w:hAnsi="Arial" w:cs="Arial"/>
          <w:szCs w:val="22"/>
        </w:rPr>
        <w:t>A second autograft with smaller bare sclera was attempted but dislodged on day 3. Conservative management was pursued with preservative-free artificial tears (hourly), topical tobramycin 0.3%, autologous serum 30%, cicatrizing ointment (vitamin A - carbomer gel), and occlusion. Progressive improvement occurred, and complete healing was achieved within four weeks (Figure 2).</w:t>
      </w:r>
    </w:p>
    <w:p w14:paraId="1F11DFD4" w14:textId="77777777" w:rsidR="003764E1" w:rsidRDefault="003764E1" w:rsidP="003764E1">
      <w:pPr>
        <w:rPr>
          <w:rFonts w:ascii="Arial" w:eastAsia="Calibri" w:hAnsi="Arial" w:cs="Arial"/>
          <w:szCs w:val="22"/>
        </w:rPr>
      </w:pPr>
    </w:p>
    <w:p w14:paraId="7B57FB35" w14:textId="77777777" w:rsidR="002D3A85" w:rsidRDefault="002D3A85" w:rsidP="003764E1">
      <w:pPr>
        <w:rPr>
          <w:rFonts w:ascii="Arial" w:eastAsia="Calibri" w:hAnsi="Arial" w:cs="Arial"/>
          <w:szCs w:val="22"/>
        </w:rPr>
      </w:pPr>
    </w:p>
    <w:p w14:paraId="50A53962" w14:textId="77777777" w:rsidR="002D3A85" w:rsidRDefault="002D3A85" w:rsidP="003764E1">
      <w:pPr>
        <w:rPr>
          <w:rFonts w:ascii="Arial" w:eastAsia="Calibri" w:hAnsi="Arial" w:cs="Arial"/>
          <w:szCs w:val="22"/>
        </w:rPr>
      </w:pPr>
    </w:p>
    <w:p w14:paraId="08F9AE92" w14:textId="35EFE76B" w:rsidR="002D3A85" w:rsidRPr="002D3A85" w:rsidRDefault="002D3A85" w:rsidP="002D3A85">
      <w:pPr>
        <w:jc w:val="center"/>
        <w:rPr>
          <w:rFonts w:ascii="Arial" w:eastAsia="Calibri" w:hAnsi="Arial" w:cs="Arial"/>
          <w:szCs w:val="22"/>
          <w:lang w:val="fr-FR"/>
        </w:rPr>
      </w:pPr>
      <w:r w:rsidRPr="002D3A85">
        <w:rPr>
          <w:rFonts w:ascii="Arial" w:eastAsia="Calibri" w:hAnsi="Arial" w:cs="Arial"/>
          <w:noProof/>
          <w:szCs w:val="22"/>
          <w:lang w:val="fr-FR"/>
        </w:rPr>
        <w:lastRenderedPageBreak/>
        <w:drawing>
          <wp:inline distT="0" distB="0" distL="0" distR="0" wp14:anchorId="5376A08A" wp14:editId="17D9D16E">
            <wp:extent cx="3188874" cy="2397095"/>
            <wp:effectExtent l="0" t="0" r="0" b="0"/>
            <wp:docPr id="1372481446" name="Image 4" descr="Une image contenant gros plan, yeux, organe, Ir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81446" name="Image 4" descr="Une image contenant gros plan, yeux, organe, Iris&#10;&#10;Le contenu généré par l’IA peut êtr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91055" cy="2398734"/>
                    </a:xfrm>
                    <a:prstGeom prst="rect">
                      <a:avLst/>
                    </a:prstGeom>
                    <a:noFill/>
                    <a:ln>
                      <a:noFill/>
                    </a:ln>
                  </pic:spPr>
                </pic:pic>
              </a:graphicData>
            </a:graphic>
          </wp:inline>
        </w:drawing>
      </w:r>
    </w:p>
    <w:p w14:paraId="0DCD0491" w14:textId="77777777" w:rsidR="002D3A85" w:rsidRDefault="002D3A85" w:rsidP="003764E1">
      <w:pPr>
        <w:rPr>
          <w:rFonts w:ascii="Arial" w:eastAsia="Calibri" w:hAnsi="Arial" w:cs="Arial"/>
          <w:szCs w:val="22"/>
        </w:rPr>
      </w:pPr>
    </w:p>
    <w:p w14:paraId="61461C59" w14:textId="5D07C2E7" w:rsidR="003764E1" w:rsidRPr="002D3A85" w:rsidRDefault="003764E1" w:rsidP="002D3A85">
      <w:pPr>
        <w:jc w:val="center"/>
        <w:rPr>
          <w:rFonts w:ascii="Arial" w:hAnsi="Arial" w:cs="Arial"/>
          <w:b/>
          <w:bCs/>
          <w:szCs w:val="22"/>
        </w:rPr>
      </w:pPr>
      <w:r w:rsidRPr="002D3A85">
        <w:rPr>
          <w:rFonts w:ascii="Arial" w:hAnsi="Arial" w:cs="Arial"/>
          <w:b/>
          <w:bCs/>
          <w:szCs w:val="22"/>
        </w:rPr>
        <w:t xml:space="preserve">Figure </w:t>
      </w:r>
      <w:proofErr w:type="gramStart"/>
      <w:r w:rsidRPr="002D3A85">
        <w:rPr>
          <w:rFonts w:ascii="Arial" w:hAnsi="Arial" w:cs="Arial"/>
          <w:b/>
          <w:bCs/>
          <w:szCs w:val="22"/>
        </w:rPr>
        <w:t>2 :</w:t>
      </w:r>
      <w:proofErr w:type="gramEnd"/>
      <w:r w:rsidRPr="002D3A85">
        <w:rPr>
          <w:rFonts w:ascii="Arial" w:hAnsi="Arial" w:cs="Arial"/>
          <w:b/>
          <w:bCs/>
          <w:szCs w:val="22"/>
        </w:rPr>
        <w:t xml:space="preserve"> Progressive healing after intensive topical therapy (Case 1, week 3).</w:t>
      </w:r>
    </w:p>
    <w:p w14:paraId="199F5BFC" w14:textId="77777777" w:rsidR="003764E1" w:rsidRPr="003764E1" w:rsidRDefault="003764E1" w:rsidP="003764E1">
      <w:pPr>
        <w:rPr>
          <w:rFonts w:ascii="Arial" w:eastAsia="Calibri" w:hAnsi="Arial" w:cs="Arial"/>
          <w:szCs w:val="22"/>
        </w:rPr>
      </w:pPr>
    </w:p>
    <w:p w14:paraId="17124F86" w14:textId="371B7123" w:rsidR="003764E1" w:rsidRDefault="003764E1" w:rsidP="003764E1">
      <w:pPr>
        <w:rPr>
          <w:rFonts w:ascii="Arial" w:eastAsia="Calibri" w:hAnsi="Arial" w:cs="Arial"/>
          <w:szCs w:val="22"/>
        </w:rPr>
      </w:pPr>
      <w:r w:rsidRPr="003764E1">
        <w:rPr>
          <w:rFonts w:ascii="Arial" w:eastAsia="Calibri" w:hAnsi="Arial" w:cs="Arial"/>
          <w:szCs w:val="22"/>
        </w:rPr>
        <w:t>Systemic work-</w:t>
      </w:r>
      <w:proofErr w:type="gramStart"/>
      <w:r w:rsidRPr="003764E1">
        <w:rPr>
          <w:rFonts w:ascii="Arial" w:eastAsia="Calibri" w:hAnsi="Arial" w:cs="Arial"/>
          <w:szCs w:val="22"/>
        </w:rPr>
        <w:t>up :</w:t>
      </w:r>
      <w:proofErr w:type="gramEnd"/>
      <w:r w:rsidRPr="003764E1">
        <w:rPr>
          <w:rFonts w:ascii="Arial" w:eastAsia="Calibri" w:hAnsi="Arial" w:cs="Arial"/>
          <w:szCs w:val="22"/>
        </w:rPr>
        <w:t xml:space="preserve"> including complete blood count, inflammatory and autoimmune screening, and infectious serologies, was unremarkable.</w:t>
      </w:r>
    </w:p>
    <w:p w14:paraId="643685BE" w14:textId="77777777" w:rsidR="003764E1" w:rsidRPr="003764E1" w:rsidRDefault="003764E1" w:rsidP="003764E1">
      <w:pPr>
        <w:rPr>
          <w:rFonts w:ascii="Arial" w:eastAsia="Calibri" w:hAnsi="Arial" w:cs="Arial"/>
          <w:szCs w:val="22"/>
        </w:rPr>
      </w:pPr>
    </w:p>
    <w:p w14:paraId="348185CC" w14:textId="4816E553" w:rsidR="003764E1" w:rsidRDefault="003764E1" w:rsidP="003764E1">
      <w:pPr>
        <w:rPr>
          <w:rFonts w:ascii="Arial" w:eastAsia="Calibri" w:hAnsi="Arial" w:cs="Arial"/>
          <w:szCs w:val="22"/>
        </w:rPr>
      </w:pPr>
      <w:r>
        <w:rPr>
          <w:rFonts w:ascii="Arial" w:eastAsia="Calibri" w:hAnsi="Arial" w:cs="Arial"/>
          <w:b/>
          <w:bCs/>
          <w:szCs w:val="22"/>
        </w:rPr>
        <w:t xml:space="preserve">2.2 </w:t>
      </w:r>
      <w:r w:rsidRPr="003764E1">
        <w:rPr>
          <w:rFonts w:ascii="Arial" w:eastAsia="Calibri" w:hAnsi="Arial" w:cs="Arial"/>
          <w:b/>
          <w:bCs/>
          <w:szCs w:val="22"/>
        </w:rPr>
        <w:t>Case 2:</w:t>
      </w:r>
      <w:r w:rsidRPr="003764E1">
        <w:rPr>
          <w:rFonts w:ascii="Arial" w:eastAsia="Calibri" w:hAnsi="Arial" w:cs="Arial"/>
          <w:szCs w:val="22"/>
        </w:rPr>
        <w:br/>
        <w:t xml:space="preserve">A 38-year-old man underwent uncomplicated primary pterygium excision with a conjunctival autograft sutured by 7-0 </w:t>
      </w:r>
      <w:proofErr w:type="spellStart"/>
      <w:r w:rsidRPr="003764E1">
        <w:rPr>
          <w:rFonts w:ascii="Arial" w:eastAsia="Calibri" w:hAnsi="Arial" w:cs="Arial"/>
          <w:szCs w:val="22"/>
        </w:rPr>
        <w:t>Vicryl</w:t>
      </w:r>
      <w:proofErr w:type="spellEnd"/>
      <w:r w:rsidRPr="003764E1">
        <w:rPr>
          <w:rFonts w:ascii="Arial" w:eastAsia="Calibri" w:hAnsi="Arial" w:cs="Arial"/>
          <w:szCs w:val="22"/>
        </w:rPr>
        <w:t>, without mitomycin C or cautery. On day 16, he reported ocular pain and noted a dark nasal spot. Examination revealed scleral thinning with visible ciliary body and surrounding conjunctival edema; sutures had loosened. Intensive lubrication, topical antibiotics, and patching were prescribed. Epithelial recovery was noted within one week, and subsequent systemic evaluation was normal.</w:t>
      </w:r>
    </w:p>
    <w:p w14:paraId="468E4239" w14:textId="77777777" w:rsidR="003764E1" w:rsidRPr="003764E1" w:rsidRDefault="003764E1" w:rsidP="003764E1">
      <w:pPr>
        <w:rPr>
          <w:rFonts w:ascii="Arial" w:eastAsia="Calibri" w:hAnsi="Arial" w:cs="Arial"/>
          <w:szCs w:val="22"/>
        </w:rPr>
      </w:pPr>
    </w:p>
    <w:p w14:paraId="19003003" w14:textId="60D954B2" w:rsidR="003764E1" w:rsidRDefault="003764E1" w:rsidP="003764E1">
      <w:pPr>
        <w:rPr>
          <w:rFonts w:ascii="Arial" w:eastAsia="Calibri" w:hAnsi="Arial" w:cs="Arial"/>
          <w:szCs w:val="22"/>
        </w:rPr>
      </w:pPr>
      <w:r>
        <w:rPr>
          <w:rFonts w:ascii="Arial" w:eastAsia="Calibri" w:hAnsi="Arial" w:cs="Arial"/>
          <w:b/>
          <w:bCs/>
          <w:szCs w:val="22"/>
        </w:rPr>
        <w:t xml:space="preserve">2.3 </w:t>
      </w:r>
      <w:r w:rsidRPr="003764E1">
        <w:rPr>
          <w:rFonts w:ascii="Arial" w:eastAsia="Calibri" w:hAnsi="Arial" w:cs="Arial"/>
          <w:b/>
          <w:bCs/>
          <w:szCs w:val="22"/>
        </w:rPr>
        <w:t>Case 3:</w:t>
      </w:r>
      <w:r w:rsidRPr="003764E1">
        <w:rPr>
          <w:rFonts w:ascii="Arial" w:eastAsia="Calibri" w:hAnsi="Arial" w:cs="Arial"/>
          <w:szCs w:val="22"/>
        </w:rPr>
        <w:br/>
        <w:t>A 52-year-old man presented with stinging and redness in the left eye after pterygium surgery that included four perilimbal cauterization points. Postoperative therapy consisted of topical dexamethasone 0.1%–tobramycin 0.3%, unpreserved artificial tears, and healing ointment (vitamin A - carbomer gel</w:t>
      </w:r>
      <w:proofErr w:type="gramStart"/>
      <w:r w:rsidRPr="003764E1">
        <w:rPr>
          <w:rFonts w:ascii="Arial" w:eastAsia="Calibri" w:hAnsi="Arial" w:cs="Arial"/>
          <w:szCs w:val="22"/>
        </w:rPr>
        <w:t>),.</w:t>
      </w:r>
      <w:proofErr w:type="gramEnd"/>
      <w:r w:rsidRPr="003764E1">
        <w:rPr>
          <w:rFonts w:ascii="Arial" w:eastAsia="Calibri" w:hAnsi="Arial" w:cs="Arial"/>
          <w:szCs w:val="22"/>
        </w:rPr>
        <w:t xml:space="preserve"> By day 11, the conjunctival graft had melted, revealing a 4 × 3 mm corneoscleral </w:t>
      </w:r>
      <w:proofErr w:type="spellStart"/>
      <w:r w:rsidRPr="003764E1">
        <w:rPr>
          <w:rFonts w:ascii="Arial" w:eastAsia="Calibri" w:hAnsi="Arial" w:cs="Arial"/>
          <w:szCs w:val="22"/>
        </w:rPr>
        <w:t>dellen</w:t>
      </w:r>
      <w:proofErr w:type="spellEnd"/>
      <w:r w:rsidRPr="003764E1">
        <w:rPr>
          <w:rFonts w:ascii="Arial" w:eastAsia="Calibri" w:hAnsi="Arial" w:cs="Arial"/>
          <w:szCs w:val="22"/>
        </w:rPr>
        <w:t xml:space="preserve"> (Figure 3). </w:t>
      </w:r>
    </w:p>
    <w:p w14:paraId="31E2D210" w14:textId="77777777" w:rsidR="003764E1" w:rsidRDefault="003764E1" w:rsidP="003764E1">
      <w:pPr>
        <w:rPr>
          <w:rFonts w:ascii="Arial" w:eastAsia="Calibri" w:hAnsi="Arial" w:cs="Arial"/>
          <w:szCs w:val="22"/>
        </w:rPr>
      </w:pPr>
    </w:p>
    <w:p w14:paraId="09CDDDBE" w14:textId="77777777" w:rsidR="002D3A85" w:rsidRDefault="002D3A85" w:rsidP="003764E1">
      <w:pPr>
        <w:rPr>
          <w:rFonts w:ascii="Arial" w:eastAsia="Calibri" w:hAnsi="Arial" w:cs="Arial"/>
          <w:szCs w:val="22"/>
        </w:rPr>
      </w:pPr>
    </w:p>
    <w:p w14:paraId="2C3E2793" w14:textId="34E28555" w:rsidR="002D3A85" w:rsidRPr="002D3A85" w:rsidRDefault="002D3A85" w:rsidP="002D3A85">
      <w:pPr>
        <w:jc w:val="center"/>
        <w:rPr>
          <w:rFonts w:ascii="Arial" w:eastAsia="Calibri" w:hAnsi="Arial" w:cs="Arial"/>
          <w:szCs w:val="22"/>
          <w:lang w:val="fr-FR"/>
        </w:rPr>
      </w:pPr>
      <w:r w:rsidRPr="002D3A85">
        <w:rPr>
          <w:rFonts w:ascii="Arial" w:eastAsia="Calibri" w:hAnsi="Arial" w:cs="Arial"/>
          <w:noProof/>
          <w:szCs w:val="22"/>
          <w:lang w:val="fr-FR"/>
        </w:rPr>
        <w:lastRenderedPageBreak/>
        <w:drawing>
          <wp:inline distT="0" distB="0" distL="0" distR="0" wp14:anchorId="572E74A8" wp14:editId="2E2FACAD">
            <wp:extent cx="3219450" cy="2289842"/>
            <wp:effectExtent l="0" t="0" r="0" b="0"/>
            <wp:docPr id="600087315" name="Image 6" descr="Une image contenant yeux, organe, gros plan, Ir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087315" name="Image 6" descr="Une image contenant yeux, organe, gros plan, Iris&#10;&#10;Le contenu généré par l’IA peut êtr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5561" cy="2301301"/>
                    </a:xfrm>
                    <a:prstGeom prst="rect">
                      <a:avLst/>
                    </a:prstGeom>
                    <a:noFill/>
                    <a:ln>
                      <a:noFill/>
                    </a:ln>
                  </pic:spPr>
                </pic:pic>
              </a:graphicData>
            </a:graphic>
          </wp:inline>
        </w:drawing>
      </w:r>
    </w:p>
    <w:p w14:paraId="2258CD1F" w14:textId="77777777" w:rsidR="002D3A85" w:rsidRDefault="002D3A85" w:rsidP="003764E1">
      <w:pPr>
        <w:rPr>
          <w:rFonts w:ascii="Arial" w:eastAsia="Calibri" w:hAnsi="Arial" w:cs="Arial"/>
          <w:szCs w:val="22"/>
        </w:rPr>
      </w:pPr>
    </w:p>
    <w:p w14:paraId="21D22804" w14:textId="0E95C2A4" w:rsidR="003764E1" w:rsidRPr="002D3A85" w:rsidRDefault="003764E1" w:rsidP="002D3A85">
      <w:pPr>
        <w:jc w:val="center"/>
        <w:rPr>
          <w:rFonts w:ascii="Arial" w:hAnsi="Arial" w:cs="Arial"/>
          <w:b/>
          <w:bCs/>
          <w:szCs w:val="22"/>
        </w:rPr>
      </w:pPr>
      <w:r w:rsidRPr="002D3A85">
        <w:rPr>
          <w:rFonts w:ascii="Arial" w:hAnsi="Arial" w:cs="Arial"/>
          <w:b/>
          <w:bCs/>
          <w:szCs w:val="22"/>
        </w:rPr>
        <w:t xml:space="preserve">Figure </w:t>
      </w:r>
      <w:proofErr w:type="gramStart"/>
      <w:r w:rsidRPr="002D3A85">
        <w:rPr>
          <w:rFonts w:ascii="Arial" w:hAnsi="Arial" w:cs="Arial"/>
          <w:b/>
          <w:bCs/>
          <w:szCs w:val="22"/>
        </w:rPr>
        <w:t>3 :</w:t>
      </w:r>
      <w:proofErr w:type="gramEnd"/>
      <w:r w:rsidRPr="002D3A85">
        <w:rPr>
          <w:rFonts w:ascii="Arial" w:hAnsi="Arial" w:cs="Arial"/>
          <w:b/>
          <w:bCs/>
          <w:szCs w:val="22"/>
        </w:rPr>
        <w:t xml:space="preserve">  Corneoscleral </w:t>
      </w:r>
      <w:proofErr w:type="spellStart"/>
      <w:r w:rsidRPr="002D3A85">
        <w:rPr>
          <w:rFonts w:ascii="Arial" w:hAnsi="Arial" w:cs="Arial"/>
          <w:b/>
          <w:bCs/>
          <w:szCs w:val="22"/>
        </w:rPr>
        <w:t>dellen</w:t>
      </w:r>
      <w:proofErr w:type="spellEnd"/>
      <w:r w:rsidRPr="002D3A85">
        <w:rPr>
          <w:rFonts w:ascii="Arial" w:hAnsi="Arial" w:cs="Arial"/>
          <w:b/>
          <w:bCs/>
          <w:szCs w:val="22"/>
        </w:rPr>
        <w:t xml:space="preserve"> with necrotic conjunctival graft (Case 3, day 11).</w:t>
      </w:r>
    </w:p>
    <w:p w14:paraId="5E189C85" w14:textId="77777777" w:rsidR="003764E1" w:rsidRDefault="003764E1" w:rsidP="003764E1">
      <w:pPr>
        <w:rPr>
          <w:rFonts w:ascii="Arial" w:eastAsia="Calibri" w:hAnsi="Arial" w:cs="Arial"/>
          <w:szCs w:val="22"/>
        </w:rPr>
      </w:pPr>
    </w:p>
    <w:p w14:paraId="67F6ACD6" w14:textId="6C35916B" w:rsidR="003764E1" w:rsidRDefault="003764E1" w:rsidP="003764E1">
      <w:pPr>
        <w:rPr>
          <w:rFonts w:ascii="Arial" w:eastAsia="Calibri" w:hAnsi="Arial" w:cs="Arial"/>
          <w:szCs w:val="22"/>
        </w:rPr>
      </w:pPr>
      <w:r w:rsidRPr="003764E1">
        <w:rPr>
          <w:rFonts w:ascii="Arial" w:eastAsia="Calibri" w:hAnsi="Arial" w:cs="Arial"/>
          <w:szCs w:val="22"/>
        </w:rPr>
        <w:t>Necrotic tissue was debrided, and steroids were discontinued. Intensive lubrication and antibiotic therapy were maintained. Because of slow epithelial recovery, 30% autologous serum was initiated hourly on day 15, resulting in rapid healing within one week. The serum was tapered over one month. At six-month follow-up, a mild pterygium recurrence was observed.</w:t>
      </w:r>
    </w:p>
    <w:p w14:paraId="46D59DFE" w14:textId="77777777" w:rsidR="003764E1" w:rsidRDefault="003764E1" w:rsidP="003764E1">
      <w:pPr>
        <w:rPr>
          <w:rFonts w:ascii="Arial" w:eastAsia="Calibri" w:hAnsi="Arial" w:cs="Arial"/>
          <w:szCs w:val="22"/>
        </w:rPr>
      </w:pPr>
    </w:p>
    <w:p w14:paraId="680F6BD7" w14:textId="77777777" w:rsidR="003764E1" w:rsidRPr="003764E1" w:rsidRDefault="003764E1" w:rsidP="003764E1">
      <w:pPr>
        <w:rPr>
          <w:rFonts w:ascii="Arial" w:eastAsia="Calibri" w:hAnsi="Arial" w:cs="Arial"/>
          <w:szCs w:val="22"/>
        </w:rPr>
      </w:pPr>
    </w:p>
    <w:p w14:paraId="7D5183C0" w14:textId="25F9DE3F" w:rsidR="003764E1" w:rsidRDefault="003764E1" w:rsidP="003764E1">
      <w:pPr>
        <w:rPr>
          <w:rFonts w:ascii="Arial" w:eastAsia="Calibri" w:hAnsi="Arial" w:cs="Arial"/>
          <w:szCs w:val="22"/>
        </w:rPr>
      </w:pPr>
      <w:r>
        <w:rPr>
          <w:rFonts w:ascii="Arial" w:eastAsia="Calibri" w:hAnsi="Arial" w:cs="Arial"/>
          <w:b/>
          <w:bCs/>
          <w:szCs w:val="22"/>
        </w:rPr>
        <w:t xml:space="preserve">2.4 </w:t>
      </w:r>
      <w:r w:rsidRPr="003764E1">
        <w:rPr>
          <w:rFonts w:ascii="Arial" w:eastAsia="Calibri" w:hAnsi="Arial" w:cs="Arial"/>
          <w:b/>
          <w:bCs/>
          <w:szCs w:val="22"/>
        </w:rPr>
        <w:t>Case 4:</w:t>
      </w:r>
      <w:r w:rsidRPr="003764E1">
        <w:rPr>
          <w:rFonts w:ascii="Arial" w:eastAsia="Calibri" w:hAnsi="Arial" w:cs="Arial"/>
          <w:szCs w:val="22"/>
        </w:rPr>
        <w:br/>
        <w:t xml:space="preserve">A 65-year-old man underwent grade II nasal pterygium excision under local anesthesia with lidocaine–adrenaline. A conjunctival autograft was secured with 7-0 </w:t>
      </w:r>
      <w:proofErr w:type="spellStart"/>
      <w:r w:rsidRPr="003764E1">
        <w:rPr>
          <w:rFonts w:ascii="Arial" w:eastAsia="Calibri" w:hAnsi="Arial" w:cs="Arial"/>
          <w:szCs w:val="22"/>
        </w:rPr>
        <w:t>Vicryl</w:t>
      </w:r>
      <w:proofErr w:type="spellEnd"/>
      <w:r w:rsidRPr="003764E1">
        <w:rPr>
          <w:rFonts w:ascii="Arial" w:eastAsia="Calibri" w:hAnsi="Arial" w:cs="Arial"/>
          <w:szCs w:val="22"/>
        </w:rPr>
        <w:t xml:space="preserve">; no cautery or mitomycin C was used. Standard postoperative care included topical tobramycin–dexamethasone, unpreserved lubricants, healing ointment, and patching. On day 5, a 2 × 2.5 mm scleral </w:t>
      </w:r>
      <w:proofErr w:type="spellStart"/>
      <w:r w:rsidRPr="003764E1">
        <w:rPr>
          <w:rFonts w:ascii="Arial" w:eastAsia="Calibri" w:hAnsi="Arial" w:cs="Arial"/>
          <w:szCs w:val="22"/>
        </w:rPr>
        <w:t>dellen</w:t>
      </w:r>
      <w:proofErr w:type="spellEnd"/>
      <w:r w:rsidRPr="003764E1">
        <w:rPr>
          <w:rFonts w:ascii="Arial" w:eastAsia="Calibri" w:hAnsi="Arial" w:cs="Arial"/>
          <w:szCs w:val="22"/>
        </w:rPr>
        <w:t xml:space="preserve"> with visible uveal tissue developed. Despite five days of intensive medical therapy with autologous serum 30%, no improvement occurred. Surgical repair using cryopreserved amniotic membrane transplantation (AMT) was performed. The membrane was sutured with 7-0 </w:t>
      </w:r>
      <w:proofErr w:type="spellStart"/>
      <w:r w:rsidRPr="003764E1">
        <w:rPr>
          <w:rFonts w:ascii="Arial" w:eastAsia="Calibri" w:hAnsi="Arial" w:cs="Arial"/>
          <w:szCs w:val="22"/>
        </w:rPr>
        <w:t>Vicryl</w:t>
      </w:r>
      <w:proofErr w:type="spellEnd"/>
      <w:r w:rsidRPr="003764E1">
        <w:rPr>
          <w:rFonts w:ascii="Arial" w:eastAsia="Calibri" w:hAnsi="Arial" w:cs="Arial"/>
          <w:szCs w:val="22"/>
        </w:rPr>
        <w:t xml:space="preserve"> at conjunctival edges, providing complete coverage of the defect. AMT acted as a biologic dressing and source of </w:t>
      </w:r>
      <w:proofErr w:type="spellStart"/>
      <w:r w:rsidRPr="003764E1">
        <w:rPr>
          <w:rFonts w:ascii="Arial" w:eastAsia="Calibri" w:hAnsi="Arial" w:cs="Arial"/>
          <w:szCs w:val="22"/>
        </w:rPr>
        <w:t>epitheliotrophic</w:t>
      </w:r>
      <w:proofErr w:type="spellEnd"/>
      <w:r w:rsidRPr="003764E1">
        <w:rPr>
          <w:rFonts w:ascii="Arial" w:eastAsia="Calibri" w:hAnsi="Arial" w:cs="Arial"/>
          <w:szCs w:val="22"/>
        </w:rPr>
        <w:t xml:space="preserve"> factors. Complete epithelial and stromal healing occurred within four weeks (Figure 4), with full graft integration and no recurrence during follow-up.</w:t>
      </w:r>
    </w:p>
    <w:p w14:paraId="586261D5" w14:textId="77777777" w:rsidR="003764E1" w:rsidRDefault="003764E1" w:rsidP="003764E1">
      <w:pPr>
        <w:rPr>
          <w:rFonts w:asciiTheme="majorBidi" w:hAnsiTheme="majorBidi" w:cstheme="majorBidi"/>
          <w:b/>
          <w:bCs/>
        </w:rPr>
      </w:pPr>
    </w:p>
    <w:p w14:paraId="544AA395" w14:textId="430B004F" w:rsidR="002D3A85" w:rsidRPr="002D3A85" w:rsidRDefault="002D3A85" w:rsidP="002D3A85">
      <w:pPr>
        <w:jc w:val="center"/>
        <w:rPr>
          <w:rFonts w:ascii="Arial" w:eastAsia="Calibri" w:hAnsi="Arial" w:cs="Arial"/>
          <w:szCs w:val="22"/>
          <w:lang w:val="fr-FR"/>
        </w:rPr>
      </w:pPr>
      <w:r w:rsidRPr="002D3A85">
        <w:rPr>
          <w:rFonts w:ascii="Arial" w:eastAsia="Calibri" w:hAnsi="Arial" w:cs="Arial"/>
          <w:noProof/>
          <w:szCs w:val="22"/>
          <w:lang w:val="fr-FR"/>
        </w:rPr>
        <w:drawing>
          <wp:inline distT="0" distB="0" distL="0" distR="0" wp14:anchorId="157C1552" wp14:editId="43021C78">
            <wp:extent cx="4762500" cy="1419225"/>
            <wp:effectExtent l="0" t="0" r="0" b="0"/>
            <wp:docPr id="151232660"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0" cy="1419225"/>
                    </a:xfrm>
                    <a:prstGeom prst="rect">
                      <a:avLst/>
                    </a:prstGeom>
                    <a:noFill/>
                    <a:ln>
                      <a:noFill/>
                    </a:ln>
                  </pic:spPr>
                </pic:pic>
              </a:graphicData>
            </a:graphic>
          </wp:inline>
        </w:drawing>
      </w:r>
    </w:p>
    <w:p w14:paraId="2C350310" w14:textId="77777777" w:rsidR="002D3A85" w:rsidRDefault="002D3A85" w:rsidP="003764E1">
      <w:pPr>
        <w:rPr>
          <w:rFonts w:ascii="Arial" w:eastAsia="Calibri" w:hAnsi="Arial" w:cs="Arial"/>
          <w:szCs w:val="22"/>
        </w:rPr>
      </w:pPr>
    </w:p>
    <w:p w14:paraId="759C7E71" w14:textId="22FF0379" w:rsidR="003764E1" w:rsidRPr="002D3A85" w:rsidRDefault="003764E1" w:rsidP="002D3A85">
      <w:pPr>
        <w:jc w:val="center"/>
        <w:rPr>
          <w:rFonts w:ascii="Arial" w:hAnsi="Arial" w:cs="Arial"/>
          <w:b/>
          <w:bCs/>
          <w:szCs w:val="22"/>
        </w:rPr>
      </w:pPr>
      <w:r w:rsidRPr="002D3A85">
        <w:rPr>
          <w:rFonts w:ascii="Arial" w:hAnsi="Arial" w:cs="Arial"/>
          <w:b/>
          <w:bCs/>
          <w:szCs w:val="22"/>
        </w:rPr>
        <w:t xml:space="preserve">Figure </w:t>
      </w:r>
      <w:proofErr w:type="gramStart"/>
      <w:r w:rsidRPr="002D3A85">
        <w:rPr>
          <w:rFonts w:ascii="Arial" w:hAnsi="Arial" w:cs="Arial"/>
          <w:b/>
          <w:bCs/>
          <w:szCs w:val="22"/>
        </w:rPr>
        <w:t>4 :</w:t>
      </w:r>
      <w:proofErr w:type="gramEnd"/>
      <w:r w:rsidRPr="002D3A85">
        <w:rPr>
          <w:rFonts w:ascii="Arial" w:hAnsi="Arial" w:cs="Arial"/>
          <w:b/>
          <w:bCs/>
          <w:szCs w:val="22"/>
        </w:rPr>
        <w:t xml:space="preserve">  Healed scleral defect following amniotic membrane transplantation (Case 4, postoperative day 10).</w:t>
      </w:r>
    </w:p>
    <w:p w14:paraId="2021DD9E" w14:textId="77777777" w:rsidR="003764E1" w:rsidRPr="003764E1" w:rsidRDefault="003764E1" w:rsidP="003764E1">
      <w:pPr>
        <w:rPr>
          <w:rFonts w:ascii="Arial" w:eastAsia="Calibri" w:hAnsi="Arial" w:cs="Arial"/>
          <w:szCs w:val="22"/>
        </w:rPr>
      </w:pPr>
    </w:p>
    <w:p w14:paraId="3B38602D" w14:textId="77777777" w:rsidR="003764E1" w:rsidRPr="003764E1" w:rsidRDefault="003764E1" w:rsidP="003764E1">
      <w:pPr>
        <w:rPr>
          <w:rFonts w:ascii="Arial" w:eastAsia="Calibri" w:hAnsi="Arial" w:cs="Arial"/>
          <w:szCs w:val="22"/>
        </w:rPr>
      </w:pPr>
      <w:r w:rsidRPr="003764E1">
        <w:rPr>
          <w:rFonts w:ascii="Arial" w:eastAsia="Calibri" w:hAnsi="Arial" w:cs="Arial"/>
          <w:szCs w:val="22"/>
        </w:rPr>
        <w:lastRenderedPageBreak/>
        <w:t>All four patients presented localized scleral thinning without infection or inflammation. Three responded to conservative management; one required AMT. Complete recovery occurred in all within four weeks, with no residual thinning or recurrence of scleral defects.</w:t>
      </w:r>
    </w:p>
    <w:p w14:paraId="586CC4FF" w14:textId="7CCE68E6" w:rsidR="00790ADA" w:rsidRPr="00FB3A86" w:rsidRDefault="00790ADA" w:rsidP="003764E1">
      <w:pPr>
        <w:pStyle w:val="Body"/>
        <w:spacing w:after="0"/>
        <w:rPr>
          <w:rFonts w:ascii="Arial" w:hAnsi="Arial" w:cs="Arial"/>
        </w:rPr>
      </w:pPr>
    </w:p>
    <w:p w14:paraId="5FCE4898" w14:textId="6168F9CE"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proofErr w:type="gramStart"/>
      <w:r>
        <w:rPr>
          <w:rFonts w:ascii="Arial" w:hAnsi="Arial" w:cs="Arial"/>
        </w:rPr>
        <w:t>discussion</w:t>
      </w:r>
      <w:r w:rsidR="009F0172">
        <w:rPr>
          <w:rFonts w:ascii="Arial" w:hAnsi="Arial" w:cs="Arial"/>
        </w:rPr>
        <w:t xml:space="preserve"> :</w:t>
      </w:r>
      <w:proofErr w:type="gramEnd"/>
    </w:p>
    <w:p w14:paraId="07C3E6E2" w14:textId="77777777" w:rsidR="00790ADA" w:rsidRPr="00FB3A86" w:rsidRDefault="00790ADA" w:rsidP="00441B6F">
      <w:pPr>
        <w:pStyle w:val="Head1"/>
        <w:spacing w:after="0"/>
        <w:jc w:val="both"/>
        <w:rPr>
          <w:rFonts w:ascii="Arial" w:hAnsi="Arial" w:cs="Arial"/>
        </w:rPr>
      </w:pPr>
    </w:p>
    <w:p w14:paraId="64957B72" w14:textId="77777777" w:rsidR="002D3A85" w:rsidRPr="009F0172" w:rsidRDefault="002D3A85" w:rsidP="002D3A85">
      <w:pPr>
        <w:rPr>
          <w:rFonts w:ascii="Arial" w:eastAsia="Calibri" w:hAnsi="Arial" w:cs="Arial"/>
          <w:szCs w:val="22"/>
        </w:rPr>
      </w:pPr>
      <w:r w:rsidRPr="009F0172">
        <w:rPr>
          <w:rFonts w:ascii="Arial" w:eastAsia="Calibri" w:hAnsi="Arial" w:cs="Arial"/>
          <w:szCs w:val="22"/>
        </w:rPr>
        <w:t xml:space="preserve">Scleral </w:t>
      </w:r>
      <w:proofErr w:type="spellStart"/>
      <w:r w:rsidRPr="009F0172">
        <w:rPr>
          <w:rFonts w:ascii="Arial" w:eastAsia="Calibri" w:hAnsi="Arial" w:cs="Arial"/>
          <w:szCs w:val="22"/>
        </w:rPr>
        <w:t>dellen</w:t>
      </w:r>
      <w:proofErr w:type="spellEnd"/>
      <w:r w:rsidRPr="009F0172">
        <w:rPr>
          <w:rFonts w:ascii="Arial" w:eastAsia="Calibri" w:hAnsi="Arial" w:cs="Arial"/>
          <w:szCs w:val="22"/>
        </w:rPr>
        <w:t xml:space="preserve"> represents a localized area of stromal thinning secondary to focal dehydration and tear film instability over an avascular scleral surface [3,4]. Although rare, it constitutes a potentially serious complication of pterygium surgery if not promptly recognized. The pathogenesis is primarily mechanical, but surgical and pharmacologic factors can exacerbate tissue breakdown. Early onset—usually within days to two weeks after surgery—has been described in several reports [2–5].</w:t>
      </w:r>
    </w:p>
    <w:p w14:paraId="55ADA18D" w14:textId="77777777" w:rsidR="002D3A85" w:rsidRPr="009F0172" w:rsidRDefault="002D3A85" w:rsidP="002D3A85">
      <w:pPr>
        <w:rPr>
          <w:rFonts w:ascii="Arial" w:eastAsia="Calibri" w:hAnsi="Arial" w:cs="Arial"/>
          <w:szCs w:val="22"/>
        </w:rPr>
      </w:pPr>
      <w:r w:rsidRPr="009F0172">
        <w:rPr>
          <w:rFonts w:ascii="Arial" w:eastAsia="Calibri" w:hAnsi="Arial" w:cs="Arial"/>
          <w:szCs w:val="22"/>
        </w:rPr>
        <w:t>Predisposing factors include bare sclera exposure, graft dehiscence, and excessive cautery, all of which may impair local perfusion and epithelial regeneration; similar risk patterns have been highlighted in recent studies [5,6]. Topical corticosteroids, while useful for inflammation control, can retard epithelial healing and fibroblastic activity and have been implicated experimentally in delayed wound closure [7].</w:t>
      </w:r>
    </w:p>
    <w:p w14:paraId="011B6F99" w14:textId="77777777" w:rsidR="002D3A85" w:rsidRPr="009F0172" w:rsidRDefault="002D3A85" w:rsidP="002D3A85">
      <w:pPr>
        <w:rPr>
          <w:rFonts w:ascii="Arial" w:eastAsia="Calibri" w:hAnsi="Arial" w:cs="Arial"/>
          <w:szCs w:val="22"/>
        </w:rPr>
      </w:pPr>
      <w:r w:rsidRPr="009F0172">
        <w:rPr>
          <w:rFonts w:ascii="Arial" w:eastAsia="Calibri" w:hAnsi="Arial" w:cs="Arial"/>
          <w:szCs w:val="22"/>
        </w:rPr>
        <w:t>Conservative therapy remains the first-line approach and is effective in most cases. Intensive lubrication, antibiotic prophylaxis, cicatrizing ointments, and temporary occlusion promote rehydration and epithelial migration. Autologous serum supplies growth factors and anti-inflammatory mediators that accelerate recovery and is supported by clinical evidence for persistent epithelial defects [8,9].</w:t>
      </w:r>
    </w:p>
    <w:p w14:paraId="1494FE1A" w14:textId="77777777" w:rsidR="002D3A85" w:rsidRPr="009F0172" w:rsidRDefault="002D3A85" w:rsidP="002D3A85">
      <w:pPr>
        <w:rPr>
          <w:rFonts w:ascii="Arial" w:eastAsia="Calibri" w:hAnsi="Arial" w:cs="Arial"/>
          <w:szCs w:val="22"/>
        </w:rPr>
      </w:pPr>
      <w:r w:rsidRPr="009F0172">
        <w:rPr>
          <w:rFonts w:ascii="Arial" w:eastAsia="Calibri" w:hAnsi="Arial" w:cs="Arial"/>
          <w:szCs w:val="22"/>
        </w:rPr>
        <w:t xml:space="preserve">When medical therapy fails or when deep stromal thinning with uveal show is present, surgical coverage such as amniotic membrane transplantation (AMT) is indicated. AMT provides a biological scaffold and </w:t>
      </w:r>
      <w:proofErr w:type="spellStart"/>
      <w:r w:rsidRPr="009F0172">
        <w:rPr>
          <w:rFonts w:ascii="Arial" w:eastAsia="Calibri" w:hAnsi="Arial" w:cs="Arial"/>
          <w:szCs w:val="22"/>
        </w:rPr>
        <w:t>epitheliotrophic</w:t>
      </w:r>
      <w:proofErr w:type="spellEnd"/>
      <w:r w:rsidRPr="009F0172">
        <w:rPr>
          <w:rFonts w:ascii="Arial" w:eastAsia="Calibri" w:hAnsi="Arial" w:cs="Arial"/>
          <w:szCs w:val="22"/>
        </w:rPr>
        <w:t xml:space="preserve"> factors that facilitate re-epithelialization and stromal repair [1,2].</w:t>
      </w:r>
    </w:p>
    <w:p w14:paraId="32E4E3CB" w14:textId="77777777" w:rsidR="002D3A85" w:rsidRPr="009F0172" w:rsidRDefault="002D3A85" w:rsidP="002D3A85">
      <w:pPr>
        <w:rPr>
          <w:rFonts w:ascii="Arial" w:eastAsia="Calibri" w:hAnsi="Arial" w:cs="Arial"/>
          <w:szCs w:val="22"/>
        </w:rPr>
      </w:pPr>
      <w:r w:rsidRPr="009F0172">
        <w:rPr>
          <w:rFonts w:ascii="Arial" w:eastAsia="Calibri" w:hAnsi="Arial" w:cs="Arial"/>
          <w:szCs w:val="22"/>
        </w:rPr>
        <w:t>Preventive measures include avoiding bare sclera techniques, minimizing cautery near the limbus, ensuring secure graft fixation, initiating early lubrication, and tapering steroids judiciously [5,10]. Early recognition and a stepwise management algorithm ensure favorable outcomes and prevent progression to scleral necrosis or perforation.</w:t>
      </w:r>
    </w:p>
    <w:p w14:paraId="07DCE710" w14:textId="77777777" w:rsidR="00376BBE" w:rsidRDefault="00376BBE" w:rsidP="00441B6F">
      <w:pPr>
        <w:pStyle w:val="Body"/>
        <w:spacing w:after="0"/>
        <w:rPr>
          <w:rFonts w:ascii="Arial" w:hAnsi="Arial" w:cs="Arial"/>
        </w:rPr>
      </w:pPr>
    </w:p>
    <w:p w14:paraId="28C18334" w14:textId="77777777" w:rsidR="00E053D0" w:rsidRDefault="00E053D0" w:rsidP="00441B6F">
      <w:pPr>
        <w:pStyle w:val="Body"/>
        <w:spacing w:after="0"/>
        <w:rPr>
          <w:rFonts w:ascii="Arial" w:hAnsi="Arial" w:cs="Arial"/>
        </w:rPr>
      </w:pPr>
    </w:p>
    <w:p w14:paraId="22D328C6" w14:textId="77777777" w:rsidR="00790ADA" w:rsidRPr="00FB3A86" w:rsidRDefault="00790ADA" w:rsidP="00441B6F">
      <w:pPr>
        <w:pStyle w:val="Body"/>
        <w:spacing w:after="0"/>
        <w:rPr>
          <w:rFonts w:ascii="Arial" w:hAnsi="Arial" w:cs="Arial"/>
        </w:rPr>
      </w:pPr>
    </w:p>
    <w:p w14:paraId="19D0075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CB5DB5C" w14:textId="77777777" w:rsidR="00790ADA" w:rsidRPr="00FB3A86" w:rsidRDefault="00790ADA" w:rsidP="00441B6F">
      <w:pPr>
        <w:pStyle w:val="ConcHead"/>
        <w:spacing w:after="0"/>
        <w:jc w:val="both"/>
        <w:rPr>
          <w:rFonts w:ascii="Arial" w:hAnsi="Arial" w:cs="Arial"/>
        </w:rPr>
      </w:pPr>
    </w:p>
    <w:p w14:paraId="3A7CDF87" w14:textId="77777777" w:rsidR="009F0172" w:rsidRPr="009F0172" w:rsidRDefault="009F0172" w:rsidP="009F0172">
      <w:pPr>
        <w:rPr>
          <w:rFonts w:ascii="Arial" w:eastAsia="Calibri" w:hAnsi="Arial" w:cs="Arial"/>
          <w:szCs w:val="22"/>
        </w:rPr>
      </w:pPr>
      <w:r w:rsidRPr="009F0172">
        <w:rPr>
          <w:rFonts w:ascii="Arial" w:eastAsia="Calibri" w:hAnsi="Arial" w:cs="Arial"/>
          <w:szCs w:val="22"/>
        </w:rPr>
        <w:t xml:space="preserve">Scleral </w:t>
      </w:r>
      <w:proofErr w:type="spellStart"/>
      <w:r w:rsidRPr="009F0172">
        <w:rPr>
          <w:rFonts w:ascii="Arial" w:eastAsia="Calibri" w:hAnsi="Arial" w:cs="Arial"/>
          <w:szCs w:val="22"/>
        </w:rPr>
        <w:t>dellen</w:t>
      </w:r>
      <w:proofErr w:type="spellEnd"/>
      <w:r w:rsidRPr="009F0172">
        <w:rPr>
          <w:rFonts w:ascii="Arial" w:eastAsia="Calibri" w:hAnsi="Arial" w:cs="Arial"/>
          <w:szCs w:val="22"/>
        </w:rPr>
        <w:t xml:space="preserve"> is an uncommon but potentially serious early complication of pterygium surgery. Early recognition, intensive ocular surface therapy, and timely surgical intervention when required ensure excellent recovery. Preventive </w:t>
      </w:r>
      <w:proofErr w:type="gramStart"/>
      <w:r w:rsidRPr="009F0172">
        <w:rPr>
          <w:rFonts w:ascii="Arial" w:eastAsia="Calibri" w:hAnsi="Arial" w:cs="Arial"/>
          <w:szCs w:val="22"/>
        </w:rPr>
        <w:t>strategies :</w:t>
      </w:r>
      <w:proofErr w:type="gramEnd"/>
      <w:r w:rsidRPr="009F0172">
        <w:rPr>
          <w:rFonts w:ascii="Arial" w:eastAsia="Calibri" w:hAnsi="Arial" w:cs="Arial"/>
          <w:szCs w:val="22"/>
        </w:rPr>
        <w:t xml:space="preserve"> complete graft coverage, minimal cautery, adequate lubrication, and prudent steroid use, are key to reducing postoperative risk.</w:t>
      </w:r>
    </w:p>
    <w:p w14:paraId="639815EF" w14:textId="77777777" w:rsidR="009F0172" w:rsidRDefault="009F0172" w:rsidP="009F0172">
      <w:pPr>
        <w:rPr>
          <w:rFonts w:asciiTheme="majorBidi" w:hAnsiTheme="majorBidi" w:cstheme="majorBidi"/>
          <w:b/>
          <w:bCs/>
          <w:sz w:val="28"/>
          <w:szCs w:val="28"/>
        </w:rPr>
      </w:pPr>
    </w:p>
    <w:p w14:paraId="2AC972B5" w14:textId="77777777" w:rsidR="00315186" w:rsidRPr="00315186" w:rsidRDefault="00315186" w:rsidP="00441B6F"/>
    <w:p w14:paraId="0D4254FC" w14:textId="77777777" w:rsidR="00315186" w:rsidRPr="00315186" w:rsidRDefault="00315186" w:rsidP="00441B6F"/>
    <w:p w14:paraId="44C3091C" w14:textId="77777777" w:rsidR="00315186" w:rsidRPr="00315186" w:rsidRDefault="00315186" w:rsidP="00441B6F"/>
    <w:p w14:paraId="3F8A9FFC" w14:textId="77777777" w:rsidR="002B685A" w:rsidRDefault="002B685A" w:rsidP="00441B6F">
      <w:pPr>
        <w:pStyle w:val="ReferHead"/>
        <w:spacing w:after="0"/>
        <w:jc w:val="both"/>
        <w:rPr>
          <w:rFonts w:ascii="Arial" w:hAnsi="Arial" w:cs="Arial"/>
          <w:bCs/>
        </w:rPr>
      </w:pPr>
      <w:bookmarkStart w:id="0" w:name="_GoBack"/>
      <w:bookmarkEnd w:id="0"/>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44284F74" w14:textId="77777777" w:rsidR="002B685A" w:rsidRPr="002B685A" w:rsidRDefault="002B685A" w:rsidP="00441B6F">
      <w:pPr>
        <w:pStyle w:val="ReferHead"/>
        <w:spacing w:after="0"/>
        <w:jc w:val="both"/>
        <w:rPr>
          <w:rFonts w:ascii="Arial" w:hAnsi="Arial" w:cs="Arial"/>
          <w:bCs/>
        </w:rPr>
      </w:pPr>
    </w:p>
    <w:p w14:paraId="17100C8E" w14:textId="77777777" w:rsidR="009A7A20" w:rsidRPr="009A7A20" w:rsidRDefault="009A7A20" w:rsidP="009A7A20">
      <w:pPr>
        <w:rPr>
          <w:rFonts w:ascii="Arial" w:hAnsi="Arial" w:cs="Arial"/>
        </w:rPr>
      </w:pPr>
      <w:r w:rsidRPr="009A7A20">
        <w:rPr>
          <w:rFonts w:ascii="Arial" w:hAnsi="Arial" w:cs="Arial"/>
        </w:rPr>
        <w:t>The authors certify that they have obtained all appropriate patient consent forms. In the form, the patient(s) has/have given his/their consent for his/their images and other clinical information to be reported in the journal. The patients understand that their names and initials will not be published and due efforts will be made to conceal their identity, but anonymity cannot be guaranteed.</w:t>
      </w:r>
    </w:p>
    <w:p w14:paraId="408C6951" w14:textId="77777777" w:rsidR="001A29D8" w:rsidRDefault="001A29D8" w:rsidP="00441B6F">
      <w:pPr>
        <w:pStyle w:val="ReferHead"/>
        <w:spacing w:after="0"/>
        <w:jc w:val="both"/>
        <w:rPr>
          <w:rFonts w:ascii="Arial" w:hAnsi="Arial" w:cs="Arial"/>
          <w:b w:val="0"/>
          <w:caps w:val="0"/>
          <w:sz w:val="20"/>
        </w:rPr>
      </w:pPr>
    </w:p>
    <w:p w14:paraId="65B10CD5" w14:textId="77777777" w:rsidR="005C784C" w:rsidRDefault="005C784C" w:rsidP="00441B6F">
      <w:pPr>
        <w:pStyle w:val="ReferHead"/>
        <w:spacing w:after="0"/>
        <w:jc w:val="both"/>
        <w:rPr>
          <w:rFonts w:ascii="Arial" w:hAnsi="Arial" w:cs="Arial"/>
          <w:b w:val="0"/>
          <w:caps w:val="0"/>
          <w:sz w:val="20"/>
        </w:rPr>
      </w:pPr>
    </w:p>
    <w:p w14:paraId="5446415C"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26465B89" w14:textId="77777777" w:rsidR="005C784C" w:rsidRPr="002B685A" w:rsidRDefault="005C784C" w:rsidP="00441B6F">
      <w:pPr>
        <w:pStyle w:val="ReferHead"/>
        <w:spacing w:after="0"/>
        <w:jc w:val="both"/>
        <w:rPr>
          <w:rFonts w:ascii="Arial" w:hAnsi="Arial" w:cs="Arial"/>
          <w:bCs/>
        </w:rPr>
      </w:pPr>
    </w:p>
    <w:p w14:paraId="603ABD65" w14:textId="77777777" w:rsidR="009A7A20" w:rsidRPr="009A7A20" w:rsidRDefault="009A7A20" w:rsidP="009A7A20">
      <w:pPr>
        <w:rPr>
          <w:rFonts w:ascii="Arial" w:hAnsi="Arial" w:cs="Arial"/>
        </w:rPr>
      </w:pPr>
      <w:r w:rsidRPr="009A7A20">
        <w:rPr>
          <w:rFonts w:ascii="Arial" w:hAnsi="Arial" w:cs="Arial"/>
        </w:rPr>
        <w:t>The authors certify that the study was conducted in accordance with ethical standards and was reviewed and approved by the appropriate Institutional Ethics Committee/Institutional Review Board (IRB). The study was performed in compliance with the ethical principles outlined in the Declaration of Helsinki (1964) and its later amendments. All necessary permissions were obtained prior to the commencement of the study.</w:t>
      </w:r>
    </w:p>
    <w:p w14:paraId="4D8A08AE" w14:textId="77777777" w:rsidR="0041027F" w:rsidRDefault="0041027F" w:rsidP="00441B6F">
      <w:pPr>
        <w:pStyle w:val="ReferHead"/>
        <w:spacing w:after="0"/>
        <w:jc w:val="both"/>
        <w:rPr>
          <w:rFonts w:ascii="Arial" w:hAnsi="Arial" w:cs="Arial"/>
          <w:b w:val="0"/>
          <w:caps w:val="0"/>
          <w:sz w:val="20"/>
        </w:rPr>
      </w:pPr>
    </w:p>
    <w:p w14:paraId="4B1DF8ED" w14:textId="77777777" w:rsidR="00860000" w:rsidRDefault="00860000" w:rsidP="00441B6F">
      <w:pPr>
        <w:pStyle w:val="ReferHead"/>
        <w:spacing w:after="0"/>
        <w:jc w:val="both"/>
        <w:rPr>
          <w:rFonts w:ascii="Arial" w:hAnsi="Arial" w:cs="Arial"/>
        </w:rPr>
      </w:pPr>
    </w:p>
    <w:p w14:paraId="57E388F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F0A6903" w14:textId="77777777" w:rsidR="00790ADA" w:rsidRPr="00FB3A86" w:rsidRDefault="00790ADA" w:rsidP="00441B6F">
      <w:pPr>
        <w:pStyle w:val="ReferHead"/>
        <w:spacing w:after="0"/>
        <w:jc w:val="both"/>
        <w:rPr>
          <w:rFonts w:ascii="Arial" w:hAnsi="Arial" w:cs="Arial"/>
        </w:rPr>
      </w:pPr>
    </w:p>
    <w:p w14:paraId="589647B4" w14:textId="2AD47889" w:rsidR="00F16E86" w:rsidRDefault="00F16E86" w:rsidP="009A7A20">
      <w:pPr>
        <w:pStyle w:val="ListParagraph"/>
        <w:numPr>
          <w:ilvl w:val="0"/>
          <w:numId w:val="33"/>
        </w:numPr>
        <w:rPr>
          <w:rFonts w:ascii="Arial" w:eastAsia="Times New Roman" w:hAnsi="Arial" w:cs="Arial"/>
          <w:kern w:val="0"/>
          <w:sz w:val="20"/>
          <w:szCs w:val="20"/>
          <w:lang w:val="en-US"/>
        </w:rPr>
      </w:pPr>
      <w:r w:rsidRPr="00F16E86">
        <w:rPr>
          <w:rFonts w:ascii="Arial" w:eastAsia="Times New Roman" w:hAnsi="Arial" w:cs="Arial"/>
          <w:kern w:val="0"/>
          <w:sz w:val="20"/>
          <w:szCs w:val="20"/>
          <w:lang w:val="en-US"/>
        </w:rPr>
        <w:t xml:space="preserve">Sridhar, M. S., Bansal, A. K., &amp; Rao, G. N. (2002). Multilayered amniotic membrane transplantation for partial thickness scleral thinning following pterygium surgery. Eye, 16(5), 639–642. </w:t>
      </w:r>
      <w:hyperlink r:id="rId18" w:history="1">
        <w:r w:rsidRPr="004010E4">
          <w:rPr>
            <w:rStyle w:val="Hyperlink"/>
            <w:rFonts w:ascii="Arial" w:eastAsia="Times New Roman" w:hAnsi="Arial" w:cs="Arial"/>
            <w:kern w:val="0"/>
            <w:sz w:val="20"/>
            <w:szCs w:val="20"/>
            <w:lang w:val="en-US"/>
          </w:rPr>
          <w:t>https://doi.org/10.1038/sj.eye.6700123</w:t>
        </w:r>
      </w:hyperlink>
    </w:p>
    <w:p w14:paraId="3044A703" w14:textId="331F7347" w:rsidR="009A7A20" w:rsidRPr="009A7A20" w:rsidRDefault="009A7A20" w:rsidP="009A7A20">
      <w:pPr>
        <w:pStyle w:val="ListParagraph"/>
        <w:numPr>
          <w:ilvl w:val="0"/>
          <w:numId w:val="33"/>
        </w:numPr>
        <w:rPr>
          <w:rFonts w:ascii="Arial" w:eastAsia="Times New Roman" w:hAnsi="Arial" w:cs="Arial"/>
          <w:kern w:val="0"/>
          <w:sz w:val="20"/>
          <w:szCs w:val="20"/>
          <w:lang w:val="en-US"/>
        </w:rPr>
      </w:pPr>
      <w:r w:rsidRPr="009A7A20">
        <w:rPr>
          <w:rFonts w:ascii="Arial" w:eastAsia="Times New Roman" w:hAnsi="Arial" w:cs="Arial"/>
          <w:kern w:val="0"/>
          <w:sz w:val="20"/>
          <w:szCs w:val="20"/>
          <w:lang w:val="en-US"/>
        </w:rPr>
        <w:t xml:space="preserve">Kim JS, Kim JC, Na BK, Jeong JM, Song CY. Amniotic membrane transplantation in the treatment of conjunctival defects. Korean J </w:t>
      </w:r>
      <w:proofErr w:type="spellStart"/>
      <w:r w:rsidRPr="009A7A20">
        <w:rPr>
          <w:rFonts w:ascii="Arial" w:eastAsia="Times New Roman" w:hAnsi="Arial" w:cs="Arial"/>
          <w:kern w:val="0"/>
          <w:sz w:val="20"/>
          <w:szCs w:val="20"/>
          <w:lang w:val="en-US"/>
        </w:rPr>
        <w:t>Ophthalmol</w:t>
      </w:r>
      <w:proofErr w:type="spellEnd"/>
      <w:r w:rsidRPr="009A7A20">
        <w:rPr>
          <w:rFonts w:ascii="Arial" w:eastAsia="Times New Roman" w:hAnsi="Arial" w:cs="Arial"/>
          <w:kern w:val="0"/>
          <w:sz w:val="20"/>
          <w:szCs w:val="20"/>
          <w:lang w:val="en-US"/>
        </w:rPr>
        <w:t>. 2001;15(4):228–237.</w:t>
      </w:r>
    </w:p>
    <w:p w14:paraId="54C7DADB" w14:textId="77777777" w:rsidR="009A7A20" w:rsidRPr="009A7A20" w:rsidRDefault="009A7A20" w:rsidP="009A7A20">
      <w:pPr>
        <w:pStyle w:val="ListParagraph"/>
        <w:numPr>
          <w:ilvl w:val="0"/>
          <w:numId w:val="33"/>
        </w:numPr>
        <w:rPr>
          <w:rFonts w:ascii="Arial" w:eastAsia="Times New Roman" w:hAnsi="Arial" w:cs="Arial"/>
          <w:kern w:val="0"/>
          <w:sz w:val="20"/>
          <w:szCs w:val="20"/>
          <w:lang w:val="en-US"/>
        </w:rPr>
      </w:pPr>
      <w:proofErr w:type="spellStart"/>
      <w:r w:rsidRPr="009A7A20">
        <w:rPr>
          <w:rFonts w:ascii="Arial" w:eastAsia="Times New Roman" w:hAnsi="Arial" w:cs="Arial"/>
          <w:kern w:val="0"/>
          <w:sz w:val="20"/>
          <w:szCs w:val="20"/>
          <w:lang w:val="en-US"/>
        </w:rPr>
        <w:t>İmamoğlu</w:t>
      </w:r>
      <w:proofErr w:type="spellEnd"/>
      <w:r w:rsidRPr="009A7A20">
        <w:rPr>
          <w:rFonts w:ascii="Arial" w:eastAsia="Times New Roman" w:hAnsi="Arial" w:cs="Arial"/>
          <w:kern w:val="0"/>
          <w:sz w:val="20"/>
          <w:szCs w:val="20"/>
          <w:lang w:val="en-US"/>
        </w:rPr>
        <w:t xml:space="preserve"> S, Can İ, Üstündağ K, et al. Scleral </w:t>
      </w:r>
      <w:proofErr w:type="spellStart"/>
      <w:r w:rsidRPr="009A7A20">
        <w:rPr>
          <w:rFonts w:ascii="Arial" w:eastAsia="Times New Roman" w:hAnsi="Arial" w:cs="Arial"/>
          <w:kern w:val="0"/>
          <w:sz w:val="20"/>
          <w:szCs w:val="20"/>
          <w:lang w:val="en-US"/>
        </w:rPr>
        <w:t>dellen</w:t>
      </w:r>
      <w:proofErr w:type="spellEnd"/>
      <w:r w:rsidRPr="009A7A20">
        <w:rPr>
          <w:rFonts w:ascii="Arial" w:eastAsia="Times New Roman" w:hAnsi="Arial" w:cs="Arial"/>
          <w:kern w:val="0"/>
          <w:sz w:val="20"/>
          <w:szCs w:val="20"/>
          <w:lang w:val="en-US"/>
        </w:rPr>
        <w:t>: an early complication of pterygium surgery. Turk J Ophthalmol. 2015;45(6):281–283.</w:t>
      </w:r>
    </w:p>
    <w:p w14:paraId="1223E950" w14:textId="77777777" w:rsidR="009A7A20" w:rsidRPr="009A7A20" w:rsidRDefault="009A7A20" w:rsidP="009A7A20">
      <w:pPr>
        <w:pStyle w:val="ListParagraph"/>
        <w:numPr>
          <w:ilvl w:val="0"/>
          <w:numId w:val="33"/>
        </w:numPr>
        <w:rPr>
          <w:rFonts w:ascii="Arial" w:eastAsia="Times New Roman" w:hAnsi="Arial" w:cs="Arial"/>
          <w:kern w:val="0"/>
          <w:sz w:val="20"/>
          <w:szCs w:val="20"/>
          <w:lang w:val="en-US"/>
        </w:rPr>
      </w:pPr>
      <w:r w:rsidRPr="009A7A20">
        <w:rPr>
          <w:rFonts w:ascii="Arial" w:eastAsia="Times New Roman" w:hAnsi="Arial" w:cs="Arial"/>
          <w:kern w:val="0"/>
          <w:sz w:val="20"/>
          <w:szCs w:val="20"/>
          <w:lang w:val="en-US"/>
        </w:rPr>
        <w:t xml:space="preserve">Elshazly LH, Ali H, </w:t>
      </w:r>
      <w:proofErr w:type="spellStart"/>
      <w:r w:rsidRPr="009A7A20">
        <w:rPr>
          <w:rFonts w:ascii="Arial" w:eastAsia="Times New Roman" w:hAnsi="Arial" w:cs="Arial"/>
          <w:kern w:val="0"/>
          <w:sz w:val="20"/>
          <w:szCs w:val="20"/>
          <w:lang w:val="en-US"/>
        </w:rPr>
        <w:t>Torky</w:t>
      </w:r>
      <w:proofErr w:type="spellEnd"/>
      <w:r w:rsidRPr="009A7A20">
        <w:rPr>
          <w:rFonts w:ascii="Arial" w:eastAsia="Times New Roman" w:hAnsi="Arial" w:cs="Arial"/>
          <w:kern w:val="0"/>
          <w:sz w:val="20"/>
          <w:szCs w:val="20"/>
          <w:lang w:val="en-US"/>
        </w:rPr>
        <w:t xml:space="preserve"> MA. Dellen and corneal perforation after bilateral pterygium excision with conjunctival autograft. Clin </w:t>
      </w:r>
      <w:proofErr w:type="spellStart"/>
      <w:r w:rsidRPr="009A7A20">
        <w:rPr>
          <w:rFonts w:ascii="Arial" w:eastAsia="Times New Roman" w:hAnsi="Arial" w:cs="Arial"/>
          <w:kern w:val="0"/>
          <w:sz w:val="20"/>
          <w:szCs w:val="20"/>
          <w:lang w:val="en-US"/>
        </w:rPr>
        <w:t>Ophthalmol</w:t>
      </w:r>
      <w:proofErr w:type="spellEnd"/>
      <w:r w:rsidRPr="009A7A20">
        <w:rPr>
          <w:rFonts w:ascii="Arial" w:eastAsia="Times New Roman" w:hAnsi="Arial" w:cs="Arial"/>
          <w:kern w:val="0"/>
          <w:sz w:val="20"/>
          <w:szCs w:val="20"/>
          <w:lang w:val="en-US"/>
        </w:rPr>
        <w:t xml:space="preserve">. </w:t>
      </w:r>
      <w:proofErr w:type="gramStart"/>
      <w:r w:rsidRPr="009A7A20">
        <w:rPr>
          <w:rFonts w:ascii="Arial" w:eastAsia="Times New Roman" w:hAnsi="Arial" w:cs="Arial"/>
          <w:kern w:val="0"/>
          <w:sz w:val="20"/>
          <w:szCs w:val="20"/>
          <w:lang w:val="en-US"/>
        </w:rPr>
        <w:t>2012;6:1649</w:t>
      </w:r>
      <w:proofErr w:type="gramEnd"/>
      <w:r w:rsidRPr="009A7A20">
        <w:rPr>
          <w:rFonts w:ascii="Arial" w:eastAsia="Times New Roman" w:hAnsi="Arial" w:cs="Arial"/>
          <w:kern w:val="0"/>
          <w:sz w:val="20"/>
          <w:szCs w:val="20"/>
          <w:lang w:val="en-US"/>
        </w:rPr>
        <w:t>–1651.</w:t>
      </w:r>
    </w:p>
    <w:p w14:paraId="06BA6F2B" w14:textId="77777777" w:rsidR="009A7A20" w:rsidRPr="009A7A20" w:rsidRDefault="009A7A20" w:rsidP="009A7A20">
      <w:pPr>
        <w:pStyle w:val="ListParagraph"/>
        <w:numPr>
          <w:ilvl w:val="0"/>
          <w:numId w:val="33"/>
        </w:numPr>
        <w:rPr>
          <w:rFonts w:ascii="Arial" w:eastAsia="Times New Roman" w:hAnsi="Arial" w:cs="Arial"/>
          <w:kern w:val="0"/>
          <w:sz w:val="20"/>
          <w:szCs w:val="20"/>
          <w:lang w:val="en-US"/>
        </w:rPr>
      </w:pPr>
      <w:proofErr w:type="spellStart"/>
      <w:r w:rsidRPr="009A7A20">
        <w:rPr>
          <w:rFonts w:ascii="Arial" w:eastAsia="Times New Roman" w:hAnsi="Arial" w:cs="Arial"/>
          <w:kern w:val="0"/>
          <w:sz w:val="20"/>
          <w:szCs w:val="20"/>
          <w:lang w:val="en-US"/>
        </w:rPr>
        <w:t>Solmaz</w:t>
      </w:r>
      <w:proofErr w:type="spellEnd"/>
      <w:r w:rsidRPr="009A7A20">
        <w:rPr>
          <w:rFonts w:ascii="Arial" w:eastAsia="Times New Roman" w:hAnsi="Arial" w:cs="Arial"/>
          <w:kern w:val="0"/>
          <w:sz w:val="20"/>
          <w:szCs w:val="20"/>
          <w:lang w:val="en-US"/>
        </w:rPr>
        <w:t xml:space="preserve"> N, </w:t>
      </w:r>
      <w:proofErr w:type="spellStart"/>
      <w:r w:rsidRPr="009A7A20">
        <w:rPr>
          <w:rFonts w:ascii="Arial" w:eastAsia="Times New Roman" w:hAnsi="Arial" w:cs="Arial"/>
          <w:kern w:val="0"/>
          <w:sz w:val="20"/>
          <w:szCs w:val="20"/>
          <w:lang w:val="en-US"/>
        </w:rPr>
        <w:t>Yağcı</w:t>
      </w:r>
      <w:proofErr w:type="spellEnd"/>
      <w:r w:rsidRPr="009A7A20">
        <w:rPr>
          <w:rFonts w:ascii="Arial" w:eastAsia="Times New Roman" w:hAnsi="Arial" w:cs="Arial"/>
          <w:kern w:val="0"/>
          <w:sz w:val="20"/>
          <w:szCs w:val="20"/>
          <w:lang w:val="en-US"/>
        </w:rPr>
        <w:t xml:space="preserve"> A. Scleral </w:t>
      </w:r>
      <w:proofErr w:type="spellStart"/>
      <w:r w:rsidRPr="009A7A20">
        <w:rPr>
          <w:rFonts w:ascii="Arial" w:eastAsia="Times New Roman" w:hAnsi="Arial" w:cs="Arial"/>
          <w:kern w:val="0"/>
          <w:sz w:val="20"/>
          <w:szCs w:val="20"/>
          <w:lang w:val="en-US"/>
        </w:rPr>
        <w:t>dellen</w:t>
      </w:r>
      <w:proofErr w:type="spellEnd"/>
      <w:r w:rsidRPr="009A7A20">
        <w:rPr>
          <w:rFonts w:ascii="Arial" w:eastAsia="Times New Roman" w:hAnsi="Arial" w:cs="Arial"/>
          <w:kern w:val="0"/>
          <w:sz w:val="20"/>
          <w:szCs w:val="20"/>
          <w:lang w:val="en-US"/>
        </w:rPr>
        <w:t xml:space="preserve"> after pterygium surgery: Risk factors and treatment approaches. J Curr Ophthalmol. 2022;34(4):479–484.</w:t>
      </w:r>
    </w:p>
    <w:p w14:paraId="39477493" w14:textId="77777777" w:rsidR="009A7A20" w:rsidRPr="009A7A20" w:rsidRDefault="009A7A20" w:rsidP="009A7A20">
      <w:pPr>
        <w:pStyle w:val="ListParagraph"/>
        <w:numPr>
          <w:ilvl w:val="0"/>
          <w:numId w:val="33"/>
        </w:numPr>
        <w:rPr>
          <w:rFonts w:ascii="Arial" w:eastAsia="Times New Roman" w:hAnsi="Arial" w:cs="Arial"/>
          <w:kern w:val="0"/>
          <w:sz w:val="20"/>
          <w:szCs w:val="20"/>
          <w:lang w:val="en-US"/>
        </w:rPr>
      </w:pPr>
      <w:proofErr w:type="spellStart"/>
      <w:r w:rsidRPr="009A7A20">
        <w:rPr>
          <w:rFonts w:ascii="Arial" w:eastAsia="Times New Roman" w:hAnsi="Arial" w:cs="Arial"/>
          <w:kern w:val="0"/>
          <w:sz w:val="20"/>
          <w:szCs w:val="20"/>
          <w:lang w:val="en-US"/>
        </w:rPr>
        <w:t>Accorinti</w:t>
      </w:r>
      <w:proofErr w:type="spellEnd"/>
      <w:r w:rsidRPr="009A7A20">
        <w:rPr>
          <w:rFonts w:ascii="Arial" w:eastAsia="Times New Roman" w:hAnsi="Arial" w:cs="Arial"/>
          <w:kern w:val="0"/>
          <w:sz w:val="20"/>
          <w:szCs w:val="20"/>
          <w:lang w:val="en-US"/>
        </w:rPr>
        <w:t xml:space="preserve"> M, </w:t>
      </w:r>
      <w:proofErr w:type="spellStart"/>
      <w:r w:rsidRPr="009A7A20">
        <w:rPr>
          <w:rFonts w:ascii="Arial" w:eastAsia="Times New Roman" w:hAnsi="Arial" w:cs="Arial"/>
          <w:kern w:val="0"/>
          <w:sz w:val="20"/>
          <w:szCs w:val="20"/>
          <w:lang w:val="en-US"/>
        </w:rPr>
        <w:t>Abdulaziz</w:t>
      </w:r>
      <w:proofErr w:type="spellEnd"/>
      <w:r w:rsidRPr="009A7A20">
        <w:rPr>
          <w:rFonts w:ascii="Arial" w:eastAsia="Times New Roman" w:hAnsi="Arial" w:cs="Arial"/>
          <w:kern w:val="0"/>
          <w:sz w:val="20"/>
          <w:szCs w:val="20"/>
          <w:lang w:val="en-US"/>
        </w:rPr>
        <w:t xml:space="preserve"> AA, Pirraglia MP. Severe scleral </w:t>
      </w:r>
      <w:proofErr w:type="spellStart"/>
      <w:r w:rsidRPr="009A7A20">
        <w:rPr>
          <w:rFonts w:ascii="Arial" w:eastAsia="Times New Roman" w:hAnsi="Arial" w:cs="Arial"/>
          <w:kern w:val="0"/>
          <w:sz w:val="20"/>
          <w:szCs w:val="20"/>
          <w:lang w:val="en-US"/>
        </w:rPr>
        <w:t>dellen</w:t>
      </w:r>
      <w:proofErr w:type="spellEnd"/>
      <w:r w:rsidRPr="009A7A20">
        <w:rPr>
          <w:rFonts w:ascii="Arial" w:eastAsia="Times New Roman" w:hAnsi="Arial" w:cs="Arial"/>
          <w:kern w:val="0"/>
          <w:sz w:val="20"/>
          <w:szCs w:val="20"/>
          <w:lang w:val="en-US"/>
        </w:rPr>
        <w:t xml:space="preserve"> as an early complication of pterygium excision with simple conjunctival closure: Case report and review of the literature. </w:t>
      </w:r>
      <w:proofErr w:type="spellStart"/>
      <w:r w:rsidRPr="009A7A20">
        <w:rPr>
          <w:rFonts w:ascii="Arial" w:eastAsia="Times New Roman" w:hAnsi="Arial" w:cs="Arial"/>
          <w:kern w:val="0"/>
          <w:sz w:val="20"/>
          <w:szCs w:val="20"/>
          <w:lang w:val="en-US"/>
        </w:rPr>
        <w:t>Arq</w:t>
      </w:r>
      <w:proofErr w:type="spellEnd"/>
      <w:r w:rsidRPr="009A7A20">
        <w:rPr>
          <w:rFonts w:ascii="Arial" w:eastAsia="Times New Roman" w:hAnsi="Arial" w:cs="Arial"/>
          <w:kern w:val="0"/>
          <w:sz w:val="20"/>
          <w:szCs w:val="20"/>
          <w:lang w:val="en-US"/>
        </w:rPr>
        <w:t xml:space="preserve"> Bras </w:t>
      </w:r>
      <w:proofErr w:type="spellStart"/>
      <w:r w:rsidRPr="009A7A20">
        <w:rPr>
          <w:rFonts w:ascii="Arial" w:eastAsia="Times New Roman" w:hAnsi="Arial" w:cs="Arial"/>
          <w:kern w:val="0"/>
          <w:sz w:val="20"/>
          <w:szCs w:val="20"/>
          <w:lang w:val="en-US"/>
        </w:rPr>
        <w:t>Oftalmol</w:t>
      </w:r>
      <w:proofErr w:type="spellEnd"/>
      <w:r w:rsidRPr="009A7A20">
        <w:rPr>
          <w:rFonts w:ascii="Arial" w:eastAsia="Times New Roman" w:hAnsi="Arial" w:cs="Arial"/>
          <w:kern w:val="0"/>
          <w:sz w:val="20"/>
          <w:szCs w:val="20"/>
          <w:lang w:val="en-US"/>
        </w:rPr>
        <w:t>. 2014;77(3):182–184.</w:t>
      </w:r>
    </w:p>
    <w:p w14:paraId="05500ED6" w14:textId="77777777" w:rsidR="009A7A20" w:rsidRPr="009A7A20" w:rsidRDefault="009A7A20" w:rsidP="009A7A20">
      <w:pPr>
        <w:pStyle w:val="ListParagraph"/>
        <w:numPr>
          <w:ilvl w:val="0"/>
          <w:numId w:val="33"/>
        </w:numPr>
        <w:rPr>
          <w:rFonts w:ascii="Arial" w:eastAsia="Times New Roman" w:hAnsi="Arial" w:cs="Arial"/>
          <w:kern w:val="0"/>
          <w:sz w:val="20"/>
          <w:szCs w:val="20"/>
          <w:lang w:val="en-US"/>
        </w:rPr>
      </w:pPr>
      <w:proofErr w:type="spellStart"/>
      <w:r w:rsidRPr="009A7A20">
        <w:rPr>
          <w:rFonts w:ascii="Arial" w:eastAsia="Times New Roman" w:hAnsi="Arial" w:cs="Arial"/>
          <w:kern w:val="0"/>
          <w:sz w:val="20"/>
          <w:szCs w:val="20"/>
          <w:lang w:val="en-US"/>
        </w:rPr>
        <w:t>Najpure</w:t>
      </w:r>
      <w:proofErr w:type="spellEnd"/>
      <w:r w:rsidRPr="009A7A20">
        <w:rPr>
          <w:rFonts w:ascii="Arial" w:eastAsia="Times New Roman" w:hAnsi="Arial" w:cs="Arial"/>
          <w:kern w:val="0"/>
          <w:sz w:val="20"/>
          <w:szCs w:val="20"/>
          <w:lang w:val="en-US"/>
        </w:rPr>
        <w:t xml:space="preserve"> S, Rao VA, Jha R. Autologous serum treatment for corneoscleral </w:t>
      </w:r>
      <w:proofErr w:type="spellStart"/>
      <w:r w:rsidRPr="009A7A20">
        <w:rPr>
          <w:rFonts w:ascii="Arial" w:eastAsia="Times New Roman" w:hAnsi="Arial" w:cs="Arial"/>
          <w:kern w:val="0"/>
          <w:sz w:val="20"/>
          <w:szCs w:val="20"/>
          <w:lang w:val="en-US"/>
        </w:rPr>
        <w:t>dellen</w:t>
      </w:r>
      <w:proofErr w:type="spellEnd"/>
      <w:r w:rsidRPr="009A7A20">
        <w:rPr>
          <w:rFonts w:ascii="Arial" w:eastAsia="Times New Roman" w:hAnsi="Arial" w:cs="Arial"/>
          <w:kern w:val="0"/>
          <w:sz w:val="20"/>
          <w:szCs w:val="20"/>
          <w:lang w:val="en-US"/>
        </w:rPr>
        <w:t xml:space="preserve"> following pterygium surgery. J Glaucoma-Cataract. 2016;11(2):65–68.</w:t>
      </w:r>
    </w:p>
    <w:p w14:paraId="6B55DCA4" w14:textId="77777777" w:rsidR="009A7A20" w:rsidRPr="009A7A20" w:rsidRDefault="009A7A20" w:rsidP="009A7A20">
      <w:pPr>
        <w:pStyle w:val="ListParagraph"/>
        <w:numPr>
          <w:ilvl w:val="0"/>
          <w:numId w:val="33"/>
        </w:numPr>
        <w:rPr>
          <w:rFonts w:ascii="Arial" w:eastAsia="Times New Roman" w:hAnsi="Arial" w:cs="Arial"/>
          <w:kern w:val="0"/>
          <w:sz w:val="20"/>
          <w:szCs w:val="20"/>
          <w:lang w:val="en-US"/>
        </w:rPr>
      </w:pPr>
      <w:r w:rsidRPr="009A7A20">
        <w:rPr>
          <w:rFonts w:ascii="Arial" w:eastAsia="Times New Roman" w:hAnsi="Arial" w:cs="Arial"/>
          <w:kern w:val="0"/>
          <w:sz w:val="20"/>
          <w:szCs w:val="20"/>
          <w:lang w:val="en-US"/>
        </w:rPr>
        <w:t>Mahdy MA, Grima JT, Edwards M. Effects of topical steroids on corneal epithelial wound healing in rabbits. Eye Contact Lens. 2007;33(6):274–278.</w:t>
      </w:r>
    </w:p>
    <w:p w14:paraId="2BBC8F3D" w14:textId="67DD91B9" w:rsidR="0086343C" w:rsidRDefault="0086343C" w:rsidP="009A7A20">
      <w:pPr>
        <w:pStyle w:val="ListParagraph"/>
        <w:numPr>
          <w:ilvl w:val="0"/>
          <w:numId w:val="33"/>
        </w:numPr>
        <w:rPr>
          <w:rFonts w:ascii="Arial" w:eastAsia="Times New Roman" w:hAnsi="Arial" w:cs="Arial"/>
          <w:kern w:val="0"/>
          <w:sz w:val="20"/>
          <w:szCs w:val="20"/>
          <w:lang w:val="en-US"/>
        </w:rPr>
      </w:pPr>
      <w:r w:rsidRPr="0086343C">
        <w:rPr>
          <w:rFonts w:ascii="Arial" w:eastAsia="Times New Roman" w:hAnsi="Arial" w:cs="Arial"/>
          <w:kern w:val="0"/>
          <w:sz w:val="20"/>
          <w:szCs w:val="20"/>
          <w:lang w:val="en-US"/>
        </w:rPr>
        <w:t xml:space="preserve">Tsubota, K., Goto, E., </w:t>
      </w:r>
      <w:proofErr w:type="spellStart"/>
      <w:r w:rsidRPr="0086343C">
        <w:rPr>
          <w:rFonts w:ascii="Arial" w:eastAsia="Times New Roman" w:hAnsi="Arial" w:cs="Arial"/>
          <w:kern w:val="0"/>
          <w:sz w:val="20"/>
          <w:szCs w:val="20"/>
          <w:lang w:val="en-US"/>
        </w:rPr>
        <w:t>Shimmura</w:t>
      </w:r>
      <w:proofErr w:type="spellEnd"/>
      <w:r w:rsidRPr="0086343C">
        <w:rPr>
          <w:rFonts w:ascii="Arial" w:eastAsia="Times New Roman" w:hAnsi="Arial" w:cs="Arial"/>
          <w:kern w:val="0"/>
          <w:sz w:val="20"/>
          <w:szCs w:val="20"/>
          <w:lang w:val="en-US"/>
        </w:rPr>
        <w:t xml:space="preserve">, S., &amp; Shimazaki, J. (1999). Treatment of persistent corneal epithelial defect by autologous serum application. Ophthalmology, 106(10), 1984–1989. </w:t>
      </w:r>
      <w:hyperlink r:id="rId19" w:history="1">
        <w:r w:rsidRPr="00CE6F54">
          <w:rPr>
            <w:rStyle w:val="Hyperlink"/>
            <w:rFonts w:ascii="Arial" w:eastAsia="Times New Roman" w:hAnsi="Arial" w:cs="Arial"/>
            <w:kern w:val="0"/>
            <w:sz w:val="20"/>
            <w:szCs w:val="20"/>
            <w:lang w:val="en-US"/>
          </w:rPr>
          <w:t>https://doi.org/10.1016/S0161-6420(99)90412-8</w:t>
        </w:r>
      </w:hyperlink>
    </w:p>
    <w:p w14:paraId="5517DFD7" w14:textId="51725F3D" w:rsidR="009A7A20" w:rsidRPr="009A7A20" w:rsidRDefault="009A7A20" w:rsidP="009A7A20">
      <w:pPr>
        <w:pStyle w:val="ListParagraph"/>
        <w:numPr>
          <w:ilvl w:val="0"/>
          <w:numId w:val="33"/>
        </w:numPr>
        <w:rPr>
          <w:rFonts w:ascii="Arial" w:eastAsia="Times New Roman" w:hAnsi="Arial" w:cs="Arial"/>
          <w:kern w:val="0"/>
          <w:sz w:val="20"/>
          <w:szCs w:val="20"/>
          <w:lang w:val="en-US"/>
        </w:rPr>
      </w:pPr>
      <w:r w:rsidRPr="009A7A20">
        <w:rPr>
          <w:rFonts w:ascii="Arial" w:eastAsia="Times New Roman" w:hAnsi="Arial" w:cs="Arial"/>
          <w:kern w:val="0"/>
          <w:sz w:val="20"/>
          <w:szCs w:val="20"/>
          <w:lang w:val="en-US"/>
        </w:rPr>
        <w:t xml:space="preserve">Singh G, Mehta P, Arora V, et al. Scleral </w:t>
      </w:r>
      <w:proofErr w:type="spellStart"/>
      <w:r w:rsidRPr="009A7A20">
        <w:rPr>
          <w:rFonts w:ascii="Arial" w:eastAsia="Times New Roman" w:hAnsi="Arial" w:cs="Arial"/>
          <w:kern w:val="0"/>
          <w:sz w:val="20"/>
          <w:szCs w:val="20"/>
          <w:lang w:val="en-US"/>
        </w:rPr>
        <w:t>dellen</w:t>
      </w:r>
      <w:proofErr w:type="spellEnd"/>
      <w:r w:rsidRPr="009A7A20">
        <w:rPr>
          <w:rFonts w:ascii="Arial" w:eastAsia="Times New Roman" w:hAnsi="Arial" w:cs="Arial"/>
          <w:kern w:val="0"/>
          <w:sz w:val="20"/>
          <w:szCs w:val="20"/>
          <w:lang w:val="en-US"/>
        </w:rPr>
        <w:t xml:space="preserve"> as a complication of pterygium surgery: A case series and review. Indian J </w:t>
      </w:r>
      <w:proofErr w:type="spellStart"/>
      <w:r w:rsidRPr="009A7A20">
        <w:rPr>
          <w:rFonts w:ascii="Arial" w:eastAsia="Times New Roman" w:hAnsi="Arial" w:cs="Arial"/>
          <w:kern w:val="0"/>
          <w:sz w:val="20"/>
          <w:szCs w:val="20"/>
          <w:lang w:val="en-US"/>
        </w:rPr>
        <w:t>Ophthalmol</w:t>
      </w:r>
      <w:proofErr w:type="spellEnd"/>
      <w:r w:rsidRPr="009A7A20">
        <w:rPr>
          <w:rFonts w:ascii="Arial" w:eastAsia="Times New Roman" w:hAnsi="Arial" w:cs="Arial"/>
          <w:kern w:val="0"/>
          <w:sz w:val="20"/>
          <w:szCs w:val="20"/>
          <w:lang w:val="en-US"/>
        </w:rPr>
        <w:t>. 2022;70(2):345–350.</w:t>
      </w:r>
    </w:p>
    <w:p w14:paraId="5EB9368E" w14:textId="77777777" w:rsidR="00B01FCD" w:rsidRPr="00FB3A86" w:rsidRDefault="00B01FCD" w:rsidP="009A7A20">
      <w:pPr>
        <w:pStyle w:val="Body"/>
        <w:spacing w:after="0"/>
        <w:rPr>
          <w:rFonts w:ascii="Arial" w:hAnsi="Arial" w:cs="Arial"/>
          <w:b/>
        </w:rPr>
      </w:pPr>
    </w:p>
    <w:sectPr w:rsidR="00B01FCD" w:rsidRPr="00FB3A86" w:rsidSect="00E16C45">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7CA90" w14:textId="77777777" w:rsidR="003221BA" w:rsidRDefault="003221BA" w:rsidP="00C37E61">
      <w:r>
        <w:separator/>
      </w:r>
    </w:p>
  </w:endnote>
  <w:endnote w:type="continuationSeparator" w:id="0">
    <w:p w14:paraId="2C5F7F46" w14:textId="77777777" w:rsidR="003221BA" w:rsidRDefault="003221B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E6ADB" w14:textId="77777777" w:rsidR="00E16C45" w:rsidRDefault="00E16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2BA23" w14:textId="77777777" w:rsidR="00E16C45" w:rsidRDefault="00E16C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5FCCE" w14:textId="77777777" w:rsidR="009E048A" w:rsidRDefault="009E048A">
    <w:pPr>
      <w:pStyle w:val="Footer"/>
      <w:rPr>
        <w:rFonts w:ascii="Arial" w:hAnsi="Arial" w:cs="Arial"/>
        <w:sz w:val="16"/>
      </w:rPr>
    </w:pPr>
  </w:p>
  <w:p w14:paraId="1A302C2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51B7CCF" w14:textId="77777777" w:rsidR="009E048A" w:rsidRDefault="009E048A">
    <w:pPr>
      <w:pStyle w:val="Footer"/>
      <w:rPr>
        <w:rFonts w:ascii="Arial" w:hAnsi="Arial" w:cs="Arial"/>
        <w:sz w:val="16"/>
      </w:rPr>
    </w:pPr>
  </w:p>
  <w:p w14:paraId="4A8FEF7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AE14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B0F7B" w14:textId="77777777" w:rsidR="003221BA" w:rsidRDefault="003221BA" w:rsidP="00C37E61">
      <w:r>
        <w:separator/>
      </w:r>
    </w:p>
  </w:footnote>
  <w:footnote w:type="continuationSeparator" w:id="0">
    <w:p w14:paraId="6597D960" w14:textId="77777777" w:rsidR="003221BA" w:rsidRDefault="003221B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751E6" w14:textId="729283D4" w:rsidR="00E16C45" w:rsidRDefault="00E16C45">
    <w:pPr>
      <w:pStyle w:val="Header"/>
    </w:pPr>
    <w:r>
      <w:rPr>
        <w:noProof/>
      </w:rPr>
      <w:pict w14:anchorId="66054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53584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2D80E" w14:textId="758F09D0" w:rsidR="00E16C45" w:rsidRDefault="00E16C45">
    <w:pPr>
      <w:pStyle w:val="Header"/>
    </w:pPr>
    <w:r>
      <w:rPr>
        <w:noProof/>
      </w:rPr>
      <w:pict w14:anchorId="0F597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53584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3A8FA" w14:textId="1C658315" w:rsidR="00296529" w:rsidRPr="00296529" w:rsidRDefault="00E16C45" w:rsidP="00296529">
    <w:pPr>
      <w:ind w:left="2160"/>
      <w:jc w:val="center"/>
      <w:rPr>
        <w:rFonts w:ascii="Times New Roman" w:eastAsia="Calibri" w:hAnsi="Times New Roman"/>
        <w:i/>
        <w:sz w:val="18"/>
        <w:szCs w:val="22"/>
      </w:rPr>
    </w:pPr>
    <w:r>
      <w:rPr>
        <w:noProof/>
      </w:rPr>
      <w:pict w14:anchorId="564E7E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53584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E06536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3BAE61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1AFA3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FE10C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D6ABB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086440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C5052" w14:textId="0BE5871E" w:rsidR="00E16C45" w:rsidRDefault="00E16C45">
    <w:pPr>
      <w:pStyle w:val="Header"/>
    </w:pPr>
    <w:r>
      <w:rPr>
        <w:noProof/>
      </w:rPr>
      <w:pict w14:anchorId="5DFE9D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53584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A341C" w14:textId="4D758E76" w:rsidR="00E16C45" w:rsidRDefault="00E16C45">
    <w:pPr>
      <w:pStyle w:val="Header"/>
    </w:pPr>
    <w:r>
      <w:rPr>
        <w:noProof/>
      </w:rPr>
      <w:pict w14:anchorId="200DD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53584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AB0F" w14:textId="6189CD3F" w:rsidR="00E16C45" w:rsidRDefault="00E16C45">
    <w:pPr>
      <w:pStyle w:val="Header"/>
    </w:pPr>
    <w:r>
      <w:rPr>
        <w:noProof/>
      </w:rPr>
      <w:pict w14:anchorId="5C486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53584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B91F51"/>
    <w:multiLevelType w:val="hybridMultilevel"/>
    <w:tmpl w:val="200E31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3D1DAF"/>
    <w:multiLevelType w:val="hybridMultilevel"/>
    <w:tmpl w:val="9CCCE2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EF4532B"/>
    <w:multiLevelType w:val="hybridMultilevel"/>
    <w:tmpl w:val="C9487E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1"/>
  </w:num>
  <w:num w:numId="21">
    <w:abstractNumId w:val="9"/>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6"/>
  </w:num>
  <w:num w:numId="32">
    <w:abstractNumId w:val="21"/>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574"/>
    <w:rsid w:val="00030174"/>
    <w:rsid w:val="0004579C"/>
    <w:rsid w:val="000A47FA"/>
    <w:rsid w:val="000A65D3"/>
    <w:rsid w:val="000B1E33"/>
    <w:rsid w:val="000D689F"/>
    <w:rsid w:val="000E7B7B"/>
    <w:rsid w:val="000E7D62"/>
    <w:rsid w:val="00103357"/>
    <w:rsid w:val="00121C81"/>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0DE7"/>
    <w:rsid w:val="00231920"/>
    <w:rsid w:val="0023195C"/>
    <w:rsid w:val="0024282C"/>
    <w:rsid w:val="00246026"/>
    <w:rsid w:val="002460DC"/>
    <w:rsid w:val="00250985"/>
    <w:rsid w:val="002556F6"/>
    <w:rsid w:val="00283105"/>
    <w:rsid w:val="00284C4C"/>
    <w:rsid w:val="00287E68"/>
    <w:rsid w:val="00296529"/>
    <w:rsid w:val="002B27FB"/>
    <w:rsid w:val="002B685A"/>
    <w:rsid w:val="002C57D2"/>
    <w:rsid w:val="002D3A85"/>
    <w:rsid w:val="002E0D56"/>
    <w:rsid w:val="00315186"/>
    <w:rsid w:val="003221BA"/>
    <w:rsid w:val="0033343E"/>
    <w:rsid w:val="003512C2"/>
    <w:rsid w:val="00371FB6"/>
    <w:rsid w:val="003763C1"/>
    <w:rsid w:val="003764E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47EA"/>
    <w:rsid w:val="00471A80"/>
    <w:rsid w:val="004D305E"/>
    <w:rsid w:val="004D4277"/>
    <w:rsid w:val="00502516"/>
    <w:rsid w:val="00505F06"/>
    <w:rsid w:val="00506828"/>
    <w:rsid w:val="0053056E"/>
    <w:rsid w:val="00554FDA"/>
    <w:rsid w:val="005A0A2B"/>
    <w:rsid w:val="005C784C"/>
    <w:rsid w:val="005D17F6"/>
    <w:rsid w:val="005E5539"/>
    <w:rsid w:val="00602BF5"/>
    <w:rsid w:val="00617FDD"/>
    <w:rsid w:val="00633614"/>
    <w:rsid w:val="00633F68"/>
    <w:rsid w:val="00636EB2"/>
    <w:rsid w:val="006375B8"/>
    <w:rsid w:val="0066510A"/>
    <w:rsid w:val="00673F9F"/>
    <w:rsid w:val="006763EA"/>
    <w:rsid w:val="00686953"/>
    <w:rsid w:val="00687DEA"/>
    <w:rsid w:val="00687E67"/>
    <w:rsid w:val="006967F7"/>
    <w:rsid w:val="006A250C"/>
    <w:rsid w:val="006A567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43C"/>
    <w:rsid w:val="00863BD3"/>
    <w:rsid w:val="008641ED"/>
    <w:rsid w:val="00866D66"/>
    <w:rsid w:val="008671C6"/>
    <w:rsid w:val="00875803"/>
    <w:rsid w:val="008B459E"/>
    <w:rsid w:val="008E13AE"/>
    <w:rsid w:val="008E1506"/>
    <w:rsid w:val="008E710C"/>
    <w:rsid w:val="008F69D6"/>
    <w:rsid w:val="008F6AFD"/>
    <w:rsid w:val="00902823"/>
    <w:rsid w:val="00915CA6"/>
    <w:rsid w:val="00927834"/>
    <w:rsid w:val="009500A6"/>
    <w:rsid w:val="00957C18"/>
    <w:rsid w:val="009659BA"/>
    <w:rsid w:val="00983040"/>
    <w:rsid w:val="009A124B"/>
    <w:rsid w:val="009A7A20"/>
    <w:rsid w:val="009B3FB9"/>
    <w:rsid w:val="009C2465"/>
    <w:rsid w:val="009D35A0"/>
    <w:rsid w:val="009D7EB7"/>
    <w:rsid w:val="009E048A"/>
    <w:rsid w:val="009E08E9"/>
    <w:rsid w:val="009E3DB9"/>
    <w:rsid w:val="009E6E35"/>
    <w:rsid w:val="009F0172"/>
    <w:rsid w:val="009F0EDA"/>
    <w:rsid w:val="00A03B96"/>
    <w:rsid w:val="00A05B19"/>
    <w:rsid w:val="00A1134E"/>
    <w:rsid w:val="00A24E7E"/>
    <w:rsid w:val="00A258C3"/>
    <w:rsid w:val="00A347C0"/>
    <w:rsid w:val="00A43E5B"/>
    <w:rsid w:val="00A51431"/>
    <w:rsid w:val="00A539AD"/>
    <w:rsid w:val="00A94063"/>
    <w:rsid w:val="00AA6219"/>
    <w:rsid w:val="00AA74E0"/>
    <w:rsid w:val="00AB703F"/>
    <w:rsid w:val="00AC6BB8"/>
    <w:rsid w:val="00AE008F"/>
    <w:rsid w:val="00B01FCD"/>
    <w:rsid w:val="00B1776C"/>
    <w:rsid w:val="00B34A5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07AC"/>
    <w:rsid w:val="00C70F1B"/>
    <w:rsid w:val="00C71A47"/>
    <w:rsid w:val="00C7464C"/>
    <w:rsid w:val="00C85588"/>
    <w:rsid w:val="00CD6755"/>
    <w:rsid w:val="00CD6856"/>
    <w:rsid w:val="00CE0089"/>
    <w:rsid w:val="00CE793C"/>
    <w:rsid w:val="00CF193C"/>
    <w:rsid w:val="00D173F1"/>
    <w:rsid w:val="00D74CB0"/>
    <w:rsid w:val="00D8295D"/>
    <w:rsid w:val="00DC2A65"/>
    <w:rsid w:val="00DD7C0A"/>
    <w:rsid w:val="00DE15F0"/>
    <w:rsid w:val="00DE5663"/>
    <w:rsid w:val="00DE78AA"/>
    <w:rsid w:val="00E053D0"/>
    <w:rsid w:val="00E15994"/>
    <w:rsid w:val="00E16C45"/>
    <w:rsid w:val="00E242E3"/>
    <w:rsid w:val="00E3114E"/>
    <w:rsid w:val="00E31A70"/>
    <w:rsid w:val="00E35B02"/>
    <w:rsid w:val="00E66496"/>
    <w:rsid w:val="00E66B35"/>
    <w:rsid w:val="00E66E10"/>
    <w:rsid w:val="00E769F6"/>
    <w:rsid w:val="00E8407C"/>
    <w:rsid w:val="00E84F3C"/>
    <w:rsid w:val="00EA012C"/>
    <w:rsid w:val="00EC6A55"/>
    <w:rsid w:val="00ED0288"/>
    <w:rsid w:val="00ED1CDD"/>
    <w:rsid w:val="00EE52CB"/>
    <w:rsid w:val="00EF581D"/>
    <w:rsid w:val="00EF7FD8"/>
    <w:rsid w:val="00F06F59"/>
    <w:rsid w:val="00F16E86"/>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4D3655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F6AFD"/>
    <w:pPr>
      <w:spacing w:after="160" w:line="259" w:lineRule="auto"/>
      <w:ind w:left="720"/>
      <w:contextualSpacing/>
    </w:pPr>
    <w:rPr>
      <w:rFonts w:asciiTheme="minorHAnsi" w:eastAsiaTheme="minorHAnsi" w:hAnsiTheme="minorHAnsi" w:cstheme="minorBidi"/>
      <w:kern w:val="2"/>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38/sj.eye.6700123"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16/S0161-6420(99)90412-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F728-29C5-4741-96D0-5837C4867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77</TotalTime>
  <Pages>6</Pages>
  <Words>1655</Words>
  <Characters>9435</Characters>
  <Application>Microsoft Office Word</Application>
  <DocSecurity>0</DocSecurity>
  <Lines>78</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11068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2014-10-25T14:34:00Z</dcterms:created>
  <dcterms:modified xsi:type="dcterms:W3CDTF">2025-12-20T09:32:00Z</dcterms:modified>
</cp:coreProperties>
</file>