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ED12E" w14:textId="77777777" w:rsidR="00D5051C" w:rsidRDefault="00D5051C" w:rsidP="00462739">
      <w:pPr>
        <w:pStyle w:val="Heading1"/>
        <w:rPr>
          <w:rStyle w:val="Strong"/>
          <w:b/>
          <w:bCs/>
          <w:lang w:val="en-GB"/>
        </w:rPr>
      </w:pPr>
      <w:bookmarkStart w:id="0" w:name="_GoBack"/>
      <w:bookmarkEnd w:id="0"/>
      <w:r w:rsidRPr="00D5051C">
        <w:rPr>
          <w:rStyle w:val="Strong"/>
          <w:b/>
          <w:bCs/>
          <w:lang w:val="en-GB"/>
        </w:rPr>
        <w:t>Review Article</w:t>
      </w:r>
    </w:p>
    <w:p w14:paraId="5A9F75A6" w14:textId="77777777" w:rsidR="00D5051C" w:rsidRDefault="00D5051C" w:rsidP="00462739">
      <w:pPr>
        <w:pStyle w:val="Heading1"/>
        <w:rPr>
          <w:rStyle w:val="Strong"/>
          <w:b/>
          <w:bCs/>
          <w:lang w:val="en-GB"/>
        </w:rPr>
      </w:pPr>
    </w:p>
    <w:p w14:paraId="2324E533" w14:textId="7B2BCE8A" w:rsidR="00462739" w:rsidRPr="00462739" w:rsidRDefault="00462739" w:rsidP="00462739">
      <w:pPr>
        <w:pStyle w:val="Heading1"/>
        <w:rPr>
          <w:lang w:val="en-GB"/>
        </w:rPr>
      </w:pPr>
      <w:r w:rsidRPr="00462739">
        <w:rPr>
          <w:rStyle w:val="Strong"/>
          <w:b/>
          <w:bCs/>
          <w:lang w:val="en-GB"/>
        </w:rPr>
        <w:t>Water-efficient agronomic strategies for drought-prone regions: A review</w:t>
      </w:r>
    </w:p>
    <w:p w14:paraId="59798A20" w14:textId="77777777" w:rsidR="00462739" w:rsidRPr="00462739" w:rsidRDefault="00462739" w:rsidP="00462739">
      <w:pPr>
        <w:rPr>
          <w:lang w:val="en-GB"/>
        </w:rPr>
      </w:pPr>
    </w:p>
    <w:p w14:paraId="26B4DB19" w14:textId="77777777" w:rsidR="00462739" w:rsidRPr="00462739" w:rsidRDefault="00462739" w:rsidP="00462739">
      <w:pPr>
        <w:pStyle w:val="Heading2"/>
        <w:rPr>
          <w:lang w:val="en-GB"/>
        </w:rPr>
      </w:pPr>
      <w:r w:rsidRPr="00462739">
        <w:rPr>
          <w:lang w:val="en-GB"/>
        </w:rPr>
        <w:t>Abstract</w:t>
      </w:r>
    </w:p>
    <w:p w14:paraId="03461006" w14:textId="77777777" w:rsidR="00462739" w:rsidRPr="00462739" w:rsidRDefault="00462739" w:rsidP="00462739">
      <w:pPr>
        <w:pStyle w:val="NormalWeb"/>
        <w:rPr>
          <w:lang w:val="en-GB"/>
        </w:rPr>
      </w:pPr>
      <w:r w:rsidRPr="00462739">
        <w:rPr>
          <w:lang w:val="en-GB"/>
        </w:rPr>
        <w:t>Drought-prone agroecosystems are defined not only by low rainfall totals but also by high rainfall variability, elevated evaporative demand, and soils and landscapes that promote rapid runoff or unproductive evaporation. In such settings, “more water” is often less attainable than “better water use,” making agronomic strategies that increase the capture, storage, and productive transpiration of limited water central to climate-resilient food systems. This review synthesizes evidence on water-efficient agronomic strategies applicable to rainfed and supplemental-irrigation systems in drought-prone regions. Emphasis is placed on management pathways that shift water from non-productive losses to crop growth: conservation agriculture and residue retention; organic, plastic, and biodegradable mulches; soil physical improvement and amendments such as biochar; crop and cropping-system design including cultivar phenology matching, spatial configuration, and intercropping; and irrigation innovations such as deficit irrigation, partial root-zone techniques, and alternate wetting and drying in rice. The review highlights how agronomic interventions interact across soil–plant–atmosphere processes, why outcomes are context-dependent, and how integrated “stacked” practices can reduce risk while improving water productivity. Remaining knowledge gaps include scaling rules across soil types and drought regimes, the durability of benefits under multi-year drought, and the socio-economic constraints shaping adoption in smallholder and commercial systems.</w:t>
      </w:r>
    </w:p>
    <w:p w14:paraId="31E163AA" w14:textId="77777777" w:rsidR="00462739" w:rsidRPr="00462739" w:rsidRDefault="00462739" w:rsidP="00462739">
      <w:pPr>
        <w:pStyle w:val="NormalWeb"/>
        <w:rPr>
          <w:lang w:val="en-GB"/>
        </w:rPr>
      </w:pPr>
      <w:r w:rsidRPr="00462739">
        <w:rPr>
          <w:rStyle w:val="Strong"/>
          <w:lang w:val="en-GB"/>
        </w:rPr>
        <w:t>Keywords:</w:t>
      </w:r>
      <w:r w:rsidRPr="00462739">
        <w:rPr>
          <w:lang w:val="en-GB"/>
        </w:rPr>
        <w:t xml:space="preserve"> drought adaptation; dryland agriculture; water productivity; conservation agriculture; mulching; deficit irrigation; partial root-zone irrigation; biochar; intercropping; cover crops; alternate wetting and drying</w:t>
      </w:r>
    </w:p>
    <w:p w14:paraId="2EB92E0E" w14:textId="77777777" w:rsidR="00462739" w:rsidRPr="00462739" w:rsidRDefault="00462739" w:rsidP="00462739">
      <w:pPr>
        <w:rPr>
          <w:lang w:val="en-GB"/>
        </w:rPr>
      </w:pPr>
    </w:p>
    <w:p w14:paraId="11288988" w14:textId="77777777" w:rsidR="00E6358B" w:rsidRPr="00E6358B" w:rsidRDefault="00E6358B" w:rsidP="00E6358B">
      <w:pPr>
        <w:spacing w:before="100" w:beforeAutospacing="1" w:after="100" w:afterAutospacing="1" w:line="240" w:lineRule="auto"/>
        <w:ind w:left="0" w:right="0" w:firstLine="0"/>
        <w:jc w:val="left"/>
        <w:outlineLvl w:val="0"/>
        <w:rPr>
          <w:b/>
          <w:bCs/>
          <w:color w:val="auto"/>
          <w:kern w:val="36"/>
          <w:sz w:val="48"/>
          <w:szCs w:val="48"/>
          <w:lang w:val="en-US" w:eastAsia="en-US"/>
        </w:rPr>
      </w:pPr>
      <w:r w:rsidRPr="00E6358B">
        <w:rPr>
          <w:b/>
          <w:bCs/>
          <w:color w:val="auto"/>
          <w:kern w:val="36"/>
          <w:sz w:val="48"/>
          <w:szCs w:val="48"/>
          <w:lang w:val="en-US" w:eastAsia="en-US"/>
        </w:rPr>
        <w:t>1. Introduction</w:t>
      </w:r>
    </w:p>
    <w:p w14:paraId="5B30F3F5"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 xml:space="preserve">Drought-prone regions are shaped not only by low seasonal rainfall totals but also by high inter- and intra-seasonal variability, frequent dry spells, and elevated atmospheric evaporative demand that can rapidly deplete soil moisture. In these environments, crop failure risk is often driven by the timing of water stress relative to sensitive growth stages rather than by annual precipitation alone. As a result, agronomic water efficiency cannot be treated as a </w:t>
      </w:r>
      <w:r w:rsidRPr="00E6358B">
        <w:rPr>
          <w:color w:val="auto"/>
          <w:kern w:val="0"/>
          <w:lang w:val="en-US" w:eastAsia="en-US"/>
        </w:rPr>
        <w:lastRenderedPageBreak/>
        <w:t>single “water-saving” action; it is a systems outcome emerging from how rainfall and irrigation are captured, stored, and converted into biomass and harvestable yield. The classic framing of crop production under water limitation emphasizes that yield is strongly linked to transpiration and to how effectively plants translate transpired water into biomass and harvest index, while losses through soil evaporation, runoff, and deep drainage represent missed opportunities (</w:t>
      </w:r>
      <w:proofErr w:type="spellStart"/>
      <w:r w:rsidRPr="00E6358B">
        <w:rPr>
          <w:color w:val="auto"/>
          <w:kern w:val="0"/>
          <w:lang w:val="en-US" w:eastAsia="en-US"/>
        </w:rPr>
        <w:t>Passioura</w:t>
      </w:r>
      <w:proofErr w:type="spellEnd"/>
      <w:r w:rsidRPr="00E6358B">
        <w:rPr>
          <w:color w:val="auto"/>
          <w:kern w:val="0"/>
          <w:lang w:val="en-US" w:eastAsia="en-US"/>
        </w:rPr>
        <w:t>, 2007).</w:t>
      </w:r>
    </w:p>
    <w:p w14:paraId="000BD7C6"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A persistent challenge in drought-prone agriculture is that a large share of incoming precipitation never becomes productive transpiration. Water may be lost quickly from bare soil surfaces, diverted as runoff during high-intensity rainfall events, or stored in portions of the profile that roots cannot reach during critical periods. These losses are magnified in degraded soils with poor structure, surface crusting, low organic matter, or shallow rooting depth. Consequently, water-efficient agronomy is often best understood as deliberate re-partitioning: shifting water away from non-productive pathways and toward crop transpiration at the times when yield formation is most responsive (</w:t>
      </w:r>
      <w:proofErr w:type="spellStart"/>
      <w:r w:rsidRPr="00E6358B">
        <w:rPr>
          <w:color w:val="auto"/>
          <w:kern w:val="0"/>
          <w:lang w:val="en-US" w:eastAsia="en-US"/>
        </w:rPr>
        <w:t>Passioura</w:t>
      </w:r>
      <w:proofErr w:type="spellEnd"/>
      <w:r w:rsidRPr="00E6358B">
        <w:rPr>
          <w:color w:val="auto"/>
          <w:kern w:val="0"/>
          <w:lang w:val="en-US" w:eastAsia="en-US"/>
        </w:rPr>
        <w:t>, 2007). This framing also helps reconcile an important practical point: improving water productivity does not always require increasing total water input. In many drought-prone systems, meaningful gains can come from improved rainfall-use efficiency—capturing more of what arrives and keeping it available longer in the root zone—rather than relying on expanded irrigation supplies that may be limited or increasingly contested.</w:t>
      </w:r>
    </w:p>
    <w:p w14:paraId="61616B45"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The case for prioritizing water-efficient agronomic strategies has strengthened as climate variability intensifies and as competition for freshwater grows across agriculture, cities, and ecosystems. A widely cited perspective on rainfed agriculture argues that meeting food needs under water scarcity requires a “paradigm shift” toward managing rainfall more productively—enhancing infiltration, reducing soil evaporation, and strengthening within-season buffering—particularly in regions where irrigation expansion is constrained (</w:t>
      </w:r>
      <w:proofErr w:type="spellStart"/>
      <w:r w:rsidRPr="00E6358B">
        <w:rPr>
          <w:color w:val="auto"/>
          <w:kern w:val="0"/>
          <w:lang w:val="en-US" w:eastAsia="en-US"/>
        </w:rPr>
        <w:t>Rockström</w:t>
      </w:r>
      <w:proofErr w:type="spellEnd"/>
      <w:r w:rsidRPr="00E6358B">
        <w:rPr>
          <w:color w:val="auto"/>
          <w:kern w:val="0"/>
          <w:lang w:val="en-US" w:eastAsia="en-US"/>
        </w:rPr>
        <w:t xml:space="preserve"> et al., 2010). From this standpoint, drought-prone regions should be viewed as hydrologically “tight” systems where small improvements in infiltration, soil cover, and root-zone storage can have outsized benefits for yield stability because they reduce exposure to damaging stress during flowering and grain filling.</w:t>
      </w:r>
    </w:p>
    <w:p w14:paraId="715D1393"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Where irrigation is present, it frequently functions as supplemental water rather than full supply, and its value depends strongly on timing. This makes irrigation strategy inseparable from agronomy: soil cover and soil physical condition determine how effectively applied water is retained; cultivar phenology and canopy development determine when water demand peaks; and scheduling determines whether scarce water is used to protect yield-critical stages. Deficit irrigation, in particular, has been developed as a purposeful approach to apply less than full crop water requirements while limiting yield penalties through stage-sensitive water allocation, thereby improving water productivity rather than maximizing yield per se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 Yet even well-designed deficit programs can fail without reliable scheduling information and field-level capacity to implement decisions. Plant-based scheduling methods offer the appeal of responding directly to crop water status, but they also carry pitfalls: thresholds can be difficult to generalize across environments, and measurement can be operationally demanding, especially for farmers managing risk under highly variable conditions (Jones, 2004). These insights highlight why “water-efficient agronomy” must cover both the supply side (how water is delivered and conserved) and the demand side (how crops use water across development).</w:t>
      </w:r>
    </w:p>
    <w:p w14:paraId="1AC4F041"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lastRenderedPageBreak/>
        <w:t>On the rainfed and soil-management side, conservation agriculture has been widely promoted as a pathway to drought resilience because residue cover and reduced disturbance can reduce evaporation, protect against crusting, and support soil structural stability that enhances infiltration. The broader sustainability rationale emphasizes that conservation agriculture is not merely a set of practices but an approach that can improve resource efficiency and resilience when adapted to local constraints and integrated with appropriate rotations (Hobbs et al., 2008). At the same time, large-scale evidence warns against assuming universal yield benefits; outcomes can vary across climates, soils, and management contexts, with performance shaped by residue availability, weed pressure, and the feasibility of maintaining soil cover (</w:t>
      </w:r>
      <w:proofErr w:type="spellStart"/>
      <w:r w:rsidRPr="00E6358B">
        <w:rPr>
          <w:color w:val="auto"/>
          <w:kern w:val="0"/>
          <w:lang w:val="en-US" w:eastAsia="en-US"/>
        </w:rPr>
        <w:t>Pittelkow</w:t>
      </w:r>
      <w:proofErr w:type="spellEnd"/>
      <w:r w:rsidRPr="00E6358B">
        <w:rPr>
          <w:color w:val="auto"/>
          <w:kern w:val="0"/>
          <w:lang w:val="en-US" w:eastAsia="en-US"/>
        </w:rPr>
        <w:t xml:space="preserve"> et al., 2015). For drought-prone regions, this variability is especially important because the very resource most needed for soil cover—crop residue—may be scarce or diverted to livestock feed and other competing uses, potentially weakening the effectiveness of conservation-oriented packages.</w:t>
      </w:r>
    </w:p>
    <w:p w14:paraId="1041BF37"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Mulching illustrates both the promise and complexity of field-scale water conservation. By directly reducing soil evaporation and moderating soil temperature, mulches can extend the availability of water into later growth stages and reduce the intensity of short dry spells, often improving yield stability even when seasonal rainfall is unchanged. Recent syntheses describe advances in mulching materials and methods and emphasize that mulches act through multiple mechanisms, including reduced radiation at the surface, decreased wind speed near the soil, and improved infiltration by limiting crust formation (Kader et al., 2017). Plastic mulches can provide strong evaporation suppression, but they raise disposal and environmental concerns that must be weighed against agronomic benefits; biodegradable options have been developed to address these issues, though performance and practicality can differ across environments (</w:t>
      </w:r>
      <w:proofErr w:type="spellStart"/>
      <w:r w:rsidRPr="00E6358B">
        <w:rPr>
          <w:color w:val="auto"/>
          <w:kern w:val="0"/>
          <w:lang w:val="en-US" w:eastAsia="en-US"/>
        </w:rPr>
        <w:t>Kasirajan</w:t>
      </w:r>
      <w:proofErr w:type="spellEnd"/>
      <w:r w:rsidRPr="00E6358B">
        <w:rPr>
          <w:color w:val="auto"/>
          <w:kern w:val="0"/>
          <w:lang w:val="en-US" w:eastAsia="en-US"/>
        </w:rPr>
        <w:t xml:space="preserve"> &amp; </w:t>
      </w:r>
      <w:proofErr w:type="spellStart"/>
      <w:r w:rsidRPr="00E6358B">
        <w:rPr>
          <w:color w:val="auto"/>
          <w:kern w:val="0"/>
          <w:lang w:val="en-US" w:eastAsia="en-US"/>
        </w:rPr>
        <w:t>Ngouajio</w:t>
      </w:r>
      <w:proofErr w:type="spellEnd"/>
      <w:r w:rsidRPr="00E6358B">
        <w:rPr>
          <w:color w:val="auto"/>
          <w:kern w:val="0"/>
          <w:lang w:val="en-US" w:eastAsia="en-US"/>
        </w:rPr>
        <w:t>, 2012). In drought-prone regions, mulch decisions are therefore not purely technical. They intersect with labor, cost, residue availability, and the broader sustainability implications of material choice.</w:t>
      </w:r>
    </w:p>
    <w:p w14:paraId="45514D0A"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Taken together, these perspectives suggest that water-efficient agronomic strategies for drought-prone regions should be evaluated through three linked questions. First, which water-loss pathways dominate locally—runoff, soil evaporation, deep drainage, or inefficient irrigation—and which management levers most directly address them (</w:t>
      </w:r>
      <w:proofErr w:type="spellStart"/>
      <w:r w:rsidRPr="00E6358B">
        <w:rPr>
          <w:color w:val="auto"/>
          <w:kern w:val="0"/>
          <w:lang w:val="en-US" w:eastAsia="en-US"/>
        </w:rPr>
        <w:t>Passioura</w:t>
      </w:r>
      <w:proofErr w:type="spellEnd"/>
      <w:r w:rsidRPr="00E6358B">
        <w:rPr>
          <w:color w:val="auto"/>
          <w:kern w:val="0"/>
          <w:lang w:val="en-US" w:eastAsia="en-US"/>
        </w:rPr>
        <w:t xml:space="preserve">, 2007; </w:t>
      </w:r>
      <w:proofErr w:type="spellStart"/>
      <w:r w:rsidRPr="00E6358B">
        <w:rPr>
          <w:color w:val="auto"/>
          <w:kern w:val="0"/>
          <w:lang w:val="en-US" w:eastAsia="en-US"/>
        </w:rPr>
        <w:t>Rockström</w:t>
      </w:r>
      <w:proofErr w:type="spellEnd"/>
      <w:r w:rsidRPr="00E6358B">
        <w:rPr>
          <w:color w:val="auto"/>
          <w:kern w:val="0"/>
          <w:lang w:val="en-US" w:eastAsia="en-US"/>
        </w:rPr>
        <w:t xml:space="preserve"> et al., 2010)? Second, how do strategies perform under variability and risk, including the timing of stress and the likelihood of terminal drought? Third, what trade-offs or operational constraints shape adoption, including residue competition, weed management needs, scheduling complexity, and material sustainability (Hobbs et al., 2008; </w:t>
      </w:r>
      <w:proofErr w:type="spellStart"/>
      <w:r w:rsidRPr="00E6358B">
        <w:rPr>
          <w:color w:val="auto"/>
          <w:kern w:val="0"/>
          <w:lang w:val="en-US" w:eastAsia="en-US"/>
        </w:rPr>
        <w:t>Pittelkow</w:t>
      </w:r>
      <w:proofErr w:type="spellEnd"/>
      <w:r w:rsidRPr="00E6358B">
        <w:rPr>
          <w:color w:val="auto"/>
          <w:kern w:val="0"/>
          <w:lang w:val="en-US" w:eastAsia="en-US"/>
        </w:rPr>
        <w:t xml:space="preserve"> et al., 2015; Jones, 2004; </w:t>
      </w:r>
      <w:proofErr w:type="spellStart"/>
      <w:r w:rsidRPr="00E6358B">
        <w:rPr>
          <w:color w:val="auto"/>
          <w:kern w:val="0"/>
          <w:lang w:val="en-US" w:eastAsia="en-US"/>
        </w:rPr>
        <w:t>Kasirajan</w:t>
      </w:r>
      <w:proofErr w:type="spellEnd"/>
      <w:r w:rsidRPr="00E6358B">
        <w:rPr>
          <w:color w:val="auto"/>
          <w:kern w:val="0"/>
          <w:lang w:val="en-US" w:eastAsia="en-US"/>
        </w:rPr>
        <w:t xml:space="preserve"> &amp; </w:t>
      </w:r>
      <w:proofErr w:type="spellStart"/>
      <w:r w:rsidRPr="00E6358B">
        <w:rPr>
          <w:color w:val="auto"/>
          <w:kern w:val="0"/>
          <w:lang w:val="en-US" w:eastAsia="en-US"/>
        </w:rPr>
        <w:t>Ngouajio</w:t>
      </w:r>
      <w:proofErr w:type="spellEnd"/>
      <w:r w:rsidRPr="00E6358B">
        <w:rPr>
          <w:color w:val="auto"/>
          <w:kern w:val="0"/>
          <w:lang w:val="en-US" w:eastAsia="en-US"/>
        </w:rPr>
        <w:t>, 2012; Kader et al., 2017)? Answering these questions requires a review that emphasizes mechanisms and context dependence rather than treating any single practice as a universal solution.</w:t>
      </w:r>
    </w:p>
    <w:p w14:paraId="5B054AFA"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1.1 Scope and objectives</w:t>
      </w:r>
    </w:p>
    <w:p w14:paraId="751A4A8F"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 xml:space="preserve">This review synthesizes agronomic strategies that improve water productivity and drought resilience in drought-prone regions across rainfed and supplemental-irrigation systems. It focuses on field- and farm-level management pathways that increase effective rainfall capture, reduce non-productive water losses, enhance root-zone storage, and improve the timing and efficiency of irrigation where available. The objectives are to clarify underlying mechanisms, summarize evidence for major practice categories (including conservation-oriented soil management, mulching, and strategic irrigation), highlight trade-offs and </w:t>
      </w:r>
      <w:r w:rsidRPr="00E6358B">
        <w:rPr>
          <w:color w:val="auto"/>
          <w:kern w:val="0"/>
          <w:lang w:val="en-US" w:eastAsia="en-US"/>
        </w:rPr>
        <w:lastRenderedPageBreak/>
        <w:t>sources of context dependence, and identify practical integration pathways for designing locally coherent water-efficient agronomic packages.</w:t>
      </w:r>
    </w:p>
    <w:p w14:paraId="0CAB45D1" w14:textId="77777777" w:rsidR="00462739" w:rsidRPr="00462739" w:rsidRDefault="00462739" w:rsidP="00462739">
      <w:pPr>
        <w:rPr>
          <w:lang w:val="en-GB"/>
        </w:rPr>
      </w:pPr>
    </w:p>
    <w:p w14:paraId="21A20BC4" w14:textId="77777777" w:rsidR="00462739" w:rsidRPr="00462739" w:rsidRDefault="00462739" w:rsidP="00462739">
      <w:pPr>
        <w:pStyle w:val="Heading1"/>
        <w:rPr>
          <w:lang w:val="en-GB"/>
        </w:rPr>
      </w:pPr>
      <w:r w:rsidRPr="00462739">
        <w:rPr>
          <w:lang w:val="en-GB"/>
        </w:rPr>
        <w:t>2. Methods for literature selection</w:t>
      </w:r>
    </w:p>
    <w:p w14:paraId="60AA1174" w14:textId="77777777" w:rsidR="00462739" w:rsidRPr="00462739" w:rsidRDefault="00462739" w:rsidP="00462739">
      <w:pPr>
        <w:pStyle w:val="NormalWeb"/>
        <w:rPr>
          <w:lang w:val="en-GB"/>
        </w:rPr>
      </w:pPr>
      <w:r w:rsidRPr="00462739">
        <w:rPr>
          <w:lang w:val="en-GB"/>
        </w:rPr>
        <w:t>A targeted literature search was conducted using Web of Science, Scopus, Google Scholar, and PubMed for the period January 2000 to December 2025. Search strings combined drought and water-efficiency terms with agronomic practices, using Boolean operators and truncations, including: “drought* AND water use efficiency,” “water productivity AND dryland*,” “deficit irrigation AND yield,” “partial root-zone AND irrigation,” “conservation agriculture AND soil water,” “mulch* AND evaporation,” “biochar AND water retention,” “</w:t>
      </w:r>
      <w:proofErr w:type="spellStart"/>
      <w:r w:rsidRPr="00462739">
        <w:rPr>
          <w:lang w:val="en-GB"/>
        </w:rPr>
        <w:t>intercropp</w:t>
      </w:r>
      <w:proofErr w:type="spellEnd"/>
      <w:r w:rsidRPr="00462739">
        <w:rPr>
          <w:lang w:val="en-GB"/>
        </w:rPr>
        <w:t xml:space="preserve">* AND water,” “cover crop* AND soil water,” and “alternate wetting AND drying AND rice.” Inclusion criteria prioritized peer-reviewed research articles and quantitative syntheses (meta-analyses and systematic reviews) reporting outcomes relevant to water productivity, soil water dynamics, evapotranspiration components, or yield stability in water-limited settings. Exclusion criteria removed studies focused exclusively on controlled-environment physiology without agronomic management relevance, papers lacking sufficient methodological detail, and non-peer-reviewed sources. Reference lists of key syntheses were also screened to capture foundational studies and widely cited management frameworks. </w:t>
      </w:r>
    </w:p>
    <w:p w14:paraId="776C7245" w14:textId="77777777" w:rsidR="00462739" w:rsidRPr="00462739" w:rsidRDefault="00462739" w:rsidP="00462739">
      <w:pPr>
        <w:rPr>
          <w:lang w:val="en-GB"/>
        </w:rPr>
      </w:pPr>
    </w:p>
    <w:p w14:paraId="1668A6D2" w14:textId="77777777" w:rsidR="00E6358B" w:rsidRPr="00E6358B" w:rsidRDefault="00E6358B" w:rsidP="00E6358B">
      <w:pPr>
        <w:spacing w:before="100" w:beforeAutospacing="1" w:after="100" w:afterAutospacing="1" w:line="240" w:lineRule="auto"/>
        <w:ind w:left="0" w:right="0" w:firstLine="0"/>
        <w:jc w:val="left"/>
        <w:outlineLvl w:val="0"/>
        <w:rPr>
          <w:b/>
          <w:bCs/>
          <w:color w:val="auto"/>
          <w:kern w:val="36"/>
          <w:sz w:val="48"/>
          <w:szCs w:val="48"/>
          <w:lang w:val="en-US" w:eastAsia="en-US"/>
        </w:rPr>
      </w:pPr>
      <w:r w:rsidRPr="00E6358B">
        <w:rPr>
          <w:b/>
          <w:bCs/>
          <w:color w:val="auto"/>
          <w:kern w:val="36"/>
          <w:sz w:val="48"/>
          <w:szCs w:val="48"/>
          <w:lang w:val="en-US" w:eastAsia="en-US"/>
        </w:rPr>
        <w:t>3. Conceptual foundations for water-efficient agronomy in drought-prone regions</w:t>
      </w:r>
    </w:p>
    <w:p w14:paraId="47D4938A"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Water-efficient agronomy in drought-prone regions is grounded in a simple but powerful idea: most yield is generated from the portion of available water that passes through plants as transpiration, while much of the water that enters a field can be lost through pathways that do not directly contribute to biomass or grain formation. This framing is central to dryland agronomy because it shifts attention from “how much rain fell” to “how much of that water became productive transpiration at the right time.” The classic conceptualization emphasizes that yield in water-limited environments depends on how effectively crops (</w:t>
      </w:r>
      <w:proofErr w:type="spellStart"/>
      <w:r w:rsidRPr="00E6358B">
        <w:rPr>
          <w:color w:val="auto"/>
          <w:kern w:val="0"/>
          <w:lang w:val="en-US" w:eastAsia="en-US"/>
        </w:rPr>
        <w:t>i</w:t>
      </w:r>
      <w:proofErr w:type="spellEnd"/>
      <w:r w:rsidRPr="00E6358B">
        <w:rPr>
          <w:color w:val="auto"/>
          <w:kern w:val="0"/>
          <w:lang w:val="en-US" w:eastAsia="en-US"/>
        </w:rPr>
        <w:t>) acquire water, (ii) convert transpired water into biomass, and (iii) partition biomass into harvestable yield, while unproductive evaporation and other losses erode performance and stability (</w:t>
      </w:r>
      <w:proofErr w:type="spellStart"/>
      <w:r w:rsidRPr="00E6358B">
        <w:rPr>
          <w:color w:val="auto"/>
          <w:kern w:val="0"/>
          <w:lang w:val="en-US" w:eastAsia="en-US"/>
        </w:rPr>
        <w:t>Passioura</w:t>
      </w:r>
      <w:proofErr w:type="spellEnd"/>
      <w:r w:rsidRPr="00E6358B">
        <w:rPr>
          <w:color w:val="auto"/>
          <w:kern w:val="0"/>
          <w:lang w:val="en-US" w:eastAsia="en-US"/>
        </w:rPr>
        <w:t>, 2007).</w:t>
      </w:r>
    </w:p>
    <w:p w14:paraId="412CF963"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 xml:space="preserve">A practical implication is that water efficiency is rarely a single intervention. It is an emergent property of the soil–plant–atmosphere system and of management decisions that reshape the field water balance and the timing of crop water availability. In drought-prone regions, this timing dimension is often decisive because rainfall is episodic and stress events are stage-specific. Water deficits during establishment can restrict canopy development and rooting, reducing later capacity to exploit soil water; deficits at flowering or grain filling can </w:t>
      </w:r>
      <w:r w:rsidRPr="00E6358B">
        <w:rPr>
          <w:color w:val="auto"/>
          <w:kern w:val="0"/>
          <w:lang w:val="en-US" w:eastAsia="en-US"/>
        </w:rPr>
        <w:lastRenderedPageBreak/>
        <w:t>sharply reduce yield even if total seasonal water use is not extremely low. Therefore, water-efficient agronomy must be understood as a strategy for managing risk and vulnerability to stress windows, not merely for increasing seasonal water capture.</w:t>
      </w:r>
    </w:p>
    <w:p w14:paraId="75682626"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3.1 Water balance thinking and the “productive fraction” of water</w:t>
      </w:r>
    </w:p>
    <w:p w14:paraId="378C822E"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At the field scale, incoming water from rainfall or irrigation is partitioned into infiltration and runoff, and infiltrated water is then partitioned into soil storage, deep drainage, soil evaporation, and plant transpiration. In drought-prone regions, the “productive fraction” is the portion of available water that is stored in the root zone and later used as transpiration during yield-sensitive periods. Because soil evaporation often dominates early in the season when canopy cover is low, interventions that accelerate canopy closure or protect the soil surface can raise the productive fraction without increasing total water inputs. Similarly, practices that reduce runoff or crusting increase infiltration and storage, which can be especially valuable when rainfall comes in high-intensity events.</w:t>
      </w:r>
    </w:p>
    <w:p w14:paraId="246AFAA6"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This conceptual framing clarifies why some practices can increase yield stability even when changes in seasonal evapotranspiration are modest. If management reduces early-season soil evaporation, more water remains available later, shifting the within-season pattern of water availability. In drought-prone environments, such a shift can be the difference between mild stress and severe stress during flowering, which often has disproportionately large yield consequences (</w:t>
      </w:r>
      <w:proofErr w:type="spellStart"/>
      <w:r w:rsidRPr="00E6358B">
        <w:rPr>
          <w:color w:val="auto"/>
          <w:kern w:val="0"/>
          <w:lang w:val="en-US" w:eastAsia="en-US"/>
        </w:rPr>
        <w:t>Passioura</w:t>
      </w:r>
      <w:proofErr w:type="spellEnd"/>
      <w:r w:rsidRPr="00E6358B">
        <w:rPr>
          <w:color w:val="auto"/>
          <w:kern w:val="0"/>
          <w:lang w:val="en-US" w:eastAsia="en-US"/>
        </w:rPr>
        <w:t>, 2007). Thus, the core conceptual goal is not always to minimize total water use, but to improve how water is allocated over time between non-productive losses and productive transpiration.</w:t>
      </w:r>
    </w:p>
    <w:p w14:paraId="371E8746"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3.2 Water productivity, drought type, and stage sensitivity</w:t>
      </w:r>
    </w:p>
    <w:p w14:paraId="29386185"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Water productivity concepts are most useful when linked to drought typologies. Intermittent drought involves repeated short stress events punctuating the season, while terminal drought intensifies toward the end of the season, commonly curtailing grain filling. These patterns matter because yield response to water deficit is not uniform across stages. The conceptual foundation, therefore, is a stage-aware perspective: agronomy should protect the stages where yield is most sensitive, while tolerating or strategically managing deficits when yield penalties are smaller.</w:t>
      </w:r>
    </w:p>
    <w:p w14:paraId="73020407"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This is precisely why deficit irrigation is not equivalent to “watering less.” It is a managed allocation strategy designed to maximize productivity per unit water by intentionally imposing deficits in less sensitive periods and prioritizing limited water for critical growth stages. The conceptual basis for this approach includes understanding crop-specific sensitivity, soil buffering capacity, and evaporative demand, because the same deficit can be mild in one environment and severe in another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 When drought-prone regions rely on supplemental irrigation, deficit principles become a bridge between rainfed and irrigated thinking: the agronomic question becomes how to use limited irrigation to reduce the probability of catastrophic stress during sensitive stages rather than to fully meet seasonal water requirements.</w:t>
      </w:r>
    </w:p>
    <w:p w14:paraId="2F618325"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lastRenderedPageBreak/>
        <w:t>3.3 Soil buffering capacity and the role of root-zone storage</w:t>
      </w:r>
    </w:p>
    <w:p w14:paraId="4AF0ECFF"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A second conceptual pillar is buffering capacity: the ability of the soil–root system to store water from episodic rainfall or irrigation and make it available to the crop between events. In drought-prone regions, buffering capacity determines whether a short rainfall pulse is “spent” quickly through evaporation and drainage or “banked” as accessible soil water. Agronomic strategies that increase infiltration, reduce surface evaporation, and maintain root-zone structure effectively enlarge this buffer, smoothing water availability across time.</w:t>
      </w:r>
    </w:p>
    <w:p w14:paraId="17C0C237"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From this perspective, rooting depth and root distribution are not only plant traits but also management outcomes, shaped by soil physical condition, establishment success, and early-season water availability. A crop that develops deeper or more extensive roots can access water stored deeper in the profile, effectively expanding its “available reservoir,” but this benefit depends on whether water was captured and stored there in the first place. The conceptual interplay is thus two-way: soil management influences storage, while crop development influences access. In drought-prone regions, the water-efficient outcome is achieved when storage and access are jointly improved, and when the water accessed is aligned with yield-sensitive stages (</w:t>
      </w:r>
      <w:proofErr w:type="spellStart"/>
      <w:r w:rsidRPr="00E6358B">
        <w:rPr>
          <w:color w:val="auto"/>
          <w:kern w:val="0"/>
          <w:lang w:val="en-US" w:eastAsia="en-US"/>
        </w:rPr>
        <w:t>Passioura</w:t>
      </w:r>
      <w:proofErr w:type="spellEnd"/>
      <w:r w:rsidRPr="00E6358B">
        <w:rPr>
          <w:color w:val="auto"/>
          <w:kern w:val="0"/>
          <w:lang w:val="en-US" w:eastAsia="en-US"/>
        </w:rPr>
        <w:t>, 2007).</w:t>
      </w:r>
    </w:p>
    <w:p w14:paraId="58E767B5"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3.4 Irrigation efficiency as an information and control problem</w:t>
      </w:r>
    </w:p>
    <w:p w14:paraId="40827FA4"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Where irrigation is possible, water-efficient agronomy depends not only on delivery hardware but also on scheduling—deciding when and how much to apply. Scheduling is fundamentally an information-and-control problem: decisions must translate weather variability, soil water dynamics, and crop stage into irrigation timing that avoids unnecessary evaporation and prevents yield-limiting stress. Plant-based scheduling approaches appear attractive because they respond directly to crop status, yet they can be difficult to implement reliably without calibration, robust thresholds, and practical measurement protocols. The conceptual pitfalls include the risk of confusing transient stress signals with sustained deficits, or applying thresholds developed for one environment to another with different evaporative demand or rooting behavior (Jones, 2004).</w:t>
      </w:r>
    </w:p>
    <w:p w14:paraId="69679E34"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This reinforces a broader foundation for water-efficient agronomy in drought-prone regions: management must be robust under uncertainty. Deficit irrigation frameworks explicitly recognize uncertainty by focusing on preserving yield-critical stages while accepting controlled stress elsewhere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 Scheduling approaches, in turn, must balance precision with practicality, because overly complex methods can fail operationally even if they are theoretically optimal (Jones, 2004). Ultimately, the conceptual aim is consistent: improve the productive fraction of water and reduce the probability of damaging stress during sensitive periods, using management strategies that fit local constraints and decision capacity.</w:t>
      </w:r>
    </w:p>
    <w:p w14:paraId="472D12BF" w14:textId="77777777" w:rsidR="00462739" w:rsidRPr="00462739" w:rsidRDefault="00462739" w:rsidP="00462739">
      <w:pPr>
        <w:rPr>
          <w:lang w:val="en-GB"/>
        </w:rPr>
      </w:pPr>
    </w:p>
    <w:p w14:paraId="27350BC5" w14:textId="77777777" w:rsidR="00E6358B" w:rsidRPr="00E6358B" w:rsidRDefault="00E6358B" w:rsidP="00E6358B">
      <w:pPr>
        <w:spacing w:before="100" w:beforeAutospacing="1" w:after="100" w:afterAutospacing="1" w:line="240" w:lineRule="auto"/>
        <w:ind w:left="0" w:right="0" w:firstLine="0"/>
        <w:jc w:val="left"/>
        <w:outlineLvl w:val="0"/>
        <w:rPr>
          <w:b/>
          <w:bCs/>
          <w:color w:val="auto"/>
          <w:kern w:val="36"/>
          <w:sz w:val="48"/>
          <w:szCs w:val="48"/>
          <w:lang w:val="en-US" w:eastAsia="en-US"/>
        </w:rPr>
      </w:pPr>
      <w:r w:rsidRPr="00E6358B">
        <w:rPr>
          <w:b/>
          <w:bCs/>
          <w:color w:val="auto"/>
          <w:kern w:val="36"/>
          <w:sz w:val="48"/>
          <w:szCs w:val="48"/>
          <w:lang w:val="en-US" w:eastAsia="en-US"/>
        </w:rPr>
        <w:lastRenderedPageBreak/>
        <w:t>4. Soil and surface management to increase infiltration, storage, and reduce evaporation</w:t>
      </w:r>
    </w:p>
    <w:p w14:paraId="39114B00"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Soil and surface management strategies are foundational for water-efficient agronomy in drought-prone regions because they target the earliest and often largest “leakage points” in the field water balance: rainfall that fails to infiltrate, infiltrated water that is lost rapidly as soil evaporation, and stored water that becomes inaccessible due to poor structure or restricted rooting. In practical terms, these strategies aim to increase the effective rainfall fraction—water that enters and remains in the root zone long enough to be used as transpiration—while moderating soil microclimate and maintaining a soil physical environment that supports root growth. The conceptual framework linking these outcomes to yield is consistent with the idea that productivity under water limitation depends on both the amount of transpired water and the efficiency with which it is converted into harvestable yield, while non-productive evaporation and runoff reduce the productive fraction (</w:t>
      </w:r>
      <w:proofErr w:type="spellStart"/>
      <w:r w:rsidRPr="00E6358B">
        <w:rPr>
          <w:color w:val="auto"/>
          <w:kern w:val="0"/>
          <w:lang w:val="en-US" w:eastAsia="en-US"/>
        </w:rPr>
        <w:t>Passioura</w:t>
      </w:r>
      <w:proofErr w:type="spellEnd"/>
      <w:r w:rsidRPr="00E6358B">
        <w:rPr>
          <w:color w:val="auto"/>
          <w:kern w:val="0"/>
          <w:lang w:val="en-US" w:eastAsia="en-US"/>
        </w:rPr>
        <w:t>, 2007).</w:t>
      </w:r>
    </w:p>
    <w:p w14:paraId="67770EF2"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Drought-prone regions are especially sensitive to soil-surface conditions because rainfall often arrives in short, high-intensity events that can generate runoff when infiltration capacity is limited. Surface crusting, low organic matter, and degraded aggregation can further reduce infiltration, making the first management priority the creation of a surface environment that slows overland flow and protects soil structure. At the same time, high evaporative demand means that moisture near the soil surface can be lost rapidly, particularly early in the season when canopy cover is limited. Consequently, soil and surface management practices have outsized importance in drought-prone systems: they not only increase how much water is stored, but also determine whether stored water remains available long enough to protect the crop during yield-sensitive stages.</w:t>
      </w:r>
    </w:p>
    <w:p w14:paraId="5D8552D9"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4.1 Conservation agriculture as a water-conservation framework</w:t>
      </w:r>
    </w:p>
    <w:p w14:paraId="5EC82F1D"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 xml:space="preserve">Conservation agriculture is frequently presented as a practical framework to improve soil water dynamics through reduced soil disturbance, soil cover, and diversified rotations. Reduced disturbance can help maintain soil structure and </w:t>
      </w:r>
      <w:proofErr w:type="spellStart"/>
      <w:r w:rsidRPr="00E6358B">
        <w:rPr>
          <w:color w:val="auto"/>
          <w:kern w:val="0"/>
          <w:lang w:val="en-US" w:eastAsia="en-US"/>
        </w:rPr>
        <w:t>macropores</w:t>
      </w:r>
      <w:proofErr w:type="spellEnd"/>
      <w:r w:rsidRPr="00E6358B">
        <w:rPr>
          <w:color w:val="auto"/>
          <w:kern w:val="0"/>
          <w:lang w:val="en-US" w:eastAsia="en-US"/>
        </w:rPr>
        <w:t xml:space="preserve"> that enhance infiltration and reduce crusting, while surface cover can reduce raindrop impact and suppress evaporation by shading and reducing wind speed at the soil interface. In a broad sustainability framing, conservation agriculture has been argued to contribute to long-term resource efficiency and system resilience, including in water-limited environments where infiltration and soil cover are critical (Hobbs et al., 2008).</w:t>
      </w:r>
    </w:p>
    <w:p w14:paraId="40C45509"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However, conservation agriculture is not a guaranteed solution, and its water benefits depend on whether the principles can be implemented fully and consistently. Large-scale evidence indicates that the productivity effects of conservation agriculture vary widely, shaped by climate, soil type, and management factors such as weed control and residue handling (</w:t>
      </w:r>
      <w:proofErr w:type="spellStart"/>
      <w:r w:rsidRPr="00E6358B">
        <w:rPr>
          <w:color w:val="auto"/>
          <w:kern w:val="0"/>
          <w:lang w:val="en-US" w:eastAsia="en-US"/>
        </w:rPr>
        <w:t>Pittelkow</w:t>
      </w:r>
      <w:proofErr w:type="spellEnd"/>
      <w:r w:rsidRPr="00E6358B">
        <w:rPr>
          <w:color w:val="auto"/>
          <w:kern w:val="0"/>
          <w:lang w:val="en-US" w:eastAsia="en-US"/>
        </w:rPr>
        <w:t xml:space="preserve"> et al., 2015). For drought-prone regions, this variability is not surprising: where residues are scarce or diverted to livestock feed, soil cover targets can be difficult to </w:t>
      </w:r>
      <w:r w:rsidRPr="00E6358B">
        <w:rPr>
          <w:color w:val="auto"/>
          <w:kern w:val="0"/>
          <w:lang w:val="en-US" w:eastAsia="en-US"/>
        </w:rPr>
        <w:lastRenderedPageBreak/>
        <w:t xml:space="preserve">maintain, weakening evaporation suppression and infiltration protection. Similarly, reduced tillage can shift weed dynamics, and if weed pressure increases, the intended water savings can be offset by greater non-crop transpiration. These realities imply that conservation agriculture should be treated as an adaptable design space rather than a fixed recipe, with careful attention to residue availability, weed management capacity, and rotation choices that support both soil cover and farm livelihoods (Hobbs et al., 2008; </w:t>
      </w:r>
      <w:proofErr w:type="spellStart"/>
      <w:r w:rsidRPr="00E6358B">
        <w:rPr>
          <w:color w:val="auto"/>
          <w:kern w:val="0"/>
          <w:lang w:val="en-US" w:eastAsia="en-US"/>
        </w:rPr>
        <w:t>Pittelkow</w:t>
      </w:r>
      <w:proofErr w:type="spellEnd"/>
      <w:r w:rsidRPr="00E6358B">
        <w:rPr>
          <w:color w:val="auto"/>
          <w:kern w:val="0"/>
          <w:lang w:val="en-US" w:eastAsia="en-US"/>
        </w:rPr>
        <w:t xml:space="preserve"> et al., 2015).</w:t>
      </w:r>
    </w:p>
    <w:p w14:paraId="46FF0A85"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A key conceptual extension is that conservation agriculture’s water benefits often emerge over time. Soil structure improvements, aggregation, and biological activity can gradually increase infiltration and water retention, but short-term outcomes may be mixed in the transition period. In drought-prone regions, where farmers are risk-sensitive, transitional yield penalties can be a major barrier even if long-term water benefits are plausible. Therefore, implementation pathways that reduce transition risk—such as partial residue retention, strategic tillage where needed, and rotation choices that stabilize residue supply—can be as important as the underlying principles.</w:t>
      </w:r>
    </w:p>
    <w:p w14:paraId="41435866"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4.2 Mulching to suppress evaporation and stabilize the soil microclimate</w:t>
      </w:r>
    </w:p>
    <w:p w14:paraId="4FA310DA"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Mulching provides one of the most direct interventions for reducing soil evaporation, which is typically highest when the soil surface is exposed and temperatures and wind speeds are high. Beyond evaporation suppression, mulches can moderate soil temperature extremes, reduce crusting, and enhance infiltration by protecting soil aggregates from raindrop impact. These mechanisms have been synthesized in reviews emphasizing recent advances in mulching materials and methods, including how mulches reshape the soil environment to improve water availability for crops (Kader et al., 2017). In drought-prone regions, these effects can translate into improved establishment, more stable early-season growth, and a larger “carryover” of moisture into reproductive stages, which can be disproportionately important for yield outcomes under stress (</w:t>
      </w:r>
      <w:proofErr w:type="spellStart"/>
      <w:r w:rsidRPr="00E6358B">
        <w:rPr>
          <w:color w:val="auto"/>
          <w:kern w:val="0"/>
          <w:lang w:val="en-US" w:eastAsia="en-US"/>
        </w:rPr>
        <w:t>Passioura</w:t>
      </w:r>
      <w:proofErr w:type="spellEnd"/>
      <w:r w:rsidRPr="00E6358B">
        <w:rPr>
          <w:color w:val="auto"/>
          <w:kern w:val="0"/>
          <w:lang w:val="en-US" w:eastAsia="en-US"/>
        </w:rPr>
        <w:t>, 2007; Kader et al., 2017).</w:t>
      </w:r>
    </w:p>
    <w:p w14:paraId="3DCA6632"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Material choice strongly shapes benefits and trade-offs. Organic mulches are often locally available and can contribute to soil organic matter over time, but availability may be limited and competing uses can constrain application rates. Plastic mulches can provide strong evaporation suppression and can modify temperature regimes in ways that benefit early growth, but they raise environmental and end-of-life challenges. A comprehensive review of polyethylene and biodegradable mulches highlights both agronomic advantages and concerns related to persistence and disposal, motivating biodegradable alternatives while recognizing variability in performance and practicality across contexts (</w:t>
      </w:r>
      <w:proofErr w:type="spellStart"/>
      <w:r w:rsidRPr="00E6358B">
        <w:rPr>
          <w:color w:val="auto"/>
          <w:kern w:val="0"/>
          <w:lang w:val="en-US" w:eastAsia="en-US"/>
        </w:rPr>
        <w:t>Kasirajan</w:t>
      </w:r>
      <w:proofErr w:type="spellEnd"/>
      <w:r w:rsidRPr="00E6358B">
        <w:rPr>
          <w:color w:val="auto"/>
          <w:kern w:val="0"/>
          <w:lang w:val="en-US" w:eastAsia="en-US"/>
        </w:rPr>
        <w:t xml:space="preserve"> &amp; </w:t>
      </w:r>
      <w:proofErr w:type="spellStart"/>
      <w:r w:rsidRPr="00E6358B">
        <w:rPr>
          <w:color w:val="auto"/>
          <w:kern w:val="0"/>
          <w:lang w:val="en-US" w:eastAsia="en-US"/>
        </w:rPr>
        <w:t>Ngouajio</w:t>
      </w:r>
      <w:proofErr w:type="spellEnd"/>
      <w:r w:rsidRPr="00E6358B">
        <w:rPr>
          <w:color w:val="auto"/>
          <w:kern w:val="0"/>
          <w:lang w:val="en-US" w:eastAsia="en-US"/>
        </w:rPr>
        <w:t>, 2012). In drought-prone regions, where water scarcity can make yield gains particularly valuable, plastic or biodegradable mulches may be attractive for high-value crops, yet their sustainability and waste management requirements demand careful consideration (</w:t>
      </w:r>
      <w:proofErr w:type="spellStart"/>
      <w:r w:rsidRPr="00E6358B">
        <w:rPr>
          <w:color w:val="auto"/>
          <w:kern w:val="0"/>
          <w:lang w:val="en-US" w:eastAsia="en-US"/>
        </w:rPr>
        <w:t>Kasirajan</w:t>
      </w:r>
      <w:proofErr w:type="spellEnd"/>
      <w:r w:rsidRPr="00E6358B">
        <w:rPr>
          <w:color w:val="auto"/>
          <w:kern w:val="0"/>
          <w:lang w:val="en-US" w:eastAsia="en-US"/>
        </w:rPr>
        <w:t xml:space="preserve"> &amp; </w:t>
      </w:r>
      <w:proofErr w:type="spellStart"/>
      <w:r w:rsidRPr="00E6358B">
        <w:rPr>
          <w:color w:val="auto"/>
          <w:kern w:val="0"/>
          <w:lang w:val="en-US" w:eastAsia="en-US"/>
        </w:rPr>
        <w:t>Ngouajio</w:t>
      </w:r>
      <w:proofErr w:type="spellEnd"/>
      <w:r w:rsidRPr="00E6358B">
        <w:rPr>
          <w:color w:val="auto"/>
          <w:kern w:val="0"/>
          <w:lang w:val="en-US" w:eastAsia="en-US"/>
        </w:rPr>
        <w:t>, 2012).</w:t>
      </w:r>
    </w:p>
    <w:p w14:paraId="18BF4E54"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 xml:space="preserve">Mulching effectiveness is also context-dependent. In coarse-textured soils with rapid infiltration but low water-holding capacity, mulches mainly reduce evaporative loss but may not create large increases in total stored water. In fine-textured soils prone to crusting and runoff, mulches can deliver a dual benefit by improving infiltration and reducing evaporation. These distinctions matter for designing water-efficient packages: mulching should be targeted where the dominant loss pathway is evaporation or infiltration limitation, and it should be </w:t>
      </w:r>
      <w:r w:rsidRPr="00E6358B">
        <w:rPr>
          <w:color w:val="auto"/>
          <w:kern w:val="0"/>
          <w:lang w:val="en-US" w:eastAsia="en-US"/>
        </w:rPr>
        <w:lastRenderedPageBreak/>
        <w:t>paired with practices that address complementary constraints such as rooting depth or nutrient availability.</w:t>
      </w:r>
    </w:p>
    <w:p w14:paraId="7E2CAEE6"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4.3 Biochar and amendments as tools to modify soil hydrology</w:t>
      </w:r>
    </w:p>
    <w:p w14:paraId="133EAB36"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Soil amendments can alter pore structure, aggregation, and water retention characteristics, influencing how much water is stored in the root zone and how available that water is during dry spells. Among amendments, biochar has been examined extensively for its potential to improve soil hydrological properties. A meta-analysis quantifying biochar effects reports that biochar can influence soil water retention and related hydraulic properties, though the magnitude and direction of effects can vary depending on feedstock, pyrolysis conditions, soil texture, and application rate (Omondi et al., 2016). A systematic review and meta-analysis focused on soil water retention similarly concludes that biochar can improve water retention in many cases, with particularly notable potential in coarse-textured soils where increases in plant-available water can enhance buffering against drought (</w:t>
      </w:r>
      <w:proofErr w:type="spellStart"/>
      <w:r w:rsidRPr="00E6358B">
        <w:rPr>
          <w:color w:val="auto"/>
          <w:kern w:val="0"/>
          <w:lang w:val="en-US" w:eastAsia="en-US"/>
        </w:rPr>
        <w:t>Razzaghi</w:t>
      </w:r>
      <w:proofErr w:type="spellEnd"/>
      <w:r w:rsidRPr="00E6358B">
        <w:rPr>
          <w:color w:val="auto"/>
          <w:kern w:val="0"/>
          <w:lang w:val="en-US" w:eastAsia="en-US"/>
        </w:rPr>
        <w:t xml:space="preserve"> et al., 2020).</w:t>
      </w:r>
    </w:p>
    <w:p w14:paraId="663B019E"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 xml:space="preserve">Experimental work underscores that amendment type matters and that hydrological outcomes can include both benefits and risks. For example, biochar and </w:t>
      </w:r>
      <w:proofErr w:type="spellStart"/>
      <w:r w:rsidRPr="00E6358B">
        <w:rPr>
          <w:color w:val="auto"/>
          <w:kern w:val="0"/>
          <w:lang w:val="en-US" w:eastAsia="en-US"/>
        </w:rPr>
        <w:t>hydrochar</w:t>
      </w:r>
      <w:proofErr w:type="spellEnd"/>
      <w:r w:rsidRPr="00E6358B">
        <w:rPr>
          <w:color w:val="auto"/>
          <w:kern w:val="0"/>
          <w:lang w:val="en-US" w:eastAsia="en-US"/>
        </w:rPr>
        <w:t xml:space="preserve"> additions have been shown to affect water retention and water repellency in sandy soils, implying that not all carbonized materials behave similarly and that hydrophobicity can be a concern depending on material properties and soil conditions (Abel et al., 2013). In drought-prone regions, these findings point to a practical design principle: biochar should be treated as a targeted amendment whose performance depends on matching material properties to soil constraints, rather than as a universal soil-water remedy.</w:t>
      </w:r>
    </w:p>
    <w:p w14:paraId="00BA03C9"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From a water-efficient agronomic perspective, biochar’s most defensible role is often as part of an integrated strategy. By itself, biochar may improve retention modestly, but when combined with surface-cover practices that reduce evaporation and with management that enhances infiltration, the overall buffering capacity can increase more meaningfully. Such integration aligns with the conceptual emphasis on increasing the productive fraction of water—capturing rainfall, storing it in the accessible root zone, and protecting it from rapid loss—so that it can be used as transpiration when yield is most sensitive (</w:t>
      </w:r>
      <w:proofErr w:type="spellStart"/>
      <w:r w:rsidRPr="00E6358B">
        <w:rPr>
          <w:color w:val="auto"/>
          <w:kern w:val="0"/>
          <w:lang w:val="en-US" w:eastAsia="en-US"/>
        </w:rPr>
        <w:t>Passioura</w:t>
      </w:r>
      <w:proofErr w:type="spellEnd"/>
      <w:r w:rsidRPr="00E6358B">
        <w:rPr>
          <w:color w:val="auto"/>
          <w:kern w:val="0"/>
          <w:lang w:val="en-US" w:eastAsia="en-US"/>
        </w:rPr>
        <w:t>, 2007). Because biochar benefits may accrue over time and depend on local supply and cost, adoption decisions must balance expected water gains against practical feasibility and long-term soil management goals.</w:t>
      </w:r>
    </w:p>
    <w:p w14:paraId="7B2FF362" w14:textId="77777777" w:rsidR="00462739" w:rsidRPr="00462739" w:rsidRDefault="00462739" w:rsidP="00462739">
      <w:pPr>
        <w:rPr>
          <w:lang w:val="en-GB"/>
        </w:rPr>
      </w:pPr>
    </w:p>
    <w:p w14:paraId="7998EDBC" w14:textId="77777777" w:rsidR="00E6358B" w:rsidRPr="00E6358B" w:rsidRDefault="00E6358B" w:rsidP="00E6358B">
      <w:pPr>
        <w:spacing w:before="100" w:beforeAutospacing="1" w:after="100" w:afterAutospacing="1" w:line="240" w:lineRule="auto"/>
        <w:ind w:left="0" w:right="0" w:firstLine="0"/>
        <w:jc w:val="left"/>
        <w:outlineLvl w:val="0"/>
        <w:rPr>
          <w:b/>
          <w:bCs/>
          <w:color w:val="auto"/>
          <w:kern w:val="36"/>
          <w:sz w:val="48"/>
          <w:szCs w:val="48"/>
          <w:lang w:val="en-US" w:eastAsia="en-US"/>
        </w:rPr>
      </w:pPr>
      <w:r w:rsidRPr="00E6358B">
        <w:rPr>
          <w:b/>
          <w:bCs/>
          <w:color w:val="auto"/>
          <w:kern w:val="36"/>
          <w:sz w:val="48"/>
          <w:szCs w:val="48"/>
          <w:lang w:val="en-US" w:eastAsia="en-US"/>
        </w:rPr>
        <w:t>5. Cropping system design for drought adaptation and water productivity</w:t>
      </w:r>
    </w:p>
    <w:p w14:paraId="7AE549B1"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 xml:space="preserve">Cropping system design is a central lever for improving water productivity in drought-prone regions because it reshapes when, where, and how crops demand water relative to the timing and depth distribution of water supply. Unlike single-practice interventions that target one </w:t>
      </w:r>
      <w:r w:rsidRPr="00E6358B">
        <w:rPr>
          <w:color w:val="auto"/>
          <w:kern w:val="0"/>
          <w:lang w:val="en-US" w:eastAsia="en-US"/>
        </w:rPr>
        <w:lastRenderedPageBreak/>
        <w:t>component of the water balance, cropping system design integrates choices about crop species, cultivar phenology, spatial arrangement, temporal sequencing, and residue pathways, thereby influencing both the “demand side” of water use and the crop’s capacity to access stored water. Conceptually, these design choices affect the extent to which limited water becomes productive transpiration during yield-sensitive stages, consistent with the idea that yield under water limitation depends on how effectively crops acquire water, convert transpired water into biomass, and partition biomass into harvestable yield (</w:t>
      </w:r>
      <w:proofErr w:type="spellStart"/>
      <w:r w:rsidRPr="00E6358B">
        <w:rPr>
          <w:color w:val="auto"/>
          <w:kern w:val="0"/>
          <w:lang w:val="en-US" w:eastAsia="en-US"/>
        </w:rPr>
        <w:t>Passioura</w:t>
      </w:r>
      <w:proofErr w:type="spellEnd"/>
      <w:r w:rsidRPr="00E6358B">
        <w:rPr>
          <w:color w:val="auto"/>
          <w:kern w:val="0"/>
          <w:lang w:val="en-US" w:eastAsia="en-US"/>
        </w:rPr>
        <w:t>, 2007). In drought-prone environments, cropping system design is therefore less about maximizing peak yield in favorable years and more about stabilizing production across variable seasons by managing exposure to stress windows and reducing the probability of catastrophic failure.</w:t>
      </w:r>
    </w:p>
    <w:p w14:paraId="49490A01"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5.1 Phenology matching and functional trait alignment with drought regimes</w:t>
      </w:r>
    </w:p>
    <w:p w14:paraId="1211A833"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A foundational principle in drought-prone regions is to match crop phenology to the dominant drought pattern. In terminal drought environments, earlier-maturing cultivars can reduce exposure to late-season stress by completing grain filling before soil moisture collapses, whereas in intermittent drought regimes, the goal may be to build buffering capacity and maintain flexibility to recover after short dry spells. This is not purely a breeding issue; agronomy shapes the realized value of phenological traits by influencing establishment timing, early vigor, and root development. The conceptual framing emphasizes that water efficiency is improved when transpiration is synchronized with periods of water availability and when stress is minimized during stages with the highest yield sensitivity (</w:t>
      </w:r>
      <w:proofErr w:type="spellStart"/>
      <w:r w:rsidRPr="00E6358B">
        <w:rPr>
          <w:color w:val="auto"/>
          <w:kern w:val="0"/>
          <w:lang w:val="en-US" w:eastAsia="en-US"/>
        </w:rPr>
        <w:t>Passioura</w:t>
      </w:r>
      <w:proofErr w:type="spellEnd"/>
      <w:r w:rsidRPr="00E6358B">
        <w:rPr>
          <w:color w:val="auto"/>
          <w:kern w:val="0"/>
          <w:lang w:val="en-US" w:eastAsia="en-US"/>
        </w:rPr>
        <w:t>, 2007).</w:t>
      </w:r>
    </w:p>
    <w:p w14:paraId="4A6E6C37"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Cropping system decisions also interact with soil and surface management. For example, residue retention or mulching that reduces early-season soil evaporation can support more reliable canopy establishment, potentially enabling cultivars with slightly longer duration where late-season moisture is sometimes available. Conversely, if water capture is limited and evaporation losses are high, an earlier phenology strategy may be the more robust risk-management choice. This coupling underscores why cropping system design should be treated as co-design with soil water conservation rather than an independent decision made solely on variety yield potential.</w:t>
      </w:r>
    </w:p>
    <w:p w14:paraId="093A62F5"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5.2 Plant density, canopy architecture, and spatial arrangement as water-management tools</w:t>
      </w:r>
    </w:p>
    <w:p w14:paraId="1FF316D7"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Plant population and spatial arrangement influence the partitioning of evapotranspiration between soil evaporation and plant transpiration, primarily through canopy development and shading. Faster canopy closure can reduce soil evaporation by decreasing radiation reaching the soil surface, but higher densities can intensify competition for limited soil moisture later in the season, especially in low-storage soils. In drought-prone systems, “optimal” density often shifts toward risk reduction: densities that moderate late-season depletion may outperform higher densities that maximize early biomass but lead to severe reproductive-stage stress.</w:t>
      </w:r>
    </w:p>
    <w:p w14:paraId="4BBFF4AC"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 xml:space="preserve">Mulching and residue management can shift these density trade-offs by conserving surface moisture and moderating soil temperature. A synthesis of mulching approaches emphasizes </w:t>
      </w:r>
      <w:r w:rsidRPr="00E6358B">
        <w:rPr>
          <w:color w:val="auto"/>
          <w:kern w:val="0"/>
          <w:lang w:val="en-US" w:eastAsia="en-US"/>
        </w:rPr>
        <w:lastRenderedPageBreak/>
        <w:t>that mulches modify the soil environment in ways that often improve moisture availability and stabilize early growth (Kader et al., 2017). In design terms, this implies that canopy management and soil cover can be coordinated: when soil evaporation is reduced through mulches or residue cover, slightly higher densities may be feasible without triggering catastrophic late-season depletion; when soils are bare and evaporative losses are high, lower densities may better preserve water for reproductive stages. While these interactions are site-specific, the key conceptual point is that plant arrangement is not merely a yield optimization parameter—it is also a lever that influences the productive fraction of water and the timing of stress (</w:t>
      </w:r>
      <w:proofErr w:type="spellStart"/>
      <w:r w:rsidRPr="00E6358B">
        <w:rPr>
          <w:color w:val="auto"/>
          <w:kern w:val="0"/>
          <w:lang w:val="en-US" w:eastAsia="en-US"/>
        </w:rPr>
        <w:t>Passioura</w:t>
      </w:r>
      <w:proofErr w:type="spellEnd"/>
      <w:r w:rsidRPr="00E6358B">
        <w:rPr>
          <w:color w:val="auto"/>
          <w:kern w:val="0"/>
          <w:lang w:val="en-US" w:eastAsia="en-US"/>
        </w:rPr>
        <w:t>, 2007; Kader et al., 2017).</w:t>
      </w:r>
    </w:p>
    <w:p w14:paraId="1E1A37AA"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5.3 Intercropping for complementarity in water capture and use</w:t>
      </w:r>
    </w:p>
    <w:p w14:paraId="6ED62BAD"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Intercropping can improve water productivity when component crops differ in rooting depth, canopy structure, or phenology such that they exploit water resources more completely or reduce the intensity of direct competition. In water-limited environments, intercropping is often justified on the basis of complementarity: one crop may access deeper moisture while another uses shallow water; one may peak in demand earlier while the other peaks later; or canopy layering may improve microclimate and reduce evaporative losses from the soil. Empirical evidence from maize/pea systems shows that intercropping can provide both yield advantage and water saving under certain conditions, demonstrating that diversified spatial systems can outperform monocultures when designed to enhance complementarity (Mao et al., 2012).</w:t>
      </w:r>
    </w:p>
    <w:p w14:paraId="29569185"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However, intercropping outcomes are not automatically positive, particularly in drought-prone regions. If component crops overlap strongly in peak water demand and draw from the same soil layers, intercropping can accelerate depletion and intensify stress during sensitive stages. This is why design variables—row ratio, strip width, cultivar selection, and nutrient management—are critical. Work on maize/pea intercropping demonstrates that optimizing row ratio and reducing nitrogen fertilizer can enhance both water and nitrogen use efficiency, indicating that intercropping benefits depend on coordinated management of water and fertility rather than spatial configuration alone (Tan et al., 2021). From a conceptual standpoint, intercropping is best seen as a system that can either increase or decrease water productivity depending on whether it improves the alignment between resource capture and crop demand over time and depth.</w:t>
      </w:r>
    </w:p>
    <w:p w14:paraId="791976F3"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Intercropping can also function as a risk-management strategy in drought-prone regions by diversifying production and reducing the probability that a single drought pattern eliminates the entire harvest. Even when total water use remains similar, intercropping may improve stability by ensuring that at least one component crop performs acceptably under a given stress pattern. In such cases, the value of intercropping should be assessed not only through mean yield or seasonal water productivity but also through variability metrics and downside risk, consistent with the broader drought-adaptation goal of stabilizing returns (</w:t>
      </w:r>
      <w:proofErr w:type="spellStart"/>
      <w:r w:rsidRPr="00E6358B">
        <w:rPr>
          <w:color w:val="auto"/>
          <w:kern w:val="0"/>
          <w:lang w:val="en-US" w:eastAsia="en-US"/>
        </w:rPr>
        <w:t>Passioura</w:t>
      </w:r>
      <w:proofErr w:type="spellEnd"/>
      <w:r w:rsidRPr="00E6358B">
        <w:rPr>
          <w:color w:val="auto"/>
          <w:kern w:val="0"/>
          <w:lang w:val="en-US" w:eastAsia="en-US"/>
        </w:rPr>
        <w:t>, 2007; Mao et al., 2012; Tan et al., 2021).</w:t>
      </w:r>
    </w:p>
    <w:p w14:paraId="60F54E19"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5.4 Cover crops, fallows, and the water trade-off problem</w:t>
      </w:r>
    </w:p>
    <w:p w14:paraId="3DC1FECE"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lastRenderedPageBreak/>
        <w:t>Cover crops are frequently promoted for soil health and long-term sustainability benefits, but in drought-prone regions their water implications are a central design constraint. Cover crops can increase soil cover, reduce erosion, and improve soil structure, potentially enhancing infiltration and reducing evaporation from bare soil. A global synthesis highlights that cover crops contribute multiple ecosystem services, but it also implies that benefits are context-dependent and may involve trade-offs (</w:t>
      </w:r>
      <w:proofErr w:type="spellStart"/>
      <w:r w:rsidRPr="00E6358B">
        <w:rPr>
          <w:color w:val="auto"/>
          <w:kern w:val="0"/>
          <w:lang w:val="en-US" w:eastAsia="en-US"/>
        </w:rPr>
        <w:t>Daryanto</w:t>
      </w:r>
      <w:proofErr w:type="spellEnd"/>
      <w:r w:rsidRPr="00E6358B">
        <w:rPr>
          <w:color w:val="auto"/>
          <w:kern w:val="0"/>
          <w:lang w:val="en-US" w:eastAsia="en-US"/>
        </w:rPr>
        <w:t xml:space="preserve"> et al., 2018). In water-limited environments, the most direct trade-off is that cover crops transpire water while growing, which can reduce soil water available to the subsequent cash crop, particularly when rainfall is insufficient to recharge the profile after termination.</w:t>
      </w:r>
    </w:p>
    <w:p w14:paraId="565909FD"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A meta-analysis specifically addressing soil water storage and subsequent crop performance shows that cover crops can reduce precipitation storage efficiency and profile soil water at planting in some contexts, while also indicating circumstances where cover crops may improve surface-layer storage and, in some cases, enhance the succeeding crop’s water-use efficiency through changes in evapotranspiration dynamics (Wang et al., 2021). These mixed results point to a design principle: the feasibility of cover crops in drought-prone regions depends on timing and termination strategies that minimize water costs while retaining soil-cover benefits. Early termination, low-biomass species, or opportunistic cover cropping during wetter windows may reduce the risk of depleting soil moisture needed for the main crop. Conversely, high-biomass cover crops that persist late into the season can be risky in dry years if they draw down soil water without sufficient replenishment.</w:t>
      </w:r>
    </w:p>
    <w:p w14:paraId="30E110FE"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Linking cover crop design to mulching concepts is useful. If cover crops are terminated early and residues are retained as surface mulch, the system may shift from transpiration losses during cover crop growth to evaporation savings during the main crop, potentially improving net water outcomes. Reviews of mulching mechanisms emphasize how surface residues can suppress soil evaporation and stabilize the soil environment (Kader et al., 2017). Therefore, a cover-crop strategy that effectively “converts” cover crop biomass into mulch at the right time may be more compatible with drought-prone conditions than a strategy that prioritizes prolonged cover crop growth. The key is that cover crops must be evaluated as part of a full seasonal water budget and drought-risk profile, rather than as universally beneficial soil-health inputs (</w:t>
      </w:r>
      <w:proofErr w:type="spellStart"/>
      <w:r w:rsidRPr="00E6358B">
        <w:rPr>
          <w:color w:val="auto"/>
          <w:kern w:val="0"/>
          <w:lang w:val="en-US" w:eastAsia="en-US"/>
        </w:rPr>
        <w:t>Daryanto</w:t>
      </w:r>
      <w:proofErr w:type="spellEnd"/>
      <w:r w:rsidRPr="00E6358B">
        <w:rPr>
          <w:color w:val="auto"/>
          <w:kern w:val="0"/>
          <w:lang w:val="en-US" w:eastAsia="en-US"/>
        </w:rPr>
        <w:t xml:space="preserve"> et al., 2018; Wang et al., 2021).</w:t>
      </w:r>
    </w:p>
    <w:p w14:paraId="4555B132"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5.5 Cropping intensity and sequence: aligning water demand with rainfall opportunities</w:t>
      </w:r>
    </w:p>
    <w:p w14:paraId="037BAB9A"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Cropping intensity decisions—whether to double-crop, rotate, include fallow phases, or maintain continuous cover—shape how rainfall is used across seasons and how much water is carried over in the soil profile. In some drought-prone regions, strategic fallow can allow soil water accumulation for the next crop, whereas in other regions, the evaporation losses from bare fallow can be large, undermining the intended storage gains. Here, the water-efficient choice depends on the balance between rainfall timing, soil water-holding capacity, and the ability to protect the soil surface. The underlying conceptual guidance remains that system design should increase the proportion of rainfall that becomes accessible water for transpiration during yield-sensitive stages (</w:t>
      </w:r>
      <w:proofErr w:type="spellStart"/>
      <w:r w:rsidRPr="00E6358B">
        <w:rPr>
          <w:color w:val="auto"/>
          <w:kern w:val="0"/>
          <w:lang w:val="en-US" w:eastAsia="en-US"/>
        </w:rPr>
        <w:t>Passioura</w:t>
      </w:r>
      <w:proofErr w:type="spellEnd"/>
      <w:r w:rsidRPr="00E6358B">
        <w:rPr>
          <w:color w:val="auto"/>
          <w:kern w:val="0"/>
          <w:lang w:val="en-US" w:eastAsia="en-US"/>
        </w:rPr>
        <w:t>, 2007).</w:t>
      </w:r>
    </w:p>
    <w:p w14:paraId="3A72DDA8"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Cover crops and intercropping can be seen as alternatives to simple fallow or monocropping strategies, but each comes with water trade-offs that must be managed. The most robust designs in drought-prone regions tend to be those that either (</w:t>
      </w:r>
      <w:proofErr w:type="spellStart"/>
      <w:r w:rsidRPr="00E6358B">
        <w:rPr>
          <w:color w:val="auto"/>
          <w:kern w:val="0"/>
          <w:lang w:val="en-US" w:eastAsia="en-US"/>
        </w:rPr>
        <w:t>i</w:t>
      </w:r>
      <w:proofErr w:type="spellEnd"/>
      <w:r w:rsidRPr="00E6358B">
        <w:rPr>
          <w:color w:val="auto"/>
          <w:kern w:val="0"/>
          <w:lang w:val="en-US" w:eastAsia="en-US"/>
        </w:rPr>
        <w:t xml:space="preserve">) use diversification to reduce </w:t>
      </w:r>
      <w:r w:rsidRPr="00E6358B">
        <w:rPr>
          <w:color w:val="auto"/>
          <w:kern w:val="0"/>
          <w:lang w:val="en-US" w:eastAsia="en-US"/>
        </w:rPr>
        <w:lastRenderedPageBreak/>
        <w:t>risk without sharply increasing peak water demand, or (ii) enhance soil cover and infiltration while limiting additional transpiration before the main crop. Across these pathways, success is fundamentally about synchronizing crop water demand with rainfall opportunities and preserving soil water for stages where yield is most responsive.</w:t>
      </w:r>
    </w:p>
    <w:p w14:paraId="63AE3E09" w14:textId="77777777" w:rsidR="00462739" w:rsidRPr="00462739" w:rsidRDefault="00462739" w:rsidP="00462739">
      <w:pPr>
        <w:rPr>
          <w:lang w:val="en-GB"/>
        </w:rPr>
      </w:pPr>
    </w:p>
    <w:p w14:paraId="2E8ECE77" w14:textId="77777777" w:rsidR="00E6358B" w:rsidRPr="00E6358B" w:rsidRDefault="00E6358B" w:rsidP="00E6358B">
      <w:pPr>
        <w:spacing w:before="100" w:beforeAutospacing="1" w:after="100" w:afterAutospacing="1" w:line="240" w:lineRule="auto"/>
        <w:ind w:left="0" w:right="0" w:firstLine="0"/>
        <w:jc w:val="left"/>
        <w:outlineLvl w:val="0"/>
        <w:rPr>
          <w:b/>
          <w:bCs/>
          <w:color w:val="auto"/>
          <w:kern w:val="36"/>
          <w:sz w:val="48"/>
          <w:szCs w:val="48"/>
          <w:lang w:val="en-US" w:eastAsia="en-US"/>
        </w:rPr>
      </w:pPr>
      <w:r w:rsidRPr="00E6358B">
        <w:rPr>
          <w:b/>
          <w:bCs/>
          <w:color w:val="auto"/>
          <w:kern w:val="36"/>
          <w:sz w:val="48"/>
          <w:szCs w:val="48"/>
          <w:lang w:val="en-US" w:eastAsia="en-US"/>
        </w:rPr>
        <w:t>6. Irrigation and supplemental-water strategies for drought-prone regions</w:t>
      </w:r>
    </w:p>
    <w:p w14:paraId="379373FD"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In drought-prone regions, irrigation is often best understood as a risk-management input rather than a pathway to fully eliminate water limitation. Even in irrigated zones, water allocations can be unreliable, pumping costs can be high, and competing demands may restrict how much water can be applied. Consequently, the strategic objective is typically to convert limited irrigation into the largest possible reduction in yield risk, especially by preventing severe stress during the most drought-sensitive developmental stages. This goal aligns with the broader concept of water productivity: maximizing the agronomic return per unit water rather than maximizing yield at any water cost. In practice, irrigation and supplemental-water strategies must be designed around three constraints that are common in drought-prone regions: limited and variable supply, high evaporative demand, and operational limitations in scheduling and delivery.</w:t>
      </w:r>
    </w:p>
    <w:p w14:paraId="2ED572B3"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6.1 Deficit irrigation: strategic allocation under scarcity</w:t>
      </w:r>
    </w:p>
    <w:p w14:paraId="4D9E02EF"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Deficit irrigation is a deliberate approach to apply water below full crop evapotranspiration requirements while aiming to minimize yield loss by placing deficits in stages where crops are relatively less sensitive to stress. The conceptual appeal is straightforward: if a small yield reduction allows a large reduction in water applied, then water productivity can improve and scarce water can be spread across a larger area or held for drought years. A foundational synthesis argues that deficit irrigation can be an effective strategy for reducing agricultural water use, but emphasizes that its success depends on understanding crop stage sensitivity and local climate demand, as well as managing the soil’s capacity to buffer short-term deficits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w:t>
      </w:r>
    </w:p>
    <w:p w14:paraId="41E376B9"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In drought-prone regions, the practical value of deficit irrigation often lies in protecting flowering and early grain filling or equivalent yield-determining phases while allowing mild stress during vegetative stages. However, “mild” is context-dependent: the same irrigation reduction can be benign in a deep soil with good water storage and severe in a shallow or structurally degraded soil. Therefore, deficit irrigation is best implemented in combination with soil and surface management practices that reduce non-productive losses and improve root-zone storage, because such practices increase the system’s buffering capacity and make controlled deficits less risky. Deficit irrigation also benefits from aligning with cultivar phenology and planting dates that reduce exposure to terminal drought, thereby decreasing the magnitude of deficit that must be imposed to save water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w:t>
      </w:r>
    </w:p>
    <w:p w14:paraId="4E4E6043"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lastRenderedPageBreak/>
        <w:t>6.2 Partial root-zone approaches and regulated stress strategies</w:t>
      </w:r>
    </w:p>
    <w:p w14:paraId="2FCFC800"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Partial root-zone irrigation strategies attempt to conserve water not merely by reducing total applied water, but by changing where water is applied so that part of the root system experiences drying while another part remains sufficiently wet for water uptake. This configuration is intended to trigger physiological signaling that reduces stomatal conductance and transpiration while sustaining growth, thereby improving water-use efficiency under regulated stress. A key synthesis describes the physiological consequences of controlled alternate partial root-zone irrigation and highlights its potential to increase water-use efficiency, while also underscoring that outcomes depend on how alternation is managed and how plants respond to the imposed wet–dry cycles (Kang &amp; Zhang, 2004).</w:t>
      </w:r>
    </w:p>
    <w:p w14:paraId="513883C9"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For drought-prone regions, partial root-zone methods are most feasible where irrigation delivery systems can control spatial wetting patterns, such as drip irrigation or alternate-furrow approaches. The main conceptual requirement is maintaining a balance: the dry portion of the root zone must be dry enough to induce signaling, but not so dry that whole-plant stress becomes severe; meanwhile, the wetted zone must supply adequate water for continued uptake. Soil texture and rooting patterns strongly influence this balance. In coarse soils, water redistribution is rapid and the contrast between wet and dry zones may be difficult to maintain; in finer soils, alternation may be more controllable but risks of oxygen limitation or uneven wetting can arise depending on the method. Because of these sensitivities, partial root-zone approaches should be implemented as regulated stress strategies with careful attention to timing and alternation frequency rather than as simple “less water” prescriptions (Kang &amp; Zhang, 2004).</w:t>
      </w:r>
    </w:p>
    <w:p w14:paraId="0024A36B"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6.3 Scheduling and decision frameworks under variable supply</w:t>
      </w:r>
    </w:p>
    <w:p w14:paraId="189DFAD8"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Scheduling is the decision layer that determines whether irrigation strategies actually produce water productivity gains. In drought-prone environments, scheduling has to cope with rapid swings in evaporative demand, uncertain rainfall events, and the high cost of missing a critical window. Plant-based scheduling has the advantage of reflecting crop water status directly, yet classic evaluations emphasize its pitfalls: plant indicators can be difficult to measure routinely, thresholds can be cultivar- and environment-specific, and responses can be confounded by transient atmospheric conditions that do not necessarily reflect sustained soil-water deficit (Jones, 2004). These limitations matter in drought-prone regions because they can lead to either delayed irrigations that allow severe stress or overly frequent irrigations that waste water through unnecessary evaporation or percolation.</w:t>
      </w:r>
    </w:p>
    <w:p w14:paraId="7FACE212"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 xml:space="preserve">The practical implication is that scheduling must balance accuracy and usability. Many drought-prone regions require decision approaches that are robust and implementable with limited instrumentation. Even when sophisticated plant-based methods are available, they often perform best when combined with simpler soil-water or weather-based information and with clear stage-based priorities consistent with deficit principles. This emphasis on operational robustness is not merely a management convenience; it is a core part of achieving water efficiency because a theoretically optimal strategy that cannot be executed reliably will fail to deliver stable outcomes (Jones, 2004;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w:t>
      </w:r>
    </w:p>
    <w:p w14:paraId="2669BE30"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lastRenderedPageBreak/>
        <w:t>6.4 Alternate wetting and drying in rice: water savings with yield protection</w:t>
      </w:r>
    </w:p>
    <w:p w14:paraId="41B207D6"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Rice systems are a special case in drought-prone regions because traditional continuous flooding is highly water intensive, yet rice often remains essential for food security and livelihoods. Alternate wetting and drying (AWD) has gained prominence as a water-saving approach that periodically allows the soil to dry between irrigations while attempting to avoid damaging stress. Meta-analytic evidence shows that AWD can reduce water use while maintaining yields under many conditions, though outcomes depend on how aggressively drying is imposed and on local soils and management (</w:t>
      </w:r>
      <w:proofErr w:type="spellStart"/>
      <w:r w:rsidRPr="00E6358B">
        <w:rPr>
          <w:color w:val="auto"/>
          <w:kern w:val="0"/>
          <w:lang w:val="en-US" w:eastAsia="en-US"/>
        </w:rPr>
        <w:t>Carrijo</w:t>
      </w:r>
      <w:proofErr w:type="spellEnd"/>
      <w:r w:rsidRPr="00E6358B">
        <w:rPr>
          <w:color w:val="auto"/>
          <w:kern w:val="0"/>
          <w:lang w:val="en-US" w:eastAsia="en-US"/>
        </w:rPr>
        <w:t xml:space="preserve"> et al., 2017).</w:t>
      </w:r>
    </w:p>
    <w:p w14:paraId="65E372C2"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In drought-prone regions, AWD’s conceptual advantage is that it provides a structured way to stretch limited supplies and to cope with intermittent delivery or pumping constraints, while still protecting yield by preventing excessive drying at sensitive stages. However, AWD requires monitoring—often through field water level indicators—to ensure that drying does not exceed safe thresholds. Without such monitoring, AWD can unintentionally become severe deficit irrigation, with yield penalties that negate water productivity gains. Therefore, AWD should be viewed as an irrigation scheduling regime as much as a water-saving technique, and its success depends on matching drying cycles to soil type, evaporative demand, and crop stage (</w:t>
      </w:r>
      <w:proofErr w:type="spellStart"/>
      <w:r w:rsidRPr="00E6358B">
        <w:rPr>
          <w:color w:val="auto"/>
          <w:kern w:val="0"/>
          <w:lang w:val="en-US" w:eastAsia="en-US"/>
        </w:rPr>
        <w:t>Carrijo</w:t>
      </w:r>
      <w:proofErr w:type="spellEnd"/>
      <w:r w:rsidRPr="00E6358B">
        <w:rPr>
          <w:color w:val="auto"/>
          <w:kern w:val="0"/>
          <w:lang w:val="en-US" w:eastAsia="en-US"/>
        </w:rPr>
        <w:t xml:space="preserve"> et al., 2017).</w:t>
      </w:r>
    </w:p>
    <w:p w14:paraId="61B66A65" w14:textId="77777777" w:rsidR="00E6358B" w:rsidRPr="00E6358B" w:rsidRDefault="00E6358B" w:rsidP="00E6358B">
      <w:pPr>
        <w:spacing w:before="100" w:beforeAutospacing="1" w:after="100" w:afterAutospacing="1" w:line="240" w:lineRule="auto"/>
        <w:ind w:left="0" w:right="0" w:firstLine="0"/>
        <w:jc w:val="left"/>
        <w:outlineLvl w:val="1"/>
        <w:rPr>
          <w:b/>
          <w:bCs/>
          <w:color w:val="auto"/>
          <w:kern w:val="0"/>
          <w:sz w:val="36"/>
          <w:szCs w:val="36"/>
          <w:lang w:val="en-US" w:eastAsia="en-US"/>
        </w:rPr>
      </w:pPr>
      <w:r w:rsidRPr="00E6358B">
        <w:rPr>
          <w:b/>
          <w:bCs/>
          <w:color w:val="auto"/>
          <w:kern w:val="0"/>
          <w:sz w:val="36"/>
          <w:szCs w:val="36"/>
          <w:lang w:val="en-US" w:eastAsia="en-US"/>
        </w:rPr>
        <w:t>6.5 Integrating supplemental irrigation with agronomy for resilience</w:t>
      </w:r>
    </w:p>
    <w:p w14:paraId="2E1C9071"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A key theme across deficit irrigation, partial root-zone approaches, plant-based scheduling, and AWD is that irrigation efficiency in drought-prone regions cannot be separated from field agronomy. The same irrigation volume can perform very differently depending on whether soil evaporation is suppressed, infiltration is adequate, and roots can access stored water. Thus, irrigation strategies should be integrated with soil-cover and structure-enhancing practices that increase the residence time of applied water in the root zone, thereby improving the effectiveness of each unit applied. Likewise, cropping system design—especially phenology alignment—can reduce the amount of irrigation needed to prevent yield loss by reducing exposure to terminal drought and narrowing the window where water is absolutely critical.</w:t>
      </w:r>
    </w:p>
    <w:p w14:paraId="18DDFA2C" w14:textId="77777777" w:rsidR="00E6358B" w:rsidRPr="00E6358B" w:rsidRDefault="00E6358B" w:rsidP="00E6358B">
      <w:pPr>
        <w:spacing w:before="100" w:beforeAutospacing="1" w:after="100" w:afterAutospacing="1" w:line="240" w:lineRule="auto"/>
        <w:ind w:left="0" w:right="0" w:firstLine="0"/>
        <w:jc w:val="left"/>
        <w:rPr>
          <w:color w:val="auto"/>
          <w:kern w:val="0"/>
          <w:lang w:val="en-US" w:eastAsia="en-US"/>
        </w:rPr>
      </w:pPr>
      <w:r w:rsidRPr="00E6358B">
        <w:rPr>
          <w:color w:val="auto"/>
          <w:kern w:val="0"/>
          <w:lang w:val="en-US" w:eastAsia="en-US"/>
        </w:rPr>
        <w:t>Ultimately, irrigation and supplemental-water strategies in drought-prone regions are most effective when they are framed as targeted interventions to stabilize yield rather than as attempts to eliminate water limitation altogether. The strongest evidence supports approaches that explicitly manage scarcity—deficit irrigation and AWD—while recognizing that success depends on reliable scheduling and an understanding of crop stage sensitivity (</w:t>
      </w:r>
      <w:proofErr w:type="spellStart"/>
      <w:r w:rsidRPr="00E6358B">
        <w:rPr>
          <w:color w:val="auto"/>
          <w:kern w:val="0"/>
          <w:lang w:val="en-US" w:eastAsia="en-US"/>
        </w:rPr>
        <w:t>Fereres</w:t>
      </w:r>
      <w:proofErr w:type="spellEnd"/>
      <w:r w:rsidRPr="00E6358B">
        <w:rPr>
          <w:color w:val="auto"/>
          <w:kern w:val="0"/>
          <w:lang w:val="en-US" w:eastAsia="en-US"/>
        </w:rPr>
        <w:t xml:space="preserve"> &amp; Soriano, 2007; Jones, 2004; </w:t>
      </w:r>
      <w:proofErr w:type="spellStart"/>
      <w:r w:rsidRPr="00E6358B">
        <w:rPr>
          <w:color w:val="auto"/>
          <w:kern w:val="0"/>
          <w:lang w:val="en-US" w:eastAsia="en-US"/>
        </w:rPr>
        <w:t>Carrijo</w:t>
      </w:r>
      <w:proofErr w:type="spellEnd"/>
      <w:r w:rsidRPr="00E6358B">
        <w:rPr>
          <w:color w:val="auto"/>
          <w:kern w:val="0"/>
          <w:lang w:val="en-US" w:eastAsia="en-US"/>
        </w:rPr>
        <w:t xml:space="preserve"> et al., 2017). Partial root-zone strategies add an additional physiological pathway for water saving, but their feasibility and reliability depend on delivery control and careful management of wet–dry alternation (Kang &amp; Zhang, 2004). When embedded within a broader water-efficient agronomic system, these strategies can convert limited irrigation into meaningful resilience gains in drought-prone agriculture.</w:t>
      </w:r>
    </w:p>
    <w:p w14:paraId="16D32987" w14:textId="77777777" w:rsidR="00462739" w:rsidRPr="00462739" w:rsidRDefault="00462739" w:rsidP="00462739">
      <w:pPr>
        <w:rPr>
          <w:lang w:val="en-GB"/>
        </w:rPr>
      </w:pPr>
    </w:p>
    <w:p w14:paraId="3DECD4B8" w14:textId="77777777" w:rsidR="00852537" w:rsidRPr="00852537" w:rsidRDefault="00852537" w:rsidP="00852537">
      <w:pPr>
        <w:spacing w:before="100" w:beforeAutospacing="1" w:after="100" w:afterAutospacing="1" w:line="240" w:lineRule="auto"/>
        <w:ind w:left="0" w:right="0" w:firstLine="0"/>
        <w:jc w:val="left"/>
        <w:outlineLvl w:val="0"/>
        <w:rPr>
          <w:b/>
          <w:bCs/>
          <w:color w:val="auto"/>
          <w:kern w:val="36"/>
          <w:sz w:val="48"/>
          <w:szCs w:val="48"/>
          <w:lang w:val="en-US" w:eastAsia="en-US"/>
        </w:rPr>
      </w:pPr>
      <w:r w:rsidRPr="00852537">
        <w:rPr>
          <w:b/>
          <w:bCs/>
          <w:color w:val="auto"/>
          <w:kern w:val="36"/>
          <w:sz w:val="48"/>
          <w:szCs w:val="48"/>
          <w:lang w:val="en-US" w:eastAsia="en-US"/>
        </w:rPr>
        <w:lastRenderedPageBreak/>
        <w:t>7. Integrating soil, crop, and water interventions: why context matters</w:t>
      </w:r>
    </w:p>
    <w:p w14:paraId="41A964EB"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 xml:space="preserve">Water-efficient agronomy in drought-prone regions rarely emerges from a single “best” practice. Instead, it is typically achieved through combinations of soil, crop, and water interventions whose effects interact through the soil–plant–atmosphere system. Integration is essential because drought risk is multi-causal: rainfall may be insufficient or poorly timed, soils may lose water rapidly through evaporation or runoff, crops may be mismatched to drought patterns, and irrigation—when available—may be too limited or too poorly scheduled to protect sensitive stages. A </w:t>
      </w:r>
      <w:proofErr w:type="gramStart"/>
      <w:r w:rsidRPr="00852537">
        <w:rPr>
          <w:color w:val="auto"/>
          <w:kern w:val="0"/>
          <w:lang w:val="en-US" w:eastAsia="en-US"/>
        </w:rPr>
        <w:t>systems</w:t>
      </w:r>
      <w:proofErr w:type="gramEnd"/>
      <w:r w:rsidRPr="00852537">
        <w:rPr>
          <w:color w:val="auto"/>
          <w:kern w:val="0"/>
          <w:lang w:val="en-US" w:eastAsia="en-US"/>
        </w:rPr>
        <w:t xml:space="preserve"> view therefore treats water productivity as an emergent outcome of how multiple management choices reshape the field water balance and, critically, the timing of water availability relative to yield formation (</w:t>
      </w:r>
      <w:proofErr w:type="spellStart"/>
      <w:r w:rsidRPr="00852537">
        <w:rPr>
          <w:color w:val="auto"/>
          <w:kern w:val="0"/>
          <w:lang w:val="en-US" w:eastAsia="en-US"/>
        </w:rPr>
        <w:t>Passioura</w:t>
      </w:r>
      <w:proofErr w:type="spellEnd"/>
      <w:r w:rsidRPr="00852537">
        <w:rPr>
          <w:color w:val="auto"/>
          <w:kern w:val="0"/>
          <w:lang w:val="en-US" w:eastAsia="en-US"/>
        </w:rPr>
        <w:t>, 2007). This section explains why “context matters” by focusing on interaction effects, trade-offs, and constraints that determine whether integrated packages deliver stable benefits.</w:t>
      </w:r>
    </w:p>
    <w:p w14:paraId="1A916F8E" w14:textId="77777777" w:rsidR="00852537" w:rsidRPr="00852537" w:rsidRDefault="00852537" w:rsidP="008525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852537">
        <w:rPr>
          <w:b/>
          <w:bCs/>
          <w:color w:val="auto"/>
          <w:kern w:val="0"/>
          <w:sz w:val="36"/>
          <w:szCs w:val="36"/>
          <w:lang w:val="en-US" w:eastAsia="en-US"/>
        </w:rPr>
        <w:t>7.1 Why stacking practices can be more powerful than single interventions</w:t>
      </w:r>
    </w:p>
    <w:p w14:paraId="58714871"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The logic of stacking practices is that different interventions target different loss pathways, so their combined effect can be greater than the effect of any individual practice. Soil-cover strategies such as mulching and residue retention primarily reduce non-productive soil evaporation and moderate soil temperature regimes, thereby extending moisture availability into reproductive stages. Conservation agriculture frameworks can enhance infiltration and reduce crusting and runoff, improving effective rainfall capture and sustaining soil structure that supports deeper rooting (Hobbs et al., 2008). Irrigation strategies such as deficit irrigation and regulated alternate wetting and drying (AWD) can then use limited applied water more strategically, concentrating irrigation on stages where yield sensitivity is highest rather than attempting to meet full seasonal demand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w:t>
      </w:r>
      <w:proofErr w:type="spellStart"/>
      <w:r w:rsidRPr="00852537">
        <w:rPr>
          <w:color w:val="auto"/>
          <w:kern w:val="0"/>
          <w:lang w:val="en-US" w:eastAsia="en-US"/>
        </w:rPr>
        <w:t>Carrijo</w:t>
      </w:r>
      <w:proofErr w:type="spellEnd"/>
      <w:r w:rsidRPr="00852537">
        <w:rPr>
          <w:color w:val="auto"/>
          <w:kern w:val="0"/>
          <w:lang w:val="en-US" w:eastAsia="en-US"/>
        </w:rPr>
        <w:t xml:space="preserve"> et al., 2017). When combined, these approaches can increase the buffering capacity of the system: conserved early-season moisture and improved infiltration reduce the severity of mid-season stress, and targeted irrigation reduces the probability of catastrophic stress during flowering or grain filling.</w:t>
      </w:r>
    </w:p>
    <w:p w14:paraId="0CF4F730"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However, stacked packages are not automatically additive. Interaction effects can be positive, neutral, or negative. For example, conservation agriculture practices may improve water capture over time, but if residue cover is insufficient or weed pressure rises, the intended water benefits may be offset by increased non-crop transpiration or operational difficulties. Large-scale evidence indicates that the productivity outcomes of conservation agriculture principles are highly variable across environments, reinforcing that benefits depend on context and implementation quality rather than on the label “conservation agriculture” itself (</w:t>
      </w:r>
      <w:proofErr w:type="spellStart"/>
      <w:r w:rsidRPr="00852537">
        <w:rPr>
          <w:color w:val="auto"/>
          <w:kern w:val="0"/>
          <w:lang w:val="en-US" w:eastAsia="en-US"/>
        </w:rPr>
        <w:t>Pittelkow</w:t>
      </w:r>
      <w:proofErr w:type="spellEnd"/>
      <w:r w:rsidRPr="00852537">
        <w:rPr>
          <w:color w:val="auto"/>
          <w:kern w:val="0"/>
          <w:lang w:val="en-US" w:eastAsia="en-US"/>
        </w:rPr>
        <w:t xml:space="preserve"> et al., 2015). Thus, the practical value of stacking is greatest when each component addresses a clearly diagnosed local constraint and when management capacity is sufficient to maintain performance across seasons.</w:t>
      </w:r>
    </w:p>
    <w:p w14:paraId="2CBBA1A3" w14:textId="77777777" w:rsidR="00852537" w:rsidRPr="00852537" w:rsidRDefault="00852537" w:rsidP="008525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852537">
        <w:rPr>
          <w:b/>
          <w:bCs/>
          <w:color w:val="auto"/>
          <w:kern w:val="0"/>
          <w:sz w:val="36"/>
          <w:szCs w:val="36"/>
          <w:lang w:val="en-US" w:eastAsia="en-US"/>
        </w:rPr>
        <w:t>7.2 Soil context: texture, structure, and baseline organic matter as determinants of response</w:t>
      </w:r>
    </w:p>
    <w:p w14:paraId="3534C2B5"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lastRenderedPageBreak/>
        <w:t xml:space="preserve">Soil properties strongly condition the performance of water-efficient interventions. In coarse-textured soils, infiltration is often adequate but plant-available water storage is limited, so strategies that increase retention and reduce evaporation can be especially important. Biochar has been studied as a potential tool to modify soil hydrological properties; meta-analytic evidence suggests that biochar can affect water retention and related hydraulic characteristics, though outcomes vary with biochar type and soil conditions (Omondi et al., 2016). A systematic review and meta-analysis further </w:t>
      </w:r>
      <w:proofErr w:type="gramStart"/>
      <w:r w:rsidRPr="00852537">
        <w:rPr>
          <w:color w:val="auto"/>
          <w:kern w:val="0"/>
          <w:lang w:val="en-US" w:eastAsia="en-US"/>
        </w:rPr>
        <w:t>indicates</w:t>
      </w:r>
      <w:proofErr w:type="gramEnd"/>
      <w:r w:rsidRPr="00852537">
        <w:rPr>
          <w:color w:val="auto"/>
          <w:kern w:val="0"/>
          <w:lang w:val="en-US" w:eastAsia="en-US"/>
        </w:rPr>
        <w:t xml:space="preserve"> that biochar can improve soil water retention in many cases, with stronger potential in coarse soils, while still highlighting substantial heterogeneity in effect size (</w:t>
      </w:r>
      <w:proofErr w:type="spellStart"/>
      <w:r w:rsidRPr="00852537">
        <w:rPr>
          <w:color w:val="auto"/>
          <w:kern w:val="0"/>
          <w:lang w:val="en-US" w:eastAsia="en-US"/>
        </w:rPr>
        <w:t>Razzaghi</w:t>
      </w:r>
      <w:proofErr w:type="spellEnd"/>
      <w:r w:rsidRPr="00852537">
        <w:rPr>
          <w:color w:val="auto"/>
          <w:kern w:val="0"/>
          <w:lang w:val="en-US" w:eastAsia="en-US"/>
        </w:rPr>
        <w:t xml:space="preserve"> et al., 2020). Experimental work adds nuance by showing that biochar and </w:t>
      </w:r>
      <w:proofErr w:type="spellStart"/>
      <w:r w:rsidRPr="00852537">
        <w:rPr>
          <w:color w:val="auto"/>
          <w:kern w:val="0"/>
          <w:lang w:val="en-US" w:eastAsia="en-US"/>
        </w:rPr>
        <w:t>hydrochar</w:t>
      </w:r>
      <w:proofErr w:type="spellEnd"/>
      <w:r w:rsidRPr="00852537">
        <w:rPr>
          <w:color w:val="auto"/>
          <w:kern w:val="0"/>
          <w:lang w:val="en-US" w:eastAsia="en-US"/>
        </w:rPr>
        <w:t xml:space="preserve"> can also influence water repellency in sandy soils, implying that amendment choice and quality control matter in drought-prone settings where reliable water capture is essential (Abel et al., 2013).</w:t>
      </w:r>
    </w:p>
    <w:p w14:paraId="441E6116"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In fine-textured soils prone to crusting and runoff, the dominant constraint may be infiltration rather than storage. Here, surface protection through residue cover and mulching can reduce crust formation and improve infiltration, while also suppressing evaporation. Reviews emphasize that mulches modify the soil environment through multiple mechanisms, including reducing radiation and wind at the surface and improving infiltration by limiting raindrop impact (Kader et al., 2017). Yet even mulching is context-dependent: in regions where residues are scarce or have competing uses, the feasible mulch rate may be too low to deliver consistent water benefits. This is precisely why context must be treated as a first-order determinant rather than a secondary consideration.</w:t>
      </w:r>
    </w:p>
    <w:p w14:paraId="5C7F5FD5" w14:textId="77777777" w:rsidR="00852537" w:rsidRPr="00852537" w:rsidRDefault="00852537" w:rsidP="008525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852537">
        <w:rPr>
          <w:b/>
          <w:bCs/>
          <w:color w:val="auto"/>
          <w:kern w:val="0"/>
          <w:sz w:val="36"/>
          <w:szCs w:val="36"/>
          <w:lang w:val="en-US" w:eastAsia="en-US"/>
        </w:rPr>
        <w:t>7.3 Crop context: phenology, system design, and water-demand timing</w:t>
      </w:r>
    </w:p>
    <w:p w14:paraId="1D8C5C3A"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Cropping system design shapes the “demand curve” for water—when crops need water and how quickly they deplete soil reserves. Intercropping can improve water productivity when component crops are complementary in rooting depth, canopy structure, or phenology, thereby capturing resources more effectively than monocultures. Evidence from maize/pea intercropping demonstrates yield advantage and water saving under certain configurations, suggesting that spatial diversification can improve performance in water-limited systems (Mao et al., 2012). Yet intercropping can also increase competition for limited soil moisture if peak demands overlap, making design and management critical. More recent work shows that optimizing row ratios and reducing nitrogen fertilizer can enhance both water and nitrogen use efficiency in maize/pea intercropping, reinforcing that water outcomes are sensitive to how cropping geometry and fertility management shape competition and complementarity (Tan et al., 2021).</w:t>
      </w:r>
    </w:p>
    <w:p w14:paraId="2CBADB7D"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Cover crops illustrate an even sharper context-dependence because they can simultaneously provide soil benefits and consume water. A synthesis of cover crop ecosystem services indicates broad sustainability potential but implies that outcomes vary and trade-offs can occur (</w:t>
      </w:r>
      <w:proofErr w:type="spellStart"/>
      <w:r w:rsidRPr="00852537">
        <w:rPr>
          <w:color w:val="auto"/>
          <w:kern w:val="0"/>
          <w:lang w:val="en-US" w:eastAsia="en-US"/>
        </w:rPr>
        <w:t>Daryanto</w:t>
      </w:r>
      <w:proofErr w:type="spellEnd"/>
      <w:r w:rsidRPr="00852537">
        <w:rPr>
          <w:color w:val="auto"/>
          <w:kern w:val="0"/>
          <w:lang w:val="en-US" w:eastAsia="en-US"/>
        </w:rPr>
        <w:t xml:space="preserve"> et al., 2018). A meta-analysis focused on water outcomes finds that cover crops can reduce precipitation storage efficiency and soil water at planting in some cases, while also documenting situations where cover crops may improve water-use efficiency of succeeding crops through changes in evapotranspiration dynamics (Wang et al., 2021). These mixed outcomes mean that cover crops in drought-prone regions should be managed as a timing problem: termination date, biomass targets, and residue handling determine whether cover crops reduce or enhance water availability for the main crop.</w:t>
      </w:r>
    </w:p>
    <w:p w14:paraId="178309A7" w14:textId="77777777" w:rsidR="00852537" w:rsidRPr="00852537" w:rsidRDefault="00852537" w:rsidP="008525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852537">
        <w:rPr>
          <w:b/>
          <w:bCs/>
          <w:color w:val="auto"/>
          <w:kern w:val="0"/>
          <w:sz w:val="36"/>
          <w:szCs w:val="36"/>
          <w:lang w:val="en-US" w:eastAsia="en-US"/>
        </w:rPr>
        <w:lastRenderedPageBreak/>
        <w:t>7.4 Irrigation context: infrastructure, scheduling capacity, and risk of mis-timed water</w:t>
      </w:r>
    </w:p>
    <w:p w14:paraId="19160AD6"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Where irrigation is available, the same volumetric water allocation can have very different value depending on delivery reliability and scheduling capacity. Deficit irrigation requires the ability to place water strategically, and its success depends on understanding crop stage sensitivity and soil buffering—otherwise, deficits may fall on sensitive stages and cause disproportionate yield loss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Similarly, AWD in rice systems can save water and maintain yields on average, but it requires monitoring to prevent excessive drying that would convert AWD into harmful stress (</w:t>
      </w:r>
      <w:proofErr w:type="spellStart"/>
      <w:r w:rsidRPr="00852537">
        <w:rPr>
          <w:color w:val="auto"/>
          <w:kern w:val="0"/>
          <w:lang w:val="en-US" w:eastAsia="en-US"/>
        </w:rPr>
        <w:t>Carrijo</w:t>
      </w:r>
      <w:proofErr w:type="spellEnd"/>
      <w:r w:rsidRPr="00852537">
        <w:rPr>
          <w:color w:val="auto"/>
          <w:kern w:val="0"/>
          <w:lang w:val="en-US" w:eastAsia="en-US"/>
        </w:rPr>
        <w:t xml:space="preserve"> et al., 2017). Operational realities therefore shape whether technically sound strategies deliver real outcomes.</w:t>
      </w:r>
    </w:p>
    <w:p w14:paraId="7DAA6BEF"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Environmental context also affects the feasibility of certain techniques. For example, plastic mulches can conserve water but introduce disposal and environmental concerns, motivating biodegradable options while acknowledging that practical performance can vary by setting (</w:t>
      </w:r>
      <w:proofErr w:type="spellStart"/>
      <w:r w:rsidRPr="00852537">
        <w:rPr>
          <w:color w:val="auto"/>
          <w:kern w:val="0"/>
          <w:lang w:val="en-US" w:eastAsia="en-US"/>
        </w:rPr>
        <w:t>Kasirajan</w:t>
      </w:r>
      <w:proofErr w:type="spellEnd"/>
      <w:r w:rsidRPr="00852537">
        <w:rPr>
          <w:color w:val="auto"/>
          <w:kern w:val="0"/>
          <w:lang w:val="en-US" w:eastAsia="en-US"/>
        </w:rPr>
        <w:t xml:space="preserve"> &amp; </w:t>
      </w:r>
      <w:proofErr w:type="spellStart"/>
      <w:r w:rsidRPr="00852537">
        <w:rPr>
          <w:color w:val="auto"/>
          <w:kern w:val="0"/>
          <w:lang w:val="en-US" w:eastAsia="en-US"/>
        </w:rPr>
        <w:t>Ngouajio</w:t>
      </w:r>
      <w:proofErr w:type="spellEnd"/>
      <w:r w:rsidRPr="00852537">
        <w:rPr>
          <w:color w:val="auto"/>
          <w:kern w:val="0"/>
          <w:lang w:val="en-US" w:eastAsia="en-US"/>
        </w:rPr>
        <w:t>, 2012). In drought-prone regions where governance and waste management capacity may be limited, these constraints can be decisive in determining whether mulch-based strategies are sustainable at scale.</w:t>
      </w:r>
    </w:p>
    <w:p w14:paraId="0DFBB8DF" w14:textId="77777777" w:rsidR="00852537" w:rsidRPr="00852537" w:rsidRDefault="00852537" w:rsidP="008525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852537">
        <w:rPr>
          <w:b/>
          <w:bCs/>
          <w:color w:val="auto"/>
          <w:kern w:val="0"/>
          <w:sz w:val="36"/>
          <w:szCs w:val="36"/>
          <w:lang w:val="en-US" w:eastAsia="en-US"/>
        </w:rPr>
        <w:t>7.5 Practical implication: diagnosing constraints and designing locally coherent packages</w:t>
      </w:r>
    </w:p>
    <w:p w14:paraId="0CEFFF08"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 xml:space="preserve">The integration lesson is that effective drought adaptation requires diagnosing the dominant local constraints and selecting a coherent set of interventions that address them without creating new bottlenecks. Where runoff and crusting are dominant, surface protection and infiltration improvement should be prioritized; where evaporation dominates, mulching and canopy management may yield the greatest gains (Kader et al., 2017). Where root-zone storage is the limiting factor, targeted amendments such as biochar may contribute, but only when matched to soil texture and quality and when risks such as water repellency are considered (Abel et al., 2013; Omondi et al., 2016; </w:t>
      </w:r>
      <w:proofErr w:type="spellStart"/>
      <w:r w:rsidRPr="00852537">
        <w:rPr>
          <w:color w:val="auto"/>
          <w:kern w:val="0"/>
          <w:lang w:val="en-US" w:eastAsia="en-US"/>
        </w:rPr>
        <w:t>Razzaghi</w:t>
      </w:r>
      <w:proofErr w:type="spellEnd"/>
      <w:r w:rsidRPr="00852537">
        <w:rPr>
          <w:color w:val="auto"/>
          <w:kern w:val="0"/>
          <w:lang w:val="en-US" w:eastAsia="en-US"/>
        </w:rPr>
        <w:t xml:space="preserve"> et al., 2020). Cropping system choices—intercropping design and cover crop termination—must then be aligned so that water demand does not peak when water is least available (Mao et al., 2012; Tan et al., 2021; Wang et al., 2021; </w:t>
      </w:r>
      <w:proofErr w:type="spellStart"/>
      <w:r w:rsidRPr="00852537">
        <w:rPr>
          <w:color w:val="auto"/>
          <w:kern w:val="0"/>
          <w:lang w:val="en-US" w:eastAsia="en-US"/>
        </w:rPr>
        <w:t>Daryanto</w:t>
      </w:r>
      <w:proofErr w:type="spellEnd"/>
      <w:r w:rsidRPr="00852537">
        <w:rPr>
          <w:color w:val="auto"/>
          <w:kern w:val="0"/>
          <w:lang w:val="en-US" w:eastAsia="en-US"/>
        </w:rPr>
        <w:t xml:space="preserve"> et al., 2018). Finally, irrigation—if present—should be used strategically to reduce yield risk, not simply to increase total water use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w:t>
      </w:r>
      <w:proofErr w:type="spellStart"/>
      <w:r w:rsidRPr="00852537">
        <w:rPr>
          <w:color w:val="auto"/>
          <w:kern w:val="0"/>
          <w:lang w:val="en-US" w:eastAsia="en-US"/>
        </w:rPr>
        <w:t>Carrijo</w:t>
      </w:r>
      <w:proofErr w:type="spellEnd"/>
      <w:r w:rsidRPr="00852537">
        <w:rPr>
          <w:color w:val="auto"/>
          <w:kern w:val="0"/>
          <w:lang w:val="en-US" w:eastAsia="en-US"/>
        </w:rPr>
        <w:t xml:space="preserve"> et al., 2017).</w:t>
      </w:r>
    </w:p>
    <w:p w14:paraId="6E179C56"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In sum, context matters because the same practice can act on different constraints—or fail to act on the dominant constraint—depending on soil, climate, cropping system, and operational capacity. Water-efficient agronomy in drought-prone regions is therefore best approached as integrated design: stacking practices that target distinct loss pathways, while explicitly managing trade-offs and ensuring feasibility under real-world constraints (</w:t>
      </w:r>
      <w:proofErr w:type="spellStart"/>
      <w:r w:rsidRPr="00852537">
        <w:rPr>
          <w:color w:val="auto"/>
          <w:kern w:val="0"/>
          <w:lang w:val="en-US" w:eastAsia="en-US"/>
        </w:rPr>
        <w:t>Passioura</w:t>
      </w:r>
      <w:proofErr w:type="spellEnd"/>
      <w:r w:rsidRPr="00852537">
        <w:rPr>
          <w:color w:val="auto"/>
          <w:kern w:val="0"/>
          <w:lang w:val="en-US" w:eastAsia="en-US"/>
        </w:rPr>
        <w:t xml:space="preserve">, 2007; </w:t>
      </w:r>
      <w:proofErr w:type="spellStart"/>
      <w:r w:rsidRPr="00852537">
        <w:rPr>
          <w:color w:val="auto"/>
          <w:kern w:val="0"/>
          <w:lang w:val="en-US" w:eastAsia="en-US"/>
        </w:rPr>
        <w:t>Pittelkow</w:t>
      </w:r>
      <w:proofErr w:type="spellEnd"/>
      <w:r w:rsidRPr="00852537">
        <w:rPr>
          <w:color w:val="auto"/>
          <w:kern w:val="0"/>
          <w:lang w:val="en-US" w:eastAsia="en-US"/>
        </w:rPr>
        <w:t xml:space="preserve"> et al., 2015).</w:t>
      </w:r>
    </w:p>
    <w:p w14:paraId="1AD5858E" w14:textId="77777777" w:rsidR="00462739" w:rsidRPr="00462739" w:rsidRDefault="00462739" w:rsidP="00462739">
      <w:pPr>
        <w:rPr>
          <w:lang w:val="en-GB"/>
        </w:rPr>
      </w:pPr>
    </w:p>
    <w:p w14:paraId="0C716B3C" w14:textId="77777777" w:rsidR="00852537" w:rsidRPr="00852537" w:rsidRDefault="00852537" w:rsidP="00852537">
      <w:pPr>
        <w:spacing w:before="100" w:beforeAutospacing="1" w:after="100" w:afterAutospacing="1" w:line="240" w:lineRule="auto"/>
        <w:ind w:left="0" w:right="0" w:firstLine="0"/>
        <w:jc w:val="left"/>
        <w:outlineLvl w:val="0"/>
        <w:rPr>
          <w:b/>
          <w:bCs/>
          <w:color w:val="auto"/>
          <w:kern w:val="36"/>
          <w:sz w:val="48"/>
          <w:szCs w:val="48"/>
          <w:lang w:val="en-US" w:eastAsia="en-US"/>
        </w:rPr>
      </w:pPr>
      <w:r w:rsidRPr="00852537">
        <w:rPr>
          <w:b/>
          <w:bCs/>
          <w:color w:val="auto"/>
          <w:kern w:val="36"/>
          <w:sz w:val="48"/>
          <w:szCs w:val="48"/>
          <w:lang w:val="en-US" w:eastAsia="en-US"/>
        </w:rPr>
        <w:lastRenderedPageBreak/>
        <w:t>8. Toward design principles for drought-prone agronomy</w:t>
      </w:r>
    </w:p>
    <w:p w14:paraId="762B9DAF"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Design principles translate the diverse “menu” of water-efficient practices into locally coherent strategies that can be implemented under real climatic, soil, and operational constraints. In drought-prone regions, design must be explicitly risk-oriented: the goal is not simply to raise average yield, but to increase the probability of acceptable yield under variable rainfall and high evaporative demand. Conceptually, this involves improving the productive fraction of water—maximizing the share of rainfall or irrigation that becomes transpiration during yield-sensitive stages—while reducing non-productive losses through runoff, soil evaporation, and poorly timed irrigation (</w:t>
      </w:r>
      <w:proofErr w:type="spellStart"/>
      <w:r w:rsidRPr="00852537">
        <w:rPr>
          <w:color w:val="auto"/>
          <w:kern w:val="0"/>
          <w:lang w:val="en-US" w:eastAsia="en-US"/>
        </w:rPr>
        <w:t>Passioura</w:t>
      </w:r>
      <w:proofErr w:type="spellEnd"/>
      <w:r w:rsidRPr="00852537">
        <w:rPr>
          <w:color w:val="auto"/>
          <w:kern w:val="0"/>
          <w:lang w:val="en-US" w:eastAsia="en-US"/>
        </w:rPr>
        <w:t>, 2007). The design challenge is therefore a problem of diagnosis and integration: identifying the dominant local loss pathways and selecting practice combinations whose mechanisms are complementary rather than redundant or conflicting.</w:t>
      </w:r>
    </w:p>
    <w:p w14:paraId="024D27F5" w14:textId="77777777" w:rsidR="00852537" w:rsidRPr="00852537" w:rsidRDefault="00852537" w:rsidP="008525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852537">
        <w:rPr>
          <w:b/>
          <w:bCs/>
          <w:color w:val="auto"/>
          <w:kern w:val="0"/>
          <w:sz w:val="36"/>
          <w:szCs w:val="36"/>
          <w:lang w:val="en-US" w:eastAsia="en-US"/>
        </w:rPr>
        <w:t>8.1 Diagnose dominant water-loss pathways before selecting interventions</w:t>
      </w:r>
    </w:p>
    <w:p w14:paraId="65028C56"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A first design principle is to diagnose which water-loss pathways dominate the local system. In some drought-prone landscapes, rainfall arrives in intense bursts and substantial water is lost as runoff due to crusting or low infiltration; in others, infiltration is adequate but high evaporative demand causes rapid surface drying and large soil evaporation losses early in the season. Still other systems are constrained by low water-holding capacity or shallow rooting depth, limiting the soil’s buffering capacity between rainfall events. The broader argument for rainfed systems emphasizes that meeting food needs under water scarcity requires managing rainfall more productively through improved capture and storage rather than relying on additional water withdrawals, reinforcing the importance of identifying where rainfall is “lost” in the system (</w:t>
      </w:r>
      <w:proofErr w:type="spellStart"/>
      <w:r w:rsidRPr="00852537">
        <w:rPr>
          <w:color w:val="auto"/>
          <w:kern w:val="0"/>
          <w:lang w:val="en-US" w:eastAsia="en-US"/>
        </w:rPr>
        <w:t>Rockström</w:t>
      </w:r>
      <w:proofErr w:type="spellEnd"/>
      <w:r w:rsidRPr="00852537">
        <w:rPr>
          <w:color w:val="auto"/>
          <w:kern w:val="0"/>
          <w:lang w:val="en-US" w:eastAsia="en-US"/>
        </w:rPr>
        <w:t xml:space="preserve"> et al., 2010).</w:t>
      </w:r>
    </w:p>
    <w:p w14:paraId="2DCEB123"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Once dominant pathways are identified, intervention selection becomes more disciplined. Where runoff and crusting dominate, surface protection and structural stability that support infiltration are central. Where evaporation dominates, mulching and residue retention become high-leverage options because they suppress non-productive soil evaporation and stabilize soil microclimate (Kader et al., 2017). Where limited storage dominates, strategies that improve water retention or enhance rooting access to stored water are more relevant, though they must be considered carefully in terms of effectiveness and feasibility (</w:t>
      </w:r>
      <w:proofErr w:type="spellStart"/>
      <w:r w:rsidRPr="00852537">
        <w:rPr>
          <w:color w:val="auto"/>
          <w:kern w:val="0"/>
          <w:lang w:val="en-US" w:eastAsia="en-US"/>
        </w:rPr>
        <w:t>Passioura</w:t>
      </w:r>
      <w:proofErr w:type="spellEnd"/>
      <w:r w:rsidRPr="00852537">
        <w:rPr>
          <w:color w:val="auto"/>
          <w:kern w:val="0"/>
          <w:lang w:val="en-US" w:eastAsia="en-US"/>
        </w:rPr>
        <w:t>, 2007). This diagnostic orientation helps avoid the common pitfall of adopting “popular” practices that do not address the primary local constraint.</w:t>
      </w:r>
    </w:p>
    <w:p w14:paraId="6D6E59CA" w14:textId="77777777" w:rsidR="00852537" w:rsidRPr="00852537" w:rsidRDefault="00852537" w:rsidP="008525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852537">
        <w:rPr>
          <w:b/>
          <w:bCs/>
          <w:color w:val="auto"/>
          <w:kern w:val="0"/>
          <w:sz w:val="36"/>
          <w:szCs w:val="36"/>
          <w:lang w:val="en-US" w:eastAsia="en-US"/>
        </w:rPr>
        <w:t>8.2 Prioritize practices that increase buffering capacity and protect sensitive stages</w:t>
      </w:r>
    </w:p>
    <w:p w14:paraId="3D777E90"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 xml:space="preserve">A second principle is to increase buffering capacity: the ability of the soil–root system to store water from episodic rainfall or irrigation and make it available during dry spells. Buffering capacity is particularly valuable because drought damage often occurs when moisture deficits coincide with sensitive developmental stages. The conceptual yield </w:t>
      </w:r>
      <w:r w:rsidRPr="00852537">
        <w:rPr>
          <w:color w:val="auto"/>
          <w:kern w:val="0"/>
          <w:lang w:val="en-US" w:eastAsia="en-US"/>
        </w:rPr>
        <w:lastRenderedPageBreak/>
        <w:t>framework emphasizes that yield outcomes are shaped by how water is acquired and used over time, making stage protection a central aim of drought-prone design (</w:t>
      </w:r>
      <w:proofErr w:type="spellStart"/>
      <w:r w:rsidRPr="00852537">
        <w:rPr>
          <w:color w:val="auto"/>
          <w:kern w:val="0"/>
          <w:lang w:val="en-US" w:eastAsia="en-US"/>
        </w:rPr>
        <w:t>Passioura</w:t>
      </w:r>
      <w:proofErr w:type="spellEnd"/>
      <w:r w:rsidRPr="00852537">
        <w:rPr>
          <w:color w:val="auto"/>
          <w:kern w:val="0"/>
          <w:lang w:val="en-US" w:eastAsia="en-US"/>
        </w:rPr>
        <w:t>, 2007).</w:t>
      </w:r>
    </w:p>
    <w:p w14:paraId="2C3F2E9C"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Mulching is often a buffering strategy because it reduces early-season evaporation and can extend moisture availability into reproductive periods, especially where bare-soil evaporation would otherwise dominate (Kader et al., 2017). Conservation agriculture, when effectively implemented, can contribute by stabilizing structure and increasing infiltration, thereby raising the fraction of rainfall that becomes stored soil moisture (Hobbs et al., 2008). Yet the variability in conservation agriculture performance across environments is a reminder that buffering gains depend on feasibility—particularly residue availability and weed management—and on the time needed for soil structural benefits to emerge (</w:t>
      </w:r>
      <w:proofErr w:type="spellStart"/>
      <w:r w:rsidRPr="00852537">
        <w:rPr>
          <w:color w:val="auto"/>
          <w:kern w:val="0"/>
          <w:lang w:val="en-US" w:eastAsia="en-US"/>
        </w:rPr>
        <w:t>Pittelkow</w:t>
      </w:r>
      <w:proofErr w:type="spellEnd"/>
      <w:r w:rsidRPr="00852537">
        <w:rPr>
          <w:color w:val="auto"/>
          <w:kern w:val="0"/>
          <w:lang w:val="en-US" w:eastAsia="en-US"/>
        </w:rPr>
        <w:t xml:space="preserve"> et al., 2015). Thus, a robust design principle is to select buffering practices that match local resource constraints and to plan transition pathways that reduce short-term risk.</w:t>
      </w:r>
    </w:p>
    <w:p w14:paraId="0EEBD76A" w14:textId="77777777" w:rsidR="00852537" w:rsidRPr="00852537" w:rsidRDefault="00852537" w:rsidP="008525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852537">
        <w:rPr>
          <w:b/>
          <w:bCs/>
          <w:color w:val="auto"/>
          <w:kern w:val="0"/>
          <w:sz w:val="36"/>
          <w:szCs w:val="36"/>
          <w:lang w:val="en-US" w:eastAsia="en-US"/>
        </w:rPr>
        <w:t>8.3 Use irrigation as a strategic, stage-focused risk-management tool</w:t>
      </w:r>
    </w:p>
    <w:p w14:paraId="08B3AE97"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Where irrigation is available but limited, a third principle is to use it strategically rather than attempting to meet full seasonal demand. Deficit irrigation is explicitly designed for such conditions: it seeks to reduce water application while minimizing yield loss by prioritizing irrigations at the stages where yield is most sensitive to stress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This stage-focused approach aligns well with drought-prone design because it turns scarce irrigation into a tool for preventing catastrophic stress rather than simply increasing total evapotranspiration.</w:t>
      </w:r>
    </w:p>
    <w:p w14:paraId="703D895B"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However, strategic irrigation depends on scheduling capacity. Classic assessments of plant-based irrigation scheduling highlight both advantages and pitfalls, underscoring that reliable implementation requires robust indicators and environment-appropriate thresholds (Jones, 2004). In design terms, this implies that irrigation strategies must be matched to the information and operational constraints of the farming system. A theoretically optimal deficit or plant-based strategy may underperform if irrigation delivery is unreliable or if monitoring cannot be maintained. Therefore, drought-prone design should emphasize robust, implementable scheduling approaches that protect critical stages and minimize avoidable losses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Jones, 2004).</w:t>
      </w:r>
    </w:p>
    <w:p w14:paraId="03CB523C" w14:textId="77777777" w:rsidR="00852537" w:rsidRPr="00852537" w:rsidRDefault="00852537" w:rsidP="008525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852537">
        <w:rPr>
          <w:b/>
          <w:bCs/>
          <w:color w:val="auto"/>
          <w:kern w:val="0"/>
          <w:sz w:val="36"/>
          <w:szCs w:val="36"/>
          <w:lang w:val="en-US" w:eastAsia="en-US"/>
        </w:rPr>
        <w:t>8.4 Design for feasibility, adoption, and environmental sustainability</w:t>
      </w:r>
    </w:p>
    <w:p w14:paraId="2A1E8A1C"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A fourth principle is feasibility: practices must be workable under local labor, equipment, residue, and institutional conditions. Plastic and biodegradable mulches illustrate feasibility constraints and sustainability trade-offs. While mulches can deliver strong evaporation suppression and microclimate moderation, polyethylene mulches introduce disposal and environmental concerns, motivating biodegradable alternatives whose suitability varies by context (</w:t>
      </w:r>
      <w:proofErr w:type="spellStart"/>
      <w:r w:rsidRPr="00852537">
        <w:rPr>
          <w:color w:val="auto"/>
          <w:kern w:val="0"/>
          <w:lang w:val="en-US" w:eastAsia="en-US"/>
        </w:rPr>
        <w:t>Kasirajan</w:t>
      </w:r>
      <w:proofErr w:type="spellEnd"/>
      <w:r w:rsidRPr="00852537">
        <w:rPr>
          <w:color w:val="auto"/>
          <w:kern w:val="0"/>
          <w:lang w:val="en-US" w:eastAsia="en-US"/>
        </w:rPr>
        <w:t xml:space="preserve"> &amp; </w:t>
      </w:r>
      <w:proofErr w:type="spellStart"/>
      <w:r w:rsidRPr="00852537">
        <w:rPr>
          <w:color w:val="auto"/>
          <w:kern w:val="0"/>
          <w:lang w:val="en-US" w:eastAsia="en-US"/>
        </w:rPr>
        <w:t>Ngouajio</w:t>
      </w:r>
      <w:proofErr w:type="spellEnd"/>
      <w:r w:rsidRPr="00852537">
        <w:rPr>
          <w:color w:val="auto"/>
          <w:kern w:val="0"/>
          <w:lang w:val="en-US" w:eastAsia="en-US"/>
        </w:rPr>
        <w:t>, 2012). In drought-prone regions, where resources for waste management may be limited, material choice becomes part of the design principle rather than an afterthought.</w:t>
      </w:r>
    </w:p>
    <w:p w14:paraId="70A5247E"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lastRenderedPageBreak/>
        <w:t xml:space="preserve">Similarly, conservation agriculture adoption depends on the ability to maintain soil cover and manage weeds. The sustainability framing emphasizes potential benefits, but evidence of variable yield outcomes underscores that adoption pathways must be tailored and supported by appropriate complementary practices (Hobbs et al., 2008; </w:t>
      </w:r>
      <w:proofErr w:type="spellStart"/>
      <w:r w:rsidRPr="00852537">
        <w:rPr>
          <w:color w:val="auto"/>
          <w:kern w:val="0"/>
          <w:lang w:val="en-US" w:eastAsia="en-US"/>
        </w:rPr>
        <w:t>Pittelkow</w:t>
      </w:r>
      <w:proofErr w:type="spellEnd"/>
      <w:r w:rsidRPr="00852537">
        <w:rPr>
          <w:color w:val="auto"/>
          <w:kern w:val="0"/>
          <w:lang w:val="en-US" w:eastAsia="en-US"/>
        </w:rPr>
        <w:t xml:space="preserve"> et al., 2015). A practical design rule, therefore, is to avoid “one-size-fits-all” prescriptions and instead develop stepwise implementation options that align with local constraints—partial residue retention, targeted tillage, or rotation adjustments that improve residue supply—while maintaining the core goal of improving the productive fraction of water.</w:t>
      </w:r>
    </w:p>
    <w:p w14:paraId="0A75EB31" w14:textId="77777777" w:rsidR="00852537" w:rsidRPr="00852537" w:rsidRDefault="00852537" w:rsidP="00852537">
      <w:pPr>
        <w:spacing w:before="100" w:beforeAutospacing="1" w:after="100" w:afterAutospacing="1" w:line="240" w:lineRule="auto"/>
        <w:ind w:left="0" w:right="0" w:firstLine="0"/>
        <w:jc w:val="left"/>
        <w:outlineLvl w:val="1"/>
        <w:rPr>
          <w:b/>
          <w:bCs/>
          <w:color w:val="auto"/>
          <w:kern w:val="0"/>
          <w:sz w:val="36"/>
          <w:szCs w:val="36"/>
          <w:lang w:val="en-US" w:eastAsia="en-US"/>
        </w:rPr>
      </w:pPr>
      <w:r w:rsidRPr="00852537">
        <w:rPr>
          <w:b/>
          <w:bCs/>
          <w:color w:val="auto"/>
          <w:kern w:val="0"/>
          <w:sz w:val="36"/>
          <w:szCs w:val="36"/>
          <w:lang w:val="en-US" w:eastAsia="en-US"/>
        </w:rPr>
        <w:t>8.5 Evaluate designs using stability and risk metrics, not only mean yield</w:t>
      </w:r>
    </w:p>
    <w:p w14:paraId="68CC5C30"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A final principle concerns evaluation. Because drought-prone regions are dominated by variability and downside risk, designs should be assessed on yield stability, probability of failure, and resilience across dry years—not solely on mean yield in average years. The conceptual drought framework emphasizes that agronomic success in dry environments depends on managing the drought environment and its timing effects, which implies that stability metrics are essential for judging whether an intervention truly improves drought adaptation (</w:t>
      </w:r>
      <w:proofErr w:type="spellStart"/>
      <w:r w:rsidRPr="00852537">
        <w:rPr>
          <w:color w:val="auto"/>
          <w:kern w:val="0"/>
          <w:lang w:val="en-US" w:eastAsia="en-US"/>
        </w:rPr>
        <w:t>Passioura</w:t>
      </w:r>
      <w:proofErr w:type="spellEnd"/>
      <w:r w:rsidRPr="00852537">
        <w:rPr>
          <w:color w:val="auto"/>
          <w:kern w:val="0"/>
          <w:lang w:val="en-US" w:eastAsia="en-US"/>
        </w:rPr>
        <w:t>, 2007).</w:t>
      </w:r>
    </w:p>
    <w:p w14:paraId="02F98FC8" w14:textId="77777777" w:rsidR="00852537" w:rsidRPr="00852537" w:rsidRDefault="00852537" w:rsidP="00852537">
      <w:pPr>
        <w:spacing w:before="100" w:beforeAutospacing="1" w:after="100" w:afterAutospacing="1" w:line="240" w:lineRule="auto"/>
        <w:ind w:left="0" w:right="0" w:firstLine="0"/>
        <w:jc w:val="left"/>
        <w:rPr>
          <w:color w:val="auto"/>
          <w:kern w:val="0"/>
          <w:lang w:val="en-US" w:eastAsia="en-US"/>
        </w:rPr>
      </w:pPr>
      <w:r w:rsidRPr="00852537">
        <w:rPr>
          <w:color w:val="auto"/>
          <w:kern w:val="0"/>
          <w:lang w:val="en-US" w:eastAsia="en-US"/>
        </w:rPr>
        <w:t>In practical terms, this means that integrated packages should be tested under a range of rainfall patterns and management conditions, with attention to whether benefits persist under severe or multi-stage drought. It also means that water productivity should be interpreted carefully: an intervention that increases water productivity by reducing total water use may still be unacceptable if it increases the probability of crop failure. Conversely, an intervention that slightly lowers water productivity in wet years may be valuable if it dramatically reduces the likelihood of very low yields in dry years. Designing for drought-prone agronomy is therefore a balancing act between efficiency and resilience, guided by diagnosis, buffering, strategic stage protection, feasibility, and risk-based evaluation (</w:t>
      </w:r>
      <w:proofErr w:type="spellStart"/>
      <w:r w:rsidRPr="00852537">
        <w:rPr>
          <w:color w:val="auto"/>
          <w:kern w:val="0"/>
          <w:lang w:val="en-US" w:eastAsia="en-US"/>
        </w:rPr>
        <w:t>Rockström</w:t>
      </w:r>
      <w:proofErr w:type="spellEnd"/>
      <w:r w:rsidRPr="00852537">
        <w:rPr>
          <w:color w:val="auto"/>
          <w:kern w:val="0"/>
          <w:lang w:val="en-US" w:eastAsia="en-US"/>
        </w:rPr>
        <w:t xml:space="preserve"> et al., 2010; </w:t>
      </w:r>
      <w:proofErr w:type="spellStart"/>
      <w:r w:rsidRPr="00852537">
        <w:rPr>
          <w:color w:val="auto"/>
          <w:kern w:val="0"/>
          <w:lang w:val="en-US" w:eastAsia="en-US"/>
        </w:rPr>
        <w:t>Fereres</w:t>
      </w:r>
      <w:proofErr w:type="spellEnd"/>
      <w:r w:rsidRPr="00852537">
        <w:rPr>
          <w:color w:val="auto"/>
          <w:kern w:val="0"/>
          <w:lang w:val="en-US" w:eastAsia="en-US"/>
        </w:rPr>
        <w:t xml:space="preserve"> &amp; Soriano, 2007; Jones, 2004; Kader et al., 2017; Hobbs et al., 2008; </w:t>
      </w:r>
      <w:proofErr w:type="spellStart"/>
      <w:r w:rsidRPr="00852537">
        <w:rPr>
          <w:color w:val="auto"/>
          <w:kern w:val="0"/>
          <w:lang w:val="en-US" w:eastAsia="en-US"/>
        </w:rPr>
        <w:t>Pittelkow</w:t>
      </w:r>
      <w:proofErr w:type="spellEnd"/>
      <w:r w:rsidRPr="00852537">
        <w:rPr>
          <w:color w:val="auto"/>
          <w:kern w:val="0"/>
          <w:lang w:val="en-US" w:eastAsia="en-US"/>
        </w:rPr>
        <w:t xml:space="preserve"> et al., 2015; </w:t>
      </w:r>
      <w:proofErr w:type="spellStart"/>
      <w:r w:rsidRPr="00852537">
        <w:rPr>
          <w:color w:val="auto"/>
          <w:kern w:val="0"/>
          <w:lang w:val="en-US" w:eastAsia="en-US"/>
        </w:rPr>
        <w:t>Kasirajan</w:t>
      </w:r>
      <w:proofErr w:type="spellEnd"/>
      <w:r w:rsidRPr="00852537">
        <w:rPr>
          <w:color w:val="auto"/>
          <w:kern w:val="0"/>
          <w:lang w:val="en-US" w:eastAsia="en-US"/>
        </w:rPr>
        <w:t xml:space="preserve"> &amp; </w:t>
      </w:r>
      <w:proofErr w:type="spellStart"/>
      <w:r w:rsidRPr="00852537">
        <w:rPr>
          <w:color w:val="auto"/>
          <w:kern w:val="0"/>
          <w:lang w:val="en-US" w:eastAsia="en-US"/>
        </w:rPr>
        <w:t>Ngouajio</w:t>
      </w:r>
      <w:proofErr w:type="spellEnd"/>
      <w:r w:rsidRPr="00852537">
        <w:rPr>
          <w:color w:val="auto"/>
          <w:kern w:val="0"/>
          <w:lang w:val="en-US" w:eastAsia="en-US"/>
        </w:rPr>
        <w:t xml:space="preserve">, 2012; </w:t>
      </w:r>
      <w:proofErr w:type="spellStart"/>
      <w:r w:rsidRPr="00852537">
        <w:rPr>
          <w:color w:val="auto"/>
          <w:kern w:val="0"/>
          <w:lang w:val="en-US" w:eastAsia="en-US"/>
        </w:rPr>
        <w:t>Passioura</w:t>
      </w:r>
      <w:proofErr w:type="spellEnd"/>
      <w:r w:rsidRPr="00852537">
        <w:rPr>
          <w:color w:val="auto"/>
          <w:kern w:val="0"/>
          <w:lang w:val="en-US" w:eastAsia="en-US"/>
        </w:rPr>
        <w:t>, 2007).</w:t>
      </w:r>
    </w:p>
    <w:p w14:paraId="3B0DA62D" w14:textId="77777777" w:rsidR="00462739" w:rsidRPr="00462739" w:rsidRDefault="00462739" w:rsidP="00462739">
      <w:pPr>
        <w:rPr>
          <w:lang w:val="en-GB"/>
        </w:rPr>
      </w:pPr>
    </w:p>
    <w:p w14:paraId="15ACE0DF" w14:textId="77777777" w:rsidR="00462739" w:rsidRPr="00462739" w:rsidRDefault="00462739" w:rsidP="00462739">
      <w:pPr>
        <w:pStyle w:val="Heading1"/>
        <w:rPr>
          <w:lang w:val="en-GB"/>
        </w:rPr>
      </w:pPr>
      <w:r w:rsidRPr="00462739">
        <w:rPr>
          <w:lang w:val="en-GB"/>
        </w:rPr>
        <w:t>9. Future research directions</w:t>
      </w:r>
    </w:p>
    <w:p w14:paraId="243B914C" w14:textId="77777777" w:rsidR="00462739" w:rsidRPr="00462739" w:rsidRDefault="00462739" w:rsidP="00462739">
      <w:pPr>
        <w:pStyle w:val="NormalWeb"/>
        <w:rPr>
          <w:lang w:val="en-GB"/>
        </w:rPr>
      </w:pPr>
      <w:r w:rsidRPr="00462739">
        <w:rPr>
          <w:lang w:val="en-GB"/>
        </w:rPr>
        <w:t xml:space="preserve">Despite substantial progress, key research gaps remain. First, predictive rules for when mulching, reduced tillage, and biochar will deliver meaningful water productivity gains are still incomplete, particularly across diverse soil textures and rainfall regimes (Omondi et al., 2016; </w:t>
      </w:r>
      <w:proofErr w:type="spellStart"/>
      <w:r w:rsidRPr="00462739">
        <w:rPr>
          <w:lang w:val="en-GB"/>
        </w:rPr>
        <w:t>Razzaghi</w:t>
      </w:r>
      <w:proofErr w:type="spellEnd"/>
      <w:r w:rsidRPr="00462739">
        <w:rPr>
          <w:lang w:val="en-GB"/>
        </w:rPr>
        <w:t xml:space="preserve"> et al., 2020). Second, there is a need to better quantify how integrated practice packages alter the partitioning of evapotranspiration and the timing of stress exposure, especially under increasing evaporative demand. Third, more work is needed on the socio-economic and institutional dimensions of water-efficient irrigation, including how scheduling tools and deficit strategies can be implemented where measurement and delivery control are limited (</w:t>
      </w:r>
      <w:proofErr w:type="spellStart"/>
      <w:r w:rsidRPr="00462739">
        <w:rPr>
          <w:lang w:val="en-GB"/>
        </w:rPr>
        <w:t>Fereres</w:t>
      </w:r>
      <w:proofErr w:type="spellEnd"/>
      <w:r w:rsidRPr="00462739">
        <w:rPr>
          <w:lang w:val="en-GB"/>
        </w:rPr>
        <w:t xml:space="preserve"> &amp; Soriano, 2007; Jones, 2004). Fourth, scaling research should better link plot-scale hydrological outcomes to farm- and watershed-scale impacts, recognizing that water “saved” at plot scale may not translate into basin-scale savings if </w:t>
      </w:r>
      <w:r w:rsidRPr="00462739">
        <w:rPr>
          <w:lang w:val="en-GB"/>
        </w:rPr>
        <w:lastRenderedPageBreak/>
        <w:t>return flows are reduced or reallocated. Finally, long-term, multi-site experiments and coordinated syntheses should prioritize drought-risk metrics and stability outcomes alongside mean yield responses, reflecting farmer decision contexts in drought-prone regions.</w:t>
      </w:r>
    </w:p>
    <w:p w14:paraId="1C41D2A0" w14:textId="77777777" w:rsidR="00462739" w:rsidRPr="00462739" w:rsidRDefault="00462739" w:rsidP="00462739">
      <w:pPr>
        <w:rPr>
          <w:lang w:val="en-GB"/>
        </w:rPr>
      </w:pPr>
    </w:p>
    <w:p w14:paraId="2439F894" w14:textId="77777777" w:rsidR="00462739" w:rsidRPr="00462739" w:rsidRDefault="00462739" w:rsidP="00462739">
      <w:pPr>
        <w:pStyle w:val="Heading1"/>
        <w:rPr>
          <w:lang w:val="en-GB"/>
        </w:rPr>
      </w:pPr>
      <w:r w:rsidRPr="00462739">
        <w:rPr>
          <w:lang w:val="en-GB"/>
        </w:rPr>
        <w:t>10. Conclusions</w:t>
      </w:r>
    </w:p>
    <w:p w14:paraId="5F01FEEF" w14:textId="77777777" w:rsidR="00462739" w:rsidRPr="00462739" w:rsidRDefault="00462739" w:rsidP="00462739">
      <w:pPr>
        <w:pStyle w:val="NormalWeb"/>
        <w:rPr>
          <w:lang w:val="en-GB"/>
        </w:rPr>
      </w:pPr>
      <w:r w:rsidRPr="00462739">
        <w:rPr>
          <w:lang w:val="en-GB"/>
        </w:rPr>
        <w:t>Water-efficient agronomy in drought-prone regions is fundamentally about re-partitioning scarce water toward productive transpiration and aligning water availability with yield-sensitive growth stages. Evidence indicates that major opportunity areas include soil-cover strategies that reduce evaporation and improve infiltration, conservation agriculture approaches that stabilize soil structure and water capture when locally adapted, mulching methods that suppress non-productive losses, soil amendments such as biochar that can enhance plant-available water in some contexts, and cropping-system redesign through intercropping and carefully managed cover crops. Where irrigation is available but limited, deficit irrigation, partial root-zone techniques, and alternate wetting and drying offer pathways to extend scarce supplies while maintaining acceptable yields, provided that scheduling and monitoring are adequate. Across these strategies, the most robust outcomes tend to arise from integrated practice packages tailored to local drought regimes, soil constraints, and operational feasibility. Future progress will depend on strengthening context-specific design rules, improving risk-focused evaluation, and building enabling conditions that make water-efficient strategies practical and adoptable at scale.</w:t>
      </w:r>
    </w:p>
    <w:p w14:paraId="6A9E075D" w14:textId="77777777" w:rsidR="00462739" w:rsidRPr="00462739" w:rsidRDefault="00462739" w:rsidP="00462739">
      <w:pPr>
        <w:rPr>
          <w:lang w:val="en-GB"/>
        </w:rPr>
      </w:pPr>
    </w:p>
    <w:p w14:paraId="4B8D743E" w14:textId="77777777" w:rsidR="00462739" w:rsidRPr="00462739" w:rsidRDefault="00462739" w:rsidP="00462739">
      <w:pPr>
        <w:pStyle w:val="Heading1"/>
        <w:rPr>
          <w:lang w:val="en-GB"/>
        </w:rPr>
      </w:pPr>
      <w:r w:rsidRPr="00462739">
        <w:rPr>
          <w:lang w:val="en-GB"/>
        </w:rPr>
        <w:t>11. Limitations</w:t>
      </w:r>
    </w:p>
    <w:p w14:paraId="0CB1593A" w14:textId="77777777" w:rsidR="00462739" w:rsidRPr="00462739" w:rsidRDefault="00462739" w:rsidP="00462739">
      <w:pPr>
        <w:pStyle w:val="NormalWeb"/>
        <w:rPr>
          <w:lang w:val="en-GB"/>
        </w:rPr>
      </w:pPr>
      <w:r w:rsidRPr="00462739">
        <w:rPr>
          <w:lang w:val="en-GB"/>
        </w:rPr>
        <w:t>This review prioritizes agronomic practices with strong quantitative support and clear relevance to drought-prone farming systems, but it does not exhaustively cover all drought adaptation options, particularly those focused primarily on molecular breeding or controlled-environment interventions that may not translate directly into farm-scale management. Additionally, while the review emphasizes mechanistic pathways and synthesis evidence, the performance of many practices remains highly context-dependent, and local trials are often necessary to confirm suitability. Finally, adoption constraints vary widely across regions, and the review cannot fully represent the diversity of socio-economic conditions, policy environments, and infrastructure limitations that influence real-world implementation.</w:t>
      </w:r>
    </w:p>
    <w:p w14:paraId="0AB8AC5D" w14:textId="77777777" w:rsidR="00462739" w:rsidRPr="00462739" w:rsidRDefault="00462739" w:rsidP="00462739">
      <w:pPr>
        <w:rPr>
          <w:lang w:val="en-GB"/>
        </w:rPr>
      </w:pPr>
    </w:p>
    <w:p w14:paraId="69B9184A" w14:textId="77777777" w:rsidR="00462739" w:rsidRPr="00462739" w:rsidRDefault="00462739" w:rsidP="00462739">
      <w:pPr>
        <w:pStyle w:val="Heading2"/>
        <w:rPr>
          <w:lang w:val="en-GB"/>
        </w:rPr>
      </w:pPr>
      <w:r w:rsidRPr="00462739">
        <w:rPr>
          <w:lang w:val="en-GB"/>
        </w:rPr>
        <w:t xml:space="preserve">References </w:t>
      </w:r>
    </w:p>
    <w:p w14:paraId="7CE5CB09" w14:textId="77777777" w:rsidR="00462739" w:rsidRPr="00DC3E34" w:rsidRDefault="00904403" w:rsidP="00462739">
      <w:pPr>
        <w:pStyle w:val="NormalWeb"/>
        <w:rPr>
          <w:lang w:val="en-GB"/>
        </w:rPr>
      </w:pPr>
      <w:r w:rsidRPr="00DC3E34">
        <w:rPr>
          <w:color w:val="222222"/>
          <w:shd w:val="clear" w:color="auto" w:fill="FFFFFF"/>
        </w:rPr>
        <w:t xml:space="preserve">Abel, S., Peters, A., </w:t>
      </w:r>
      <w:proofErr w:type="spellStart"/>
      <w:r w:rsidRPr="00DC3E34">
        <w:rPr>
          <w:color w:val="222222"/>
          <w:shd w:val="clear" w:color="auto" w:fill="FFFFFF"/>
        </w:rPr>
        <w:t>Trinks</w:t>
      </w:r>
      <w:proofErr w:type="spellEnd"/>
      <w:r w:rsidRPr="00DC3E34">
        <w:rPr>
          <w:color w:val="222222"/>
          <w:shd w:val="clear" w:color="auto" w:fill="FFFFFF"/>
        </w:rPr>
        <w:t xml:space="preserve">, S., </w:t>
      </w:r>
      <w:proofErr w:type="spellStart"/>
      <w:r w:rsidRPr="00DC3E34">
        <w:rPr>
          <w:color w:val="222222"/>
          <w:shd w:val="clear" w:color="auto" w:fill="FFFFFF"/>
        </w:rPr>
        <w:t>Schonsky</w:t>
      </w:r>
      <w:proofErr w:type="spellEnd"/>
      <w:r w:rsidRPr="00DC3E34">
        <w:rPr>
          <w:color w:val="222222"/>
          <w:shd w:val="clear" w:color="auto" w:fill="FFFFFF"/>
        </w:rPr>
        <w:t xml:space="preserve">, H., </w:t>
      </w:r>
      <w:proofErr w:type="spellStart"/>
      <w:r w:rsidRPr="00DC3E34">
        <w:rPr>
          <w:color w:val="222222"/>
          <w:shd w:val="clear" w:color="auto" w:fill="FFFFFF"/>
        </w:rPr>
        <w:t>Facklam</w:t>
      </w:r>
      <w:proofErr w:type="spellEnd"/>
      <w:r w:rsidRPr="00DC3E34">
        <w:rPr>
          <w:color w:val="222222"/>
          <w:shd w:val="clear" w:color="auto" w:fill="FFFFFF"/>
        </w:rPr>
        <w:t xml:space="preserve">, M., &amp; </w:t>
      </w:r>
      <w:proofErr w:type="spellStart"/>
      <w:r w:rsidRPr="00DC3E34">
        <w:rPr>
          <w:color w:val="222222"/>
          <w:shd w:val="clear" w:color="auto" w:fill="FFFFFF"/>
        </w:rPr>
        <w:t>Wessolek</w:t>
      </w:r>
      <w:proofErr w:type="spellEnd"/>
      <w:r w:rsidRPr="00DC3E34">
        <w:rPr>
          <w:color w:val="222222"/>
          <w:shd w:val="clear" w:color="auto" w:fill="FFFFFF"/>
        </w:rPr>
        <w:t xml:space="preserve">, G. (2013). Impact of biochar and </w:t>
      </w:r>
      <w:proofErr w:type="spellStart"/>
      <w:r w:rsidRPr="00DC3E34">
        <w:rPr>
          <w:color w:val="222222"/>
          <w:shd w:val="clear" w:color="auto" w:fill="FFFFFF"/>
        </w:rPr>
        <w:t>hydrochar</w:t>
      </w:r>
      <w:proofErr w:type="spellEnd"/>
      <w:r w:rsidRPr="00DC3E34">
        <w:rPr>
          <w:color w:val="222222"/>
          <w:shd w:val="clear" w:color="auto" w:fill="FFFFFF"/>
        </w:rPr>
        <w:t xml:space="preserve"> addition on water retention and water repellency of sandy soil. </w:t>
      </w:r>
      <w:proofErr w:type="spellStart"/>
      <w:r w:rsidRPr="00DC3E34">
        <w:rPr>
          <w:i/>
          <w:iCs/>
          <w:color w:val="222222"/>
          <w:shd w:val="clear" w:color="auto" w:fill="FFFFFF"/>
        </w:rPr>
        <w:t>Geoderma</w:t>
      </w:r>
      <w:proofErr w:type="spellEnd"/>
      <w:r w:rsidRPr="00DC3E34">
        <w:rPr>
          <w:color w:val="222222"/>
          <w:shd w:val="clear" w:color="auto" w:fill="FFFFFF"/>
        </w:rPr>
        <w:t>, </w:t>
      </w:r>
      <w:r w:rsidRPr="00DC3E34">
        <w:rPr>
          <w:i/>
          <w:iCs/>
          <w:color w:val="222222"/>
          <w:shd w:val="clear" w:color="auto" w:fill="FFFFFF"/>
        </w:rPr>
        <w:t>202</w:t>
      </w:r>
      <w:r w:rsidRPr="00DC3E34">
        <w:rPr>
          <w:color w:val="222222"/>
          <w:shd w:val="clear" w:color="auto" w:fill="FFFFFF"/>
        </w:rPr>
        <w:t>, 183-191.</w:t>
      </w:r>
      <w:r w:rsidRPr="00DC3E34">
        <w:rPr>
          <w:lang w:val="en-GB"/>
        </w:rPr>
        <w:t xml:space="preserve"> </w:t>
      </w:r>
      <w:hyperlink r:id="rId8" w:history="1">
        <w:r w:rsidRPr="00DC3E34">
          <w:rPr>
            <w:rStyle w:val="Hyperlink"/>
            <w:lang w:val="en-GB"/>
          </w:rPr>
          <w:t>https://doi.org/10.1016/j.geoderma.2013.03.003</w:t>
        </w:r>
      </w:hyperlink>
      <w:r w:rsidRPr="00DC3E34">
        <w:rPr>
          <w:lang w:val="en-GB"/>
        </w:rPr>
        <w:t xml:space="preserve"> </w:t>
      </w:r>
    </w:p>
    <w:p w14:paraId="16AB17A7" w14:textId="77777777" w:rsidR="00462739" w:rsidRPr="00DC3E34" w:rsidRDefault="00904403" w:rsidP="00462739">
      <w:pPr>
        <w:pStyle w:val="NormalWeb"/>
        <w:rPr>
          <w:lang w:val="en-GB"/>
        </w:rPr>
      </w:pPr>
      <w:r w:rsidRPr="00DC3E34">
        <w:rPr>
          <w:color w:val="222222"/>
          <w:shd w:val="clear" w:color="auto" w:fill="FFFFFF"/>
        </w:rPr>
        <w:lastRenderedPageBreak/>
        <w:t>Adil, M., Wang, Z., Chen, Y., Lu, H., Lu, S., Bashir, S., ... &amp; Feng, W. (2025). Long-term impacts of agronomic practices on winter wheat yield, water use efficiency, and nitrogen use efficiency in global dryland regions: A meta-analysis. </w:t>
      </w:r>
      <w:r w:rsidRPr="00DC3E34">
        <w:rPr>
          <w:i/>
          <w:iCs/>
          <w:color w:val="222222"/>
          <w:shd w:val="clear" w:color="auto" w:fill="FFFFFF"/>
        </w:rPr>
        <w:t>Soil and Tillage Research</w:t>
      </w:r>
      <w:r w:rsidRPr="00DC3E34">
        <w:rPr>
          <w:color w:val="222222"/>
          <w:shd w:val="clear" w:color="auto" w:fill="FFFFFF"/>
        </w:rPr>
        <w:t>, </w:t>
      </w:r>
      <w:r w:rsidRPr="00DC3E34">
        <w:rPr>
          <w:i/>
          <w:iCs/>
          <w:color w:val="222222"/>
          <w:shd w:val="clear" w:color="auto" w:fill="FFFFFF"/>
        </w:rPr>
        <w:t>253</w:t>
      </w:r>
      <w:r w:rsidRPr="00DC3E34">
        <w:rPr>
          <w:color w:val="222222"/>
          <w:shd w:val="clear" w:color="auto" w:fill="FFFFFF"/>
        </w:rPr>
        <w:t xml:space="preserve">, 106653. </w:t>
      </w:r>
      <w:hyperlink r:id="rId9" w:history="1">
        <w:r w:rsidRPr="00DC3E34">
          <w:rPr>
            <w:rStyle w:val="Hyperlink"/>
            <w:lang w:val="en-GB"/>
          </w:rPr>
          <w:t>https://doi.org/10.1016/j.still.2025.106653</w:t>
        </w:r>
      </w:hyperlink>
      <w:r w:rsidRPr="00DC3E34">
        <w:rPr>
          <w:lang w:val="en-GB"/>
        </w:rPr>
        <w:t xml:space="preserve"> </w:t>
      </w:r>
    </w:p>
    <w:p w14:paraId="3CB70D0D" w14:textId="77777777" w:rsidR="00462739" w:rsidRPr="00DC3E34" w:rsidRDefault="00904403" w:rsidP="00462739">
      <w:pPr>
        <w:pStyle w:val="NormalWeb"/>
        <w:rPr>
          <w:lang w:val="en-GB"/>
        </w:rPr>
      </w:pPr>
      <w:proofErr w:type="spellStart"/>
      <w:r w:rsidRPr="00DC3E34">
        <w:rPr>
          <w:color w:val="222222"/>
          <w:shd w:val="clear" w:color="auto" w:fill="FFFFFF"/>
        </w:rPr>
        <w:t>Carrijo</w:t>
      </w:r>
      <w:proofErr w:type="spellEnd"/>
      <w:r w:rsidRPr="00DC3E34">
        <w:rPr>
          <w:color w:val="222222"/>
          <w:shd w:val="clear" w:color="auto" w:fill="FFFFFF"/>
        </w:rPr>
        <w:t xml:space="preserve">, D. R., Lundy, M. E., &amp; </w:t>
      </w:r>
      <w:proofErr w:type="spellStart"/>
      <w:r w:rsidRPr="00DC3E34">
        <w:rPr>
          <w:color w:val="222222"/>
          <w:shd w:val="clear" w:color="auto" w:fill="FFFFFF"/>
        </w:rPr>
        <w:t>Linquist</w:t>
      </w:r>
      <w:proofErr w:type="spellEnd"/>
      <w:r w:rsidRPr="00DC3E34">
        <w:rPr>
          <w:color w:val="222222"/>
          <w:shd w:val="clear" w:color="auto" w:fill="FFFFFF"/>
        </w:rPr>
        <w:t>, B. A. (2017). Rice yields and water use under alternate wetting and drying irrigation: A meta-analysis. </w:t>
      </w:r>
      <w:r w:rsidRPr="00DC3E34">
        <w:rPr>
          <w:i/>
          <w:iCs/>
          <w:color w:val="222222"/>
          <w:shd w:val="clear" w:color="auto" w:fill="FFFFFF"/>
        </w:rPr>
        <w:t>Field Crops Research</w:t>
      </w:r>
      <w:r w:rsidRPr="00DC3E34">
        <w:rPr>
          <w:color w:val="222222"/>
          <w:shd w:val="clear" w:color="auto" w:fill="FFFFFF"/>
        </w:rPr>
        <w:t>, </w:t>
      </w:r>
      <w:r w:rsidRPr="00DC3E34">
        <w:rPr>
          <w:i/>
          <w:iCs/>
          <w:color w:val="222222"/>
          <w:shd w:val="clear" w:color="auto" w:fill="FFFFFF"/>
        </w:rPr>
        <w:t>203</w:t>
      </w:r>
      <w:r w:rsidRPr="00DC3E34">
        <w:rPr>
          <w:color w:val="222222"/>
          <w:shd w:val="clear" w:color="auto" w:fill="FFFFFF"/>
        </w:rPr>
        <w:t xml:space="preserve">, 173-180. </w:t>
      </w:r>
      <w:hyperlink r:id="rId10" w:history="1">
        <w:r w:rsidRPr="00DC3E34">
          <w:rPr>
            <w:rStyle w:val="Hyperlink"/>
            <w:lang w:val="en-GB"/>
          </w:rPr>
          <w:t>https://doi.org/10.1016/j.fcr.2016.12.002</w:t>
        </w:r>
      </w:hyperlink>
      <w:r w:rsidRPr="00DC3E34">
        <w:rPr>
          <w:lang w:val="en-GB"/>
        </w:rPr>
        <w:t xml:space="preserve"> </w:t>
      </w:r>
    </w:p>
    <w:p w14:paraId="557C8C14" w14:textId="77777777" w:rsidR="00462739" w:rsidRPr="00DC3E34" w:rsidRDefault="00904403" w:rsidP="00462739">
      <w:pPr>
        <w:pStyle w:val="NormalWeb"/>
        <w:rPr>
          <w:lang w:val="en-GB"/>
        </w:rPr>
      </w:pPr>
      <w:proofErr w:type="spellStart"/>
      <w:r w:rsidRPr="00DC3E34">
        <w:rPr>
          <w:color w:val="222222"/>
          <w:shd w:val="clear" w:color="auto" w:fill="FFFFFF"/>
        </w:rPr>
        <w:t>Daryanto</w:t>
      </w:r>
      <w:proofErr w:type="spellEnd"/>
      <w:r w:rsidRPr="00DC3E34">
        <w:rPr>
          <w:color w:val="222222"/>
          <w:shd w:val="clear" w:color="auto" w:fill="FFFFFF"/>
        </w:rPr>
        <w:t xml:space="preserve">, S., Fu, B., Wang, L., </w:t>
      </w:r>
      <w:proofErr w:type="spellStart"/>
      <w:r w:rsidRPr="00DC3E34">
        <w:rPr>
          <w:color w:val="222222"/>
          <w:shd w:val="clear" w:color="auto" w:fill="FFFFFF"/>
        </w:rPr>
        <w:t>Jacinthe</w:t>
      </w:r>
      <w:proofErr w:type="spellEnd"/>
      <w:r w:rsidRPr="00DC3E34">
        <w:rPr>
          <w:color w:val="222222"/>
          <w:shd w:val="clear" w:color="auto" w:fill="FFFFFF"/>
        </w:rPr>
        <w:t>, P. A., &amp; Zhao, W. (2018). Quantitative synthesis on the ecosystem services of cover crops. </w:t>
      </w:r>
      <w:r w:rsidRPr="00DC3E34">
        <w:rPr>
          <w:i/>
          <w:iCs/>
          <w:color w:val="222222"/>
          <w:shd w:val="clear" w:color="auto" w:fill="FFFFFF"/>
        </w:rPr>
        <w:t>Earth-Science Reviews</w:t>
      </w:r>
      <w:r w:rsidRPr="00DC3E34">
        <w:rPr>
          <w:color w:val="222222"/>
          <w:shd w:val="clear" w:color="auto" w:fill="FFFFFF"/>
        </w:rPr>
        <w:t>, </w:t>
      </w:r>
      <w:r w:rsidRPr="00DC3E34">
        <w:rPr>
          <w:i/>
          <w:iCs/>
          <w:color w:val="222222"/>
          <w:shd w:val="clear" w:color="auto" w:fill="FFFFFF"/>
        </w:rPr>
        <w:t>185</w:t>
      </w:r>
      <w:r w:rsidRPr="00DC3E34">
        <w:rPr>
          <w:color w:val="222222"/>
          <w:shd w:val="clear" w:color="auto" w:fill="FFFFFF"/>
        </w:rPr>
        <w:t xml:space="preserve">, 357-373. </w:t>
      </w:r>
      <w:hyperlink r:id="rId11" w:history="1">
        <w:r w:rsidRPr="00DC3E34">
          <w:rPr>
            <w:rStyle w:val="Hyperlink"/>
            <w:lang w:val="en-GB"/>
          </w:rPr>
          <w:t>https://doi.org/10.1016/j.earscirev.2018.06.013</w:t>
        </w:r>
      </w:hyperlink>
      <w:r w:rsidRPr="00DC3E34">
        <w:rPr>
          <w:lang w:val="en-GB"/>
        </w:rPr>
        <w:t xml:space="preserve"> </w:t>
      </w:r>
    </w:p>
    <w:p w14:paraId="2616CBBC" w14:textId="77777777" w:rsidR="00462739" w:rsidRPr="00DC3E34" w:rsidRDefault="00FB5CFC" w:rsidP="00462739">
      <w:pPr>
        <w:pStyle w:val="NormalWeb"/>
        <w:rPr>
          <w:lang w:val="en-GB"/>
        </w:rPr>
      </w:pPr>
      <w:proofErr w:type="spellStart"/>
      <w:r w:rsidRPr="00DC3E34">
        <w:rPr>
          <w:color w:val="222222"/>
          <w:shd w:val="clear" w:color="auto" w:fill="FFFFFF"/>
        </w:rPr>
        <w:t>Fereres</w:t>
      </w:r>
      <w:proofErr w:type="spellEnd"/>
      <w:r w:rsidRPr="00DC3E34">
        <w:rPr>
          <w:color w:val="222222"/>
          <w:shd w:val="clear" w:color="auto" w:fill="FFFFFF"/>
        </w:rPr>
        <w:t>, E., &amp; Soriano, M. A. (2007). Deficit irrigation for reducing agricultural water use. </w:t>
      </w:r>
      <w:r w:rsidRPr="00DC3E34">
        <w:rPr>
          <w:i/>
          <w:iCs/>
          <w:color w:val="222222"/>
          <w:shd w:val="clear" w:color="auto" w:fill="FFFFFF"/>
        </w:rPr>
        <w:t>Journal of experimental botany</w:t>
      </w:r>
      <w:r w:rsidRPr="00DC3E34">
        <w:rPr>
          <w:color w:val="222222"/>
          <w:shd w:val="clear" w:color="auto" w:fill="FFFFFF"/>
        </w:rPr>
        <w:t>, </w:t>
      </w:r>
      <w:r w:rsidRPr="00DC3E34">
        <w:rPr>
          <w:i/>
          <w:iCs/>
          <w:color w:val="222222"/>
          <w:shd w:val="clear" w:color="auto" w:fill="FFFFFF"/>
        </w:rPr>
        <w:t>58</w:t>
      </w:r>
      <w:r w:rsidRPr="00DC3E34">
        <w:rPr>
          <w:color w:val="222222"/>
          <w:shd w:val="clear" w:color="auto" w:fill="FFFFFF"/>
        </w:rPr>
        <w:t xml:space="preserve">(2), 147-159. </w:t>
      </w:r>
      <w:hyperlink r:id="rId12" w:history="1">
        <w:r w:rsidRPr="00DC3E34">
          <w:rPr>
            <w:rStyle w:val="Hyperlink"/>
            <w:lang w:val="en-GB"/>
          </w:rPr>
          <w:t>https://doi.org/10.1093/jxb/erl165</w:t>
        </w:r>
      </w:hyperlink>
      <w:r w:rsidRPr="00DC3E34">
        <w:rPr>
          <w:lang w:val="en-GB"/>
        </w:rPr>
        <w:t xml:space="preserve"> </w:t>
      </w:r>
    </w:p>
    <w:p w14:paraId="5392B76C" w14:textId="77777777" w:rsidR="00462739" w:rsidRPr="00DC3E34" w:rsidRDefault="00FB5CFC" w:rsidP="00462739">
      <w:pPr>
        <w:pStyle w:val="NormalWeb"/>
        <w:rPr>
          <w:lang w:val="en-GB"/>
        </w:rPr>
      </w:pPr>
      <w:r w:rsidRPr="00DC3E34">
        <w:rPr>
          <w:color w:val="222222"/>
          <w:shd w:val="clear" w:color="auto" w:fill="FFFFFF"/>
        </w:rPr>
        <w:t>Hobbs, P. R., Sayre, K., &amp; Gupta, R. (2008). The role of conservation agriculture in sustainable agriculture. </w:t>
      </w:r>
      <w:r w:rsidRPr="00DC3E34">
        <w:rPr>
          <w:i/>
          <w:iCs/>
          <w:color w:val="222222"/>
          <w:shd w:val="clear" w:color="auto" w:fill="FFFFFF"/>
        </w:rPr>
        <w:t>Philosophical Transactions of the Royal Society B: Biological Sciences</w:t>
      </w:r>
      <w:r w:rsidRPr="00DC3E34">
        <w:rPr>
          <w:color w:val="222222"/>
          <w:shd w:val="clear" w:color="auto" w:fill="FFFFFF"/>
        </w:rPr>
        <w:t>, </w:t>
      </w:r>
      <w:r w:rsidRPr="00DC3E34">
        <w:rPr>
          <w:i/>
          <w:iCs/>
          <w:color w:val="222222"/>
          <w:shd w:val="clear" w:color="auto" w:fill="FFFFFF"/>
        </w:rPr>
        <w:t>363</w:t>
      </w:r>
      <w:r w:rsidRPr="00DC3E34">
        <w:rPr>
          <w:color w:val="222222"/>
          <w:shd w:val="clear" w:color="auto" w:fill="FFFFFF"/>
        </w:rPr>
        <w:t xml:space="preserve">(1491), 543-555. </w:t>
      </w:r>
      <w:hyperlink r:id="rId13" w:tgtFrame="_new" w:history="1">
        <w:r w:rsidR="00462739" w:rsidRPr="00DC3E34">
          <w:rPr>
            <w:rStyle w:val="Hyperlink"/>
            <w:lang w:val="en-GB"/>
          </w:rPr>
          <w:t>https://doi.org/10.1098/rstb.2007.2169</w:t>
        </w:r>
      </w:hyperlink>
      <w:r w:rsidRPr="00DC3E34">
        <w:rPr>
          <w:lang w:val="en-GB"/>
        </w:rPr>
        <w:t xml:space="preserve"> </w:t>
      </w:r>
    </w:p>
    <w:p w14:paraId="3E93990E" w14:textId="77777777" w:rsidR="00462739" w:rsidRPr="00DC3E34" w:rsidRDefault="00FB5CFC" w:rsidP="00462739">
      <w:pPr>
        <w:pStyle w:val="NormalWeb"/>
        <w:rPr>
          <w:lang w:val="en-GB"/>
        </w:rPr>
      </w:pPr>
      <w:r w:rsidRPr="00DC3E34">
        <w:rPr>
          <w:color w:val="222222"/>
          <w:shd w:val="clear" w:color="auto" w:fill="FFFFFF"/>
        </w:rPr>
        <w:t>Jones, H. G. (2004). Irrigation scheduling: advantages and pitfalls of plant-based methods. </w:t>
      </w:r>
      <w:r w:rsidRPr="00DC3E34">
        <w:rPr>
          <w:i/>
          <w:iCs/>
          <w:color w:val="222222"/>
          <w:shd w:val="clear" w:color="auto" w:fill="FFFFFF"/>
        </w:rPr>
        <w:t>Journal of experimental botany</w:t>
      </w:r>
      <w:r w:rsidRPr="00DC3E34">
        <w:rPr>
          <w:color w:val="222222"/>
          <w:shd w:val="clear" w:color="auto" w:fill="FFFFFF"/>
        </w:rPr>
        <w:t>, </w:t>
      </w:r>
      <w:r w:rsidRPr="00DC3E34">
        <w:rPr>
          <w:i/>
          <w:iCs/>
          <w:color w:val="222222"/>
          <w:shd w:val="clear" w:color="auto" w:fill="FFFFFF"/>
        </w:rPr>
        <w:t>55</w:t>
      </w:r>
      <w:r w:rsidRPr="00DC3E34">
        <w:rPr>
          <w:color w:val="222222"/>
          <w:shd w:val="clear" w:color="auto" w:fill="FFFFFF"/>
        </w:rPr>
        <w:t xml:space="preserve">(407), 2427-2436. </w:t>
      </w:r>
      <w:hyperlink r:id="rId14" w:history="1">
        <w:r w:rsidRPr="00DC3E34">
          <w:rPr>
            <w:rStyle w:val="Hyperlink"/>
            <w:lang w:val="en-GB"/>
          </w:rPr>
          <w:t>https://doi.org/10.1093/jxb/erh213</w:t>
        </w:r>
      </w:hyperlink>
      <w:r w:rsidRPr="00DC3E34">
        <w:rPr>
          <w:lang w:val="en-GB"/>
        </w:rPr>
        <w:t xml:space="preserve"> </w:t>
      </w:r>
    </w:p>
    <w:p w14:paraId="3F637A5D" w14:textId="77777777" w:rsidR="00462739" w:rsidRPr="00DC3E34" w:rsidRDefault="00FB5CFC" w:rsidP="00462739">
      <w:pPr>
        <w:pStyle w:val="NormalWeb"/>
        <w:rPr>
          <w:lang w:val="en-GB"/>
        </w:rPr>
      </w:pPr>
      <w:r w:rsidRPr="00DC3E34">
        <w:rPr>
          <w:color w:val="222222"/>
          <w:shd w:val="clear" w:color="auto" w:fill="FFFFFF"/>
        </w:rPr>
        <w:t xml:space="preserve">Kader, M. A., Senge, M., </w:t>
      </w:r>
      <w:proofErr w:type="spellStart"/>
      <w:r w:rsidRPr="00DC3E34">
        <w:rPr>
          <w:color w:val="222222"/>
          <w:shd w:val="clear" w:color="auto" w:fill="FFFFFF"/>
        </w:rPr>
        <w:t>Mojid</w:t>
      </w:r>
      <w:proofErr w:type="spellEnd"/>
      <w:r w:rsidRPr="00DC3E34">
        <w:rPr>
          <w:color w:val="222222"/>
          <w:shd w:val="clear" w:color="auto" w:fill="FFFFFF"/>
        </w:rPr>
        <w:t>, M. A., &amp; Ito, K. (2017). Recent advances in mulching materials and methods for modifying soil environment. </w:t>
      </w:r>
      <w:r w:rsidRPr="00DC3E34">
        <w:rPr>
          <w:i/>
          <w:iCs/>
          <w:color w:val="222222"/>
          <w:shd w:val="clear" w:color="auto" w:fill="FFFFFF"/>
        </w:rPr>
        <w:t>Soil and Tillage Research</w:t>
      </w:r>
      <w:r w:rsidRPr="00DC3E34">
        <w:rPr>
          <w:color w:val="222222"/>
          <w:shd w:val="clear" w:color="auto" w:fill="FFFFFF"/>
        </w:rPr>
        <w:t>, </w:t>
      </w:r>
      <w:r w:rsidRPr="00DC3E34">
        <w:rPr>
          <w:i/>
          <w:iCs/>
          <w:color w:val="222222"/>
          <w:shd w:val="clear" w:color="auto" w:fill="FFFFFF"/>
        </w:rPr>
        <w:t>168</w:t>
      </w:r>
      <w:r w:rsidRPr="00DC3E34">
        <w:rPr>
          <w:color w:val="222222"/>
          <w:shd w:val="clear" w:color="auto" w:fill="FFFFFF"/>
        </w:rPr>
        <w:t xml:space="preserve">, 155-166. </w:t>
      </w:r>
      <w:hyperlink r:id="rId15" w:history="1">
        <w:r w:rsidRPr="00DC3E34">
          <w:rPr>
            <w:rStyle w:val="Hyperlink"/>
            <w:lang w:val="en-GB"/>
          </w:rPr>
          <w:t>https://doi.org/10.1016/j.still.2017.01.001</w:t>
        </w:r>
      </w:hyperlink>
      <w:r w:rsidRPr="00DC3E34">
        <w:rPr>
          <w:lang w:val="en-GB"/>
        </w:rPr>
        <w:t xml:space="preserve"> </w:t>
      </w:r>
    </w:p>
    <w:p w14:paraId="665A182D" w14:textId="77777777" w:rsidR="00462739" w:rsidRPr="00DC3E34" w:rsidRDefault="00FB5CFC" w:rsidP="00462739">
      <w:pPr>
        <w:pStyle w:val="NormalWeb"/>
        <w:rPr>
          <w:lang w:val="en-GB"/>
        </w:rPr>
      </w:pPr>
      <w:r w:rsidRPr="00DC3E34">
        <w:rPr>
          <w:color w:val="222222"/>
          <w:shd w:val="clear" w:color="auto" w:fill="FFFFFF"/>
        </w:rPr>
        <w:t>Kang, S., &amp; Zhang, J. (2004). Controlled alternate partial root-zone irrigation: its physiological consequences and impact on water use efficiency. </w:t>
      </w:r>
      <w:r w:rsidRPr="00DC3E34">
        <w:rPr>
          <w:i/>
          <w:iCs/>
          <w:color w:val="222222"/>
          <w:shd w:val="clear" w:color="auto" w:fill="FFFFFF"/>
        </w:rPr>
        <w:t>Journal of experimental botany</w:t>
      </w:r>
      <w:r w:rsidRPr="00DC3E34">
        <w:rPr>
          <w:color w:val="222222"/>
          <w:shd w:val="clear" w:color="auto" w:fill="FFFFFF"/>
        </w:rPr>
        <w:t>, </w:t>
      </w:r>
      <w:r w:rsidRPr="00DC3E34">
        <w:rPr>
          <w:i/>
          <w:iCs/>
          <w:color w:val="222222"/>
          <w:shd w:val="clear" w:color="auto" w:fill="FFFFFF"/>
        </w:rPr>
        <w:t>55</w:t>
      </w:r>
      <w:r w:rsidRPr="00DC3E34">
        <w:rPr>
          <w:color w:val="222222"/>
          <w:shd w:val="clear" w:color="auto" w:fill="FFFFFF"/>
        </w:rPr>
        <w:t xml:space="preserve">(407), 2437-2446. </w:t>
      </w:r>
      <w:hyperlink r:id="rId16" w:history="1">
        <w:r w:rsidRPr="00DC3E34">
          <w:rPr>
            <w:rStyle w:val="Hyperlink"/>
            <w:lang w:val="en-GB"/>
          </w:rPr>
          <w:t>https://doi.org/10.1093/jxb/erh249</w:t>
        </w:r>
      </w:hyperlink>
      <w:r w:rsidRPr="00DC3E34">
        <w:rPr>
          <w:lang w:val="en-GB"/>
        </w:rPr>
        <w:t xml:space="preserve"> </w:t>
      </w:r>
    </w:p>
    <w:p w14:paraId="295E60BF" w14:textId="77777777" w:rsidR="00462739" w:rsidRPr="00DC3E34" w:rsidRDefault="00FB5CFC" w:rsidP="00462739">
      <w:pPr>
        <w:pStyle w:val="NormalWeb"/>
        <w:rPr>
          <w:lang w:val="en-GB"/>
        </w:rPr>
      </w:pPr>
      <w:proofErr w:type="spellStart"/>
      <w:r w:rsidRPr="00DC3E34">
        <w:rPr>
          <w:color w:val="222222"/>
          <w:shd w:val="clear" w:color="auto" w:fill="FFFFFF"/>
        </w:rPr>
        <w:t>Kasirajan</w:t>
      </w:r>
      <w:proofErr w:type="spellEnd"/>
      <w:r w:rsidRPr="00DC3E34">
        <w:rPr>
          <w:color w:val="222222"/>
          <w:shd w:val="clear" w:color="auto" w:fill="FFFFFF"/>
        </w:rPr>
        <w:t xml:space="preserve">, S., &amp; </w:t>
      </w:r>
      <w:proofErr w:type="spellStart"/>
      <w:r w:rsidRPr="00DC3E34">
        <w:rPr>
          <w:color w:val="222222"/>
          <w:shd w:val="clear" w:color="auto" w:fill="FFFFFF"/>
        </w:rPr>
        <w:t>Ngouajio</w:t>
      </w:r>
      <w:proofErr w:type="spellEnd"/>
      <w:r w:rsidRPr="00DC3E34">
        <w:rPr>
          <w:color w:val="222222"/>
          <w:shd w:val="clear" w:color="auto" w:fill="FFFFFF"/>
        </w:rPr>
        <w:t>, M. (2012). Polyethylene and biodegradable mulches for agricultural applications: a review. </w:t>
      </w:r>
      <w:r w:rsidRPr="00DC3E34">
        <w:rPr>
          <w:i/>
          <w:iCs/>
          <w:color w:val="222222"/>
          <w:shd w:val="clear" w:color="auto" w:fill="FFFFFF"/>
        </w:rPr>
        <w:t>Agronomy for sustainable development</w:t>
      </w:r>
      <w:r w:rsidRPr="00DC3E34">
        <w:rPr>
          <w:color w:val="222222"/>
          <w:shd w:val="clear" w:color="auto" w:fill="FFFFFF"/>
        </w:rPr>
        <w:t>, </w:t>
      </w:r>
      <w:r w:rsidRPr="00DC3E34">
        <w:rPr>
          <w:i/>
          <w:iCs/>
          <w:color w:val="222222"/>
          <w:shd w:val="clear" w:color="auto" w:fill="FFFFFF"/>
        </w:rPr>
        <w:t>32</w:t>
      </w:r>
      <w:r w:rsidRPr="00DC3E34">
        <w:rPr>
          <w:color w:val="222222"/>
          <w:shd w:val="clear" w:color="auto" w:fill="FFFFFF"/>
        </w:rPr>
        <w:t xml:space="preserve">(2), 501-529. </w:t>
      </w:r>
      <w:hyperlink r:id="rId17" w:history="1">
        <w:r w:rsidRPr="00DC3E34">
          <w:rPr>
            <w:rStyle w:val="Hyperlink"/>
            <w:lang w:val="en-GB"/>
          </w:rPr>
          <w:t>https://doi.org/10.1007/s13593-011-0068-3</w:t>
        </w:r>
      </w:hyperlink>
      <w:r w:rsidRPr="00DC3E34">
        <w:rPr>
          <w:lang w:val="en-GB"/>
        </w:rPr>
        <w:t xml:space="preserve"> </w:t>
      </w:r>
    </w:p>
    <w:p w14:paraId="24B25688" w14:textId="77777777" w:rsidR="00462739" w:rsidRPr="00DC3E34" w:rsidRDefault="00FB5CFC" w:rsidP="00462739">
      <w:pPr>
        <w:pStyle w:val="NormalWeb"/>
        <w:rPr>
          <w:lang w:val="en-GB"/>
        </w:rPr>
      </w:pPr>
      <w:r w:rsidRPr="00DC3E34">
        <w:rPr>
          <w:color w:val="222222"/>
          <w:shd w:val="clear" w:color="auto" w:fill="FFFFFF"/>
        </w:rPr>
        <w:t xml:space="preserve">Mao, L., Zhang, L., Li, W., van der </w:t>
      </w:r>
      <w:proofErr w:type="spellStart"/>
      <w:r w:rsidRPr="00DC3E34">
        <w:rPr>
          <w:color w:val="222222"/>
          <w:shd w:val="clear" w:color="auto" w:fill="FFFFFF"/>
        </w:rPr>
        <w:t>Werf</w:t>
      </w:r>
      <w:proofErr w:type="spellEnd"/>
      <w:r w:rsidRPr="00DC3E34">
        <w:rPr>
          <w:color w:val="222222"/>
          <w:shd w:val="clear" w:color="auto" w:fill="FFFFFF"/>
        </w:rPr>
        <w:t xml:space="preserve">, W., Sun, J., </w:t>
      </w:r>
      <w:proofErr w:type="spellStart"/>
      <w:r w:rsidRPr="00DC3E34">
        <w:rPr>
          <w:color w:val="222222"/>
          <w:shd w:val="clear" w:color="auto" w:fill="FFFFFF"/>
        </w:rPr>
        <w:t>Spiertz</w:t>
      </w:r>
      <w:proofErr w:type="spellEnd"/>
      <w:r w:rsidRPr="00DC3E34">
        <w:rPr>
          <w:color w:val="222222"/>
          <w:shd w:val="clear" w:color="auto" w:fill="FFFFFF"/>
        </w:rPr>
        <w:t>, H., &amp; Li, L. (2012). Yield advantage and water saving in maize/pea intercrop. </w:t>
      </w:r>
      <w:r w:rsidRPr="00DC3E34">
        <w:rPr>
          <w:i/>
          <w:iCs/>
          <w:color w:val="222222"/>
          <w:shd w:val="clear" w:color="auto" w:fill="FFFFFF"/>
        </w:rPr>
        <w:t>Field Crops Research</w:t>
      </w:r>
      <w:r w:rsidRPr="00DC3E34">
        <w:rPr>
          <w:color w:val="222222"/>
          <w:shd w:val="clear" w:color="auto" w:fill="FFFFFF"/>
        </w:rPr>
        <w:t>, </w:t>
      </w:r>
      <w:r w:rsidRPr="00DC3E34">
        <w:rPr>
          <w:i/>
          <w:iCs/>
          <w:color w:val="222222"/>
          <w:shd w:val="clear" w:color="auto" w:fill="FFFFFF"/>
        </w:rPr>
        <w:t>138</w:t>
      </w:r>
      <w:r w:rsidRPr="00DC3E34">
        <w:rPr>
          <w:color w:val="222222"/>
          <w:shd w:val="clear" w:color="auto" w:fill="FFFFFF"/>
        </w:rPr>
        <w:t xml:space="preserve">, 11-20. </w:t>
      </w:r>
      <w:hyperlink r:id="rId18" w:history="1">
        <w:r w:rsidRPr="00DC3E34">
          <w:rPr>
            <w:rStyle w:val="Hyperlink"/>
            <w:lang w:val="en-GB"/>
          </w:rPr>
          <w:t>https://doi.org/10.1016/j.fcr.2012.09.019</w:t>
        </w:r>
      </w:hyperlink>
      <w:r w:rsidRPr="00DC3E34">
        <w:rPr>
          <w:lang w:val="en-GB"/>
        </w:rPr>
        <w:t xml:space="preserve"> </w:t>
      </w:r>
    </w:p>
    <w:p w14:paraId="68AE5C65" w14:textId="77777777" w:rsidR="00462739" w:rsidRPr="00DC3E34" w:rsidRDefault="00FB5CFC" w:rsidP="00462739">
      <w:pPr>
        <w:pStyle w:val="NormalWeb"/>
        <w:rPr>
          <w:lang w:val="en-GB"/>
        </w:rPr>
      </w:pPr>
      <w:r w:rsidRPr="00DC3E34">
        <w:rPr>
          <w:color w:val="222222"/>
          <w:shd w:val="clear" w:color="auto" w:fill="FFFFFF"/>
        </w:rPr>
        <w:t xml:space="preserve">Omondi, M. O., Xia, X., </w:t>
      </w:r>
      <w:proofErr w:type="spellStart"/>
      <w:r w:rsidRPr="00DC3E34">
        <w:rPr>
          <w:color w:val="222222"/>
          <w:shd w:val="clear" w:color="auto" w:fill="FFFFFF"/>
        </w:rPr>
        <w:t>Nahayo</w:t>
      </w:r>
      <w:proofErr w:type="spellEnd"/>
      <w:r w:rsidRPr="00DC3E34">
        <w:rPr>
          <w:color w:val="222222"/>
          <w:shd w:val="clear" w:color="auto" w:fill="FFFFFF"/>
        </w:rPr>
        <w:t>, A., Liu, X., Korai, P. K., &amp; Pan, G. (2016). Quantification of biochar effects on soil hydrological properties using meta-analysis of literature data. </w:t>
      </w:r>
      <w:proofErr w:type="spellStart"/>
      <w:r w:rsidRPr="00DC3E34">
        <w:rPr>
          <w:i/>
          <w:iCs/>
          <w:color w:val="222222"/>
          <w:shd w:val="clear" w:color="auto" w:fill="FFFFFF"/>
        </w:rPr>
        <w:t>Geoderma</w:t>
      </w:r>
      <w:proofErr w:type="spellEnd"/>
      <w:r w:rsidRPr="00DC3E34">
        <w:rPr>
          <w:color w:val="222222"/>
          <w:shd w:val="clear" w:color="auto" w:fill="FFFFFF"/>
        </w:rPr>
        <w:t>, </w:t>
      </w:r>
      <w:r w:rsidRPr="00DC3E34">
        <w:rPr>
          <w:i/>
          <w:iCs/>
          <w:color w:val="222222"/>
          <w:shd w:val="clear" w:color="auto" w:fill="FFFFFF"/>
        </w:rPr>
        <w:t>274</w:t>
      </w:r>
      <w:r w:rsidRPr="00DC3E34">
        <w:rPr>
          <w:color w:val="222222"/>
          <w:shd w:val="clear" w:color="auto" w:fill="FFFFFF"/>
        </w:rPr>
        <w:t xml:space="preserve">, 28-34. </w:t>
      </w:r>
      <w:hyperlink r:id="rId19" w:history="1">
        <w:r w:rsidRPr="00DC3E34">
          <w:rPr>
            <w:rStyle w:val="Hyperlink"/>
            <w:lang w:val="en-GB"/>
          </w:rPr>
          <w:t>https://doi.org/10.1016/j.geoderma.2016.03.029</w:t>
        </w:r>
      </w:hyperlink>
      <w:r w:rsidRPr="00DC3E34">
        <w:rPr>
          <w:lang w:val="en-GB"/>
        </w:rPr>
        <w:t xml:space="preserve"> </w:t>
      </w:r>
    </w:p>
    <w:p w14:paraId="041B895A" w14:textId="77777777" w:rsidR="00462739" w:rsidRPr="00DC3E34" w:rsidRDefault="00FB5CFC" w:rsidP="00462739">
      <w:pPr>
        <w:pStyle w:val="NormalWeb"/>
        <w:rPr>
          <w:lang w:val="en-GB"/>
        </w:rPr>
      </w:pPr>
      <w:proofErr w:type="spellStart"/>
      <w:r w:rsidRPr="00DC3E34">
        <w:rPr>
          <w:color w:val="222222"/>
          <w:shd w:val="clear" w:color="auto" w:fill="FFFFFF"/>
        </w:rPr>
        <w:t>Passioura</w:t>
      </w:r>
      <w:proofErr w:type="spellEnd"/>
      <w:r w:rsidRPr="00DC3E34">
        <w:rPr>
          <w:color w:val="222222"/>
          <w:shd w:val="clear" w:color="auto" w:fill="FFFFFF"/>
        </w:rPr>
        <w:t>, J. (2007). The drought environment: physical, biological and agricultural perspectives. </w:t>
      </w:r>
      <w:r w:rsidRPr="00DC3E34">
        <w:rPr>
          <w:i/>
          <w:iCs/>
          <w:color w:val="222222"/>
          <w:shd w:val="clear" w:color="auto" w:fill="FFFFFF"/>
        </w:rPr>
        <w:t>Journal of experimental botany</w:t>
      </w:r>
      <w:r w:rsidRPr="00DC3E34">
        <w:rPr>
          <w:color w:val="222222"/>
          <w:shd w:val="clear" w:color="auto" w:fill="FFFFFF"/>
        </w:rPr>
        <w:t>, </w:t>
      </w:r>
      <w:r w:rsidRPr="00DC3E34">
        <w:rPr>
          <w:i/>
          <w:iCs/>
          <w:color w:val="222222"/>
          <w:shd w:val="clear" w:color="auto" w:fill="FFFFFF"/>
        </w:rPr>
        <w:t>58</w:t>
      </w:r>
      <w:r w:rsidRPr="00DC3E34">
        <w:rPr>
          <w:color w:val="222222"/>
          <w:shd w:val="clear" w:color="auto" w:fill="FFFFFF"/>
        </w:rPr>
        <w:t xml:space="preserve">(2), 113-117. </w:t>
      </w:r>
      <w:hyperlink r:id="rId20" w:history="1">
        <w:r w:rsidRPr="00DC3E34">
          <w:rPr>
            <w:rStyle w:val="Hyperlink"/>
            <w:lang w:val="en-GB"/>
          </w:rPr>
          <w:t>https://doi.org/10.1093/jxb/erl212</w:t>
        </w:r>
      </w:hyperlink>
      <w:r w:rsidRPr="00DC3E34">
        <w:rPr>
          <w:lang w:val="en-GB"/>
        </w:rPr>
        <w:t xml:space="preserve"> </w:t>
      </w:r>
    </w:p>
    <w:p w14:paraId="2F71026F" w14:textId="77777777" w:rsidR="00462739" w:rsidRPr="00DC3E34" w:rsidRDefault="00FB5CFC" w:rsidP="00462739">
      <w:pPr>
        <w:pStyle w:val="NormalWeb"/>
        <w:rPr>
          <w:lang w:val="en-GB"/>
        </w:rPr>
      </w:pPr>
      <w:proofErr w:type="spellStart"/>
      <w:r w:rsidRPr="00DC3E34">
        <w:rPr>
          <w:color w:val="222222"/>
          <w:shd w:val="clear" w:color="auto" w:fill="FFFFFF"/>
        </w:rPr>
        <w:lastRenderedPageBreak/>
        <w:t>Pittelkow</w:t>
      </w:r>
      <w:proofErr w:type="spellEnd"/>
      <w:r w:rsidRPr="00DC3E34">
        <w:rPr>
          <w:color w:val="222222"/>
          <w:shd w:val="clear" w:color="auto" w:fill="FFFFFF"/>
        </w:rPr>
        <w:t xml:space="preserve">, C. M., Liang, X., </w:t>
      </w:r>
      <w:proofErr w:type="spellStart"/>
      <w:r w:rsidRPr="00DC3E34">
        <w:rPr>
          <w:color w:val="222222"/>
          <w:shd w:val="clear" w:color="auto" w:fill="FFFFFF"/>
        </w:rPr>
        <w:t>Linquist</w:t>
      </w:r>
      <w:proofErr w:type="spellEnd"/>
      <w:r w:rsidRPr="00DC3E34">
        <w:rPr>
          <w:color w:val="222222"/>
          <w:shd w:val="clear" w:color="auto" w:fill="FFFFFF"/>
        </w:rPr>
        <w:t xml:space="preserve">, B. A., Van </w:t>
      </w:r>
      <w:proofErr w:type="spellStart"/>
      <w:r w:rsidRPr="00DC3E34">
        <w:rPr>
          <w:color w:val="222222"/>
          <w:shd w:val="clear" w:color="auto" w:fill="FFFFFF"/>
        </w:rPr>
        <w:t>Groenigen</w:t>
      </w:r>
      <w:proofErr w:type="spellEnd"/>
      <w:r w:rsidRPr="00DC3E34">
        <w:rPr>
          <w:color w:val="222222"/>
          <w:shd w:val="clear" w:color="auto" w:fill="FFFFFF"/>
        </w:rPr>
        <w:t>, K. J., Lee, J., Lundy, M. E., ... &amp; Van Kessel, C. (2015). Productivity limits and potentials of the principles of conservation agriculture. </w:t>
      </w:r>
      <w:r w:rsidRPr="00DC3E34">
        <w:rPr>
          <w:i/>
          <w:iCs/>
          <w:color w:val="222222"/>
          <w:shd w:val="clear" w:color="auto" w:fill="FFFFFF"/>
        </w:rPr>
        <w:t>Nature</w:t>
      </w:r>
      <w:r w:rsidRPr="00DC3E34">
        <w:rPr>
          <w:color w:val="222222"/>
          <w:shd w:val="clear" w:color="auto" w:fill="FFFFFF"/>
        </w:rPr>
        <w:t>, </w:t>
      </w:r>
      <w:r w:rsidRPr="00DC3E34">
        <w:rPr>
          <w:i/>
          <w:iCs/>
          <w:color w:val="222222"/>
          <w:shd w:val="clear" w:color="auto" w:fill="FFFFFF"/>
        </w:rPr>
        <w:t>517</w:t>
      </w:r>
      <w:r w:rsidRPr="00DC3E34">
        <w:rPr>
          <w:color w:val="222222"/>
          <w:shd w:val="clear" w:color="auto" w:fill="FFFFFF"/>
        </w:rPr>
        <w:t xml:space="preserve">(7534), 365-368. </w:t>
      </w:r>
      <w:hyperlink r:id="rId21" w:history="1">
        <w:r w:rsidRPr="00DC3E34">
          <w:rPr>
            <w:rStyle w:val="Hyperlink"/>
            <w:lang w:val="en-GB"/>
          </w:rPr>
          <w:t>https://doi.org/10.1038/nature13809</w:t>
        </w:r>
      </w:hyperlink>
      <w:r w:rsidRPr="00DC3E34">
        <w:rPr>
          <w:lang w:val="en-GB"/>
        </w:rPr>
        <w:t xml:space="preserve"> </w:t>
      </w:r>
    </w:p>
    <w:p w14:paraId="1D7733C5" w14:textId="77777777" w:rsidR="00462739" w:rsidRPr="00DC3E34" w:rsidRDefault="00FB5CFC" w:rsidP="00462739">
      <w:pPr>
        <w:pStyle w:val="NormalWeb"/>
        <w:rPr>
          <w:lang w:val="en-GB"/>
        </w:rPr>
      </w:pPr>
      <w:proofErr w:type="spellStart"/>
      <w:r w:rsidRPr="00DC3E34">
        <w:rPr>
          <w:color w:val="222222"/>
          <w:shd w:val="clear" w:color="auto" w:fill="FFFFFF"/>
        </w:rPr>
        <w:t>Razzaghi</w:t>
      </w:r>
      <w:proofErr w:type="spellEnd"/>
      <w:r w:rsidRPr="00DC3E34">
        <w:rPr>
          <w:color w:val="222222"/>
          <w:shd w:val="clear" w:color="auto" w:fill="FFFFFF"/>
        </w:rPr>
        <w:t>, F., Obour, P. B., &amp; Arthur, E. (2020). Does biochar improve soil water retention? A systematic review and meta-analysis. </w:t>
      </w:r>
      <w:proofErr w:type="spellStart"/>
      <w:r w:rsidRPr="00DC3E34">
        <w:rPr>
          <w:i/>
          <w:iCs/>
          <w:color w:val="222222"/>
          <w:shd w:val="clear" w:color="auto" w:fill="FFFFFF"/>
        </w:rPr>
        <w:t>Geoderma</w:t>
      </w:r>
      <w:proofErr w:type="spellEnd"/>
      <w:r w:rsidRPr="00DC3E34">
        <w:rPr>
          <w:color w:val="222222"/>
          <w:shd w:val="clear" w:color="auto" w:fill="FFFFFF"/>
        </w:rPr>
        <w:t>, </w:t>
      </w:r>
      <w:r w:rsidRPr="00DC3E34">
        <w:rPr>
          <w:i/>
          <w:iCs/>
          <w:color w:val="222222"/>
          <w:shd w:val="clear" w:color="auto" w:fill="FFFFFF"/>
        </w:rPr>
        <w:t>361</w:t>
      </w:r>
      <w:r w:rsidRPr="00DC3E34">
        <w:rPr>
          <w:color w:val="222222"/>
          <w:shd w:val="clear" w:color="auto" w:fill="FFFFFF"/>
        </w:rPr>
        <w:t xml:space="preserve">, 114055. </w:t>
      </w:r>
      <w:hyperlink r:id="rId22" w:history="1">
        <w:r w:rsidRPr="00DC3E34">
          <w:rPr>
            <w:rStyle w:val="Hyperlink"/>
            <w:lang w:val="en-GB"/>
          </w:rPr>
          <w:t>https://doi.org/10.1016/j.geoderma.2019.114055</w:t>
        </w:r>
      </w:hyperlink>
      <w:r w:rsidRPr="00DC3E34">
        <w:rPr>
          <w:lang w:val="en-GB"/>
        </w:rPr>
        <w:t xml:space="preserve"> </w:t>
      </w:r>
    </w:p>
    <w:p w14:paraId="0109BF12" w14:textId="77777777" w:rsidR="00462739" w:rsidRPr="00DC3E34" w:rsidRDefault="00FB5CFC" w:rsidP="00462739">
      <w:pPr>
        <w:pStyle w:val="NormalWeb"/>
        <w:rPr>
          <w:lang w:val="en-GB"/>
        </w:rPr>
      </w:pPr>
      <w:proofErr w:type="spellStart"/>
      <w:r w:rsidRPr="00DC3E34">
        <w:rPr>
          <w:color w:val="222222"/>
          <w:shd w:val="clear" w:color="auto" w:fill="FFFFFF"/>
        </w:rPr>
        <w:t>Rockström</w:t>
      </w:r>
      <w:proofErr w:type="spellEnd"/>
      <w:r w:rsidRPr="00DC3E34">
        <w:rPr>
          <w:color w:val="222222"/>
          <w:shd w:val="clear" w:color="auto" w:fill="FFFFFF"/>
        </w:rPr>
        <w:t xml:space="preserve">, J., Karlberg, L., </w:t>
      </w:r>
      <w:proofErr w:type="spellStart"/>
      <w:r w:rsidRPr="00DC3E34">
        <w:rPr>
          <w:color w:val="222222"/>
          <w:shd w:val="clear" w:color="auto" w:fill="FFFFFF"/>
        </w:rPr>
        <w:t>Wani</w:t>
      </w:r>
      <w:proofErr w:type="spellEnd"/>
      <w:r w:rsidRPr="00DC3E34">
        <w:rPr>
          <w:color w:val="222222"/>
          <w:shd w:val="clear" w:color="auto" w:fill="FFFFFF"/>
        </w:rPr>
        <w:t xml:space="preserve">, S. P., Barron, J., </w:t>
      </w:r>
      <w:proofErr w:type="spellStart"/>
      <w:r w:rsidRPr="00DC3E34">
        <w:rPr>
          <w:color w:val="222222"/>
          <w:shd w:val="clear" w:color="auto" w:fill="FFFFFF"/>
        </w:rPr>
        <w:t>Hatibu</w:t>
      </w:r>
      <w:proofErr w:type="spellEnd"/>
      <w:r w:rsidRPr="00DC3E34">
        <w:rPr>
          <w:color w:val="222222"/>
          <w:shd w:val="clear" w:color="auto" w:fill="FFFFFF"/>
        </w:rPr>
        <w:t xml:space="preserve">, N., </w:t>
      </w:r>
      <w:proofErr w:type="spellStart"/>
      <w:r w:rsidRPr="00DC3E34">
        <w:rPr>
          <w:color w:val="222222"/>
          <w:shd w:val="clear" w:color="auto" w:fill="FFFFFF"/>
        </w:rPr>
        <w:t>Oweis</w:t>
      </w:r>
      <w:proofErr w:type="spellEnd"/>
      <w:r w:rsidRPr="00DC3E34">
        <w:rPr>
          <w:color w:val="222222"/>
          <w:shd w:val="clear" w:color="auto" w:fill="FFFFFF"/>
        </w:rPr>
        <w:t xml:space="preserve">, T., ... &amp; </w:t>
      </w:r>
      <w:proofErr w:type="spellStart"/>
      <w:r w:rsidRPr="00DC3E34">
        <w:rPr>
          <w:color w:val="222222"/>
          <w:shd w:val="clear" w:color="auto" w:fill="FFFFFF"/>
        </w:rPr>
        <w:t>Qiang</w:t>
      </w:r>
      <w:proofErr w:type="spellEnd"/>
      <w:r w:rsidRPr="00DC3E34">
        <w:rPr>
          <w:color w:val="222222"/>
          <w:shd w:val="clear" w:color="auto" w:fill="FFFFFF"/>
        </w:rPr>
        <w:t>, Z. (2010). Managing water in rainfed agriculture—The need for a paradigm shift. </w:t>
      </w:r>
      <w:r w:rsidRPr="00DC3E34">
        <w:rPr>
          <w:i/>
          <w:iCs/>
          <w:color w:val="222222"/>
          <w:shd w:val="clear" w:color="auto" w:fill="FFFFFF"/>
        </w:rPr>
        <w:t>Agricultural Water Management</w:t>
      </w:r>
      <w:r w:rsidRPr="00DC3E34">
        <w:rPr>
          <w:color w:val="222222"/>
          <w:shd w:val="clear" w:color="auto" w:fill="FFFFFF"/>
        </w:rPr>
        <w:t>, </w:t>
      </w:r>
      <w:r w:rsidRPr="00DC3E34">
        <w:rPr>
          <w:i/>
          <w:iCs/>
          <w:color w:val="222222"/>
          <w:shd w:val="clear" w:color="auto" w:fill="FFFFFF"/>
        </w:rPr>
        <w:t>97</w:t>
      </w:r>
      <w:r w:rsidRPr="00DC3E34">
        <w:rPr>
          <w:color w:val="222222"/>
          <w:shd w:val="clear" w:color="auto" w:fill="FFFFFF"/>
        </w:rPr>
        <w:t xml:space="preserve">(4), 543-550. </w:t>
      </w:r>
      <w:hyperlink r:id="rId23" w:history="1">
        <w:r w:rsidRPr="00DC3E34">
          <w:rPr>
            <w:rStyle w:val="Hyperlink"/>
            <w:lang w:val="en-GB"/>
          </w:rPr>
          <w:t>https://doi.org/10.1016/j.agwat.2009.09.009</w:t>
        </w:r>
      </w:hyperlink>
      <w:r w:rsidRPr="00DC3E34">
        <w:rPr>
          <w:lang w:val="en-GB"/>
        </w:rPr>
        <w:t xml:space="preserve"> </w:t>
      </w:r>
    </w:p>
    <w:p w14:paraId="6DF3D959" w14:textId="77777777" w:rsidR="00462739" w:rsidRPr="00DC3E34" w:rsidRDefault="00DC3E34" w:rsidP="00462739">
      <w:pPr>
        <w:pStyle w:val="NormalWeb"/>
        <w:rPr>
          <w:lang w:val="en-GB"/>
        </w:rPr>
      </w:pPr>
      <w:r w:rsidRPr="00DC3E34">
        <w:rPr>
          <w:color w:val="222222"/>
          <w:shd w:val="clear" w:color="auto" w:fill="FFFFFF"/>
        </w:rPr>
        <w:t>Tan, Y., Hu, F., Chai, Q., Li, G., Zhao, C., Yu, A., ... &amp; Yin, W. (2021). Optimizing water use between intercropped pea and maize through strip row ratio expansion and N fertilizer reduction in arid areas. </w:t>
      </w:r>
      <w:r w:rsidRPr="00DC3E34">
        <w:rPr>
          <w:i/>
          <w:iCs/>
          <w:color w:val="222222"/>
          <w:shd w:val="clear" w:color="auto" w:fill="FFFFFF"/>
        </w:rPr>
        <w:t>Field Crops Research</w:t>
      </w:r>
      <w:r w:rsidRPr="00DC3E34">
        <w:rPr>
          <w:color w:val="222222"/>
          <w:shd w:val="clear" w:color="auto" w:fill="FFFFFF"/>
        </w:rPr>
        <w:t>, </w:t>
      </w:r>
      <w:r w:rsidRPr="00DC3E34">
        <w:rPr>
          <w:i/>
          <w:iCs/>
          <w:color w:val="222222"/>
          <w:shd w:val="clear" w:color="auto" w:fill="FFFFFF"/>
        </w:rPr>
        <w:t>260</w:t>
      </w:r>
      <w:r w:rsidRPr="00DC3E34">
        <w:rPr>
          <w:color w:val="222222"/>
          <w:shd w:val="clear" w:color="auto" w:fill="FFFFFF"/>
        </w:rPr>
        <w:t xml:space="preserve">, 108001. </w:t>
      </w:r>
      <w:hyperlink r:id="rId24" w:history="1">
        <w:r w:rsidRPr="00DC3E34">
          <w:rPr>
            <w:rStyle w:val="Hyperlink"/>
            <w:lang w:val="en-GB"/>
          </w:rPr>
          <w:t>https://doi.org/10.1016/j.fcr.2020.108001</w:t>
        </w:r>
      </w:hyperlink>
      <w:r w:rsidRPr="00DC3E34">
        <w:rPr>
          <w:lang w:val="en-GB"/>
        </w:rPr>
        <w:t xml:space="preserve"> </w:t>
      </w:r>
    </w:p>
    <w:p w14:paraId="3EE613EF" w14:textId="77777777" w:rsidR="00462739" w:rsidRPr="00DC3E34" w:rsidRDefault="00DC3E34" w:rsidP="00462739">
      <w:pPr>
        <w:pStyle w:val="NormalWeb"/>
        <w:rPr>
          <w:lang w:val="en-GB"/>
        </w:rPr>
      </w:pPr>
      <w:r w:rsidRPr="00DC3E34">
        <w:rPr>
          <w:color w:val="222222"/>
          <w:shd w:val="clear" w:color="auto" w:fill="FFFFFF"/>
        </w:rPr>
        <w:t xml:space="preserve">Wang, J., Zhang, S., </w:t>
      </w:r>
      <w:proofErr w:type="spellStart"/>
      <w:r w:rsidRPr="00DC3E34">
        <w:rPr>
          <w:color w:val="222222"/>
          <w:shd w:val="clear" w:color="auto" w:fill="FFFFFF"/>
        </w:rPr>
        <w:t>Sainju</w:t>
      </w:r>
      <w:proofErr w:type="spellEnd"/>
      <w:r w:rsidRPr="00DC3E34">
        <w:rPr>
          <w:color w:val="222222"/>
          <w:shd w:val="clear" w:color="auto" w:fill="FFFFFF"/>
        </w:rPr>
        <w:t>, U. M., Ghimire, R., &amp; Zhao, F. (2021). A meta-analysis on cover crop impact on soil water storage, succeeding crop yield, and water-use efficiency. </w:t>
      </w:r>
      <w:r w:rsidRPr="00DC3E34">
        <w:rPr>
          <w:i/>
          <w:iCs/>
          <w:color w:val="222222"/>
          <w:shd w:val="clear" w:color="auto" w:fill="FFFFFF"/>
        </w:rPr>
        <w:t>Agricultural Water Management</w:t>
      </w:r>
      <w:r w:rsidRPr="00DC3E34">
        <w:rPr>
          <w:color w:val="222222"/>
          <w:shd w:val="clear" w:color="auto" w:fill="FFFFFF"/>
        </w:rPr>
        <w:t>, </w:t>
      </w:r>
      <w:r w:rsidRPr="00DC3E34">
        <w:rPr>
          <w:i/>
          <w:iCs/>
          <w:color w:val="222222"/>
          <w:shd w:val="clear" w:color="auto" w:fill="FFFFFF"/>
        </w:rPr>
        <w:t>256</w:t>
      </w:r>
      <w:r w:rsidRPr="00DC3E34">
        <w:rPr>
          <w:color w:val="222222"/>
          <w:shd w:val="clear" w:color="auto" w:fill="FFFFFF"/>
        </w:rPr>
        <w:t>, 107085.</w:t>
      </w:r>
      <w:r w:rsidR="00462739" w:rsidRPr="00DC3E34">
        <w:rPr>
          <w:lang w:val="en-GB"/>
        </w:rPr>
        <w:t xml:space="preserve"> </w:t>
      </w:r>
      <w:hyperlink r:id="rId25" w:tgtFrame="_new" w:history="1">
        <w:r w:rsidR="00462739" w:rsidRPr="00DC3E34">
          <w:rPr>
            <w:rStyle w:val="Hyperlink"/>
            <w:lang w:val="en-GB"/>
          </w:rPr>
          <w:t>https://doi.org/10.1016/j.agwat.2021.107085</w:t>
        </w:r>
      </w:hyperlink>
    </w:p>
    <w:p w14:paraId="1B978CB8" w14:textId="77777777" w:rsidR="00187CBB" w:rsidRPr="00462739" w:rsidRDefault="008461BC" w:rsidP="00462739">
      <w:pPr>
        <w:rPr>
          <w:lang w:val="en-GB"/>
        </w:rPr>
      </w:pPr>
      <w:r w:rsidRPr="00462739">
        <w:rPr>
          <w:lang w:val="en-GB"/>
        </w:rPr>
        <w:t xml:space="preserve"> </w:t>
      </w:r>
    </w:p>
    <w:sectPr w:rsidR="00187CBB" w:rsidRPr="00462739" w:rsidSect="00CB6EB6">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95CE0" w14:textId="77777777" w:rsidR="00E61737" w:rsidRDefault="00E61737" w:rsidP="000324BB">
      <w:pPr>
        <w:spacing w:after="0" w:line="240" w:lineRule="auto"/>
      </w:pPr>
      <w:r>
        <w:separator/>
      </w:r>
    </w:p>
  </w:endnote>
  <w:endnote w:type="continuationSeparator" w:id="0">
    <w:p w14:paraId="732665BC" w14:textId="77777777" w:rsidR="00E61737" w:rsidRDefault="00E61737" w:rsidP="0003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AA34" w14:textId="77777777" w:rsidR="000324BB" w:rsidRDefault="00032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800B" w14:textId="77777777" w:rsidR="000324BB" w:rsidRDefault="000324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A142" w14:textId="77777777" w:rsidR="000324BB" w:rsidRDefault="00032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6ED02" w14:textId="77777777" w:rsidR="00E61737" w:rsidRDefault="00E61737" w:rsidP="000324BB">
      <w:pPr>
        <w:spacing w:after="0" w:line="240" w:lineRule="auto"/>
      </w:pPr>
      <w:r>
        <w:separator/>
      </w:r>
    </w:p>
  </w:footnote>
  <w:footnote w:type="continuationSeparator" w:id="0">
    <w:p w14:paraId="3363F624" w14:textId="77777777" w:rsidR="00E61737" w:rsidRDefault="00E61737" w:rsidP="00032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0CEDA" w14:textId="2BC0C76F" w:rsidR="000324BB" w:rsidRDefault="000324BB">
    <w:pPr>
      <w:pStyle w:val="Header"/>
    </w:pPr>
    <w:r>
      <w:rPr>
        <w:noProof/>
      </w:rPr>
      <w:pict w14:anchorId="71F3A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679141"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B627" w14:textId="6BBB34E8" w:rsidR="000324BB" w:rsidRDefault="000324BB">
    <w:pPr>
      <w:pStyle w:val="Header"/>
    </w:pPr>
    <w:r>
      <w:rPr>
        <w:noProof/>
      </w:rPr>
      <w:pict w14:anchorId="43B75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679142"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CDF8" w14:textId="0844525A" w:rsidR="000324BB" w:rsidRDefault="000324BB">
    <w:pPr>
      <w:pStyle w:val="Header"/>
    </w:pPr>
    <w:r>
      <w:rPr>
        <w:noProof/>
      </w:rPr>
      <w:pict w14:anchorId="3CB85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679140"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8EE"/>
    <w:multiLevelType w:val="hybridMultilevel"/>
    <w:tmpl w:val="188C1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96FC6"/>
    <w:multiLevelType w:val="hybridMultilevel"/>
    <w:tmpl w:val="B044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82651"/>
    <w:multiLevelType w:val="hybridMultilevel"/>
    <w:tmpl w:val="5532E71A"/>
    <w:lvl w:ilvl="0" w:tplc="0409000F">
      <w:start w:val="1"/>
      <w:numFmt w:val="decimal"/>
      <w:lvlText w:val="%1."/>
      <w:lvlJc w:val="left"/>
      <w:pPr>
        <w:ind w:left="720" w:hanging="360"/>
      </w:pPr>
    </w:lvl>
    <w:lvl w:ilvl="1" w:tplc="82B4C13E">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F64FE"/>
    <w:multiLevelType w:val="hybridMultilevel"/>
    <w:tmpl w:val="7402D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52F8F"/>
    <w:multiLevelType w:val="hybridMultilevel"/>
    <w:tmpl w:val="6BD2CB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112F1"/>
    <w:multiLevelType w:val="hybridMultilevel"/>
    <w:tmpl w:val="D57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1D1BBE"/>
    <w:multiLevelType w:val="hybridMultilevel"/>
    <w:tmpl w:val="0A7A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07EA0"/>
    <w:multiLevelType w:val="hybridMultilevel"/>
    <w:tmpl w:val="0260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427344"/>
    <w:multiLevelType w:val="hybridMultilevel"/>
    <w:tmpl w:val="802A3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4E09A9"/>
    <w:multiLevelType w:val="hybridMultilevel"/>
    <w:tmpl w:val="8530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7"/>
  </w:num>
  <w:num w:numId="4">
    <w:abstractNumId w:val="8"/>
  </w:num>
  <w:num w:numId="5">
    <w:abstractNumId w:val="25"/>
  </w:num>
  <w:num w:numId="6">
    <w:abstractNumId w:val="10"/>
  </w:num>
  <w:num w:numId="7">
    <w:abstractNumId w:val="4"/>
  </w:num>
  <w:num w:numId="8">
    <w:abstractNumId w:val="42"/>
  </w:num>
  <w:num w:numId="9">
    <w:abstractNumId w:val="11"/>
  </w:num>
  <w:num w:numId="10">
    <w:abstractNumId w:val="12"/>
  </w:num>
  <w:num w:numId="11">
    <w:abstractNumId w:val="19"/>
  </w:num>
  <w:num w:numId="12">
    <w:abstractNumId w:val="18"/>
  </w:num>
  <w:num w:numId="13">
    <w:abstractNumId w:val="20"/>
  </w:num>
  <w:num w:numId="14">
    <w:abstractNumId w:val="9"/>
  </w:num>
  <w:num w:numId="15">
    <w:abstractNumId w:val="3"/>
  </w:num>
  <w:num w:numId="16">
    <w:abstractNumId w:val="23"/>
  </w:num>
  <w:num w:numId="17">
    <w:abstractNumId w:val="39"/>
  </w:num>
  <w:num w:numId="18">
    <w:abstractNumId w:val="36"/>
  </w:num>
  <w:num w:numId="19">
    <w:abstractNumId w:val="34"/>
  </w:num>
  <w:num w:numId="20">
    <w:abstractNumId w:val="16"/>
  </w:num>
  <w:num w:numId="21">
    <w:abstractNumId w:val="28"/>
  </w:num>
  <w:num w:numId="22">
    <w:abstractNumId w:val="32"/>
  </w:num>
  <w:num w:numId="23">
    <w:abstractNumId w:val="2"/>
  </w:num>
  <w:num w:numId="24">
    <w:abstractNumId w:val="41"/>
  </w:num>
  <w:num w:numId="25">
    <w:abstractNumId w:val="6"/>
  </w:num>
  <w:num w:numId="26">
    <w:abstractNumId w:val="24"/>
  </w:num>
  <w:num w:numId="27">
    <w:abstractNumId w:val="33"/>
  </w:num>
  <w:num w:numId="28">
    <w:abstractNumId w:val="31"/>
  </w:num>
  <w:num w:numId="29">
    <w:abstractNumId w:val="17"/>
  </w:num>
  <w:num w:numId="30">
    <w:abstractNumId w:val="40"/>
  </w:num>
  <w:num w:numId="31">
    <w:abstractNumId w:val="14"/>
  </w:num>
  <w:num w:numId="32">
    <w:abstractNumId w:val="38"/>
  </w:num>
  <w:num w:numId="33">
    <w:abstractNumId w:val="5"/>
  </w:num>
  <w:num w:numId="34">
    <w:abstractNumId w:val="29"/>
  </w:num>
  <w:num w:numId="35">
    <w:abstractNumId w:val="21"/>
  </w:num>
  <w:num w:numId="36">
    <w:abstractNumId w:val="35"/>
  </w:num>
  <w:num w:numId="37">
    <w:abstractNumId w:val="30"/>
  </w:num>
  <w:num w:numId="38">
    <w:abstractNumId w:val="26"/>
  </w:num>
  <w:num w:numId="39">
    <w:abstractNumId w:val="15"/>
  </w:num>
  <w:num w:numId="40">
    <w:abstractNumId w:val="22"/>
  </w:num>
  <w:num w:numId="41">
    <w:abstractNumId w:val="37"/>
  </w:num>
  <w:num w:numId="42">
    <w:abstractNumId w:val="0"/>
  </w:num>
  <w:num w:numId="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24BB"/>
    <w:rsid w:val="000425DD"/>
    <w:rsid w:val="00053D7A"/>
    <w:rsid w:val="0005616C"/>
    <w:rsid w:val="0006037D"/>
    <w:rsid w:val="0006413B"/>
    <w:rsid w:val="000643E7"/>
    <w:rsid w:val="0006527C"/>
    <w:rsid w:val="000652AA"/>
    <w:rsid w:val="000814C4"/>
    <w:rsid w:val="00086EDD"/>
    <w:rsid w:val="000A0EB4"/>
    <w:rsid w:val="000A2A54"/>
    <w:rsid w:val="000A79B2"/>
    <w:rsid w:val="000B75EF"/>
    <w:rsid w:val="000C4F0E"/>
    <w:rsid w:val="000D461E"/>
    <w:rsid w:val="000D6AAA"/>
    <w:rsid w:val="000D7028"/>
    <w:rsid w:val="000E67D1"/>
    <w:rsid w:val="000E709D"/>
    <w:rsid w:val="000F14D5"/>
    <w:rsid w:val="000F27AA"/>
    <w:rsid w:val="00114147"/>
    <w:rsid w:val="001261CC"/>
    <w:rsid w:val="00126ADF"/>
    <w:rsid w:val="001276CD"/>
    <w:rsid w:val="00131E50"/>
    <w:rsid w:val="00135191"/>
    <w:rsid w:val="00142919"/>
    <w:rsid w:val="001514E1"/>
    <w:rsid w:val="001560E3"/>
    <w:rsid w:val="00166050"/>
    <w:rsid w:val="00186E2A"/>
    <w:rsid w:val="00187CBB"/>
    <w:rsid w:val="0019059D"/>
    <w:rsid w:val="0019667B"/>
    <w:rsid w:val="001A165A"/>
    <w:rsid w:val="001A3703"/>
    <w:rsid w:val="001A7A4E"/>
    <w:rsid w:val="001B2FA4"/>
    <w:rsid w:val="001B5753"/>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4C0C"/>
    <w:rsid w:val="00307595"/>
    <w:rsid w:val="0031286E"/>
    <w:rsid w:val="00316D75"/>
    <w:rsid w:val="00332243"/>
    <w:rsid w:val="0033735F"/>
    <w:rsid w:val="0035701C"/>
    <w:rsid w:val="003664CE"/>
    <w:rsid w:val="003740DE"/>
    <w:rsid w:val="00391BB6"/>
    <w:rsid w:val="003975AE"/>
    <w:rsid w:val="003A104D"/>
    <w:rsid w:val="003A4787"/>
    <w:rsid w:val="003B035B"/>
    <w:rsid w:val="003B09B4"/>
    <w:rsid w:val="003B3553"/>
    <w:rsid w:val="003B400E"/>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45A92"/>
    <w:rsid w:val="0045531D"/>
    <w:rsid w:val="00456E20"/>
    <w:rsid w:val="004615AF"/>
    <w:rsid w:val="00462739"/>
    <w:rsid w:val="00471027"/>
    <w:rsid w:val="004711B7"/>
    <w:rsid w:val="004A16BD"/>
    <w:rsid w:val="004A508F"/>
    <w:rsid w:val="004A5427"/>
    <w:rsid w:val="004A586B"/>
    <w:rsid w:val="004B02DF"/>
    <w:rsid w:val="004C1A63"/>
    <w:rsid w:val="004C6306"/>
    <w:rsid w:val="004C7547"/>
    <w:rsid w:val="004E1999"/>
    <w:rsid w:val="004E7311"/>
    <w:rsid w:val="004F07D5"/>
    <w:rsid w:val="004F2BB5"/>
    <w:rsid w:val="004F5E1D"/>
    <w:rsid w:val="00516AA1"/>
    <w:rsid w:val="00523936"/>
    <w:rsid w:val="0052448D"/>
    <w:rsid w:val="0054487D"/>
    <w:rsid w:val="00554C7D"/>
    <w:rsid w:val="005577C6"/>
    <w:rsid w:val="00560791"/>
    <w:rsid w:val="0056389E"/>
    <w:rsid w:val="00564FB4"/>
    <w:rsid w:val="00571246"/>
    <w:rsid w:val="005A2AA6"/>
    <w:rsid w:val="005A5DEC"/>
    <w:rsid w:val="005B22C5"/>
    <w:rsid w:val="005B4ADB"/>
    <w:rsid w:val="005D2267"/>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11B14"/>
    <w:rsid w:val="00713825"/>
    <w:rsid w:val="00720F41"/>
    <w:rsid w:val="00721966"/>
    <w:rsid w:val="00737A32"/>
    <w:rsid w:val="00755BDC"/>
    <w:rsid w:val="00761CB6"/>
    <w:rsid w:val="00773599"/>
    <w:rsid w:val="00774395"/>
    <w:rsid w:val="0078275D"/>
    <w:rsid w:val="00783E9E"/>
    <w:rsid w:val="00786C67"/>
    <w:rsid w:val="00796571"/>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A2470"/>
    <w:rsid w:val="008A4BFC"/>
    <w:rsid w:val="008A7416"/>
    <w:rsid w:val="008E71C6"/>
    <w:rsid w:val="008F3850"/>
    <w:rsid w:val="00904403"/>
    <w:rsid w:val="00916DED"/>
    <w:rsid w:val="00921557"/>
    <w:rsid w:val="00925CAF"/>
    <w:rsid w:val="009302A6"/>
    <w:rsid w:val="00935182"/>
    <w:rsid w:val="00951A3D"/>
    <w:rsid w:val="009536DC"/>
    <w:rsid w:val="009851F5"/>
    <w:rsid w:val="009903E9"/>
    <w:rsid w:val="009929A7"/>
    <w:rsid w:val="00992B92"/>
    <w:rsid w:val="00994A4A"/>
    <w:rsid w:val="009B3A8A"/>
    <w:rsid w:val="009B55DE"/>
    <w:rsid w:val="009C2C46"/>
    <w:rsid w:val="009D05A9"/>
    <w:rsid w:val="009D0B9D"/>
    <w:rsid w:val="009D13F6"/>
    <w:rsid w:val="009D5BA5"/>
    <w:rsid w:val="009E5244"/>
    <w:rsid w:val="009F0120"/>
    <w:rsid w:val="00A00B22"/>
    <w:rsid w:val="00A029C3"/>
    <w:rsid w:val="00A2270F"/>
    <w:rsid w:val="00A24B38"/>
    <w:rsid w:val="00A27BF4"/>
    <w:rsid w:val="00A32ED4"/>
    <w:rsid w:val="00A35A95"/>
    <w:rsid w:val="00A4069A"/>
    <w:rsid w:val="00A43928"/>
    <w:rsid w:val="00A478B2"/>
    <w:rsid w:val="00A50845"/>
    <w:rsid w:val="00A5299F"/>
    <w:rsid w:val="00A54719"/>
    <w:rsid w:val="00A57A87"/>
    <w:rsid w:val="00A62C46"/>
    <w:rsid w:val="00A64590"/>
    <w:rsid w:val="00A7055A"/>
    <w:rsid w:val="00A8506E"/>
    <w:rsid w:val="00A94050"/>
    <w:rsid w:val="00A97AEF"/>
    <w:rsid w:val="00AA06F7"/>
    <w:rsid w:val="00AA2B64"/>
    <w:rsid w:val="00AA4644"/>
    <w:rsid w:val="00AA4B35"/>
    <w:rsid w:val="00AB0C7A"/>
    <w:rsid w:val="00AB1103"/>
    <w:rsid w:val="00AD7B8B"/>
    <w:rsid w:val="00AE651D"/>
    <w:rsid w:val="00AE79C2"/>
    <w:rsid w:val="00AF7425"/>
    <w:rsid w:val="00B06888"/>
    <w:rsid w:val="00B1065D"/>
    <w:rsid w:val="00B451DB"/>
    <w:rsid w:val="00B6043D"/>
    <w:rsid w:val="00B84C19"/>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5051C"/>
    <w:rsid w:val="00D63323"/>
    <w:rsid w:val="00D71250"/>
    <w:rsid w:val="00D75C9D"/>
    <w:rsid w:val="00D90471"/>
    <w:rsid w:val="00D9293B"/>
    <w:rsid w:val="00D95D20"/>
    <w:rsid w:val="00DA3203"/>
    <w:rsid w:val="00DC3E34"/>
    <w:rsid w:val="00DC5FB9"/>
    <w:rsid w:val="00DC6BC2"/>
    <w:rsid w:val="00DC74C9"/>
    <w:rsid w:val="00DD02B6"/>
    <w:rsid w:val="00DD62DF"/>
    <w:rsid w:val="00DE0A9F"/>
    <w:rsid w:val="00DE544F"/>
    <w:rsid w:val="00DF20BB"/>
    <w:rsid w:val="00DF5AB4"/>
    <w:rsid w:val="00E125DA"/>
    <w:rsid w:val="00E20962"/>
    <w:rsid w:val="00E22310"/>
    <w:rsid w:val="00E3113F"/>
    <w:rsid w:val="00E40B47"/>
    <w:rsid w:val="00E52157"/>
    <w:rsid w:val="00E61737"/>
    <w:rsid w:val="00E6358B"/>
    <w:rsid w:val="00E643E8"/>
    <w:rsid w:val="00E6564A"/>
    <w:rsid w:val="00E7044C"/>
    <w:rsid w:val="00E76785"/>
    <w:rsid w:val="00E84B62"/>
    <w:rsid w:val="00E93BAE"/>
    <w:rsid w:val="00E97626"/>
    <w:rsid w:val="00E97F4E"/>
    <w:rsid w:val="00EA45FD"/>
    <w:rsid w:val="00EC266D"/>
    <w:rsid w:val="00EC4D6C"/>
    <w:rsid w:val="00EE2E7D"/>
    <w:rsid w:val="00EF4D40"/>
    <w:rsid w:val="00EF4D87"/>
    <w:rsid w:val="00F13040"/>
    <w:rsid w:val="00F133C3"/>
    <w:rsid w:val="00F278AB"/>
    <w:rsid w:val="00F36C5B"/>
    <w:rsid w:val="00F43253"/>
    <w:rsid w:val="00F43CC2"/>
    <w:rsid w:val="00F45317"/>
    <w:rsid w:val="00F4728A"/>
    <w:rsid w:val="00F6047F"/>
    <w:rsid w:val="00F754E8"/>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761A48"/>
  <w15:docId w15:val="{0E06B881-91E1-4D99-A52D-94BE120E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4BB"/>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032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4BB"/>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8/rstb.2007.2169" TargetMode="External"/><Relationship Id="rId18" Type="http://schemas.openxmlformats.org/officeDocument/2006/relationships/hyperlink" Target="https://doi.org/10.1016/j.fcr.2012.09.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8/nature13809" TargetMode="External"/><Relationship Id="rId7" Type="http://schemas.openxmlformats.org/officeDocument/2006/relationships/endnotes" Target="endnotes.xml"/><Relationship Id="rId12" Type="http://schemas.openxmlformats.org/officeDocument/2006/relationships/hyperlink" Target="https://doi.org/10.1093/jxb/erl165" TargetMode="External"/><Relationship Id="rId17" Type="http://schemas.openxmlformats.org/officeDocument/2006/relationships/hyperlink" Target="https://doi.org/10.1007/s13593-011-0068-3" TargetMode="External"/><Relationship Id="rId25" Type="http://schemas.openxmlformats.org/officeDocument/2006/relationships/hyperlink" Target="https://doi.org/10.1016/j.agwat.2021.10708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93/jxb/erh249" TargetMode="External"/><Relationship Id="rId20" Type="http://schemas.openxmlformats.org/officeDocument/2006/relationships/hyperlink" Target="https://doi.org/10.1093/jxb/erl2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earscirev.2018.06.013" TargetMode="External"/><Relationship Id="rId24" Type="http://schemas.openxmlformats.org/officeDocument/2006/relationships/hyperlink" Target="https://doi.org/10.1016/j.fcr.2020.10800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still.2017.01.001" TargetMode="External"/><Relationship Id="rId23" Type="http://schemas.openxmlformats.org/officeDocument/2006/relationships/hyperlink" Target="https://doi.org/10.1016/j.agwat.2009.09.009" TargetMode="External"/><Relationship Id="rId28" Type="http://schemas.openxmlformats.org/officeDocument/2006/relationships/footer" Target="footer1.xml"/><Relationship Id="rId10" Type="http://schemas.openxmlformats.org/officeDocument/2006/relationships/hyperlink" Target="https://doi.org/10.1016/j.fcr.2016.12.002" TargetMode="External"/><Relationship Id="rId19" Type="http://schemas.openxmlformats.org/officeDocument/2006/relationships/hyperlink" Target="https://doi.org/10.1016/j.geoderma.2016.03.029"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still.2025.106653" TargetMode="External"/><Relationship Id="rId14" Type="http://schemas.openxmlformats.org/officeDocument/2006/relationships/hyperlink" Target="https://doi.org/10.1093/jxb/erh213" TargetMode="External"/><Relationship Id="rId22" Type="http://schemas.openxmlformats.org/officeDocument/2006/relationships/hyperlink" Target="https://doi.org/10.1016/j.geoderma.2019.11405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j.geoderma.2013.03.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469F2-F38D-4364-A320-06B85075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7213</TotalTime>
  <Pages>24</Pages>
  <Words>11529</Words>
  <Characters>65719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92</cp:revision>
  <cp:lastPrinted>2025-12-13T07:14:00Z</cp:lastPrinted>
  <dcterms:created xsi:type="dcterms:W3CDTF">2025-09-24T12:44:00Z</dcterms:created>
  <dcterms:modified xsi:type="dcterms:W3CDTF">2026-01-22T11:10:00Z</dcterms:modified>
</cp:coreProperties>
</file>