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B2B19" w14:textId="56473F33" w:rsidR="001E337C" w:rsidRPr="004D3A3A" w:rsidRDefault="0011082E">
      <w:pPr>
        <w:rPr>
          <w:rFonts w:ascii="Arial" w:hAnsi="Arial" w:cs="Arial"/>
          <w:b/>
          <w:bCs/>
          <w:sz w:val="28"/>
          <w:szCs w:val="28"/>
        </w:rPr>
      </w:pPr>
      <w:bookmarkStart w:id="0" w:name="_GoBack"/>
      <w:bookmarkEnd w:id="0"/>
      <w:r w:rsidRPr="004D3A3A">
        <w:rPr>
          <w:rFonts w:ascii="Arial" w:hAnsi="Arial" w:cs="Arial"/>
          <w:b/>
          <w:bCs/>
          <w:sz w:val="28"/>
          <w:szCs w:val="28"/>
        </w:rPr>
        <w:t>Circular Bioeconomy in Farming: Residue Recycling, Biochar, and Organics for Climate Mitigation—A Critical Review</w:t>
      </w:r>
    </w:p>
    <w:p w14:paraId="061CF130" w14:textId="77777777" w:rsidR="0011082E" w:rsidRPr="004D3A3A" w:rsidRDefault="0011082E">
      <w:pPr>
        <w:rPr>
          <w:rFonts w:ascii="Arial" w:hAnsi="Arial" w:cs="Arial"/>
          <w:b/>
          <w:bCs/>
        </w:rPr>
      </w:pPr>
    </w:p>
    <w:p w14:paraId="2AD990FD" w14:textId="77777777" w:rsidR="008E3145" w:rsidRPr="004D3A3A" w:rsidRDefault="0011082E" w:rsidP="008E3145">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b/>
          <w:bCs/>
          <w:kern w:val="0"/>
          <w:lang w:eastAsia="en-IN"/>
          <w14:ligatures w14:val="none"/>
        </w:rPr>
        <w:t>Abstract</w:t>
      </w:r>
      <w:r w:rsidRPr="004D3A3A">
        <w:rPr>
          <w:rFonts w:ascii="Arial" w:eastAsia="Times New Roman" w:hAnsi="Arial" w:cs="Arial"/>
          <w:kern w:val="0"/>
          <w:lang w:eastAsia="en-IN"/>
          <w14:ligatures w14:val="none"/>
        </w:rPr>
        <w:br/>
      </w:r>
      <w:r w:rsidR="008E3145" w:rsidRPr="004D3A3A">
        <w:rPr>
          <w:rFonts w:ascii="Arial" w:eastAsia="Times New Roman" w:hAnsi="Arial" w:cs="Arial"/>
          <w:kern w:val="0"/>
          <w:lang w:eastAsia="en-IN"/>
          <w14:ligatures w14:val="none"/>
        </w:rPr>
        <w:t>The circular bioeconomy reframes agricultural residues and organic by-products as strategic resources for climate mitigation, soil restoration, and input substitution. This critical review examines three high-leverage pillars—residue recycling, biochar systems, and climate-oriented management of organic amendments—through agronomic, environmental, and implementation lenses. We first synthesize how shifting residues from open burning and unmanaged decay toward aerobic composting, anaerobic digestion with contained storage, and in-field retention can reduce methane, nitrous oxide, and particulate emissions while returning stabilized carbon and nutrients to soils. We then evaluate biochar as a durable carbon sink that also modulates soil processes affecting non-CO</w:t>
      </w:r>
      <w:r w:rsidR="008E3145" w:rsidRPr="004D3A3A">
        <w:rPr>
          <w:rFonts w:ascii="Cambria Math" w:eastAsia="Times New Roman" w:hAnsi="Cambria Math" w:cs="Cambria Math"/>
          <w:kern w:val="0"/>
          <w:lang w:eastAsia="en-IN"/>
          <w14:ligatures w14:val="none"/>
        </w:rPr>
        <w:t>₂</w:t>
      </w:r>
      <w:r w:rsidR="008E3145" w:rsidRPr="004D3A3A">
        <w:rPr>
          <w:rFonts w:ascii="Arial" w:eastAsia="Times New Roman" w:hAnsi="Arial" w:cs="Arial"/>
          <w:kern w:val="0"/>
          <w:lang w:eastAsia="en-IN"/>
          <w14:ligatures w14:val="none"/>
        </w:rPr>
        <w:t xml:space="preserve"> gases, water retention, and nutrient efficiency; attention is given to feedstock logistics, pyrolysis conditions, and the co-benefits and trade-offs of energy co-products. Finally, we assess composts, manures, and digestates as climate tools, emphasizing timing, placement, and carbon-to-nitrogen management that align yield goals with lower emission intensity.</w:t>
      </w:r>
    </w:p>
    <w:p w14:paraId="36616472" w14:textId="77777777" w:rsidR="008E3145" w:rsidRPr="004D3A3A" w:rsidRDefault="008E3145" w:rsidP="008E3145">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Across pathways, credible climate accounting depends on life-cycle system boundaries that include avoided emissions, process energy, transport, and product displacement, alongside robust treatment of additionality, leakage, and permanence. We review emerging measurement, reporting, and verification approaches suitable for farms, cooperatives, and regional programs, and propose practical indicators to support transparent carbon claims. Implementation requires enabling infrastructure and policy: modular processing, quality standards, incentives that reward verified outcomes, and advisory services that translate carbon metrics into agronomic decisions. Equity considerations are central; smallholders need access to equipment, finance, and simplified MRV, with benefits visible as improved soil function and yield stability.</w:t>
      </w:r>
    </w:p>
    <w:p w14:paraId="55B78C98" w14:textId="77777777" w:rsidR="004D3A3A" w:rsidRDefault="008E3145" w:rsidP="008E3145">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The review identifies five priorities to accelerate progress: context-specific response functions that predict when and where each pathway performs best; integrated management of residues and water in flooded systems; digestate processing and delivery methods that minimize gaseous losses; harmonized durability and uncertainty treatment for biochar; and longitudinal socio-economic evidence on adoption, </w:t>
      </w:r>
      <w:proofErr w:type="spellStart"/>
      <w:r w:rsidRPr="004D3A3A">
        <w:rPr>
          <w:rFonts w:ascii="Arial" w:eastAsia="Times New Roman" w:hAnsi="Arial" w:cs="Arial"/>
          <w:kern w:val="0"/>
          <w:lang w:eastAsia="en-IN"/>
          <w14:ligatures w14:val="none"/>
        </w:rPr>
        <w:t>labor</w:t>
      </w:r>
      <w:proofErr w:type="spellEnd"/>
      <w:r w:rsidRPr="004D3A3A">
        <w:rPr>
          <w:rFonts w:ascii="Arial" w:eastAsia="Times New Roman" w:hAnsi="Arial" w:cs="Arial"/>
          <w:kern w:val="0"/>
          <w:lang w:eastAsia="en-IN"/>
          <w14:ligatures w14:val="none"/>
        </w:rPr>
        <w:t xml:space="preserve">, and air-quality gains </w:t>
      </w:r>
      <w:proofErr w:type="spellStart"/>
      <w:r w:rsidRPr="004D3A3A">
        <w:rPr>
          <w:rFonts w:ascii="Arial" w:eastAsia="Times New Roman" w:hAnsi="Arial" w:cs="Arial"/>
          <w:kern w:val="0"/>
          <w:lang w:eastAsia="en-IN"/>
          <w14:ligatures w14:val="none"/>
        </w:rPr>
        <w:t>where</w:t>
      </w:r>
      <w:proofErr w:type="spellEnd"/>
      <w:r w:rsidRPr="004D3A3A">
        <w:rPr>
          <w:rFonts w:ascii="Arial" w:eastAsia="Times New Roman" w:hAnsi="Arial" w:cs="Arial"/>
          <w:kern w:val="0"/>
          <w:lang w:eastAsia="en-IN"/>
          <w14:ligatures w14:val="none"/>
        </w:rPr>
        <w:t xml:space="preserve"> burning is displaced. Overall, circular bioeconomy strategies can deliver meaningful, verifiable mitigation while enhancing soil health and resilience. Realizing </w:t>
      </w:r>
      <w:proofErr w:type="gramStart"/>
      <w:r w:rsidRPr="004D3A3A">
        <w:rPr>
          <w:rFonts w:ascii="Arial" w:eastAsia="Times New Roman" w:hAnsi="Arial" w:cs="Arial"/>
          <w:kern w:val="0"/>
          <w:lang w:eastAsia="en-IN"/>
          <w14:ligatures w14:val="none"/>
        </w:rPr>
        <w:t>this potential hinges</w:t>
      </w:r>
      <w:proofErr w:type="gramEnd"/>
      <w:r w:rsidRPr="004D3A3A">
        <w:rPr>
          <w:rFonts w:ascii="Arial" w:eastAsia="Times New Roman" w:hAnsi="Arial" w:cs="Arial"/>
          <w:kern w:val="0"/>
          <w:lang w:eastAsia="en-IN"/>
          <w14:ligatures w14:val="none"/>
        </w:rPr>
        <w:t xml:space="preserve"> on integrating agronomy with rigorous accounting and on aligning finance and policy with the practical realities of farms and supply chains.</w:t>
      </w:r>
    </w:p>
    <w:p w14:paraId="21EFEBFB" w14:textId="1AF8CC05" w:rsidR="0011082E" w:rsidRPr="004D3A3A" w:rsidRDefault="0011082E" w:rsidP="008E3145">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b/>
          <w:bCs/>
          <w:kern w:val="0"/>
          <w:lang w:eastAsia="en-IN"/>
          <w14:ligatures w14:val="none"/>
        </w:rPr>
        <w:t>Keywords:</w:t>
      </w:r>
      <w:r w:rsidRPr="004D3A3A">
        <w:rPr>
          <w:rFonts w:ascii="Arial" w:eastAsia="Times New Roman" w:hAnsi="Arial" w:cs="Arial"/>
          <w:kern w:val="0"/>
          <w:lang w:eastAsia="en-IN"/>
          <w14:ligatures w14:val="none"/>
        </w:rPr>
        <w:t xml:space="preserve"> circular bioeconomy; crop residues; compost; anaerobic digestion; digestate; biochar; carbon dioxide removal; methane; nitrous oxide; MRV</w:t>
      </w:r>
    </w:p>
    <w:p w14:paraId="0C3CC89D" w14:textId="77777777" w:rsidR="0011082E" w:rsidRPr="004D3A3A" w:rsidRDefault="00EC6484" w:rsidP="0011082E">
      <w:pPr>
        <w:spacing w:after="0" w:line="240" w:lineRule="auto"/>
        <w:rPr>
          <w:rFonts w:ascii="Arial" w:eastAsia="Times New Roman" w:hAnsi="Arial" w:cs="Arial"/>
          <w:kern w:val="0"/>
          <w:lang w:eastAsia="en-IN"/>
          <w14:ligatures w14:val="none"/>
        </w:rPr>
      </w:pPr>
      <w:r>
        <w:rPr>
          <w:rFonts w:ascii="Arial" w:eastAsia="Times New Roman" w:hAnsi="Arial" w:cs="Arial"/>
          <w:kern w:val="0"/>
          <w:lang w:eastAsia="en-IN"/>
          <w14:ligatures w14:val="none"/>
        </w:rPr>
        <w:pict w14:anchorId="4BF1A9A2">
          <v:rect id="_x0000_i1025" style="width:0;height:1.5pt" o:hralign="center" o:hrstd="t" o:hr="t" fillcolor="#a0a0a0" stroked="f"/>
        </w:pict>
      </w:r>
    </w:p>
    <w:p w14:paraId="12E8ED01" w14:textId="77777777" w:rsidR="0011082E" w:rsidRPr="004D3A3A" w:rsidRDefault="0011082E" w:rsidP="0011082E">
      <w:pPr>
        <w:spacing w:before="100" w:beforeAutospacing="1" w:after="100" w:afterAutospacing="1" w:line="240" w:lineRule="auto"/>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1. Introduction</w:t>
      </w:r>
    </w:p>
    <w:p w14:paraId="16F63C2D"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1.1. Rationale and conceptual framing</w:t>
      </w:r>
    </w:p>
    <w:p w14:paraId="7F6F52BA" w14:textId="09B47582"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The circular bioeconomy positions biological resources and by-products as inputs to regenerative loops that minimize virgin resource use, waste, and emissions across production systems. In agriculture, this framing reclassifies crop residues, manures, and </w:t>
      </w:r>
      <w:r w:rsidRPr="004D3A3A">
        <w:rPr>
          <w:rFonts w:ascii="Arial" w:eastAsia="Times New Roman" w:hAnsi="Arial" w:cs="Arial"/>
          <w:kern w:val="0"/>
          <w:lang w:eastAsia="en-IN"/>
          <w14:ligatures w14:val="none"/>
        </w:rPr>
        <w:lastRenderedPageBreak/>
        <w:t>processing by-products as climate-relevant assets that can substitute fossil-intensive inputs, restore soil function, and cut greenhouse-gas (GHG) emissions when managed with appropriate technologies and measurement, reporting, and verification (MRV). Conceptually, it builds on the circular economy paradigm—closing material and energy loops to reduce throughput—while extending it to biogenic carbon cycles and land-based sinks (</w:t>
      </w:r>
      <w:proofErr w:type="spellStart"/>
      <w:r w:rsidRPr="004D3A3A">
        <w:rPr>
          <w:rFonts w:ascii="Arial" w:eastAsia="Times New Roman" w:hAnsi="Arial" w:cs="Arial"/>
          <w:kern w:val="0"/>
          <w:lang w:eastAsia="en-IN"/>
          <w14:ligatures w14:val="none"/>
        </w:rPr>
        <w:t>Geissdoerfer</w:t>
      </w:r>
      <w:proofErr w:type="spellEnd"/>
      <w:r w:rsidRPr="004D3A3A">
        <w:rPr>
          <w:rFonts w:ascii="Arial" w:eastAsia="Times New Roman" w:hAnsi="Arial" w:cs="Arial"/>
          <w:kern w:val="0"/>
          <w:lang w:eastAsia="en-IN"/>
          <w14:ligatures w14:val="none"/>
        </w:rPr>
        <w:t xml:space="preserve"> et al., 2017; Kirchherr et al., 2017). Recent perspectives argue that agriculture’s circular bioeconomy will scale where policy and markets reward verified environmental outcomes alongside resource efficiency and farm profitability (Khanna et al., 2024). </w:t>
      </w:r>
    </w:p>
    <w:p w14:paraId="6CC5953D"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1.2. Climate problem and mitigation levers in farming</w:t>
      </w:r>
    </w:p>
    <w:p w14:paraId="72FB461C" w14:textId="6B0CBFBC"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Agriculture’s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gases—methane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and nitrous oxide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O)—arise from microbial pathways sensitive to oxygen status, substrate supply, and nitrogen (N) management, making residue and organic-matter handling pivotal to mitigation. Three intervention pillars dominate recent evidence. First, diverting residues from open burning and unmanaged anaerobic decay toward controlled aerobic composting reduces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and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when aeration, moisture, and carbon-to-nitrogen (</w:t>
      </w:r>
      <w:proofErr w:type="gramStart"/>
      <w:r w:rsidRPr="004D3A3A">
        <w:rPr>
          <w:rFonts w:ascii="Arial" w:eastAsia="Times New Roman" w:hAnsi="Arial" w:cs="Arial"/>
          <w:kern w:val="0"/>
          <w:lang w:eastAsia="en-IN"/>
          <w14:ligatures w14:val="none"/>
        </w:rPr>
        <w:t>C:N</w:t>
      </w:r>
      <w:proofErr w:type="gramEnd"/>
      <w:r w:rsidRPr="004D3A3A">
        <w:rPr>
          <w:rFonts w:ascii="Arial" w:eastAsia="Times New Roman" w:hAnsi="Arial" w:cs="Arial"/>
          <w:kern w:val="0"/>
          <w:lang w:eastAsia="en-IN"/>
          <w14:ligatures w14:val="none"/>
        </w:rPr>
        <w:t>) ratios are well managed (Nordahl et al., 2023). Second, re-routing wet organic streams through anaerobic digestion (AD) captures biogas while returning nutrients via digestate; climate outcomes depend on tight containment to avoid fugitive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and agronomic placement of digestate to limit N losses (Launay et al., 2022). Third, in rice and other flooded systems, integrating residue strategies with water management (for example, non-continuous flooding) is decisive for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control (Qian et al., 2023). Complementing these, biochar—produced by pyrolysis of biomass—offers a durable carbon sink that can also modulate soil conditions affecting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and nitrate (NO</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leaching (Lehmann et al., 2021; Borchard et al., 2019). </w:t>
      </w:r>
    </w:p>
    <w:p w14:paraId="2CBD913D"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1.3. Why a critical review now</w:t>
      </w:r>
    </w:p>
    <w:p w14:paraId="7F79AEBE" w14:textId="63248263"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Deployment activity is accelerating: new syntheses quantify biochar’s carbon-removal potential and abatement costs at national scales; meta-analyses refine our understanding of how composts, digestates, and biochar affect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gases; and MRV methods are increasingly codified for inventories and carbon programs. For example, a spatially explicit assessment in China estimates a very large negative-emissions potential for biochar under sustainable feedstock supply and realistic logistics, highlighting both opportunity and the need for integrity safeguards (Deng et al., 2024). At the same time, systematic reviews of composting document strong process-control leverage on emissions (Nordahl et al., 2023), while residue-focused meta-analyses clarify when and how residue incorporation elevates or mitigates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O—and which management choices reverse that effect (Abalos et al., 2022). A global dataset now aggregates 891 biochar experiments across soils and climates, enabling context-specific inferences about yields, soil properties, and GHG responses (Li et al., 2024). Finally, a recent synthesis ranks organic-matter strategies for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mitigation, underscoring the strong role of material quality (e.g., high </w:t>
      </w:r>
      <w:proofErr w:type="gramStart"/>
      <w:r w:rsidRPr="004D3A3A">
        <w:rPr>
          <w:rFonts w:ascii="Arial" w:eastAsia="Times New Roman" w:hAnsi="Arial" w:cs="Arial"/>
          <w:kern w:val="0"/>
          <w:lang w:eastAsia="en-IN"/>
          <w14:ligatures w14:val="none"/>
        </w:rPr>
        <w:t>C:N</w:t>
      </w:r>
      <w:proofErr w:type="gramEnd"/>
      <w:r w:rsidRPr="004D3A3A">
        <w:rPr>
          <w:rFonts w:ascii="Arial" w:eastAsia="Times New Roman" w:hAnsi="Arial" w:cs="Arial"/>
          <w:kern w:val="0"/>
          <w:lang w:eastAsia="en-IN"/>
          <w14:ligatures w14:val="none"/>
        </w:rPr>
        <w:t xml:space="preserve">) and the context dependence of outcomes (Valkama et al., 2024). Together, these advances warrant a critical, integrative appraisal that bridges agronomy, carbon accounting, and policy design. </w:t>
      </w:r>
    </w:p>
    <w:p w14:paraId="7A31AA34"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1.4. Scope, boundaries, and definitions used in this article</w:t>
      </w:r>
    </w:p>
    <w:p w14:paraId="5E5B7E68" w14:textId="0AAAE9CF"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This review focuses on three high-leverage pathways within farm and near-farm boundaries: (</w:t>
      </w:r>
      <w:proofErr w:type="spellStart"/>
      <w:r w:rsidRPr="004D3A3A">
        <w:rPr>
          <w:rFonts w:ascii="Arial" w:eastAsia="Times New Roman" w:hAnsi="Arial" w:cs="Arial"/>
          <w:kern w:val="0"/>
          <w:lang w:eastAsia="en-IN"/>
          <w14:ligatures w14:val="none"/>
        </w:rPr>
        <w:t>i</w:t>
      </w:r>
      <w:proofErr w:type="spellEnd"/>
      <w:r w:rsidRPr="004D3A3A">
        <w:rPr>
          <w:rFonts w:ascii="Arial" w:eastAsia="Times New Roman" w:hAnsi="Arial" w:cs="Arial"/>
          <w:kern w:val="0"/>
          <w:lang w:eastAsia="en-IN"/>
          <w14:ligatures w14:val="none"/>
        </w:rPr>
        <w:t xml:space="preserve">) residue recycling—composting, AD with digestate utilization, and agronomic in-field retention that explicitly displaces open burning; (ii) biochar systems—from feedstock sourcing and pyrolysis to field application and durability; and (iii) climate-oriented management of organic amendments—composts, manures, and digestates—optimized for yield and emission intensity. We adopt life-cycle boundaries that (a) credit durable carbon storage (e.g., biochar’s long residence time relative to uncharred biomass), (b) include </w:t>
      </w:r>
      <w:r w:rsidRPr="004D3A3A">
        <w:rPr>
          <w:rFonts w:ascii="Arial" w:eastAsia="Times New Roman" w:hAnsi="Arial" w:cs="Arial"/>
          <w:kern w:val="0"/>
          <w:lang w:eastAsia="en-IN"/>
          <w14:ligatures w14:val="none"/>
        </w:rPr>
        <w:lastRenderedPageBreak/>
        <w:t>process energy and transport, (c) account for avoided emissions (e.g., displaced open burning, reduced mineral fertilizer manufacture, captured manure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and (d) recognize energy co-products (biogas; pyrolysis heat/power). We emphasize integrity conditions—additionality, leakage, double counting, and permanence—because these determine whether mitigation is real and financeable. For biochar accounting, we reference the empirically grounded Greenhouse Gas Inventory model and the associated scientific synthesis that link mitigation claims to measurable material properties (e.g.,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and application contexts (Woolf et al., 2021; Lehmann et al., 2021). </w:t>
      </w:r>
    </w:p>
    <w:p w14:paraId="770D3CCF"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1.5. Objectives and contributions</w:t>
      </w:r>
    </w:p>
    <w:p w14:paraId="51E2DA04" w14:textId="77777777" w:rsidR="00B52C09"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The objective of this article is threefold. First, we synthesize peer-reviewed evidence from the past decade on the mitigation performance of residue recycling, biochar, and organic-amendment strategies, with attention to agronomic co-benefits and trade-offs. Second, we critically evaluate life-cycle and MRV considerations that determine environmental integrity and creditability, clarifying how boundaries and baselines shape results. Third, we translate the science into decision-relevant guidance—identifying contexts where each pathway performs best, highlighting enabling policies and infrastructure, and outlining a near-term research agenda to close priority evidence gaps. Throughout, we avoid mathematical formalism and instead emphasize operational levers and verifiable indicators that practitioners, programs, and policymakers can adopt. The intended contribution is a consolidated, practice-aware evidence base that helps align farm management, carbon accounting, and policy in pursuit of a high-integrity circular bioeconomy in farming (Khanna et al., 2024; Qian et al., 2023; Nordahl et al., 2023; Abalos et al., 2022; Li et al., 2024; Valkama et al., 2024; Woolf et al., 2021; Lehmann et al., 2021).</w:t>
      </w:r>
    </w:p>
    <w:p w14:paraId="61472E63" w14:textId="77777777" w:rsidR="00F66588" w:rsidRPr="00F66588" w:rsidRDefault="00F66588" w:rsidP="00F66588">
      <w:pPr>
        <w:spacing w:before="100" w:beforeAutospacing="1" w:after="100" w:afterAutospacing="1" w:line="240" w:lineRule="auto"/>
        <w:rPr>
          <w:rFonts w:ascii="Arial" w:eastAsia="Times New Roman" w:hAnsi="Arial" w:cs="Arial"/>
          <w:b/>
          <w:bCs/>
          <w:kern w:val="0"/>
          <w:lang w:eastAsia="en-IN"/>
          <w14:ligatures w14:val="none"/>
        </w:rPr>
      </w:pPr>
      <w:r w:rsidRPr="00F66588">
        <w:rPr>
          <w:rFonts w:ascii="Arial" w:eastAsia="Times New Roman" w:hAnsi="Arial" w:cs="Arial"/>
          <w:b/>
          <w:bCs/>
          <w:kern w:val="0"/>
          <w:lang w:eastAsia="en-IN"/>
          <w14:ligatures w14:val="none"/>
        </w:rPr>
        <w:t>1.6. Methods for literature selection</w:t>
      </w:r>
    </w:p>
    <w:p w14:paraId="43F451A9" w14:textId="523548AD" w:rsidR="00F66588" w:rsidRPr="004D3A3A" w:rsidRDefault="00F66588" w:rsidP="00F66588">
      <w:pPr>
        <w:spacing w:before="100" w:beforeAutospacing="1" w:after="100" w:afterAutospacing="1" w:line="240" w:lineRule="auto"/>
        <w:rPr>
          <w:rFonts w:ascii="Arial" w:eastAsia="Times New Roman" w:hAnsi="Arial" w:cs="Arial"/>
          <w:kern w:val="0"/>
          <w:lang w:eastAsia="en-IN"/>
          <w14:ligatures w14:val="none"/>
        </w:rPr>
      </w:pPr>
      <w:r w:rsidRPr="00F66588">
        <w:rPr>
          <w:rFonts w:ascii="Arial" w:eastAsia="Times New Roman" w:hAnsi="Arial" w:cs="Arial"/>
          <w:kern w:val="0"/>
          <w:lang w:eastAsia="en-IN"/>
          <w14:ligatures w14:val="none"/>
        </w:rPr>
        <w:t>This article is a critical narrative review based primarily on peer-reviewed journal literature. We identified studies through structured searches in Web of Science, Scopus and Google Scholar between 2010 and mid-2024, supplemented by targeted snowballing from reference lists of key syntheses. Search strings combined terms for the three focal pathways (“compost*”, “aerobic composting”, “anaerobic digestion”, “digestate”, “crop residue*”, “straw return”, “biochar”) with terms describing climate and soil outcomes (“greenhouse gas*”, “methane”, “nitrous oxide”, “soil organic carbon”, “life cycle assessment”, “MRV”, “carbon credit*”, “carbon market*”) and farming systems (“</w:t>
      </w:r>
      <w:proofErr w:type="spellStart"/>
      <w:r w:rsidRPr="00F66588">
        <w:rPr>
          <w:rFonts w:ascii="Arial" w:eastAsia="Times New Roman" w:hAnsi="Arial" w:cs="Arial"/>
          <w:kern w:val="0"/>
          <w:lang w:eastAsia="en-IN"/>
          <w14:ligatures w14:val="none"/>
        </w:rPr>
        <w:t>agricultur</w:t>
      </w:r>
      <w:proofErr w:type="spellEnd"/>
      <w:r w:rsidRPr="00F66588">
        <w:rPr>
          <w:rFonts w:ascii="Arial" w:eastAsia="Times New Roman" w:hAnsi="Arial" w:cs="Arial"/>
          <w:kern w:val="0"/>
          <w:lang w:eastAsia="en-IN"/>
          <w14:ligatures w14:val="none"/>
        </w:rPr>
        <w:t>*”, “cropland”, “rice”, “smallholder”). Search queries were adapted for each database to capture both empirical and synthesis work. We prioritised meta-analyses, systematic reviews, large datasets and life-cycle assessments, alongside field-scale and longer-term experiments that reported quantitative outcomes for greenhouse-gas fluxes, soil organic carbon, yields, or air-quality co-benefits. Engineering and laboratory studies were included where they clarified process-level controls (e.g., composting dynamics, pyrolysis conditions, leak detection and repair) or informed measurement, reporting and verification (MRV) design; conference abstracts, non-peer-reviewed reports and purely conceptual pieces were generally excluded. The primary focus was agriculture and near-farm systems; studies from forestry or municipal waste management were retained only when their methods or findings were clearly transferable to farm-level circular bioeconomy interventions. The review is restricted to English-language publications. Where evidence is geographically or system-wise uneven, we explicitly acknowledge those gaps in later sections and avoid generalising beyond the contexts represented in the underlying studies.</w:t>
      </w:r>
    </w:p>
    <w:p w14:paraId="7B28056B" w14:textId="77777777" w:rsidR="0011082E" w:rsidRPr="004D3A3A" w:rsidRDefault="0011082E" w:rsidP="0011082E">
      <w:pPr>
        <w:spacing w:before="100" w:beforeAutospacing="1" w:after="100" w:afterAutospacing="1" w:line="240" w:lineRule="auto"/>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2. Circular bioeconomy pathways and system boundaries</w:t>
      </w:r>
    </w:p>
    <w:p w14:paraId="4B0BEB45"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2.1. Purpose and scope of this section</w:t>
      </w:r>
    </w:p>
    <w:p w14:paraId="234D8A10" w14:textId="59D85582"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lastRenderedPageBreak/>
        <w:t xml:space="preserve">This section defines the three mitigation-relevant pathways emphasized in this article—residue recycling, biochar systems, and climate-oriented organic amendments—and specifies the system boundaries, baselines, and accounting choices needed to compare them on a common, decision-relevant footing. It complements the Introduction by translating the circular bioeconomy concept into operational categories, clarifying what flows to include (emissions, energy, materials), how to credit co-products and avoided impacts, and which durability and additionality conditions determine whether claimed climate benefits are robust and financeable (Khanna et al., 2024; Woolf et al., 2021; Lehmann et al., 2021). </w:t>
      </w:r>
    </w:p>
    <w:p w14:paraId="70B6530A"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2.2. Pathways and core processes</w:t>
      </w:r>
    </w:p>
    <w:p w14:paraId="1D9C8E90" w14:textId="5B55359D"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Residue recycling, as used here, covers aerobic composting, anaerobic digestion (AD) with controlled storage and field use of digestate, and in-field retention that explicitly displaces open burning or unmanaged decay. Composting’s climate profile is governed by aeration, moisture, porosity, and carbon-to-nitrogen management, which together shape methane, nitrous oxide, and ammonia fluxes (Nordahl et al., 2023). AD captures biogas from wet organic streams but requires tight containment to avoid fugitive methane and agronomic timing/placement of digestate to minimize downstream gaseous losses (Launay et al., 2022). In flooded systems such as rice, residue handling interacts strongly with water management, so mitigation assessments must treat them jointly (Qian et al., 2023). Biochar systems convert a portion of biomass carbon into aromatized structures with long residence times; their mitigation logic combines durable carbon storage with effects on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gases and possible energy co-products (Lehmann et al., 2021). </w:t>
      </w:r>
    </w:p>
    <w:p w14:paraId="1A15DB65"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2.3. Functional unit, reference system, and counterfactuals</w:t>
      </w:r>
    </w:p>
    <w:p w14:paraId="538E6431" w14:textId="6EF6BC9F"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Comparing pathways requires a clearly defined functional unit (e.g., “per tonne of dry residue managed” or “per hectare per season”) and an explicit reference system describing what would otherwise happen to the same biomass and nutrients. Classic biochar and residue life-cycle assessments show that results pivot on counterfactual fates—open burning, unmanaged anaerobic decay, combustion for energy, or landfilling—as well as on what products are displaced (heat, electricity, mineral fertilizers) (Roberts et al., 2010; Peters et al., 2015). For rice systems, where most emissions are methane, the baseline must represent prevailing flooding practices; otherwise, mitigation from residue or biochar interventions may be overstated if water management changes are assumed implicitly rather than credited transparently (Qian et al., 2023). </w:t>
      </w:r>
    </w:p>
    <w:p w14:paraId="18A695FA"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2.4. System boundaries and included flows</w:t>
      </w:r>
    </w:p>
    <w:p w14:paraId="49D45A0F" w14:textId="0AAF11E2"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Cradle-to-farm-gate system boundaries should include feedstock mobilization and transport; preprocessing and storage; conversion (composting or pyrolysis or digestion) with all process emissions; product conditioning, transport, and field application; and end-of-life where relevant. Accounting must cover direct greenhouse gases (CO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precursor emissions affecting air quality, energy and material inputs, and changes in soil carbon. For biochar, boundaries also include the durable carbon stored in soils or materials and the energy/heat co-products from pyrolysis; these elements are captured in current inventory models designed for national inventories and carbon programs (Woolf et al., 2021). Composting boundaries must capture how process control shifts methane and nitrous oxide, and whether any additives (e.g., structural bulking, biochar) lower losses during stabilization (Nordahl et al., 2023). </w:t>
      </w:r>
    </w:p>
    <w:p w14:paraId="728FBACD"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2.5. Co-products, substitution credits, and allocation choices</w:t>
      </w:r>
    </w:p>
    <w:p w14:paraId="0EFE4402" w14:textId="794DB0CA"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lastRenderedPageBreak/>
        <w:t xml:space="preserve">Circular bioeconomy interventions generate multiple functions: stabilized organic amendments that displace mineral fertilizers; renewable energy from biogas or pyrolysis; and durable carbon storage where biochar is produced and applied. Life-cycle studies have long shown that how one treats these co-products—system expansion via substitution credits versus allocation among outputs—can flip the sign and magnitude of net benefits (Roberts et al., 2010; Peters et al., 2015). Transparent reporting should therefore state which reference technologies are displaced (e.g., grid electricity mix, marginal fertilizer production) and use sensitivity analysis to bracket results. In practice, substitution methods are preferable when a clear market displacement exists, whereas allocation may be warranted when co-products serve diffuse or non-energy functions. </w:t>
      </w:r>
    </w:p>
    <w:p w14:paraId="4B83CC2E"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2.6. Baselines, additionality, leakage, and double counting</w:t>
      </w:r>
    </w:p>
    <w:p w14:paraId="1A3CD72E" w14:textId="34841D3C"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Integrity depends on conservative baselines that reflect locally prevalent practices and realistic adoption constraints. For residue management, meta-analysis indicates that simple incorporation can elevate nitrous oxide, but specific practices—co-application with high-</w:t>
      </w:r>
      <w:proofErr w:type="gramStart"/>
      <w:r w:rsidRPr="004D3A3A">
        <w:rPr>
          <w:rFonts w:ascii="Arial" w:eastAsia="Times New Roman" w:hAnsi="Arial" w:cs="Arial"/>
          <w:kern w:val="0"/>
          <w:lang w:eastAsia="en-IN"/>
          <w14:ligatures w14:val="none"/>
        </w:rPr>
        <w:t>C:N</w:t>
      </w:r>
      <w:proofErr w:type="gramEnd"/>
      <w:r w:rsidRPr="004D3A3A">
        <w:rPr>
          <w:rFonts w:ascii="Arial" w:eastAsia="Times New Roman" w:hAnsi="Arial" w:cs="Arial"/>
          <w:kern w:val="0"/>
          <w:lang w:eastAsia="en-IN"/>
          <w14:ligatures w14:val="none"/>
        </w:rPr>
        <w:t xml:space="preserve"> materials, shallow incorporation, or pre-treatment via digestion or pyrolysis—can reverse this effect; such evidence should inform baseline and project scenarios (Abalos et al., 2022). Additionality requires demonstrating that interventions are not mandated nor common practice, while leakage assessments must consider displacement of residues to competing uses. Double counting can arise if the same avoided burning is credited both in waste and in agriculture or if energy displacement is claimed by multiple actors; explicit reference systems, as in recent inventory and LCA studies, help prevent this (Woolf et al., 2021; Roberts et al., 2010). </w:t>
      </w:r>
    </w:p>
    <w:p w14:paraId="2B17CAB7"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2.7. Permanence and durability of stored carbon</w:t>
      </w:r>
    </w:p>
    <w:p w14:paraId="4AC8A180" w14:textId="4B625758"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Biochar’s distinct contribution lies in its extended residence time relative to uncharred biomass. Synthesis across soils and climates shows that aromaticity and related material properties (e.g.,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underpin centennial-to-millennial persistence, justifying durable storage credits when biochar is placed in soils or materials; however, programs must guard against over-crediting by using conservative decay parameters and discounting where uncertainty is high (Lehmann et al., 2021). Inventory models provide parameterizations to translate measured or specified material properties into persistence estimates and to integrate them with supply-chain emissions (Woolf et al., 2021). </w:t>
      </w:r>
    </w:p>
    <w:p w14:paraId="0DE88F3C"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2.8. Data needs and MRV implications</w:t>
      </w:r>
    </w:p>
    <w:p w14:paraId="2DCB9B35" w14:textId="16BDAEED"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Operational MRV should prioritize a small set of high-leverage inputs that drive variance in results. For composting and AD, these include aeration/mixing regimes, moisture, temperature histories, storage times, and fugitive-methane controls; for biochar, fuel/energy use, reactor conditions, yields, and measured or specified quality parameters feed persistence and agronomic effect modules (Nordahl et al., 2023; Woolf et al., 2021). Where emissions emerge from strongly interactive systems—such as residue handling in flooded rice—MRV should link management records to water-table dynamics to avoid misattribution and to ensure that co-mitigation from irrigation changes is credited transparently (Qian et al., 2023). Emerging syntheses and datasets aggregating hundreds of biochar experiments provide priors to parameterize local guidance while uncertainty is narrowed by site-specific monitoring (Li et al., 2024). </w:t>
      </w:r>
    </w:p>
    <w:p w14:paraId="770E12BF" w14:textId="77777777" w:rsidR="00B52C09" w:rsidRPr="004D3A3A" w:rsidRDefault="00B52C09" w:rsidP="00B52C09">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2.9. Implications for the rest of the article</w:t>
      </w:r>
    </w:p>
    <w:p w14:paraId="71F22910" w14:textId="77777777" w:rsidR="00B52C09" w:rsidRPr="004D3A3A" w:rsidRDefault="00B52C09" w:rsidP="00B52C09">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By fixing pathway definitions, reference systems, and accounting rules, this section establishes the common frame used in the remainder of the review to compare mitigation </w:t>
      </w:r>
      <w:r w:rsidRPr="004D3A3A">
        <w:rPr>
          <w:rFonts w:ascii="Arial" w:eastAsia="Times New Roman" w:hAnsi="Arial" w:cs="Arial"/>
          <w:kern w:val="0"/>
          <w:lang w:eastAsia="en-IN"/>
          <w14:ligatures w14:val="none"/>
        </w:rPr>
        <w:lastRenderedPageBreak/>
        <w:t xml:space="preserve">leverage, co-benefits, and costs across residue recycling, biochar, and organic-amendment strategies. Subsequent sections therefore interpret effect sizes and policy options only within these explicit boundaries, with attention to additionality, leakage, and durability as central criteria for scientific validity and market credibility (Deng et al., 2024; Khanna et al., 2024). </w:t>
      </w:r>
    </w:p>
    <w:p w14:paraId="5AA011BB" w14:textId="77777777" w:rsidR="00FB52CE" w:rsidRPr="004D3A3A" w:rsidRDefault="00FB52CE" w:rsidP="00FB52CE">
      <w:pPr>
        <w:spacing w:before="100" w:beforeAutospacing="1" w:after="100" w:afterAutospacing="1" w:line="240" w:lineRule="auto"/>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3. Residue recycling: composting, digestion, and in-field retention</w:t>
      </w:r>
    </w:p>
    <w:p w14:paraId="49D5208E"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This section evaluates three principal residue-recycling pathways—thermophilic composting, anaerobic digestion with land application of digestate, and in-field retention of crop residues—through the lens of climate mitigation, nutrient cycling, and agronomic co-benefits. Our objective is to synthesise recent evidence on greenhouse-gas (GHG) fluxes, air-quality externalities, nutrient conservation, and practical design levers that determine performance at field and farm scale. We emphasise management choices that consistently reduce methane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and nitrous oxide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without compromising soil organic carbon (SOC) accrual or yields, and we flag operational trade-offs and measurement, reporting and verification (MRV) implications for program design (Nordahl et al., 2023; Abalos et al., 2022).</w:t>
      </w:r>
    </w:p>
    <w:p w14:paraId="104EB776" w14:textId="77777777" w:rsidR="00FB52CE" w:rsidRPr="004D3A3A" w:rsidRDefault="00FB52CE" w:rsidP="00FB52C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3.1 Composting: design levers, emissions profiles and nutrient conservation</w:t>
      </w:r>
    </w:p>
    <w:p w14:paraId="36E0F579"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Composting stabilises heterogeneous organics into a humified, pathogen-safe amendment, but it is also an active source of GHGs and air pollutants if mismanaged. A recent critical review shows that the dominant climate forcing during composting depends on feedstock: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tends to dominate for yard wastes under anoxic </w:t>
      </w:r>
      <w:proofErr w:type="spellStart"/>
      <w:r w:rsidRPr="004D3A3A">
        <w:rPr>
          <w:rFonts w:ascii="Arial" w:eastAsia="Times New Roman" w:hAnsi="Arial" w:cs="Arial"/>
          <w:kern w:val="0"/>
          <w:lang w:eastAsia="en-IN"/>
          <w14:ligatures w14:val="none"/>
        </w:rPr>
        <w:t>microzones</w:t>
      </w:r>
      <w:proofErr w:type="spellEnd"/>
      <w:r w:rsidRPr="004D3A3A">
        <w:rPr>
          <w:rFonts w:ascii="Arial" w:eastAsia="Times New Roman" w:hAnsi="Arial" w:cs="Arial"/>
          <w:kern w:val="0"/>
          <w:lang w:eastAsia="en-IN"/>
          <w14:ligatures w14:val="none"/>
        </w:rPr>
        <w:t>, while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dominates for nitrogen-rich wastes such as manures and mixed municipal organics; ammonia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and volatile organics also matter for air quality (Nordahl et al., 2023). Management levers that repeatedly lower emissions include maintaining porosity and oxygen supply (e.g., adequate bulking and turning), optimising moisture (to avoid both desiccation and waterlogging), and using forced aeration judiciously—with the caveat that aggressive aeration can increase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if not paired with capture/acidification strategies (Nordahl et al., 2023).</w:t>
      </w:r>
    </w:p>
    <w:p w14:paraId="6F35E0FF"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Carbon-smart amendments can shift this balance. Co-composting with wood-derived biochar has emerged as a robust option to suppress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“hot spots,” adsorb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and improve pile aeration and thermal stability, delivering lower process-stage GHG intensity and higher nitrogen retention in the finished compost (Harrison et al., 2022; Gao et al., 2023). Field application of biochar co-compost, compared to compost alone, has been shown to reduce cumulative soil-stage 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-equivalent emissions per unit biomass produced, while improving water-holding capacity and plant growth, indicating climate benefits that persist beyond the windrow (Gao et al., 2023). These findings suggest two practical rules for climate-aligned composting: first, design the pile (</w:t>
      </w:r>
      <w:proofErr w:type="gramStart"/>
      <w:r w:rsidRPr="004D3A3A">
        <w:rPr>
          <w:rFonts w:ascii="Arial" w:eastAsia="Times New Roman" w:hAnsi="Arial" w:cs="Arial"/>
          <w:kern w:val="0"/>
          <w:lang w:eastAsia="en-IN"/>
          <w14:ligatures w14:val="none"/>
        </w:rPr>
        <w:t>C:N</w:t>
      </w:r>
      <w:proofErr w:type="gramEnd"/>
      <w:r w:rsidRPr="004D3A3A">
        <w:rPr>
          <w:rFonts w:ascii="Arial" w:eastAsia="Times New Roman" w:hAnsi="Arial" w:cs="Arial"/>
          <w:kern w:val="0"/>
          <w:lang w:eastAsia="en-IN"/>
          <w14:ligatures w14:val="none"/>
        </w:rPr>
        <w:t>, porosity, moisture) to minimise anoxia; second, if feasible, co-compost a moderate fraction of high-surface-area biochar to both lower process emissions and produce an agronomically efficient amendment (Harrison et al., 2022; Gao et al., 2023; Nordahl et al., 2023).</w:t>
      </w:r>
    </w:p>
    <w:p w14:paraId="01057FC4"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From an MRV standpoint, reported emission factors span orders of magnitude because small differences in aeration, moisture, and feedstock reactivity cascade into large changes in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and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Programs therefore need to either enforce performance-based operating conditions (e.g., moisture windows, bulking targets, minimum oxygen levels) or adopt tiered factors that reflect site-specific controls such as biochar co-composting and covered/forced-aeration systems (Nordahl et al., 2023).</w:t>
      </w:r>
    </w:p>
    <w:p w14:paraId="4B032FAF" w14:textId="77777777" w:rsidR="00FB52CE" w:rsidRPr="004D3A3A" w:rsidRDefault="00FB52CE" w:rsidP="00FB52C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3.2 Anaerobic digestion and land application of digestate</w:t>
      </w:r>
    </w:p>
    <w:p w14:paraId="5449303B"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Anaerobic digestion (AD) converts easily degradable carbon in residues and manures into biogas, displacing fossil energy while reducing the potential for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during storage and field </w:t>
      </w:r>
      <w:r w:rsidRPr="004D3A3A">
        <w:rPr>
          <w:rFonts w:ascii="Arial" w:eastAsia="Times New Roman" w:hAnsi="Arial" w:cs="Arial"/>
          <w:kern w:val="0"/>
          <w:lang w:eastAsia="en-IN"/>
          <w14:ligatures w14:val="none"/>
        </w:rPr>
        <w:lastRenderedPageBreak/>
        <w:t>application of raw manures. However, system-level benefits depend on controlling “non-intentional” methane—diffuse leaks (“methane slip”) from digesters, gas handling and storage—that can erode or even negate climate gains (Baldé et al., 2022). Tracer-release and open-path measurements at full-scale biogas facilities show that fugitive emissions vary widely across plants, underscoring the need for rigorous leak detection and repair (LDAR), covered storages, and tight gas utilisation chains as integral parts of climate-credible AD deployment (Baldé et al., 2022).</w:t>
      </w:r>
    </w:p>
    <w:p w14:paraId="16CC1CB4"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On the nutrient side, digestate is more mineral-N rich (especially ammonium) and thus more plant-available than the parent feedstock, but also more prone to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loss if surface-applied under warm, alkaline conditions. Proven mitigation options include immediate incorporation/injection, use of acidified digestate, and application under cool, humid conditions. Full-scale acidification of pig slurry/digestate has demonstrated simultaneous reductions in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and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during storage and after spreading, translating into more nitrogen conserved for crops and lower climate impacts (Lemes et al., 2022). Systems reviews further conclude that AD—when combined with good storage and field practices—can deliver agronomic and environmental benefits with manageable risks related to contaminants, provided digestate quality is monitored and application is matched to crop demand (Ma et al., 2022).</w:t>
      </w:r>
    </w:p>
    <w:p w14:paraId="2F75F3FE"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Coupling AD with cover-crop biomass as a winter feedstock can strengthen circularity: energy cover crops introduce an additional C/N-rich stream without competing for food land and allow nutrients to be recycled back via digestate in the main season. Evidence indicates such systems can reduce nitrate leaching, enhance microbial activity, and maintain or increase SOC when digestate is managed to minimise gaseous losses (Launay et al., 2022). In short, AD offers high mitigation potential where: (</w:t>
      </w:r>
      <w:proofErr w:type="spellStart"/>
      <w:r w:rsidRPr="004D3A3A">
        <w:rPr>
          <w:rFonts w:ascii="Arial" w:eastAsia="Times New Roman" w:hAnsi="Arial" w:cs="Arial"/>
          <w:kern w:val="0"/>
          <w:lang w:eastAsia="en-IN"/>
          <w14:ligatures w14:val="none"/>
        </w:rPr>
        <w:t>i</w:t>
      </w:r>
      <w:proofErr w:type="spellEnd"/>
      <w:r w:rsidRPr="004D3A3A">
        <w:rPr>
          <w:rFonts w:ascii="Arial" w:eastAsia="Times New Roman" w:hAnsi="Arial" w:cs="Arial"/>
          <w:kern w:val="0"/>
          <w:lang w:eastAsia="en-IN"/>
          <w14:ligatures w14:val="none"/>
        </w:rPr>
        <w:t>) fugitive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is tightly controlled, (ii) digestate is injected/incorporated promptly or acidified, and (iii) nutrient recycling is aligned with crop phenology (Baldé et al., 2022; Lemes et al., 2022; Ma et al., 2022; Launay et al., 2022).</w:t>
      </w:r>
    </w:p>
    <w:p w14:paraId="5B1E1F81" w14:textId="77777777" w:rsidR="00FB52CE" w:rsidRPr="004D3A3A" w:rsidRDefault="00FB52CE" w:rsidP="00FB52C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3.3 In-field retention and incorporation of residues</w:t>
      </w:r>
    </w:p>
    <w:p w14:paraId="2DAB759A"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Returning residues to fields—through surface mulching or incorporation—remains the most direct circular practice for building SOC and improving soil physical resilience. A 2023 global synthesis reported mean SOC stock gains of ~3.7 Mg C ha</w:t>
      </w:r>
      <w:r w:rsidRPr="004D3A3A">
        <w:rPr>
          <w:rFonts w:ascii="Cambria Math" w:eastAsia="Times New Roman" w:hAnsi="Cambria Math" w:cs="Cambria Math"/>
          <w:kern w:val="0"/>
          <w:lang w:eastAsia="en-IN"/>
          <w14:ligatures w14:val="none"/>
        </w:rPr>
        <w:t>⁻</w:t>
      </w:r>
      <w:r w:rsidRPr="004D3A3A">
        <w:rPr>
          <w:rFonts w:ascii="Arial" w:eastAsia="Times New Roman" w:hAnsi="Arial" w:cs="Arial"/>
          <w:kern w:val="0"/>
          <w:lang w:eastAsia="en-IN"/>
          <w14:ligatures w14:val="none"/>
        </w:rPr>
        <w:t xml:space="preserve">¹ under straw return, with efficiency governed by straw-C input, duration, and management context; co-benefits are amplified under no-till and crop rotations (Li et al., 2023). At the same time, biochemical and microclimatic conditions following residue addition can stimulate </w:t>
      </w:r>
      <w:proofErr w:type="spellStart"/>
      <w:r w:rsidRPr="004D3A3A">
        <w:rPr>
          <w:rFonts w:ascii="Arial" w:eastAsia="Times New Roman" w:hAnsi="Arial" w:cs="Arial"/>
          <w:kern w:val="0"/>
          <w:lang w:eastAsia="en-IN"/>
          <w14:ligatures w14:val="none"/>
        </w:rPr>
        <w:t>nitrifier-denitrifier</w:t>
      </w:r>
      <w:proofErr w:type="spellEnd"/>
      <w:r w:rsidRPr="004D3A3A">
        <w:rPr>
          <w:rFonts w:ascii="Arial" w:eastAsia="Times New Roman" w:hAnsi="Arial" w:cs="Arial"/>
          <w:kern w:val="0"/>
          <w:lang w:eastAsia="en-IN"/>
          <w14:ligatures w14:val="none"/>
        </w:rPr>
        <w:t xml:space="preserve"> pathways, raising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emissions—on average by 40–50% versus residue removal across studies—especially for high-N, low </w:t>
      </w:r>
      <w:proofErr w:type="gramStart"/>
      <w:r w:rsidRPr="004D3A3A">
        <w:rPr>
          <w:rFonts w:ascii="Arial" w:eastAsia="Times New Roman" w:hAnsi="Arial" w:cs="Arial"/>
          <w:kern w:val="0"/>
          <w:lang w:eastAsia="en-IN"/>
          <w14:ligatures w14:val="none"/>
        </w:rPr>
        <w:t>C:N</w:t>
      </w:r>
      <w:proofErr w:type="gramEnd"/>
      <w:r w:rsidRPr="004D3A3A">
        <w:rPr>
          <w:rFonts w:ascii="Arial" w:eastAsia="Times New Roman" w:hAnsi="Arial" w:cs="Arial"/>
          <w:kern w:val="0"/>
          <w:lang w:eastAsia="en-IN"/>
          <w14:ligatures w14:val="none"/>
        </w:rPr>
        <w:t xml:space="preserve"> residues, fine particle sizes, and wetter soils (Abalos et al., 2022). These trade-offs do not imply abandoning residue retention; rather, they call for pairing residue strategies with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O-focused controls: retain surface structure and aeration (reduced tillage), avoid over-mineralisation of N by moderating residue size or mixing with high-C amendments (e.g., biochar or mature compost), time additional N inputs to crop uptake, and maintain soil water below prolonged saturation (Abalos et al., 2022).</w:t>
      </w:r>
    </w:p>
    <w:p w14:paraId="25CB5157"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Rice systems deserve specific attention because continuous flooding favours methanogenesis while residue management strongly modulates seasonal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pulses. A recent state-of-the-science review confirms that switching from continuous flooding to non-continuous schemes (e.g., safe alternate wetting and drying) and refraining from straw incorporation just before flooding can substantially reduce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without yield penalties when water control is sound; integrated packages that adjust water, residue, and nitrogen management outperform single levers (Qian et al., 2023). Where residue retention is pursued for SOC and soil health, managers can shift timing (remove or compost straw for </w:t>
      </w:r>
      <w:r w:rsidRPr="004D3A3A">
        <w:rPr>
          <w:rFonts w:ascii="Arial" w:eastAsia="Times New Roman" w:hAnsi="Arial" w:cs="Arial"/>
          <w:kern w:val="0"/>
          <w:lang w:eastAsia="en-IN"/>
          <w14:ligatures w14:val="none"/>
        </w:rPr>
        <w:lastRenderedPageBreak/>
        <w:t>return after peak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periods, or digest straw and return digestate with low readily fermentable C), thereby maintaining circularity while mitigating methane (Qian et al., 2023; Abalos et al., 2022).</w:t>
      </w:r>
    </w:p>
    <w:p w14:paraId="03FC3985"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Agronomically, residue return (mulch or incorporation) contributes to yield stability through improved moisture availability, nutrient cycling and aggregate stability, with new evidence showing positive effects on rice and other cereals when residue practices are tuned to local soils and seasons (Shen et al., 2024; Li et al., 2023). The climate-smart version of in-field retention is therefore a package: keep residues, but modulate particle size, combine with high-C stabilising amendments where feasible, synchronise mineral N and water with crop demand, and avoid saturated conditions that drive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and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bursts (Abalos et al., 2022; Qian et al., 2023).</w:t>
      </w:r>
    </w:p>
    <w:p w14:paraId="7E375EA8" w14:textId="77777777" w:rsidR="00FB52CE" w:rsidRPr="004D3A3A" w:rsidRDefault="00FB52CE" w:rsidP="00FB52C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3.4 Synthesis: choosing the right pathway for climate-smart circularity</w:t>
      </w:r>
    </w:p>
    <w:p w14:paraId="2D374DD7"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Across pathways, three themes repeat. First, </w:t>
      </w:r>
      <w:r w:rsidRPr="004D3A3A">
        <w:rPr>
          <w:rFonts w:ascii="Arial" w:eastAsia="Times New Roman" w:hAnsi="Arial" w:cs="Arial"/>
          <w:b/>
          <w:bCs/>
          <w:kern w:val="0"/>
          <w:lang w:eastAsia="en-IN"/>
          <w14:ligatures w14:val="none"/>
        </w:rPr>
        <w:t>oxygen management</w:t>
      </w:r>
      <w:r w:rsidRPr="004D3A3A">
        <w:rPr>
          <w:rFonts w:ascii="Arial" w:eastAsia="Times New Roman" w:hAnsi="Arial" w:cs="Arial"/>
          <w:kern w:val="0"/>
          <w:lang w:eastAsia="en-IN"/>
          <w14:ligatures w14:val="none"/>
        </w:rPr>
        <w:t xml:space="preserve"> is decisive: composting and in-field retention both benefit from practices that prevent anoxia (bulking/turning; maintaining soil structure and avoiding prolonged saturation), while AD intentionally removes oxygen but must contain methane tightly. Second, </w:t>
      </w:r>
      <w:r w:rsidRPr="004D3A3A">
        <w:rPr>
          <w:rFonts w:ascii="Arial" w:eastAsia="Times New Roman" w:hAnsi="Arial" w:cs="Arial"/>
          <w:b/>
          <w:bCs/>
          <w:kern w:val="0"/>
          <w:lang w:eastAsia="en-IN"/>
          <w14:ligatures w14:val="none"/>
        </w:rPr>
        <w:t>nitrogen form and timing</w:t>
      </w:r>
      <w:r w:rsidRPr="004D3A3A">
        <w:rPr>
          <w:rFonts w:ascii="Arial" w:eastAsia="Times New Roman" w:hAnsi="Arial" w:cs="Arial"/>
          <w:kern w:val="0"/>
          <w:lang w:eastAsia="en-IN"/>
          <w14:ligatures w14:val="none"/>
        </w:rPr>
        <w:t xml:space="preserve"> govern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and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co-composting and acidification conserve N; digestate injection/incorporation and cool-season application reduce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careful N timing curbs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when residues are returned. Third, </w:t>
      </w:r>
      <w:r w:rsidRPr="004D3A3A">
        <w:rPr>
          <w:rFonts w:ascii="Arial" w:eastAsia="Times New Roman" w:hAnsi="Arial" w:cs="Arial"/>
          <w:b/>
          <w:bCs/>
          <w:kern w:val="0"/>
          <w:lang w:eastAsia="en-IN"/>
          <w14:ligatures w14:val="none"/>
        </w:rPr>
        <w:t>context matters</w:t>
      </w:r>
      <w:r w:rsidRPr="004D3A3A">
        <w:rPr>
          <w:rFonts w:ascii="Arial" w:eastAsia="Times New Roman" w:hAnsi="Arial" w:cs="Arial"/>
          <w:kern w:val="0"/>
          <w:lang w:eastAsia="en-IN"/>
          <w14:ligatures w14:val="none"/>
        </w:rPr>
        <w:t>: residue quality, climate, soils, and water control set the baseline; climate-positive outcomes arise when management is tailored to those constraints (Nordahl et al., 2023; Abalos et al., 2022; Qian et al., 2023; Launay et al., 2022).</w:t>
      </w:r>
    </w:p>
    <w:p w14:paraId="3DB1FFDB"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Operationally, farms seeking maximal mitigation within a circular </w:t>
      </w:r>
      <w:proofErr w:type="spellStart"/>
      <w:r w:rsidRPr="004D3A3A">
        <w:rPr>
          <w:rFonts w:ascii="Arial" w:eastAsia="Times New Roman" w:hAnsi="Arial" w:cs="Arial"/>
          <w:kern w:val="0"/>
          <w:lang w:eastAsia="en-IN"/>
          <w14:ligatures w14:val="none"/>
        </w:rPr>
        <w:t>bioeconomy</w:t>
      </w:r>
      <w:proofErr w:type="spellEnd"/>
      <w:r w:rsidRPr="004D3A3A">
        <w:rPr>
          <w:rFonts w:ascii="Arial" w:eastAsia="Times New Roman" w:hAnsi="Arial" w:cs="Arial"/>
          <w:kern w:val="0"/>
          <w:lang w:eastAsia="en-IN"/>
          <w14:ligatures w14:val="none"/>
        </w:rPr>
        <w:t xml:space="preserve"> can: (</w:t>
      </w:r>
      <w:proofErr w:type="spellStart"/>
      <w:r w:rsidRPr="004D3A3A">
        <w:rPr>
          <w:rFonts w:ascii="Arial" w:eastAsia="Times New Roman" w:hAnsi="Arial" w:cs="Arial"/>
          <w:kern w:val="0"/>
          <w:lang w:eastAsia="en-IN"/>
          <w14:ligatures w14:val="none"/>
        </w:rPr>
        <w:t>i</w:t>
      </w:r>
      <w:proofErr w:type="spellEnd"/>
      <w:r w:rsidRPr="004D3A3A">
        <w:rPr>
          <w:rFonts w:ascii="Arial" w:eastAsia="Times New Roman" w:hAnsi="Arial" w:cs="Arial"/>
          <w:kern w:val="0"/>
          <w:lang w:eastAsia="en-IN"/>
          <w14:ligatures w14:val="none"/>
        </w:rPr>
        <w:t xml:space="preserve">) </w:t>
      </w:r>
      <w:r w:rsidRPr="004D3A3A">
        <w:rPr>
          <w:rFonts w:ascii="Arial" w:eastAsia="Times New Roman" w:hAnsi="Arial" w:cs="Arial"/>
          <w:b/>
          <w:bCs/>
          <w:kern w:val="0"/>
          <w:lang w:eastAsia="en-IN"/>
          <w14:ligatures w14:val="none"/>
        </w:rPr>
        <w:t>divert the most labile, wet, N-rich streams</w:t>
      </w:r>
      <w:r w:rsidRPr="004D3A3A">
        <w:rPr>
          <w:rFonts w:ascii="Arial" w:eastAsia="Times New Roman" w:hAnsi="Arial" w:cs="Arial"/>
          <w:kern w:val="0"/>
          <w:lang w:eastAsia="en-IN"/>
          <w14:ligatures w14:val="none"/>
        </w:rPr>
        <w:t xml:space="preserve"> (e.g., manures, fresh grass cuttings) into AD or biochar co-composting to avoid high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during composting or field decomposition; (ii) </w:t>
      </w:r>
      <w:r w:rsidRPr="004D3A3A">
        <w:rPr>
          <w:rFonts w:ascii="Arial" w:eastAsia="Times New Roman" w:hAnsi="Arial" w:cs="Arial"/>
          <w:b/>
          <w:bCs/>
          <w:kern w:val="0"/>
          <w:lang w:eastAsia="en-IN"/>
          <w14:ligatures w14:val="none"/>
        </w:rPr>
        <w:t>return stabilised carbon and conserved nutrients</w:t>
      </w:r>
      <w:r w:rsidRPr="004D3A3A">
        <w:rPr>
          <w:rFonts w:ascii="Arial" w:eastAsia="Times New Roman" w:hAnsi="Arial" w:cs="Arial"/>
          <w:kern w:val="0"/>
          <w:lang w:eastAsia="en-IN"/>
          <w14:ligatures w14:val="none"/>
        </w:rPr>
        <w:t xml:space="preserve"> via biochar co-composts and properly managed digestate; and (iii) </w:t>
      </w:r>
      <w:r w:rsidRPr="004D3A3A">
        <w:rPr>
          <w:rFonts w:ascii="Arial" w:eastAsia="Times New Roman" w:hAnsi="Arial" w:cs="Arial"/>
          <w:b/>
          <w:bCs/>
          <w:kern w:val="0"/>
          <w:lang w:eastAsia="en-IN"/>
          <w14:ligatures w14:val="none"/>
        </w:rPr>
        <w:t>retain or re-apply crop residues</w:t>
      </w:r>
      <w:r w:rsidRPr="004D3A3A">
        <w:rPr>
          <w:rFonts w:ascii="Arial" w:eastAsia="Times New Roman" w:hAnsi="Arial" w:cs="Arial"/>
          <w:kern w:val="0"/>
          <w:lang w:eastAsia="en-IN"/>
          <w14:ligatures w14:val="none"/>
        </w:rPr>
        <w:t xml:space="preserve"> in the field with water and nitrogen controls that suppress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and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This blended portfolio tends to outperform any single practice on climate, soil, and yield metrics when MRV and operating discipline are in place (Harrison et al., 2022; Gao et al., 2023; Abalos et al., 2022).</w:t>
      </w:r>
    </w:p>
    <w:p w14:paraId="0DD56D85" w14:textId="77777777" w:rsidR="00FB52CE" w:rsidRPr="004D3A3A" w:rsidRDefault="00FB52CE" w:rsidP="00FB52CE">
      <w:pPr>
        <w:spacing w:before="100" w:beforeAutospacing="1" w:after="100" w:afterAutospacing="1" w:line="240" w:lineRule="auto"/>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4. Biochar systems: durability, mechanisms, and trade-offs</w:t>
      </w:r>
    </w:p>
    <w:p w14:paraId="4FD737A5" w14:textId="7777777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This section evaluates biochar as a carbon-sequestration and soil-management option within circular farm </w:t>
      </w:r>
      <w:proofErr w:type="spellStart"/>
      <w:r w:rsidRPr="004D3A3A">
        <w:rPr>
          <w:rFonts w:ascii="Arial" w:eastAsia="Times New Roman" w:hAnsi="Arial" w:cs="Arial"/>
          <w:kern w:val="0"/>
          <w:lang w:eastAsia="en-IN"/>
          <w14:ligatures w14:val="none"/>
        </w:rPr>
        <w:t>bioeconomies</w:t>
      </w:r>
      <w:proofErr w:type="spellEnd"/>
      <w:r w:rsidRPr="004D3A3A">
        <w:rPr>
          <w:rFonts w:ascii="Arial" w:eastAsia="Times New Roman" w:hAnsi="Arial" w:cs="Arial"/>
          <w:kern w:val="0"/>
          <w:lang w:eastAsia="en-IN"/>
          <w14:ligatures w14:val="none"/>
        </w:rPr>
        <w:t>, with emphasis on (</w:t>
      </w:r>
      <w:proofErr w:type="spellStart"/>
      <w:r w:rsidRPr="004D3A3A">
        <w:rPr>
          <w:rFonts w:ascii="Arial" w:eastAsia="Times New Roman" w:hAnsi="Arial" w:cs="Arial"/>
          <w:kern w:val="0"/>
          <w:lang w:eastAsia="en-IN"/>
          <w14:ligatures w14:val="none"/>
        </w:rPr>
        <w:t>i</w:t>
      </w:r>
      <w:proofErr w:type="spellEnd"/>
      <w:r w:rsidRPr="004D3A3A">
        <w:rPr>
          <w:rFonts w:ascii="Arial" w:eastAsia="Times New Roman" w:hAnsi="Arial" w:cs="Arial"/>
          <w:kern w:val="0"/>
          <w:lang w:eastAsia="en-IN"/>
          <w14:ligatures w14:val="none"/>
        </w:rPr>
        <w:t>) carbon durability and mitigation logic; (ii) soil and crop responses, including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gases; (iii) synergies when biochar is integrated with organics (e.g., composts/digestates); (iv) production pathways and quality metrics that govern performance; (v) environmental trade-offs and safeguards; (vi) life-cycle climate accounting and energy co-products; (vii) agronomic design (rates, placement, co-applications); and (viii) measurement, reporting and verification (MRV). The objective is to synthesize recent peer-reviewed evidence into design principles that maximize climate benefits while minimizing risk under field conditions.</w:t>
      </w:r>
    </w:p>
    <w:p w14:paraId="0E7E94DA" w14:textId="77777777" w:rsidR="00FB52CE" w:rsidRPr="004D3A3A" w:rsidRDefault="00FB52CE" w:rsidP="00FB52C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4.1 Carbon durability and the mitigation logic</w:t>
      </w:r>
    </w:p>
    <w:p w14:paraId="292135DB" w14:textId="75BCA54F"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The core mitigation claim of biochar rests on converting a portion of short-lived biomass carbon into polyaromatic structures that resist decomposition for centuries to millennia, thereby slowing its return to the atmosphere after application to soils. A global meta-analysis of decomposition experiments shows centennial-scale mean residence times for biochar carbon and only small, often negative, priming of native soil organic matter (SOM) mineralization (overall mean −3.8%)—evidence that biochar can add to net soil C stocks </w:t>
      </w:r>
      <w:r w:rsidRPr="004D3A3A">
        <w:rPr>
          <w:rFonts w:ascii="Arial" w:eastAsia="Times New Roman" w:hAnsi="Arial" w:cs="Arial"/>
          <w:kern w:val="0"/>
          <w:lang w:eastAsia="en-IN"/>
          <w14:ligatures w14:val="none"/>
        </w:rPr>
        <w:lastRenderedPageBreak/>
        <w:t>rather than merely replacing them (Wang et al., 2016). Laboratory and long-term incubations confirm that durability rises with increasing aromatic condensation and lower hydrogen-to-carbon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and oxygen-to-carbon (O/</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atomic ratios, which are shaped by feedstock and pyrolysis conditions (Singh et al., 2012; Spokas, 2010; Tomczyk et al., 2020).  Recent synthesis articles further position biochar within negative-emission portfolios by clarifying when durable carbon storage, co-benefits, and system emissions deliver net removals (Lehmann &amp; Joseph, 2021; Woolf et al., 2021). Region-scale analyses (e.g., China) suggest substantial technical potential when production is aligned with sustainable feedstock supply and agronomic demand (Deng et al., 2024). </w:t>
      </w:r>
    </w:p>
    <w:p w14:paraId="7A1BD10C" w14:textId="77777777" w:rsidR="00FB52CE" w:rsidRPr="004D3A3A" w:rsidRDefault="00FB52CE" w:rsidP="00FB52C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4.2 Soil processes, yields, and non-CO</w:t>
      </w:r>
      <w:r w:rsidRPr="004D3A3A">
        <w:rPr>
          <w:rFonts w:ascii="Cambria Math" w:eastAsia="Times New Roman" w:hAnsi="Cambria Math" w:cs="Cambria Math"/>
          <w:b/>
          <w:bCs/>
          <w:kern w:val="0"/>
          <w:lang w:eastAsia="en-IN"/>
          <w14:ligatures w14:val="none"/>
        </w:rPr>
        <w:t>₂</w:t>
      </w:r>
      <w:r w:rsidRPr="004D3A3A">
        <w:rPr>
          <w:rFonts w:ascii="Arial" w:eastAsia="Times New Roman" w:hAnsi="Arial" w:cs="Arial"/>
          <w:b/>
          <w:bCs/>
          <w:kern w:val="0"/>
          <w:lang w:eastAsia="en-IN"/>
          <w14:ligatures w14:val="none"/>
        </w:rPr>
        <w:t xml:space="preserve"> gases</w:t>
      </w:r>
    </w:p>
    <w:p w14:paraId="182FA5EF" w14:textId="221EBA9C"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Biochar modifies soils via pH buffering, increased cation exchange and surface area, and aggregation, with responses governed by texture, climate, and initial fertility (Tomczyk et al., 2020). Field-focused syntheses consistently report positive, though context-dependent, crop responses: tropical and acidic soils tend to benefit most; temperate, fertile soils less so (Jeffery et al., 2016; Ye et al., 2020). On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gases, meta-analyses show that biochar frequently reduces soil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emissions, with effect sizes linked to material properties (notably low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and diminishing over time as surfaces age (</w:t>
      </w:r>
      <w:proofErr w:type="spellStart"/>
      <w:r w:rsidRPr="004D3A3A">
        <w:rPr>
          <w:rFonts w:ascii="Arial" w:eastAsia="Times New Roman" w:hAnsi="Arial" w:cs="Arial"/>
          <w:kern w:val="0"/>
          <w:lang w:eastAsia="en-IN"/>
          <w14:ligatures w14:val="none"/>
        </w:rPr>
        <w:t>Cayuela</w:t>
      </w:r>
      <w:proofErr w:type="spellEnd"/>
      <w:r w:rsidRPr="004D3A3A">
        <w:rPr>
          <w:rFonts w:ascii="Arial" w:eastAsia="Times New Roman" w:hAnsi="Arial" w:cs="Arial"/>
          <w:kern w:val="0"/>
          <w:lang w:eastAsia="en-IN"/>
          <w14:ligatures w14:val="none"/>
        </w:rPr>
        <w:t xml:space="preserve"> et al., 2015; Borchard et al., 2019). In flooded systems, biochar can lower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emissions by improving aeration or altering methanogenesis, although effects vary with redox and amendment strategy (Jeffery et al., 2016). Microbiome-level meta-analyses suggest biochar alters bacterial community composition with limited effects on the relative abundance of major phyla, implying that greenhouse-gas responses are mediated more by substrate availability, pH, and electron shuttling than wholesale microbial shifts (Xu et al., 2023).</w:t>
      </w:r>
    </w:p>
    <w:p w14:paraId="76FD7CF1" w14:textId="77777777" w:rsidR="00FB52CE" w:rsidRPr="004D3A3A" w:rsidRDefault="00FB52CE" w:rsidP="00FB52C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4.3 Co-composting and organic integrations</w:t>
      </w:r>
    </w:p>
    <w:p w14:paraId="75AF0F73" w14:textId="680B1915"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Integrating biochar with manures or green-waste composts can stabilize nitrogen, suppress gaseous losses during composting, and “charge” biochar surfaces with nutrients and microbial metabolites prior to soil application. Controlled trials and process-level studies report significant reductions in ammonia and nitrous-oxide losses and faster composting when biochar—particularly oxidized or high-surface-area materials—is mixed into piles (Harrison et al., 2022; Gao et al., 2023). Co-composted </w:t>
      </w:r>
      <w:proofErr w:type="spellStart"/>
      <w:r w:rsidRPr="004D3A3A">
        <w:rPr>
          <w:rFonts w:ascii="Arial" w:eastAsia="Times New Roman" w:hAnsi="Arial" w:cs="Arial"/>
          <w:kern w:val="0"/>
          <w:lang w:eastAsia="en-IN"/>
          <w14:ligatures w14:val="none"/>
        </w:rPr>
        <w:t>biochars</w:t>
      </w:r>
      <w:proofErr w:type="spellEnd"/>
      <w:r w:rsidRPr="004D3A3A">
        <w:rPr>
          <w:rFonts w:ascii="Arial" w:eastAsia="Times New Roman" w:hAnsi="Arial" w:cs="Arial"/>
          <w:kern w:val="0"/>
          <w:lang w:eastAsia="en-IN"/>
          <w14:ligatures w14:val="none"/>
        </w:rPr>
        <w:t xml:space="preserve"> often produce stronger agronomic responses than the same char applied alone, consistent with improved nutrient availability and early-season plant access to N (Gao et al., 2023). </w:t>
      </w:r>
    </w:p>
    <w:p w14:paraId="57F0B02D" w14:textId="77777777" w:rsidR="00FB52CE" w:rsidRPr="004D3A3A" w:rsidRDefault="00FB52CE" w:rsidP="00FB52C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4.4 Production pathways and quality metrics</w:t>
      </w:r>
    </w:p>
    <w:p w14:paraId="47A3A2DC" w14:textId="68CF0CD7"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Biochar quality is determined by feedstock (woody vs. manure vs. crop residues) and thermochemical pathway (slow pyrolysis, gasification, hydrothermal carbonization), which together control aromaticity, ash, pH, surface functionality, and contaminant profiles (Tomczyk et al., 2020). Peer-reviewed indicators used in durability/MRV frameworks include low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and O/</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ratios, which correlate with condensed aromatic structures and longer persistence (Spokas, 2010; Singh et al., 2012). Empirically, high-temperature chars (≥ 600 °C) typically exhibit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&lt; 0.2 and O/</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&lt; 0.4, </w:t>
      </w:r>
      <w:proofErr w:type="spellStart"/>
      <w:r w:rsidRPr="004D3A3A">
        <w:rPr>
          <w:rFonts w:ascii="Arial" w:eastAsia="Times New Roman" w:hAnsi="Arial" w:cs="Arial"/>
          <w:kern w:val="0"/>
          <w:lang w:eastAsia="en-IN"/>
          <w14:ligatures w14:val="none"/>
        </w:rPr>
        <w:t>signaling</w:t>
      </w:r>
      <w:proofErr w:type="spellEnd"/>
      <w:r w:rsidRPr="004D3A3A">
        <w:rPr>
          <w:rFonts w:ascii="Arial" w:eastAsia="Times New Roman" w:hAnsi="Arial" w:cs="Arial"/>
          <w:kern w:val="0"/>
          <w:lang w:eastAsia="en-IN"/>
          <w14:ligatures w14:val="none"/>
        </w:rPr>
        <w:t xml:space="preserve"> high recalcitrance; lower-temperature chars retain more labile moieties and show greater short-term nutrient interactions (Tomczyk et al., 2020). </w:t>
      </w:r>
    </w:p>
    <w:p w14:paraId="6BABBD11" w14:textId="77777777" w:rsidR="00FB52CE" w:rsidRPr="004D3A3A" w:rsidRDefault="00FB52CE" w:rsidP="00FB52C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4.5 Environmental trade-offs and safeguards</w:t>
      </w:r>
    </w:p>
    <w:p w14:paraId="36812BA3" w14:textId="7F378CE6"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Thermal conversion can form polycyclic aromatic hydrocarbons (PAHs) and, depending on inputs, concentrate potentially toxic elements (PTEs). Multi-feedstock surveys show slow-pyrolysis </w:t>
      </w:r>
      <w:proofErr w:type="spellStart"/>
      <w:r w:rsidRPr="004D3A3A">
        <w:rPr>
          <w:rFonts w:ascii="Arial" w:eastAsia="Times New Roman" w:hAnsi="Arial" w:cs="Arial"/>
          <w:kern w:val="0"/>
          <w:lang w:eastAsia="en-IN"/>
          <w14:ligatures w14:val="none"/>
        </w:rPr>
        <w:t>biochars</w:t>
      </w:r>
      <w:proofErr w:type="spellEnd"/>
      <w:r w:rsidRPr="004D3A3A">
        <w:rPr>
          <w:rFonts w:ascii="Arial" w:eastAsia="Times New Roman" w:hAnsi="Arial" w:cs="Arial"/>
          <w:kern w:val="0"/>
          <w:lang w:eastAsia="en-IN"/>
          <w14:ligatures w14:val="none"/>
        </w:rPr>
        <w:t xml:space="preserve"> generally contain low total and </w:t>
      </w:r>
      <w:r w:rsidRPr="004D3A3A">
        <w:rPr>
          <w:rFonts w:ascii="Arial" w:eastAsia="Times New Roman" w:hAnsi="Arial" w:cs="Arial"/>
          <w:i/>
          <w:iCs/>
          <w:kern w:val="0"/>
          <w:lang w:eastAsia="en-IN"/>
          <w14:ligatures w14:val="none"/>
        </w:rPr>
        <w:t>very</w:t>
      </w:r>
      <w:r w:rsidRPr="004D3A3A">
        <w:rPr>
          <w:rFonts w:ascii="Arial" w:eastAsia="Times New Roman" w:hAnsi="Arial" w:cs="Arial"/>
          <w:kern w:val="0"/>
          <w:lang w:eastAsia="en-IN"/>
          <w14:ligatures w14:val="none"/>
        </w:rPr>
        <w:t xml:space="preserve"> low bioavailable PAHs, with higher </w:t>
      </w:r>
      <w:r w:rsidRPr="004D3A3A">
        <w:rPr>
          <w:rFonts w:ascii="Arial" w:eastAsia="Times New Roman" w:hAnsi="Arial" w:cs="Arial"/>
          <w:kern w:val="0"/>
          <w:lang w:eastAsia="en-IN"/>
          <w14:ligatures w14:val="none"/>
        </w:rPr>
        <w:lastRenderedPageBreak/>
        <w:t xml:space="preserve">risks for gasification chars; elevated PAHs decline with appropriate temperature and residence-time control (Hale et al., 2012). Heavy-metal risks are primarily a concern when using sludge- or waste-derived feedstocks; careful selection, co-pyrolysis with </w:t>
      </w:r>
      <w:proofErr w:type="spellStart"/>
      <w:r w:rsidRPr="004D3A3A">
        <w:rPr>
          <w:rFonts w:ascii="Arial" w:eastAsia="Times New Roman" w:hAnsi="Arial" w:cs="Arial"/>
          <w:kern w:val="0"/>
          <w:lang w:eastAsia="en-IN"/>
          <w14:ligatures w14:val="none"/>
        </w:rPr>
        <w:t>lignocellulosics</w:t>
      </w:r>
      <w:proofErr w:type="spellEnd"/>
      <w:r w:rsidRPr="004D3A3A">
        <w:rPr>
          <w:rFonts w:ascii="Arial" w:eastAsia="Times New Roman" w:hAnsi="Arial" w:cs="Arial"/>
          <w:kern w:val="0"/>
          <w:lang w:eastAsia="en-IN"/>
          <w14:ligatures w14:val="none"/>
        </w:rPr>
        <w:t>, and compliance with agronomic quality thresholds mitigate leaching hazards (Zhou et al., 2017; Mohamed et al., 2023). Agronomically, biochar can raise soil pH and, in some acidic soils, transiently increase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volatilization unless co-applied with organic N or used at appropriate rates (Sha et al., 2019). These risks are manageable design variables rather than inherent flaws when production and application follow best practice.</w:t>
      </w:r>
    </w:p>
    <w:p w14:paraId="1473ECCD" w14:textId="77777777" w:rsidR="00FB52CE" w:rsidRPr="004D3A3A" w:rsidRDefault="00FB52CE" w:rsidP="00FB52C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4.6 Life-cycle accounting and energy co-products</w:t>
      </w:r>
    </w:p>
    <w:p w14:paraId="3E502D1E" w14:textId="1125612C"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Systemwide climate benefits depend on (</w:t>
      </w:r>
      <w:proofErr w:type="spellStart"/>
      <w:r w:rsidRPr="004D3A3A">
        <w:rPr>
          <w:rFonts w:ascii="Arial" w:eastAsia="Times New Roman" w:hAnsi="Arial" w:cs="Arial"/>
          <w:kern w:val="0"/>
          <w:lang w:eastAsia="en-IN"/>
          <w14:ligatures w14:val="none"/>
        </w:rPr>
        <w:t>i</w:t>
      </w:r>
      <w:proofErr w:type="spellEnd"/>
      <w:r w:rsidRPr="004D3A3A">
        <w:rPr>
          <w:rFonts w:ascii="Arial" w:eastAsia="Times New Roman" w:hAnsi="Arial" w:cs="Arial"/>
          <w:kern w:val="0"/>
          <w:lang w:eastAsia="en-IN"/>
          <w14:ligatures w14:val="none"/>
        </w:rPr>
        <w:t xml:space="preserve">) the fraction of feedstock carbon stabilized as durable char; (ii) avoided emissions from alternative residue fates (e.g., burning, unmanaged decomposition); (iii) energy recovery (syngas/pyrolysis oil displacing fossil fuels); and (iv) soil GHG responses post-application. Landmark LCAs show that well-designed slow-pyrolysis systems can deliver net negative emissions when co-generated heat is utilized and transport is optimized (Roberts et al., 2010; Peters et al., 2015). Updated syntheses emphasize that governance (feedstock sustainability, siting, monitoring) is as decisive as reactor efficiency in determining whether biochar functions as a durable removal or merely a lower-carbon waste treatment (Shrestha et al., 2023; Woolf et al., 2021). </w:t>
      </w:r>
    </w:p>
    <w:p w14:paraId="24DFBE07" w14:textId="77777777" w:rsidR="00FB52CE" w:rsidRPr="004D3A3A" w:rsidRDefault="00FB52CE" w:rsidP="00FB52C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4.7 Agronomic design: rates, placement, and co-applications</w:t>
      </w:r>
    </w:p>
    <w:p w14:paraId="3689DC20" w14:textId="3DF9545D"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Field evidence suggests the greatest yield and nutrient-use efficiency gains occur in low-pH, nutrient-poor, or drought-prone soils, often at 5–20 t ha</w:t>
      </w:r>
      <w:r w:rsidRPr="004D3A3A">
        <w:rPr>
          <w:rFonts w:ascii="Cambria Math" w:eastAsia="Times New Roman" w:hAnsi="Cambria Math" w:cs="Cambria Math"/>
          <w:kern w:val="0"/>
          <w:lang w:eastAsia="en-IN"/>
          <w14:ligatures w14:val="none"/>
        </w:rPr>
        <w:t>⁻</w:t>
      </w:r>
      <w:r w:rsidRPr="004D3A3A">
        <w:rPr>
          <w:rFonts w:ascii="Arial" w:eastAsia="Times New Roman" w:hAnsi="Arial" w:cs="Arial"/>
          <w:kern w:val="0"/>
          <w:lang w:eastAsia="en-IN"/>
          <w14:ligatures w14:val="none"/>
        </w:rPr>
        <w:t>¹ when co-applied with manure or fertilizers (Ye et al., 2020; Jeffery et al., 2016). Biochar’s mitigation of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is strongest when chars exhibit low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and are integrated into systems where nitrification/denitrification “hot moments” can be buffered—e.g., with composted or digestate-blended materials and synchronization with irrigation (</w:t>
      </w:r>
      <w:proofErr w:type="spellStart"/>
      <w:r w:rsidRPr="004D3A3A">
        <w:rPr>
          <w:rFonts w:ascii="Arial" w:eastAsia="Times New Roman" w:hAnsi="Arial" w:cs="Arial"/>
          <w:kern w:val="0"/>
          <w:lang w:eastAsia="en-IN"/>
          <w14:ligatures w14:val="none"/>
        </w:rPr>
        <w:t>Cayuela</w:t>
      </w:r>
      <w:proofErr w:type="spellEnd"/>
      <w:r w:rsidRPr="004D3A3A">
        <w:rPr>
          <w:rFonts w:ascii="Arial" w:eastAsia="Times New Roman" w:hAnsi="Arial" w:cs="Arial"/>
          <w:kern w:val="0"/>
          <w:lang w:eastAsia="en-IN"/>
          <w14:ligatures w14:val="none"/>
        </w:rPr>
        <w:t xml:space="preserve"> et al., 2015; Harrison et al., 2022). In flooded rice, surface incorporation that improves redox heterogeneity can reduce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although responses vary and should be validated locally (Jeffery et al., 2016).</w:t>
      </w:r>
    </w:p>
    <w:p w14:paraId="61CE7956" w14:textId="77777777" w:rsidR="00FB52CE" w:rsidRPr="004D3A3A" w:rsidRDefault="00FB52CE" w:rsidP="00FB52C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4.8 MRV and market integrity</w:t>
      </w:r>
    </w:p>
    <w:p w14:paraId="4911BD8C" w14:textId="56CFF589" w:rsidR="00FB52CE" w:rsidRPr="004D3A3A" w:rsidRDefault="00FB52CE" w:rsidP="00FB52C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Emerging MRV frameworks link measurable properties (e.g.,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xml:space="preserve">, fixed carbon, R50 thermal recalcitrance indices) and site conditions to </w:t>
      </w:r>
      <w:proofErr w:type="spellStart"/>
      <w:r w:rsidRPr="004D3A3A">
        <w:rPr>
          <w:rFonts w:ascii="Arial" w:eastAsia="Times New Roman" w:hAnsi="Arial" w:cs="Arial"/>
          <w:kern w:val="0"/>
          <w:lang w:eastAsia="en-IN"/>
          <w14:ligatures w14:val="none"/>
        </w:rPr>
        <w:t>modeled</w:t>
      </w:r>
      <w:proofErr w:type="spellEnd"/>
      <w:r w:rsidRPr="004D3A3A">
        <w:rPr>
          <w:rFonts w:ascii="Arial" w:eastAsia="Times New Roman" w:hAnsi="Arial" w:cs="Arial"/>
          <w:kern w:val="0"/>
          <w:lang w:eastAsia="en-IN"/>
          <w14:ligatures w14:val="none"/>
        </w:rPr>
        <w:t xml:space="preserve"> decay rates for greenhouse-gas inventorying and crediting (Woolf et al., 2021). Continual improvement is needed to reconcile proxy metrics with long-term field persistence and to capture co-benefits and leakage within LCAs (Lehmann &amp; Joseph, 2021; Wang et al., 2016).</w:t>
      </w:r>
    </w:p>
    <w:p w14:paraId="1B318D04" w14:textId="77777777" w:rsidR="00A63667" w:rsidRPr="004D3A3A" w:rsidRDefault="00A63667" w:rsidP="00A63667">
      <w:pPr>
        <w:spacing w:before="100" w:beforeAutospacing="1" w:after="100" w:afterAutospacing="1" w:line="240" w:lineRule="auto"/>
        <w:outlineLvl w:val="2"/>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5. Organic amendments (composts, manures, digestates) managed for climate outcomes</w:t>
      </w:r>
    </w:p>
    <w:p w14:paraId="56FB82DB" w14:textId="77777777" w:rsidR="00A63667" w:rsidRPr="004D3A3A" w:rsidRDefault="00A63667" w:rsidP="00A63667">
      <w:pPr>
        <w:spacing w:before="100" w:beforeAutospacing="1" w:after="100" w:afterAutospacing="1" w:line="240" w:lineRule="auto"/>
        <w:outlineLvl w:val="3"/>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5.1. Rationale and contrasts among materials</w:t>
      </w:r>
    </w:p>
    <w:p w14:paraId="09D7F270" w14:textId="030B6E9A" w:rsidR="00A63667" w:rsidRPr="004D3A3A" w:rsidRDefault="00A63667" w:rsidP="00A63667">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Organic amendments are central to circular bioeconomy strategies because they return biogenic carbon and nutrients to soils while displacing portions of mineral fertiliser demand. Yet their climate performance hinges on material properties that control nitrogen (N) transformations and carbon (C) persistence. Composts typically contain more humified C, higher C:N ratios, and lower ammoniacal N (TAN) than raw manures or digestates, which can dampen short-term nitrification–denitrification and volatilisation. Digestates, by contrast, often have elevated pH, high TAN, and less labile C (post-methanogenesis), traits that sharpen risks of ammonia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loss shortly after field application and, under certain </w:t>
      </w:r>
      <w:r w:rsidRPr="004D3A3A">
        <w:rPr>
          <w:rFonts w:ascii="Arial" w:eastAsia="Times New Roman" w:hAnsi="Arial" w:cs="Arial"/>
          <w:kern w:val="0"/>
          <w:lang w:eastAsia="en-IN"/>
          <w14:ligatures w14:val="none"/>
        </w:rPr>
        <w:lastRenderedPageBreak/>
        <w:t>moisture regimes, of nitrous oxide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formation (Pedersen &amp; Hafner, 2023; Li et al., 2024). </w:t>
      </w:r>
    </w:p>
    <w:p w14:paraId="3C7C7539" w14:textId="77777777" w:rsidR="00A63667" w:rsidRPr="004D3A3A" w:rsidRDefault="00A63667" w:rsidP="00A63667">
      <w:pPr>
        <w:spacing w:before="100" w:beforeAutospacing="1" w:after="100" w:afterAutospacing="1" w:line="240" w:lineRule="auto"/>
        <w:outlineLvl w:val="3"/>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5.2. N</w:t>
      </w:r>
      <w:r w:rsidRPr="004D3A3A">
        <w:rPr>
          <w:rFonts w:ascii="Cambria Math" w:eastAsia="Times New Roman" w:hAnsi="Cambria Math" w:cs="Cambria Math"/>
          <w:b/>
          <w:bCs/>
          <w:kern w:val="0"/>
          <w:lang w:eastAsia="en-IN"/>
          <w14:ligatures w14:val="none"/>
        </w:rPr>
        <w:t>₂</w:t>
      </w:r>
      <w:r w:rsidRPr="004D3A3A">
        <w:rPr>
          <w:rFonts w:ascii="Arial" w:eastAsia="Times New Roman" w:hAnsi="Arial" w:cs="Arial"/>
          <w:b/>
          <w:bCs/>
          <w:kern w:val="0"/>
          <w:lang w:eastAsia="en-IN"/>
          <w14:ligatures w14:val="none"/>
        </w:rPr>
        <w:t>O outcomes: what the latest syntheses say</w:t>
      </w:r>
    </w:p>
    <w:p w14:paraId="03B772CC" w14:textId="77777777" w:rsidR="00953F34" w:rsidRPr="004D3A3A" w:rsidRDefault="00A63667" w:rsidP="00A63667">
      <w:pPr>
        <w:spacing w:before="100" w:beforeAutospacing="1" w:after="100" w:afterAutospacing="1" w:line="240" w:lineRule="auto"/>
        <w:rPr>
          <w:rFonts w:ascii="Arial" w:hAnsi="Arial" w:cs="Arial"/>
        </w:rPr>
      </w:pPr>
      <w:r w:rsidRPr="004D3A3A">
        <w:rPr>
          <w:rFonts w:ascii="Arial" w:eastAsia="Times New Roman" w:hAnsi="Arial" w:cs="Arial"/>
          <w:kern w:val="0"/>
          <w:lang w:eastAsia="en-IN"/>
          <w14:ligatures w14:val="none"/>
        </w:rPr>
        <w:t>Across European field trials, a recent meta-analysis found that organic matter (OM) inputs as a class produced only a modest average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reduction (~10%), but material identity mattered: compost reduced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by ~25%, whereas digestate responses were variable and often neutral to adverse; mitigation strengthened with higher C:N of the OM input (threshold ~20–30) (Valkama et al., 2024). In sandy or more alkaline soils, the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O-mitigating effect of compost weakened, underscoring site specificity (Valkama et al., 2024). </w:t>
      </w:r>
    </w:p>
    <w:p w14:paraId="0DA9F0F0" w14:textId="0824B81A" w:rsidR="00A63667" w:rsidRDefault="00A63667" w:rsidP="00A63667">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br/>
        <w:t>Controlled experiments that directly compared digestate with urea fertiliser reported substantially higher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from digestate across moisture levels and soil types, although the nitrification inhibitor DMPP suppressed digestate-derived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by 73–99%—a strong signal that process-level management can flip outcomes (Li et al., 2024). Field studies tracing labelled N similarly show digestate can prime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formation depending on feedstock and timing (</w:t>
      </w:r>
      <w:proofErr w:type="spellStart"/>
      <w:r w:rsidRPr="004D3A3A">
        <w:rPr>
          <w:rFonts w:ascii="Arial" w:eastAsia="Times New Roman" w:hAnsi="Arial" w:cs="Arial"/>
          <w:kern w:val="0"/>
          <w:lang w:eastAsia="en-IN"/>
          <w14:ligatures w14:val="none"/>
        </w:rPr>
        <w:t>Häfner</w:t>
      </w:r>
      <w:proofErr w:type="spellEnd"/>
      <w:r w:rsidRPr="004D3A3A">
        <w:rPr>
          <w:rFonts w:ascii="Arial" w:eastAsia="Times New Roman" w:hAnsi="Arial" w:cs="Arial"/>
          <w:kern w:val="0"/>
          <w:lang w:eastAsia="en-IN"/>
          <w14:ligatures w14:val="none"/>
        </w:rPr>
        <w:t xml:space="preserve"> et al., 2021). </w:t>
      </w:r>
      <w:r w:rsidRPr="004D3A3A">
        <w:rPr>
          <w:rFonts w:ascii="Arial" w:eastAsia="Times New Roman" w:hAnsi="Arial" w:cs="Arial"/>
          <w:kern w:val="0"/>
          <w:lang w:eastAsia="en-IN"/>
          <w14:ligatures w14:val="none"/>
        </w:rPr>
        <w:br/>
        <w:t>Compost composition also matters: incubation work indicates that composts with high NH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–N and low </w:t>
      </w:r>
      <w:proofErr w:type="gramStart"/>
      <w:r w:rsidRPr="004D3A3A">
        <w:rPr>
          <w:rFonts w:ascii="Arial" w:eastAsia="Times New Roman" w:hAnsi="Arial" w:cs="Arial"/>
          <w:kern w:val="0"/>
          <w:lang w:eastAsia="en-IN"/>
          <w14:ligatures w14:val="none"/>
        </w:rPr>
        <w:t>C:N</w:t>
      </w:r>
      <w:proofErr w:type="gramEnd"/>
      <w:r w:rsidRPr="004D3A3A">
        <w:rPr>
          <w:rFonts w:ascii="Arial" w:eastAsia="Times New Roman" w:hAnsi="Arial" w:cs="Arial"/>
          <w:kern w:val="0"/>
          <w:lang w:eastAsia="en-IN"/>
          <w14:ligatures w14:val="none"/>
        </w:rPr>
        <w:t xml:space="preserve"> can raise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whereas more mature, higher-C:N composts tend to mitigate; soil texture and mineral N pools modulate these effects (Liyanage et al., 2022). </w:t>
      </w:r>
    </w:p>
    <w:p w14:paraId="05CC89B3" w14:textId="77777777" w:rsidR="004D3A3A" w:rsidRDefault="004D3A3A" w:rsidP="00A63667">
      <w:pPr>
        <w:spacing w:before="100" w:beforeAutospacing="1" w:after="100" w:afterAutospacing="1" w:line="240" w:lineRule="auto"/>
        <w:rPr>
          <w:rFonts w:ascii="Arial" w:eastAsia="Times New Roman" w:hAnsi="Arial" w:cs="Arial"/>
          <w:kern w:val="0"/>
          <w:lang w:eastAsia="en-IN"/>
          <w14:ligatures w14:val="none"/>
        </w:rPr>
      </w:pPr>
    </w:p>
    <w:p w14:paraId="1E1C0E84" w14:textId="77777777" w:rsidR="004D3A3A" w:rsidRPr="004D3A3A" w:rsidRDefault="004D3A3A" w:rsidP="00A63667">
      <w:pPr>
        <w:spacing w:before="100" w:beforeAutospacing="1" w:after="100" w:afterAutospacing="1" w:line="240" w:lineRule="auto"/>
        <w:rPr>
          <w:rFonts w:ascii="Arial" w:eastAsia="Times New Roman" w:hAnsi="Arial" w:cs="Arial"/>
          <w:kern w:val="0"/>
          <w:lang w:eastAsia="en-IN"/>
          <w14:ligatures w14:val="none"/>
        </w:rPr>
      </w:pPr>
    </w:p>
    <w:p w14:paraId="4B8CE9E0" w14:textId="77777777" w:rsidR="00A63667" w:rsidRPr="004D3A3A" w:rsidRDefault="00A63667" w:rsidP="00A63667">
      <w:pPr>
        <w:spacing w:before="100" w:beforeAutospacing="1" w:after="100" w:afterAutospacing="1" w:line="240" w:lineRule="auto"/>
        <w:outlineLvl w:val="3"/>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5.3. NH</w:t>
      </w:r>
      <w:r w:rsidRPr="004D3A3A">
        <w:rPr>
          <w:rFonts w:ascii="Cambria Math" w:eastAsia="Times New Roman" w:hAnsi="Cambria Math" w:cs="Cambria Math"/>
          <w:b/>
          <w:bCs/>
          <w:kern w:val="0"/>
          <w:lang w:eastAsia="en-IN"/>
          <w14:ligatures w14:val="none"/>
        </w:rPr>
        <w:t>₃</w:t>
      </w:r>
      <w:r w:rsidRPr="004D3A3A">
        <w:rPr>
          <w:rFonts w:ascii="Arial" w:eastAsia="Times New Roman" w:hAnsi="Arial" w:cs="Arial"/>
          <w:b/>
          <w:bCs/>
          <w:kern w:val="0"/>
          <w:lang w:eastAsia="en-IN"/>
          <w14:ligatures w14:val="none"/>
        </w:rPr>
        <w:t xml:space="preserve"> volatilisation: managing the “first 24 hours”</w:t>
      </w:r>
    </w:p>
    <w:p w14:paraId="77F5032C" w14:textId="2FBBBC2D" w:rsidR="00A63667" w:rsidRPr="004D3A3A" w:rsidRDefault="00A63667" w:rsidP="00A63667">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losses are typically largest within hours after spreading and scale with TAN concentration, pH, temperature, wind, and the degree of contact with air. Because digestate commonly has higher TAN and pH than undigested slurry, its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emission potential is often greater unless mitigated. A systematic review concludes that application technique (injection/banding vs splash-plate), rapid incorporation, and acidification are the most powerful levers to cut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from digestate in the field (Pedersen &amp; Hafner, 2023). Full-scale studies show that acidifying slurries to around pH 5–6 can markedly depress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fluxes; in housing and storage systems such acidification also curbs methane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offering co-benefits (Overmeyer et al., 2023; Lemes et al., 2022). Emerging field data suggest shallow injection of liquid-separated, anaerobically digested manure reduces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while maintaining yields (Sigdel et al., 2025). </w:t>
      </w:r>
    </w:p>
    <w:p w14:paraId="0D87B629" w14:textId="77777777" w:rsidR="00A63667" w:rsidRPr="004D3A3A" w:rsidRDefault="00A63667" w:rsidP="00A63667">
      <w:pPr>
        <w:spacing w:before="100" w:beforeAutospacing="1" w:after="100" w:afterAutospacing="1" w:line="240" w:lineRule="auto"/>
        <w:outlineLvl w:val="3"/>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5.4. Carbon outcomes and nutrient cycling co-benefits</w:t>
      </w:r>
    </w:p>
    <w:p w14:paraId="2A63EA15" w14:textId="01E44877" w:rsidR="00A63667" w:rsidRPr="004D3A3A" w:rsidRDefault="00A63667" w:rsidP="00A63667">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Repeated manure or compost applications are a proven route to build soil organic carbon (SOC), with meta-analyses showing consistent SOC gains relative to mineral fertiliser alone. These gains are strongest where initial SOC is low and where manure is allocated to crop phases with low ley proportion—conditions that also improve nutrient use efficiency (Maillard &amp; Angers, 2014; Gross &amp; Glaser, 2021; Joona et al., 2024). SOC accrual improves structure and water retention, which can indirectly moderate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by reducing denitrification hot moments after rainfall. </w:t>
      </w:r>
    </w:p>
    <w:p w14:paraId="56180164" w14:textId="77777777" w:rsidR="00A63667" w:rsidRPr="004D3A3A" w:rsidRDefault="00A63667" w:rsidP="00A63667">
      <w:pPr>
        <w:spacing w:before="100" w:beforeAutospacing="1" w:after="100" w:afterAutospacing="1" w:line="240" w:lineRule="auto"/>
        <w:outlineLvl w:val="3"/>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5.5. Nitrate leaching: a frequently overlooked climate lever</w:t>
      </w:r>
    </w:p>
    <w:p w14:paraId="71FA4A64" w14:textId="55E9B57C" w:rsidR="00A63667" w:rsidRPr="004D3A3A" w:rsidRDefault="00A63667" w:rsidP="00A63667">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lastRenderedPageBreak/>
        <w:t>Because composted materials typically release N more slowly than mineral fertilisers, they can lower nitrate (NO</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leaching risk—an important climate co-benefit given the energy costs of fertiliser replacement and the downstream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formation in aquatic systems. A synthesis in North American systems reported that dairy manure frequently reduced NO</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losses compared to urea, especially when combined with timely incorporation and appropriate rates (O’Brien et al., 2019). </w:t>
      </w:r>
    </w:p>
    <w:p w14:paraId="2A04E234" w14:textId="77777777" w:rsidR="00A63667" w:rsidRPr="004D3A3A" w:rsidRDefault="00A63667" w:rsidP="00A63667">
      <w:pPr>
        <w:spacing w:before="100" w:beforeAutospacing="1" w:after="100" w:afterAutospacing="1" w:line="240" w:lineRule="auto"/>
        <w:outlineLvl w:val="3"/>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5.6. Putting it together: design rules for climate-smart organics</w:t>
      </w:r>
    </w:p>
    <w:p w14:paraId="1866B2BE" w14:textId="77777777" w:rsidR="00A63667" w:rsidRDefault="00A63667" w:rsidP="00A63667">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Taken together, the evidence suggests a tiered management approach. Where the goal is near-term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mitigation with minimal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loss, favour mature, higher-</w:t>
      </w:r>
      <w:proofErr w:type="gramStart"/>
      <w:r w:rsidRPr="004D3A3A">
        <w:rPr>
          <w:rFonts w:ascii="Arial" w:eastAsia="Times New Roman" w:hAnsi="Arial" w:cs="Arial"/>
          <w:kern w:val="0"/>
          <w:lang w:eastAsia="en-IN"/>
          <w14:ligatures w14:val="none"/>
        </w:rPr>
        <w:t>C:N</w:t>
      </w:r>
      <w:proofErr w:type="gramEnd"/>
      <w:r w:rsidRPr="004D3A3A">
        <w:rPr>
          <w:rFonts w:ascii="Arial" w:eastAsia="Times New Roman" w:hAnsi="Arial" w:cs="Arial"/>
          <w:kern w:val="0"/>
          <w:lang w:eastAsia="en-IN"/>
          <w14:ligatures w14:val="none"/>
        </w:rPr>
        <w:t xml:space="preserve"> composts applied at agronomic N rates and avoid co-applications that deliver excess mineral N. When using digestates for circularity and nutrient recovery, treat them as high-risk, high-reward fertilisers: prioritise cool, moist (but not saturated) conditions; adopt low-emission placement (injection or rapid incorporation); consider acidification; and deploy nitrification inhibitors or co-amendments where soils and seasons predispose to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Across materials, align application with crop N demand, pair with cover crops to “harvest” residual mineral N, and monitor outcomes through both agronomic and gas-flux lenses. The climate dividends of organics are real but contingent—won by matching amendment chemistry to site hydrology, soil texture, and operational timing (Valkama et al., 2024; Pedersen &amp; Hafner, 2023; Li et al., 2024).</w:t>
      </w:r>
    </w:p>
    <w:p w14:paraId="19854137" w14:textId="77777777" w:rsidR="004D3A3A" w:rsidRDefault="004D3A3A" w:rsidP="00A63667">
      <w:pPr>
        <w:spacing w:before="100" w:beforeAutospacing="1" w:after="100" w:afterAutospacing="1" w:line="240" w:lineRule="auto"/>
        <w:rPr>
          <w:rFonts w:ascii="Arial" w:eastAsia="Times New Roman" w:hAnsi="Arial" w:cs="Arial"/>
          <w:kern w:val="0"/>
          <w:lang w:eastAsia="en-IN"/>
          <w14:ligatures w14:val="none"/>
        </w:rPr>
      </w:pPr>
    </w:p>
    <w:p w14:paraId="78CC1CC6" w14:textId="77777777" w:rsidR="004D3A3A" w:rsidRDefault="004D3A3A" w:rsidP="00A63667">
      <w:pPr>
        <w:spacing w:before="100" w:beforeAutospacing="1" w:after="100" w:afterAutospacing="1" w:line="240" w:lineRule="auto"/>
        <w:rPr>
          <w:rFonts w:ascii="Arial" w:eastAsia="Times New Roman" w:hAnsi="Arial" w:cs="Arial"/>
          <w:kern w:val="0"/>
          <w:lang w:eastAsia="en-IN"/>
          <w14:ligatures w14:val="none"/>
        </w:rPr>
      </w:pPr>
    </w:p>
    <w:p w14:paraId="3B506A60" w14:textId="77777777" w:rsidR="004D3A3A" w:rsidRPr="004D3A3A" w:rsidRDefault="004D3A3A" w:rsidP="00A63667">
      <w:pPr>
        <w:spacing w:before="100" w:beforeAutospacing="1" w:after="100" w:afterAutospacing="1" w:line="240" w:lineRule="auto"/>
        <w:rPr>
          <w:rFonts w:ascii="Arial" w:eastAsia="Times New Roman" w:hAnsi="Arial" w:cs="Arial"/>
          <w:kern w:val="0"/>
          <w:lang w:eastAsia="en-IN"/>
          <w14:ligatures w14:val="none"/>
        </w:rPr>
      </w:pPr>
    </w:p>
    <w:p w14:paraId="648C3544" w14:textId="77777777" w:rsidR="00871F5B" w:rsidRPr="004D3A3A" w:rsidRDefault="00871F5B" w:rsidP="00871F5B">
      <w:pPr>
        <w:spacing w:before="100" w:beforeAutospacing="1" w:after="100" w:afterAutospacing="1" w:line="240" w:lineRule="auto"/>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6. Greenhouse-gas accounting, MRV, and integrity in carbon markets</w:t>
      </w:r>
    </w:p>
    <w:p w14:paraId="71E4677D" w14:textId="77777777" w:rsidR="00871F5B" w:rsidRPr="004D3A3A" w:rsidRDefault="00871F5B" w:rsidP="00871F5B">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6.1 Purpose and scope</w:t>
      </w:r>
    </w:p>
    <w:p w14:paraId="626314ED" w14:textId="6D6EFCEB"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This section defines what counts as climate benefit in circular bioeconomy farming systems and how those benefits should be measured, reported, and verified (MRV) so that credits (if issued) reflect real, additional, and durable mitigation. We focus on residue recycling (composting and digestion), biochar systems, and organic amendments, covering boundary setting, baseline selection, leakage and double counting, permanence, uncertainty management, and third-party verification. We synthesize advances in soil-carbon MRV (Smith et al., 2020), biochar accounting (Woolf et al., 2021; Lehmann et al., 2021), and cross-sector evidence on carbon-credit integrity (Oldfield et al., 2022; Badgley et al., 2022; Probst et al., 2024), and translate them to operational guidance for farm-scale projects and aggregated programs. </w:t>
      </w:r>
    </w:p>
    <w:p w14:paraId="0E26C54E" w14:textId="77777777" w:rsidR="00871F5B" w:rsidRPr="004D3A3A" w:rsidRDefault="00871F5B" w:rsidP="00871F5B">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6.2 What to count: sources, sinks, and co-products</w:t>
      </w:r>
    </w:p>
    <w:p w14:paraId="006C08D2" w14:textId="5AB85A59"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Comprehensive accounting requires tracking three components: (</w:t>
      </w:r>
      <w:proofErr w:type="spellStart"/>
      <w:r w:rsidRPr="004D3A3A">
        <w:rPr>
          <w:rFonts w:ascii="Arial" w:eastAsia="Times New Roman" w:hAnsi="Arial" w:cs="Arial"/>
          <w:kern w:val="0"/>
          <w:lang w:eastAsia="en-IN"/>
          <w14:ligatures w14:val="none"/>
        </w:rPr>
        <w:t>i</w:t>
      </w:r>
      <w:proofErr w:type="spellEnd"/>
      <w:r w:rsidRPr="004D3A3A">
        <w:rPr>
          <w:rFonts w:ascii="Arial" w:eastAsia="Times New Roman" w:hAnsi="Arial" w:cs="Arial"/>
          <w:kern w:val="0"/>
          <w:lang w:eastAsia="en-IN"/>
          <w14:ligatures w14:val="none"/>
        </w:rPr>
        <w:t xml:space="preserve">) </w:t>
      </w:r>
      <w:r w:rsidRPr="004D3A3A">
        <w:rPr>
          <w:rFonts w:ascii="Arial" w:eastAsia="Times New Roman" w:hAnsi="Arial" w:cs="Arial"/>
          <w:b/>
          <w:bCs/>
          <w:kern w:val="0"/>
          <w:lang w:eastAsia="en-IN"/>
          <w14:ligatures w14:val="none"/>
        </w:rPr>
        <w:t>stock changes</w:t>
      </w:r>
      <w:r w:rsidRPr="004D3A3A">
        <w:rPr>
          <w:rFonts w:ascii="Arial" w:eastAsia="Times New Roman" w:hAnsi="Arial" w:cs="Arial"/>
          <w:kern w:val="0"/>
          <w:lang w:eastAsia="en-IN"/>
          <w14:ligatures w14:val="none"/>
        </w:rPr>
        <w:t xml:space="preserve"> in soil and biomass carbon (e.g., SOC accrual); (ii) </w:t>
      </w:r>
      <w:r w:rsidRPr="004D3A3A">
        <w:rPr>
          <w:rFonts w:ascii="Arial" w:eastAsia="Times New Roman" w:hAnsi="Arial" w:cs="Arial"/>
          <w:b/>
          <w:bCs/>
          <w:kern w:val="0"/>
          <w:lang w:eastAsia="en-IN"/>
          <w14:ligatures w14:val="none"/>
        </w:rPr>
        <w:t>non-CO</w:t>
      </w:r>
      <w:r w:rsidRPr="004D3A3A">
        <w:rPr>
          <w:rFonts w:ascii="Cambria Math" w:eastAsia="Times New Roman" w:hAnsi="Cambria Math" w:cs="Cambria Math"/>
          <w:b/>
          <w:bCs/>
          <w:kern w:val="0"/>
          <w:lang w:eastAsia="en-IN"/>
          <w14:ligatures w14:val="none"/>
        </w:rPr>
        <w:t>₂</w:t>
      </w:r>
      <w:r w:rsidRPr="004D3A3A">
        <w:rPr>
          <w:rFonts w:ascii="Arial" w:eastAsia="Times New Roman" w:hAnsi="Arial" w:cs="Arial"/>
          <w:b/>
          <w:bCs/>
          <w:kern w:val="0"/>
          <w:lang w:eastAsia="en-IN"/>
          <w14:ligatures w14:val="none"/>
        </w:rPr>
        <w:t xml:space="preserve"> fluxes</w:t>
      </w:r>
      <w:r w:rsidRPr="004D3A3A">
        <w:rPr>
          <w:rFonts w:ascii="Arial" w:eastAsia="Times New Roman" w:hAnsi="Arial" w:cs="Arial"/>
          <w:kern w:val="0"/>
          <w:lang w:eastAsia="en-IN"/>
          <w14:ligatures w14:val="none"/>
        </w:rPr>
        <w:t xml:space="preserve">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from soils and waste management; and (iii) </w:t>
      </w:r>
      <w:r w:rsidRPr="004D3A3A">
        <w:rPr>
          <w:rFonts w:ascii="Arial" w:eastAsia="Times New Roman" w:hAnsi="Arial" w:cs="Arial"/>
          <w:b/>
          <w:bCs/>
          <w:kern w:val="0"/>
          <w:lang w:eastAsia="en-IN"/>
          <w14:ligatures w14:val="none"/>
        </w:rPr>
        <w:t>energy and material co-products</w:t>
      </w:r>
      <w:r w:rsidRPr="004D3A3A">
        <w:rPr>
          <w:rFonts w:ascii="Arial" w:eastAsia="Times New Roman" w:hAnsi="Arial" w:cs="Arial"/>
          <w:kern w:val="0"/>
          <w:lang w:eastAsia="en-IN"/>
          <w14:ligatures w14:val="none"/>
        </w:rPr>
        <w:t xml:space="preserve"> that displace fossil emissions (e.g., heat/electricity from digestion; surplus heat from pyrolysis). Established life-cycle assessments (LCAs) for biochar demonstrate that the net balance depends on both stable carbon addition and avoided emissions from substituted energy and waste pathways (Roberts et al., 2010; Peters et al., 2015). For composting and digestion,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and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w:t>
      </w:r>
      <w:r w:rsidRPr="004D3A3A">
        <w:rPr>
          <w:rFonts w:ascii="Arial" w:eastAsia="Times New Roman" w:hAnsi="Arial" w:cs="Arial"/>
          <w:kern w:val="0"/>
          <w:lang w:eastAsia="en-IN"/>
          <w14:ligatures w14:val="none"/>
        </w:rPr>
        <w:lastRenderedPageBreak/>
        <w:t xml:space="preserve">dominate the footprint if systems are poorly controlled, underscoring the need for process-level MRV (Nordahl et al., 2023; </w:t>
      </w:r>
      <w:proofErr w:type="spellStart"/>
      <w:r w:rsidRPr="004D3A3A">
        <w:rPr>
          <w:rFonts w:ascii="Arial" w:eastAsia="Times New Roman" w:hAnsi="Arial" w:cs="Arial"/>
          <w:kern w:val="0"/>
          <w:lang w:eastAsia="en-IN"/>
          <w14:ligatures w14:val="none"/>
        </w:rPr>
        <w:t>Bakkaloglu</w:t>
      </w:r>
      <w:proofErr w:type="spellEnd"/>
      <w:r w:rsidRPr="004D3A3A">
        <w:rPr>
          <w:rFonts w:ascii="Arial" w:eastAsia="Times New Roman" w:hAnsi="Arial" w:cs="Arial"/>
          <w:kern w:val="0"/>
          <w:lang w:eastAsia="en-IN"/>
          <w14:ligatures w14:val="none"/>
        </w:rPr>
        <w:t xml:space="preserve"> et al., 2022). </w:t>
      </w:r>
    </w:p>
    <w:p w14:paraId="4B9B1EB4" w14:textId="77777777" w:rsidR="00871F5B" w:rsidRPr="004D3A3A" w:rsidRDefault="00871F5B" w:rsidP="00871F5B">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6.3 System boundaries and baselines</w:t>
      </w:r>
    </w:p>
    <w:p w14:paraId="18F5C4FF" w14:textId="17ACC96F"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Boundaries should be cradle-to-farm-gate at minimum, with attribution rules for upstream feedstock logistics and downstream co-products. Counterfactual baselines must reflect plausible, regionally specific practices absent the project, not aspirational best practice or regional averages that mask selection effects. Rigorous work has shown that lenient or unrepresentative baselines systematically over-credit projects; although much of this evidence comes from forestry and energy offsets, the same logic applies to agricultural credits (Badgley et al., 2022; Probst et al., 2024; West et al., 2023). For soil-carbon projects, Oldfield et al. (2022) recommend regionally consistent, transparent baselines and explicit accounting for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gases to ensure net GHG removal. </w:t>
      </w:r>
    </w:p>
    <w:p w14:paraId="27933544" w14:textId="77777777" w:rsidR="00871F5B" w:rsidRPr="004D3A3A" w:rsidRDefault="00871F5B" w:rsidP="00871F5B">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6.4 Permanence, durability, and reversal risk</w:t>
      </w:r>
    </w:p>
    <w:p w14:paraId="556F483F" w14:textId="057C96AB"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Permanence is a spectrum across practices. Biochar offers century-scale carbon persistence when produced at appropriate temperatures and applied to soils, shifting projects from short-lived storage to geochemically durable removal (Lehmann et al., 2021; Woolf et al., 2021). By contrast, SOC gains from organics and in-field residue retention can be reversed by management or climate shocks; crediting should therefore apply discounting, conservative baselines, and robust buffer pools sized to empirically observed reversal risks (Probst et al., 2024). Methodologies must also debit any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O increases that erode the permanence value of SOC gains. </w:t>
      </w:r>
    </w:p>
    <w:p w14:paraId="29336ADC" w14:textId="77777777" w:rsidR="00871F5B" w:rsidRPr="004D3A3A" w:rsidRDefault="00871F5B" w:rsidP="00871F5B">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 xml:space="preserve">6.5 Measurement strategies: direct sampling, </w:t>
      </w:r>
      <w:proofErr w:type="spellStart"/>
      <w:r w:rsidRPr="004D3A3A">
        <w:rPr>
          <w:rFonts w:ascii="Arial" w:eastAsia="Times New Roman" w:hAnsi="Arial" w:cs="Arial"/>
          <w:b/>
          <w:bCs/>
          <w:kern w:val="0"/>
          <w:lang w:eastAsia="en-IN"/>
          <w14:ligatures w14:val="none"/>
        </w:rPr>
        <w:t>modeling</w:t>
      </w:r>
      <w:proofErr w:type="spellEnd"/>
      <w:r w:rsidRPr="004D3A3A">
        <w:rPr>
          <w:rFonts w:ascii="Arial" w:eastAsia="Times New Roman" w:hAnsi="Arial" w:cs="Arial"/>
          <w:b/>
          <w:bCs/>
          <w:kern w:val="0"/>
          <w:lang w:eastAsia="en-IN"/>
          <w14:ligatures w14:val="none"/>
        </w:rPr>
        <w:t>, and hybrid approaches</w:t>
      </w:r>
    </w:p>
    <w:p w14:paraId="349748D3" w14:textId="3164DCEF"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Direct SOC measurements through depth-explicit, repeated sampling remain the gold standard but are costly and statistically demanding. A tiered approach—combining well-designed sampling (power analysis, paired plots, depth to ≥30–60 cm), spectroscopic proxies calibrated to local soils, and process models for temporal interpolation—offers the most credible path at program scale (Smith et al., 2020). For biochar, method-ready factors link biochar elemental ratios and application rates to expected net GHG outcomes, enabling consistent crediting across soils and climates (Woolf et al., 2021). </w:t>
      </w:r>
    </w:p>
    <w:p w14:paraId="2AD18465" w14:textId="77777777" w:rsidR="00871F5B" w:rsidRPr="004D3A3A" w:rsidRDefault="00871F5B" w:rsidP="00871F5B">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6.6 Capturing non-CO</w:t>
      </w:r>
      <w:r w:rsidRPr="004D3A3A">
        <w:rPr>
          <w:rFonts w:ascii="Cambria Math" w:eastAsia="Times New Roman" w:hAnsi="Cambria Math" w:cs="Cambria Math"/>
          <w:b/>
          <w:bCs/>
          <w:kern w:val="0"/>
          <w:lang w:eastAsia="en-IN"/>
          <w14:ligatures w14:val="none"/>
        </w:rPr>
        <w:t>₂</w:t>
      </w:r>
      <w:r w:rsidRPr="004D3A3A">
        <w:rPr>
          <w:rFonts w:ascii="Arial" w:eastAsia="Times New Roman" w:hAnsi="Arial" w:cs="Arial"/>
          <w:b/>
          <w:bCs/>
          <w:kern w:val="0"/>
          <w:lang w:eastAsia="en-IN"/>
          <w14:ligatures w14:val="none"/>
        </w:rPr>
        <w:t xml:space="preserve"> emissions: composting and digestion</w:t>
      </w:r>
    </w:p>
    <w:p w14:paraId="42D0E3F1" w14:textId="55DA43B8"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Because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leakage and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spikes can dominate waste-to-resource pathways, MRV must include direct measurements at emission hotspots. Reviews and measurement campaigns reveal that a small number of high-emitting sites (“super-emitters”) can account for a large share of biogas/biomethane supply-chain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and that digestate handling is a critical stage (</w:t>
      </w:r>
      <w:proofErr w:type="spellStart"/>
      <w:r w:rsidRPr="004D3A3A">
        <w:rPr>
          <w:rFonts w:ascii="Arial" w:eastAsia="Times New Roman" w:hAnsi="Arial" w:cs="Arial"/>
          <w:kern w:val="0"/>
          <w:lang w:eastAsia="en-IN"/>
          <w14:ligatures w14:val="none"/>
        </w:rPr>
        <w:t>Bakkaloglu</w:t>
      </w:r>
      <w:proofErr w:type="spellEnd"/>
      <w:r w:rsidRPr="004D3A3A">
        <w:rPr>
          <w:rFonts w:ascii="Arial" w:eastAsia="Times New Roman" w:hAnsi="Arial" w:cs="Arial"/>
          <w:kern w:val="0"/>
          <w:lang w:eastAsia="en-IN"/>
          <w14:ligatures w14:val="none"/>
        </w:rPr>
        <w:t xml:space="preserve"> et al., 2022). Comparative studies show convergent estimates across mobile plume, tracer, and lidar techniques when protocols are standardized (</w:t>
      </w:r>
      <w:proofErr w:type="spellStart"/>
      <w:r w:rsidRPr="004D3A3A">
        <w:rPr>
          <w:rFonts w:ascii="Arial" w:eastAsia="Times New Roman" w:hAnsi="Arial" w:cs="Arial"/>
          <w:kern w:val="0"/>
          <w:lang w:eastAsia="en-IN"/>
          <w14:ligatures w14:val="none"/>
        </w:rPr>
        <w:t>Hrad</w:t>
      </w:r>
      <w:proofErr w:type="spellEnd"/>
      <w:r w:rsidRPr="004D3A3A">
        <w:rPr>
          <w:rFonts w:ascii="Arial" w:eastAsia="Times New Roman" w:hAnsi="Arial" w:cs="Arial"/>
          <w:kern w:val="0"/>
          <w:lang w:eastAsia="en-IN"/>
          <w14:ligatures w14:val="none"/>
        </w:rPr>
        <w:t xml:space="preserve"> et al., 2022). For composting, synthesis of 388 emission factors shows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often drives the 100-year warming impact unless aeration, moisture, and </w:t>
      </w:r>
      <w:proofErr w:type="gramStart"/>
      <w:r w:rsidRPr="004D3A3A">
        <w:rPr>
          <w:rFonts w:ascii="Arial" w:eastAsia="Times New Roman" w:hAnsi="Arial" w:cs="Arial"/>
          <w:kern w:val="0"/>
          <w:lang w:eastAsia="en-IN"/>
          <w14:ligatures w14:val="none"/>
        </w:rPr>
        <w:t>C:N</w:t>
      </w:r>
      <w:proofErr w:type="gramEnd"/>
      <w:r w:rsidRPr="004D3A3A">
        <w:rPr>
          <w:rFonts w:ascii="Arial" w:eastAsia="Times New Roman" w:hAnsi="Arial" w:cs="Arial"/>
          <w:kern w:val="0"/>
          <w:lang w:eastAsia="en-IN"/>
          <w14:ligatures w14:val="none"/>
        </w:rPr>
        <w:t xml:space="preserve"> are tightly managed, with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control as a parallel air-quality co-benefit target (Nordahl et al., 2023). </w:t>
      </w:r>
    </w:p>
    <w:p w14:paraId="62C578CE" w14:textId="77777777" w:rsidR="00871F5B" w:rsidRPr="004D3A3A" w:rsidRDefault="00871F5B" w:rsidP="00871F5B">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6.7 Additionality, leakage, and double counting</w:t>
      </w:r>
    </w:p>
    <w:p w14:paraId="4CB85206" w14:textId="3149D81E"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Additionality requires evidence that practices would not occur absent credit revenue; otherwise credits enable no net mitigation. Empirical meta-assessments across credit types find low “offset achievement ratios” due to baseline inflation and developer discretion (Probst </w:t>
      </w:r>
      <w:r w:rsidRPr="004D3A3A">
        <w:rPr>
          <w:rFonts w:ascii="Arial" w:eastAsia="Times New Roman" w:hAnsi="Arial" w:cs="Arial"/>
          <w:kern w:val="0"/>
          <w:lang w:eastAsia="en-IN"/>
          <w14:ligatures w14:val="none"/>
        </w:rPr>
        <w:lastRenderedPageBreak/>
        <w:t xml:space="preserve">et al., 2024). Agricultural projects are not exempt: protocols must address </w:t>
      </w:r>
      <w:r w:rsidRPr="004D3A3A">
        <w:rPr>
          <w:rFonts w:ascii="Arial" w:eastAsia="Times New Roman" w:hAnsi="Arial" w:cs="Arial"/>
          <w:b/>
          <w:bCs/>
          <w:kern w:val="0"/>
          <w:lang w:eastAsia="en-IN"/>
          <w14:ligatures w14:val="none"/>
        </w:rPr>
        <w:t>activity leakage</w:t>
      </w:r>
      <w:r w:rsidRPr="004D3A3A">
        <w:rPr>
          <w:rFonts w:ascii="Arial" w:eastAsia="Times New Roman" w:hAnsi="Arial" w:cs="Arial"/>
          <w:kern w:val="0"/>
          <w:lang w:eastAsia="en-IN"/>
          <w14:ligatures w14:val="none"/>
        </w:rPr>
        <w:t xml:space="preserve"> (e.g., residue diversion increasing fertilizer use elsewhere) and </w:t>
      </w:r>
      <w:r w:rsidRPr="004D3A3A">
        <w:rPr>
          <w:rFonts w:ascii="Arial" w:eastAsia="Times New Roman" w:hAnsi="Arial" w:cs="Arial"/>
          <w:b/>
          <w:bCs/>
          <w:kern w:val="0"/>
          <w:lang w:eastAsia="en-IN"/>
          <w14:ligatures w14:val="none"/>
        </w:rPr>
        <w:t>market leakage</w:t>
      </w:r>
      <w:r w:rsidRPr="004D3A3A">
        <w:rPr>
          <w:rFonts w:ascii="Arial" w:eastAsia="Times New Roman" w:hAnsi="Arial" w:cs="Arial"/>
          <w:kern w:val="0"/>
          <w:lang w:eastAsia="en-IN"/>
          <w14:ligatures w14:val="none"/>
        </w:rPr>
        <w:t xml:space="preserve"> (e.g., commodity price responses), and must prevent double claiming by aligning project-level credits with national inventory accounting (Oldfield et al., 2022; </w:t>
      </w:r>
      <w:proofErr w:type="spellStart"/>
      <w:r w:rsidRPr="004D3A3A">
        <w:rPr>
          <w:rFonts w:ascii="Arial" w:eastAsia="Times New Roman" w:hAnsi="Arial" w:cs="Arial"/>
          <w:kern w:val="0"/>
          <w:lang w:eastAsia="en-IN"/>
          <w14:ligatures w14:val="none"/>
        </w:rPr>
        <w:t>Kreibich</w:t>
      </w:r>
      <w:proofErr w:type="spellEnd"/>
      <w:r w:rsidRPr="004D3A3A">
        <w:rPr>
          <w:rFonts w:ascii="Arial" w:eastAsia="Times New Roman" w:hAnsi="Arial" w:cs="Arial"/>
          <w:kern w:val="0"/>
          <w:lang w:eastAsia="en-IN"/>
          <w14:ligatures w14:val="none"/>
        </w:rPr>
        <w:t xml:space="preserve"> &amp; </w:t>
      </w:r>
      <w:proofErr w:type="spellStart"/>
      <w:r w:rsidRPr="004D3A3A">
        <w:rPr>
          <w:rFonts w:ascii="Arial" w:eastAsia="Times New Roman" w:hAnsi="Arial" w:cs="Arial"/>
          <w:kern w:val="0"/>
          <w:lang w:eastAsia="en-IN"/>
          <w14:ligatures w14:val="none"/>
        </w:rPr>
        <w:t>Hermwille</w:t>
      </w:r>
      <w:proofErr w:type="spellEnd"/>
      <w:r w:rsidRPr="004D3A3A">
        <w:rPr>
          <w:rFonts w:ascii="Arial" w:eastAsia="Times New Roman" w:hAnsi="Arial" w:cs="Arial"/>
          <w:kern w:val="0"/>
          <w:lang w:eastAsia="en-IN"/>
          <w14:ligatures w14:val="none"/>
        </w:rPr>
        <w:t xml:space="preserve">, 2021). </w:t>
      </w:r>
    </w:p>
    <w:p w14:paraId="562F8C31" w14:textId="77777777" w:rsidR="00871F5B" w:rsidRPr="004D3A3A" w:rsidRDefault="00871F5B" w:rsidP="00871F5B">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6.8 Verification and uncertainty management</w:t>
      </w:r>
    </w:p>
    <w:p w14:paraId="79220FBC" w14:textId="3E473A55"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Verification should report quantified uncertainty on both SOC change and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fluxes and apply conservative deductions when confidence intervals overlap zero. Smith et al. (2020) propose a global MRV architecture integrating benchmark sites, harmonized sampling, and model evaluation; this directly supports transparent uncertainty statements. For project methodologies, conservative estimators and guardrails against parameter gaming are recommended, along with standardized leakage deductions and reversal-risk buffers calibrated to empirical disturbance data (Probst et al., 2024; West et al., 2023). </w:t>
      </w:r>
    </w:p>
    <w:p w14:paraId="2AC29AA1" w14:textId="77777777" w:rsidR="00871F5B" w:rsidRPr="004D3A3A" w:rsidRDefault="00871F5B" w:rsidP="00871F5B">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6.9 Why biochar accounting looks different</w:t>
      </w:r>
    </w:p>
    <w:p w14:paraId="06B2EBBB" w14:textId="2BAD0734"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Compared to SOC accrual from organics alone, biochar projects can credibly claim durable carbon storage plus avoided emissions from substituted waste and energy pathways. Updated inventory factors and parameterizations enable implementation from farm to national scales, provided feedstock provenance, pyrolysis conditions, and end-use are documented (Woolf et al., 2021). Integrating these methods with LCA avoids double counting and clarifies the distinct roles of </w:t>
      </w:r>
      <w:r w:rsidRPr="004D3A3A">
        <w:rPr>
          <w:rFonts w:ascii="Arial" w:eastAsia="Times New Roman" w:hAnsi="Arial" w:cs="Arial"/>
          <w:b/>
          <w:bCs/>
          <w:kern w:val="0"/>
          <w:lang w:eastAsia="en-IN"/>
          <w14:ligatures w14:val="none"/>
        </w:rPr>
        <w:t>removals</w:t>
      </w:r>
      <w:r w:rsidRPr="004D3A3A">
        <w:rPr>
          <w:rFonts w:ascii="Arial" w:eastAsia="Times New Roman" w:hAnsi="Arial" w:cs="Arial"/>
          <w:kern w:val="0"/>
          <w:lang w:eastAsia="en-IN"/>
          <w14:ligatures w14:val="none"/>
        </w:rPr>
        <w:t xml:space="preserve"> (stable C in biochar) versus reductions (e.g., displaced fossil energy), aligning projects with high-integrity credit criteria (Lehmann et al., 2021; Roberts et al., 2010; Peters et al., 2015). </w:t>
      </w:r>
    </w:p>
    <w:p w14:paraId="190A253A" w14:textId="77777777" w:rsidR="00871F5B" w:rsidRPr="004D3A3A" w:rsidRDefault="00871F5B" w:rsidP="00871F5B">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6.10 Market integrity and program design</w:t>
      </w:r>
    </w:p>
    <w:p w14:paraId="3542CFB4" w14:textId="77777777"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High-integrity agricultural credits require standardized baselines, mandatory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accounting, robust permanence provisions, and transparent uncertainty deductions. The literature documents systemic over-crediting across multiple project types and highlights the dangers of flexible, developer-friendly assumptions (Badgley et al., 2022; Probst et al., 2024). Programs should therefore restrict eligibility to project types with demonstrably high additionality and verifiable outcomes, </w:t>
      </w:r>
      <w:proofErr w:type="spellStart"/>
      <w:r w:rsidRPr="004D3A3A">
        <w:rPr>
          <w:rFonts w:ascii="Arial" w:eastAsia="Times New Roman" w:hAnsi="Arial" w:cs="Arial"/>
          <w:kern w:val="0"/>
          <w:lang w:eastAsia="en-IN"/>
          <w14:ligatures w14:val="none"/>
        </w:rPr>
        <w:t>favor</w:t>
      </w:r>
      <w:proofErr w:type="spellEnd"/>
      <w:r w:rsidRPr="004D3A3A">
        <w:rPr>
          <w:rFonts w:ascii="Arial" w:eastAsia="Times New Roman" w:hAnsi="Arial" w:cs="Arial"/>
          <w:kern w:val="0"/>
          <w:lang w:eastAsia="en-IN"/>
          <w14:ligatures w14:val="none"/>
        </w:rPr>
        <w:t xml:space="preserve"> regionally consistent protocols, and mandate public data disclosure sufficient for independent replication (Oldfield et al., 2022; </w:t>
      </w:r>
      <w:proofErr w:type="spellStart"/>
      <w:r w:rsidRPr="004D3A3A">
        <w:rPr>
          <w:rFonts w:ascii="Arial" w:eastAsia="Times New Roman" w:hAnsi="Arial" w:cs="Arial"/>
          <w:kern w:val="0"/>
          <w:lang w:eastAsia="en-IN"/>
          <w14:ligatures w14:val="none"/>
        </w:rPr>
        <w:t>Kreibich</w:t>
      </w:r>
      <w:proofErr w:type="spellEnd"/>
      <w:r w:rsidRPr="004D3A3A">
        <w:rPr>
          <w:rFonts w:ascii="Arial" w:eastAsia="Times New Roman" w:hAnsi="Arial" w:cs="Arial"/>
          <w:kern w:val="0"/>
          <w:lang w:eastAsia="en-IN"/>
          <w14:ligatures w14:val="none"/>
        </w:rPr>
        <w:t xml:space="preserve"> &amp; </w:t>
      </w:r>
      <w:proofErr w:type="spellStart"/>
      <w:r w:rsidRPr="004D3A3A">
        <w:rPr>
          <w:rFonts w:ascii="Arial" w:eastAsia="Times New Roman" w:hAnsi="Arial" w:cs="Arial"/>
          <w:kern w:val="0"/>
          <w:lang w:eastAsia="en-IN"/>
          <w14:ligatures w14:val="none"/>
        </w:rPr>
        <w:t>Hermwille</w:t>
      </w:r>
      <w:proofErr w:type="spellEnd"/>
      <w:r w:rsidRPr="004D3A3A">
        <w:rPr>
          <w:rFonts w:ascii="Arial" w:eastAsia="Times New Roman" w:hAnsi="Arial" w:cs="Arial"/>
          <w:kern w:val="0"/>
          <w:lang w:eastAsia="en-IN"/>
          <w14:ligatures w14:val="none"/>
        </w:rPr>
        <w:t xml:space="preserve">, 2021). </w:t>
      </w:r>
    </w:p>
    <w:p w14:paraId="16CDBD6A" w14:textId="77777777" w:rsidR="0011082E" w:rsidRPr="004D3A3A" w:rsidRDefault="0011082E" w:rsidP="0011082E">
      <w:pPr>
        <w:spacing w:before="100" w:beforeAutospacing="1" w:after="100" w:afterAutospacing="1" w:line="240" w:lineRule="auto"/>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7. Scaling, policy, and economics</w:t>
      </w:r>
    </w:p>
    <w:p w14:paraId="6DE848CC" w14:textId="77777777" w:rsidR="0011082E" w:rsidRPr="004D3A3A" w:rsidRDefault="0011082E" w:rsidP="0011082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7.1 Incentives and carbon markets</w:t>
      </w:r>
    </w:p>
    <w:p w14:paraId="033DAA48" w14:textId="660A72E6" w:rsidR="0011082E" w:rsidRPr="004D3A3A" w:rsidRDefault="0011082E" w:rsidP="0011082E">
      <w:pPr>
        <w:spacing w:before="100" w:beforeAutospacing="1" w:after="100" w:afterAutospacing="1" w:line="240" w:lineRule="auto"/>
        <w:rPr>
          <w:rFonts w:ascii="Arial" w:hAnsi="Arial" w:cs="Arial"/>
        </w:rPr>
      </w:pPr>
      <w:r w:rsidRPr="004D3A3A">
        <w:rPr>
          <w:rFonts w:ascii="Arial" w:eastAsia="Times New Roman" w:hAnsi="Arial" w:cs="Arial"/>
          <w:kern w:val="0"/>
          <w:lang w:eastAsia="en-IN"/>
          <w14:ligatures w14:val="none"/>
        </w:rPr>
        <w:t xml:space="preserve">The rapid emergence of biochar carbon credits illustrates both opportunity and risk. Scientific accounting methods now exist, but programs must align crediting with conservative durability metrics, robust baselines (including alternative residue fates), and leakage safeguards. Aligning MRV with life-cycle thinking—crediting energy co-products and avoided emissions while transparently discounting uncertainties—improves environmental integrity and investor confidence (Woolf et al., 2021; Lehmann et al., 2021). </w:t>
      </w:r>
      <w:hyperlink r:id="rId7" w:tgtFrame="_blank" w:history="1"/>
    </w:p>
    <w:p w14:paraId="6FBA3C7B" w14:textId="77777777" w:rsidR="0011082E" w:rsidRPr="004D3A3A" w:rsidRDefault="0011082E" w:rsidP="0011082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7.2 Infrastructure, logistics, and enabling conditions</w:t>
      </w:r>
    </w:p>
    <w:p w14:paraId="56AF40F5" w14:textId="659836CC" w:rsidR="0011082E" w:rsidRPr="004D3A3A" w:rsidRDefault="0011082E" w:rsidP="0011082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Circular strategies are system solutions. Composting and AD need reliable feedstock logistics, </w:t>
      </w:r>
      <w:proofErr w:type="spellStart"/>
      <w:r w:rsidRPr="004D3A3A">
        <w:rPr>
          <w:rFonts w:ascii="Arial" w:eastAsia="Times New Roman" w:hAnsi="Arial" w:cs="Arial"/>
          <w:kern w:val="0"/>
          <w:lang w:eastAsia="en-IN"/>
          <w14:ligatures w14:val="none"/>
        </w:rPr>
        <w:t>odor</w:t>
      </w:r>
      <w:proofErr w:type="spellEnd"/>
      <w:r w:rsidRPr="004D3A3A">
        <w:rPr>
          <w:rFonts w:ascii="Arial" w:eastAsia="Times New Roman" w:hAnsi="Arial" w:cs="Arial"/>
          <w:kern w:val="0"/>
          <w:lang w:eastAsia="en-IN"/>
          <w14:ligatures w14:val="none"/>
        </w:rPr>
        <w:t xml:space="preserve"> and vector control, and markets for stabilized products. Biochar deployment requires decentralized or hub-and-spoke pyrolysis capacity, quality control, and agronomic </w:t>
      </w:r>
      <w:r w:rsidRPr="004D3A3A">
        <w:rPr>
          <w:rFonts w:ascii="Arial" w:eastAsia="Times New Roman" w:hAnsi="Arial" w:cs="Arial"/>
          <w:kern w:val="0"/>
          <w:lang w:eastAsia="en-IN"/>
          <w14:ligatures w14:val="none"/>
        </w:rPr>
        <w:lastRenderedPageBreak/>
        <w:t>advisory services that tailor rates and co-applications to local soils. Economic analyses of the circular bioeconomy in agriculture emphasize policies that (</w:t>
      </w:r>
      <w:proofErr w:type="spellStart"/>
      <w:r w:rsidRPr="004D3A3A">
        <w:rPr>
          <w:rFonts w:ascii="Arial" w:eastAsia="Times New Roman" w:hAnsi="Arial" w:cs="Arial"/>
          <w:kern w:val="0"/>
          <w:lang w:eastAsia="en-IN"/>
          <w14:ligatures w14:val="none"/>
        </w:rPr>
        <w:t>i</w:t>
      </w:r>
      <w:proofErr w:type="spellEnd"/>
      <w:r w:rsidRPr="004D3A3A">
        <w:rPr>
          <w:rFonts w:ascii="Arial" w:eastAsia="Times New Roman" w:hAnsi="Arial" w:cs="Arial"/>
          <w:kern w:val="0"/>
          <w:lang w:eastAsia="en-IN"/>
          <w14:ligatures w14:val="none"/>
        </w:rPr>
        <w:t xml:space="preserve">) price carbon, (ii) reward ecosystem services, and (iii) de-risk capital for distributed infrastructure—especially where farm-level benefits (e.g., fertilizer savings, stress resilience) accrue slowly (Khanna et al., 2024). </w:t>
      </w:r>
    </w:p>
    <w:p w14:paraId="1C5BD4BE" w14:textId="77777777" w:rsidR="0011082E" w:rsidRPr="004D3A3A" w:rsidRDefault="0011082E" w:rsidP="0011082E">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7.3 Equity and smallholders</w:t>
      </w:r>
    </w:p>
    <w:p w14:paraId="09FD396B" w14:textId="77777777" w:rsidR="0011082E" w:rsidRPr="004D3A3A" w:rsidRDefault="0011082E" w:rsidP="0011082E">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For smallholders, residue-to-value strategies must fit </w:t>
      </w:r>
      <w:proofErr w:type="spellStart"/>
      <w:r w:rsidRPr="004D3A3A">
        <w:rPr>
          <w:rFonts w:ascii="Arial" w:eastAsia="Times New Roman" w:hAnsi="Arial" w:cs="Arial"/>
          <w:kern w:val="0"/>
          <w:lang w:eastAsia="en-IN"/>
          <w14:ligatures w14:val="none"/>
        </w:rPr>
        <w:t>labor</w:t>
      </w:r>
      <w:proofErr w:type="spellEnd"/>
      <w:r w:rsidRPr="004D3A3A">
        <w:rPr>
          <w:rFonts w:ascii="Arial" w:eastAsia="Times New Roman" w:hAnsi="Arial" w:cs="Arial"/>
          <w:kern w:val="0"/>
          <w:lang w:eastAsia="en-IN"/>
          <w14:ligatures w14:val="none"/>
        </w:rPr>
        <w:t xml:space="preserve"> calendars, equipment access, and cash-flow realities. Modular pyrolysis integrated with community composting or AD cooperatives can reduce per-ton costs and expand access to credits, but only if MRV systems are simplified and digitalized without sacrificing rigor—an active area for standards development. Public extension that links credit revenues to visible agronomic outcomes (water-holding capacity, pH correction, nutrient efficiency) will be critical to legitimacy and adoption.</w:t>
      </w:r>
    </w:p>
    <w:p w14:paraId="0F90C3F5" w14:textId="77777777" w:rsidR="00871F5B" w:rsidRPr="004D3A3A" w:rsidRDefault="00871F5B" w:rsidP="00871F5B">
      <w:pPr>
        <w:spacing w:before="100" w:beforeAutospacing="1" w:after="100" w:afterAutospacing="1" w:line="240" w:lineRule="auto"/>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8. Evidence gaps and research priorities</w:t>
      </w:r>
    </w:p>
    <w:p w14:paraId="3FBA54F6" w14:textId="77777777"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A high-integrity circular bioeconomy in farming now hinges less on “whether” these pathways can mitigate and more on “when, where, and how” they do so most reliably. First, context-specific response functions are still coarse: yield,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and CH</w:t>
      </w:r>
      <w:r w:rsidRPr="004D3A3A">
        <w:rPr>
          <w:rFonts w:ascii="Cambria Math" w:eastAsia="Times New Roman" w:hAnsi="Cambria Math" w:cs="Cambria Math"/>
          <w:kern w:val="0"/>
          <w:lang w:eastAsia="en-IN"/>
          <w14:ligatures w14:val="none"/>
        </w:rPr>
        <w:t>₄</w:t>
      </w:r>
      <w:r w:rsidRPr="004D3A3A">
        <w:rPr>
          <w:rFonts w:ascii="Arial" w:eastAsia="Times New Roman" w:hAnsi="Arial" w:cs="Arial"/>
          <w:kern w:val="0"/>
          <w:lang w:eastAsia="en-IN"/>
          <w14:ligatures w14:val="none"/>
        </w:rPr>
        <w:t xml:space="preserve"> outcomes vary with soil texture, pH, climate, and amendment chemistry, but scalable guidance that predicts performance under field heterogeneity remains limited despite new global datasets (Li et al., 2024; Valkama et al., 2024). Second, methane dynamics in flooded systems require factorial field trials that jointly vary residue handling, water regimes, and nitrogen management to resolve contradictory biochar and straw effects across seasons and soils (Qian et al., 2023). Third, for organics, the agronomy of digestate—separation, acidification, injection, and inhibitor use—needs replicated comparisons across soil–climate clusters to quantify N</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O and NH</w:t>
      </w:r>
      <w:r w:rsidRPr="004D3A3A">
        <w:rPr>
          <w:rFonts w:ascii="Cambria Math" w:eastAsia="Times New Roman" w:hAnsi="Cambria Math" w:cs="Cambria Math"/>
          <w:kern w:val="0"/>
          <w:lang w:eastAsia="en-IN"/>
          <w14:ligatures w14:val="none"/>
        </w:rPr>
        <w:t>₃</w:t>
      </w:r>
      <w:r w:rsidRPr="004D3A3A">
        <w:rPr>
          <w:rFonts w:ascii="Arial" w:eastAsia="Times New Roman" w:hAnsi="Arial" w:cs="Arial"/>
          <w:kern w:val="0"/>
          <w:lang w:eastAsia="en-IN"/>
          <w14:ligatures w14:val="none"/>
        </w:rPr>
        <w:t xml:space="preserve"> trade-offs under practical schedules (Valkama et al., 2024). Fourth, composting science has identified strong process-control levers, but standardized emission-factor tiers and performance benchmarks suitable for MRV and crediting are not yet universally adopted (Nordahl et al., 2023). Fifth, durability and accounting require tighter linkage between measurable biochar quality (e.g., H/</w:t>
      </w:r>
      <w:proofErr w:type="spellStart"/>
      <w:r w:rsidRPr="004D3A3A">
        <w:rPr>
          <w:rFonts w:ascii="Arial" w:eastAsia="Times New Roman" w:hAnsi="Arial" w:cs="Arial"/>
          <w:kern w:val="0"/>
          <w:lang w:eastAsia="en-IN"/>
          <w14:ligatures w14:val="none"/>
        </w:rPr>
        <w:t>C_org</w:t>
      </w:r>
      <w:proofErr w:type="spellEnd"/>
      <w:r w:rsidRPr="004D3A3A">
        <w:rPr>
          <w:rFonts w:ascii="Arial" w:eastAsia="Times New Roman" w:hAnsi="Arial" w:cs="Arial"/>
          <w:kern w:val="0"/>
          <w:lang w:eastAsia="en-IN"/>
          <w14:ligatures w14:val="none"/>
        </w:rPr>
        <w:t>) and long-term field persistence, coupled with LCAs that transparently credit or debit co-products and counterfactuals (Lehmann et al., 2021; Woolf et al., 2021). Sixth, supply-chain “super-emitters” in biogas/biomethane systems call for mandatory leak detection and repair protocols, quantification methods harmonization, and integration of these data into project baselines (</w:t>
      </w:r>
      <w:proofErr w:type="spellStart"/>
      <w:r w:rsidRPr="004D3A3A">
        <w:rPr>
          <w:rFonts w:ascii="Arial" w:eastAsia="Times New Roman" w:hAnsi="Arial" w:cs="Arial"/>
          <w:kern w:val="0"/>
          <w:lang w:eastAsia="en-IN"/>
          <w14:ligatures w14:val="none"/>
        </w:rPr>
        <w:t>Bakkaloglu</w:t>
      </w:r>
      <w:proofErr w:type="spellEnd"/>
      <w:r w:rsidRPr="004D3A3A">
        <w:rPr>
          <w:rFonts w:ascii="Arial" w:eastAsia="Times New Roman" w:hAnsi="Arial" w:cs="Arial"/>
          <w:kern w:val="0"/>
          <w:lang w:eastAsia="en-IN"/>
          <w14:ligatures w14:val="none"/>
        </w:rPr>
        <w:t xml:space="preserve"> et al., 2022). Finally, MRV architectures must pair depth-resolved SOC sampling with conservative </w:t>
      </w:r>
      <w:proofErr w:type="spellStart"/>
      <w:r w:rsidRPr="004D3A3A">
        <w:rPr>
          <w:rFonts w:ascii="Arial" w:eastAsia="Times New Roman" w:hAnsi="Arial" w:cs="Arial"/>
          <w:kern w:val="0"/>
          <w:lang w:eastAsia="en-IN"/>
          <w14:ligatures w14:val="none"/>
        </w:rPr>
        <w:t>modeling</w:t>
      </w:r>
      <w:proofErr w:type="spellEnd"/>
      <w:r w:rsidRPr="004D3A3A">
        <w:rPr>
          <w:rFonts w:ascii="Arial" w:eastAsia="Times New Roman" w:hAnsi="Arial" w:cs="Arial"/>
          <w:kern w:val="0"/>
          <w:lang w:eastAsia="en-IN"/>
          <w14:ligatures w14:val="none"/>
        </w:rPr>
        <w:t xml:space="preserve"> and uncertainty deductions, align farm-level crediting with national inventories, and report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gases alongside SOC to prevent over-crediting (Smith et al., 2020; Oldfield et al., 2022).</w:t>
      </w:r>
    </w:p>
    <w:p w14:paraId="02DA0592" w14:textId="77777777" w:rsidR="00871F5B" w:rsidRPr="004D3A3A" w:rsidRDefault="00871F5B" w:rsidP="00871F5B">
      <w:pPr>
        <w:spacing w:before="100" w:beforeAutospacing="1" w:after="100" w:afterAutospacing="1" w:line="240" w:lineRule="auto"/>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9. Conclusions</w:t>
      </w:r>
    </w:p>
    <w:p w14:paraId="011472A2" w14:textId="77777777"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 xml:space="preserve">Across farming systems, a circular bioeconomy turns residues and organic by-products from liabilities into climate assets. This review shows that three pillars—residue recycling, biochar, and climate-oriented organic amendments—can deliver meaningful, verifiable mitigation when designed and measured as full systems rather than isolated practices. Composting provides stabilized carbon and nutrients if piles are kept aerobic, moisture is balanced, and nitrogen is conserved; anaerobic digestion captures energy from wet streams, but its climate value hinges on tight methane containment and low-loss digestate application. In-field retention remains the most direct route to rebuild soil organic carbon, yet requires attention to residue quality, nitrogen timing, and water management to avoid nitrous-oxide and methane trade-offs. Biochar is distinctive because it adds geochemically durable carbon </w:t>
      </w:r>
      <w:r w:rsidRPr="004D3A3A">
        <w:rPr>
          <w:rFonts w:ascii="Arial" w:eastAsia="Times New Roman" w:hAnsi="Arial" w:cs="Arial"/>
          <w:kern w:val="0"/>
          <w:lang w:eastAsia="en-IN"/>
          <w14:ligatures w14:val="none"/>
        </w:rPr>
        <w:lastRenderedPageBreak/>
        <w:t>storage while often improving soil function and lowering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emissions; the strongest results arise when biochar is integrated with composts or digestates and tailored to soil constraints. High-integrity accounting underpins all three pillars. Credible outcomes demand explicit counterfactuals, cradle-to-farm-gate boundaries, and simultaneous tracking of soil carbon,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fluxes, and energy co-products. Permanence, additionality, leakage, and quantified uncertainty are not afterthoughts but design criteria that determine whether credits mobilize real mitigation. On the ground, success depends on logistics and equity: modular infrastructure, quality standards, and advisory services that let smallholders participate, backed by incentives that reward measured performance rather than prescribed inputs. Taken together, the evidence supports a pragmatic playbook: divert the wettest, most labile streams to digestion or biochar-assisted composting; return stabilized materials to fields with low-loss placement; deploy biochar where soils are acidic, drought-prone, or nitrogen-inefficient; and embed all actions in transparent MRV. With these principles, circular farming can cut emissions, store carbon durably, and improve resilience while supporting viable rural economies. Future efforts should prioritize open data, standardized protocols, and inclusive finance to accelerate credible, large-scale, globally equitable deployment.</w:t>
      </w:r>
    </w:p>
    <w:p w14:paraId="23147CE4" w14:textId="77777777" w:rsidR="00871F5B" w:rsidRPr="004D3A3A" w:rsidRDefault="00871F5B" w:rsidP="00871F5B">
      <w:pPr>
        <w:spacing w:before="100" w:beforeAutospacing="1" w:after="100" w:afterAutospacing="1" w:line="240" w:lineRule="auto"/>
        <w:outlineLvl w:val="0"/>
        <w:rPr>
          <w:rFonts w:ascii="Arial" w:eastAsia="Times New Roman" w:hAnsi="Arial" w:cs="Arial"/>
          <w:b/>
          <w:bCs/>
          <w:kern w:val="36"/>
          <w:lang w:eastAsia="en-IN"/>
          <w14:ligatures w14:val="none"/>
        </w:rPr>
      </w:pPr>
      <w:r w:rsidRPr="004D3A3A">
        <w:rPr>
          <w:rFonts w:ascii="Arial" w:eastAsia="Times New Roman" w:hAnsi="Arial" w:cs="Arial"/>
          <w:b/>
          <w:bCs/>
          <w:kern w:val="36"/>
          <w:lang w:eastAsia="en-IN"/>
          <w14:ligatures w14:val="none"/>
        </w:rPr>
        <w:t>10. Limitations</w:t>
      </w:r>
    </w:p>
    <w:p w14:paraId="6407F5D7" w14:textId="77777777" w:rsidR="00871F5B" w:rsidRPr="004D3A3A" w:rsidRDefault="00871F5B" w:rsidP="00871F5B">
      <w:pPr>
        <w:spacing w:before="100" w:beforeAutospacing="1" w:after="100" w:afterAutospacing="1" w:line="240" w:lineRule="auto"/>
        <w:rPr>
          <w:rFonts w:ascii="Arial" w:eastAsia="Times New Roman" w:hAnsi="Arial" w:cs="Arial"/>
          <w:kern w:val="0"/>
          <w:lang w:eastAsia="en-IN"/>
          <w14:ligatures w14:val="none"/>
        </w:rPr>
      </w:pPr>
      <w:r w:rsidRPr="004D3A3A">
        <w:rPr>
          <w:rFonts w:ascii="Arial" w:eastAsia="Times New Roman" w:hAnsi="Arial" w:cs="Arial"/>
          <w:kern w:val="0"/>
          <w:lang w:eastAsia="en-IN"/>
          <w14:ligatures w14:val="none"/>
        </w:rPr>
        <w:t>Despite the breadth of evidence reviewed, several limitations constrain the precision and generality of our conclusions. Many studies are short term, plot scale, or conducted under controlled conditions, which weakly represent multi-year, operational realities where weather variability, feedstock heterogeneity, and management drift shape outcomes. Reported effect sizes for soil carbon, nitrous oxide, and methane often reflect specific soils, climates, and amendment chemistries; transferring these results across regions or seasons can be unreliable. Measurement gaps persist: depth-limited soil sampling, sparse tracking of non-CO</w:t>
      </w:r>
      <w:r w:rsidRPr="004D3A3A">
        <w:rPr>
          <w:rFonts w:ascii="Cambria Math" w:eastAsia="Times New Roman" w:hAnsi="Cambria Math" w:cs="Cambria Math"/>
          <w:kern w:val="0"/>
          <w:lang w:eastAsia="en-IN"/>
          <w14:ligatures w14:val="none"/>
        </w:rPr>
        <w:t>₂</w:t>
      </w:r>
      <w:r w:rsidRPr="004D3A3A">
        <w:rPr>
          <w:rFonts w:ascii="Arial" w:eastAsia="Times New Roman" w:hAnsi="Arial" w:cs="Arial"/>
          <w:kern w:val="0"/>
          <w:lang w:eastAsia="en-IN"/>
          <w14:ligatures w14:val="none"/>
        </w:rPr>
        <w:t xml:space="preserve"> gases, and inconsistent monitoring of ammonia and nitrate losses complicate full greenhouse-gas balances. Life-cycle assessments are sensitive to boundary choices, counterfactuals, and allocation rules, so small assumption changes can flip net benefits. Supply-chain uncertainties—fugitive methane from digestion, logistics emissions, and variable energy displacement—remain </w:t>
      </w:r>
      <w:proofErr w:type="spellStart"/>
      <w:r w:rsidRPr="004D3A3A">
        <w:rPr>
          <w:rFonts w:ascii="Arial" w:eastAsia="Times New Roman" w:hAnsi="Arial" w:cs="Arial"/>
          <w:kern w:val="0"/>
          <w:lang w:eastAsia="en-IN"/>
          <w14:ligatures w14:val="none"/>
        </w:rPr>
        <w:t>undercharacterized</w:t>
      </w:r>
      <w:proofErr w:type="spellEnd"/>
      <w:r w:rsidRPr="004D3A3A">
        <w:rPr>
          <w:rFonts w:ascii="Arial" w:eastAsia="Times New Roman" w:hAnsi="Arial" w:cs="Arial"/>
          <w:kern w:val="0"/>
          <w:lang w:eastAsia="en-IN"/>
          <w14:ligatures w14:val="none"/>
        </w:rPr>
        <w:t xml:space="preserve"> at scale. Quality and safety risks, including contaminants in certain feedstocks and </w:t>
      </w:r>
      <w:proofErr w:type="spellStart"/>
      <w:r w:rsidRPr="004D3A3A">
        <w:rPr>
          <w:rFonts w:ascii="Arial" w:eastAsia="Times New Roman" w:hAnsi="Arial" w:cs="Arial"/>
          <w:kern w:val="0"/>
          <w:lang w:eastAsia="en-IN"/>
          <w14:ligatures w14:val="none"/>
        </w:rPr>
        <w:t>biochars</w:t>
      </w:r>
      <w:proofErr w:type="spellEnd"/>
      <w:r w:rsidRPr="004D3A3A">
        <w:rPr>
          <w:rFonts w:ascii="Arial" w:eastAsia="Times New Roman" w:hAnsi="Arial" w:cs="Arial"/>
          <w:kern w:val="0"/>
          <w:lang w:eastAsia="en-IN"/>
          <w14:ligatures w14:val="none"/>
        </w:rPr>
        <w:t xml:space="preserve">, are unevenly monitored, and agronomic responses can be confounded by co-applied inputs. Economic and equity dimensions are incompletely captured: cost curves, financing frictions, and </w:t>
      </w:r>
      <w:proofErr w:type="spellStart"/>
      <w:r w:rsidRPr="004D3A3A">
        <w:rPr>
          <w:rFonts w:ascii="Arial" w:eastAsia="Times New Roman" w:hAnsi="Arial" w:cs="Arial"/>
          <w:kern w:val="0"/>
          <w:lang w:eastAsia="en-IN"/>
          <w14:ligatures w14:val="none"/>
        </w:rPr>
        <w:t>labor</w:t>
      </w:r>
      <w:proofErr w:type="spellEnd"/>
      <w:r w:rsidRPr="004D3A3A">
        <w:rPr>
          <w:rFonts w:ascii="Arial" w:eastAsia="Times New Roman" w:hAnsi="Arial" w:cs="Arial"/>
          <w:kern w:val="0"/>
          <w:lang w:eastAsia="en-IN"/>
          <w14:ligatures w14:val="none"/>
        </w:rPr>
        <w:t xml:space="preserve"> constraints for smallholders are rarely quantified alongside climate outcomes. Finally, crediting environments evolve rapidly; methodology updates and market volatility can outpace published evidence, limiting the durability of programmatic guidance inferred from current literature.</w:t>
      </w:r>
    </w:p>
    <w:p w14:paraId="7BCC1AFD" w14:textId="77777777" w:rsidR="00871F5B" w:rsidRPr="004D3A3A" w:rsidRDefault="00871F5B" w:rsidP="0011082E">
      <w:pPr>
        <w:spacing w:before="100" w:beforeAutospacing="1" w:after="100" w:afterAutospacing="1" w:line="240" w:lineRule="auto"/>
        <w:outlineLvl w:val="1"/>
        <w:rPr>
          <w:rFonts w:ascii="Arial" w:eastAsia="Times New Roman" w:hAnsi="Arial" w:cs="Arial"/>
          <w:b/>
          <w:bCs/>
          <w:kern w:val="0"/>
          <w:lang w:eastAsia="en-IN"/>
          <w14:ligatures w14:val="none"/>
        </w:rPr>
      </w:pPr>
    </w:p>
    <w:p w14:paraId="72BEF32C" w14:textId="77777777" w:rsidR="004D3A3A" w:rsidRPr="004D3A3A" w:rsidRDefault="0011082E" w:rsidP="004D3A3A">
      <w:pPr>
        <w:spacing w:before="100" w:beforeAutospacing="1" w:after="100" w:afterAutospacing="1" w:line="240" w:lineRule="auto"/>
        <w:outlineLvl w:val="1"/>
        <w:rPr>
          <w:rFonts w:ascii="Arial" w:eastAsia="Times New Roman" w:hAnsi="Arial" w:cs="Arial"/>
          <w:b/>
          <w:bCs/>
          <w:kern w:val="0"/>
          <w:lang w:eastAsia="en-IN"/>
          <w14:ligatures w14:val="none"/>
        </w:rPr>
      </w:pPr>
      <w:r w:rsidRPr="004D3A3A">
        <w:rPr>
          <w:rFonts w:ascii="Arial" w:eastAsia="Times New Roman" w:hAnsi="Arial" w:cs="Arial"/>
          <w:b/>
          <w:bCs/>
          <w:kern w:val="0"/>
          <w:lang w:eastAsia="en-IN"/>
          <w14:ligatures w14:val="none"/>
        </w:rPr>
        <w:t xml:space="preserve">References </w:t>
      </w:r>
    </w:p>
    <w:p w14:paraId="03385C11" w14:textId="663F87B1" w:rsidR="002A18B2" w:rsidRDefault="002A18B2" w:rsidP="002A18B2">
      <w:pPr>
        <w:pStyle w:val="ListParagraph"/>
        <w:numPr>
          <w:ilvl w:val="0"/>
          <w:numId w:val="3"/>
        </w:numPr>
        <w:spacing w:before="100" w:beforeAutospacing="1" w:after="100" w:afterAutospacing="1" w:line="240" w:lineRule="auto"/>
        <w:rPr>
          <w:rFonts w:ascii="Arial" w:eastAsia="Times New Roman" w:hAnsi="Arial" w:cs="Arial"/>
          <w:kern w:val="0"/>
          <w:lang w:eastAsia="en-IN"/>
          <w14:ligatures w14:val="none"/>
        </w:rPr>
      </w:pPr>
      <w:r w:rsidRPr="002A18B2">
        <w:rPr>
          <w:rFonts w:ascii="Arial" w:eastAsia="Times New Roman" w:hAnsi="Arial" w:cs="Arial"/>
          <w:kern w:val="0"/>
          <w:lang w:eastAsia="en-IN"/>
          <w14:ligatures w14:val="none"/>
        </w:rPr>
        <w:t xml:space="preserve">Abalos, D., </w:t>
      </w:r>
      <w:proofErr w:type="spellStart"/>
      <w:r w:rsidRPr="002A18B2">
        <w:rPr>
          <w:rFonts w:ascii="Arial" w:eastAsia="Times New Roman" w:hAnsi="Arial" w:cs="Arial"/>
          <w:kern w:val="0"/>
          <w:lang w:eastAsia="en-IN"/>
          <w14:ligatures w14:val="none"/>
        </w:rPr>
        <w:t>Recous</w:t>
      </w:r>
      <w:proofErr w:type="spellEnd"/>
      <w:r w:rsidRPr="002A18B2">
        <w:rPr>
          <w:rFonts w:ascii="Arial" w:eastAsia="Times New Roman" w:hAnsi="Arial" w:cs="Arial"/>
          <w:kern w:val="0"/>
          <w:lang w:eastAsia="en-IN"/>
          <w14:ligatures w14:val="none"/>
        </w:rPr>
        <w:t xml:space="preserve">, S., Butterbach-Bahl, K., De </w:t>
      </w:r>
      <w:proofErr w:type="spellStart"/>
      <w:r w:rsidRPr="002A18B2">
        <w:rPr>
          <w:rFonts w:ascii="Arial" w:eastAsia="Times New Roman" w:hAnsi="Arial" w:cs="Arial"/>
          <w:kern w:val="0"/>
          <w:lang w:eastAsia="en-IN"/>
          <w14:ligatures w14:val="none"/>
        </w:rPr>
        <w:t>Notaris</w:t>
      </w:r>
      <w:proofErr w:type="spellEnd"/>
      <w:r w:rsidRPr="002A18B2">
        <w:rPr>
          <w:rFonts w:ascii="Arial" w:eastAsia="Times New Roman" w:hAnsi="Arial" w:cs="Arial"/>
          <w:kern w:val="0"/>
          <w:lang w:eastAsia="en-IN"/>
          <w14:ligatures w14:val="none"/>
        </w:rPr>
        <w:t xml:space="preserve">, C., Rittl, T. F., Topp, C. F. E., Petersen, S. O., Hansen, S., </w:t>
      </w:r>
      <w:proofErr w:type="spellStart"/>
      <w:r w:rsidRPr="002A18B2">
        <w:rPr>
          <w:rFonts w:ascii="Arial" w:eastAsia="Times New Roman" w:hAnsi="Arial" w:cs="Arial"/>
          <w:kern w:val="0"/>
          <w:lang w:eastAsia="en-IN"/>
          <w14:ligatures w14:val="none"/>
        </w:rPr>
        <w:t>Bleken</w:t>
      </w:r>
      <w:proofErr w:type="spellEnd"/>
      <w:r w:rsidRPr="002A18B2">
        <w:rPr>
          <w:rFonts w:ascii="Arial" w:eastAsia="Times New Roman" w:hAnsi="Arial" w:cs="Arial"/>
          <w:kern w:val="0"/>
          <w:lang w:eastAsia="en-IN"/>
          <w14:ligatures w14:val="none"/>
        </w:rPr>
        <w:t xml:space="preserve">, M. A., Rees, R. M., &amp; Olesen, J. E. (2022). A review and meta-analysis of mitigation measures for nitrous oxide emissions from crop residues. Science of the Total Environment, 828, 154388. </w:t>
      </w:r>
      <w:hyperlink r:id="rId8" w:history="1">
        <w:r w:rsidRPr="00D041E1">
          <w:rPr>
            <w:rStyle w:val="Hyperlink"/>
            <w:rFonts w:ascii="Arial" w:eastAsia="Times New Roman" w:hAnsi="Arial" w:cs="Arial"/>
            <w:kern w:val="0"/>
            <w:lang w:eastAsia="en-IN"/>
            <w14:ligatures w14:val="none"/>
          </w:rPr>
          <w:t>https://doi.org/10.1016/j.scitotenv.2022.154388</w:t>
        </w:r>
      </w:hyperlink>
    </w:p>
    <w:p w14:paraId="3C99045E" w14:textId="15C578C5" w:rsidR="002A18B2" w:rsidRPr="002A18B2" w:rsidRDefault="002A18B2" w:rsidP="002A18B2">
      <w:pPr>
        <w:pStyle w:val="NormalWeb"/>
        <w:numPr>
          <w:ilvl w:val="0"/>
          <w:numId w:val="3"/>
        </w:numPr>
        <w:rPr>
          <w:rFonts w:ascii="Arial" w:hAnsi="Arial" w:cs="Arial"/>
          <w:sz w:val="22"/>
          <w:szCs w:val="22"/>
        </w:rPr>
      </w:pPr>
      <w:r w:rsidRPr="002A18B2">
        <w:rPr>
          <w:rFonts w:ascii="Arial" w:hAnsi="Arial" w:cs="Arial"/>
          <w:sz w:val="22"/>
          <w:szCs w:val="22"/>
          <w14:ligatures w14:val="none"/>
        </w:rPr>
        <w:t xml:space="preserve">Badgley, G., Freeman, J., Hamman, J. J., Haya, B., </w:t>
      </w:r>
      <w:proofErr w:type="spellStart"/>
      <w:r w:rsidRPr="002A18B2">
        <w:rPr>
          <w:rFonts w:ascii="Arial" w:hAnsi="Arial" w:cs="Arial"/>
          <w:sz w:val="22"/>
          <w:szCs w:val="22"/>
          <w14:ligatures w14:val="none"/>
        </w:rPr>
        <w:t>Trugman</w:t>
      </w:r>
      <w:proofErr w:type="spellEnd"/>
      <w:r w:rsidRPr="002A18B2">
        <w:rPr>
          <w:rFonts w:ascii="Arial" w:hAnsi="Arial" w:cs="Arial"/>
          <w:sz w:val="22"/>
          <w:szCs w:val="22"/>
          <w14:ligatures w14:val="none"/>
        </w:rPr>
        <w:t xml:space="preserve">, A. T., Anderegg, W. R. L., &amp; </w:t>
      </w:r>
      <w:proofErr w:type="spellStart"/>
      <w:r w:rsidRPr="002A18B2">
        <w:rPr>
          <w:rFonts w:ascii="Arial" w:hAnsi="Arial" w:cs="Arial"/>
          <w:sz w:val="22"/>
          <w:szCs w:val="22"/>
          <w14:ligatures w14:val="none"/>
        </w:rPr>
        <w:t>Cullenward</w:t>
      </w:r>
      <w:proofErr w:type="spellEnd"/>
      <w:r w:rsidRPr="002A18B2">
        <w:rPr>
          <w:rFonts w:ascii="Arial" w:hAnsi="Arial" w:cs="Arial"/>
          <w:sz w:val="22"/>
          <w:szCs w:val="22"/>
          <w14:ligatures w14:val="none"/>
        </w:rPr>
        <w:t xml:space="preserve">, D. (2022). Systematic over-crediting in California’s forest carbon offsets program. Global Change Biology, 28(4), 1433–1445. </w:t>
      </w:r>
      <w:hyperlink r:id="rId9" w:history="1">
        <w:r w:rsidRPr="00D041E1">
          <w:rPr>
            <w:rStyle w:val="Hyperlink"/>
            <w:rFonts w:ascii="Arial" w:hAnsi="Arial" w:cs="Arial"/>
            <w:sz w:val="22"/>
            <w:szCs w:val="22"/>
            <w14:ligatures w14:val="none"/>
          </w:rPr>
          <w:t>https://doi.org/10.1111/gcb.15943</w:t>
        </w:r>
      </w:hyperlink>
    </w:p>
    <w:p w14:paraId="5DA8BB9B" w14:textId="032759D4" w:rsidR="002A18B2" w:rsidRDefault="002A18B2" w:rsidP="002A18B2">
      <w:pPr>
        <w:pStyle w:val="NormalWeb"/>
        <w:numPr>
          <w:ilvl w:val="0"/>
          <w:numId w:val="3"/>
        </w:numPr>
        <w:rPr>
          <w:rFonts w:ascii="Arial" w:hAnsi="Arial" w:cs="Arial"/>
          <w:sz w:val="22"/>
          <w:szCs w:val="22"/>
        </w:rPr>
      </w:pPr>
      <w:proofErr w:type="spellStart"/>
      <w:r w:rsidRPr="002A18B2">
        <w:rPr>
          <w:rFonts w:ascii="Arial" w:hAnsi="Arial" w:cs="Arial"/>
          <w:sz w:val="22"/>
          <w:szCs w:val="22"/>
        </w:rPr>
        <w:lastRenderedPageBreak/>
        <w:t>Bakkaloglu</w:t>
      </w:r>
      <w:proofErr w:type="spellEnd"/>
      <w:r w:rsidRPr="002A18B2">
        <w:rPr>
          <w:rFonts w:ascii="Arial" w:hAnsi="Arial" w:cs="Arial"/>
          <w:sz w:val="22"/>
          <w:szCs w:val="22"/>
        </w:rPr>
        <w:t xml:space="preserve">, S., Cooper, J., &amp; Hawkes, A. (2022). Methane emissions along biomethane and biogas supply chains are underestimated. One Earth. </w:t>
      </w:r>
      <w:hyperlink r:id="rId10" w:history="1">
        <w:r w:rsidRPr="00D041E1">
          <w:rPr>
            <w:rStyle w:val="Hyperlink"/>
            <w:rFonts w:ascii="Arial" w:hAnsi="Arial" w:cs="Arial"/>
            <w:sz w:val="22"/>
            <w:szCs w:val="22"/>
          </w:rPr>
          <w:t>https://doi.org/10.1016/j.oneear.2022.05.012</w:t>
        </w:r>
      </w:hyperlink>
    </w:p>
    <w:p w14:paraId="58A19B22" w14:textId="2E02CD92" w:rsidR="002A18B2" w:rsidRPr="002A18B2" w:rsidRDefault="002A18B2" w:rsidP="002A18B2">
      <w:pPr>
        <w:pStyle w:val="ListParagraph"/>
        <w:numPr>
          <w:ilvl w:val="0"/>
          <w:numId w:val="3"/>
        </w:numPr>
        <w:spacing w:before="100" w:beforeAutospacing="1" w:after="100" w:afterAutospacing="1" w:line="240" w:lineRule="auto"/>
        <w:rPr>
          <w:rFonts w:ascii="Arial" w:eastAsia="Times New Roman" w:hAnsi="Arial" w:cs="Arial"/>
          <w:kern w:val="0"/>
          <w:lang w:eastAsia="en-IN"/>
          <w14:ligatures w14:val="none"/>
        </w:rPr>
      </w:pPr>
      <w:r w:rsidRPr="002A18B2">
        <w:rPr>
          <w:rFonts w:ascii="Arial" w:eastAsia="Times New Roman" w:hAnsi="Arial" w:cs="Arial"/>
          <w:kern w:val="0"/>
          <w:lang w:eastAsia="en-IN"/>
        </w:rPr>
        <w:t xml:space="preserve">Baldé, H., Wagner-Riddle, C., MacDonald, D., &amp; </w:t>
      </w:r>
      <w:proofErr w:type="spellStart"/>
      <w:r w:rsidRPr="002A18B2">
        <w:rPr>
          <w:rFonts w:ascii="Arial" w:eastAsia="Times New Roman" w:hAnsi="Arial" w:cs="Arial"/>
          <w:kern w:val="0"/>
          <w:lang w:eastAsia="en-IN"/>
        </w:rPr>
        <w:t>VanderZaag</w:t>
      </w:r>
      <w:proofErr w:type="spellEnd"/>
      <w:r w:rsidRPr="002A18B2">
        <w:rPr>
          <w:rFonts w:ascii="Arial" w:eastAsia="Times New Roman" w:hAnsi="Arial" w:cs="Arial"/>
          <w:kern w:val="0"/>
          <w:lang w:eastAsia="en-IN"/>
        </w:rPr>
        <w:t xml:space="preserve">, A. (2022). Fugitive methane emissions from two agricultural biogas plants. Waste Management, 151, 123-130. </w:t>
      </w:r>
      <w:hyperlink r:id="rId11" w:history="1">
        <w:r w:rsidRPr="00D041E1">
          <w:rPr>
            <w:rStyle w:val="Hyperlink"/>
            <w:rFonts w:ascii="Arial" w:eastAsia="Times New Roman" w:hAnsi="Arial" w:cs="Arial"/>
            <w:kern w:val="0"/>
            <w:lang w:eastAsia="en-IN"/>
          </w:rPr>
          <w:t>https://doi.org/10.1016/j.wasman.2022.07.033</w:t>
        </w:r>
      </w:hyperlink>
    </w:p>
    <w:p w14:paraId="77B7687E" w14:textId="5BAE8C55" w:rsidR="002A18B2" w:rsidRPr="002A18B2" w:rsidRDefault="002A18B2" w:rsidP="002A18B2">
      <w:pPr>
        <w:pStyle w:val="NormalWeb"/>
        <w:numPr>
          <w:ilvl w:val="0"/>
          <w:numId w:val="3"/>
        </w:numPr>
        <w:rPr>
          <w:rFonts w:ascii="Arial" w:hAnsi="Arial" w:cs="Arial"/>
          <w:sz w:val="22"/>
          <w:szCs w:val="22"/>
        </w:rPr>
      </w:pPr>
      <w:r w:rsidRPr="002A18B2">
        <w:rPr>
          <w:rFonts w:ascii="Arial" w:hAnsi="Arial" w:cs="Arial"/>
          <w:sz w:val="22"/>
          <w:szCs w:val="22"/>
          <w14:ligatures w14:val="none"/>
        </w:rPr>
        <w:t xml:space="preserve">Borchard, N., Schirrmann, M., </w:t>
      </w:r>
      <w:proofErr w:type="spellStart"/>
      <w:r w:rsidRPr="002A18B2">
        <w:rPr>
          <w:rFonts w:ascii="Arial" w:hAnsi="Arial" w:cs="Arial"/>
          <w:sz w:val="22"/>
          <w:szCs w:val="22"/>
          <w14:ligatures w14:val="none"/>
        </w:rPr>
        <w:t>Cayuela</w:t>
      </w:r>
      <w:proofErr w:type="spellEnd"/>
      <w:r w:rsidRPr="002A18B2">
        <w:rPr>
          <w:rFonts w:ascii="Arial" w:hAnsi="Arial" w:cs="Arial"/>
          <w:sz w:val="22"/>
          <w:szCs w:val="22"/>
          <w14:ligatures w14:val="none"/>
        </w:rPr>
        <w:t xml:space="preserve">, M. L., Kammann, C., </w:t>
      </w:r>
      <w:proofErr w:type="spellStart"/>
      <w:r w:rsidRPr="002A18B2">
        <w:rPr>
          <w:rFonts w:ascii="Arial" w:hAnsi="Arial" w:cs="Arial"/>
          <w:sz w:val="22"/>
          <w:szCs w:val="22"/>
          <w14:ligatures w14:val="none"/>
        </w:rPr>
        <w:t>Wrage-Mönnig</w:t>
      </w:r>
      <w:proofErr w:type="spellEnd"/>
      <w:r w:rsidRPr="002A18B2">
        <w:rPr>
          <w:rFonts w:ascii="Arial" w:hAnsi="Arial" w:cs="Arial"/>
          <w:sz w:val="22"/>
          <w:szCs w:val="22"/>
          <w14:ligatures w14:val="none"/>
        </w:rPr>
        <w:t xml:space="preserve">, N., Estavillo, J. M., Fuertes-Mendizabal, T., Sigua, G., Spokas, K., Ippolito, J. A., &amp; Novak, J. (2019). Biochar, soil and land-use interactions that reduce nitrate leaching and nitrous oxide emissions: A meta-analysis. Science of the Total Environment, 651, 2354–2364. </w:t>
      </w:r>
      <w:hyperlink r:id="rId12" w:history="1">
        <w:r w:rsidRPr="00D041E1">
          <w:rPr>
            <w:rStyle w:val="Hyperlink"/>
            <w:rFonts w:ascii="Arial" w:hAnsi="Arial" w:cs="Arial"/>
            <w:sz w:val="22"/>
            <w:szCs w:val="22"/>
            <w14:ligatures w14:val="none"/>
          </w:rPr>
          <w:t>https://doi.org/10.1016/j.scitotenv.2018.10.060</w:t>
        </w:r>
      </w:hyperlink>
    </w:p>
    <w:p w14:paraId="768E4B68" w14:textId="678564EB" w:rsidR="002A18B2" w:rsidRDefault="002A18B2" w:rsidP="002A18B2">
      <w:pPr>
        <w:pStyle w:val="NormalWeb"/>
        <w:numPr>
          <w:ilvl w:val="0"/>
          <w:numId w:val="3"/>
        </w:numPr>
        <w:rPr>
          <w:rFonts w:ascii="Arial" w:hAnsi="Arial" w:cs="Arial"/>
          <w:sz w:val="22"/>
          <w:szCs w:val="22"/>
        </w:rPr>
      </w:pPr>
      <w:proofErr w:type="spellStart"/>
      <w:r w:rsidRPr="002A18B2">
        <w:rPr>
          <w:rFonts w:ascii="Arial" w:hAnsi="Arial" w:cs="Arial"/>
          <w:sz w:val="22"/>
          <w:szCs w:val="22"/>
        </w:rPr>
        <w:t>Cayuela</w:t>
      </w:r>
      <w:proofErr w:type="spellEnd"/>
      <w:r w:rsidRPr="002A18B2">
        <w:rPr>
          <w:rFonts w:ascii="Arial" w:hAnsi="Arial" w:cs="Arial"/>
          <w:sz w:val="22"/>
          <w:szCs w:val="22"/>
        </w:rPr>
        <w:t xml:space="preserve">, M. L., Jeffery, S., &amp; Van </w:t>
      </w:r>
      <w:proofErr w:type="spellStart"/>
      <w:r w:rsidRPr="002A18B2">
        <w:rPr>
          <w:rFonts w:ascii="Arial" w:hAnsi="Arial" w:cs="Arial"/>
          <w:sz w:val="22"/>
          <w:szCs w:val="22"/>
        </w:rPr>
        <w:t>Zwieten</w:t>
      </w:r>
      <w:proofErr w:type="spellEnd"/>
      <w:r w:rsidRPr="002A18B2">
        <w:rPr>
          <w:rFonts w:ascii="Arial" w:hAnsi="Arial" w:cs="Arial"/>
          <w:sz w:val="22"/>
          <w:szCs w:val="22"/>
        </w:rPr>
        <w:t>, L. (2015). The molar H:Corg ratio of biochar is a key factor in mitigating N</w:t>
      </w:r>
      <w:r w:rsidRPr="002A18B2">
        <w:rPr>
          <w:rFonts w:ascii="Cambria Math" w:hAnsi="Cambria Math" w:cs="Cambria Math"/>
          <w:sz w:val="22"/>
          <w:szCs w:val="22"/>
        </w:rPr>
        <w:t>₂</w:t>
      </w:r>
      <w:r w:rsidRPr="002A18B2">
        <w:rPr>
          <w:rFonts w:ascii="Arial" w:hAnsi="Arial" w:cs="Arial"/>
          <w:sz w:val="22"/>
          <w:szCs w:val="22"/>
        </w:rPr>
        <w:t xml:space="preserve">O emissions from soil. Agriculture, Ecosystems &amp; Environment, 202, 135–138. </w:t>
      </w:r>
      <w:hyperlink r:id="rId13" w:history="1">
        <w:r w:rsidRPr="00D041E1">
          <w:rPr>
            <w:rStyle w:val="Hyperlink"/>
            <w:rFonts w:ascii="Arial" w:hAnsi="Arial" w:cs="Arial"/>
            <w:sz w:val="22"/>
            <w:szCs w:val="22"/>
          </w:rPr>
          <w:t>https://doi.org/10.1016/j.agee.2014.12.015</w:t>
        </w:r>
      </w:hyperlink>
    </w:p>
    <w:p w14:paraId="5A55B929" w14:textId="13DDF8D2" w:rsidR="002A18B2" w:rsidRPr="002A18B2" w:rsidRDefault="002A18B2" w:rsidP="002A18B2">
      <w:pPr>
        <w:pStyle w:val="NormalWeb"/>
        <w:numPr>
          <w:ilvl w:val="0"/>
          <w:numId w:val="3"/>
        </w:numPr>
        <w:rPr>
          <w:rFonts w:ascii="Arial" w:hAnsi="Arial" w:cs="Arial"/>
          <w:sz w:val="22"/>
          <w:szCs w:val="22"/>
        </w:rPr>
      </w:pPr>
      <w:r w:rsidRPr="002A18B2">
        <w:rPr>
          <w:rFonts w:ascii="Arial" w:hAnsi="Arial" w:cs="Arial"/>
          <w:color w:val="222222"/>
          <w:sz w:val="22"/>
          <w:szCs w:val="22"/>
          <w:shd w:val="clear" w:color="auto" w:fill="FFFFFF"/>
        </w:rPr>
        <w:t xml:space="preserve">Deng, X., Teng, F., Chen, M., Du, Z., Wang, B., Li, R., &amp; Wang, P. (2024). Exploring negative emission potential of biochar to achieve carbon neutrality goal in China. Nature Communications, 15, 1085. </w:t>
      </w:r>
      <w:hyperlink r:id="rId14" w:history="1">
        <w:r w:rsidRPr="00D041E1">
          <w:rPr>
            <w:rStyle w:val="Hyperlink"/>
            <w:rFonts w:ascii="Arial" w:hAnsi="Arial" w:cs="Arial"/>
            <w:sz w:val="22"/>
            <w:szCs w:val="22"/>
            <w:shd w:val="clear" w:color="auto" w:fill="FFFFFF"/>
          </w:rPr>
          <w:t>https://doi.org/10.1038/s41467-024-45314-y</w:t>
        </w:r>
      </w:hyperlink>
    </w:p>
    <w:p w14:paraId="14701F33" w14:textId="77045B98" w:rsidR="002A18B2" w:rsidRPr="002A18B2" w:rsidRDefault="002A18B2" w:rsidP="002A18B2">
      <w:pPr>
        <w:pStyle w:val="ListParagraph"/>
        <w:numPr>
          <w:ilvl w:val="0"/>
          <w:numId w:val="3"/>
        </w:numPr>
        <w:spacing w:before="100" w:beforeAutospacing="1" w:after="100" w:afterAutospacing="1" w:line="240" w:lineRule="auto"/>
        <w:rPr>
          <w:rFonts w:ascii="Arial" w:eastAsia="Times New Roman" w:hAnsi="Arial" w:cs="Arial"/>
          <w:kern w:val="0"/>
          <w:lang w:eastAsia="en-IN"/>
          <w14:ligatures w14:val="none"/>
        </w:rPr>
      </w:pPr>
      <w:r w:rsidRPr="002A18B2">
        <w:rPr>
          <w:rFonts w:ascii="Arial" w:eastAsia="Times New Roman" w:hAnsi="Arial" w:cs="Arial"/>
          <w:kern w:val="0"/>
          <w:lang w:eastAsia="en-IN"/>
        </w:rPr>
        <w:t xml:space="preserve">Gao, S., Harrison, B. P., Thao, T., Gonzales, M. L., An, D., </w:t>
      </w:r>
      <w:proofErr w:type="spellStart"/>
      <w:r w:rsidRPr="002A18B2">
        <w:rPr>
          <w:rFonts w:ascii="Arial" w:eastAsia="Times New Roman" w:hAnsi="Arial" w:cs="Arial"/>
          <w:kern w:val="0"/>
          <w:lang w:eastAsia="en-IN"/>
        </w:rPr>
        <w:t>Ghezzehei</w:t>
      </w:r>
      <w:proofErr w:type="spellEnd"/>
      <w:r w:rsidRPr="002A18B2">
        <w:rPr>
          <w:rFonts w:ascii="Arial" w:eastAsia="Times New Roman" w:hAnsi="Arial" w:cs="Arial"/>
          <w:kern w:val="0"/>
          <w:lang w:eastAsia="en-IN"/>
        </w:rPr>
        <w:t xml:space="preserve">, T. A., Diaz, G., &amp; Ryals, R. A. (2023). Biochar co-compost improves nitrogen retention and reduces carbon emissions in a winter wheat cropping system. GCB Bioenergy, 15 (4), 462–477. </w:t>
      </w:r>
      <w:hyperlink r:id="rId15" w:history="1">
        <w:r w:rsidRPr="00D041E1">
          <w:rPr>
            <w:rStyle w:val="Hyperlink"/>
            <w:rFonts w:ascii="Arial" w:eastAsia="Times New Roman" w:hAnsi="Arial" w:cs="Arial"/>
            <w:kern w:val="0"/>
            <w:lang w:eastAsia="en-IN"/>
          </w:rPr>
          <w:t>https://doi.org/10.1111/gcbb.13028</w:t>
        </w:r>
      </w:hyperlink>
    </w:p>
    <w:p w14:paraId="04D5ED72" w14:textId="2E420CA5" w:rsidR="002A18B2" w:rsidRPr="002A18B2" w:rsidRDefault="002A18B2" w:rsidP="002A18B2">
      <w:pPr>
        <w:pStyle w:val="NormalWeb"/>
        <w:numPr>
          <w:ilvl w:val="0"/>
          <w:numId w:val="3"/>
        </w:numPr>
        <w:rPr>
          <w:rFonts w:ascii="Arial" w:hAnsi="Arial" w:cs="Arial"/>
          <w:sz w:val="22"/>
          <w:szCs w:val="22"/>
        </w:rPr>
      </w:pPr>
      <w:r w:rsidRPr="002A18B2">
        <w:rPr>
          <w:rFonts w:ascii="Arial" w:hAnsi="Arial" w:cs="Arial"/>
          <w:sz w:val="22"/>
          <w:szCs w:val="22"/>
          <w14:ligatures w14:val="none"/>
        </w:rPr>
        <w:t xml:space="preserve">Geissdoerfer, M., </w:t>
      </w:r>
      <w:proofErr w:type="spellStart"/>
      <w:r w:rsidRPr="002A18B2">
        <w:rPr>
          <w:rFonts w:ascii="Arial" w:hAnsi="Arial" w:cs="Arial"/>
          <w:sz w:val="22"/>
          <w:szCs w:val="22"/>
          <w14:ligatures w14:val="none"/>
        </w:rPr>
        <w:t>Savaget</w:t>
      </w:r>
      <w:proofErr w:type="spellEnd"/>
      <w:r w:rsidRPr="002A18B2">
        <w:rPr>
          <w:rFonts w:ascii="Arial" w:hAnsi="Arial" w:cs="Arial"/>
          <w:sz w:val="22"/>
          <w:szCs w:val="22"/>
          <w14:ligatures w14:val="none"/>
        </w:rPr>
        <w:t xml:space="preserve">, P., </w:t>
      </w:r>
      <w:proofErr w:type="spellStart"/>
      <w:r w:rsidRPr="002A18B2">
        <w:rPr>
          <w:rFonts w:ascii="Arial" w:hAnsi="Arial" w:cs="Arial"/>
          <w:sz w:val="22"/>
          <w:szCs w:val="22"/>
          <w14:ligatures w14:val="none"/>
        </w:rPr>
        <w:t>Bocken</w:t>
      </w:r>
      <w:proofErr w:type="spellEnd"/>
      <w:r w:rsidRPr="002A18B2">
        <w:rPr>
          <w:rFonts w:ascii="Arial" w:hAnsi="Arial" w:cs="Arial"/>
          <w:sz w:val="22"/>
          <w:szCs w:val="22"/>
          <w14:ligatures w14:val="none"/>
        </w:rPr>
        <w:t xml:space="preserve">, N. M. P., &amp; </w:t>
      </w:r>
      <w:proofErr w:type="spellStart"/>
      <w:r w:rsidRPr="002A18B2">
        <w:rPr>
          <w:rFonts w:ascii="Arial" w:hAnsi="Arial" w:cs="Arial"/>
          <w:sz w:val="22"/>
          <w:szCs w:val="22"/>
          <w14:ligatures w14:val="none"/>
        </w:rPr>
        <w:t>Hultink</w:t>
      </w:r>
      <w:proofErr w:type="spellEnd"/>
      <w:r w:rsidRPr="002A18B2">
        <w:rPr>
          <w:rFonts w:ascii="Arial" w:hAnsi="Arial" w:cs="Arial"/>
          <w:sz w:val="22"/>
          <w:szCs w:val="22"/>
          <w14:ligatures w14:val="none"/>
        </w:rPr>
        <w:t xml:space="preserve">, E. J. (2017). The circular economy—A new sustainability paradigm? Journal of Cleaner Production. </w:t>
      </w:r>
      <w:hyperlink r:id="rId16" w:history="1">
        <w:r w:rsidRPr="00D041E1">
          <w:rPr>
            <w:rStyle w:val="Hyperlink"/>
            <w:rFonts w:ascii="Arial" w:hAnsi="Arial" w:cs="Arial"/>
            <w:sz w:val="22"/>
            <w:szCs w:val="22"/>
            <w14:ligatures w14:val="none"/>
          </w:rPr>
          <w:t>https://doi.org/10.1016/j.jclepro.2016.12.048</w:t>
        </w:r>
      </w:hyperlink>
    </w:p>
    <w:p w14:paraId="31C1F530" w14:textId="60255EFB" w:rsidR="002A18B2" w:rsidRDefault="002A18B2" w:rsidP="002A18B2">
      <w:pPr>
        <w:pStyle w:val="NormalWeb"/>
        <w:numPr>
          <w:ilvl w:val="0"/>
          <w:numId w:val="3"/>
        </w:numPr>
        <w:rPr>
          <w:rFonts w:ascii="Arial" w:hAnsi="Arial" w:cs="Arial"/>
          <w:sz w:val="22"/>
          <w:szCs w:val="22"/>
        </w:rPr>
      </w:pPr>
      <w:r w:rsidRPr="002A18B2">
        <w:rPr>
          <w:rFonts w:ascii="Arial" w:hAnsi="Arial" w:cs="Arial"/>
          <w:sz w:val="22"/>
          <w:szCs w:val="22"/>
        </w:rPr>
        <w:t xml:space="preserve">Gross, A., &amp; Glaser, B. (2021). Meta-analysis on how manure application changes soil organic carbon storage. Scientific Reports, 11, 5516. </w:t>
      </w:r>
      <w:hyperlink r:id="rId17" w:history="1">
        <w:r w:rsidRPr="00D041E1">
          <w:rPr>
            <w:rStyle w:val="Hyperlink"/>
            <w:rFonts w:ascii="Arial" w:hAnsi="Arial" w:cs="Arial"/>
            <w:sz w:val="22"/>
            <w:szCs w:val="22"/>
          </w:rPr>
          <w:t>https://doi.org/10.1038/s41598-021-82739-7</w:t>
        </w:r>
      </w:hyperlink>
    </w:p>
    <w:p w14:paraId="371EB3D5" w14:textId="60138AE7" w:rsidR="002A18B2" w:rsidRDefault="002A18B2" w:rsidP="002A18B2">
      <w:pPr>
        <w:pStyle w:val="NormalWeb"/>
        <w:numPr>
          <w:ilvl w:val="0"/>
          <w:numId w:val="3"/>
        </w:numPr>
        <w:rPr>
          <w:rFonts w:ascii="Arial" w:hAnsi="Arial" w:cs="Arial"/>
          <w:sz w:val="22"/>
          <w:szCs w:val="22"/>
        </w:rPr>
      </w:pPr>
      <w:proofErr w:type="spellStart"/>
      <w:r w:rsidRPr="002A18B2">
        <w:rPr>
          <w:rFonts w:ascii="Arial" w:hAnsi="Arial" w:cs="Arial"/>
          <w:sz w:val="22"/>
          <w:szCs w:val="22"/>
        </w:rPr>
        <w:t>Häfner</w:t>
      </w:r>
      <w:proofErr w:type="spellEnd"/>
      <w:r w:rsidRPr="002A18B2">
        <w:rPr>
          <w:rFonts w:ascii="Arial" w:hAnsi="Arial" w:cs="Arial"/>
          <w:sz w:val="22"/>
          <w:szCs w:val="22"/>
        </w:rPr>
        <w:t xml:space="preserve">, F., Ruser, R., Claß-Mahler, I., &amp; Möller, K. (2021). Field Application of Organic Fertilizers Triggers N2O Emissions </w:t>
      </w:r>
      <w:proofErr w:type="gramStart"/>
      <w:r w:rsidRPr="002A18B2">
        <w:rPr>
          <w:rFonts w:ascii="Arial" w:hAnsi="Arial" w:cs="Arial"/>
          <w:sz w:val="22"/>
          <w:szCs w:val="22"/>
        </w:rPr>
        <w:t>From</w:t>
      </w:r>
      <w:proofErr w:type="gramEnd"/>
      <w:r w:rsidRPr="002A18B2">
        <w:rPr>
          <w:rFonts w:ascii="Arial" w:hAnsi="Arial" w:cs="Arial"/>
          <w:sz w:val="22"/>
          <w:szCs w:val="22"/>
        </w:rPr>
        <w:t xml:space="preserve"> the Soil N Pool as Indicated by 15N-Labeled Digestates. Front. Sustain. Food Syst. </w:t>
      </w:r>
      <w:hyperlink r:id="rId18" w:history="1">
        <w:r w:rsidRPr="00D041E1">
          <w:rPr>
            <w:rStyle w:val="Hyperlink"/>
            <w:rFonts w:ascii="Arial" w:hAnsi="Arial" w:cs="Arial"/>
            <w:sz w:val="22"/>
            <w:szCs w:val="22"/>
          </w:rPr>
          <w:t>https://doi.org/10.3389/fsufs.2020.614349</w:t>
        </w:r>
      </w:hyperlink>
    </w:p>
    <w:p w14:paraId="49E57E65" w14:textId="7557EFD9" w:rsidR="002A18B2" w:rsidRDefault="002A18B2" w:rsidP="002A18B2">
      <w:pPr>
        <w:pStyle w:val="NormalWeb"/>
        <w:numPr>
          <w:ilvl w:val="0"/>
          <w:numId w:val="3"/>
        </w:numPr>
        <w:rPr>
          <w:rFonts w:ascii="Arial" w:hAnsi="Arial" w:cs="Arial"/>
          <w:sz w:val="22"/>
          <w:szCs w:val="22"/>
        </w:rPr>
      </w:pPr>
      <w:r w:rsidRPr="002A18B2">
        <w:rPr>
          <w:rFonts w:ascii="Arial" w:hAnsi="Arial" w:cs="Arial"/>
          <w:sz w:val="22"/>
          <w:szCs w:val="22"/>
        </w:rPr>
        <w:t xml:space="preserve">Hale, S. E., Lehmann, J., Rutherford, D., Zimmerman, A. R., Bachmann, R. T., </w:t>
      </w:r>
      <w:proofErr w:type="spellStart"/>
      <w:r w:rsidRPr="002A18B2">
        <w:rPr>
          <w:rFonts w:ascii="Arial" w:hAnsi="Arial" w:cs="Arial"/>
          <w:sz w:val="22"/>
          <w:szCs w:val="22"/>
        </w:rPr>
        <w:t>Shitumbanuma</w:t>
      </w:r>
      <w:proofErr w:type="spellEnd"/>
      <w:r w:rsidRPr="002A18B2">
        <w:rPr>
          <w:rFonts w:ascii="Arial" w:hAnsi="Arial" w:cs="Arial"/>
          <w:sz w:val="22"/>
          <w:szCs w:val="22"/>
        </w:rPr>
        <w:t xml:space="preserve">, V., O’Toole, A., Sundqvist, K. L., Arp, H. P. H., &amp; Cornelissen, G. (2012). Quantifying the total and bioavailable polycyclic aromatic hydrocarbons and dioxins in </w:t>
      </w:r>
      <w:proofErr w:type="spellStart"/>
      <w:r w:rsidRPr="002A18B2">
        <w:rPr>
          <w:rFonts w:ascii="Arial" w:hAnsi="Arial" w:cs="Arial"/>
          <w:sz w:val="22"/>
          <w:szCs w:val="22"/>
        </w:rPr>
        <w:t>biochars</w:t>
      </w:r>
      <w:proofErr w:type="spellEnd"/>
      <w:r w:rsidRPr="002A18B2">
        <w:rPr>
          <w:rFonts w:ascii="Arial" w:hAnsi="Arial" w:cs="Arial"/>
          <w:sz w:val="22"/>
          <w:szCs w:val="22"/>
        </w:rPr>
        <w:t xml:space="preserve">. Environmental Science &amp; Technology, 46(5), 2830–2838. </w:t>
      </w:r>
      <w:hyperlink r:id="rId19" w:history="1">
        <w:r w:rsidRPr="00D041E1">
          <w:rPr>
            <w:rStyle w:val="Hyperlink"/>
            <w:rFonts w:ascii="Arial" w:hAnsi="Arial" w:cs="Arial"/>
            <w:sz w:val="22"/>
            <w:szCs w:val="22"/>
          </w:rPr>
          <w:t>https://doi.org/10.1021/es203984k</w:t>
        </w:r>
      </w:hyperlink>
    </w:p>
    <w:p w14:paraId="5CBFEB9F" w14:textId="666F1177" w:rsidR="002A18B2" w:rsidRDefault="002A18B2" w:rsidP="002A18B2">
      <w:pPr>
        <w:pStyle w:val="NormalWeb"/>
        <w:numPr>
          <w:ilvl w:val="0"/>
          <w:numId w:val="3"/>
        </w:numPr>
        <w:rPr>
          <w:rFonts w:ascii="Arial" w:hAnsi="Arial" w:cs="Arial"/>
          <w:sz w:val="22"/>
          <w:szCs w:val="22"/>
        </w:rPr>
      </w:pPr>
      <w:r w:rsidRPr="002A18B2">
        <w:rPr>
          <w:rFonts w:ascii="Arial" w:hAnsi="Arial" w:cs="Arial"/>
          <w:sz w:val="22"/>
          <w:szCs w:val="22"/>
        </w:rPr>
        <w:t xml:space="preserve">Harrison, B. P., Gao, S., Gonzales, M., Thao, T., Bischak, E., </w:t>
      </w:r>
      <w:proofErr w:type="spellStart"/>
      <w:r w:rsidRPr="002A18B2">
        <w:rPr>
          <w:rFonts w:ascii="Arial" w:hAnsi="Arial" w:cs="Arial"/>
          <w:sz w:val="22"/>
          <w:szCs w:val="22"/>
        </w:rPr>
        <w:t>Ghezzehei</w:t>
      </w:r>
      <w:proofErr w:type="spellEnd"/>
      <w:r w:rsidRPr="002A18B2">
        <w:rPr>
          <w:rFonts w:ascii="Arial" w:hAnsi="Arial" w:cs="Arial"/>
          <w:sz w:val="22"/>
          <w:szCs w:val="22"/>
        </w:rPr>
        <w:t xml:space="preserve">, T. A., Berhe, A. A., Diaz, G., &amp; Ryals, R. A. (2022). Dairy manure co-composting with wood biochar plays a critical role in meeting global methane goals. Environmental Science &amp; Technology, 56(15), 10987–10996. </w:t>
      </w:r>
      <w:hyperlink r:id="rId20" w:history="1">
        <w:r w:rsidRPr="00D041E1">
          <w:rPr>
            <w:rStyle w:val="Hyperlink"/>
            <w:rFonts w:ascii="Arial" w:hAnsi="Arial" w:cs="Arial"/>
            <w:sz w:val="22"/>
            <w:szCs w:val="22"/>
          </w:rPr>
          <w:t>https://doi.org/10.1021/acs.est.2c03467</w:t>
        </w:r>
      </w:hyperlink>
    </w:p>
    <w:p w14:paraId="6A2B1999" w14:textId="0435543A" w:rsidR="002A18B2" w:rsidRDefault="002A18B2" w:rsidP="002A18B2">
      <w:pPr>
        <w:pStyle w:val="NormalWeb"/>
        <w:numPr>
          <w:ilvl w:val="0"/>
          <w:numId w:val="3"/>
        </w:numPr>
        <w:rPr>
          <w:rFonts w:ascii="Arial" w:hAnsi="Arial" w:cs="Arial"/>
          <w:sz w:val="22"/>
          <w:szCs w:val="22"/>
        </w:rPr>
      </w:pPr>
      <w:proofErr w:type="spellStart"/>
      <w:r w:rsidRPr="002A18B2">
        <w:rPr>
          <w:rFonts w:ascii="Arial" w:hAnsi="Arial" w:cs="Arial"/>
          <w:sz w:val="22"/>
          <w:szCs w:val="22"/>
        </w:rPr>
        <w:t>Hrad</w:t>
      </w:r>
      <w:proofErr w:type="spellEnd"/>
      <w:r w:rsidRPr="002A18B2">
        <w:rPr>
          <w:rFonts w:ascii="Arial" w:hAnsi="Arial" w:cs="Arial"/>
          <w:sz w:val="22"/>
          <w:szCs w:val="22"/>
        </w:rPr>
        <w:t xml:space="preserve">, M., Huber-Humer, M., Reinelt, T., Spangl, B., </w:t>
      </w:r>
      <w:proofErr w:type="spellStart"/>
      <w:r w:rsidRPr="002A18B2">
        <w:rPr>
          <w:rFonts w:ascii="Arial" w:hAnsi="Arial" w:cs="Arial"/>
          <w:sz w:val="22"/>
          <w:szCs w:val="22"/>
        </w:rPr>
        <w:t>Flandorfer</w:t>
      </w:r>
      <w:proofErr w:type="spellEnd"/>
      <w:r w:rsidRPr="002A18B2">
        <w:rPr>
          <w:rFonts w:ascii="Arial" w:hAnsi="Arial" w:cs="Arial"/>
          <w:sz w:val="22"/>
          <w:szCs w:val="22"/>
        </w:rPr>
        <w:t xml:space="preserve">, C., Innocenti, F., Yngvesson, J., Fredenslund, A., &amp; Scheutz, C. (2022). Determination of methane emissions from biogas plants, using different quantification methods. Agricultural and Forest Meteorology </w:t>
      </w:r>
      <w:hyperlink r:id="rId21" w:history="1">
        <w:r w:rsidRPr="00D041E1">
          <w:rPr>
            <w:rStyle w:val="Hyperlink"/>
            <w:rFonts w:ascii="Arial" w:hAnsi="Arial" w:cs="Arial"/>
            <w:sz w:val="22"/>
            <w:szCs w:val="22"/>
          </w:rPr>
          <w:t>https://doi.org/10.1016/j.agrformet.2022.109179</w:t>
        </w:r>
      </w:hyperlink>
    </w:p>
    <w:p w14:paraId="44B48CBC" w14:textId="3AC601E2" w:rsidR="002A18B2" w:rsidRDefault="002A18B2" w:rsidP="002A18B2">
      <w:pPr>
        <w:pStyle w:val="NormalWeb"/>
        <w:numPr>
          <w:ilvl w:val="0"/>
          <w:numId w:val="3"/>
        </w:numPr>
        <w:rPr>
          <w:rFonts w:ascii="Arial" w:hAnsi="Arial" w:cs="Arial"/>
          <w:sz w:val="22"/>
          <w:szCs w:val="22"/>
        </w:rPr>
      </w:pPr>
      <w:r w:rsidRPr="002A18B2">
        <w:rPr>
          <w:rFonts w:ascii="Arial" w:hAnsi="Arial" w:cs="Arial"/>
          <w:sz w:val="22"/>
          <w:szCs w:val="22"/>
        </w:rPr>
        <w:t xml:space="preserve">Jeffery, S., Abalos, D., </w:t>
      </w:r>
      <w:proofErr w:type="spellStart"/>
      <w:r w:rsidRPr="002A18B2">
        <w:rPr>
          <w:rFonts w:ascii="Arial" w:hAnsi="Arial" w:cs="Arial"/>
          <w:sz w:val="22"/>
          <w:szCs w:val="22"/>
        </w:rPr>
        <w:t>Prodana</w:t>
      </w:r>
      <w:proofErr w:type="spellEnd"/>
      <w:r w:rsidRPr="002A18B2">
        <w:rPr>
          <w:rFonts w:ascii="Arial" w:hAnsi="Arial" w:cs="Arial"/>
          <w:sz w:val="22"/>
          <w:szCs w:val="22"/>
        </w:rPr>
        <w:t xml:space="preserve">, M., Bastos, A. C., van </w:t>
      </w:r>
      <w:proofErr w:type="spellStart"/>
      <w:r w:rsidRPr="002A18B2">
        <w:rPr>
          <w:rFonts w:ascii="Arial" w:hAnsi="Arial" w:cs="Arial"/>
          <w:sz w:val="22"/>
          <w:szCs w:val="22"/>
        </w:rPr>
        <w:t>Groenigen</w:t>
      </w:r>
      <w:proofErr w:type="spellEnd"/>
      <w:r w:rsidRPr="002A18B2">
        <w:rPr>
          <w:rFonts w:ascii="Arial" w:hAnsi="Arial" w:cs="Arial"/>
          <w:sz w:val="22"/>
          <w:szCs w:val="22"/>
        </w:rPr>
        <w:t xml:space="preserve">, J. W., Hungate, B. A., &amp; Verheijen, F. (2017). Biochar boosts tropical but not temperate crop yields. Environmental Research Letters. </w:t>
      </w:r>
      <w:hyperlink r:id="rId22" w:history="1">
        <w:r w:rsidRPr="00D041E1">
          <w:rPr>
            <w:rStyle w:val="Hyperlink"/>
            <w:rFonts w:ascii="Arial" w:hAnsi="Arial" w:cs="Arial"/>
            <w:sz w:val="22"/>
            <w:szCs w:val="22"/>
          </w:rPr>
          <w:t>https://doi.org/10.1088/1748-9326/aa67bd</w:t>
        </w:r>
      </w:hyperlink>
    </w:p>
    <w:p w14:paraId="27A9D07D" w14:textId="087B15DC" w:rsidR="002A18B2" w:rsidRDefault="002A18B2" w:rsidP="002A18B2">
      <w:pPr>
        <w:pStyle w:val="NormalWeb"/>
        <w:numPr>
          <w:ilvl w:val="0"/>
          <w:numId w:val="3"/>
        </w:numPr>
        <w:rPr>
          <w:rFonts w:ascii="Arial" w:hAnsi="Arial" w:cs="Arial"/>
          <w:sz w:val="22"/>
          <w:szCs w:val="22"/>
        </w:rPr>
      </w:pPr>
      <w:r w:rsidRPr="002A18B2">
        <w:rPr>
          <w:rFonts w:ascii="Arial" w:hAnsi="Arial" w:cs="Arial"/>
          <w:sz w:val="22"/>
          <w:szCs w:val="22"/>
        </w:rPr>
        <w:t xml:space="preserve">Jeffery, S., Verheijen, F. G. A., Kammann, C., &amp; Abalos, D. (2016). Biochar effects on methane emissions from soils: A meta-analysis. Soil Biology and Biochemistry. </w:t>
      </w:r>
      <w:hyperlink r:id="rId23" w:history="1">
        <w:r w:rsidRPr="00D041E1">
          <w:rPr>
            <w:rStyle w:val="Hyperlink"/>
            <w:rFonts w:ascii="Arial" w:hAnsi="Arial" w:cs="Arial"/>
            <w:sz w:val="22"/>
            <w:szCs w:val="22"/>
          </w:rPr>
          <w:t>https://doi.org/10.1016/j.soilbio.2016.07.021</w:t>
        </w:r>
      </w:hyperlink>
    </w:p>
    <w:p w14:paraId="53CC548B" w14:textId="1A1872C9" w:rsidR="002A18B2" w:rsidRPr="002A18B2" w:rsidRDefault="002A18B2" w:rsidP="002A18B2">
      <w:pPr>
        <w:pStyle w:val="ListParagraph"/>
        <w:numPr>
          <w:ilvl w:val="0"/>
          <w:numId w:val="3"/>
        </w:numPr>
        <w:spacing w:before="100" w:beforeAutospacing="1" w:after="100" w:afterAutospacing="1" w:line="240" w:lineRule="auto"/>
        <w:rPr>
          <w:rFonts w:ascii="Arial" w:eastAsia="Times New Roman" w:hAnsi="Arial" w:cs="Arial"/>
          <w:kern w:val="0"/>
          <w:lang w:eastAsia="en-IN"/>
          <w14:ligatures w14:val="none"/>
        </w:rPr>
      </w:pPr>
      <w:r w:rsidRPr="002A18B2">
        <w:rPr>
          <w:rFonts w:ascii="Arial" w:eastAsia="Times New Roman" w:hAnsi="Arial" w:cs="Arial"/>
          <w:kern w:val="0"/>
          <w:lang w:eastAsia="en-IN"/>
        </w:rPr>
        <w:t xml:space="preserve">Joona, J., Liski, E., &amp; </w:t>
      </w:r>
      <w:proofErr w:type="spellStart"/>
      <w:r w:rsidRPr="002A18B2">
        <w:rPr>
          <w:rFonts w:ascii="Arial" w:eastAsia="Times New Roman" w:hAnsi="Arial" w:cs="Arial"/>
          <w:kern w:val="0"/>
          <w:lang w:eastAsia="en-IN"/>
        </w:rPr>
        <w:t>Kahiluoto</w:t>
      </w:r>
      <w:proofErr w:type="spellEnd"/>
      <w:r w:rsidRPr="002A18B2">
        <w:rPr>
          <w:rFonts w:ascii="Arial" w:eastAsia="Times New Roman" w:hAnsi="Arial" w:cs="Arial"/>
          <w:kern w:val="0"/>
          <w:lang w:eastAsia="en-IN"/>
        </w:rPr>
        <w:t xml:space="preserve">, H. (2024). Manure increases soil organic carbon most when allocated to annual cropping. Catena. </w:t>
      </w:r>
      <w:hyperlink r:id="rId24" w:history="1">
        <w:r w:rsidRPr="00D041E1">
          <w:rPr>
            <w:rStyle w:val="Hyperlink"/>
            <w:rFonts w:ascii="Arial" w:eastAsia="Times New Roman" w:hAnsi="Arial" w:cs="Arial"/>
            <w:kern w:val="0"/>
            <w:lang w:eastAsia="en-IN"/>
          </w:rPr>
          <w:t>https://doi.org/10.1016/j.catena.2024.107844</w:t>
        </w:r>
      </w:hyperlink>
    </w:p>
    <w:p w14:paraId="24035859" w14:textId="43B96079" w:rsidR="002A18B2" w:rsidRDefault="002A18B2" w:rsidP="002A18B2">
      <w:pPr>
        <w:pStyle w:val="ListParagraph"/>
        <w:numPr>
          <w:ilvl w:val="0"/>
          <w:numId w:val="3"/>
        </w:numPr>
        <w:spacing w:before="100" w:beforeAutospacing="1" w:after="100" w:afterAutospacing="1" w:line="240" w:lineRule="auto"/>
        <w:rPr>
          <w:rFonts w:ascii="Arial" w:eastAsia="Times New Roman" w:hAnsi="Arial" w:cs="Arial"/>
          <w:kern w:val="0"/>
          <w:lang w:eastAsia="en-IN"/>
          <w14:ligatures w14:val="none"/>
        </w:rPr>
      </w:pPr>
      <w:r w:rsidRPr="002A18B2">
        <w:rPr>
          <w:rFonts w:ascii="Arial" w:eastAsia="Times New Roman" w:hAnsi="Arial" w:cs="Arial"/>
          <w:kern w:val="0"/>
          <w:lang w:eastAsia="en-IN"/>
          <w14:ligatures w14:val="none"/>
        </w:rPr>
        <w:lastRenderedPageBreak/>
        <w:t xml:space="preserve">Khanna, M., Zilberman, D., Hochman, G., &amp; Basso, B. (2024). An economic perspective of the circular bioeconomy in the food and agricultural sector. Communications Earth &amp; Environment </w:t>
      </w:r>
      <w:hyperlink r:id="rId25" w:history="1">
        <w:r w:rsidRPr="00D041E1">
          <w:rPr>
            <w:rStyle w:val="Hyperlink"/>
            <w:rFonts w:ascii="Arial" w:eastAsia="Times New Roman" w:hAnsi="Arial" w:cs="Arial"/>
            <w:kern w:val="0"/>
            <w:lang w:eastAsia="en-IN"/>
            <w14:ligatures w14:val="none"/>
          </w:rPr>
          <w:t>https://doi.org/10.1038/s43247-024-01663-6</w:t>
        </w:r>
      </w:hyperlink>
    </w:p>
    <w:p w14:paraId="465BDE41" w14:textId="082EBC35" w:rsidR="002A18B2" w:rsidRPr="002A18B2" w:rsidRDefault="002A18B2" w:rsidP="002A18B2">
      <w:pPr>
        <w:pStyle w:val="NormalWeb"/>
        <w:numPr>
          <w:ilvl w:val="0"/>
          <w:numId w:val="3"/>
        </w:numPr>
        <w:rPr>
          <w:rFonts w:ascii="Arial" w:hAnsi="Arial" w:cs="Arial"/>
          <w:sz w:val="22"/>
          <w:szCs w:val="22"/>
        </w:rPr>
      </w:pPr>
      <w:r w:rsidRPr="002A18B2">
        <w:rPr>
          <w:rFonts w:ascii="Arial" w:hAnsi="Arial" w:cs="Arial"/>
          <w:sz w:val="22"/>
          <w:szCs w:val="22"/>
          <w14:ligatures w14:val="none"/>
        </w:rPr>
        <w:t xml:space="preserve">Kirchherr, J., </w:t>
      </w:r>
      <w:proofErr w:type="spellStart"/>
      <w:r w:rsidRPr="002A18B2">
        <w:rPr>
          <w:rFonts w:ascii="Arial" w:hAnsi="Arial" w:cs="Arial"/>
          <w:sz w:val="22"/>
          <w:szCs w:val="22"/>
          <w14:ligatures w14:val="none"/>
        </w:rPr>
        <w:t>Reike</w:t>
      </w:r>
      <w:proofErr w:type="spellEnd"/>
      <w:r w:rsidRPr="002A18B2">
        <w:rPr>
          <w:rFonts w:ascii="Arial" w:hAnsi="Arial" w:cs="Arial"/>
          <w:sz w:val="22"/>
          <w:szCs w:val="22"/>
          <w14:ligatures w14:val="none"/>
        </w:rPr>
        <w:t xml:space="preserve">, D., &amp; Hekkert, M. (2017). Conceptualizing the circular economy: An analysis of 114 definitions. Resources, Conservation and Recycling, 127, 221–232. </w:t>
      </w:r>
      <w:hyperlink r:id="rId26" w:history="1">
        <w:r w:rsidRPr="00D041E1">
          <w:rPr>
            <w:rStyle w:val="Hyperlink"/>
            <w:rFonts w:ascii="Arial" w:hAnsi="Arial" w:cs="Arial"/>
            <w:sz w:val="22"/>
            <w:szCs w:val="22"/>
            <w14:ligatures w14:val="none"/>
          </w:rPr>
          <w:t>https://doi.org/10.1016/j.resconrec.2017.09.005</w:t>
        </w:r>
      </w:hyperlink>
    </w:p>
    <w:p w14:paraId="0E3EB0B0" w14:textId="56C43330" w:rsidR="002A18B2" w:rsidRDefault="002A18B2" w:rsidP="002A18B2">
      <w:pPr>
        <w:pStyle w:val="NormalWeb"/>
        <w:numPr>
          <w:ilvl w:val="0"/>
          <w:numId w:val="3"/>
        </w:numPr>
        <w:rPr>
          <w:rFonts w:ascii="Arial" w:hAnsi="Arial" w:cs="Arial"/>
          <w:sz w:val="22"/>
          <w:szCs w:val="22"/>
        </w:rPr>
      </w:pPr>
      <w:r w:rsidRPr="002A18B2">
        <w:rPr>
          <w:rFonts w:ascii="Arial" w:hAnsi="Arial" w:cs="Arial"/>
          <w:sz w:val="22"/>
          <w:szCs w:val="22"/>
        </w:rPr>
        <w:t xml:space="preserve">Kreibich, N., &amp; </w:t>
      </w:r>
      <w:proofErr w:type="spellStart"/>
      <w:r w:rsidRPr="002A18B2">
        <w:rPr>
          <w:rFonts w:ascii="Arial" w:hAnsi="Arial" w:cs="Arial"/>
          <w:sz w:val="22"/>
          <w:szCs w:val="22"/>
        </w:rPr>
        <w:t>Hermwille</w:t>
      </w:r>
      <w:proofErr w:type="spellEnd"/>
      <w:r w:rsidRPr="002A18B2">
        <w:rPr>
          <w:rFonts w:ascii="Arial" w:hAnsi="Arial" w:cs="Arial"/>
          <w:sz w:val="22"/>
          <w:szCs w:val="22"/>
        </w:rPr>
        <w:t xml:space="preserve">, L. (2021). Caught in between: credibility and feasibility of the voluntary carbon market post-2020. Climate Policy, 21(7), 939–957. </w:t>
      </w:r>
      <w:hyperlink r:id="rId27" w:history="1">
        <w:r w:rsidRPr="00D041E1">
          <w:rPr>
            <w:rStyle w:val="Hyperlink"/>
            <w:rFonts w:ascii="Arial" w:hAnsi="Arial" w:cs="Arial"/>
            <w:sz w:val="22"/>
            <w:szCs w:val="22"/>
          </w:rPr>
          <w:t>https://doi.org/10.1080/14693062.2021.1948384</w:t>
        </w:r>
      </w:hyperlink>
    </w:p>
    <w:p w14:paraId="612F7D3C" w14:textId="390D61B3" w:rsidR="00337891" w:rsidRPr="00337891" w:rsidRDefault="00337891" w:rsidP="002A18B2">
      <w:pPr>
        <w:pStyle w:val="ListParagraph"/>
        <w:numPr>
          <w:ilvl w:val="0"/>
          <w:numId w:val="3"/>
        </w:numPr>
        <w:spacing w:before="100" w:beforeAutospacing="1" w:after="100" w:afterAutospacing="1" w:line="240" w:lineRule="auto"/>
        <w:rPr>
          <w:rFonts w:ascii="Arial" w:eastAsia="Times New Roman" w:hAnsi="Arial" w:cs="Arial"/>
          <w:kern w:val="0"/>
          <w:lang w:eastAsia="en-IN"/>
          <w14:ligatures w14:val="none"/>
        </w:rPr>
      </w:pPr>
      <w:r w:rsidRPr="00337891">
        <w:rPr>
          <w:rFonts w:ascii="Arial" w:eastAsia="Times New Roman" w:hAnsi="Arial" w:cs="Arial"/>
          <w:kern w:val="0"/>
          <w:lang w:eastAsia="en-IN"/>
        </w:rPr>
        <w:t xml:space="preserve">Launay, C., </w:t>
      </w:r>
      <w:proofErr w:type="spellStart"/>
      <w:r w:rsidRPr="00337891">
        <w:rPr>
          <w:rFonts w:ascii="Arial" w:eastAsia="Times New Roman" w:hAnsi="Arial" w:cs="Arial"/>
          <w:kern w:val="0"/>
          <w:lang w:eastAsia="en-IN"/>
        </w:rPr>
        <w:t>Houot</w:t>
      </w:r>
      <w:proofErr w:type="spellEnd"/>
      <w:r w:rsidRPr="00337891">
        <w:rPr>
          <w:rFonts w:ascii="Arial" w:eastAsia="Times New Roman" w:hAnsi="Arial" w:cs="Arial"/>
          <w:kern w:val="0"/>
          <w:lang w:eastAsia="en-IN"/>
        </w:rPr>
        <w:t xml:space="preserve">, S., Frédéric, S., Girault, R., Levavasseur, F., Marsac, S., &amp; Constantin, J. (2022). Incorporating energy cover crops for biogas production into agricultural systems: Benefits and environmental impacts—A review. Agronomy for Sustainable Development, 42, Article 57. </w:t>
      </w:r>
      <w:hyperlink r:id="rId28" w:history="1">
        <w:r w:rsidRPr="00D041E1">
          <w:rPr>
            <w:rStyle w:val="Hyperlink"/>
            <w:rFonts w:ascii="Arial" w:eastAsia="Times New Roman" w:hAnsi="Arial" w:cs="Arial"/>
            <w:kern w:val="0"/>
            <w:lang w:eastAsia="en-IN"/>
          </w:rPr>
          <w:t>https://doi.org/10.1007/s13593-022-00790-8</w:t>
        </w:r>
      </w:hyperlink>
    </w:p>
    <w:p w14:paraId="5C059B8E" w14:textId="7E642EBF" w:rsidR="00337891" w:rsidRPr="00337891" w:rsidRDefault="00337891" w:rsidP="002A18B2">
      <w:pPr>
        <w:pStyle w:val="ListParagraph"/>
        <w:numPr>
          <w:ilvl w:val="0"/>
          <w:numId w:val="3"/>
        </w:numPr>
        <w:spacing w:before="100" w:beforeAutospacing="1" w:after="100" w:afterAutospacing="1" w:line="240" w:lineRule="auto"/>
        <w:rPr>
          <w:rFonts w:ascii="Arial" w:eastAsia="Times New Roman" w:hAnsi="Arial" w:cs="Arial"/>
          <w:kern w:val="0"/>
          <w:lang w:eastAsia="en-IN"/>
        </w:rPr>
      </w:pPr>
      <w:r w:rsidRPr="00337891">
        <w:rPr>
          <w:rFonts w:ascii="Arial" w:eastAsia="Times New Roman" w:hAnsi="Arial" w:cs="Arial"/>
          <w:kern w:val="0"/>
          <w:lang w:eastAsia="en-IN"/>
          <w14:ligatures w14:val="none"/>
        </w:rPr>
        <w:t xml:space="preserve">Lehmann, J., Cowie, A., Masiello, C. A., Kammann, C., Woolf, D., Amonette, J. E., </w:t>
      </w:r>
      <w:proofErr w:type="spellStart"/>
      <w:r w:rsidRPr="00337891">
        <w:rPr>
          <w:rFonts w:ascii="Arial" w:eastAsia="Times New Roman" w:hAnsi="Arial" w:cs="Arial"/>
          <w:kern w:val="0"/>
          <w:lang w:eastAsia="en-IN"/>
          <w14:ligatures w14:val="none"/>
        </w:rPr>
        <w:t>Cayuela</w:t>
      </w:r>
      <w:proofErr w:type="spellEnd"/>
      <w:r w:rsidRPr="00337891">
        <w:rPr>
          <w:rFonts w:ascii="Arial" w:eastAsia="Times New Roman" w:hAnsi="Arial" w:cs="Arial"/>
          <w:kern w:val="0"/>
          <w:lang w:eastAsia="en-IN"/>
          <w14:ligatures w14:val="none"/>
        </w:rPr>
        <w:t>, M. L., Camps-</w:t>
      </w:r>
      <w:proofErr w:type="spellStart"/>
      <w:r w:rsidRPr="00337891">
        <w:rPr>
          <w:rFonts w:ascii="Arial" w:eastAsia="Times New Roman" w:hAnsi="Arial" w:cs="Arial"/>
          <w:kern w:val="0"/>
          <w:lang w:eastAsia="en-IN"/>
          <w14:ligatures w14:val="none"/>
        </w:rPr>
        <w:t>Arbestain</w:t>
      </w:r>
      <w:proofErr w:type="spellEnd"/>
      <w:r w:rsidRPr="00337891">
        <w:rPr>
          <w:rFonts w:ascii="Arial" w:eastAsia="Times New Roman" w:hAnsi="Arial" w:cs="Arial"/>
          <w:kern w:val="0"/>
          <w:lang w:eastAsia="en-IN"/>
          <w14:ligatures w14:val="none"/>
        </w:rPr>
        <w:t xml:space="preserve">, M., &amp; Whitman, T. (2021). Biochar in climate change mitigation. Nature Geoscience, 14(12), 883–892. </w:t>
      </w:r>
      <w:hyperlink r:id="rId29" w:history="1">
        <w:r w:rsidRPr="00D041E1">
          <w:rPr>
            <w:rStyle w:val="Hyperlink"/>
            <w:rFonts w:ascii="Arial" w:eastAsia="Times New Roman" w:hAnsi="Arial" w:cs="Arial"/>
            <w:kern w:val="0"/>
            <w:lang w:eastAsia="en-IN"/>
            <w14:ligatures w14:val="none"/>
          </w:rPr>
          <w:t>https://doi.org/10.1038/s41561-021-00852-8</w:t>
        </w:r>
      </w:hyperlink>
    </w:p>
    <w:p w14:paraId="2B8D584C" w14:textId="5D5E152C" w:rsidR="00337891" w:rsidRPr="00337891" w:rsidRDefault="00337891" w:rsidP="002A18B2">
      <w:pPr>
        <w:pStyle w:val="NormalWeb"/>
        <w:numPr>
          <w:ilvl w:val="0"/>
          <w:numId w:val="3"/>
        </w:numPr>
        <w:rPr>
          <w:rFonts w:ascii="Arial" w:hAnsi="Arial" w:cs="Arial"/>
          <w:sz w:val="22"/>
          <w:szCs w:val="22"/>
        </w:rPr>
      </w:pPr>
      <w:r w:rsidRPr="00337891">
        <w:rPr>
          <w:rFonts w:ascii="Arial" w:eastAsiaTheme="minorHAnsi" w:hAnsi="Arial" w:cs="Arial"/>
          <w:kern w:val="2"/>
          <w:sz w:val="22"/>
          <w:szCs w:val="22"/>
          <w:lang w:eastAsia="en-US"/>
        </w:rPr>
        <w:t xml:space="preserve">Lemes, R., Kuligowski, K., </w:t>
      </w:r>
      <w:proofErr w:type="spellStart"/>
      <w:r w:rsidRPr="00337891">
        <w:rPr>
          <w:rFonts w:ascii="Arial" w:eastAsiaTheme="minorHAnsi" w:hAnsi="Arial" w:cs="Arial"/>
          <w:kern w:val="2"/>
          <w:sz w:val="22"/>
          <w:szCs w:val="22"/>
          <w:lang w:eastAsia="en-US"/>
        </w:rPr>
        <w:t>Raboni</w:t>
      </w:r>
      <w:proofErr w:type="spellEnd"/>
      <w:r w:rsidRPr="00337891">
        <w:rPr>
          <w:rFonts w:ascii="Arial" w:eastAsiaTheme="minorHAnsi" w:hAnsi="Arial" w:cs="Arial"/>
          <w:kern w:val="2"/>
          <w:sz w:val="22"/>
          <w:szCs w:val="22"/>
          <w:lang w:eastAsia="en-US"/>
        </w:rPr>
        <w:t xml:space="preserve">, R., Lopez, M., &amp; Martí, M. (2022). Full-Scale Investigation of Methane and Ammonia Mitigation by Early Single-Dose Slurry Storage Acidification. ACS Agricultural Science &amp; Technology, 2(6), 1196-1205. </w:t>
      </w:r>
      <w:hyperlink r:id="rId30" w:history="1">
        <w:r w:rsidRPr="00D041E1">
          <w:rPr>
            <w:rStyle w:val="Hyperlink"/>
            <w:rFonts w:ascii="Arial" w:eastAsiaTheme="minorHAnsi" w:hAnsi="Arial" w:cs="Arial"/>
            <w:kern w:val="2"/>
            <w:sz w:val="22"/>
            <w:szCs w:val="22"/>
            <w:lang w:eastAsia="en-US"/>
          </w:rPr>
          <w:t>https://doi.org/10.1021/acsagscitech.2c00172</w:t>
        </w:r>
      </w:hyperlink>
    </w:p>
    <w:p w14:paraId="30A8A7AC" w14:textId="311B4445" w:rsid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rPr>
        <w:t xml:space="preserve">Li, B., Liang, F., Wang, Y., Cao, W., Song, H., Chen, J., &amp; Guo, J. (2023). Magnitude and efficiency of straw return in building up soil organic carbon: A global synthesis integrating the impacts of agricultural managements and environmental conditions. Science of the Total Environment, 875, 162670. </w:t>
      </w:r>
      <w:hyperlink r:id="rId31" w:history="1">
        <w:r w:rsidRPr="00D041E1">
          <w:rPr>
            <w:rStyle w:val="Hyperlink"/>
            <w:rFonts w:ascii="Arial" w:hAnsi="Arial" w:cs="Arial"/>
            <w:sz w:val="22"/>
            <w:szCs w:val="22"/>
          </w:rPr>
          <w:t>https://doi.org/10.1016/j.scitotenv.2023.162670</w:t>
        </w:r>
      </w:hyperlink>
    </w:p>
    <w:p w14:paraId="47CADFA4" w14:textId="4EF22E27" w:rsidR="00337891" w:rsidRPr="00337891" w:rsidRDefault="00337891" w:rsidP="002A18B2">
      <w:pPr>
        <w:pStyle w:val="ListParagraph"/>
        <w:numPr>
          <w:ilvl w:val="0"/>
          <w:numId w:val="3"/>
        </w:numPr>
        <w:spacing w:before="100" w:beforeAutospacing="1" w:after="100" w:afterAutospacing="1" w:line="240" w:lineRule="auto"/>
        <w:rPr>
          <w:rFonts w:ascii="Arial" w:eastAsia="Times New Roman" w:hAnsi="Arial" w:cs="Arial"/>
          <w:kern w:val="0"/>
          <w:lang w:eastAsia="en-IN"/>
          <w14:ligatures w14:val="none"/>
        </w:rPr>
      </w:pPr>
      <w:r w:rsidRPr="00337891">
        <w:rPr>
          <w:rFonts w:ascii="Arial" w:eastAsia="Times New Roman" w:hAnsi="Arial" w:cs="Arial"/>
          <w:kern w:val="0"/>
          <w:lang w:eastAsia="en-IN"/>
        </w:rPr>
        <w:t xml:space="preserve">Li, H., Song, X., Wu, D., Wei, D., &amp; Ju, X. (2024). Digestate induces significantly higher N2O emission compared to urea under different soil properties and moisture. Environmental Research, 241, 117617. </w:t>
      </w:r>
      <w:hyperlink r:id="rId32" w:history="1">
        <w:r w:rsidRPr="00D041E1">
          <w:rPr>
            <w:rStyle w:val="Hyperlink"/>
            <w:rFonts w:ascii="Arial" w:eastAsia="Times New Roman" w:hAnsi="Arial" w:cs="Arial"/>
            <w:kern w:val="0"/>
            <w:lang w:eastAsia="en-IN"/>
          </w:rPr>
          <w:t>https://doi.org/10.1016/j.envres.2023.117617</w:t>
        </w:r>
      </w:hyperlink>
    </w:p>
    <w:p w14:paraId="15575453" w14:textId="7624F353" w:rsidR="00337891" w:rsidRPr="00337891" w:rsidRDefault="00337891" w:rsidP="002A18B2">
      <w:pPr>
        <w:pStyle w:val="ListParagraph"/>
        <w:numPr>
          <w:ilvl w:val="0"/>
          <w:numId w:val="3"/>
        </w:numPr>
        <w:spacing w:before="100" w:beforeAutospacing="1" w:after="100" w:afterAutospacing="1" w:line="240" w:lineRule="auto"/>
        <w:rPr>
          <w:rFonts w:ascii="Arial" w:hAnsi="Arial" w:cs="Arial"/>
        </w:rPr>
      </w:pPr>
      <w:r w:rsidRPr="00337891">
        <w:rPr>
          <w:rFonts w:ascii="Arial" w:eastAsia="Times New Roman" w:hAnsi="Arial" w:cs="Arial"/>
          <w:kern w:val="0"/>
          <w:lang w:eastAsia="en-IN"/>
          <w14:ligatures w14:val="none"/>
        </w:rPr>
        <w:t xml:space="preserve">Li, X., Wu, D., Liu, X., Huang, Y., Cai, A., Xu, H., Ran, J., Xiao, J., &amp; Zhang, W. (2024). A global dataset of biochar application effects on crop yield, soil properties, and greenhouse gas emissions. Scientific Data. </w:t>
      </w:r>
      <w:hyperlink r:id="rId33" w:history="1">
        <w:r w:rsidRPr="00D041E1">
          <w:rPr>
            <w:rStyle w:val="Hyperlink"/>
            <w:rFonts w:ascii="Arial" w:eastAsia="Times New Roman" w:hAnsi="Arial" w:cs="Arial"/>
            <w:kern w:val="0"/>
            <w:lang w:eastAsia="en-IN"/>
            <w14:ligatures w14:val="none"/>
          </w:rPr>
          <w:t>https://doi.org/10.1038/s41597-023-02867-9</w:t>
        </w:r>
      </w:hyperlink>
    </w:p>
    <w:p w14:paraId="6132DC2A" w14:textId="1A522E07" w:rsidR="00337891" w:rsidRPr="00337891" w:rsidRDefault="00337891" w:rsidP="002A18B2">
      <w:pPr>
        <w:pStyle w:val="NormalWeb"/>
        <w:numPr>
          <w:ilvl w:val="0"/>
          <w:numId w:val="3"/>
        </w:numPr>
        <w:rPr>
          <w:rFonts w:ascii="Arial" w:hAnsi="Arial" w:cs="Arial"/>
          <w:sz w:val="22"/>
          <w:szCs w:val="22"/>
        </w:rPr>
      </w:pPr>
      <w:r w:rsidRPr="00337891">
        <w:rPr>
          <w:rFonts w:ascii="Arial" w:eastAsiaTheme="minorHAnsi" w:hAnsi="Arial" w:cs="Arial"/>
          <w:kern w:val="2"/>
          <w:sz w:val="22"/>
          <w:szCs w:val="22"/>
          <w:lang w:eastAsia="en-US"/>
        </w:rPr>
        <w:t xml:space="preserve">Liyanage, T. D. P., Maeda, M., </w:t>
      </w:r>
      <w:proofErr w:type="spellStart"/>
      <w:r w:rsidRPr="00337891">
        <w:rPr>
          <w:rFonts w:ascii="Arial" w:eastAsiaTheme="minorHAnsi" w:hAnsi="Arial" w:cs="Arial"/>
          <w:kern w:val="2"/>
          <w:sz w:val="22"/>
          <w:szCs w:val="22"/>
          <w:lang w:eastAsia="en-US"/>
        </w:rPr>
        <w:t>Somura</w:t>
      </w:r>
      <w:proofErr w:type="spellEnd"/>
      <w:r w:rsidRPr="00337891">
        <w:rPr>
          <w:rFonts w:ascii="Arial" w:eastAsiaTheme="minorHAnsi" w:hAnsi="Arial" w:cs="Arial"/>
          <w:kern w:val="2"/>
          <w:sz w:val="22"/>
          <w:szCs w:val="22"/>
          <w:lang w:eastAsia="en-US"/>
        </w:rPr>
        <w:t xml:space="preserve">, H., Thuong, N. T. T., Mori, M., &amp; Fujiwara, T. (2022). Nitrous oxide and carbon dioxide emissions from two soils amended with different manure composts in aerobic incubation tests. Soil Science and Plant Nutrition, 68(4), 491–504. </w:t>
      </w:r>
      <w:hyperlink r:id="rId34" w:history="1">
        <w:r w:rsidRPr="00D041E1">
          <w:rPr>
            <w:rStyle w:val="Hyperlink"/>
            <w:rFonts w:ascii="Arial" w:eastAsiaTheme="minorHAnsi" w:hAnsi="Arial" w:cs="Arial"/>
            <w:kern w:val="2"/>
            <w:sz w:val="22"/>
            <w:szCs w:val="22"/>
            <w:lang w:eastAsia="en-US"/>
          </w:rPr>
          <w:t>https://doi.org/10.1080/00380768.2022.2095669</w:t>
        </w:r>
      </w:hyperlink>
    </w:p>
    <w:p w14:paraId="7C336632" w14:textId="56B8D28C" w:rsidR="00337891" w:rsidRPr="00337891" w:rsidRDefault="00337891" w:rsidP="002A18B2">
      <w:pPr>
        <w:pStyle w:val="NormalWeb"/>
        <w:numPr>
          <w:ilvl w:val="0"/>
          <w:numId w:val="3"/>
        </w:numPr>
        <w:rPr>
          <w:rFonts w:ascii="Arial" w:hAnsi="Arial" w:cs="Arial"/>
          <w:sz w:val="22"/>
          <w:szCs w:val="22"/>
        </w:rPr>
      </w:pPr>
      <w:r w:rsidRPr="00337891">
        <w:rPr>
          <w:rFonts w:ascii="Arial" w:hAnsi="Arial" w:cs="Arial"/>
          <w:color w:val="000000"/>
          <w:sz w:val="22"/>
          <w:szCs w:val="22"/>
          <w:shd w:val="clear" w:color="auto" w:fill="FFFFFF"/>
        </w:rPr>
        <w:t xml:space="preserve">Shekhar, S., </w:t>
      </w:r>
      <w:proofErr w:type="spellStart"/>
      <w:r w:rsidRPr="00337891">
        <w:rPr>
          <w:rFonts w:ascii="Arial" w:hAnsi="Arial" w:cs="Arial"/>
          <w:color w:val="000000"/>
          <w:sz w:val="22"/>
          <w:szCs w:val="22"/>
          <w:shd w:val="clear" w:color="auto" w:fill="FFFFFF"/>
        </w:rPr>
        <w:t>Mailapalli</w:t>
      </w:r>
      <w:proofErr w:type="spellEnd"/>
      <w:r w:rsidRPr="00337891">
        <w:rPr>
          <w:rFonts w:ascii="Arial" w:hAnsi="Arial" w:cs="Arial"/>
          <w:color w:val="000000"/>
          <w:sz w:val="22"/>
          <w:szCs w:val="22"/>
          <w:shd w:val="clear" w:color="auto" w:fill="FFFFFF"/>
        </w:rPr>
        <w:t xml:space="preserve">, D. R., &amp; </w:t>
      </w:r>
      <w:proofErr w:type="spellStart"/>
      <w:r w:rsidRPr="00337891">
        <w:rPr>
          <w:rFonts w:ascii="Arial" w:hAnsi="Arial" w:cs="Arial"/>
          <w:color w:val="000000"/>
          <w:sz w:val="22"/>
          <w:szCs w:val="22"/>
          <w:shd w:val="clear" w:color="auto" w:fill="FFFFFF"/>
        </w:rPr>
        <w:t>Raghuwanshi</w:t>
      </w:r>
      <w:proofErr w:type="spellEnd"/>
      <w:r w:rsidRPr="00337891">
        <w:rPr>
          <w:rFonts w:ascii="Arial" w:hAnsi="Arial" w:cs="Arial"/>
          <w:color w:val="000000"/>
          <w:sz w:val="22"/>
          <w:szCs w:val="22"/>
          <w:shd w:val="clear" w:color="auto" w:fill="FFFFFF"/>
        </w:rPr>
        <w:t xml:space="preserve">, N. S. (2022). Effect of Alternate Wetting and Drying Irrigation Practice on Rice Crop Growth and Yield: A Lysimeter Study. ACS Agricultural Science &amp; Technology, 2(5), 919-931. </w:t>
      </w:r>
      <w:hyperlink r:id="rId35" w:history="1">
        <w:r w:rsidRPr="00D041E1">
          <w:rPr>
            <w:rStyle w:val="Hyperlink"/>
            <w:rFonts w:ascii="Arial" w:hAnsi="Arial" w:cs="Arial"/>
            <w:sz w:val="22"/>
            <w:szCs w:val="22"/>
            <w:shd w:val="clear" w:color="auto" w:fill="FFFFFF"/>
          </w:rPr>
          <w:t>https://doi.org/10.1021/acsagscitech.1c00239</w:t>
        </w:r>
      </w:hyperlink>
    </w:p>
    <w:p w14:paraId="13052FCF" w14:textId="6CDCEC45" w:rsid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rPr>
        <w:t xml:space="preserve">Maillard, É., &amp; Angers, D. A. (2014). Animal manure application and soil organic carbon stocks: A meta-analysis. Global Change Biology. </w:t>
      </w:r>
      <w:hyperlink r:id="rId36" w:history="1">
        <w:r w:rsidRPr="00D041E1">
          <w:rPr>
            <w:rStyle w:val="Hyperlink"/>
            <w:rFonts w:ascii="Arial" w:hAnsi="Arial" w:cs="Arial"/>
            <w:sz w:val="22"/>
            <w:szCs w:val="22"/>
          </w:rPr>
          <w:t>https://doi.org/10.1111/gcb.12438</w:t>
        </w:r>
      </w:hyperlink>
    </w:p>
    <w:p w14:paraId="40A9C238" w14:textId="7E8B67A0" w:rsid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rPr>
        <w:t xml:space="preserve">Nordahl, S. L., Preble, C. V., </w:t>
      </w:r>
      <w:proofErr w:type="spellStart"/>
      <w:r w:rsidRPr="00337891">
        <w:rPr>
          <w:rFonts w:ascii="Arial" w:hAnsi="Arial" w:cs="Arial"/>
          <w:sz w:val="22"/>
          <w:szCs w:val="22"/>
        </w:rPr>
        <w:t>Kirchstetter</w:t>
      </w:r>
      <w:proofErr w:type="spellEnd"/>
      <w:r w:rsidRPr="00337891">
        <w:rPr>
          <w:rFonts w:ascii="Arial" w:hAnsi="Arial" w:cs="Arial"/>
          <w:sz w:val="22"/>
          <w:szCs w:val="22"/>
        </w:rPr>
        <w:t xml:space="preserve">, T. W., &amp; Scown, C. D. (2023). Greenhouse gas and air pollutant emissions from composting. Environmental Science &amp; Technology, 57(6), 2235–2247. </w:t>
      </w:r>
      <w:hyperlink r:id="rId37" w:history="1">
        <w:r w:rsidRPr="00D041E1">
          <w:rPr>
            <w:rStyle w:val="Hyperlink"/>
            <w:rFonts w:ascii="Arial" w:hAnsi="Arial" w:cs="Arial"/>
            <w:sz w:val="22"/>
            <w:szCs w:val="22"/>
          </w:rPr>
          <w:t>https://doi.org/10.1021/acs.est.2c05846</w:t>
        </w:r>
      </w:hyperlink>
    </w:p>
    <w:p w14:paraId="617FD3B8" w14:textId="59E95C91" w:rsid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rPr>
        <w:t xml:space="preserve">O'Brien, P. L., &amp; Hatfield, J. L. (2019). Dairy Manure and Synthetic Fertilizer: A Meta-Analysis of Crop Production and Environmental Quality. </w:t>
      </w:r>
      <w:proofErr w:type="spellStart"/>
      <w:r w:rsidRPr="00337891">
        <w:rPr>
          <w:rFonts w:ascii="Arial" w:hAnsi="Arial" w:cs="Arial"/>
          <w:sz w:val="22"/>
          <w:szCs w:val="22"/>
        </w:rPr>
        <w:t>Agrosystems</w:t>
      </w:r>
      <w:proofErr w:type="spellEnd"/>
      <w:r w:rsidRPr="00337891">
        <w:rPr>
          <w:rFonts w:ascii="Arial" w:hAnsi="Arial" w:cs="Arial"/>
          <w:sz w:val="22"/>
          <w:szCs w:val="22"/>
        </w:rPr>
        <w:t xml:space="preserve">, Geosciences &amp; Environment. </w:t>
      </w:r>
      <w:hyperlink r:id="rId38" w:history="1">
        <w:r w:rsidRPr="00D041E1">
          <w:rPr>
            <w:rStyle w:val="Hyperlink"/>
            <w:rFonts w:ascii="Arial" w:hAnsi="Arial" w:cs="Arial"/>
            <w:sz w:val="22"/>
            <w:szCs w:val="22"/>
          </w:rPr>
          <w:t>https://doi.org/10.2134/age2019.04.0027</w:t>
        </w:r>
      </w:hyperlink>
    </w:p>
    <w:p w14:paraId="2E39C626" w14:textId="3115ACA9" w:rsid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rPr>
        <w:t xml:space="preserve">Oldfield, E. E., Eagle, A. J., Rubin, R. L., Rudek, J., Sanderman, J., &amp; Gordon, D. R. (2022). Crediting agricultural soil carbon sequestration. Science, 375(6586), 1222–1225. </w:t>
      </w:r>
      <w:hyperlink r:id="rId39" w:history="1">
        <w:r w:rsidRPr="00D041E1">
          <w:rPr>
            <w:rStyle w:val="Hyperlink"/>
            <w:rFonts w:ascii="Arial" w:hAnsi="Arial" w:cs="Arial"/>
            <w:sz w:val="22"/>
            <w:szCs w:val="22"/>
          </w:rPr>
          <w:t>https://doi.org/10.1126/science.abl7991</w:t>
        </w:r>
      </w:hyperlink>
    </w:p>
    <w:p w14:paraId="02ED3834" w14:textId="5D4A3254" w:rsid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rPr>
        <w:lastRenderedPageBreak/>
        <w:t xml:space="preserve">Overmeyer, V., Trimborn, M., Clemens, J., Hölscher, R., &amp; Büscher, W. (2023). Acidification of slurry to reduce ammonia and methane emissions: Deployment of a retrofittable system in fattening pig barns. Journal of Environmental Management. </w:t>
      </w:r>
      <w:hyperlink r:id="rId40" w:history="1">
        <w:r w:rsidRPr="00D041E1">
          <w:rPr>
            <w:rStyle w:val="Hyperlink"/>
            <w:rFonts w:ascii="Arial" w:hAnsi="Arial" w:cs="Arial"/>
            <w:sz w:val="22"/>
            <w:szCs w:val="22"/>
          </w:rPr>
          <w:t>https://doi.org/10.1016/j.jenvman.2023.117263</w:t>
        </w:r>
      </w:hyperlink>
    </w:p>
    <w:p w14:paraId="255DF9A5" w14:textId="5647B938" w:rsidR="00337891" w:rsidRPr="00337891" w:rsidRDefault="00337891" w:rsidP="002A18B2">
      <w:pPr>
        <w:pStyle w:val="ListParagraph"/>
        <w:numPr>
          <w:ilvl w:val="0"/>
          <w:numId w:val="3"/>
        </w:numPr>
        <w:spacing w:before="100" w:beforeAutospacing="1" w:after="100" w:afterAutospacing="1" w:line="240" w:lineRule="auto"/>
        <w:rPr>
          <w:rFonts w:ascii="Arial" w:eastAsia="Times New Roman" w:hAnsi="Arial" w:cs="Arial"/>
          <w:kern w:val="0"/>
          <w:lang w:eastAsia="en-IN"/>
          <w14:ligatures w14:val="none"/>
        </w:rPr>
      </w:pPr>
      <w:r w:rsidRPr="00337891">
        <w:rPr>
          <w:rFonts w:ascii="Arial" w:eastAsia="Times New Roman" w:hAnsi="Arial" w:cs="Arial"/>
          <w:kern w:val="0"/>
          <w:lang w:eastAsia="en-IN"/>
        </w:rPr>
        <w:t xml:space="preserve">Pedersen, J., &amp; Hafner, S. D. (2023). Ammonia emissions after field application of anaerobically digested animal slurry: Literature review and perspectives. Agriculture, Ecosystems &amp; Environment, 357, 108697. </w:t>
      </w:r>
      <w:hyperlink r:id="rId41" w:history="1">
        <w:r w:rsidRPr="00D041E1">
          <w:rPr>
            <w:rStyle w:val="Hyperlink"/>
            <w:rFonts w:ascii="Arial" w:eastAsia="Times New Roman" w:hAnsi="Arial" w:cs="Arial"/>
            <w:kern w:val="0"/>
            <w:lang w:eastAsia="en-IN"/>
          </w:rPr>
          <w:t>https://doi.org/10.1016/j.agee.2023.108697</w:t>
        </w:r>
      </w:hyperlink>
    </w:p>
    <w:p w14:paraId="03215216" w14:textId="14A38C27" w:rsidR="00337891" w:rsidRP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14:ligatures w14:val="none"/>
        </w:rPr>
        <w:t xml:space="preserve">Peters, J. F., Iribarren, D., &amp; Dufour, J. (2015). Biomass pyrolysis for biochar or energy applications? A life cycle assessment. Environmental Science &amp; Technology, 49(8), 5195–5202 </w:t>
      </w:r>
      <w:hyperlink r:id="rId42" w:history="1">
        <w:r w:rsidRPr="00D041E1">
          <w:rPr>
            <w:rStyle w:val="Hyperlink"/>
            <w:rFonts w:ascii="Arial" w:hAnsi="Arial" w:cs="Arial"/>
            <w:sz w:val="22"/>
            <w:szCs w:val="22"/>
            <w14:ligatures w14:val="none"/>
          </w:rPr>
          <w:t>https://doi.org/10.1021/es5060786</w:t>
        </w:r>
      </w:hyperlink>
    </w:p>
    <w:p w14:paraId="47F184B6" w14:textId="0AD82DB1" w:rsidR="00337891" w:rsidRPr="00337891" w:rsidRDefault="00337891" w:rsidP="002A18B2">
      <w:pPr>
        <w:pStyle w:val="ListParagraph"/>
        <w:numPr>
          <w:ilvl w:val="0"/>
          <w:numId w:val="3"/>
        </w:numPr>
        <w:spacing w:before="100" w:beforeAutospacing="1" w:after="100" w:afterAutospacing="1" w:line="240" w:lineRule="auto"/>
        <w:rPr>
          <w:rFonts w:ascii="Arial" w:eastAsia="Times New Roman" w:hAnsi="Arial" w:cs="Arial"/>
          <w:kern w:val="0"/>
          <w:lang w:eastAsia="en-IN"/>
          <w14:ligatures w14:val="none"/>
        </w:rPr>
      </w:pPr>
      <w:r w:rsidRPr="00337891">
        <w:rPr>
          <w:rFonts w:ascii="Arial" w:eastAsia="Times New Roman" w:hAnsi="Arial" w:cs="Arial"/>
          <w:kern w:val="0"/>
          <w:lang w:eastAsia="en-IN"/>
        </w:rPr>
        <w:t xml:space="preserve">Probst, B. S., </w:t>
      </w:r>
      <w:proofErr w:type="spellStart"/>
      <w:r w:rsidRPr="00337891">
        <w:rPr>
          <w:rFonts w:ascii="Arial" w:eastAsia="Times New Roman" w:hAnsi="Arial" w:cs="Arial"/>
          <w:kern w:val="0"/>
          <w:lang w:eastAsia="en-IN"/>
        </w:rPr>
        <w:t>Toetzke</w:t>
      </w:r>
      <w:proofErr w:type="spellEnd"/>
      <w:r w:rsidRPr="00337891">
        <w:rPr>
          <w:rFonts w:ascii="Arial" w:eastAsia="Times New Roman" w:hAnsi="Arial" w:cs="Arial"/>
          <w:kern w:val="0"/>
          <w:lang w:eastAsia="en-IN"/>
        </w:rPr>
        <w:t xml:space="preserve">, M., </w:t>
      </w:r>
      <w:proofErr w:type="spellStart"/>
      <w:r w:rsidRPr="00337891">
        <w:rPr>
          <w:rFonts w:ascii="Arial" w:eastAsia="Times New Roman" w:hAnsi="Arial" w:cs="Arial"/>
          <w:kern w:val="0"/>
          <w:lang w:eastAsia="en-IN"/>
        </w:rPr>
        <w:t>Kontoleon</w:t>
      </w:r>
      <w:proofErr w:type="spellEnd"/>
      <w:r w:rsidRPr="00337891">
        <w:rPr>
          <w:rFonts w:ascii="Arial" w:eastAsia="Times New Roman" w:hAnsi="Arial" w:cs="Arial"/>
          <w:kern w:val="0"/>
          <w:lang w:eastAsia="en-IN"/>
        </w:rPr>
        <w:t xml:space="preserve">, A., Díaz Anadón, L., Minx, J. C., Haya, B. K., Schneider, L., Trotter, P. A., West, T. A. P., Gill-Wiehl, A., Hoffmann, V. H., </w:t>
      </w:r>
      <w:proofErr w:type="spellStart"/>
      <w:r w:rsidRPr="00337891">
        <w:rPr>
          <w:rFonts w:ascii="Arial" w:eastAsia="Times New Roman" w:hAnsi="Arial" w:cs="Arial"/>
          <w:kern w:val="0"/>
          <w:lang w:eastAsia="en-IN"/>
        </w:rPr>
        <w:t>Michaelowa</w:t>
      </w:r>
      <w:proofErr w:type="spellEnd"/>
      <w:r w:rsidRPr="00337891">
        <w:rPr>
          <w:rFonts w:ascii="Arial" w:eastAsia="Times New Roman" w:hAnsi="Arial" w:cs="Arial"/>
          <w:kern w:val="0"/>
          <w:lang w:eastAsia="en-IN"/>
        </w:rPr>
        <w:t xml:space="preserve">, A., </w:t>
      </w:r>
      <w:proofErr w:type="spellStart"/>
      <w:r w:rsidRPr="00337891">
        <w:rPr>
          <w:rFonts w:ascii="Arial" w:eastAsia="Times New Roman" w:hAnsi="Arial" w:cs="Arial"/>
          <w:kern w:val="0"/>
          <w:lang w:eastAsia="en-IN"/>
        </w:rPr>
        <w:t>Creutzig</w:t>
      </w:r>
      <w:proofErr w:type="spellEnd"/>
      <w:r w:rsidRPr="00337891">
        <w:rPr>
          <w:rFonts w:ascii="Arial" w:eastAsia="Times New Roman" w:hAnsi="Arial" w:cs="Arial"/>
          <w:kern w:val="0"/>
          <w:lang w:eastAsia="en-IN"/>
        </w:rPr>
        <w:t xml:space="preserve">, F., Lamb, W. F., Geden, O., </w:t>
      </w:r>
      <w:proofErr w:type="spellStart"/>
      <w:r w:rsidRPr="00337891">
        <w:rPr>
          <w:rFonts w:ascii="Arial" w:eastAsia="Times New Roman" w:hAnsi="Arial" w:cs="Arial"/>
          <w:kern w:val="0"/>
          <w:lang w:eastAsia="en-IN"/>
        </w:rPr>
        <w:t>Flachsland</w:t>
      </w:r>
      <w:proofErr w:type="spellEnd"/>
      <w:r w:rsidRPr="00337891">
        <w:rPr>
          <w:rFonts w:ascii="Arial" w:eastAsia="Times New Roman" w:hAnsi="Arial" w:cs="Arial"/>
          <w:kern w:val="0"/>
          <w:lang w:eastAsia="en-IN"/>
        </w:rPr>
        <w:t xml:space="preserve">, C., Honegger, M., van den Bergh, J. C. J. M., Jakob, M., Nemet, G., Peters, G. P., Rogelj, J., Schneider, L., Smith, S. M., Steckel, J. C., Fuss, S., </w:t>
      </w:r>
      <w:proofErr w:type="spellStart"/>
      <w:r w:rsidRPr="00337891">
        <w:rPr>
          <w:rFonts w:ascii="Arial" w:eastAsia="Times New Roman" w:hAnsi="Arial" w:cs="Arial"/>
          <w:kern w:val="0"/>
          <w:lang w:eastAsia="en-IN"/>
        </w:rPr>
        <w:t>Marschinski</w:t>
      </w:r>
      <w:proofErr w:type="spellEnd"/>
      <w:r w:rsidRPr="00337891">
        <w:rPr>
          <w:rFonts w:ascii="Arial" w:eastAsia="Times New Roman" w:hAnsi="Arial" w:cs="Arial"/>
          <w:kern w:val="0"/>
          <w:lang w:eastAsia="en-IN"/>
        </w:rPr>
        <w:t xml:space="preserve">, R., Pizer, W. A., Victor, D. G., Wagner, G., &amp; van der Zwaan, J. C. J. M. (2024). Systematic assessment of the achieved emission reductions of carbon crediting projects. Nature Communications, 15, 9562 </w:t>
      </w:r>
      <w:hyperlink r:id="rId43" w:history="1">
        <w:r w:rsidRPr="00D041E1">
          <w:rPr>
            <w:rStyle w:val="Hyperlink"/>
            <w:rFonts w:ascii="Arial" w:eastAsia="Times New Roman" w:hAnsi="Arial" w:cs="Arial"/>
            <w:kern w:val="0"/>
            <w:lang w:eastAsia="en-IN"/>
          </w:rPr>
          <w:t>https://doi.org/10.1038/s41467-024-53645-z</w:t>
        </w:r>
      </w:hyperlink>
    </w:p>
    <w:p w14:paraId="3D74ABFA" w14:textId="39CF362E" w:rsidR="00337891" w:rsidRDefault="00337891" w:rsidP="002A18B2">
      <w:pPr>
        <w:pStyle w:val="ListParagraph"/>
        <w:numPr>
          <w:ilvl w:val="0"/>
          <w:numId w:val="3"/>
        </w:numPr>
        <w:spacing w:before="100" w:beforeAutospacing="1" w:after="100" w:afterAutospacing="1" w:line="240" w:lineRule="auto"/>
        <w:rPr>
          <w:rFonts w:ascii="Arial" w:eastAsia="Times New Roman" w:hAnsi="Arial" w:cs="Arial"/>
          <w:kern w:val="0"/>
          <w:lang w:eastAsia="en-IN"/>
          <w14:ligatures w14:val="none"/>
        </w:rPr>
      </w:pPr>
      <w:r w:rsidRPr="00337891">
        <w:rPr>
          <w:rFonts w:ascii="Arial" w:eastAsia="Times New Roman" w:hAnsi="Arial" w:cs="Arial"/>
          <w:kern w:val="0"/>
          <w:lang w:eastAsia="en-IN"/>
          <w14:ligatures w14:val="none"/>
        </w:rPr>
        <w:t xml:space="preserve">Qian, H., Zhu, X., Huang, S., Linquist, B., Kuzyakov, Y., Wassmann, R., </w:t>
      </w:r>
      <w:proofErr w:type="spellStart"/>
      <w:r w:rsidRPr="00337891">
        <w:rPr>
          <w:rFonts w:ascii="Arial" w:eastAsia="Times New Roman" w:hAnsi="Arial" w:cs="Arial"/>
          <w:kern w:val="0"/>
          <w:lang w:eastAsia="en-IN"/>
          <w14:ligatures w14:val="none"/>
        </w:rPr>
        <w:t>Minamikawa</w:t>
      </w:r>
      <w:proofErr w:type="spellEnd"/>
      <w:r w:rsidRPr="00337891">
        <w:rPr>
          <w:rFonts w:ascii="Arial" w:eastAsia="Times New Roman" w:hAnsi="Arial" w:cs="Arial"/>
          <w:kern w:val="0"/>
          <w:lang w:eastAsia="en-IN"/>
          <w14:ligatures w14:val="none"/>
        </w:rPr>
        <w:t xml:space="preserve">, K., Martinez-Eixarch, M., Yan, X., Zhou, F., Sander, B. O., van </w:t>
      </w:r>
      <w:proofErr w:type="spellStart"/>
      <w:r w:rsidRPr="00337891">
        <w:rPr>
          <w:rFonts w:ascii="Arial" w:eastAsia="Times New Roman" w:hAnsi="Arial" w:cs="Arial"/>
          <w:kern w:val="0"/>
          <w:lang w:eastAsia="en-IN"/>
          <w14:ligatures w14:val="none"/>
        </w:rPr>
        <w:t>Groenigen</w:t>
      </w:r>
      <w:proofErr w:type="spellEnd"/>
      <w:r w:rsidRPr="00337891">
        <w:rPr>
          <w:rFonts w:ascii="Arial" w:eastAsia="Times New Roman" w:hAnsi="Arial" w:cs="Arial"/>
          <w:kern w:val="0"/>
          <w:lang w:eastAsia="en-IN"/>
          <w14:ligatures w14:val="none"/>
        </w:rPr>
        <w:t xml:space="preserve">, K. J., &amp; Jiang, Y. (2023). Greenhouse gas emissions and mitigation in rice agriculture. Nature Reviews Earth &amp; Environment, 4(10), 716–732. </w:t>
      </w:r>
      <w:hyperlink r:id="rId44" w:history="1">
        <w:r w:rsidRPr="00D041E1">
          <w:rPr>
            <w:rStyle w:val="Hyperlink"/>
            <w:rFonts w:ascii="Arial" w:eastAsia="Times New Roman" w:hAnsi="Arial" w:cs="Arial"/>
            <w:kern w:val="0"/>
            <w:lang w:eastAsia="en-IN"/>
            <w14:ligatures w14:val="none"/>
          </w:rPr>
          <w:t>https://doi.org/10.1038/s43017-023-00482-1</w:t>
        </w:r>
      </w:hyperlink>
    </w:p>
    <w:p w14:paraId="2A6E7A40" w14:textId="4AB3EFED" w:rsidR="00337891" w:rsidRP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14:ligatures w14:val="none"/>
        </w:rPr>
        <w:t xml:space="preserve">Roberts, K. G., </w:t>
      </w:r>
      <w:proofErr w:type="spellStart"/>
      <w:r w:rsidRPr="00337891">
        <w:rPr>
          <w:rFonts w:ascii="Arial" w:hAnsi="Arial" w:cs="Arial"/>
          <w:sz w:val="22"/>
          <w:szCs w:val="22"/>
          <w14:ligatures w14:val="none"/>
        </w:rPr>
        <w:t>Gloy</w:t>
      </w:r>
      <w:proofErr w:type="spellEnd"/>
      <w:r w:rsidRPr="00337891">
        <w:rPr>
          <w:rFonts w:ascii="Arial" w:hAnsi="Arial" w:cs="Arial"/>
          <w:sz w:val="22"/>
          <w:szCs w:val="22"/>
          <w14:ligatures w14:val="none"/>
        </w:rPr>
        <w:t xml:space="preserve">, B. A., Joseph, S., Scott, N. R., &amp; Lehmann, J. (2010). Life cycle assessment of biochar systems: Estimating the energetic, economic, and climate change potential. Environmental Science &amp; Technology, 44(2), 827–833. </w:t>
      </w:r>
      <w:hyperlink r:id="rId45" w:history="1">
        <w:r w:rsidRPr="00D041E1">
          <w:rPr>
            <w:rStyle w:val="Hyperlink"/>
            <w:rFonts w:ascii="Arial" w:hAnsi="Arial" w:cs="Arial"/>
            <w:sz w:val="22"/>
            <w:szCs w:val="22"/>
            <w14:ligatures w14:val="none"/>
          </w:rPr>
          <w:t>https://doi.org/10.1021/es902266r</w:t>
        </w:r>
      </w:hyperlink>
    </w:p>
    <w:p w14:paraId="7F352868" w14:textId="1159A3A6" w:rsid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rPr>
        <w:t xml:space="preserve">Sha, Z., Li, Q., </w:t>
      </w:r>
      <w:proofErr w:type="spellStart"/>
      <w:r w:rsidRPr="00337891">
        <w:rPr>
          <w:rFonts w:ascii="Arial" w:hAnsi="Arial" w:cs="Arial"/>
          <w:sz w:val="22"/>
          <w:szCs w:val="22"/>
        </w:rPr>
        <w:t>Lv</w:t>
      </w:r>
      <w:proofErr w:type="spellEnd"/>
      <w:r w:rsidRPr="00337891">
        <w:rPr>
          <w:rFonts w:ascii="Arial" w:hAnsi="Arial" w:cs="Arial"/>
          <w:sz w:val="22"/>
          <w:szCs w:val="22"/>
        </w:rPr>
        <w:t xml:space="preserve">, T., </w:t>
      </w:r>
      <w:proofErr w:type="spellStart"/>
      <w:r w:rsidRPr="00337891">
        <w:rPr>
          <w:rFonts w:ascii="Arial" w:hAnsi="Arial" w:cs="Arial"/>
          <w:sz w:val="22"/>
          <w:szCs w:val="22"/>
        </w:rPr>
        <w:t>Misselbrook</w:t>
      </w:r>
      <w:proofErr w:type="spellEnd"/>
      <w:r w:rsidRPr="00337891">
        <w:rPr>
          <w:rFonts w:ascii="Arial" w:hAnsi="Arial" w:cs="Arial"/>
          <w:sz w:val="22"/>
          <w:szCs w:val="22"/>
        </w:rPr>
        <w:t xml:space="preserve">, T., &amp; Liu, X. (2019). Response of ammonia volatilization to biochar addition: A meta-analysis. Science of the Total Environment, 655, 1387-1396. </w:t>
      </w:r>
      <w:hyperlink r:id="rId46" w:history="1">
        <w:r w:rsidRPr="00D041E1">
          <w:rPr>
            <w:rStyle w:val="Hyperlink"/>
            <w:rFonts w:ascii="Arial" w:hAnsi="Arial" w:cs="Arial"/>
            <w:sz w:val="22"/>
            <w:szCs w:val="22"/>
          </w:rPr>
          <w:t>https://doi.org/10.1016/j.scitotenv.2018.11.316</w:t>
        </w:r>
      </w:hyperlink>
    </w:p>
    <w:p w14:paraId="77B4E0C7" w14:textId="77777777" w:rsid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rPr>
        <w:t>Shen, X., Jin, S., Liang, Z., &amp; Ao, R. (2024). Unravelling the effects of straw return on rice production in central China: Evidence for future policy-making. Soil Use and Management.</w:t>
      </w:r>
    </w:p>
    <w:p w14:paraId="2122F7C3" w14:textId="5D4E59F7" w:rsid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rPr>
        <w:t xml:space="preserve">Shrestha, R. K., Jacinthe, P-A., Lal, R., Lorenz, K., Singh, M.P., Demyan, S. M., Ren, W., &amp; Lindsey, L. E. (2023). Biochar as a negative emission technology: A synthesis of field research on greenhouse gas emissions. Journal of Environmental Quality, 52(4), 769-798. </w:t>
      </w:r>
      <w:hyperlink r:id="rId47" w:history="1">
        <w:r w:rsidRPr="00D041E1">
          <w:rPr>
            <w:rStyle w:val="Hyperlink"/>
            <w:rFonts w:ascii="Arial" w:hAnsi="Arial" w:cs="Arial"/>
            <w:sz w:val="22"/>
            <w:szCs w:val="22"/>
          </w:rPr>
          <w:t>https://doi.org/10.1002/jeq2.20475</w:t>
        </w:r>
      </w:hyperlink>
    </w:p>
    <w:p w14:paraId="6FE9419D" w14:textId="24AB46C3" w:rsid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rPr>
        <w:t>Sigdel, S., Karsten, H., Dell, C. J., &amp; Hoover, R. (2025). Ammonia emissions and corn yield response from injected versus surface</w:t>
      </w:r>
      <w:r w:rsidRPr="00337891">
        <w:rPr>
          <w:rFonts w:ascii="Cambria Math" w:hAnsi="Cambria Math" w:cs="Cambria Math"/>
          <w:sz w:val="22"/>
          <w:szCs w:val="22"/>
        </w:rPr>
        <w:t>‐</w:t>
      </w:r>
      <w:r w:rsidRPr="00337891">
        <w:rPr>
          <w:rFonts w:ascii="Arial" w:hAnsi="Arial" w:cs="Arial"/>
          <w:sz w:val="22"/>
          <w:szCs w:val="22"/>
        </w:rPr>
        <w:t>applied liquid</w:t>
      </w:r>
      <w:r w:rsidRPr="00337891">
        <w:rPr>
          <w:rFonts w:ascii="Cambria Math" w:hAnsi="Cambria Math" w:cs="Cambria Math"/>
          <w:sz w:val="22"/>
          <w:szCs w:val="22"/>
        </w:rPr>
        <w:t>‐</w:t>
      </w:r>
      <w:r w:rsidRPr="00337891">
        <w:rPr>
          <w:rFonts w:ascii="Arial" w:hAnsi="Arial" w:cs="Arial"/>
          <w:sz w:val="22"/>
          <w:szCs w:val="22"/>
        </w:rPr>
        <w:t xml:space="preserve">separated anaerobic digestate. Agronomy Journal, 117(2), e70050. </w:t>
      </w:r>
      <w:hyperlink r:id="rId48" w:history="1">
        <w:r w:rsidRPr="00D041E1">
          <w:rPr>
            <w:rStyle w:val="Hyperlink"/>
            <w:rFonts w:ascii="Arial" w:hAnsi="Arial" w:cs="Arial"/>
            <w:sz w:val="22"/>
            <w:szCs w:val="22"/>
          </w:rPr>
          <w:t>https://doi.org/10.1002/agj2.70050</w:t>
        </w:r>
      </w:hyperlink>
    </w:p>
    <w:p w14:paraId="7676D437" w14:textId="35F99CDF" w:rsidR="00337891" w:rsidRDefault="00337891" w:rsidP="002A18B2">
      <w:pPr>
        <w:pStyle w:val="NormalWeb"/>
        <w:numPr>
          <w:ilvl w:val="0"/>
          <w:numId w:val="3"/>
        </w:numPr>
        <w:rPr>
          <w:rFonts w:ascii="Arial" w:hAnsi="Arial" w:cs="Arial"/>
          <w:sz w:val="22"/>
          <w:szCs w:val="22"/>
        </w:rPr>
      </w:pPr>
      <w:r w:rsidRPr="00337891">
        <w:rPr>
          <w:rFonts w:ascii="Arial" w:hAnsi="Arial" w:cs="Arial"/>
          <w:sz w:val="22"/>
          <w:szCs w:val="22"/>
        </w:rPr>
        <w:t xml:space="preserve">Singh, B. P., Cowie, A. L., &amp; </w:t>
      </w:r>
      <w:proofErr w:type="spellStart"/>
      <w:r w:rsidRPr="00337891">
        <w:rPr>
          <w:rFonts w:ascii="Arial" w:hAnsi="Arial" w:cs="Arial"/>
          <w:sz w:val="22"/>
          <w:szCs w:val="22"/>
        </w:rPr>
        <w:t>Smernik</w:t>
      </w:r>
      <w:proofErr w:type="spellEnd"/>
      <w:r w:rsidRPr="00337891">
        <w:rPr>
          <w:rFonts w:ascii="Arial" w:hAnsi="Arial" w:cs="Arial"/>
          <w:sz w:val="22"/>
          <w:szCs w:val="22"/>
        </w:rPr>
        <w:t xml:space="preserve">, R. J. (2012). Biochar carbon stability in a clayey soil as a function of feedstock and pyrolysis temperature. Environmental Science &amp; Technology, 46(21), 11770–11778. </w:t>
      </w:r>
      <w:hyperlink r:id="rId49" w:history="1">
        <w:r w:rsidRPr="00D041E1">
          <w:rPr>
            <w:rStyle w:val="Hyperlink"/>
            <w:rFonts w:ascii="Arial" w:hAnsi="Arial" w:cs="Arial"/>
            <w:sz w:val="22"/>
            <w:szCs w:val="22"/>
          </w:rPr>
          <w:t>https://doi.org/10.1021/es302545b</w:t>
        </w:r>
      </w:hyperlink>
    </w:p>
    <w:p w14:paraId="37B742DF" w14:textId="05074542" w:rsidR="008C66BC" w:rsidRDefault="008C66BC" w:rsidP="002A18B2">
      <w:pPr>
        <w:pStyle w:val="NormalWeb"/>
        <w:numPr>
          <w:ilvl w:val="0"/>
          <w:numId w:val="3"/>
        </w:numPr>
        <w:rPr>
          <w:rFonts w:ascii="Arial" w:hAnsi="Arial" w:cs="Arial"/>
          <w:sz w:val="22"/>
          <w:szCs w:val="22"/>
        </w:rPr>
      </w:pPr>
      <w:r w:rsidRPr="008C66BC">
        <w:rPr>
          <w:rFonts w:ascii="Arial" w:hAnsi="Arial" w:cs="Arial"/>
          <w:sz w:val="22"/>
          <w:szCs w:val="22"/>
        </w:rPr>
        <w:t xml:space="preserve">Smith, P., </w:t>
      </w:r>
      <w:proofErr w:type="spellStart"/>
      <w:r w:rsidRPr="008C66BC">
        <w:rPr>
          <w:rFonts w:ascii="Arial" w:hAnsi="Arial" w:cs="Arial"/>
          <w:sz w:val="22"/>
          <w:szCs w:val="22"/>
        </w:rPr>
        <w:t>Soussana</w:t>
      </w:r>
      <w:proofErr w:type="spellEnd"/>
      <w:r w:rsidRPr="008C66BC">
        <w:rPr>
          <w:rFonts w:ascii="Arial" w:hAnsi="Arial" w:cs="Arial"/>
          <w:sz w:val="22"/>
          <w:szCs w:val="22"/>
        </w:rPr>
        <w:t xml:space="preserve">, J.-F., Angers, D., Schipper, L., Chenu, C., </w:t>
      </w:r>
      <w:proofErr w:type="spellStart"/>
      <w:r w:rsidRPr="008C66BC">
        <w:rPr>
          <w:rFonts w:ascii="Arial" w:hAnsi="Arial" w:cs="Arial"/>
          <w:sz w:val="22"/>
          <w:szCs w:val="22"/>
        </w:rPr>
        <w:t>Rasse</w:t>
      </w:r>
      <w:proofErr w:type="spellEnd"/>
      <w:r w:rsidRPr="008C66BC">
        <w:rPr>
          <w:rFonts w:ascii="Arial" w:hAnsi="Arial" w:cs="Arial"/>
          <w:sz w:val="22"/>
          <w:szCs w:val="22"/>
        </w:rPr>
        <w:t xml:space="preserve">, D. P., ... Klumpp, K. (2020). How to measure, report and verify soil carbon change to realize the potential of soil carbon sequestration for atmospheric greenhouse gas removal. Global Change Biology, 26(1), 219–241. </w:t>
      </w:r>
      <w:hyperlink r:id="rId50" w:history="1">
        <w:r w:rsidRPr="00D041E1">
          <w:rPr>
            <w:rStyle w:val="Hyperlink"/>
            <w:rFonts w:ascii="Arial" w:hAnsi="Arial" w:cs="Arial"/>
            <w:sz w:val="22"/>
            <w:szCs w:val="22"/>
          </w:rPr>
          <w:t>https://doi.org/10.1111/gcb.14815</w:t>
        </w:r>
      </w:hyperlink>
    </w:p>
    <w:p w14:paraId="73AA5755" w14:textId="05003C6A" w:rsidR="008C66BC" w:rsidRDefault="008C66BC" w:rsidP="002A18B2">
      <w:pPr>
        <w:pStyle w:val="NormalWeb"/>
        <w:numPr>
          <w:ilvl w:val="0"/>
          <w:numId w:val="3"/>
        </w:numPr>
        <w:rPr>
          <w:rFonts w:ascii="Arial" w:hAnsi="Arial" w:cs="Arial"/>
          <w:sz w:val="22"/>
          <w:szCs w:val="22"/>
        </w:rPr>
      </w:pPr>
      <w:r w:rsidRPr="008C66BC">
        <w:rPr>
          <w:rFonts w:ascii="Arial" w:hAnsi="Arial" w:cs="Arial"/>
          <w:sz w:val="22"/>
          <w:szCs w:val="22"/>
        </w:rPr>
        <w:t xml:space="preserve">Spokas, K. A. (2010). Review of the stability of biochar in soils: predictability of O:C molar ratios. Carbon Management, 1(2), 289–303. </w:t>
      </w:r>
      <w:hyperlink r:id="rId51" w:history="1">
        <w:r w:rsidRPr="00D041E1">
          <w:rPr>
            <w:rStyle w:val="Hyperlink"/>
            <w:rFonts w:ascii="Arial" w:hAnsi="Arial" w:cs="Arial"/>
            <w:sz w:val="22"/>
            <w:szCs w:val="22"/>
          </w:rPr>
          <w:t>https://doi.org/10.4155/cmt.10.32</w:t>
        </w:r>
      </w:hyperlink>
    </w:p>
    <w:p w14:paraId="4FD368AA" w14:textId="437CB24B" w:rsidR="008C66BC" w:rsidRDefault="008C66BC" w:rsidP="002A18B2">
      <w:pPr>
        <w:pStyle w:val="NormalWeb"/>
        <w:numPr>
          <w:ilvl w:val="0"/>
          <w:numId w:val="3"/>
        </w:numPr>
        <w:rPr>
          <w:rFonts w:ascii="Arial" w:hAnsi="Arial" w:cs="Arial"/>
          <w:sz w:val="22"/>
          <w:szCs w:val="22"/>
        </w:rPr>
      </w:pPr>
      <w:r w:rsidRPr="008C66BC">
        <w:rPr>
          <w:rFonts w:ascii="Arial" w:hAnsi="Arial" w:cs="Arial"/>
          <w:sz w:val="22"/>
          <w:szCs w:val="22"/>
        </w:rPr>
        <w:t xml:space="preserve">Thao, T., Harrison, B. P., Gao, S., Ryals, R., Dahlquist-Willard, R., Diaz, G. C., &amp; </w:t>
      </w:r>
      <w:proofErr w:type="spellStart"/>
      <w:r w:rsidRPr="008C66BC">
        <w:rPr>
          <w:rFonts w:ascii="Arial" w:hAnsi="Arial" w:cs="Arial"/>
          <w:sz w:val="22"/>
          <w:szCs w:val="22"/>
        </w:rPr>
        <w:t>Ghezzehei</w:t>
      </w:r>
      <w:proofErr w:type="spellEnd"/>
      <w:r w:rsidRPr="008C66BC">
        <w:rPr>
          <w:rFonts w:ascii="Arial" w:hAnsi="Arial" w:cs="Arial"/>
          <w:sz w:val="22"/>
          <w:szCs w:val="22"/>
        </w:rPr>
        <w:t xml:space="preserve">, T. A. (2023). The effects of different biochar-dairy manure co-composts on soil moisture and nutrients retention, greenhouse gas emissions, and tomato productivity: Observations from a soil column experiment. </w:t>
      </w:r>
      <w:proofErr w:type="spellStart"/>
      <w:r w:rsidRPr="008C66BC">
        <w:rPr>
          <w:rFonts w:ascii="Arial" w:hAnsi="Arial" w:cs="Arial"/>
          <w:sz w:val="22"/>
          <w:szCs w:val="22"/>
        </w:rPr>
        <w:t>Agrosystems</w:t>
      </w:r>
      <w:proofErr w:type="spellEnd"/>
      <w:r w:rsidRPr="008C66BC">
        <w:rPr>
          <w:rFonts w:ascii="Arial" w:hAnsi="Arial" w:cs="Arial"/>
          <w:sz w:val="22"/>
          <w:szCs w:val="22"/>
        </w:rPr>
        <w:t xml:space="preserve">, Geosciences &amp; Environment, 6(3), e20408. </w:t>
      </w:r>
      <w:hyperlink r:id="rId52" w:history="1">
        <w:r w:rsidRPr="00D041E1">
          <w:rPr>
            <w:rStyle w:val="Hyperlink"/>
            <w:rFonts w:ascii="Arial" w:hAnsi="Arial" w:cs="Arial"/>
            <w:sz w:val="22"/>
            <w:szCs w:val="22"/>
          </w:rPr>
          <w:t>https://doi.org/10.1002/agg2.20408</w:t>
        </w:r>
      </w:hyperlink>
    </w:p>
    <w:p w14:paraId="3C9DBFE0" w14:textId="0CB6E62E" w:rsidR="008C66BC" w:rsidRPr="008C66BC" w:rsidRDefault="008C66BC" w:rsidP="002A18B2">
      <w:pPr>
        <w:pStyle w:val="ListParagraph"/>
        <w:numPr>
          <w:ilvl w:val="0"/>
          <w:numId w:val="3"/>
        </w:numPr>
        <w:spacing w:before="100" w:beforeAutospacing="1" w:after="100" w:afterAutospacing="1" w:line="240" w:lineRule="auto"/>
        <w:rPr>
          <w:rFonts w:ascii="Arial" w:hAnsi="Arial" w:cs="Arial"/>
        </w:rPr>
      </w:pPr>
      <w:r w:rsidRPr="008C66BC">
        <w:rPr>
          <w:rFonts w:ascii="Arial" w:eastAsia="Times New Roman" w:hAnsi="Arial" w:cs="Arial"/>
          <w:kern w:val="0"/>
          <w:lang w:eastAsia="en-IN"/>
        </w:rPr>
        <w:lastRenderedPageBreak/>
        <w:t xml:space="preserve">Tomczyk, A., </w:t>
      </w:r>
      <w:proofErr w:type="spellStart"/>
      <w:r w:rsidRPr="008C66BC">
        <w:rPr>
          <w:rFonts w:ascii="Arial" w:eastAsia="Times New Roman" w:hAnsi="Arial" w:cs="Arial"/>
          <w:kern w:val="0"/>
          <w:lang w:eastAsia="en-IN"/>
        </w:rPr>
        <w:t>Sokołowska</w:t>
      </w:r>
      <w:proofErr w:type="spellEnd"/>
      <w:r w:rsidRPr="008C66BC">
        <w:rPr>
          <w:rFonts w:ascii="Arial" w:eastAsia="Times New Roman" w:hAnsi="Arial" w:cs="Arial"/>
          <w:kern w:val="0"/>
          <w:lang w:eastAsia="en-IN"/>
        </w:rPr>
        <w:t xml:space="preserve">, Z., &amp; </w:t>
      </w:r>
      <w:proofErr w:type="spellStart"/>
      <w:r w:rsidRPr="008C66BC">
        <w:rPr>
          <w:rFonts w:ascii="Arial" w:eastAsia="Times New Roman" w:hAnsi="Arial" w:cs="Arial"/>
          <w:kern w:val="0"/>
          <w:lang w:eastAsia="en-IN"/>
        </w:rPr>
        <w:t>Boguta</w:t>
      </w:r>
      <w:proofErr w:type="spellEnd"/>
      <w:r w:rsidRPr="008C66BC">
        <w:rPr>
          <w:rFonts w:ascii="Arial" w:eastAsia="Times New Roman" w:hAnsi="Arial" w:cs="Arial"/>
          <w:kern w:val="0"/>
          <w:lang w:eastAsia="en-IN"/>
        </w:rPr>
        <w:t xml:space="preserve">, P. (2020). Biochar physicochemical properties: Pyrolysis temperature and feedstock kind effects. Reviews in Environmental Science and Bio/Technology, 19, 191–215. </w:t>
      </w:r>
      <w:hyperlink r:id="rId53" w:history="1">
        <w:r w:rsidRPr="00D041E1">
          <w:rPr>
            <w:rStyle w:val="Hyperlink"/>
            <w:rFonts w:ascii="Arial" w:eastAsia="Times New Roman" w:hAnsi="Arial" w:cs="Arial"/>
            <w:kern w:val="0"/>
            <w:lang w:eastAsia="en-IN"/>
          </w:rPr>
          <w:t>https://doi.org/10.1007/s11157-020-09523-3</w:t>
        </w:r>
      </w:hyperlink>
    </w:p>
    <w:p w14:paraId="4E06A60C" w14:textId="207FE570" w:rsidR="008C66BC" w:rsidRPr="008C66BC" w:rsidRDefault="008C66BC" w:rsidP="002A18B2">
      <w:pPr>
        <w:pStyle w:val="NormalWeb"/>
        <w:numPr>
          <w:ilvl w:val="0"/>
          <w:numId w:val="3"/>
        </w:numPr>
        <w:rPr>
          <w:rFonts w:ascii="Arial" w:hAnsi="Arial" w:cs="Arial"/>
          <w:sz w:val="22"/>
          <w:szCs w:val="22"/>
        </w:rPr>
      </w:pPr>
      <w:r w:rsidRPr="008C66BC">
        <w:rPr>
          <w:rFonts w:ascii="Arial" w:hAnsi="Arial" w:cs="Arial"/>
          <w:sz w:val="22"/>
          <w:szCs w:val="22"/>
          <w14:ligatures w14:val="none"/>
        </w:rPr>
        <w:t xml:space="preserve">Valkama, E., </w:t>
      </w:r>
      <w:proofErr w:type="spellStart"/>
      <w:r w:rsidRPr="008C66BC">
        <w:rPr>
          <w:rFonts w:ascii="Arial" w:hAnsi="Arial" w:cs="Arial"/>
          <w:sz w:val="22"/>
          <w:szCs w:val="22"/>
          <w14:ligatures w14:val="none"/>
        </w:rPr>
        <w:t>Tzemi</w:t>
      </w:r>
      <w:proofErr w:type="spellEnd"/>
      <w:r w:rsidRPr="008C66BC">
        <w:rPr>
          <w:rFonts w:ascii="Arial" w:hAnsi="Arial" w:cs="Arial"/>
          <w:sz w:val="22"/>
          <w:szCs w:val="22"/>
          <w14:ligatures w14:val="none"/>
        </w:rPr>
        <w:t xml:space="preserve">, D., Esparza-Robles, U. R., </w:t>
      </w:r>
      <w:proofErr w:type="spellStart"/>
      <w:r w:rsidRPr="008C66BC">
        <w:rPr>
          <w:rFonts w:ascii="Arial" w:hAnsi="Arial" w:cs="Arial"/>
          <w:sz w:val="22"/>
          <w:szCs w:val="22"/>
          <w14:ligatures w14:val="none"/>
        </w:rPr>
        <w:t>Syp</w:t>
      </w:r>
      <w:proofErr w:type="spellEnd"/>
      <w:r w:rsidRPr="008C66BC">
        <w:rPr>
          <w:rFonts w:ascii="Arial" w:hAnsi="Arial" w:cs="Arial"/>
          <w:sz w:val="22"/>
          <w:szCs w:val="22"/>
          <w14:ligatures w14:val="none"/>
        </w:rPr>
        <w:t xml:space="preserve">, A., O'Toole, A., &amp; Maenhout, P. (2024). Effectiveness of soil management strategies for mitigation of N2O emissions in European arable land: A meta-analysis. European Journal of Soil Science, 75(3), e13488. </w:t>
      </w:r>
      <w:hyperlink r:id="rId54" w:history="1">
        <w:r w:rsidRPr="00D041E1">
          <w:rPr>
            <w:rStyle w:val="Hyperlink"/>
            <w:rFonts w:ascii="Arial" w:hAnsi="Arial" w:cs="Arial"/>
            <w:sz w:val="22"/>
            <w:szCs w:val="22"/>
            <w14:ligatures w14:val="none"/>
          </w:rPr>
          <w:t>https://doi.org/10.1111/ejss.13488</w:t>
        </w:r>
      </w:hyperlink>
    </w:p>
    <w:p w14:paraId="2207EB1D" w14:textId="7F7304F8" w:rsidR="008C66BC" w:rsidRDefault="008C66BC" w:rsidP="002A18B2">
      <w:pPr>
        <w:pStyle w:val="NormalWeb"/>
        <w:numPr>
          <w:ilvl w:val="0"/>
          <w:numId w:val="3"/>
        </w:numPr>
        <w:rPr>
          <w:rFonts w:ascii="Arial" w:hAnsi="Arial" w:cs="Arial"/>
          <w:sz w:val="22"/>
          <w:szCs w:val="22"/>
        </w:rPr>
      </w:pPr>
      <w:r w:rsidRPr="008C66BC">
        <w:rPr>
          <w:rFonts w:ascii="Arial" w:hAnsi="Arial" w:cs="Arial"/>
          <w:sz w:val="22"/>
          <w:szCs w:val="22"/>
        </w:rPr>
        <w:t xml:space="preserve">Wang, J., Xiong, Z., &amp; Kuzyakov, Y. (2016). Biochar stability in soil: Meta-analysis of decomposition and priming effects. GCB Bioenergy, 8(3), 512–523. </w:t>
      </w:r>
      <w:hyperlink r:id="rId55" w:history="1">
        <w:r w:rsidRPr="00D041E1">
          <w:rPr>
            <w:rStyle w:val="Hyperlink"/>
            <w:rFonts w:ascii="Arial" w:hAnsi="Arial" w:cs="Arial"/>
            <w:sz w:val="22"/>
            <w:szCs w:val="22"/>
          </w:rPr>
          <w:t>https://doi.org/10.1111/gcbb.12266</w:t>
        </w:r>
      </w:hyperlink>
    </w:p>
    <w:p w14:paraId="05B1C7BF" w14:textId="5CB1F3AD" w:rsidR="008C66BC" w:rsidRPr="008C66BC" w:rsidRDefault="008C66BC" w:rsidP="002A18B2">
      <w:pPr>
        <w:pStyle w:val="ListParagraph"/>
        <w:numPr>
          <w:ilvl w:val="0"/>
          <w:numId w:val="3"/>
        </w:numPr>
        <w:spacing w:before="100" w:beforeAutospacing="1" w:after="100" w:afterAutospacing="1" w:line="240" w:lineRule="auto"/>
        <w:rPr>
          <w:rFonts w:ascii="Arial" w:eastAsia="Times New Roman" w:hAnsi="Arial" w:cs="Arial"/>
          <w:kern w:val="0"/>
          <w:lang w:eastAsia="en-IN"/>
          <w14:ligatures w14:val="none"/>
        </w:rPr>
      </w:pPr>
      <w:r w:rsidRPr="008C66BC">
        <w:rPr>
          <w:rFonts w:ascii="Arial" w:eastAsia="Times New Roman" w:hAnsi="Arial" w:cs="Arial"/>
          <w:kern w:val="0"/>
          <w:lang w:eastAsia="en-IN"/>
        </w:rPr>
        <w:t xml:space="preserve">West, T. A. P., Wunder, S., Sills, E. O., Börner, J., Rifai, S. W., </w:t>
      </w:r>
      <w:proofErr w:type="spellStart"/>
      <w:r w:rsidRPr="008C66BC">
        <w:rPr>
          <w:rFonts w:ascii="Arial" w:eastAsia="Times New Roman" w:hAnsi="Arial" w:cs="Arial"/>
          <w:kern w:val="0"/>
          <w:lang w:eastAsia="en-IN"/>
        </w:rPr>
        <w:t>Neidermeier</w:t>
      </w:r>
      <w:proofErr w:type="spellEnd"/>
      <w:r w:rsidRPr="008C66BC">
        <w:rPr>
          <w:rFonts w:ascii="Arial" w:eastAsia="Times New Roman" w:hAnsi="Arial" w:cs="Arial"/>
          <w:kern w:val="0"/>
          <w:lang w:eastAsia="en-IN"/>
        </w:rPr>
        <w:t xml:space="preserve">, A. N., Frey, G. P., &amp; </w:t>
      </w:r>
      <w:proofErr w:type="spellStart"/>
      <w:r w:rsidRPr="008C66BC">
        <w:rPr>
          <w:rFonts w:ascii="Arial" w:eastAsia="Times New Roman" w:hAnsi="Arial" w:cs="Arial"/>
          <w:kern w:val="0"/>
          <w:lang w:eastAsia="en-IN"/>
        </w:rPr>
        <w:t>Kontoleon</w:t>
      </w:r>
      <w:proofErr w:type="spellEnd"/>
      <w:r w:rsidRPr="008C66BC">
        <w:rPr>
          <w:rFonts w:ascii="Arial" w:eastAsia="Times New Roman" w:hAnsi="Arial" w:cs="Arial"/>
          <w:kern w:val="0"/>
          <w:lang w:eastAsia="en-IN"/>
        </w:rPr>
        <w:t xml:space="preserve">, A. (2023). Action needed to make carbon offsets from forest conservation work for climate change mitigation. Science, 381(6660), 873-877. </w:t>
      </w:r>
      <w:hyperlink r:id="rId56" w:history="1">
        <w:r w:rsidRPr="00D041E1">
          <w:rPr>
            <w:rStyle w:val="Hyperlink"/>
            <w:rFonts w:ascii="Arial" w:eastAsia="Times New Roman" w:hAnsi="Arial" w:cs="Arial"/>
            <w:kern w:val="0"/>
            <w:lang w:eastAsia="en-IN"/>
          </w:rPr>
          <w:t>https://doi.org/10.1126/science.ade3535</w:t>
        </w:r>
      </w:hyperlink>
    </w:p>
    <w:p w14:paraId="648936D8" w14:textId="02354405" w:rsidR="008C66BC" w:rsidRPr="008C66BC" w:rsidRDefault="008C66BC" w:rsidP="002A18B2">
      <w:pPr>
        <w:pStyle w:val="NormalWeb"/>
        <w:numPr>
          <w:ilvl w:val="0"/>
          <w:numId w:val="3"/>
        </w:numPr>
        <w:rPr>
          <w:rFonts w:ascii="Arial" w:hAnsi="Arial" w:cs="Arial"/>
          <w:i/>
          <w:iCs/>
          <w:sz w:val="22"/>
          <w:szCs w:val="22"/>
        </w:rPr>
      </w:pPr>
      <w:r w:rsidRPr="008C66BC">
        <w:rPr>
          <w:rFonts w:ascii="Arial" w:hAnsi="Arial" w:cs="Arial"/>
          <w:sz w:val="22"/>
          <w:szCs w:val="22"/>
          <w14:ligatures w14:val="none"/>
        </w:rPr>
        <w:t xml:space="preserve">Woolf, D., Lehmann, J., Ogle, S., Kishimoto-Mo, A. W., McConkey, B., &amp; Baldock, J. (2021). Greenhouse gas inventory model for biochar additions to soil. Environmental Science &amp; Technology, 55(21), 14795–14805. </w:t>
      </w:r>
      <w:hyperlink r:id="rId57" w:history="1">
        <w:r w:rsidRPr="00D041E1">
          <w:rPr>
            <w:rStyle w:val="Hyperlink"/>
            <w:rFonts w:ascii="Arial" w:hAnsi="Arial" w:cs="Arial"/>
            <w:sz w:val="22"/>
            <w:szCs w:val="22"/>
            <w14:ligatures w14:val="none"/>
          </w:rPr>
          <w:t>https://doi.org/10.1021/acs.est.1c02425</w:t>
        </w:r>
      </w:hyperlink>
    </w:p>
    <w:p w14:paraId="14C7E842" w14:textId="75B15C9A" w:rsidR="008C66BC" w:rsidRDefault="008C66BC" w:rsidP="002A18B2">
      <w:pPr>
        <w:pStyle w:val="NormalWeb"/>
        <w:numPr>
          <w:ilvl w:val="0"/>
          <w:numId w:val="3"/>
        </w:numPr>
        <w:rPr>
          <w:rFonts w:ascii="Arial" w:hAnsi="Arial" w:cs="Arial"/>
          <w:sz w:val="22"/>
          <w:szCs w:val="22"/>
        </w:rPr>
      </w:pPr>
      <w:r w:rsidRPr="008C66BC">
        <w:rPr>
          <w:rFonts w:ascii="Arial" w:hAnsi="Arial" w:cs="Arial"/>
          <w:sz w:val="22"/>
          <w:szCs w:val="22"/>
        </w:rPr>
        <w:t xml:space="preserve">Xu, W., Xu, H., Delgado-Baquerizo, M., </w:t>
      </w:r>
      <w:proofErr w:type="spellStart"/>
      <w:r w:rsidRPr="008C66BC">
        <w:rPr>
          <w:rFonts w:ascii="Arial" w:hAnsi="Arial" w:cs="Arial"/>
          <w:sz w:val="22"/>
          <w:szCs w:val="22"/>
        </w:rPr>
        <w:t>Gundale</w:t>
      </w:r>
      <w:proofErr w:type="spellEnd"/>
      <w:r w:rsidRPr="008C66BC">
        <w:rPr>
          <w:rFonts w:ascii="Arial" w:hAnsi="Arial" w:cs="Arial"/>
          <w:sz w:val="22"/>
          <w:szCs w:val="22"/>
        </w:rPr>
        <w:t xml:space="preserve">, M., Zou, X., &amp; Ruan, H. (2023). Global meta-analysis reveals positive effects of biochar on soil microbial diversity. </w:t>
      </w:r>
      <w:proofErr w:type="spellStart"/>
      <w:r w:rsidRPr="008C66BC">
        <w:rPr>
          <w:rFonts w:ascii="Arial" w:hAnsi="Arial" w:cs="Arial"/>
          <w:sz w:val="22"/>
          <w:szCs w:val="22"/>
        </w:rPr>
        <w:t>Geoderma</w:t>
      </w:r>
      <w:proofErr w:type="spellEnd"/>
      <w:r w:rsidRPr="008C66BC">
        <w:rPr>
          <w:rFonts w:ascii="Arial" w:hAnsi="Arial" w:cs="Arial"/>
          <w:sz w:val="22"/>
          <w:szCs w:val="22"/>
        </w:rPr>
        <w:t xml:space="preserve">, 436, 116528. </w:t>
      </w:r>
      <w:hyperlink r:id="rId58" w:history="1">
        <w:r w:rsidRPr="00D041E1">
          <w:rPr>
            <w:rStyle w:val="Hyperlink"/>
            <w:rFonts w:ascii="Arial" w:hAnsi="Arial" w:cs="Arial"/>
            <w:sz w:val="22"/>
            <w:szCs w:val="22"/>
          </w:rPr>
          <w:t>https://doi.org/10.1016/j.geoderma.2023.116528</w:t>
        </w:r>
      </w:hyperlink>
    </w:p>
    <w:p w14:paraId="5D192480" w14:textId="19064BC3" w:rsidR="0011082E" w:rsidRPr="008C66BC" w:rsidRDefault="008C66BC" w:rsidP="008C66BC">
      <w:pPr>
        <w:pStyle w:val="ListParagraph"/>
        <w:numPr>
          <w:ilvl w:val="0"/>
          <w:numId w:val="3"/>
        </w:numPr>
        <w:rPr>
          <w:rFonts w:ascii="Arial" w:eastAsia="Times New Roman" w:hAnsi="Arial" w:cs="Arial"/>
          <w:kern w:val="0"/>
          <w:lang w:eastAsia="en-IN"/>
        </w:rPr>
      </w:pPr>
      <w:r w:rsidRPr="008C66BC">
        <w:rPr>
          <w:rFonts w:ascii="Arial" w:eastAsia="Times New Roman" w:hAnsi="Arial" w:cs="Arial"/>
          <w:kern w:val="0"/>
          <w:lang w:eastAsia="en-IN"/>
        </w:rPr>
        <w:t>Ye, L., Camps-</w:t>
      </w:r>
      <w:proofErr w:type="spellStart"/>
      <w:r w:rsidRPr="008C66BC">
        <w:rPr>
          <w:rFonts w:ascii="Arial" w:eastAsia="Times New Roman" w:hAnsi="Arial" w:cs="Arial"/>
          <w:kern w:val="0"/>
          <w:lang w:eastAsia="en-IN"/>
        </w:rPr>
        <w:t>Arbestain</w:t>
      </w:r>
      <w:proofErr w:type="spellEnd"/>
      <w:r w:rsidRPr="008C66BC">
        <w:rPr>
          <w:rFonts w:ascii="Arial" w:eastAsia="Times New Roman" w:hAnsi="Arial" w:cs="Arial"/>
          <w:kern w:val="0"/>
          <w:lang w:eastAsia="en-IN"/>
        </w:rPr>
        <w:t>, M., Shen, Q., Lehmann, J., Singh, B., &amp; Sabir, M. (2020). Biochar effects on crop yields with and without fertilizer: A meta</w:t>
      </w:r>
      <w:r w:rsidRPr="008C66BC">
        <w:rPr>
          <w:rFonts w:ascii="Cambria Math" w:eastAsia="Times New Roman" w:hAnsi="Cambria Math" w:cs="Cambria Math"/>
          <w:kern w:val="0"/>
          <w:lang w:eastAsia="en-IN"/>
        </w:rPr>
        <w:t>‐</w:t>
      </w:r>
      <w:r w:rsidRPr="008C66BC">
        <w:rPr>
          <w:rFonts w:ascii="Arial" w:eastAsia="Times New Roman" w:hAnsi="Arial" w:cs="Arial"/>
          <w:kern w:val="0"/>
          <w:lang w:eastAsia="en-IN"/>
        </w:rPr>
        <w:t xml:space="preserve">analysis of field studies using separate controls. Soil Use and Management, 36(1), 2-18. </w:t>
      </w:r>
      <w:hyperlink r:id="rId59" w:history="1">
        <w:r w:rsidRPr="008C66BC">
          <w:rPr>
            <w:rStyle w:val="Hyperlink"/>
            <w:rFonts w:ascii="Arial" w:eastAsia="Times New Roman" w:hAnsi="Arial" w:cs="Arial"/>
            <w:kern w:val="0"/>
            <w:lang w:eastAsia="en-IN"/>
          </w:rPr>
          <w:t>https://doi.org/10.1111/sum.12546</w:t>
        </w:r>
      </w:hyperlink>
    </w:p>
    <w:p w14:paraId="7F8B7E80" w14:textId="77777777" w:rsidR="008C66BC" w:rsidRPr="004D3A3A" w:rsidRDefault="008C66BC">
      <w:pPr>
        <w:rPr>
          <w:rFonts w:ascii="Arial" w:hAnsi="Arial" w:cs="Arial"/>
          <w:b/>
          <w:bCs/>
        </w:rPr>
      </w:pPr>
    </w:p>
    <w:sectPr w:rsidR="008C66BC" w:rsidRPr="004D3A3A" w:rsidSect="001E337C">
      <w:headerReference w:type="even" r:id="rId60"/>
      <w:headerReference w:type="default" r:id="rId61"/>
      <w:footerReference w:type="even" r:id="rId62"/>
      <w:footerReference w:type="default" r:id="rId63"/>
      <w:headerReference w:type="first" r:id="rId64"/>
      <w:footerReference w:type="first" r:id="rId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EBEF4" w14:textId="77777777" w:rsidR="00EC6484" w:rsidRDefault="00EC6484" w:rsidP="00D5356F">
      <w:pPr>
        <w:spacing w:after="0" w:line="240" w:lineRule="auto"/>
      </w:pPr>
      <w:r>
        <w:separator/>
      </w:r>
    </w:p>
  </w:endnote>
  <w:endnote w:type="continuationSeparator" w:id="0">
    <w:p w14:paraId="5C83BAA1" w14:textId="77777777" w:rsidR="00EC6484" w:rsidRDefault="00EC6484" w:rsidP="00D5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6686F" w14:textId="77777777" w:rsidR="00D5356F" w:rsidRDefault="00D53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A8EA9" w14:textId="77777777" w:rsidR="00D5356F" w:rsidRDefault="00D53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7A60" w14:textId="77777777" w:rsidR="00D5356F" w:rsidRDefault="00D53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9F3D9" w14:textId="77777777" w:rsidR="00EC6484" w:rsidRDefault="00EC6484" w:rsidP="00D5356F">
      <w:pPr>
        <w:spacing w:after="0" w:line="240" w:lineRule="auto"/>
      </w:pPr>
      <w:r>
        <w:separator/>
      </w:r>
    </w:p>
  </w:footnote>
  <w:footnote w:type="continuationSeparator" w:id="0">
    <w:p w14:paraId="52F0A22D" w14:textId="77777777" w:rsidR="00EC6484" w:rsidRDefault="00EC6484" w:rsidP="00D53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35358" w14:textId="0042A72B" w:rsidR="00D5356F" w:rsidRDefault="00D5356F">
    <w:pPr>
      <w:pStyle w:val="Header"/>
    </w:pPr>
    <w:r>
      <w:rPr>
        <w:noProof/>
      </w:rPr>
      <w:pict w14:anchorId="6A134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039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2B092" w14:textId="16FBB54E" w:rsidR="00D5356F" w:rsidRDefault="00D5356F">
    <w:pPr>
      <w:pStyle w:val="Header"/>
    </w:pPr>
    <w:r>
      <w:rPr>
        <w:noProof/>
      </w:rPr>
      <w:pict w14:anchorId="2BE54E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039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44605" w14:textId="2243F48D" w:rsidR="00D5356F" w:rsidRDefault="00D5356F">
    <w:pPr>
      <w:pStyle w:val="Header"/>
    </w:pPr>
    <w:r>
      <w:rPr>
        <w:noProof/>
      </w:rPr>
      <w:pict w14:anchorId="706D0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039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42DCE"/>
    <w:multiLevelType w:val="multilevel"/>
    <w:tmpl w:val="DC42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679DD"/>
    <w:multiLevelType w:val="hybridMultilevel"/>
    <w:tmpl w:val="2AC4E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057CE5"/>
    <w:multiLevelType w:val="multilevel"/>
    <w:tmpl w:val="5D840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MDcwNDI2MDQzsgSyzZR0lIJTi4sz8/NACixqAVcYdjgsAAAA"/>
  </w:docVars>
  <w:rsids>
    <w:rsidRoot w:val="0080063F"/>
    <w:rsid w:val="000E7611"/>
    <w:rsid w:val="0011082E"/>
    <w:rsid w:val="001C69F9"/>
    <w:rsid w:val="001E337C"/>
    <w:rsid w:val="0023653D"/>
    <w:rsid w:val="002A18B2"/>
    <w:rsid w:val="002E121B"/>
    <w:rsid w:val="00337891"/>
    <w:rsid w:val="003E3BB3"/>
    <w:rsid w:val="004D3A3A"/>
    <w:rsid w:val="00502497"/>
    <w:rsid w:val="00583EF2"/>
    <w:rsid w:val="00592296"/>
    <w:rsid w:val="0080063F"/>
    <w:rsid w:val="00804FD1"/>
    <w:rsid w:val="00871F5B"/>
    <w:rsid w:val="008C66BC"/>
    <w:rsid w:val="008E3145"/>
    <w:rsid w:val="00953F34"/>
    <w:rsid w:val="00A63667"/>
    <w:rsid w:val="00AC093C"/>
    <w:rsid w:val="00B04FBC"/>
    <w:rsid w:val="00B10936"/>
    <w:rsid w:val="00B52C09"/>
    <w:rsid w:val="00D5356F"/>
    <w:rsid w:val="00D6523E"/>
    <w:rsid w:val="00DF0047"/>
    <w:rsid w:val="00EC6484"/>
    <w:rsid w:val="00F66588"/>
    <w:rsid w:val="00F66AE5"/>
    <w:rsid w:val="00F94079"/>
    <w:rsid w:val="00FB52CE"/>
    <w:rsid w:val="00FF278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60EC92"/>
  <w15:chartTrackingRefBased/>
  <w15:docId w15:val="{C75DB96D-D72F-47A3-8BB1-AE69EF94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8006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006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006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006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06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0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6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006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006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006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06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0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63F"/>
    <w:rPr>
      <w:rFonts w:eastAsiaTheme="majorEastAsia" w:cstheme="majorBidi"/>
      <w:color w:val="272727" w:themeColor="text1" w:themeTint="D8"/>
    </w:rPr>
  </w:style>
  <w:style w:type="paragraph" w:styleId="Title">
    <w:name w:val="Title"/>
    <w:basedOn w:val="Normal"/>
    <w:next w:val="Normal"/>
    <w:link w:val="TitleChar"/>
    <w:uiPriority w:val="10"/>
    <w:qFormat/>
    <w:rsid w:val="00800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63F"/>
    <w:pPr>
      <w:spacing w:before="160"/>
      <w:jc w:val="center"/>
    </w:pPr>
    <w:rPr>
      <w:i/>
      <w:iCs/>
      <w:color w:val="404040" w:themeColor="text1" w:themeTint="BF"/>
    </w:rPr>
  </w:style>
  <w:style w:type="character" w:customStyle="1" w:styleId="QuoteChar">
    <w:name w:val="Quote Char"/>
    <w:basedOn w:val="DefaultParagraphFont"/>
    <w:link w:val="Quote"/>
    <w:uiPriority w:val="29"/>
    <w:rsid w:val="0080063F"/>
    <w:rPr>
      <w:i/>
      <w:iCs/>
      <w:color w:val="404040" w:themeColor="text1" w:themeTint="BF"/>
    </w:rPr>
  </w:style>
  <w:style w:type="paragraph" w:styleId="ListParagraph">
    <w:name w:val="List Paragraph"/>
    <w:basedOn w:val="Normal"/>
    <w:uiPriority w:val="34"/>
    <w:qFormat/>
    <w:rsid w:val="0080063F"/>
    <w:pPr>
      <w:ind w:left="720"/>
      <w:contextualSpacing/>
    </w:pPr>
  </w:style>
  <w:style w:type="character" w:styleId="IntenseEmphasis">
    <w:name w:val="Intense Emphasis"/>
    <w:basedOn w:val="DefaultParagraphFont"/>
    <w:uiPriority w:val="21"/>
    <w:qFormat/>
    <w:rsid w:val="0080063F"/>
    <w:rPr>
      <w:i/>
      <w:iCs/>
      <w:color w:val="2F5496" w:themeColor="accent1" w:themeShade="BF"/>
    </w:rPr>
  </w:style>
  <w:style w:type="paragraph" w:styleId="IntenseQuote">
    <w:name w:val="Intense Quote"/>
    <w:basedOn w:val="Normal"/>
    <w:next w:val="Normal"/>
    <w:link w:val="IntenseQuoteChar"/>
    <w:uiPriority w:val="30"/>
    <w:qFormat/>
    <w:rsid w:val="00800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063F"/>
    <w:rPr>
      <w:i/>
      <w:iCs/>
      <w:color w:val="2F5496" w:themeColor="accent1" w:themeShade="BF"/>
    </w:rPr>
  </w:style>
  <w:style w:type="character" w:styleId="IntenseReference">
    <w:name w:val="Intense Reference"/>
    <w:basedOn w:val="DefaultParagraphFont"/>
    <w:uiPriority w:val="32"/>
    <w:qFormat/>
    <w:rsid w:val="0080063F"/>
    <w:rPr>
      <w:b/>
      <w:bCs/>
      <w:smallCaps/>
      <w:color w:val="2F5496" w:themeColor="accent1" w:themeShade="BF"/>
      <w:spacing w:val="5"/>
    </w:rPr>
  </w:style>
  <w:style w:type="paragraph" w:styleId="NormalWeb">
    <w:name w:val="Normal (Web)"/>
    <w:basedOn w:val="Normal"/>
    <w:uiPriority w:val="99"/>
    <w:semiHidden/>
    <w:unhideWhenUsed/>
    <w:rsid w:val="0011082E"/>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11082E"/>
    <w:rPr>
      <w:b/>
      <w:bCs/>
    </w:rPr>
  </w:style>
  <w:style w:type="character" w:customStyle="1" w:styleId="ms-1">
    <w:name w:val="ms-1"/>
    <w:basedOn w:val="DefaultParagraphFont"/>
    <w:rsid w:val="0011082E"/>
  </w:style>
  <w:style w:type="character" w:styleId="Hyperlink">
    <w:name w:val="Hyperlink"/>
    <w:basedOn w:val="DefaultParagraphFont"/>
    <w:uiPriority w:val="99"/>
    <w:unhideWhenUsed/>
    <w:rsid w:val="0011082E"/>
    <w:rPr>
      <w:color w:val="0000FF"/>
      <w:u w:val="single"/>
    </w:rPr>
  </w:style>
  <w:style w:type="character" w:customStyle="1" w:styleId="max-w-15ch">
    <w:name w:val="max-w-[15ch]"/>
    <w:basedOn w:val="DefaultParagraphFont"/>
    <w:rsid w:val="0011082E"/>
  </w:style>
  <w:style w:type="character" w:customStyle="1" w:styleId="-me-1">
    <w:name w:val="-me-1"/>
    <w:basedOn w:val="DefaultParagraphFont"/>
    <w:rsid w:val="0011082E"/>
  </w:style>
  <w:style w:type="character" w:styleId="Emphasis">
    <w:name w:val="Emphasis"/>
    <w:basedOn w:val="DefaultParagraphFont"/>
    <w:uiPriority w:val="20"/>
    <w:qFormat/>
    <w:rsid w:val="0011082E"/>
    <w:rPr>
      <w:i/>
      <w:iCs/>
    </w:rPr>
  </w:style>
  <w:style w:type="character" w:styleId="UnresolvedMention">
    <w:name w:val="Unresolved Mention"/>
    <w:basedOn w:val="DefaultParagraphFont"/>
    <w:uiPriority w:val="99"/>
    <w:semiHidden/>
    <w:unhideWhenUsed/>
    <w:rsid w:val="002A18B2"/>
    <w:rPr>
      <w:color w:val="605E5C"/>
      <w:shd w:val="clear" w:color="auto" w:fill="E1DFDD"/>
    </w:rPr>
  </w:style>
  <w:style w:type="paragraph" w:styleId="Header">
    <w:name w:val="header"/>
    <w:basedOn w:val="Normal"/>
    <w:link w:val="HeaderChar"/>
    <w:uiPriority w:val="99"/>
    <w:unhideWhenUsed/>
    <w:rsid w:val="00D53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56F"/>
  </w:style>
  <w:style w:type="paragraph" w:styleId="Footer">
    <w:name w:val="footer"/>
    <w:basedOn w:val="Normal"/>
    <w:link w:val="FooterChar"/>
    <w:uiPriority w:val="99"/>
    <w:unhideWhenUsed/>
    <w:rsid w:val="00D53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resconrec.2017.09.005" TargetMode="External"/><Relationship Id="rId21" Type="http://schemas.openxmlformats.org/officeDocument/2006/relationships/hyperlink" Target="https://doi.org/10.1016/j.agrformet.2022.109179" TargetMode="External"/><Relationship Id="rId34" Type="http://schemas.openxmlformats.org/officeDocument/2006/relationships/hyperlink" Target="https://doi.org/10.1080/00380768.2022.2095669" TargetMode="External"/><Relationship Id="rId42" Type="http://schemas.openxmlformats.org/officeDocument/2006/relationships/hyperlink" Target="https://doi.org/10.1021/es5060786" TargetMode="External"/><Relationship Id="rId47" Type="http://schemas.openxmlformats.org/officeDocument/2006/relationships/hyperlink" Target="https://doi.org/10.1002/jeq2.20475" TargetMode="External"/><Relationship Id="rId50" Type="http://schemas.openxmlformats.org/officeDocument/2006/relationships/hyperlink" Target="https://doi.org/10.1111/gcb.14815" TargetMode="External"/><Relationship Id="rId55" Type="http://schemas.openxmlformats.org/officeDocument/2006/relationships/hyperlink" Target="https://doi.org/10.1111/gcbb.12266" TargetMode="External"/><Relationship Id="rId63" Type="http://schemas.openxmlformats.org/officeDocument/2006/relationships/footer" Target="footer2.xml"/><Relationship Id="rId7" Type="http://schemas.openxmlformats.org/officeDocument/2006/relationships/hyperlink" Target="https://pubs.acs.org/doi/10.1021/acs.est.1c02425?utm_source=chatgpt.com" TargetMode="External"/><Relationship Id="rId2" Type="http://schemas.openxmlformats.org/officeDocument/2006/relationships/styles" Target="styles.xml"/><Relationship Id="rId16" Type="http://schemas.openxmlformats.org/officeDocument/2006/relationships/hyperlink" Target="https://doi.org/10.1016/j.jclepro.2016.12.048" TargetMode="External"/><Relationship Id="rId29" Type="http://schemas.openxmlformats.org/officeDocument/2006/relationships/hyperlink" Target="https://doi.org/10.1038/s41561-021-00852-8" TargetMode="External"/><Relationship Id="rId11" Type="http://schemas.openxmlformats.org/officeDocument/2006/relationships/hyperlink" Target="https://doi.org/10.1016/j.wasman.2022.07.033" TargetMode="External"/><Relationship Id="rId24" Type="http://schemas.openxmlformats.org/officeDocument/2006/relationships/hyperlink" Target="https://doi.org/10.1016/j.catena.2024.107844" TargetMode="External"/><Relationship Id="rId32" Type="http://schemas.openxmlformats.org/officeDocument/2006/relationships/hyperlink" Target="https://doi.org/10.1016/j.envres.2023.117617" TargetMode="External"/><Relationship Id="rId37" Type="http://schemas.openxmlformats.org/officeDocument/2006/relationships/hyperlink" Target="https://doi.org/10.1021/acs.est.2c05846" TargetMode="External"/><Relationship Id="rId40" Type="http://schemas.openxmlformats.org/officeDocument/2006/relationships/hyperlink" Target="https://doi.org/10.1016/j.jenvman.2023.117263" TargetMode="External"/><Relationship Id="rId45" Type="http://schemas.openxmlformats.org/officeDocument/2006/relationships/hyperlink" Target="https://doi.org/10.1021/es902266r" TargetMode="External"/><Relationship Id="rId53" Type="http://schemas.openxmlformats.org/officeDocument/2006/relationships/hyperlink" Target="https://doi.org/10.1007/s11157-020-09523-3" TargetMode="External"/><Relationship Id="rId58" Type="http://schemas.openxmlformats.org/officeDocument/2006/relationships/hyperlink" Target="https://doi.org/10.1016/j.geoderma.2023.116528"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doi.org/10.1021/es203984k" TargetMode="External"/><Relationship Id="rId14" Type="http://schemas.openxmlformats.org/officeDocument/2006/relationships/hyperlink" Target="https://doi.org/10.1038/s41467-024-45314-y" TargetMode="External"/><Relationship Id="rId22" Type="http://schemas.openxmlformats.org/officeDocument/2006/relationships/hyperlink" Target="https://doi.org/10.1088/1748-9326/aa67bd" TargetMode="External"/><Relationship Id="rId27" Type="http://schemas.openxmlformats.org/officeDocument/2006/relationships/hyperlink" Target="https://doi.org/10.1080/14693062.2021.1948384" TargetMode="External"/><Relationship Id="rId30" Type="http://schemas.openxmlformats.org/officeDocument/2006/relationships/hyperlink" Target="https://doi.org/10.1021/acsagscitech.2c00172" TargetMode="External"/><Relationship Id="rId35" Type="http://schemas.openxmlformats.org/officeDocument/2006/relationships/hyperlink" Target="https://doi.org/10.1021/acsagscitech.1c00239" TargetMode="External"/><Relationship Id="rId43" Type="http://schemas.openxmlformats.org/officeDocument/2006/relationships/hyperlink" Target="https://doi.org/10.1038/s41467-024-53645-z" TargetMode="External"/><Relationship Id="rId48" Type="http://schemas.openxmlformats.org/officeDocument/2006/relationships/hyperlink" Target="https://doi.org/10.1002/agj2.70050" TargetMode="External"/><Relationship Id="rId56" Type="http://schemas.openxmlformats.org/officeDocument/2006/relationships/hyperlink" Target="https://doi.org/10.1126/science.ade3535" TargetMode="External"/><Relationship Id="rId64" Type="http://schemas.openxmlformats.org/officeDocument/2006/relationships/header" Target="header3.xml"/><Relationship Id="rId8" Type="http://schemas.openxmlformats.org/officeDocument/2006/relationships/hyperlink" Target="https://doi.org/10.1016/j.scitotenv.2022.154388" TargetMode="External"/><Relationship Id="rId51" Type="http://schemas.openxmlformats.org/officeDocument/2006/relationships/hyperlink" Target="https://doi.org/10.4155/cmt.10.32" TargetMode="External"/><Relationship Id="rId3" Type="http://schemas.openxmlformats.org/officeDocument/2006/relationships/settings" Target="settings.xml"/><Relationship Id="rId12" Type="http://schemas.openxmlformats.org/officeDocument/2006/relationships/hyperlink" Target="https://doi.org/10.1016/j.scitotenv.2018.10.060" TargetMode="External"/><Relationship Id="rId17" Type="http://schemas.openxmlformats.org/officeDocument/2006/relationships/hyperlink" Target="https://doi.org/10.1038/s41598-021-82739-7" TargetMode="External"/><Relationship Id="rId25" Type="http://schemas.openxmlformats.org/officeDocument/2006/relationships/hyperlink" Target="https://doi.org/10.1038/s43247-024-01663-6" TargetMode="External"/><Relationship Id="rId33" Type="http://schemas.openxmlformats.org/officeDocument/2006/relationships/hyperlink" Target="https://doi.org/10.1038/s41597-023-02867-9" TargetMode="External"/><Relationship Id="rId38" Type="http://schemas.openxmlformats.org/officeDocument/2006/relationships/hyperlink" Target="https://doi.org/10.2134/age2019.04.0027" TargetMode="External"/><Relationship Id="rId46" Type="http://schemas.openxmlformats.org/officeDocument/2006/relationships/hyperlink" Target="https://doi.org/10.1016/j.scitotenv.2018.11.316" TargetMode="External"/><Relationship Id="rId59" Type="http://schemas.openxmlformats.org/officeDocument/2006/relationships/hyperlink" Target="https://doi.org/10.1111/sum.12546" TargetMode="External"/><Relationship Id="rId67" Type="http://schemas.openxmlformats.org/officeDocument/2006/relationships/theme" Target="theme/theme1.xml"/><Relationship Id="rId20" Type="http://schemas.openxmlformats.org/officeDocument/2006/relationships/hyperlink" Target="https://doi.org/10.1021/acs.est.2c03467" TargetMode="External"/><Relationship Id="rId41" Type="http://schemas.openxmlformats.org/officeDocument/2006/relationships/hyperlink" Target="https://doi.org/10.1016/j.agee.2023.108697" TargetMode="External"/><Relationship Id="rId54" Type="http://schemas.openxmlformats.org/officeDocument/2006/relationships/hyperlink" Target="https://doi.org/10.1111/ejss.13488"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11/gcbb.13028" TargetMode="External"/><Relationship Id="rId23" Type="http://schemas.openxmlformats.org/officeDocument/2006/relationships/hyperlink" Target="https://doi.org/10.1016/j.soilbio.2016.07.021" TargetMode="External"/><Relationship Id="rId28" Type="http://schemas.openxmlformats.org/officeDocument/2006/relationships/hyperlink" Target="https://doi.org/10.1007/s13593-022-00790-8" TargetMode="External"/><Relationship Id="rId36" Type="http://schemas.openxmlformats.org/officeDocument/2006/relationships/hyperlink" Target="https://doi.org/10.1111/gcb.12438" TargetMode="External"/><Relationship Id="rId49" Type="http://schemas.openxmlformats.org/officeDocument/2006/relationships/hyperlink" Target="https://doi.org/10.1021/es302545b" TargetMode="External"/><Relationship Id="rId57" Type="http://schemas.openxmlformats.org/officeDocument/2006/relationships/hyperlink" Target="https://doi.org/10.1021/acs.est.1c02425" TargetMode="External"/><Relationship Id="rId10" Type="http://schemas.openxmlformats.org/officeDocument/2006/relationships/hyperlink" Target="https://doi.org/10.1016/j.oneear.2022.05.012" TargetMode="External"/><Relationship Id="rId31" Type="http://schemas.openxmlformats.org/officeDocument/2006/relationships/hyperlink" Target="https://doi.org/10.1016/j.scitotenv.2023.162670" TargetMode="External"/><Relationship Id="rId44" Type="http://schemas.openxmlformats.org/officeDocument/2006/relationships/hyperlink" Target="https://doi.org/10.1038/s43017-023-00482-1" TargetMode="External"/><Relationship Id="rId52" Type="http://schemas.openxmlformats.org/officeDocument/2006/relationships/hyperlink" Target="https://doi.org/10.1002/agg2.20408"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111/gcb.15943" TargetMode="External"/><Relationship Id="rId13" Type="http://schemas.openxmlformats.org/officeDocument/2006/relationships/hyperlink" Target="https://doi.org/10.1016/j.agee.2014.12.015" TargetMode="External"/><Relationship Id="rId18" Type="http://schemas.openxmlformats.org/officeDocument/2006/relationships/hyperlink" Target="https://doi.org/10.3389/fsufs.2020.614349" TargetMode="External"/><Relationship Id="rId39" Type="http://schemas.openxmlformats.org/officeDocument/2006/relationships/hyperlink" Target="https://doi.org/10.1126/science.abl79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1331</TotalTime>
  <Pages>20</Pages>
  <Words>11238</Words>
  <Characters>64062</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SDI 1084</cp:lastModifiedBy>
  <cp:revision>15</cp:revision>
  <dcterms:created xsi:type="dcterms:W3CDTF">2025-11-07T18:05:00Z</dcterms:created>
  <dcterms:modified xsi:type="dcterms:W3CDTF">2025-12-01T11:33:00Z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b3d1619d-8776-46ce-a858-164b01fda973</vt:lpwstr>
  </property>
</Properties>
</file>