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DF3" w:rsidRPr="002F7EED" w:rsidRDefault="00500DF3" w:rsidP="002F7EED">
      <w:pPr>
        <w:pStyle w:val="Heading1"/>
        <w:rPr>
          <w:rFonts w:asciiTheme="minorHAnsi" w:eastAsiaTheme="minorHAnsi" w:hAnsiTheme="minorHAnsi" w:cstheme="minorBidi"/>
          <w:kern w:val="0"/>
          <w:sz w:val="22"/>
          <w:szCs w:val="22"/>
          <w:lang w:val="en-GB"/>
        </w:rPr>
      </w:pPr>
      <w:bookmarkStart w:id="0" w:name="_Toc212393384"/>
      <w:r>
        <w:t>Climate-Resilient Pest Management: Integrating IPM with Pest Range Shifts, Heat Stress Biology, and Cropping System Adaptation</w:t>
      </w:r>
      <w:bookmarkEnd w:id="0"/>
    </w:p>
    <w:p w:rsidR="00F80BFF" w:rsidRDefault="00500DF3" w:rsidP="00F80BFF">
      <w:pPr>
        <w:pStyle w:val="NormalWeb"/>
      </w:pPr>
      <w:r>
        <w:rPr>
          <w:rStyle w:val="Strong"/>
        </w:rPr>
        <w:t>Abstract</w:t>
      </w:r>
      <w:r>
        <w:br/>
      </w:r>
      <w:r w:rsidR="00F80BFF">
        <w:t>Climate change is transforming the tempo, geography, and control of agricultural pests. Warming means and more frequent heat extremes shorten development times, extend activity seasons, and relax overwintering barriers, while interacting with simplified landscapes to increase outbreak risk. At the same time, heat alters the balance between pests and their natural enemies, with enemies often possessing narrower thermal safety margins. These biological shifts collide with management realities: temperature can change pesticide efficacy and non-target effects, and warming-enabled residency accelerates resistance evolution. This review synthesizes advances at three interfaces—range shifts and surveillance, heat-stress biology across trophic levels, and cropping-</w:t>
      </w:r>
      <w:bookmarkStart w:id="1" w:name="_GoBack"/>
      <w:bookmarkEnd w:id="1"/>
      <w:r w:rsidR="00F80BFF">
        <w:t>system adaptation—and translates them into a climate-ready integrated pest management (IPM) agenda.</w:t>
      </w:r>
    </w:p>
    <w:p w:rsidR="00F80BFF" w:rsidRDefault="00F80BFF" w:rsidP="00F80BFF">
      <w:pPr>
        <w:pStyle w:val="NormalWeb"/>
      </w:pPr>
      <w:r>
        <w:t>First, we consolidate evidence that pests are moving poleward and upslope and cycling faster, and we assess forecasting tools that can anticipate establishment and detection. Species distribution models, mechanistic frameworks, and near-term “detectability” forecasts are most effective when combined, independently validated, and linked to early detection and rapid response programs. Second, we examine how heatwaves rewire multitrophic interactions and chemical performance. Stage-specific thermal sensitivity in parasitoids and predators creates windows of control failure precisely when pest growth rates peak. Compound-specific temperature responses, diel timing, and sublethal effects explain why poorly timed sprays during hot periods can precipitate resurgence and hasten resistance. Third, we evaluate cropping-system redesign as resilience infrastructure. Intercropping, floral resources, and diversified margins stabilize natural enemy services and dampen climate-amplified pest pressure; selective chemistries, applied in cooler windows and embedded in resistance stewardship, complement rather than substitute these ecological buffers.</w:t>
      </w:r>
    </w:p>
    <w:p w:rsidR="00F80BFF" w:rsidRDefault="00F80BFF" w:rsidP="00F80BFF">
      <w:pPr>
        <w:pStyle w:val="NormalWeb"/>
      </w:pPr>
      <w:r>
        <w:t>We propose a decision architecture that elevates forecasting from static maps to living services: short-term phenology and detectability models guide within-season actions; suitability and spread models steer surveillance corridors; and all forecasts are scored, updated, and communicated with uncertainty that meaningfully shapes action thresholds. Implementation requires standards for transparent model reporting, climate-informed surveillance as a public good, incentives for diversification, and temporary safeguards that raise the ecological bar for spraying during heat events. Adopting a Resist–Accept–Direct mindset ensures that portfolios remain coherent under non-stationary climates. The destination is a learning-centric IPM: anticipate credibly, design for robustness with diversified systems, intervene selectively and at the right moments, and evaluate transparently so agriculture can convert climate risk into more resilient, lower-input pest management.</w:t>
      </w:r>
    </w:p>
    <w:p w:rsidR="00500DF3" w:rsidRDefault="00500DF3" w:rsidP="00500DF3">
      <w:pPr>
        <w:pStyle w:val="NormalWeb"/>
      </w:pPr>
      <w:r>
        <w:rPr>
          <w:rStyle w:val="Strong"/>
        </w:rPr>
        <w:t>Keywords:</w:t>
      </w:r>
      <w:r>
        <w:t xml:space="preserve"> climate change; integrated pest management; range shifts; heat stress; pesticide resistance; intercropping; biological control; RAD framework</w:t>
      </w:r>
    </w:p>
    <w:p w:rsidR="00DD7056" w:rsidRDefault="00DD7056" w:rsidP="00DD7056">
      <w:pPr>
        <w:pStyle w:val="Heading1"/>
      </w:pPr>
      <w:bookmarkStart w:id="2" w:name="_Toc212393385"/>
      <w:r>
        <w:lastRenderedPageBreak/>
        <w:t>1. Introduction</w:t>
      </w:r>
      <w:bookmarkEnd w:id="2"/>
    </w:p>
    <w:p w:rsidR="00DD7056" w:rsidRDefault="00DD7056" w:rsidP="00DD7056">
      <w:pPr>
        <w:pStyle w:val="NormalWeb"/>
      </w:pPr>
      <w:r>
        <w:t xml:space="preserve">Anthropogenic climate change is reshaping the biological and operational context of pest management in agriculture. Rising mean temperatures, more frequent heatwaves, altered precipitation regimes, and the intensification of extreme events are shifting pest </w:t>
      </w:r>
      <w:proofErr w:type="spellStart"/>
      <w:r>
        <w:t>phenologies</w:t>
      </w:r>
      <w:proofErr w:type="spellEnd"/>
      <w:r>
        <w:t xml:space="preserve"> and expanding the geographic ranges of many insects into previously unsuitable regions, often faster than management systems adapt (</w:t>
      </w:r>
      <w:proofErr w:type="spellStart"/>
      <w:r>
        <w:t>Bebber</w:t>
      </w:r>
      <w:proofErr w:type="spellEnd"/>
      <w:r>
        <w:t xml:space="preserve">, </w:t>
      </w:r>
      <w:proofErr w:type="spellStart"/>
      <w:r>
        <w:t>Ramotowski</w:t>
      </w:r>
      <w:proofErr w:type="spellEnd"/>
      <w:r>
        <w:t xml:space="preserve">, &amp; </w:t>
      </w:r>
      <w:proofErr w:type="spellStart"/>
      <w:r>
        <w:t>Gurr</w:t>
      </w:r>
      <w:proofErr w:type="spellEnd"/>
      <w:r>
        <w:t xml:space="preserve">, 2013; Schneider, </w:t>
      </w:r>
      <w:proofErr w:type="spellStart"/>
      <w:r>
        <w:t>Rebetez</w:t>
      </w:r>
      <w:proofErr w:type="spellEnd"/>
      <w:r>
        <w:t xml:space="preserve">, &amp; </w:t>
      </w:r>
      <w:proofErr w:type="spellStart"/>
      <w:r>
        <w:t>Rasmann</w:t>
      </w:r>
      <w:proofErr w:type="spellEnd"/>
      <w:r>
        <w:t>, 2022). These dynamics amplify losses: cross-crop modelling has suggested that every additional degree of warming can increase insect-driven yield losses in major cereals, with the highest impacts projected in temperate production zones that are historically less adapted to heavy pest pressure (Deutsch et al., 2018). In parallel, land-use simplification and pesticide-reliant control regimes continue to erode on-farm resilience, tightening feedbacks between climate stress, pest outbreaks, and chemical dependency (Karp et al., 2018; Paredes, Rosenheim, Chaplin-Kramer, Winter, &amp; Karp, 2021). Collectively, these converging pressures expose the limitations of single-tactic control and motivate a climate-resilient, systems-oriented integration of integrated pest management (IPM) with thermal biology, range-shift forecasting, and cropping-system redesign (</w:t>
      </w:r>
      <w:proofErr w:type="spellStart"/>
      <w:r>
        <w:t>Heeb</w:t>
      </w:r>
      <w:proofErr w:type="spellEnd"/>
      <w:r>
        <w:t>, Jenner, &amp; Cock, 2019; Zhou et al., 2024).</w:t>
      </w:r>
      <w:r w:rsidR="000D6598">
        <w:t xml:space="preserve"> </w:t>
      </w:r>
    </w:p>
    <w:p w:rsidR="00DD7056" w:rsidRDefault="00DD7056" w:rsidP="00DD7056">
      <w:pPr>
        <w:pStyle w:val="NormalWeb"/>
      </w:pPr>
      <w:r>
        <w:t>A climate-resilient reframing begins with three interlinked realities. First, pests are moving. As winters warm, overwintering barriers relax and poleward or upslope expansions accelerate; this is now documented across taxa and continents (</w:t>
      </w:r>
      <w:proofErr w:type="spellStart"/>
      <w:r>
        <w:t>Bebber</w:t>
      </w:r>
      <w:proofErr w:type="spellEnd"/>
      <w:r>
        <w:t xml:space="preserve"> et al., 2013; Schneider et al., 2022). Second, pests are coping—sometimes thriving—through heat-stress physiology and plasticity. Thermal performance curves, rapid acclimation, and life-history shifts alter survival, </w:t>
      </w:r>
      <w:proofErr w:type="spellStart"/>
      <w:r>
        <w:t>voltinism</w:t>
      </w:r>
      <w:proofErr w:type="spellEnd"/>
      <w:r>
        <w:t xml:space="preserve">, and interaction strengths with natural enemies, changing when and where control succeeds (Le </w:t>
      </w:r>
      <w:proofErr w:type="spellStart"/>
      <w:r>
        <w:t>Lann</w:t>
      </w:r>
      <w:proofErr w:type="spellEnd"/>
      <w:r>
        <w:t xml:space="preserve">, van </w:t>
      </w:r>
      <w:proofErr w:type="spellStart"/>
      <w:r>
        <w:t>Baaren</w:t>
      </w:r>
      <w:proofErr w:type="spellEnd"/>
      <w:r>
        <w:t xml:space="preserve">, &amp; Visser, 2021). Third, management itself is evolving under climate forcing. Warmer conditions can both intensify pest pressure and increase the likelihood of insecticide-associated outbreaks, particularly when natural enemy services are disrupted or when chemical use interacts with heat stress (Crossley et al., 2024). These three realities—range shifts, heat-stress biology, and management feedbacks—are not independent; for example, warming-enabled overwintering can accelerate local evolution of insecticide resistance, changing the risk calculus for chemical interventions (Ma et al., 2021). </w:t>
      </w:r>
    </w:p>
    <w:p w:rsidR="00DD7056" w:rsidRDefault="00DD7056" w:rsidP="00DD7056">
      <w:pPr>
        <w:pStyle w:val="NormalWeb"/>
      </w:pPr>
      <w:r>
        <w:t>Within this changing context, IPM remains the global standard for ecologically informed decision-making, yet traditional IPM frameworks were not designed to anticipate climate-driven spatial reassembly of pests and natural enemies or to manage the physiological contingencies of extreme heat (</w:t>
      </w:r>
      <w:proofErr w:type="spellStart"/>
      <w:r>
        <w:t>Heeb</w:t>
      </w:r>
      <w:proofErr w:type="spellEnd"/>
      <w:r>
        <w:t xml:space="preserve"> et al., 2019). A climate-resilient IPM therefore needs explicit inputs from species distribution modelling (SDM) and mechanistic thermal biology to forecast risk windows, along with cropping-system adaptations that buffer climatic variability and conserve natural enemies (Gómez-Llano, </w:t>
      </w:r>
      <w:proofErr w:type="spellStart"/>
      <w:r>
        <w:t>Galvão</w:t>
      </w:r>
      <w:proofErr w:type="spellEnd"/>
      <w:r>
        <w:t xml:space="preserve">-Silva, Acevedo, Castro-Llanos, Gottschalk, &amp; Nava, 2025; Paredes et al., 2021; Karp et al., 2018). Empirically, diversified habitats and floral field margins can strengthen biological control, though effectiveness depends on landscape context and management compatibility; these interactions matter even more as climate change perturbs </w:t>
      </w:r>
      <w:proofErr w:type="spellStart"/>
      <w:r>
        <w:t>phenologies</w:t>
      </w:r>
      <w:proofErr w:type="spellEnd"/>
      <w:r>
        <w:t xml:space="preserve"> and trophic linkages (Crowther, Wilson, &amp; </w:t>
      </w:r>
      <w:proofErr w:type="spellStart"/>
      <w:r>
        <w:t>Wilby</w:t>
      </w:r>
      <w:proofErr w:type="spellEnd"/>
      <w:r>
        <w:t xml:space="preserve">, 2023; Huss, </w:t>
      </w:r>
      <w:proofErr w:type="spellStart"/>
      <w:r>
        <w:t>Ekesi</w:t>
      </w:r>
      <w:proofErr w:type="spellEnd"/>
      <w:r>
        <w:t xml:space="preserve">, &amp; </w:t>
      </w:r>
      <w:proofErr w:type="spellStart"/>
      <w:r>
        <w:t>Dupas</w:t>
      </w:r>
      <w:proofErr w:type="spellEnd"/>
      <w:r>
        <w:t xml:space="preserve">, 2022). Taken together, the emerging evidence argues for an integrative synthesis in which IPM is coupled to climate-forward risk mapping, heat-aware action thresholds, and landscape/cropping redesign that reduces vulnerability while maintaining productivity. </w:t>
      </w:r>
    </w:p>
    <w:p w:rsidR="00DD7056" w:rsidRDefault="00DD7056" w:rsidP="00DD7056">
      <w:pPr>
        <w:pStyle w:val="Heading2"/>
      </w:pPr>
      <w:bookmarkStart w:id="3" w:name="_Toc212393386"/>
      <w:r>
        <w:lastRenderedPageBreak/>
        <w:t>1.1 Rationale and scope</w:t>
      </w:r>
      <w:bookmarkEnd w:id="3"/>
    </w:p>
    <w:p w:rsidR="00DD7056" w:rsidRDefault="00DD7056" w:rsidP="00DD7056">
      <w:pPr>
        <w:pStyle w:val="NormalWeb"/>
      </w:pPr>
      <w:r>
        <w:t xml:space="preserve">The rationale for this review is twofold. First, the spatial ecology of agricultural pests is being reconfigured by climate change, with major policy and practice implications. For instance, temperate regions that historically escaped severe overwintering now face resident pest populations, longer exposure seasons, and higher cumulative damage (Deutsch et al., 2018; Ma et al., 2021). Second, the thermal physiology of both pests and their antagonists governs outcomes under heat extremes; failure to integrate heat-stress biology into management can render otherwise effective tactics unreliable (Le </w:t>
      </w:r>
      <w:proofErr w:type="spellStart"/>
      <w:r>
        <w:t>Lann</w:t>
      </w:r>
      <w:proofErr w:type="spellEnd"/>
      <w:r>
        <w:t xml:space="preserve"> et al., 2021). This review therefore focuses on integrating three pillars—(</w:t>
      </w:r>
      <w:proofErr w:type="spellStart"/>
      <w:r>
        <w:t>i</w:t>
      </w:r>
      <w:proofErr w:type="spellEnd"/>
      <w:r>
        <w:t xml:space="preserve">) pest range shifts and predictive mapping, (ii) heat-stress biology across pests and </w:t>
      </w:r>
      <w:proofErr w:type="spellStart"/>
      <w:r>
        <w:t>beneficials</w:t>
      </w:r>
      <w:proofErr w:type="spellEnd"/>
      <w:r>
        <w:t xml:space="preserve">, and (iii) cropping-system and landscape adaptation—within a contemporary IPM framework. We </w:t>
      </w:r>
      <w:proofErr w:type="spellStart"/>
      <w:r>
        <w:t>emphasise</w:t>
      </w:r>
      <w:proofErr w:type="spellEnd"/>
      <w:r>
        <w:t xml:space="preserve"> peer-reviewed evidence from the last decade, draw on cross-regional case studies where available, and </w:t>
      </w:r>
      <w:proofErr w:type="spellStart"/>
      <w:r>
        <w:t>prioritise</w:t>
      </w:r>
      <w:proofErr w:type="spellEnd"/>
      <w:r>
        <w:t xml:space="preserve"> insights that are operationally translatable for researchers, extension professionals, and policy makers. </w:t>
      </w:r>
    </w:p>
    <w:p w:rsidR="00DD7056" w:rsidRDefault="00DD7056" w:rsidP="00DD7056">
      <w:pPr>
        <w:pStyle w:val="Heading2"/>
      </w:pPr>
      <w:bookmarkStart w:id="4" w:name="_Toc212393387"/>
      <w:r>
        <w:t>1.2 Conceptual integration: from climate signals to management choices</w:t>
      </w:r>
      <w:bookmarkEnd w:id="4"/>
    </w:p>
    <w:p w:rsidR="00DD7056" w:rsidRDefault="00DD7056" w:rsidP="00DD7056">
      <w:pPr>
        <w:pStyle w:val="NormalWeb"/>
      </w:pPr>
      <w:r>
        <w:t>We propose a conceptual integration in which climate signals (warming means, extremes, altered moisture) propagate through two primary pathways to influence management. The first pathway is spatial: warming modifies the suitability landscape, shifting persistence zones and migration corridors. Here, SDMs, mechanistic survival models, and early-warning networks become decision tools for anticipating invasion fronts, redesigning surveillance, and pre-positioning biological control or resistant cultivars (</w:t>
      </w:r>
      <w:proofErr w:type="spellStart"/>
      <w:r>
        <w:t>Bebber</w:t>
      </w:r>
      <w:proofErr w:type="spellEnd"/>
      <w:r>
        <w:t xml:space="preserve"> et al., 2013; Gómez-Llano et al., 2025; Ma et al., 2021). The second pathway is physiological: heat stress alters development rates, fecundity, and host–enemy interaction strengths, changing the reliability of thresholds, the timing of interventions, and the compatibility of tactics such as selective insecticides or augmentative biological control (Le </w:t>
      </w:r>
      <w:proofErr w:type="spellStart"/>
      <w:r>
        <w:t>Lann</w:t>
      </w:r>
      <w:proofErr w:type="spellEnd"/>
      <w:r>
        <w:t xml:space="preserve"> et al., 2021; Crossley et al., 2024). IPM becomes climate-resilient when these spatial and physiological insights are fed into cropping-system choices—diversification, floral resource provisioning, cultivar and planting-date adjustment, soil–water management—that build buffer capacity and stabilize natural enemy services despite climatic volatility (</w:t>
      </w:r>
      <w:proofErr w:type="spellStart"/>
      <w:r>
        <w:t>Heeb</w:t>
      </w:r>
      <w:proofErr w:type="spellEnd"/>
      <w:r>
        <w:t xml:space="preserve"> et al., 2019; Paredes et al., 2021; Crowther et al., 2023; Zhou et al., 2024). </w:t>
      </w:r>
    </w:p>
    <w:p w:rsidR="00DD7056" w:rsidRDefault="00DD7056" w:rsidP="00DD7056">
      <w:pPr>
        <w:pStyle w:val="Heading2"/>
      </w:pPr>
      <w:bookmarkStart w:id="5" w:name="_Toc212393388"/>
      <w:r>
        <w:t>1.3 Objectives of the article</w:t>
      </w:r>
      <w:bookmarkEnd w:id="5"/>
    </w:p>
    <w:p w:rsidR="00DD7056" w:rsidRDefault="00DD7056" w:rsidP="00DD7056">
      <w:pPr>
        <w:pStyle w:val="NormalWeb"/>
      </w:pPr>
      <w:r>
        <w:t xml:space="preserve">This article has three objectives. The first is to consolidate current evidence on climate-driven pest range shifts and to clarify what forecast tools—correlative SDMs, mechanistic thermal survival models, and hybrid approaches—are most useful for forward-looking IPM. The second is to </w:t>
      </w:r>
      <w:proofErr w:type="spellStart"/>
      <w:r>
        <w:t>synthesise</w:t>
      </w:r>
      <w:proofErr w:type="spellEnd"/>
      <w:r>
        <w:t xml:space="preserve"> how heat stress influences pest and natural-enemy performance, with attention to repeated heatwaves and diurnal thermal variation that can decouple lab-derived expectations from field realities. The third is to translate these insights into a practical agenda for cropping-system adaptation: re-calibrated thresholds that account for heat exposure, habitat and floral resource design that sustains natural enemies, and decision rules that anticipate pesticide-climate interactions, including the risk that warming enables resistance evolution and insecticide-associated outbreaks (Ma et al., 2021; Crossley et al., 2024). </w:t>
      </w:r>
    </w:p>
    <w:p w:rsidR="00DD7056" w:rsidRDefault="00DD7056" w:rsidP="00DD7056"/>
    <w:p w:rsidR="00DD7056" w:rsidRDefault="00DD7056" w:rsidP="00DD7056">
      <w:pPr>
        <w:pStyle w:val="Heading2"/>
      </w:pPr>
      <w:bookmarkStart w:id="6" w:name="_Toc212393389"/>
      <w:r>
        <w:t>2.1 Evidence and drivers of climate-linked range change</w:t>
      </w:r>
      <w:bookmarkEnd w:id="6"/>
    </w:p>
    <w:p w:rsidR="00DD7056" w:rsidRDefault="00DD7056" w:rsidP="00DD7056">
      <w:pPr>
        <w:pStyle w:val="NormalWeb"/>
      </w:pPr>
      <w:r>
        <w:t>Across continents, warmer temperatures have coincided with measurable shifts in the distributions of crop pests and pathogens toward higher latitudes and elevations, exposing previously safe production zones to new pressure (</w:t>
      </w:r>
      <w:proofErr w:type="spellStart"/>
      <w:r>
        <w:t>Bebber</w:t>
      </w:r>
      <w:proofErr w:type="spellEnd"/>
      <w:r>
        <w:t xml:space="preserve"> et al., 2013). At the same time, heat-driven changes in insect physiology and population dynamics amplify potential damage: modeling suggests yield losses to major grain crops rise by roughly 10–25% per °C of global warming because insect metabolic and growth rates increase with temperature (Deutsch et al., 2018). For key pests, winter warming removes a critical mortality bottleneck, enabling survival and reproduction in formerly marginal areas and, in some cases, accelerating the evolution and spread of pesticide resistance as populations persist year-round (Ma et al., 2021). These climate signals interact with land-use and management. Where landscapes are simplified—monocultures with limited semi-natural habitat—surveillance consistently records more frequent outbreaks and heavier insecticide use, indicating that climate change and landscape homogenization can compound to hasten pest establishment and spread (Paredes et al., 2021). Together, the evidence underscores an urgent need to reposition surveillance from static, border-centric monitoring toward adaptive, climate-informed systems that track shifting invasion fronts and nascent establishment in at-risk production mosaics (</w:t>
      </w:r>
      <w:proofErr w:type="spellStart"/>
      <w:r>
        <w:t>Bebber</w:t>
      </w:r>
      <w:proofErr w:type="spellEnd"/>
      <w:r>
        <w:t xml:space="preserve"> et al., 2013; Deutsch et al., 2018; Ma et al., 2021; Paredes et al., 2021). </w:t>
      </w:r>
    </w:p>
    <w:p w:rsidR="00DD7056" w:rsidRDefault="00DD7056" w:rsidP="00DD7056">
      <w:pPr>
        <w:pStyle w:val="Heading2"/>
      </w:pPr>
      <w:bookmarkStart w:id="7" w:name="_Toc212393390"/>
      <w:r>
        <w:t>2.2 Forecasting tools to guide targeted detection</w:t>
      </w:r>
      <w:bookmarkEnd w:id="7"/>
    </w:p>
    <w:p w:rsidR="00DD7056" w:rsidRDefault="00DD7056" w:rsidP="00DD7056">
      <w:pPr>
        <w:pStyle w:val="NormalWeb"/>
      </w:pPr>
      <w:r>
        <w:t xml:space="preserve">Modern surveillance benefits from probabilistic forecasts of where pests are likely to arrive, establish, and be detectable. Two complementary modeling traditions are now widely used for agricultural pests: correlative species distribution models (SDMs) and mechanistic frameworks such as CLIMEX. For emerging pests with sparse data, carefully constructed SDMs and CLIMEX outputs often produce comparable accuracy, and </w:t>
      </w:r>
      <w:proofErr w:type="spellStart"/>
      <w:r>
        <w:t>ensembling</w:t>
      </w:r>
      <w:proofErr w:type="spellEnd"/>
      <w:r>
        <w:t xml:space="preserve"> across approaches can improve performance and sharpen guidance for managers planning trap placement or delimitation surveys (Early et al., 2022). Yet these models are not plug-and-play. Presence-only SDMs are sensitive to sampling prevalence and bias, and predictions can shift notably with changes in environmental predictors or evaluation metrics, which can mislead surveillance if uncertainty is not quantified and communicated (</w:t>
      </w:r>
      <w:proofErr w:type="spellStart"/>
      <w:r>
        <w:t>Grimmett</w:t>
      </w:r>
      <w:proofErr w:type="spellEnd"/>
      <w:r>
        <w:t xml:space="preserve"> et al., 2020; Finn et al., 2024). A pragmatic evolution in the field is to move from long-horizon suitability maps to short-term, iteratively updated “detectability” forecasts that fuse occurrence data with near-term weather and observer effort, thereby telling programs </w:t>
      </w:r>
      <w:r>
        <w:rPr>
          <w:rStyle w:val="Emphasis"/>
          <w:rFonts w:eastAsiaTheme="majorEastAsia"/>
        </w:rPr>
        <w:t>when and where</w:t>
      </w:r>
      <w:r>
        <w:t xml:space="preserve"> detection is most probable in the coming weeks (</w:t>
      </w:r>
      <w:proofErr w:type="spellStart"/>
      <w:r>
        <w:t>Capinha</w:t>
      </w:r>
      <w:proofErr w:type="spellEnd"/>
      <w:r>
        <w:t xml:space="preserve"> et al., 2024). In practice, climate-aware surveillance should pair medium-term suitability forecasts (to define risk corridors and sentinel sites) with rolling detectability maps (to allocate boots-on-the-ground effort through the season), and both should be tuned to crop calendars and phenology. </w:t>
      </w:r>
    </w:p>
    <w:p w:rsidR="00DD7056" w:rsidRDefault="00DD7056" w:rsidP="00DD7056">
      <w:pPr>
        <w:pStyle w:val="Heading2"/>
      </w:pPr>
      <w:bookmarkStart w:id="8" w:name="_Toc212393391"/>
      <w:r>
        <w:t>2.3 Data streams and system design for early warning</w:t>
      </w:r>
      <w:bookmarkEnd w:id="8"/>
    </w:p>
    <w:p w:rsidR="00DD7056" w:rsidRDefault="00DD7056" w:rsidP="00DD7056">
      <w:pPr>
        <w:pStyle w:val="NormalWeb"/>
      </w:pPr>
      <w:r>
        <w:t xml:space="preserve">Integrating diverse detection data improves the odds of intercepting range-shifting pests at low density. Environmental DNA (eDNA) assays are increasingly used to detect aquatic and terrestrial invaders before visual confirmation; recent synthesis indicates eDNA early detections can be actionable when assays are validated for specificity, local shedding and </w:t>
      </w:r>
      <w:r>
        <w:lastRenderedPageBreak/>
        <w:t>transport are characterized, and verification/response protocols are predefined—conditions that climate-ready programs can plan for in advance (Sepulveda et al., 2023). In parallel, “passive” surveillance—structured programs that mobilize trained community observers and digital reporting—has matured from opportunistic sightings into a cost-effective, high-value layer of biosecurity that routinely delivers first detections for mobile, range-expanding insects (Roe et al., 2024). Meta-analyses across taxa similarly show that well-designed citizen-science platforms can support earlier detection, with performance varying predictably by species traits and sampling design—knowledge that can be used to weight and verify reports in agricultural settings (González-Moreno et al., 2025). Anchoring these data streams in an early detection and rapid response (EDRR) framework—clear triggers, pre-approved actions, and interagency coordination—raises the probability that new climate-enabled incursions are delimited and eradicated before they spread through cropping systems (</w:t>
      </w:r>
      <w:proofErr w:type="spellStart"/>
      <w:r>
        <w:t>Reaser</w:t>
      </w:r>
      <w:proofErr w:type="spellEnd"/>
      <w:r>
        <w:t xml:space="preserve"> et al., 2020). In short, climate-driven range shifts demand surveillance that is dynamic in space and time, methodologically plural, and operationally tied to rapid response. </w:t>
      </w:r>
    </w:p>
    <w:p w:rsidR="00974EAD" w:rsidRDefault="00974EAD" w:rsidP="00974EAD">
      <w:pPr>
        <w:pStyle w:val="Heading1"/>
      </w:pPr>
      <w:bookmarkStart w:id="9" w:name="_Toc212393392"/>
      <w:r>
        <w:t>3. Heat-stress biology across trophic levels</w:t>
      </w:r>
      <w:bookmarkEnd w:id="9"/>
    </w:p>
    <w:p w:rsidR="00974EAD" w:rsidRDefault="00974EAD" w:rsidP="00974EAD">
      <w:pPr>
        <w:pStyle w:val="Heading2"/>
      </w:pPr>
      <w:bookmarkStart w:id="10" w:name="_Toc212393393"/>
      <w:r>
        <w:t>3.1 Thermal performance, plasticity, and the rise of extremes</w:t>
      </w:r>
      <w:bookmarkEnd w:id="10"/>
    </w:p>
    <w:p w:rsidR="00974EAD" w:rsidRDefault="00974EAD" w:rsidP="00974EAD">
      <w:pPr>
        <w:pStyle w:val="NormalWeb"/>
      </w:pPr>
      <w:r>
        <w:t xml:space="preserve">Climate warming is altering not only mean temperatures but also the frequency, duration, and timing of extreme heat events—changes that reverberate through pest–crop–enemy systems (Schneider, </w:t>
      </w:r>
      <w:proofErr w:type="spellStart"/>
      <w:r>
        <w:t>Rebetez</w:t>
      </w:r>
      <w:proofErr w:type="spellEnd"/>
      <w:r>
        <w:t xml:space="preserve">, &amp; </w:t>
      </w:r>
      <w:proofErr w:type="spellStart"/>
      <w:r>
        <w:t>Rasmann</w:t>
      </w:r>
      <w:proofErr w:type="spellEnd"/>
      <w:r>
        <w:t>, 2022). Insects, being ectotherms, show accelerated development and consumption as temperatures rise within their thermal performance ranges, helping explain projections that insect-driven yield losses in major grains increase markedly with each degree of warming (Deutsch et al., 2018). Yet warming rarely proceeds as a smooth shift; increased variability and heatwaves often pose greater biological risks than gradual mean change, because upper thermal limits are inflexible and small exceedances can have outsized demographic effects (</w:t>
      </w:r>
      <w:proofErr w:type="spellStart"/>
      <w:r>
        <w:t>Vasseur</w:t>
      </w:r>
      <w:proofErr w:type="spellEnd"/>
      <w:r>
        <w:t xml:space="preserve"> et al., 2014; Gunderson &amp; </w:t>
      </w:r>
      <w:proofErr w:type="spellStart"/>
      <w:r>
        <w:t>Stillman</w:t>
      </w:r>
      <w:proofErr w:type="spellEnd"/>
      <w:r>
        <w:t xml:space="preserve">, 2015). For management, this means that conventional degree-day models calibrated under stable regimes may underpredict damage when short, intense hot spells push pests across survival or fecundity thresholds. It also means that resilience hinges on understanding not just average field temperatures but the amplitude and timing of heat exposure across life stages (Schneider et al., 2022; Deutsch et al., 2018). </w:t>
      </w:r>
    </w:p>
    <w:p w:rsidR="00974EAD" w:rsidRDefault="00974EAD" w:rsidP="00974EAD">
      <w:pPr>
        <w:pStyle w:val="Heading2"/>
      </w:pPr>
      <w:bookmarkStart w:id="11" w:name="_Toc212393394"/>
      <w:r>
        <w:t>3.2 Parasitoids and predators under heat stress: mismatches and windows of failure</w:t>
      </w:r>
      <w:bookmarkEnd w:id="11"/>
    </w:p>
    <w:p w:rsidR="00974EAD" w:rsidRDefault="00974EAD" w:rsidP="00974EAD">
      <w:pPr>
        <w:pStyle w:val="NormalWeb"/>
      </w:pPr>
      <w:r>
        <w:t xml:space="preserve">Thermal biology is profoundly asymmetric across trophic levels. Parasitoids and predators often have narrower thermal safety margins than their herbivore hosts, making them disproportionately vulnerable during heatwaves and creating windows in which top-down control collapses (Le </w:t>
      </w:r>
      <w:proofErr w:type="spellStart"/>
      <w:r>
        <w:t>Lann</w:t>
      </w:r>
      <w:proofErr w:type="spellEnd"/>
      <w:r>
        <w:t xml:space="preserve">, van </w:t>
      </w:r>
      <w:proofErr w:type="spellStart"/>
      <w:r>
        <w:t>Baaren</w:t>
      </w:r>
      <w:proofErr w:type="spellEnd"/>
      <w:r>
        <w:t xml:space="preserve">, &amp; Visser, 2021). Experiments resolving heat exposure by developmental stage show that brief heatwaves during parasitoid embryogenesis or nutritionally critical instars can cause near-total parasitoid mortality, yielding “giant,” long-lived hosts that escape control, whereas identically warm conditions at other stages have milder consequences (Moore, Hill, &amp; Kingsolver, 2022). Humidity interacts with heat to further shape outcomes: in an insect host–parasitoid system, the timing and duration of heat </w:t>
      </w:r>
      <w:r>
        <w:lastRenderedPageBreak/>
        <w:t xml:space="preserve">stress differentially affected host development and parasitoid size, with low humidity amplifying negative effects on the parasitoid, underscoring the need to incorporate coupled thermal–hydric stress into forecasts (Li et al., 2024). These findings converge on a practical insight for IPM: heat-aware action thresholds and biological-control releases must account for diel variation and stage-specific sensitivity of natural enemies, not just host development rates (Le </w:t>
      </w:r>
      <w:proofErr w:type="spellStart"/>
      <w:r>
        <w:t>Lann</w:t>
      </w:r>
      <w:proofErr w:type="spellEnd"/>
      <w:r>
        <w:t xml:space="preserve"> et al., 2021; Moore et al., 2022; Li et al., 2024). </w:t>
      </w:r>
    </w:p>
    <w:p w:rsidR="00974EAD" w:rsidRDefault="00974EAD" w:rsidP="00974EAD">
      <w:pPr>
        <w:pStyle w:val="Heading2"/>
      </w:pPr>
      <w:bookmarkStart w:id="12" w:name="_Toc212393395"/>
      <w:r>
        <w:t>3.3 Heat–pesticide interactions and resistance risk</w:t>
      </w:r>
      <w:bookmarkEnd w:id="12"/>
    </w:p>
    <w:p w:rsidR="00974EAD" w:rsidRDefault="00974EAD" w:rsidP="00974EAD">
      <w:pPr>
        <w:pStyle w:val="NormalWeb"/>
      </w:pPr>
      <w:r>
        <w:t xml:space="preserve">Heat stress reshapes the efficacy and side effects of chemical control. Warmer conditions can intensify pest pressure and increase the likelihood of insecticide-associated outbreaks, especially when applications disrupt natural enemies already stressed by heat, creating feedbacks that resemble a climate-accelerated pesticide treadmill (Crossley et al., 2024). At evolutionary timescales, climate warming can expand overwintering zones and lengthen exposure seasons for resident populations, which in turn accelerates the evolution and geographic spread of resistance—a dynamic documented for global pests like the diamondback moth (Ma et al., 2021). Mechanistic and genetic perspectives suggest that temperature can modulate detoxification pathways and selection gradients, shaping resistance trajectories in ways that complicate simple rotation or mixture strategies (Pu, Wang, &amp; Chung, 2020). At the systems level, climate change is expected to exacerbate agriculture’s environmental impacts partly by reducing pesticide efficacy and motivating more frequent or intense use, heightening non-target risks and undermining sustainability goals (Yang et al., 2024). These patterns imply that climate-resilient IPM should stress selective chemistries with minimal enemy disruption, heat-aware spray windows, and proactive resistance management aligned with shifting overwintering and </w:t>
      </w:r>
      <w:proofErr w:type="spellStart"/>
      <w:r>
        <w:t>voltinism</w:t>
      </w:r>
      <w:proofErr w:type="spellEnd"/>
      <w:r>
        <w:t xml:space="preserve"> baselines (Crossley et al., 2024; Ma et al., 2021; Pu et al., 2020; Yang et al., 2024). </w:t>
      </w:r>
    </w:p>
    <w:p w:rsidR="00974EAD" w:rsidRDefault="00974EAD" w:rsidP="00974EAD">
      <w:pPr>
        <w:pStyle w:val="Heading2"/>
      </w:pPr>
      <w:bookmarkStart w:id="13" w:name="_Toc212393396"/>
      <w:r>
        <w:t>3.4 Bottom-up pathways: heat, plant quality, and tri-trophic contingencies</w:t>
      </w:r>
      <w:bookmarkEnd w:id="13"/>
    </w:p>
    <w:p w:rsidR="00974EAD" w:rsidRDefault="00974EAD" w:rsidP="00974EAD">
      <w:pPr>
        <w:pStyle w:val="NormalWeb"/>
      </w:pPr>
      <w:r>
        <w:t xml:space="preserve">Heat does not act only from the top down; it changes plant physiology and resource flows that cascade to herbivores and their enemies. Reviews of bottom-up forces in agroecosystems indicate that irrigation regimes, nutrient availability, and plant defense pathways—all temperature sensitive—can alter herbivore performance and enemy effectiveness, reshaping control outcomes under climate change (Han, </w:t>
      </w:r>
      <w:proofErr w:type="spellStart"/>
      <w:r>
        <w:t>Lavoir</w:t>
      </w:r>
      <w:proofErr w:type="spellEnd"/>
      <w:r>
        <w:t>, Rodriguez-</w:t>
      </w:r>
      <w:proofErr w:type="spellStart"/>
      <w:r>
        <w:t>Saona</w:t>
      </w:r>
      <w:proofErr w:type="spellEnd"/>
      <w:r>
        <w:t xml:space="preserve">, &amp; </w:t>
      </w:r>
      <w:proofErr w:type="spellStart"/>
      <w:r>
        <w:t>Desneux</w:t>
      </w:r>
      <w:proofErr w:type="spellEnd"/>
      <w:r>
        <w:t xml:space="preserve">, 2022). Tri-trophic experiments now show that plant quality interacts with heat stress and parasitism to determine both herbivore damage and enemy success; for instance, host-plant identity can buffer or magnify the detrimental effects of heat shock on parasitoid survival, with consequences for herbivory levels (Parker, Han, &amp; </w:t>
      </w:r>
      <w:proofErr w:type="spellStart"/>
      <w:r>
        <w:t>Hance</w:t>
      </w:r>
      <w:proofErr w:type="spellEnd"/>
      <w:r>
        <w:t xml:space="preserve">, 2024). Together with evidence that developmental timing of heat exposure dictates failures in biological control (Moore et al., 2022), these results argue for heat-aware habitat management—e.g., cultivar choice, planting dates, soil–water practices, and floral resource provisioning—tailored to maintain enemy performance through hot periods. In short, climate-resilient IPM must integrate bottom-up and top-down levers within a mechanistic understanding of heat stress across the crop–pest–enemy triad (Han et al., 2022; Parker et al., 2024). </w:t>
      </w:r>
    </w:p>
    <w:p w:rsidR="00974EAD" w:rsidRDefault="00974EAD" w:rsidP="00974EAD"/>
    <w:p w:rsidR="00974EAD" w:rsidRDefault="00974EAD" w:rsidP="000D6598">
      <w:pPr>
        <w:pStyle w:val="Heading1"/>
      </w:pPr>
      <w:bookmarkStart w:id="14" w:name="_Toc212393397"/>
      <w:r>
        <w:lastRenderedPageBreak/>
        <w:t>4. Reimagining IPM portfolios for a warming world</w:t>
      </w:r>
      <w:bookmarkEnd w:id="14"/>
    </w:p>
    <w:p w:rsidR="00974EAD" w:rsidRDefault="00974EAD" w:rsidP="000D6598">
      <w:pPr>
        <w:pStyle w:val="Heading2"/>
      </w:pPr>
      <w:bookmarkStart w:id="15" w:name="_Toc212393398"/>
      <w:r>
        <w:t>4.1. Decision rules and trigger points under non-stationarity</w:t>
      </w:r>
      <w:bookmarkEnd w:id="15"/>
    </w:p>
    <w:p w:rsidR="00974EAD" w:rsidRDefault="00974EAD" w:rsidP="00974EAD">
      <w:pPr>
        <w:pStyle w:val="NormalWeb"/>
      </w:pPr>
      <w:r>
        <w:t xml:space="preserve">In a warming climate, the foundational assumptions behind action thresholds and sampling schemes—namely, that pest population dynamics and natural enemy responses fluctuate around relatively stable climatological means—no longer hold. Thresholds must be recalibrated to account for earlier phenology, longer activity seasons, and amplified, heat-driven outbreak likelihood, all of which can compress the time available for decision-making. A “climate-smart” approach reframes decision rules as adaptive objects that incorporate near-term weather forecasts, longer-term climate anomalies, and locally relevant exposure–response functions for both pests and </w:t>
      </w:r>
      <w:proofErr w:type="spellStart"/>
      <w:r>
        <w:t>beneficials</w:t>
      </w:r>
      <w:proofErr w:type="spellEnd"/>
      <w:r>
        <w:t xml:space="preserve"> (</w:t>
      </w:r>
      <w:proofErr w:type="spellStart"/>
      <w:r>
        <w:t>Heeb</w:t>
      </w:r>
      <w:proofErr w:type="spellEnd"/>
      <w:r>
        <w:t xml:space="preserve"> et al., 2019). Evidence that warmer conditions increase the probability of insecticide-associated pest resurgence underscores the need to raise the ecological bar for any chemical intervention: sprays should be triggered later and less often when models indicate strong top-down control, but earlier only when forecast heatwaves are likely to suppress natural enemies or accelerate pest reproduction beyond recoverable limits (Crossley et al., 2024). Because warming expands overwintering zones of several key pests and thereby intensifies selection for resistance, threshold policies that ignore residency status will tend to underpredict both damage risk and resistance evolution (Ma et al., 2021). In practice, next-generation thresholds should be stratified by overwintering probability, heat-risk category, and the contemporaneous strength of natural enemy assemblages, with uncertainty explicitly propagated into the “go/no-go” decision to avoid systematic bias toward treatment (</w:t>
      </w:r>
      <w:proofErr w:type="spellStart"/>
      <w:r>
        <w:t>Heeb</w:t>
      </w:r>
      <w:proofErr w:type="spellEnd"/>
      <w:r>
        <w:t xml:space="preserve"> et al., 2019; Ma et al., 2021). </w:t>
      </w:r>
    </w:p>
    <w:p w:rsidR="00974EAD" w:rsidRDefault="00974EAD" w:rsidP="000D6598">
      <w:pPr>
        <w:pStyle w:val="Heading2"/>
      </w:pPr>
      <w:bookmarkStart w:id="16" w:name="_Toc212393399"/>
      <w:r>
        <w:t>4.2. Diversified cropping and habitat as first-line climate buffers</w:t>
      </w:r>
      <w:bookmarkEnd w:id="16"/>
    </w:p>
    <w:p w:rsidR="00974EAD" w:rsidRDefault="00974EAD" w:rsidP="00974EAD">
      <w:pPr>
        <w:pStyle w:val="NormalWeb"/>
      </w:pPr>
      <w:r>
        <w:t>Diversification at field and landscape scales remains the most reliable hedge against climate-amplified pest pressure because it stabilizes resource flows to natural enemies, spreads risk across species and time, and dilutes host availability. Across crops and continents, more complex landscapes are consistently associated with stronger biological control and fewer outbreaks, though effect sizes vary with context, crop phenology, and pest identity (Karp et al., 2018). In perennial systems, landscape simplification can raise the odds of severe pest events even when within-field practices are conservative, implying that portfolio design must extend beyond the farm boundary (Paredes et al., 2021). Within fields, floral field margins and multi-species strips increase enemy abundance and damage suppression relative to grass margins, and thus are sensible defaults when designing climate-resilient IPM (Crowther et al., 2023). On smallholder farms in drought-prone regions, polyculture architectures such as climate-resilient push–pull can simultaneously depress pest pressure, bolster fodder supply, and sustain incomes under rainfall anomalies—attributes that make them well-suited as anchor tactics in heat- and drought-exposed geographies (</w:t>
      </w:r>
      <w:proofErr w:type="spellStart"/>
      <w:r>
        <w:t>Ouya</w:t>
      </w:r>
      <w:proofErr w:type="spellEnd"/>
      <w:r>
        <w:t xml:space="preserve"> et al., 2023). Intercropping and floral resource provisioning should therefore be budgeted as core, not auxiliary, line items in IPM portfolios for a warming world, with placement and composition tuned to local </w:t>
      </w:r>
      <w:r>
        <w:lastRenderedPageBreak/>
        <w:t xml:space="preserve">enemy guilds, crop calendars, and expected heat extremes (Karp et al., 2018; Paredes et al., 2021; Crowther et al., 2023; </w:t>
      </w:r>
      <w:proofErr w:type="spellStart"/>
      <w:r>
        <w:t>Ouya</w:t>
      </w:r>
      <w:proofErr w:type="spellEnd"/>
      <w:r>
        <w:t xml:space="preserve"> et al., 2023). </w:t>
      </w:r>
    </w:p>
    <w:p w:rsidR="00974EAD" w:rsidRDefault="00974EAD" w:rsidP="000D6598">
      <w:pPr>
        <w:pStyle w:val="Heading2"/>
      </w:pPr>
      <w:bookmarkStart w:id="17" w:name="_Toc212393400"/>
      <w:r>
        <w:t>4.3. Heat-aware chemical control and resistance stewardship</w:t>
      </w:r>
      <w:bookmarkEnd w:id="17"/>
    </w:p>
    <w:p w:rsidR="00974EAD" w:rsidRDefault="00974EAD" w:rsidP="00974EAD">
      <w:pPr>
        <w:pStyle w:val="NormalWeb"/>
      </w:pPr>
      <w:r>
        <w:t>Where chemicals remain necessary, their scheduling and selection must become explicitly “heat-aware.” Warming not only elevates the chance of insecticide-associated resurgence by disproportionately harming natural enemies during and after sprays; it also shortens generation times and can quicken resistance development, especially where climate enables year-round pest residency (Crossley et al., 2024; Ma et al., 2021). Two complementary adjustments are warranted. First, spray programs should prioritize selective active ingredients with demonstrated compatibility with dominant local enemies and, where possible, exploit cooler windows (night or morning) when direct and indirect non-target harms are minimized. Recent work shows that selective insecticides can be used in tandem with predators to preserve control if their direct and indirect effects are quantified and managed, including sublethal impacts on feeding and behavior (Schmidt-</w:t>
      </w:r>
      <w:proofErr w:type="spellStart"/>
      <w:r>
        <w:t>Jeffris</w:t>
      </w:r>
      <w:proofErr w:type="spellEnd"/>
      <w:r>
        <w:t xml:space="preserve">, 2023; </w:t>
      </w:r>
      <w:proofErr w:type="spellStart"/>
      <w:r>
        <w:t>Parkins</w:t>
      </w:r>
      <w:proofErr w:type="spellEnd"/>
      <w:r>
        <w:t xml:space="preserve"> et al., 2024). Second, resistance stewardship plans must be climate-sensitive: rotations should be tied to </w:t>
      </w:r>
      <w:proofErr w:type="spellStart"/>
      <w:r>
        <w:t>phenologically</w:t>
      </w:r>
      <w:proofErr w:type="spellEnd"/>
      <w:r>
        <w:t xml:space="preserve"> informed cohorts, not calendar dates; refugia and unsprayed reservoirs should be aligned with diversified habitat infrastructure; and local overwintering probabilities should trigger more conservative action sequences and tighter resistance-monitoring intervals (Ma et al., 2021; Zhou et al., 2024). These steps should be complemented by herbicide choice audits because meta-analytic evidence indicates that several commonly considered glyphosate replacements significantly damage predators and therefore can erode conservation biological control under heat stress—an often overlooked route to pest resurgence (</w:t>
      </w:r>
      <w:proofErr w:type="spellStart"/>
      <w:r>
        <w:t>Zilnik</w:t>
      </w:r>
      <w:proofErr w:type="spellEnd"/>
      <w:r>
        <w:t xml:space="preserve"> et al., 2023). </w:t>
      </w:r>
    </w:p>
    <w:p w:rsidR="00974EAD" w:rsidRDefault="00974EAD" w:rsidP="000D6598">
      <w:pPr>
        <w:pStyle w:val="Heading2"/>
      </w:pPr>
      <w:bookmarkStart w:id="18" w:name="_Toc212393401"/>
      <w:r>
        <w:t>4.4. Strategy setting: embedding RAD choices in IPM</w:t>
      </w:r>
      <w:bookmarkEnd w:id="18"/>
    </w:p>
    <w:p w:rsidR="00974EAD" w:rsidRDefault="00974EAD" w:rsidP="00974EAD">
      <w:pPr>
        <w:pStyle w:val="NormalWeb"/>
      </w:pPr>
      <w:r>
        <w:t xml:space="preserve">Because climate change makes some historical endpoints unattainable, portfolio design should begin with an explicit Resist–Accept–Direct (RAD) choice for each major pest–crop–landscape problem. Where resisting transformation is feasible, portfolios should emphasize prevention, surveillance, and conservation biological control to maintain historical equilibria; where acceptance is prudent, damage-tolerance and varietal shifts take precedence; where direction is necessary, managers may favor habitat redesign, crop relocation, or deliberate enemy augmentation to guide systems toward new, more controllable states (Siegel et al., 2024; Williams et al., 2024). In all cases, the RAD stance should be revisited annually as evidence accumulates from monitoring networks and from realized performance of diversified practices and selective chemistries under heat extremes. This governance layer—often absent from field-level IPM plans—helps ensure that tactical choices (thresholds, rotations, habitat investments) remain coherent with long-term feasibility under non-stationary climates. </w:t>
      </w:r>
    </w:p>
    <w:p w:rsidR="00974EAD" w:rsidRDefault="00974EAD" w:rsidP="00974EAD"/>
    <w:p w:rsidR="00500DF3" w:rsidRDefault="00500DF3" w:rsidP="00500DF3">
      <w:pPr>
        <w:pStyle w:val="NormalWeb"/>
      </w:pPr>
    </w:p>
    <w:p w:rsidR="00E64FC5" w:rsidRDefault="00E64FC5" w:rsidP="00E64FC5">
      <w:pPr>
        <w:pStyle w:val="Heading1"/>
      </w:pPr>
      <w:bookmarkStart w:id="19" w:name="_Toc212393402"/>
      <w:r>
        <w:lastRenderedPageBreak/>
        <w:t>5. Decision support: forecasting, models, and climate-savvy planning</w:t>
      </w:r>
      <w:bookmarkEnd w:id="19"/>
    </w:p>
    <w:p w:rsidR="00E64FC5" w:rsidRDefault="00E64FC5" w:rsidP="00E64FC5">
      <w:pPr>
        <w:pStyle w:val="Heading2"/>
      </w:pPr>
      <w:bookmarkStart w:id="20" w:name="_Toc212393403"/>
      <w:r>
        <w:t>5.1 A forecasting architecture for climate-ready IPM</w:t>
      </w:r>
      <w:bookmarkEnd w:id="20"/>
    </w:p>
    <w:p w:rsidR="00E64FC5" w:rsidRDefault="00E64FC5" w:rsidP="00E64FC5">
      <w:pPr>
        <w:pStyle w:val="NormalWeb"/>
      </w:pPr>
      <w:r>
        <w:t>Climate change shifts when and where pests threaten crops, so decision support must move beyond static risk maps to living systems that fuse short-term weather, seasonal climate outlooks, surveillance, and mechanistic knowledge of pest biology. Iterative near-term ecological forecasting provides that scaffold: models are run frequently at management time scales, evaluated against fresh observations, and updated to reduce bias—turning forecasting into a continuous learning loop aligned with adaptive management (</w:t>
      </w:r>
      <w:proofErr w:type="spellStart"/>
      <w:r>
        <w:t>Dietze</w:t>
      </w:r>
      <w:proofErr w:type="spellEnd"/>
      <w:r>
        <w:t xml:space="preserve"> et al., 2018). In plant protection, this architecture links three layers: (</w:t>
      </w:r>
      <w:proofErr w:type="spellStart"/>
      <w:r>
        <w:t>i</w:t>
      </w:r>
      <w:proofErr w:type="spellEnd"/>
      <w:r>
        <w:t xml:space="preserve">) </w:t>
      </w:r>
      <w:r>
        <w:rPr>
          <w:rStyle w:val="Strong"/>
        </w:rPr>
        <w:t>phenology and population models</w:t>
      </w:r>
      <w:r>
        <w:t xml:space="preserve"> that translate weather into degree-day accumulation, development, and reproduction; (ii) </w:t>
      </w:r>
      <w:r>
        <w:rPr>
          <w:rStyle w:val="Strong"/>
        </w:rPr>
        <w:t>establishment and spread models</w:t>
      </w:r>
      <w:r>
        <w:t xml:space="preserve"> that estimate climatic suitability and invasion corridors; and (iii) </w:t>
      </w:r>
      <w:r>
        <w:rPr>
          <w:rStyle w:val="Strong"/>
        </w:rPr>
        <w:t>detectability forecasts</w:t>
      </w:r>
      <w:r>
        <w:t xml:space="preserve"> that show where monitoring will most likely succeed in the coming weeks. When implemented together, these layers support “when-to-act” guidance at field scale and “where-to-watch” priorities at regional scale while exposing uncertainty for transparent choices about action thresholds and surveillance effort. </w:t>
      </w:r>
    </w:p>
    <w:p w:rsidR="00E64FC5" w:rsidRDefault="00E64FC5" w:rsidP="00E64FC5">
      <w:pPr>
        <w:pStyle w:val="Heading2"/>
      </w:pPr>
      <w:bookmarkStart w:id="21" w:name="_Toc212393404"/>
      <w:r>
        <w:t>5.2 Phenology and population models: from weather to windows of action</w:t>
      </w:r>
      <w:bookmarkEnd w:id="21"/>
    </w:p>
    <w:p w:rsidR="00E64FC5" w:rsidRDefault="00E64FC5" w:rsidP="00E64FC5">
      <w:pPr>
        <w:pStyle w:val="NormalWeb"/>
      </w:pPr>
      <w:r>
        <w:t>Temperature-driven phenology models remain the workhorses of IPM forecasting because temperature strongly governs insect rates of development, survival, and fecundity. Reviews synthesize how linear and nonlinear thermal response models and physiological time concepts underpin robust prediction, provided calibration data span relevant thermal ranges (</w:t>
      </w:r>
      <w:proofErr w:type="spellStart"/>
      <w:r>
        <w:t>Damos</w:t>
      </w:r>
      <w:proofErr w:type="spellEnd"/>
      <w:r>
        <w:t xml:space="preserve"> &amp; </w:t>
      </w:r>
      <w:proofErr w:type="spellStart"/>
      <w:r>
        <w:t>Savopoulou-Soultani</w:t>
      </w:r>
      <w:proofErr w:type="spellEnd"/>
      <w:r>
        <w:t xml:space="preserve">, 2012; </w:t>
      </w:r>
      <w:proofErr w:type="spellStart"/>
      <w:r>
        <w:t>Rebaudo</w:t>
      </w:r>
      <w:proofErr w:type="spellEnd"/>
      <w:r>
        <w:t xml:space="preserve"> &amp; </w:t>
      </w:r>
      <w:proofErr w:type="spellStart"/>
      <w:r>
        <w:t>Rabhi</w:t>
      </w:r>
      <w:proofErr w:type="spellEnd"/>
      <w:r>
        <w:t>, 2018). Operationally, short-term “</w:t>
      </w:r>
      <w:proofErr w:type="spellStart"/>
      <w:r>
        <w:t>pheno</w:t>
      </w:r>
      <w:proofErr w:type="spellEnd"/>
      <w:r>
        <w:t xml:space="preserve">-forecasts” now produce week-ahead maps of management stages for multiple pests across large regions, demonstrating how near-real-time weather and validated thresholds can translate into actionable calendars for scouting and treatment (Crimmins et al., 2020). Seasonal climate information can also be harnessed: temperature-dependent life-cycle models driven by downscaled seasonal forecasts have accurately anticipated generation timing and population build-up of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enabling pre-positioned interventions before peak pressure (Neta et al., 2023). These examples illustrate a general rule for climate-savvy planning: phenology models should be coupled to both daily weather forecasts (to time within-season actions) and seasonal outlooks (to anticipate extraordinary years), with explicit recalibration after heatwaves or anomalous seasons that violate historical stationarity. </w:t>
      </w:r>
    </w:p>
    <w:p w:rsidR="00E64FC5" w:rsidRDefault="00E64FC5" w:rsidP="00E64FC5">
      <w:pPr>
        <w:pStyle w:val="Heading2"/>
      </w:pPr>
      <w:bookmarkStart w:id="22" w:name="_Toc212393405"/>
      <w:r>
        <w:t>5.3 Suitability and spread: choosing and testing the right models</w:t>
      </w:r>
      <w:bookmarkEnd w:id="22"/>
    </w:p>
    <w:p w:rsidR="00E64FC5" w:rsidRDefault="00E64FC5" w:rsidP="00E64FC5">
      <w:pPr>
        <w:pStyle w:val="NormalWeb"/>
      </w:pPr>
      <w:r>
        <w:t xml:space="preserve">For anticipating range expansions and prioritizing surveillance, species distribution models (SDMs) and mechanistic frameworks such as CLIMEX are widely used. Comparative work in agricultural pests shows that correlative SDMs and CLIMEX can offer complementary strengths, and that combining them—rather than relying on a single method—can improve </w:t>
      </w:r>
      <w:r>
        <w:lastRenderedPageBreak/>
        <w:t>forecasts for emerging pests (Early et al., 2022). However, misuse is common: sensitivity analyses reveal that predictions can shift markedly with choices of environmental predictors, background data, and evaluation metrics, underscoring the need for independent validation and scenario testing before deploying outputs in high-stakes decisions (Finn et al., 2024). Community standards now exist to raise quality and reproducibility—ODMAP guides transparent SDM reporting, while best-practice checklists for biodiversity assessments codify model adequacy for decision support (</w:t>
      </w:r>
      <w:proofErr w:type="spellStart"/>
      <w:r>
        <w:t>Zurell</w:t>
      </w:r>
      <w:proofErr w:type="spellEnd"/>
      <w:r>
        <w:t xml:space="preserve"> et al., 2020; Araújo et al., 2019). In practice, climate-savvy IPM should treat suitability maps as hypotheses to be stress-tested against fresh records, and incorporate spatial effects or occupancy-detection frameworks to temper overconfidence where sampling is biased or pests are rare (</w:t>
      </w:r>
      <w:proofErr w:type="spellStart"/>
      <w:r>
        <w:t>Paradinas</w:t>
      </w:r>
      <w:proofErr w:type="spellEnd"/>
      <w:r>
        <w:t xml:space="preserve"> et al., 2023). </w:t>
      </w:r>
    </w:p>
    <w:p w:rsidR="00E64FC5" w:rsidRDefault="00E64FC5" w:rsidP="00E64FC5">
      <w:pPr>
        <w:pStyle w:val="Heading2"/>
      </w:pPr>
      <w:bookmarkStart w:id="23" w:name="_Toc212393406"/>
      <w:r>
        <w:t>5.4 Detectability and early warning: targeting surveillance where it counts</w:t>
      </w:r>
      <w:bookmarkEnd w:id="23"/>
    </w:p>
    <w:p w:rsidR="00E64FC5" w:rsidRDefault="00E64FC5" w:rsidP="00E64FC5">
      <w:pPr>
        <w:pStyle w:val="NormalWeb"/>
      </w:pPr>
      <w:r>
        <w:t xml:space="preserve">Even accurate suitability maps cannot substitute for eyes in the field. Newly developed detectability forecasts explicitly predict </w:t>
      </w:r>
      <w:r>
        <w:rPr>
          <w:rStyle w:val="Emphasis"/>
        </w:rPr>
        <w:t>where and when</w:t>
      </w:r>
      <w:r>
        <w:t xml:space="preserve"> surveillance will most likely confirm presence, integrating recent occurrences, near-term weather, and observer effort. As a complement to suitability mapping, this approach improved targeting for early detection in invasion contexts and is directly transferable to agricultural pests tracking shifting climate envelopes (</w:t>
      </w:r>
      <w:proofErr w:type="spellStart"/>
      <w:r>
        <w:t>Capinha</w:t>
      </w:r>
      <w:proofErr w:type="spellEnd"/>
      <w:r>
        <w:t xml:space="preserve"> et al., 2024). The same logic underpins near-term “</w:t>
      </w:r>
      <w:proofErr w:type="spellStart"/>
      <w:r>
        <w:t>pheno</w:t>
      </w:r>
      <w:proofErr w:type="spellEnd"/>
      <w:r>
        <w:t xml:space="preserve">-forecasts” for management stages: by signaling local windows when traps or visual scouting are most informative, decision support systems can allocate scarce staff time to the right places and days (Crimmins et al., 2020). Seasonal-to-intra-seasonal pest advisory services in smallholder systems, such as the Pest Risk Information </w:t>
      </w:r>
      <w:proofErr w:type="spellStart"/>
      <w:r>
        <w:t>SErvice</w:t>
      </w:r>
      <w:proofErr w:type="spellEnd"/>
      <w:r>
        <w:t xml:space="preserve"> (PRISE), demonstrate that coupling forecasts to trusted dissemination channels yields tangible benefits—timelier actions and, in some contexts, higher yields and incomes—when advice is localized and refreshed through the season (Day et al., 2024; </w:t>
      </w:r>
      <w:proofErr w:type="spellStart"/>
      <w:r>
        <w:t>Khonje</w:t>
      </w:r>
      <w:proofErr w:type="spellEnd"/>
      <w:r>
        <w:t xml:space="preserve"> et al., 2025). </w:t>
      </w:r>
    </w:p>
    <w:p w:rsidR="00E64FC5" w:rsidRDefault="00E64FC5" w:rsidP="00E64FC5">
      <w:pPr>
        <w:pStyle w:val="Heading2"/>
      </w:pPr>
      <w:bookmarkStart w:id="24" w:name="_Toc212393407"/>
      <w:r>
        <w:t>5.5 From models to plans: optimization, evaluation, and learning</w:t>
      </w:r>
      <w:bookmarkEnd w:id="24"/>
    </w:p>
    <w:p w:rsidR="00E64FC5" w:rsidRDefault="00E64FC5" w:rsidP="00E64FC5">
      <w:pPr>
        <w:pStyle w:val="NormalWeb"/>
      </w:pPr>
      <w:r>
        <w:t>Forecasts are only useful if they change decisions. Optimization studies in plant disease and forest epidemics show how control portfolios can be tailored to epidemiological parameters and budget constraints to minimize total impact, including collateral losses from control actions themselves (</w:t>
      </w:r>
      <w:proofErr w:type="spellStart"/>
      <w:r>
        <w:t>Cunniffe</w:t>
      </w:r>
      <w:proofErr w:type="spellEnd"/>
      <w:r>
        <w:t xml:space="preserve"> et al., 2015; </w:t>
      </w:r>
      <w:proofErr w:type="spellStart"/>
      <w:r>
        <w:t>Cunniffe</w:t>
      </w:r>
      <w:proofErr w:type="spellEnd"/>
      <w:r>
        <w:t xml:space="preserve"> et al., 2016). Translated to insect IPM, the same principles endorse “pre-commitment” plans that specify triggers, tactics, and stopping rules before the season—then adapt based on realized weather and monitoring—so that emergency responses are disciplined by prior analysis rather than ad hoc reactions. Because climate change increases the pace of novelty, plans should explicitly incorporate multiple futures and include </w:t>
      </w:r>
      <w:r>
        <w:rPr>
          <w:rStyle w:val="Strong"/>
        </w:rPr>
        <w:t xml:space="preserve">model </w:t>
      </w:r>
      <w:proofErr w:type="spellStart"/>
      <w:r>
        <w:rPr>
          <w:rStyle w:val="Strong"/>
        </w:rPr>
        <w:t>intercomparison</w:t>
      </w:r>
      <w:proofErr w:type="spellEnd"/>
      <w:r>
        <w:t xml:space="preserve">, </w:t>
      </w:r>
      <w:r>
        <w:rPr>
          <w:rStyle w:val="Strong"/>
        </w:rPr>
        <w:t>hindcasting</w:t>
      </w:r>
      <w:r>
        <w:t xml:space="preserve">, and </w:t>
      </w:r>
      <w:r>
        <w:rPr>
          <w:rStyle w:val="Strong"/>
        </w:rPr>
        <w:t>prospective scoring</w:t>
      </w:r>
      <w:r>
        <w:t xml:space="preserve"> (e.g., Brier or CRPS) to monitor whether forecasts are improving. Importantly, invasion biology reminds us that surveillance and rapid response are public goods; for pathogens and pests with high spread potential, regional coordination of detection thresholds and action protocols is as vital as on-farm modeling (</w:t>
      </w:r>
      <w:proofErr w:type="spellStart"/>
      <w:r>
        <w:t>Ristaino</w:t>
      </w:r>
      <w:proofErr w:type="spellEnd"/>
      <w:r>
        <w:t xml:space="preserve"> et al., 2021). Finally, participatory design matters: the best-performing systems pair rigorous models with co-produced interfaces, uncertainty communication, and extension pipelines that match local decision rhythms (Crimmins et al., 2020; Day et al., 2024).</w:t>
      </w:r>
      <w:r w:rsidR="0056208F">
        <w:t xml:space="preserve"> </w:t>
      </w:r>
    </w:p>
    <w:p w:rsidR="00E64FC5" w:rsidRDefault="00E64FC5" w:rsidP="00E64FC5"/>
    <w:p w:rsidR="00E64FC5" w:rsidRDefault="00E64FC5" w:rsidP="00E64FC5">
      <w:pPr>
        <w:pStyle w:val="Heading1"/>
      </w:pPr>
      <w:bookmarkStart w:id="25" w:name="_Toc212393408"/>
      <w:r>
        <w:t>6. Case synthesis: when heat waves meet pesticides</w:t>
      </w:r>
      <w:bookmarkEnd w:id="25"/>
    </w:p>
    <w:p w:rsidR="00E64FC5" w:rsidRDefault="00E64FC5" w:rsidP="00E64FC5">
      <w:pPr>
        <w:pStyle w:val="Heading2"/>
      </w:pPr>
      <w:bookmarkStart w:id="26" w:name="_Toc212393409"/>
      <w:r>
        <w:t>6.1. Physiological and ecological pathways of interaction</w:t>
      </w:r>
      <w:bookmarkEnd w:id="26"/>
    </w:p>
    <w:p w:rsidR="00E64FC5" w:rsidRDefault="00E64FC5" w:rsidP="00E64FC5">
      <w:pPr>
        <w:pStyle w:val="NormalWeb"/>
      </w:pPr>
      <w:r>
        <w:t xml:space="preserve">Heat waves act as physiological multipliers on pesticide responses, but the direction and magnitude of interaction vary with compound class, pest genotype, and the timing of exposure. For several key insect pests, higher temperatures accelerate development and feeding rates, compressing generation time and amplifying damage potential during hot spells; when pesticides are applied into these conditions, the resulting demographic rebound can be stronger than expected because natural enemies often suffer greater thermal stress and post-spray mortality than their hosts (Crossley et al., 2024; Le </w:t>
      </w:r>
      <w:proofErr w:type="spellStart"/>
      <w:r>
        <w:t>Lann</w:t>
      </w:r>
      <w:proofErr w:type="spellEnd"/>
      <w:r>
        <w:t xml:space="preserve">, van </w:t>
      </w:r>
      <w:proofErr w:type="spellStart"/>
      <w:r>
        <w:t>Baaren</w:t>
      </w:r>
      <w:proofErr w:type="spellEnd"/>
      <w:r>
        <w:t xml:space="preserve">, &amp; Visser, 2021). At the cellular level, heat can alter detoxification enzyme activity and cuticular permeability, changing dose–response curves and sometimes flipping the temperature–toxicity relationship across compounds or life stages (Perrin et al., 2022). Equally important is exposure timing: short, intense heat events at parasitoid-sensitive stages can cause control failures even when mean temperatures remain within historical norms, with knock-on effects on herbivore body size and longevity that raise damage potential weeks later (Moore, Hill, &amp; Kingsolver, 2022; Parker, Han, &amp; </w:t>
      </w:r>
      <w:proofErr w:type="spellStart"/>
      <w:r>
        <w:t>Hance</w:t>
      </w:r>
      <w:proofErr w:type="spellEnd"/>
      <w:r>
        <w:t xml:space="preserve">, 2024). Together, these mechanisms explain why pesticide performance during heat waves is not a simple linear extrapolation from average warm conditions and why climate-aware IPM must explicitly couple spray decisions to both diel temperatures and stage structure in pests and their natural enemies (Le </w:t>
      </w:r>
      <w:proofErr w:type="spellStart"/>
      <w:r>
        <w:t>Lann</w:t>
      </w:r>
      <w:proofErr w:type="spellEnd"/>
      <w:r>
        <w:t xml:space="preserve"> et al., 2021; Perrin et al., 2022; Moore et al., 2022; Parker et al., 2024). </w:t>
      </w:r>
    </w:p>
    <w:p w:rsidR="00E64FC5" w:rsidRDefault="00E64FC5" w:rsidP="00E64FC5">
      <w:pPr>
        <w:pStyle w:val="Heading2"/>
      </w:pPr>
      <w:bookmarkStart w:id="27" w:name="_Toc212393410"/>
      <w:r>
        <w:t>6.2. Field case: resurgence under heat—whiteflies in warm seasons</w:t>
      </w:r>
      <w:bookmarkEnd w:id="27"/>
    </w:p>
    <w:p w:rsidR="00E64FC5" w:rsidRDefault="00E64FC5" w:rsidP="00E64FC5">
      <w:pPr>
        <w:pStyle w:val="NormalWeb"/>
      </w:pPr>
      <w:r>
        <w:t>A recent multisite analysis of whitefly dynamics showed that warmer conditions, especially when coupled with insecticide use, predispose systems to outbreak–resurgence cycles: sprays reduce already heat-stressed natural enemies, while rapid whitefly reproduction during hot periods allows populations to overshoot control thresholds soon after treatment (Crossley et al., 2024). In practical terms, this means the very weather that encourages “insurance” spraying—early-season heat waves or anomalously warm midsummer weeks—also increases the likelihood that spraying will backfire by weakening top-down control. The same climate that elevates pest pressure also expands overwintering zones and extends exposure seasons, accelerating resistance evolution and geographic spread in canonical pests such as the diamondback moth; populations resident year-round carry markedly higher resistance than those that recolonize seasonally (Ma et al., 2021). These patterns imply that during hot spells managers should (</w:t>
      </w:r>
      <w:proofErr w:type="spellStart"/>
      <w:r>
        <w:t>i</w:t>
      </w:r>
      <w:proofErr w:type="spellEnd"/>
      <w:r>
        <w:t xml:space="preserve">) raise the ecological bar for chemical interventions by verifying that natural enemies remain functionally present, and (ii) embed resistance stewardship into seasonal plans, recognizing that heat-enabled residency increases the benefit of conservative, selective chemistries and refugia (Crossley et al., 2024; Ma et al., 2021). </w:t>
      </w:r>
    </w:p>
    <w:p w:rsidR="00E64FC5" w:rsidRDefault="00E64FC5" w:rsidP="00E64FC5">
      <w:pPr>
        <w:pStyle w:val="Heading2"/>
      </w:pPr>
      <w:bookmarkStart w:id="28" w:name="_Toc212393411"/>
      <w:r>
        <w:lastRenderedPageBreak/>
        <w:t>6.3. Orchard case: compound-specific thermal performance—codling moth</w:t>
      </w:r>
      <w:bookmarkEnd w:id="28"/>
    </w:p>
    <w:p w:rsidR="00E64FC5" w:rsidRDefault="00E64FC5" w:rsidP="00E64FC5">
      <w:pPr>
        <w:pStyle w:val="NormalWeb"/>
      </w:pPr>
      <w:r>
        <w:t xml:space="preserve">Tree-fruit systems provide a second, compound-specific lens on heat–pesticide interactions. Experiments with </w:t>
      </w:r>
      <w:proofErr w:type="spellStart"/>
      <w:r>
        <w:rPr>
          <w:rStyle w:val="Emphasis"/>
        </w:rPr>
        <w:t>Cydia</w:t>
      </w:r>
      <w:proofErr w:type="spellEnd"/>
      <w:r>
        <w:rPr>
          <w:rStyle w:val="Emphasis"/>
        </w:rPr>
        <w:t xml:space="preserve"> </w:t>
      </w:r>
      <w:proofErr w:type="spellStart"/>
      <w:r>
        <w:rPr>
          <w:rStyle w:val="Emphasis"/>
        </w:rPr>
        <w:t>pomonella</w:t>
      </w:r>
      <w:proofErr w:type="spellEnd"/>
      <w:r>
        <w:t xml:space="preserve"> show that high temperatures can reduce the efficacy of some widely used insecticides (e.g., </w:t>
      </w:r>
      <w:proofErr w:type="spellStart"/>
      <w:r>
        <w:t>emamectin</w:t>
      </w:r>
      <w:proofErr w:type="spellEnd"/>
      <w:r>
        <w:t xml:space="preserve"> and </w:t>
      </w:r>
      <w:proofErr w:type="spellStart"/>
      <w:r>
        <w:t>spinosad</w:t>
      </w:r>
      <w:proofErr w:type="spellEnd"/>
      <w:r>
        <w:t xml:space="preserve">) while leaving others (e.g., </w:t>
      </w:r>
      <w:proofErr w:type="spellStart"/>
      <w:r>
        <w:t>chlorantraniliprole</w:t>
      </w:r>
      <w:proofErr w:type="spellEnd"/>
      <w:r>
        <w:t xml:space="preserve">) largely unaffected—a pattern linked to shifts in detoxification enzyme activity and stress-response gene expression (Perrin et al., 2022). Such results caution against “one-number” action thresholds that ignore contemporaneous heat risk and active-ingredient temperature sensitivity. Heat also perturbs tri-trophic control: in factorial assays, a brief heat shock reduced parasitoid survival and altered host growth in ways that increased herbivory potential; host-plant identity moderated these outcomes, underscoring that plant quality can either buffer or magnify heat–pesticide contingencies (Parker et al., 2024). Operationally, orchardists facing forecast heat waves should: time applications to cooler windows; prefer compounds whose toxicity is stable across the expected temperature range; and bolster habitat resources that maintain parasitoid and predator function through hot periods. Doing so addresses both immediate efficacy and the longer-run risk that repeated, poorly timed interventions will select for resistance in populations whose </w:t>
      </w:r>
      <w:proofErr w:type="spellStart"/>
      <w:r>
        <w:t>voltinism</w:t>
      </w:r>
      <w:proofErr w:type="spellEnd"/>
      <w:r>
        <w:t xml:space="preserve"> and residency expand with warming (Perrin et al., 2022; Parker et al., 2024; Ma et al., 2021). </w:t>
      </w:r>
    </w:p>
    <w:p w:rsidR="00E64FC5" w:rsidRDefault="00E64FC5" w:rsidP="00E64FC5">
      <w:pPr>
        <w:pStyle w:val="Heading2"/>
      </w:pPr>
      <w:bookmarkStart w:id="29" w:name="_Toc212393412"/>
      <w:r>
        <w:t>6.4. Off-farm consequences: drift, volatilization, and aquatic knock-ons</w:t>
      </w:r>
      <w:bookmarkEnd w:id="29"/>
    </w:p>
    <w:p w:rsidR="00E64FC5" w:rsidRDefault="00E64FC5" w:rsidP="00E64FC5">
      <w:pPr>
        <w:pStyle w:val="NormalWeb"/>
      </w:pPr>
      <w:r>
        <w:t>Heat waves change not only target-organism biology but also off-target exposure pathways. Summer weather that favors inversions, low turbulence, and high temperatures increases the risk of both primary spray drift and secondary movement, sometimes transporting a substantial fraction of applied product well beyond field margins (</w:t>
      </w:r>
      <w:proofErr w:type="spellStart"/>
      <w:r>
        <w:t>Bish</w:t>
      </w:r>
      <w:proofErr w:type="spellEnd"/>
      <w:r>
        <w:t xml:space="preserve">, </w:t>
      </w:r>
      <w:proofErr w:type="spellStart"/>
      <w:r>
        <w:t>Oseland</w:t>
      </w:r>
      <w:proofErr w:type="spellEnd"/>
      <w:r>
        <w:t xml:space="preserve">, &amp; Bradley, 2020; </w:t>
      </w:r>
      <w:proofErr w:type="spellStart"/>
      <w:r>
        <w:t>Albaseer</w:t>
      </w:r>
      <w:proofErr w:type="spellEnd"/>
      <w:r>
        <w:t xml:space="preserve"> et al., 2024). Mechanistic models that couple soil heat and moisture fluxes with pesticide properties predict that emissions from soil-applied products can spike with diurnal heating, creating short windows of elevated volatilization and atmospheric loading (Ghosh &amp; Crist, 2022). These pathways matter because aquatic systems under concurrent heat stress show interactive, community-level responses to neonicotinoids: mesocosm experiments reveal stronger negative effects at higher thermal loads and altered food-web structure compared with ambient conditions, with faster dissipation not necessarily translating into lower ecological risk (Hermann et al., 2024). Temperature-dependent toxicity has also been documented for aquatic insects, where warmer water increased imidacloprid lethality to mayfly larvae—an emblematic case of heat amplifying the non-target footprint of a widely used insecticide (Macaulay, Lytle, Hageman, &amp; Matthaei, 2020). These off-farm interactions sharpen the case for integrating drift mitigation, buffer design, and heat-aware spray timing into IPM plans, particularly during forecast hot spells when atmospheric stability and volatilization are likely to boost non-target exposure (</w:t>
      </w:r>
      <w:proofErr w:type="spellStart"/>
      <w:r>
        <w:t>Bish</w:t>
      </w:r>
      <w:proofErr w:type="spellEnd"/>
      <w:r>
        <w:t xml:space="preserve"> et al., 2020; Ghosh &amp; Crist, 2022; </w:t>
      </w:r>
      <w:proofErr w:type="spellStart"/>
      <w:r>
        <w:t>Albaseer</w:t>
      </w:r>
      <w:proofErr w:type="spellEnd"/>
      <w:r>
        <w:t xml:space="preserve"> et al., 2024; Hermann et al., 2024; Macaulay et al., 2020). </w:t>
      </w:r>
    </w:p>
    <w:p w:rsidR="00E64FC5" w:rsidRDefault="00E64FC5" w:rsidP="00E64FC5">
      <w:pPr>
        <w:pStyle w:val="Heading2"/>
      </w:pPr>
      <w:bookmarkStart w:id="30" w:name="_Toc212393413"/>
      <w:r>
        <w:t>6.5. Synthesis to practice: climate-savvy spray rules within resilient portfolios</w:t>
      </w:r>
      <w:bookmarkEnd w:id="30"/>
    </w:p>
    <w:p w:rsidR="00E64FC5" w:rsidRDefault="00E64FC5" w:rsidP="00E64FC5">
      <w:pPr>
        <w:pStyle w:val="NormalWeb"/>
      </w:pPr>
      <w:r>
        <w:lastRenderedPageBreak/>
        <w:t>The case evidence points to three principles for climate-savvy decision support when heat waves meet pesticides. First, redefine “go/no-go” logic to include the thermal safety margins of dominant natural enemies and the compound-specific temperature sensitivity of candidate products; where heat waves are forecast, default to selective chemistries applied in cooler diel windows and postpone or cancel sprays when monitoring indicates robust enemy activity (Crossley et al., 2024; Schmidt-</w:t>
      </w:r>
      <w:proofErr w:type="spellStart"/>
      <w:r>
        <w:t>Jeffris</w:t>
      </w:r>
      <w:proofErr w:type="spellEnd"/>
      <w:r>
        <w:t>, 2023). Second, couple field-level rules with landscape stewardship that reduces the need for intervention: diversify habitats to stabilize top-down control through hot spells, and manage refugia and unsprayed reservoirs to slow resistance in warming-enabled resident populations (Ma et al., 2021; Schmidt-</w:t>
      </w:r>
      <w:proofErr w:type="spellStart"/>
      <w:r>
        <w:t>Jeffris</w:t>
      </w:r>
      <w:proofErr w:type="spellEnd"/>
      <w:r>
        <w:t>, 2023). Third, treat atmospheric transport and water-body exposure as core constraints during heat events: avoid applications during inversion-prone evenings and stifling mornings, lengthen no-spray buffers near vulnerable waters, and use nozzle/pressure/adjuvant combinations validated to reduce drift under hot, dry conditions (</w:t>
      </w:r>
      <w:proofErr w:type="spellStart"/>
      <w:r>
        <w:t>Bish</w:t>
      </w:r>
      <w:proofErr w:type="spellEnd"/>
      <w:r>
        <w:t xml:space="preserve"> et al., 2020; </w:t>
      </w:r>
      <w:proofErr w:type="spellStart"/>
      <w:r>
        <w:t>Albaseer</w:t>
      </w:r>
      <w:proofErr w:type="spellEnd"/>
      <w:r>
        <w:t xml:space="preserve"> et al., 2024). At regional scale, these steps align with evidence that climate change is multiplying agriculture’s environmental externalities—partly via increased pesticide use and reduced efficacy—so that “resilience dividends” accrue to portfolios that minimize chemical reliance while raising the bar for any remaining sprays (Yang et al., 2024). </w:t>
      </w:r>
    </w:p>
    <w:p w:rsidR="00E64FC5" w:rsidRDefault="00E64FC5" w:rsidP="00E64FC5">
      <w:pPr>
        <w:pStyle w:val="Heading1"/>
      </w:pPr>
      <w:bookmarkStart w:id="31" w:name="_Toc212393414"/>
      <w:r>
        <w:t>7. Research priorities</w:t>
      </w:r>
      <w:bookmarkEnd w:id="31"/>
    </w:p>
    <w:p w:rsidR="00E64FC5" w:rsidRDefault="00E64FC5" w:rsidP="00E64FC5">
      <w:pPr>
        <w:pStyle w:val="Heading2"/>
      </w:pPr>
      <w:bookmarkStart w:id="32" w:name="_Toc212393415"/>
      <w:r>
        <w:t>7.1 Building a heat-aware, multitrophic evidence base</w:t>
      </w:r>
      <w:bookmarkEnd w:id="32"/>
    </w:p>
    <w:p w:rsidR="00E64FC5" w:rsidRDefault="00E64FC5" w:rsidP="00E64FC5">
      <w:pPr>
        <w:pStyle w:val="NormalWeb"/>
      </w:pPr>
      <w:r>
        <w:t xml:space="preserve">The first priority is to resolve how acute and chronic heat interact with biology across life stages and trophic levels, because these contingencies often determine whether otherwise sound tactics fail under climate anomalies. Experiments that stage heat waves relative to parasitoid ontogeny and host nutrition already show dramatic, stage-specific collapses of biological control and subsequent overshoot in herbivore performance (Moore et al., 2022; Parker et al., 2024). Parasitoids and predators typically possess narrower thermal safety margins than their herbivore hosts, suggesting that diel timing of stress and enemy reassembly after heat are as important as mean temperature (Le </w:t>
      </w:r>
      <w:proofErr w:type="spellStart"/>
      <w:r>
        <w:t>Lann</w:t>
      </w:r>
      <w:proofErr w:type="spellEnd"/>
      <w:r>
        <w:t xml:space="preserve"> et al., 2021). This evidence must be broadened beyond a handful of model systems and coupled to crop traits and stress physiology to understand when plant quality buffers or amplifies failure modes. Priority studies should therefore use replicated, field-realistic heat regimes (including fluctuating humidity) and follow-through measurements of crop damage to translate mechanistic effects into management significance (Parker et al., 2024; Le </w:t>
      </w:r>
      <w:proofErr w:type="spellStart"/>
      <w:r>
        <w:t>Lann</w:t>
      </w:r>
      <w:proofErr w:type="spellEnd"/>
      <w:r>
        <w:t xml:space="preserve"> et al., 2021).</w:t>
      </w:r>
    </w:p>
    <w:p w:rsidR="00E64FC5" w:rsidRDefault="00E64FC5" w:rsidP="00E64FC5">
      <w:pPr>
        <w:pStyle w:val="Heading2"/>
      </w:pPr>
      <w:bookmarkStart w:id="33" w:name="_Toc212393416"/>
      <w:r>
        <w:t>7.2 From models to living services: forecasting standards, detectability, and evaluation</w:t>
      </w:r>
      <w:bookmarkEnd w:id="33"/>
    </w:p>
    <w:p w:rsidR="00E64FC5" w:rsidRDefault="00E64FC5" w:rsidP="00E64FC5">
      <w:pPr>
        <w:pStyle w:val="NormalWeb"/>
      </w:pPr>
      <w:r>
        <w:t>A second priority is to turn pest forecasting from static mapping into an iterative service that learns every season. Near-term ecological forecasting provides an operational template—models are run at management timescales, scored against new observations, and updated to reduce bias (</w:t>
      </w:r>
      <w:proofErr w:type="spellStart"/>
      <w:r>
        <w:t>Dietze</w:t>
      </w:r>
      <w:proofErr w:type="spellEnd"/>
      <w:r>
        <w:t xml:space="preserve"> et al., 2018). For spatial risk, species distribution models (SDMs) and mechanistic frameworks such as CLIMEX should be combined and audited with transparent reporting (ODMAP) and decision-grade standards to avoid brittle outputs (</w:t>
      </w:r>
      <w:proofErr w:type="spellStart"/>
      <w:r>
        <w:t>Zurell</w:t>
      </w:r>
      <w:proofErr w:type="spellEnd"/>
      <w:r>
        <w:t xml:space="preserve"> et al., 2020; Araújo et al., 2019; Early et al., 2022). Sensitivity analyses and independent validation are essential because choices of predictors and background data can markedly sway predicted suitability (Finn et al., 2024; </w:t>
      </w:r>
      <w:proofErr w:type="spellStart"/>
      <w:r>
        <w:t>Paradinas</w:t>
      </w:r>
      <w:proofErr w:type="spellEnd"/>
      <w:r>
        <w:t xml:space="preserve"> et al., 2023). Early-warning systems should </w:t>
      </w:r>
      <w:r>
        <w:lastRenderedPageBreak/>
        <w:t xml:space="preserve">complement suitability with short-term detectability forecasts that prioritize </w:t>
      </w:r>
      <w:r>
        <w:rPr>
          <w:rStyle w:val="Emphasis"/>
        </w:rPr>
        <w:t>where and when</w:t>
      </w:r>
      <w:r>
        <w:t xml:space="preserve"> monitoring is most likely to succeed, while phenology “</w:t>
      </w:r>
      <w:proofErr w:type="spellStart"/>
      <w:r>
        <w:t>pheno</w:t>
      </w:r>
      <w:proofErr w:type="spellEnd"/>
      <w:r>
        <w:t>-forecasts” translate weather into local peaks of management stages (</w:t>
      </w:r>
      <w:proofErr w:type="spellStart"/>
      <w:r>
        <w:t>Capinha</w:t>
      </w:r>
      <w:proofErr w:type="spellEnd"/>
      <w:r>
        <w:t xml:space="preserve"> et al., 2024; Crimmins et al., 2020). Research should co-produce these services with users, report skill scores that matter for decisions, and test whether advice actually shifts actions and outcomes in the field (Crimmins et al., 2020; </w:t>
      </w:r>
      <w:proofErr w:type="spellStart"/>
      <w:r>
        <w:t>Dietze</w:t>
      </w:r>
      <w:proofErr w:type="spellEnd"/>
      <w:r>
        <w:t xml:space="preserve"> et al., 2018).</w:t>
      </w:r>
    </w:p>
    <w:p w:rsidR="00E64FC5" w:rsidRDefault="00E64FC5" w:rsidP="00E64FC5">
      <w:pPr>
        <w:pStyle w:val="Heading2"/>
      </w:pPr>
      <w:bookmarkStart w:id="34" w:name="_Toc212393417"/>
      <w:r>
        <w:t>7.3 Resistance stewardship under warming and residency</w:t>
      </w:r>
      <w:bookmarkEnd w:id="34"/>
    </w:p>
    <w:p w:rsidR="00E64FC5" w:rsidRDefault="00E64FC5" w:rsidP="00E64FC5">
      <w:pPr>
        <w:pStyle w:val="NormalWeb"/>
      </w:pPr>
      <w:r>
        <w:t xml:space="preserve">As warming expands overwintering ranges and lengthens exposure seasons, resistance can evolve and spread more quickly in resident pest populations, reshaping the economics and ethics of chemical control (Ma et al., 2021). Research should quantify how residency status and heat exposures change selection gradients for common modes of action, and identify rotations and mixtures that remain robust under faster </w:t>
      </w:r>
      <w:proofErr w:type="spellStart"/>
      <w:r>
        <w:t>voltinism</w:t>
      </w:r>
      <w:proofErr w:type="spellEnd"/>
      <w:r>
        <w:t>. Because sprays during hot periods can precipitate pest resurgence by disproportionately harming natural enemies, design of selective chemistries and temperature-aware application windows deserves focused testing alongside enemy-compatibility assays (Crossley et al., 2024; Schmidt-</w:t>
      </w:r>
      <w:proofErr w:type="spellStart"/>
      <w:r>
        <w:t>Jeffris</w:t>
      </w:r>
      <w:proofErr w:type="spellEnd"/>
      <w:r>
        <w:t>, 2023). Integrating resistance monitoring with climate and phenology services—and reporting risk in terms that planners can act on—would close a critical loop between surveillance and stewardship (Ma et al., 2021; Crossley et al., 2024).</w:t>
      </w:r>
    </w:p>
    <w:p w:rsidR="00E64FC5" w:rsidRDefault="00E64FC5" w:rsidP="00E64FC5">
      <w:pPr>
        <w:pStyle w:val="Heading2"/>
      </w:pPr>
      <w:bookmarkStart w:id="35" w:name="_Toc212393418"/>
      <w:r>
        <w:t>7.4 Cropping-system and landscape redesign as resilience infrastructure</w:t>
      </w:r>
      <w:bookmarkEnd w:id="35"/>
    </w:p>
    <w:p w:rsidR="00E64FC5" w:rsidRDefault="00E64FC5" w:rsidP="00E64FC5">
      <w:pPr>
        <w:pStyle w:val="NormalWeb"/>
      </w:pPr>
      <w:r>
        <w:t>Diversification remains a cornerstone of climate-resilient IPM, yet effect sizes vary with context. Meta-analyses and landscape studies show that floral margins, multi-species strips, and reduced landscape simplification bolster enemy services and reduce outbreaks, but performance depends on margin quality, spatial placement, crop phenology, and pest identity (Crowther et al., 2023; Karp et al., 2018; Paredes et al., 2021). Research should therefore develop “design rules” that link local climates, enemy guilds, and farming goals to specific diversification blueprints, and evaluate these in randomized, multi-year field trials that explicitly include hot years. Because climate change is also increasing agriculture’s environmental externalities, including those from pesticides as efficacy declines, portfolios that minimize chemical reliance while maintaining yields through habitat and varietal redesign warrant priority testing for their system-level “resilience dividends” (Yang et al., 2024).</w:t>
      </w:r>
    </w:p>
    <w:p w:rsidR="00E64FC5" w:rsidRDefault="00E64FC5" w:rsidP="00E64FC5">
      <w:pPr>
        <w:pStyle w:val="Heading2"/>
      </w:pPr>
      <w:bookmarkStart w:id="36" w:name="_Toc212393419"/>
      <w:r>
        <w:t>7.5 Implementation science: from advisories to adoption at scale</w:t>
      </w:r>
      <w:bookmarkEnd w:id="36"/>
    </w:p>
    <w:p w:rsidR="00E64FC5" w:rsidRDefault="00E64FC5" w:rsidP="00E64FC5">
      <w:pPr>
        <w:pStyle w:val="NormalWeb"/>
      </w:pPr>
      <w:r>
        <w:t xml:space="preserve">Even the best models and tactics are inert without delivery mechanisms that farmers trust and use. Trials in smallholder contexts show that timely, localized pest advisories can shift behavior and improve performance, but benefits hinge on co-design, accessible channels, and continuous updates through the season (Day et al., 2024). Future work should evaluate advisory systems as socio-technical interventions: randomize who receives which products, track actions taken, and quantify yield, income, and chemical-use outcomes (Day et al., 2024; </w:t>
      </w:r>
      <w:proofErr w:type="spellStart"/>
      <w:r>
        <w:t>Khonje</w:t>
      </w:r>
      <w:proofErr w:type="spellEnd"/>
      <w:r>
        <w:t xml:space="preserve"> et al., 2025). At the policy level, explicit Resist–Accept–Direct (RAD) planning can </w:t>
      </w:r>
      <w:r>
        <w:lastRenderedPageBreak/>
        <w:t>align field-level IPM choices with regional feasibility under non-stationarity, while structured decision frameworks and adaptive management help agencies revise thresholds, rotations, and habitat investments as evidence accumulates (Siegel et al., 2024; Williams et al., 2024). Together, these priorities move the field from proof-of-concept to durable, climate-savvy services that withstand heat waves, range shifts, and the evolving calculus of chemical control.</w:t>
      </w:r>
    </w:p>
    <w:p w:rsidR="00E02F78" w:rsidRDefault="00E02F78" w:rsidP="00E02F78">
      <w:pPr>
        <w:pStyle w:val="Heading1"/>
      </w:pPr>
      <w:bookmarkStart w:id="37" w:name="_Toc212393420"/>
      <w:r>
        <w:t>8. Implementation and policy roadmap</w:t>
      </w:r>
      <w:bookmarkEnd w:id="37"/>
    </w:p>
    <w:p w:rsidR="00E02F78" w:rsidRDefault="00E02F78" w:rsidP="00E02F78">
      <w:pPr>
        <w:pStyle w:val="Heading2"/>
      </w:pPr>
      <w:bookmarkStart w:id="38" w:name="_Toc212393421"/>
      <w:r>
        <w:t>8.1 Standards, governance, and accountability for climate-savvy decisions</w:t>
      </w:r>
      <w:bookmarkEnd w:id="38"/>
    </w:p>
    <w:p w:rsidR="00E02F78" w:rsidRDefault="00E02F78" w:rsidP="00E02F78">
      <w:pPr>
        <w:pStyle w:val="NormalWeb"/>
      </w:pPr>
      <w:r>
        <w:t>A durable roadmap begins with standards that make pest risk forecasts decision-grade. Agencies should require transparent reporting (e.g., ODMAP) and independent validation when species distribution models and phenology tools are used to set thresholds or direct surveillance, with uncertainty communicated in ways that explicitly shape action rules and budget allocations (</w:t>
      </w:r>
      <w:proofErr w:type="spellStart"/>
      <w:r>
        <w:t>Zurell</w:t>
      </w:r>
      <w:proofErr w:type="spellEnd"/>
      <w:r>
        <w:t xml:space="preserve"> et al., 2020; Araújo et al., 2019). Climate-smart pest management frameworks already argue for linking research, extension, and policy so that forecasts trigger pre-agreed responses rather than ad hoc, heat-of-the-moment spraying (</w:t>
      </w:r>
      <w:proofErr w:type="spellStart"/>
      <w:r>
        <w:t>Heeb</w:t>
      </w:r>
      <w:proofErr w:type="spellEnd"/>
      <w:r>
        <w:t xml:space="preserve"> et al., 2019). Policy language can operationalize this by mandating that publicly funded advisories document model skill, bias corrections after heatwaves, and how outputs alter recommended tactics. Because climate change amplifies agriculture’s environmental externalities—including reduced agrochemical efficacy and greater pressure for use—regulators should also embed mitigation metrics (e.g., natural-enemy safety, drift and volatilization risk under high temperatures) into program evaluation so that the benefits of non-chemical and selective options are captured, not sidelined (Yang et al., 2024). Together, standards and accountability mechanisms convert modeling from static maps into living services that are auditable and fit for high-stakes choices. </w:t>
      </w:r>
    </w:p>
    <w:p w:rsidR="00E02F78" w:rsidRDefault="00E02F78" w:rsidP="00E02F78">
      <w:pPr>
        <w:pStyle w:val="Heading2"/>
      </w:pPr>
      <w:bookmarkStart w:id="39" w:name="_Toc212393422"/>
      <w:r>
        <w:t>8.2 Surveillance as a public good: climate-informed EDRR</w:t>
      </w:r>
      <w:bookmarkEnd w:id="39"/>
    </w:p>
    <w:p w:rsidR="00E02F78" w:rsidRDefault="00E02F78" w:rsidP="00E02F78">
      <w:pPr>
        <w:pStyle w:val="NormalWeb"/>
      </w:pPr>
      <w:r>
        <w:t>Implementation should treat early detection and rapid response (EDRR) as a regional public good financed and coordinated across jurisdictions. The plant health community’s recent assessment of pandemic-scale risks underscores how climate change, trade, and novel lineages elevate establishment odds and spread velocity, making delayed detection far costlier than proactive monitoring (</w:t>
      </w:r>
      <w:proofErr w:type="spellStart"/>
      <w:r>
        <w:t>Ristaino</w:t>
      </w:r>
      <w:proofErr w:type="spellEnd"/>
      <w:r>
        <w:t xml:space="preserve"> et al., 2021). EDRR frameworks provide the institutional blueprint—shared triggers, pre-approved actions, and interagency budgeting—that agricultural agencies can adapt for climate-enabled pests (</w:t>
      </w:r>
      <w:proofErr w:type="spellStart"/>
      <w:r>
        <w:t>Reaser</w:t>
      </w:r>
      <w:proofErr w:type="spellEnd"/>
      <w:r>
        <w:t xml:space="preserve"> et al., 2020). Methodologically, surveillance needs two upgrades. First, complement medium-term suitability mapping with short-term detectability forecasts that say </w:t>
      </w:r>
      <w:r>
        <w:rPr>
          <w:rStyle w:val="Emphasis"/>
        </w:rPr>
        <w:t>where and when</w:t>
      </w:r>
      <w:r>
        <w:t xml:space="preserve"> traps or scouts are most likely to succeed in coming weeks (</w:t>
      </w:r>
      <w:proofErr w:type="spellStart"/>
      <w:r>
        <w:t>Capinha</w:t>
      </w:r>
      <w:proofErr w:type="spellEnd"/>
      <w:r>
        <w:t xml:space="preserve"> et al., 2024). Second, couple those signals to trusted dissemination channels—extension networks and phone-based advisories—that have already shown they can shift farmer behavior when advice is localized and refreshed through the season (Day et al., 2024). In short, a climate-informed EDRR system institutionalizes rapid learning loops from forecast to field and back.</w:t>
      </w:r>
    </w:p>
    <w:p w:rsidR="00E02F78" w:rsidRDefault="00E02F78" w:rsidP="00E02F78">
      <w:pPr>
        <w:pStyle w:val="Heading2"/>
      </w:pPr>
      <w:bookmarkStart w:id="40" w:name="_Toc212393423"/>
      <w:r>
        <w:lastRenderedPageBreak/>
        <w:t>8.3 Incentives and rules that favor resilient portfolios over reactive spraying</w:t>
      </w:r>
      <w:bookmarkEnd w:id="40"/>
    </w:p>
    <w:p w:rsidR="00E02F78" w:rsidRDefault="00E02F78" w:rsidP="00E02F78">
      <w:pPr>
        <w:pStyle w:val="NormalWeb"/>
      </w:pPr>
      <w:r>
        <w:t>Policy should realign incentives toward diversification and selective chemistries, especially during heat events when broad-spectrum sprays are most likely to erode biological control. Evidence from perennial and annual systems shows that landscape simplification raises outbreak frequency and insecticide use, whereas floral field margins and diverse habitats strengthen natural enemies and suppress damage (Karp et al., 2018; Paredes et al., 2021; Crowther et al., 2023). Public programs can mainstream these benefits by paying for performance (e.g., habitat-based stewardship tied to documented enemy activity) and by integrating diversification metrics into crop insurance and compliance schemes. On the chemical side, labels and procurement standards should require documentation of non-target effects under realistic heat scenarios and favor active ingredients with demonstrated compatibility with local enemy guilds (Schmidt-</w:t>
      </w:r>
      <w:proofErr w:type="spellStart"/>
      <w:r>
        <w:t>Jeffris</w:t>
      </w:r>
      <w:proofErr w:type="spellEnd"/>
      <w:r>
        <w:t xml:space="preserve">, 2023). During forecast heatwaves, temporary rules can raise the ecological bar for spraying—tightening drift safeguards and promoting cooler-window applications—given the demonstrated risk of insecticide-associated resurgence when natural enemies are heat-stressed (Crossley et al., 2024). These instruments shift portfolios toward practices that deliver resilience dividends while reducing externalities that climate change is poised to magnify (Yang et al., 2024). </w:t>
      </w:r>
    </w:p>
    <w:p w:rsidR="00E02F78" w:rsidRDefault="00E02F78" w:rsidP="00E02F78">
      <w:pPr>
        <w:pStyle w:val="Heading2"/>
      </w:pPr>
      <w:bookmarkStart w:id="41" w:name="_Toc212393424"/>
      <w:r>
        <w:t>8.4 Strategy setting under non-stationarity: adopting RAD and adaptive evaluation</w:t>
      </w:r>
      <w:bookmarkEnd w:id="41"/>
    </w:p>
    <w:p w:rsidR="00E02F78" w:rsidRDefault="00E02F78" w:rsidP="00E02F78">
      <w:pPr>
        <w:pStyle w:val="NormalWeb"/>
      </w:pPr>
      <w:r>
        <w:t xml:space="preserve">Finally, implementation should be anchored in explicit Resist–Accept–Direct (RAD) choices so that field-level IPM tactics remain coherent with regional feasibility under non-stationary climates. RAD helps agencies decide where to maintain historical endpoints (resist), where to tolerate transformation while mitigating harms (accept), and where to guide systems toward new, more controllable states via crop shifts or deliberate habitat redesign (Siegel et al., 2024; Williams et al., 2024). Embedding RAD in annual planning clarifies which pests warrant prevention and eradication, which require damage-tolerance and varietal change, and where landscape redesign or biological control augmentation is the priority. Crucially, RAD must be coupled to adaptive evaluation: agencies should mandate model </w:t>
      </w:r>
      <w:proofErr w:type="spellStart"/>
      <w:r>
        <w:t>intercomparison</w:t>
      </w:r>
      <w:proofErr w:type="spellEnd"/>
      <w:r>
        <w:t xml:space="preserve">, hindcasting, and prospective scoring for any forecast-based advisory, and require that threshold policies be revised after anomalous seasons or heatwaves. This creates the feedback discipline that climate-smart pest management has long advocated—linking standards, surveillance, incentives, and learning into a single, auditable policy cycle. </w:t>
      </w:r>
    </w:p>
    <w:p w:rsidR="000D6598" w:rsidRPr="000D6598" w:rsidRDefault="000D6598" w:rsidP="000D6598">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bookmarkStart w:id="42" w:name="_Toc212393425"/>
      <w:r w:rsidRPr="000D6598">
        <w:rPr>
          <w:rFonts w:ascii="Times New Roman" w:eastAsia="Times New Roman" w:hAnsi="Times New Roman" w:cs="Times New Roman"/>
          <w:b/>
          <w:bCs/>
          <w:kern w:val="36"/>
          <w:sz w:val="48"/>
          <w:szCs w:val="48"/>
          <w:lang w:val="en-US"/>
        </w:rPr>
        <w:t>9. Limitations</w:t>
      </w:r>
      <w:bookmarkEnd w:id="42"/>
    </w:p>
    <w:p w:rsidR="000D6598" w:rsidRPr="000D6598" w:rsidRDefault="000D6598" w:rsidP="000D659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3" w:name="_Toc212393426"/>
      <w:r w:rsidRPr="000D6598">
        <w:rPr>
          <w:rFonts w:ascii="Times New Roman" w:eastAsia="Times New Roman" w:hAnsi="Times New Roman" w:cs="Times New Roman"/>
          <w:b/>
          <w:bCs/>
          <w:sz w:val="36"/>
          <w:szCs w:val="36"/>
          <w:lang w:val="en-US"/>
        </w:rPr>
        <w:t>9.1 Scope and coverage</w:t>
      </w:r>
      <w:bookmarkEnd w:id="43"/>
    </w:p>
    <w:p w:rsidR="000D6598" w:rsidRP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 xml:space="preserve">This review privileges recent, generalizable insights at the nexus of climate change, thermal biology, and integrated pest management. Consequently, it does not catalogue every crop–pest combination or region, nor does it fully address pathogens, nematodes, vertebrate pests, or post-harvest systems. Foundational older studies may be underrepresented, and rapidly emerging findings appearing after the last literature sweep are necessarily absent. Excluding </w:t>
      </w:r>
      <w:r w:rsidRPr="000D6598">
        <w:rPr>
          <w:rFonts w:ascii="Times New Roman" w:eastAsia="Times New Roman" w:hAnsi="Times New Roman" w:cs="Times New Roman"/>
          <w:sz w:val="24"/>
          <w:szCs w:val="24"/>
          <w:lang w:val="en-US"/>
        </w:rPr>
        <w:lastRenderedPageBreak/>
        <w:t>grey literature and program reports limits practical implementation detail from low-resource contexts where evidence is not routinely archived in journals.</w:t>
      </w:r>
    </w:p>
    <w:p w:rsidR="000D6598" w:rsidRPr="000D6598" w:rsidRDefault="000D6598" w:rsidP="000D659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4" w:name="_Toc212393427"/>
      <w:r w:rsidRPr="000D6598">
        <w:rPr>
          <w:rFonts w:ascii="Times New Roman" w:eastAsia="Times New Roman" w:hAnsi="Times New Roman" w:cs="Times New Roman"/>
          <w:b/>
          <w:bCs/>
          <w:sz w:val="36"/>
          <w:szCs w:val="36"/>
          <w:lang w:val="en-US"/>
        </w:rPr>
        <w:t>9.2 Evidence gaps in multitrophic heat biology</w:t>
      </w:r>
      <w:bookmarkEnd w:id="44"/>
    </w:p>
    <w:p w:rsidR="000D6598" w:rsidRP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Although heat extremes clearly reshape outcomes across crops, pests, and natural enemies, the taxonomic breadth and ecological realism of experiments remain limited. Many studies use constant or simplified temperature regimes, short exposures, or laboratory mesocosms that only approximate field heterogeneity. Stage-specific sensitivity in parasitoids and predators, interactive effects of humidity and plant water status, and repeated heatwave sequences are incompletely mapped. As a result, translating mechanisms into quantitative adjustments to action thresholds and release schedules involves uncertainty that varies by system.</w:t>
      </w:r>
    </w:p>
    <w:p w:rsidR="000D6598" w:rsidRPr="000D6598" w:rsidRDefault="000D6598" w:rsidP="000D659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5" w:name="_Toc212393428"/>
      <w:r w:rsidRPr="000D6598">
        <w:rPr>
          <w:rFonts w:ascii="Times New Roman" w:eastAsia="Times New Roman" w:hAnsi="Times New Roman" w:cs="Times New Roman"/>
          <w:b/>
          <w:bCs/>
          <w:sz w:val="36"/>
          <w:szCs w:val="36"/>
          <w:lang w:val="en-US"/>
        </w:rPr>
        <w:t>9.3 Forecasting and data constraints</w:t>
      </w:r>
      <w:bookmarkEnd w:id="45"/>
    </w:p>
    <w:p w:rsidR="000D6598" w:rsidRP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Phenology models, suitability maps, and detectability forecasts are powerful but sensitive to input choices and data bias. Presence-only records, uneven trapping effort, incomplete crop distribution layers, and limited independent validation can inflate confidence. Forecast skill often degrades at fine spatial scales and during the very extremes that matter most for decisions. In many jurisdictions, institutional capacity to run iterative, seasonally updated services and to communicate uncertainty in ways that change behavior is still nascent, constraining the pace of learning-by-doing.</w:t>
      </w:r>
    </w:p>
    <w:p w:rsidR="000D6598" w:rsidRPr="000D6598" w:rsidRDefault="000D6598" w:rsidP="000D659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6" w:name="_Toc212393429"/>
      <w:r w:rsidRPr="000D6598">
        <w:rPr>
          <w:rFonts w:ascii="Times New Roman" w:eastAsia="Times New Roman" w:hAnsi="Times New Roman" w:cs="Times New Roman"/>
          <w:b/>
          <w:bCs/>
          <w:sz w:val="36"/>
          <w:szCs w:val="36"/>
          <w:lang w:val="en-US"/>
        </w:rPr>
        <w:t>9.4 Implementation realism and equity</w:t>
      </w:r>
      <w:bookmarkEnd w:id="46"/>
    </w:p>
    <w:p w:rsidR="000D6598" w:rsidRP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Recommendations to diversify habitats, adopt intercropping, and favor selective chemistries presume access to seed, knowledge, labor, and secure tenure that is not universal. Transition costs and short-term yield variability can deter adoption, particularly for smallholders without safety nets. Advisory systems that depend on smartphones, data plans, or continuous connectivity risk widening inequities. Regulatory and market incentives in some regions still favor reactive chemical use over preventative ecological design, slowing the shift toward resilient portfolios.</w:t>
      </w:r>
    </w:p>
    <w:p w:rsidR="000D6598" w:rsidRPr="000D6598" w:rsidRDefault="000D6598" w:rsidP="000D659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7" w:name="_Toc212393430"/>
      <w:r w:rsidRPr="000D6598">
        <w:rPr>
          <w:rFonts w:ascii="Times New Roman" w:eastAsia="Times New Roman" w:hAnsi="Times New Roman" w:cs="Times New Roman"/>
          <w:b/>
          <w:bCs/>
          <w:sz w:val="36"/>
          <w:szCs w:val="36"/>
          <w:lang w:val="en-US"/>
        </w:rPr>
        <w:t>9.5 Non-stationarity and compounding stressors</w:t>
      </w:r>
      <w:bookmarkEnd w:id="47"/>
    </w:p>
    <w:p w:rsidR="000D6598" w:rsidRP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Heat rarely acts alone. Drought, extreme rainfall, rising carbon dioxide, salinity, soil degradation, and novel lineages interact in nonlinear ways that most experiments and models do not yet capture. Baselines for thresholds, resistance risk, and natural-enemy performance can shift within a few seasons, outpacing update cycles in extension and regulation. The guidance offered here should therefore be treated as a framework to be locally stress-tested and iteratively revised, not as prescriptive recipes, with transparent monitoring to avoid misplaced confidence or unintended consequences.</w:t>
      </w:r>
    </w:p>
    <w:p w:rsidR="00771EA3" w:rsidRDefault="00771EA3" w:rsidP="000D6598">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bookmarkStart w:id="48" w:name="_Toc212393431"/>
    </w:p>
    <w:p w:rsidR="000D6598" w:rsidRPr="000D6598" w:rsidRDefault="000D6598" w:rsidP="000D6598">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sidRPr="000D6598">
        <w:rPr>
          <w:rFonts w:ascii="Times New Roman" w:eastAsia="Times New Roman" w:hAnsi="Times New Roman" w:cs="Times New Roman"/>
          <w:b/>
          <w:bCs/>
          <w:kern w:val="36"/>
          <w:sz w:val="48"/>
          <w:szCs w:val="48"/>
          <w:lang w:val="en-US"/>
        </w:rPr>
        <w:lastRenderedPageBreak/>
        <w:t>10. Conclusions</w:t>
      </w:r>
      <w:bookmarkEnd w:id="48"/>
    </w:p>
    <w:p w:rsidR="000D6598" w:rsidRPr="000D6598" w:rsidRDefault="000D6598" w:rsidP="000D659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49" w:name="_Toc212393432"/>
      <w:r w:rsidRPr="000D6598">
        <w:rPr>
          <w:rFonts w:ascii="Times New Roman" w:eastAsia="Times New Roman" w:hAnsi="Times New Roman" w:cs="Times New Roman"/>
          <w:b/>
          <w:bCs/>
          <w:sz w:val="36"/>
          <w:szCs w:val="36"/>
          <w:lang w:val="en-US"/>
        </w:rPr>
        <w:t>10.1 Synthesis</w:t>
      </w:r>
      <w:bookmarkEnd w:id="49"/>
    </w:p>
    <w:p w:rsidR="000D6598" w:rsidRP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Climate change is transforming the biological and operational landscape in which pest management decisions are made. Warming means and increasingly frequent heat extremes are accelerating pest development, extending seasons of exposure, and relaxing overwintering barriers, while simultaneously destabilizing biological control through asymmetric thermal tolerances across trophic levels. These forces interact with simplified landscapes and heavy chemical reliance to amplify outbreak probability and accelerate resistance. The central implication is that yesterday’s assumptions of stationarity—embedded in fixed action thresholds, static risk maps, and calendarized spray programs—no longer hold. A climate-ready IPM reframes management as a dynamic, learning enterprise that integrates range-shift forecasting, heat-stress biology, and cropping-system diversification into a single, decision-oriented framework.</w:t>
      </w:r>
    </w:p>
    <w:p w:rsidR="000D6598" w:rsidRPr="000D6598" w:rsidRDefault="000D6598" w:rsidP="000D6598">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50" w:name="_Toc212393433"/>
      <w:r w:rsidRPr="000D6598">
        <w:rPr>
          <w:rFonts w:ascii="Times New Roman" w:eastAsia="Times New Roman" w:hAnsi="Times New Roman" w:cs="Times New Roman"/>
          <w:b/>
          <w:bCs/>
          <w:sz w:val="36"/>
          <w:szCs w:val="36"/>
          <w:lang w:val="en-US"/>
        </w:rPr>
        <w:t>10.2 Pathway to climate-ready IPM</w:t>
      </w:r>
      <w:bookmarkEnd w:id="50"/>
    </w:p>
    <w:p w:rsidR="000D6598" w:rsidRP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 xml:space="preserve">Three strands must be woven together in practice. First, forecasting should evolve into a living service: near-term phenology and detectability models guide within-season choices, while suitability and spread models inform where surveillance and prevention should concentrate across years. Second, portfolios should be redesigned around resilience rather than reaction. Diversified habitats, intercropping, and floral resources become first-line buffers that stabilize enemy services through hot periods; selective chemistries are used sparingly, timed to cooler windows, and governed by resistance plans that account for heat-enabled residency and faster </w:t>
      </w:r>
      <w:proofErr w:type="spellStart"/>
      <w:r w:rsidRPr="000D6598">
        <w:rPr>
          <w:rFonts w:ascii="Times New Roman" w:eastAsia="Times New Roman" w:hAnsi="Times New Roman" w:cs="Times New Roman"/>
          <w:sz w:val="24"/>
          <w:szCs w:val="24"/>
          <w:lang w:val="en-US"/>
        </w:rPr>
        <w:t>voltinism</w:t>
      </w:r>
      <w:proofErr w:type="spellEnd"/>
      <w:r w:rsidRPr="000D6598">
        <w:rPr>
          <w:rFonts w:ascii="Times New Roman" w:eastAsia="Times New Roman" w:hAnsi="Times New Roman" w:cs="Times New Roman"/>
          <w:sz w:val="24"/>
          <w:szCs w:val="24"/>
          <w:lang w:val="en-US"/>
        </w:rPr>
        <w:t>. Third, implementation requires standards, governance, and incentives that convert science into routine action: transparent model reporting, climate-informed early detection and rapid response, habitat-based stewardship payments, and temporary heat-wave safeguards that raise the ecological bar for spraying.</w:t>
      </w:r>
    </w:p>
    <w:p w:rsidR="000D6598" w:rsidRP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Adopting the Resist–Accept–Direct mindset clarifies strategy under non-stationarity. Where historical endpoints remain achievable, prevention-first portfolios and conservation biological control can resist transformation. Where change is unavoidable, accepting and directing systems toward more controllable states through cultivar shifts, habitat redesign, and revised thresholds preserves productivity while reducing chemical dependence. Throughout, adaptive evaluation—hindcasts, prospective scoring, and post-season audits—keeps plans aligned with reality and accelerates learning.</w:t>
      </w:r>
    </w:p>
    <w:p w:rsidR="000D6598" w:rsidRDefault="000D6598" w:rsidP="000D6598">
      <w:pPr>
        <w:spacing w:before="100" w:beforeAutospacing="1" w:after="100" w:afterAutospacing="1" w:line="240" w:lineRule="auto"/>
        <w:rPr>
          <w:rFonts w:ascii="Times New Roman" w:eastAsia="Times New Roman" w:hAnsi="Times New Roman" w:cs="Times New Roman"/>
          <w:sz w:val="24"/>
          <w:szCs w:val="24"/>
          <w:lang w:val="en-US"/>
        </w:rPr>
      </w:pPr>
      <w:r w:rsidRPr="000D6598">
        <w:rPr>
          <w:rFonts w:ascii="Times New Roman" w:eastAsia="Times New Roman" w:hAnsi="Times New Roman" w:cs="Times New Roman"/>
          <w:sz w:val="24"/>
          <w:szCs w:val="24"/>
          <w:lang w:val="en-US"/>
        </w:rPr>
        <w:t>The destination is not a single recipe but a disciplined process: anticipate with credible forecasts, design for robustness with diversified systems, intervene selectively and at the right moments, and evaluate transparently to improve every season. If these principles are institutionalized across research, extension, and policy, agriculture can turn climate risk into an impetus for smarter, lighter, and more resilient pest management.</w:t>
      </w:r>
    </w:p>
    <w:p w:rsidR="00771EA3" w:rsidRDefault="00771EA3" w:rsidP="00F80BFF">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bookmarkStart w:id="51" w:name="_Toc212393434"/>
    </w:p>
    <w:p w:rsidR="00F80BFF" w:rsidRPr="000D6598" w:rsidRDefault="00F80BFF" w:rsidP="00F80BFF">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r>
        <w:rPr>
          <w:rFonts w:ascii="Times New Roman" w:eastAsia="Times New Roman" w:hAnsi="Times New Roman" w:cs="Times New Roman"/>
          <w:b/>
          <w:bCs/>
          <w:kern w:val="36"/>
          <w:sz w:val="48"/>
          <w:szCs w:val="48"/>
          <w:lang w:val="en-US"/>
        </w:rPr>
        <w:lastRenderedPageBreak/>
        <w:t>References</w:t>
      </w:r>
      <w:bookmarkEnd w:id="51"/>
    </w:p>
    <w:p w:rsidR="00F80BFF" w:rsidRDefault="00F80BFF" w:rsidP="000D6598">
      <w:pPr>
        <w:spacing w:before="100" w:beforeAutospacing="1" w:after="100" w:afterAutospacing="1" w:line="240" w:lineRule="auto"/>
        <w:rPr>
          <w:rFonts w:ascii="Times New Roman" w:eastAsia="Times New Roman" w:hAnsi="Times New Roman" w:cs="Times New Roman"/>
          <w:sz w:val="24"/>
          <w:szCs w:val="24"/>
          <w:lang w:val="en-US"/>
        </w:rPr>
      </w:pPr>
    </w:p>
    <w:p w:rsidR="00F80BFF" w:rsidRDefault="00F80BFF" w:rsidP="00F80BFF">
      <w:pPr>
        <w:pStyle w:val="NormalWeb"/>
      </w:pPr>
      <w:proofErr w:type="spellStart"/>
      <w:r>
        <w:t>Albaseer</w:t>
      </w:r>
      <w:proofErr w:type="spellEnd"/>
      <w:r>
        <w:t>, S. S., Jaspers, V. L. B., Orsini, L., Vlahos, P., Al-</w:t>
      </w:r>
      <w:proofErr w:type="spellStart"/>
      <w:r>
        <w:t>Hazmi</w:t>
      </w:r>
      <w:proofErr w:type="spellEnd"/>
      <w:r>
        <w:t xml:space="preserve">, H. E., &amp; </w:t>
      </w:r>
      <w:proofErr w:type="spellStart"/>
      <w:r>
        <w:t>Hollert</w:t>
      </w:r>
      <w:proofErr w:type="spellEnd"/>
      <w:r>
        <w:t xml:space="preserve">, H. (2024). Beyond the field: How pesticide drift endangers biodiversity. </w:t>
      </w:r>
      <w:r>
        <w:rPr>
          <w:rStyle w:val="Emphasis"/>
        </w:rPr>
        <w:t>Environmental Pollution, 366</w:t>
      </w:r>
      <w:r>
        <w:t xml:space="preserve">, 125526. https://doi.org/10.1016/j.envpol.2024.125526 </w:t>
      </w:r>
    </w:p>
    <w:p w:rsidR="00F80BFF" w:rsidRDefault="00F80BFF" w:rsidP="00F80BFF">
      <w:pPr>
        <w:pStyle w:val="NormalWeb"/>
      </w:pPr>
      <w:r>
        <w:t xml:space="preserve">Araújo, M. B., Anderson, R. P., Barbosa, A. M., Beale, C. M., </w:t>
      </w:r>
      <w:proofErr w:type="spellStart"/>
      <w:r>
        <w:t>Dormann</w:t>
      </w:r>
      <w:proofErr w:type="spellEnd"/>
      <w:r>
        <w:t xml:space="preserve">, C. F., Early, R., Garcia, R. A., </w:t>
      </w:r>
      <w:proofErr w:type="spellStart"/>
      <w:r>
        <w:t>Guisan</w:t>
      </w:r>
      <w:proofErr w:type="spellEnd"/>
      <w:r>
        <w:t xml:space="preserve">, A., </w:t>
      </w:r>
      <w:proofErr w:type="spellStart"/>
      <w:r>
        <w:t>Maiorano</w:t>
      </w:r>
      <w:proofErr w:type="spellEnd"/>
      <w:r>
        <w:t xml:space="preserve">, L., </w:t>
      </w:r>
      <w:proofErr w:type="spellStart"/>
      <w:r>
        <w:t>Naimi</w:t>
      </w:r>
      <w:proofErr w:type="spellEnd"/>
      <w:r>
        <w:t xml:space="preserve">, B., O’Hara, R. B., </w:t>
      </w:r>
      <w:proofErr w:type="spellStart"/>
      <w:r>
        <w:t>Rahbek</w:t>
      </w:r>
      <w:proofErr w:type="spellEnd"/>
      <w:r>
        <w:t xml:space="preserve">, C., &amp; Zimmermann, N. E. (2019). Standards for distribution models in biodiversity assessments. </w:t>
      </w:r>
      <w:r>
        <w:rPr>
          <w:rStyle w:val="Emphasis"/>
        </w:rPr>
        <w:t>Science Advances, 5</w:t>
      </w:r>
      <w:r>
        <w:t xml:space="preserve">(1), eaat4858. https://doi.org/10.1126/sciadv.aat4858 </w:t>
      </w:r>
    </w:p>
    <w:p w:rsidR="00F80BFF" w:rsidRDefault="00F80BFF" w:rsidP="00F80BFF">
      <w:pPr>
        <w:pStyle w:val="NormalWeb"/>
      </w:pPr>
      <w:proofErr w:type="spellStart"/>
      <w:r>
        <w:t>Bebber</w:t>
      </w:r>
      <w:proofErr w:type="spellEnd"/>
      <w:r>
        <w:t xml:space="preserve">, D. P., </w:t>
      </w:r>
      <w:proofErr w:type="spellStart"/>
      <w:r>
        <w:t>Ramotowski</w:t>
      </w:r>
      <w:proofErr w:type="spellEnd"/>
      <w:r>
        <w:t xml:space="preserve">, M. A. T., &amp; </w:t>
      </w:r>
      <w:proofErr w:type="spellStart"/>
      <w:r>
        <w:t>Gurr</w:t>
      </w:r>
      <w:proofErr w:type="spellEnd"/>
      <w:r>
        <w:t xml:space="preserve">, S. J. (2013). Crop pests and pathogens move </w:t>
      </w:r>
      <w:proofErr w:type="spellStart"/>
      <w:r>
        <w:t>polewards</w:t>
      </w:r>
      <w:proofErr w:type="spellEnd"/>
      <w:r>
        <w:t xml:space="preserve"> in a warming world. </w:t>
      </w:r>
      <w:r>
        <w:rPr>
          <w:rStyle w:val="Emphasis"/>
        </w:rPr>
        <w:t>Nature Climate Change, 3</w:t>
      </w:r>
      <w:r>
        <w:t xml:space="preserve">(11), 985–988. https://doi.org/10.1038/nclimate1990 </w:t>
      </w:r>
    </w:p>
    <w:p w:rsidR="00F80BFF" w:rsidRDefault="00F80BFF" w:rsidP="00F80BFF">
      <w:pPr>
        <w:pStyle w:val="NormalWeb"/>
      </w:pPr>
      <w:proofErr w:type="spellStart"/>
      <w:r>
        <w:t>Bish</w:t>
      </w:r>
      <w:proofErr w:type="spellEnd"/>
      <w:r>
        <w:t xml:space="preserve">, M. D., </w:t>
      </w:r>
      <w:proofErr w:type="spellStart"/>
      <w:r>
        <w:t>Oseland</w:t>
      </w:r>
      <w:proofErr w:type="spellEnd"/>
      <w:r>
        <w:t xml:space="preserve">, E., &amp; Bradley, K. W. (2020). Off-target pesticide movement: A review of our current understanding of drift due to inversions and secondary movement. </w:t>
      </w:r>
      <w:r>
        <w:rPr>
          <w:rStyle w:val="Emphasis"/>
        </w:rPr>
        <w:t>Weed Technology, 35</w:t>
      </w:r>
      <w:r>
        <w:t xml:space="preserve">(3), 345–356. https://doi.org/10.1017/wet.2020.138 </w:t>
      </w:r>
    </w:p>
    <w:p w:rsidR="00F80BFF" w:rsidRDefault="00F80BFF" w:rsidP="00F80BFF">
      <w:pPr>
        <w:pStyle w:val="NormalWeb"/>
      </w:pPr>
      <w:proofErr w:type="spellStart"/>
      <w:r>
        <w:t>Capinha</w:t>
      </w:r>
      <w:proofErr w:type="spellEnd"/>
      <w:r>
        <w:t xml:space="preserve">, C., Monteiro, A. T., &amp; </w:t>
      </w:r>
      <w:proofErr w:type="spellStart"/>
      <w:r>
        <w:t>Ceia-Hasse</w:t>
      </w:r>
      <w:proofErr w:type="spellEnd"/>
      <w:r>
        <w:t xml:space="preserve">, A. (2024). Supporting early detection of biological invasions through short-term spatial forecasts of detectability. </w:t>
      </w:r>
      <w:proofErr w:type="spellStart"/>
      <w:r>
        <w:rPr>
          <w:rStyle w:val="Emphasis"/>
          <w:rFonts w:eastAsiaTheme="majorEastAsia"/>
        </w:rPr>
        <w:t>NeoBiota</w:t>
      </w:r>
      <w:proofErr w:type="spellEnd"/>
      <w:r>
        <w:rPr>
          <w:rStyle w:val="Emphasis"/>
          <w:rFonts w:eastAsiaTheme="majorEastAsia"/>
        </w:rPr>
        <w:t>, 96</w:t>
      </w:r>
      <w:r>
        <w:t xml:space="preserve">, 191–210. https://doi.org/10.3897/neobiota.96.129547 </w:t>
      </w:r>
    </w:p>
    <w:p w:rsidR="00F80BFF" w:rsidRDefault="00F80BFF" w:rsidP="00F80BFF">
      <w:pPr>
        <w:pStyle w:val="NormalWeb"/>
      </w:pPr>
      <w:r>
        <w:t xml:space="preserve">Crimmins, T. M., </w:t>
      </w:r>
      <w:proofErr w:type="spellStart"/>
      <w:r>
        <w:t>Gerst</w:t>
      </w:r>
      <w:proofErr w:type="spellEnd"/>
      <w:r>
        <w:t xml:space="preserve">, K. L., Huerta, D. G., Marsh, R. L., </w:t>
      </w:r>
      <w:proofErr w:type="spellStart"/>
      <w:r>
        <w:t>Posthumus</w:t>
      </w:r>
      <w:proofErr w:type="spellEnd"/>
      <w:r>
        <w:t xml:space="preserve">, E. E., </w:t>
      </w:r>
      <w:proofErr w:type="spellStart"/>
      <w:r>
        <w:t>Rosemartin</w:t>
      </w:r>
      <w:proofErr w:type="spellEnd"/>
      <w:r>
        <w:t xml:space="preserve">, A. H., Switzer, J., </w:t>
      </w:r>
      <w:proofErr w:type="spellStart"/>
      <w:r>
        <w:t>Weltzin</w:t>
      </w:r>
      <w:proofErr w:type="spellEnd"/>
      <w:r>
        <w:t xml:space="preserve">, J. F., Coop, L., </w:t>
      </w:r>
      <w:proofErr w:type="spellStart"/>
      <w:r>
        <w:t>Dietschler</w:t>
      </w:r>
      <w:proofErr w:type="spellEnd"/>
      <w:r>
        <w:t xml:space="preserve">, N., Herms, D. A., Limbu, S., Trotter, R. T. III, &amp; Whitmore, M. (2020). Short-term forecasts of insect phenology inform pest management. </w:t>
      </w:r>
      <w:r>
        <w:rPr>
          <w:rStyle w:val="Emphasis"/>
        </w:rPr>
        <w:t>Annals of the Entomological Society of America, 113</w:t>
      </w:r>
      <w:r>
        <w:t xml:space="preserve">(2), 139–148. https://doi.org/10.1093/aesa/saz026 </w:t>
      </w:r>
    </w:p>
    <w:p w:rsidR="00F80BFF" w:rsidRDefault="00F80BFF" w:rsidP="00F80BFF">
      <w:pPr>
        <w:pStyle w:val="NormalWeb"/>
      </w:pPr>
      <w:r>
        <w:t xml:space="preserve">Crossley, M. S., et al. (2024). Warmer temperatures trigger insecticide-associated pest outbreaks. </w:t>
      </w:r>
      <w:r>
        <w:rPr>
          <w:rStyle w:val="Emphasis"/>
        </w:rPr>
        <w:t>Pest Management Science, 80</w:t>
      </w:r>
      <w:r>
        <w:t xml:space="preserve">(3), 1008–1015. https://doi.org/10.1002/ps.7832 </w:t>
      </w:r>
    </w:p>
    <w:p w:rsidR="00F80BFF" w:rsidRDefault="00F80BFF" w:rsidP="00F80BFF">
      <w:pPr>
        <w:pStyle w:val="NormalWeb"/>
      </w:pPr>
      <w:r>
        <w:t xml:space="preserve">Crowther, L. I., Wilson, K., &amp; </w:t>
      </w:r>
      <w:proofErr w:type="spellStart"/>
      <w:r>
        <w:t>Wilby</w:t>
      </w:r>
      <w:proofErr w:type="spellEnd"/>
      <w:r>
        <w:t xml:space="preserve">, A. (2023). The impact of field margins on biological pest control: A meta-analysis. </w:t>
      </w:r>
      <w:proofErr w:type="spellStart"/>
      <w:r>
        <w:rPr>
          <w:rStyle w:val="Emphasis"/>
        </w:rPr>
        <w:t>BioControl</w:t>
      </w:r>
      <w:proofErr w:type="spellEnd"/>
      <w:r>
        <w:rPr>
          <w:rStyle w:val="Emphasis"/>
        </w:rPr>
        <w:t>, 68</w:t>
      </w:r>
      <w:r>
        <w:t xml:space="preserve">(4), 387–396. https://doi.org/10.1007/s10526-023-10205-6 </w:t>
      </w:r>
    </w:p>
    <w:p w:rsidR="00F80BFF" w:rsidRDefault="00F80BFF" w:rsidP="00F80BFF">
      <w:pPr>
        <w:pStyle w:val="NormalWeb"/>
      </w:pPr>
      <w:proofErr w:type="spellStart"/>
      <w:r>
        <w:t>Cunniffe</w:t>
      </w:r>
      <w:proofErr w:type="spellEnd"/>
      <w:r>
        <w:t xml:space="preserve">, N. J., Cobb, R. C., </w:t>
      </w:r>
      <w:proofErr w:type="spellStart"/>
      <w:r>
        <w:t>Meentemeyer</w:t>
      </w:r>
      <w:proofErr w:type="spellEnd"/>
      <w:r>
        <w:t xml:space="preserve">, R. K., Rizzo, D. M., &amp; Gilligan, C. A. (2016). Modeling when, where, and how to manage a forest epidemic. </w:t>
      </w:r>
      <w:r>
        <w:rPr>
          <w:rStyle w:val="Emphasis"/>
        </w:rPr>
        <w:t>Proceedings of the National Academy of Sciences, 113</w:t>
      </w:r>
      <w:r>
        <w:t xml:space="preserve">(20), 5640–5645. https://doi.org/10.1073/pnas.1602153113 </w:t>
      </w:r>
    </w:p>
    <w:p w:rsidR="00F80BFF" w:rsidRDefault="00F80BFF" w:rsidP="00F80BFF">
      <w:pPr>
        <w:pStyle w:val="NormalWeb"/>
      </w:pPr>
      <w:proofErr w:type="spellStart"/>
      <w:r>
        <w:t>Damos</w:t>
      </w:r>
      <w:proofErr w:type="spellEnd"/>
      <w:r>
        <w:t xml:space="preserve">, P., &amp; </w:t>
      </w:r>
      <w:proofErr w:type="spellStart"/>
      <w:r>
        <w:t>Savopoulou-Soultani</w:t>
      </w:r>
      <w:proofErr w:type="spellEnd"/>
      <w:r>
        <w:t xml:space="preserve">, M. (2012). Temperature-driven models for insect development and vital thermal requirements. </w:t>
      </w:r>
      <w:r>
        <w:rPr>
          <w:rStyle w:val="Emphasis"/>
        </w:rPr>
        <w:t>Psyche, 2012</w:t>
      </w:r>
      <w:r>
        <w:t xml:space="preserve">, 123405. https://doi.org/10.1155/2012/123405 </w:t>
      </w:r>
    </w:p>
    <w:p w:rsidR="00F80BFF" w:rsidRDefault="00F80BFF" w:rsidP="00F80BFF">
      <w:pPr>
        <w:pStyle w:val="NormalWeb"/>
      </w:pPr>
      <w:r>
        <w:t xml:space="preserve">Day, C., Murphy, S. T., Styles, J., Finch, E., Seaman, R., </w:t>
      </w:r>
      <w:proofErr w:type="spellStart"/>
      <w:r>
        <w:t>Kaczan</w:t>
      </w:r>
      <w:proofErr w:type="spellEnd"/>
      <w:r>
        <w:t xml:space="preserve">, D., </w:t>
      </w:r>
      <w:proofErr w:type="spellStart"/>
      <w:r>
        <w:t>Mugambi</w:t>
      </w:r>
      <w:proofErr w:type="spellEnd"/>
      <w:r>
        <w:t xml:space="preserve">, I., </w:t>
      </w:r>
      <w:proofErr w:type="spellStart"/>
      <w:r>
        <w:t>Muchiri</w:t>
      </w:r>
      <w:proofErr w:type="spellEnd"/>
      <w:r>
        <w:t xml:space="preserve">, A., &amp; </w:t>
      </w:r>
      <w:proofErr w:type="spellStart"/>
      <w:r>
        <w:t>Tendengu</w:t>
      </w:r>
      <w:proofErr w:type="spellEnd"/>
      <w:r>
        <w:t xml:space="preserve">, L. (2024). Forecasting the population development of within-season insect </w:t>
      </w:r>
      <w:r>
        <w:lastRenderedPageBreak/>
        <w:t xml:space="preserve">crop pests in sub-Saharan Africa: The Pest Risk Information </w:t>
      </w:r>
      <w:proofErr w:type="spellStart"/>
      <w:r>
        <w:t>SErvice</w:t>
      </w:r>
      <w:proofErr w:type="spellEnd"/>
      <w:r>
        <w:t xml:space="preserve">. </w:t>
      </w:r>
      <w:r>
        <w:rPr>
          <w:rStyle w:val="Emphasis"/>
        </w:rPr>
        <w:t>Journal of Integrated Pest Management, 15</w:t>
      </w:r>
      <w:r>
        <w:t xml:space="preserve">(1), 7, 1–16. https://doi.org/10.1093/jipm/pmad026 </w:t>
      </w:r>
    </w:p>
    <w:p w:rsidR="00F80BFF" w:rsidRDefault="00F80BFF" w:rsidP="00F80BFF">
      <w:pPr>
        <w:pStyle w:val="NormalWeb"/>
      </w:pPr>
      <w:r>
        <w:t xml:space="preserve">Deutsch, C. A., Tewksbury, J. J., </w:t>
      </w:r>
      <w:proofErr w:type="spellStart"/>
      <w:r>
        <w:t>Tigchelaar</w:t>
      </w:r>
      <w:proofErr w:type="spellEnd"/>
      <w:r>
        <w:t xml:space="preserve">, M., Battisti, D. S., Merrill, S. C., Huey, R. B., &amp; Naylor, R. L. (2018). Increase in crop losses to insect pests in a warming climate. </w:t>
      </w:r>
      <w:r>
        <w:rPr>
          <w:rStyle w:val="Emphasis"/>
        </w:rPr>
        <w:t>Science, 361</w:t>
      </w:r>
      <w:r>
        <w:t xml:space="preserve">(6405), 916–919. https://doi.org/10.1126/science.aat3466 </w:t>
      </w:r>
    </w:p>
    <w:p w:rsidR="00F80BFF" w:rsidRDefault="00F80BFF" w:rsidP="00F80BFF">
      <w:pPr>
        <w:pStyle w:val="NormalWeb"/>
      </w:pPr>
      <w:proofErr w:type="spellStart"/>
      <w:r>
        <w:t>Dietze</w:t>
      </w:r>
      <w:proofErr w:type="spellEnd"/>
      <w:r>
        <w:t xml:space="preserve">, M. C., Fox, A., Beck-Johnson, L. M., Betancourt, J. L., Hooten, M. B., </w:t>
      </w:r>
      <w:proofErr w:type="spellStart"/>
      <w:r>
        <w:t>Jarnevich</w:t>
      </w:r>
      <w:proofErr w:type="spellEnd"/>
      <w:r>
        <w:t xml:space="preserve">, C. S., </w:t>
      </w:r>
      <w:proofErr w:type="spellStart"/>
      <w:r>
        <w:t>Keitt</w:t>
      </w:r>
      <w:proofErr w:type="spellEnd"/>
      <w:r>
        <w:t xml:space="preserve">, T. H., Kenney, M. A., Laney, C. M., Larsen, L. G., </w:t>
      </w:r>
      <w:proofErr w:type="spellStart"/>
      <w:r>
        <w:t>Loescher</w:t>
      </w:r>
      <w:proofErr w:type="spellEnd"/>
      <w:r>
        <w:t xml:space="preserve">, H. W., Lunch, C. K., </w:t>
      </w:r>
      <w:proofErr w:type="spellStart"/>
      <w:r>
        <w:t>Pijanowski</w:t>
      </w:r>
      <w:proofErr w:type="spellEnd"/>
      <w:r>
        <w:t xml:space="preserve">, B. C., </w:t>
      </w:r>
      <w:proofErr w:type="spellStart"/>
      <w:r>
        <w:t>Randerson</w:t>
      </w:r>
      <w:proofErr w:type="spellEnd"/>
      <w:r>
        <w:t xml:space="preserve">, J. T., Read, E. K., </w:t>
      </w:r>
      <w:proofErr w:type="spellStart"/>
      <w:r>
        <w:t>Tredennick</w:t>
      </w:r>
      <w:proofErr w:type="spellEnd"/>
      <w:r>
        <w:t xml:space="preserve">, A. T., Vargas, R., Weathers, K. C., &amp; White, E. P. (2018). Iterative near-term ecological forecasting: Needs, opportunities, and challenges. </w:t>
      </w:r>
      <w:r>
        <w:rPr>
          <w:rStyle w:val="Emphasis"/>
        </w:rPr>
        <w:t>Proceedings of the National Academy of Sciences, 115</w:t>
      </w:r>
      <w:r>
        <w:t xml:space="preserve">(7), 1424–1432. https://doi.org/10.1073/pnas.1710231115 </w:t>
      </w:r>
    </w:p>
    <w:p w:rsidR="00F80BFF" w:rsidRDefault="00F80BFF" w:rsidP="00F80BFF">
      <w:pPr>
        <w:pStyle w:val="NormalWeb"/>
      </w:pPr>
      <w:r>
        <w:t xml:space="preserve">Early, R., </w:t>
      </w:r>
      <w:proofErr w:type="spellStart"/>
      <w:r>
        <w:t>Rwomushana</w:t>
      </w:r>
      <w:proofErr w:type="spellEnd"/>
      <w:r>
        <w:t xml:space="preserve">, I., </w:t>
      </w:r>
      <w:proofErr w:type="spellStart"/>
      <w:r>
        <w:t>Chipabika</w:t>
      </w:r>
      <w:proofErr w:type="spellEnd"/>
      <w:r>
        <w:t xml:space="preserve">, G., &amp; Day, R. (2022). Comparing, evaluating and combining statistical species distribution models and CLIMEX to forecast the distributions of emerging crop pests. </w:t>
      </w:r>
      <w:r>
        <w:rPr>
          <w:rStyle w:val="Emphasis"/>
          <w:rFonts w:eastAsiaTheme="majorEastAsia"/>
        </w:rPr>
        <w:t>Pest Management Science, 78</w:t>
      </w:r>
      <w:r>
        <w:t xml:space="preserve">(2), 671–683. https://doi.org/10.1002/ps.6677 </w:t>
      </w:r>
    </w:p>
    <w:p w:rsidR="00F80BFF" w:rsidRDefault="00F80BFF" w:rsidP="00F80BFF">
      <w:pPr>
        <w:pStyle w:val="NormalWeb"/>
      </w:pPr>
      <w:r>
        <w:t xml:space="preserve">Finn, K. J., Bergman, J. C., &amp; Lee-Yaw, J. A. (2024). Deciding where to put them: Sensitivity tests and independent evaluation are critical when using species distribution models to inform conservation translocations. </w:t>
      </w:r>
      <w:r>
        <w:rPr>
          <w:rStyle w:val="Emphasis"/>
        </w:rPr>
        <w:t>Journal of Applied Ecology, 61</w:t>
      </w:r>
      <w:r>
        <w:t xml:space="preserve">(8), 1761–1775. https://doi.org/10.1111/1365-2664.14616 </w:t>
      </w:r>
    </w:p>
    <w:p w:rsidR="00F80BFF" w:rsidRDefault="00F80BFF" w:rsidP="00F80BFF">
      <w:pPr>
        <w:pStyle w:val="NormalWeb"/>
      </w:pPr>
      <w:r>
        <w:t xml:space="preserve">Ghosh, S., &amp; Crist, K. (2022). Modeling volatilization emissions of soil-applied pesticides under agricultural field conditions. </w:t>
      </w:r>
      <w:proofErr w:type="spellStart"/>
      <w:r>
        <w:rPr>
          <w:rStyle w:val="Emphasis"/>
        </w:rPr>
        <w:t>Heliyon</w:t>
      </w:r>
      <w:proofErr w:type="spellEnd"/>
      <w:r>
        <w:rPr>
          <w:rStyle w:val="Emphasis"/>
        </w:rPr>
        <w:t>, 8</w:t>
      </w:r>
      <w:r>
        <w:t xml:space="preserve">(12), e11810. https://doi.org/10.1016/j.heliyon.2022.e11810 </w:t>
      </w:r>
    </w:p>
    <w:p w:rsidR="00F80BFF" w:rsidRDefault="00F80BFF" w:rsidP="00F80BFF">
      <w:pPr>
        <w:pStyle w:val="NormalWeb"/>
      </w:pPr>
      <w:r>
        <w:t xml:space="preserve">Gómez-Llano, J. H., </w:t>
      </w:r>
      <w:proofErr w:type="spellStart"/>
      <w:r>
        <w:t>Galvão</w:t>
      </w:r>
      <w:proofErr w:type="spellEnd"/>
      <w:r>
        <w:t xml:space="preserve">-Silva, F. L., Acevedo, F. E., Castro-Llanos, F., Gottschalk, M. S., &amp; Nava, D. E. (2025). Biological control under climate change: Distribution patterns of the South American fruit fly, </w:t>
      </w:r>
      <w:proofErr w:type="spellStart"/>
      <w:r>
        <w:rPr>
          <w:rStyle w:val="Emphasis"/>
        </w:rPr>
        <w:t>Anastrepha</w:t>
      </w:r>
      <w:proofErr w:type="spellEnd"/>
      <w:r>
        <w:rPr>
          <w:rStyle w:val="Emphasis"/>
        </w:rPr>
        <w:t xml:space="preserve"> </w:t>
      </w:r>
      <w:proofErr w:type="spellStart"/>
      <w:r>
        <w:rPr>
          <w:rStyle w:val="Emphasis"/>
        </w:rPr>
        <w:t>fraterculus</w:t>
      </w:r>
      <w:proofErr w:type="spellEnd"/>
      <w:r>
        <w:t xml:space="preserve">, and two of its parasitoids in the Americas. </w:t>
      </w:r>
      <w:r>
        <w:rPr>
          <w:rStyle w:val="Emphasis"/>
        </w:rPr>
        <w:t>PLOS ONE, 20</w:t>
      </w:r>
      <w:r>
        <w:t xml:space="preserve">(6), e0325761. https://doi.org/10.1371/journal.pone.0325761 </w:t>
      </w:r>
    </w:p>
    <w:p w:rsidR="00F80BFF" w:rsidRDefault="00F80BFF" w:rsidP="00F80BFF">
      <w:pPr>
        <w:pStyle w:val="NormalWeb"/>
      </w:pPr>
      <w:r w:rsidRPr="00566051">
        <w:t xml:space="preserve">González‐Moreno, P., </w:t>
      </w:r>
      <w:proofErr w:type="spellStart"/>
      <w:r w:rsidRPr="00566051">
        <w:t>Anđelković</w:t>
      </w:r>
      <w:proofErr w:type="spellEnd"/>
      <w:r w:rsidRPr="00566051">
        <w:t xml:space="preserve">, A. A., </w:t>
      </w:r>
      <w:proofErr w:type="spellStart"/>
      <w:r w:rsidRPr="00566051">
        <w:t>Adriaens</w:t>
      </w:r>
      <w:proofErr w:type="spellEnd"/>
      <w:r w:rsidRPr="00566051">
        <w:t xml:space="preserve">, T., </w:t>
      </w:r>
      <w:proofErr w:type="spellStart"/>
      <w:r w:rsidRPr="00566051">
        <w:t>Botella</w:t>
      </w:r>
      <w:proofErr w:type="spellEnd"/>
      <w:r w:rsidRPr="00566051">
        <w:t>, C., Demetriou, J., Bastos, R., ... &amp; Pocock, M. J. (2025). Citizen science platforms can effectively support early detection of invasive alien species according to species traits. People and Nature, 7(1), 278-294.</w:t>
      </w:r>
      <w:r>
        <w:t xml:space="preserve"> </w:t>
      </w:r>
      <w:hyperlink r:id="rId8" w:history="1">
        <w:r w:rsidRPr="00CE683A">
          <w:rPr>
            <w:rStyle w:val="Hyperlink"/>
          </w:rPr>
          <w:t>https://doi.org/10.1002/pan3.10767</w:t>
        </w:r>
      </w:hyperlink>
      <w:r>
        <w:t xml:space="preserve"> </w:t>
      </w:r>
    </w:p>
    <w:p w:rsidR="00F80BFF" w:rsidRDefault="00F80BFF" w:rsidP="00F80BFF">
      <w:pPr>
        <w:pStyle w:val="NormalWeb"/>
      </w:pPr>
      <w:proofErr w:type="spellStart"/>
      <w:r>
        <w:t>Grimmett</w:t>
      </w:r>
      <w:proofErr w:type="spellEnd"/>
      <w:r>
        <w:t xml:space="preserve">, L., </w:t>
      </w:r>
      <w:proofErr w:type="spellStart"/>
      <w:r>
        <w:t>Whitsed</w:t>
      </w:r>
      <w:proofErr w:type="spellEnd"/>
      <w:r>
        <w:t xml:space="preserve">, R., &amp; Horta, A. (2020). Presence-only species distribution models are sensitive to sample prevalence: Evaluating models using spatial prediction stability and accuracy metrics. </w:t>
      </w:r>
      <w:r>
        <w:rPr>
          <w:rStyle w:val="Emphasis"/>
          <w:rFonts w:eastAsiaTheme="majorEastAsia"/>
        </w:rPr>
        <w:t>Ecological Modelling, 431</w:t>
      </w:r>
      <w:r>
        <w:t xml:space="preserve">, 109194. https://doi.org/10.1016/j.ecolmodel.2020.109194 </w:t>
      </w:r>
    </w:p>
    <w:p w:rsidR="00F80BFF" w:rsidRDefault="00F80BFF" w:rsidP="00F80BFF">
      <w:pPr>
        <w:pStyle w:val="NormalWeb"/>
      </w:pPr>
      <w:r>
        <w:t xml:space="preserve">Gunderson, A. R., &amp; </w:t>
      </w:r>
      <w:proofErr w:type="spellStart"/>
      <w:r>
        <w:t>Stillman</w:t>
      </w:r>
      <w:proofErr w:type="spellEnd"/>
      <w:r>
        <w:t xml:space="preserve">, J. H. (2015). Plasticity in thermal tolerance has limited potential to buffer ectotherms from global warming. </w:t>
      </w:r>
      <w:r>
        <w:rPr>
          <w:rStyle w:val="Emphasis"/>
        </w:rPr>
        <w:t>Proceedings of the Royal Society B: Biological Sciences, 282</w:t>
      </w:r>
      <w:r>
        <w:t xml:space="preserve">(1808), 20150401. https://doi.org/10.1098/rspb.2015.0401 </w:t>
      </w:r>
    </w:p>
    <w:p w:rsidR="00F80BFF" w:rsidRDefault="00F80BFF" w:rsidP="00F80BFF">
      <w:pPr>
        <w:pStyle w:val="NormalWeb"/>
      </w:pPr>
      <w:r>
        <w:t xml:space="preserve">Han, P., </w:t>
      </w:r>
      <w:proofErr w:type="spellStart"/>
      <w:r>
        <w:t>Lavoir</w:t>
      </w:r>
      <w:proofErr w:type="spellEnd"/>
      <w:r>
        <w:t>, A.-V., Rodriguez-</w:t>
      </w:r>
      <w:proofErr w:type="spellStart"/>
      <w:r>
        <w:t>Saona</w:t>
      </w:r>
      <w:proofErr w:type="spellEnd"/>
      <w:r>
        <w:t xml:space="preserve">, C., &amp; </w:t>
      </w:r>
      <w:proofErr w:type="spellStart"/>
      <w:r>
        <w:t>Desneux</w:t>
      </w:r>
      <w:proofErr w:type="spellEnd"/>
      <w:r>
        <w:t xml:space="preserve">, N. (2022). Bottom-up forces in agroecosystems and their potential impact on arthropod pest management. </w:t>
      </w:r>
      <w:r>
        <w:rPr>
          <w:rStyle w:val="Emphasis"/>
        </w:rPr>
        <w:t>Annual Review of Entomology, 67</w:t>
      </w:r>
      <w:r>
        <w:t xml:space="preserve">, 239–259. https://doi.org/10.1146/annurev-ento-060121-060505 </w:t>
      </w:r>
    </w:p>
    <w:p w:rsidR="00F80BFF" w:rsidRDefault="00F80BFF" w:rsidP="00F80BFF">
      <w:pPr>
        <w:pStyle w:val="NormalWeb"/>
      </w:pPr>
      <w:proofErr w:type="spellStart"/>
      <w:r>
        <w:lastRenderedPageBreak/>
        <w:t>Heeb</w:t>
      </w:r>
      <w:proofErr w:type="spellEnd"/>
      <w:r>
        <w:t xml:space="preserve">, L., Jenner, E., &amp; Cock, M. J. W. (2019). Climate-smart pest management: Building resilience of farms and landscapes to changing pest threats. </w:t>
      </w:r>
      <w:r>
        <w:rPr>
          <w:rStyle w:val="Emphasis"/>
        </w:rPr>
        <w:t>Journal of Pest Science, 92</w:t>
      </w:r>
      <w:r>
        <w:t xml:space="preserve">(3), 951–969. https://doi.org/10.1007/s10340-019-01083-y </w:t>
      </w:r>
    </w:p>
    <w:p w:rsidR="00F80BFF" w:rsidRDefault="00F80BFF" w:rsidP="00F80BFF">
      <w:pPr>
        <w:pStyle w:val="NormalWeb"/>
      </w:pPr>
      <w:r>
        <w:t xml:space="preserve">Hermann, M., </w:t>
      </w:r>
      <w:proofErr w:type="spellStart"/>
      <w:r>
        <w:t>Polazzo</w:t>
      </w:r>
      <w:proofErr w:type="spellEnd"/>
      <w:r>
        <w:t xml:space="preserve">, F., </w:t>
      </w:r>
      <w:proofErr w:type="spellStart"/>
      <w:r>
        <w:t>Cherta</w:t>
      </w:r>
      <w:proofErr w:type="spellEnd"/>
      <w:r>
        <w:t xml:space="preserve">, L., </w:t>
      </w:r>
      <w:proofErr w:type="spellStart"/>
      <w:r>
        <w:t>Crettaz-Minaglia</w:t>
      </w:r>
      <w:proofErr w:type="spellEnd"/>
      <w:r>
        <w:t>, M., García-</w:t>
      </w:r>
      <w:proofErr w:type="spellStart"/>
      <w:r>
        <w:t>Astillero</w:t>
      </w:r>
      <w:proofErr w:type="spellEnd"/>
      <w:r>
        <w:t xml:space="preserve">, A., </w:t>
      </w:r>
      <w:proofErr w:type="spellStart"/>
      <w:r>
        <w:t>Peeters</w:t>
      </w:r>
      <w:proofErr w:type="spellEnd"/>
      <w:r>
        <w:t xml:space="preserve">, E. T. H. M., Rico, A., &amp; van den Brink, P. J. (2024). Combined stress of an insecticide and heatwaves or elevated temperature induce community and food web effects in a Mediterranean freshwater ecosystem. </w:t>
      </w:r>
      <w:r>
        <w:rPr>
          <w:rStyle w:val="Emphasis"/>
        </w:rPr>
        <w:t>Water Research, 260</w:t>
      </w:r>
      <w:r>
        <w:t xml:space="preserve">, 121903. https://doi.org/10.1016/j.watres.2024.121903 </w:t>
      </w:r>
    </w:p>
    <w:p w:rsidR="00F80BFF" w:rsidRDefault="00F80BFF" w:rsidP="00F80BFF">
      <w:pPr>
        <w:pStyle w:val="NormalWeb"/>
      </w:pPr>
      <w:r w:rsidRPr="0004344E">
        <w:t xml:space="preserve">Huss, C. P., Holmes, K. D., &amp; </w:t>
      </w:r>
      <w:proofErr w:type="spellStart"/>
      <w:r w:rsidRPr="0004344E">
        <w:t>Blubaugh</w:t>
      </w:r>
      <w:proofErr w:type="spellEnd"/>
      <w:r w:rsidRPr="0004344E">
        <w:t xml:space="preserve">, C. K. (2022). Benefits and Risks of Intercropping for Crop Resilience and Pest Management. Journal of economic entomology, 115(5), 1350–1362. </w:t>
      </w:r>
      <w:hyperlink r:id="rId9" w:history="1">
        <w:r w:rsidRPr="00CE683A">
          <w:rPr>
            <w:rStyle w:val="Hyperlink"/>
          </w:rPr>
          <w:t>https://doi.org/10.1093/jee/toac045</w:t>
        </w:r>
      </w:hyperlink>
      <w:r>
        <w:t xml:space="preserve"> </w:t>
      </w:r>
    </w:p>
    <w:p w:rsidR="00F80BFF" w:rsidRDefault="00F80BFF" w:rsidP="00F80BFF">
      <w:pPr>
        <w:pStyle w:val="NormalWeb"/>
      </w:pPr>
      <w:r>
        <w:t xml:space="preserve">Karp, D. S., Chaplin-Kramer, R., Meehan, T. D., </w:t>
      </w:r>
      <w:proofErr w:type="spellStart"/>
      <w:r>
        <w:t>Rusch</w:t>
      </w:r>
      <w:proofErr w:type="spellEnd"/>
      <w:r>
        <w:t xml:space="preserve">, A., Martin, E. A., </w:t>
      </w:r>
      <w:proofErr w:type="spellStart"/>
      <w:r>
        <w:t>DeClerck</w:t>
      </w:r>
      <w:proofErr w:type="spellEnd"/>
      <w:r>
        <w:t xml:space="preserve">, F., Grab, H., Gratton, C., Hunt, L., Larsen, A. E., Martínez-Salinas, A., O’Rourke, M. E., Ricketts, T. H., </w:t>
      </w:r>
      <w:proofErr w:type="spellStart"/>
      <w:r>
        <w:t>Schellhorn</w:t>
      </w:r>
      <w:proofErr w:type="spellEnd"/>
      <w:r>
        <w:t xml:space="preserve">, N. A., </w:t>
      </w:r>
      <w:proofErr w:type="spellStart"/>
      <w:r>
        <w:t>Tscharntke</w:t>
      </w:r>
      <w:proofErr w:type="spellEnd"/>
      <w:r>
        <w:t xml:space="preserve">, T., Wratten, S. D., Zhang, W., &amp; Rosenheim, J. A. (2018). Crop pests and predators exhibit inconsistent responses to surrounding landscape composition. </w:t>
      </w:r>
      <w:r>
        <w:rPr>
          <w:rStyle w:val="Emphasis"/>
        </w:rPr>
        <w:t>Proceedings of the National Academy of Sciences, 115</w:t>
      </w:r>
      <w:r>
        <w:t xml:space="preserve">(33), E7863–E7870. https://doi.org/10.1073/pnas.1800042115 </w:t>
      </w:r>
    </w:p>
    <w:p w:rsidR="00F80BFF" w:rsidRDefault="00F80BFF" w:rsidP="00F80BFF">
      <w:pPr>
        <w:pStyle w:val="NormalWeb"/>
      </w:pPr>
      <w:proofErr w:type="spellStart"/>
      <w:r>
        <w:t>Khonje</w:t>
      </w:r>
      <w:proofErr w:type="spellEnd"/>
      <w:r>
        <w:t xml:space="preserve">, M. G., Tambo, J. A., Ndlovu, P. V., Cotter, M., Guo, H., Ibrahim, H., &amp; </w:t>
      </w:r>
      <w:proofErr w:type="spellStart"/>
      <w:r>
        <w:t>Ayubu</w:t>
      </w:r>
      <w:proofErr w:type="spellEnd"/>
      <w:r>
        <w:t xml:space="preserve">, A. (2025). Provision of pest alerts is associated with better farm performance in Africa. </w:t>
      </w:r>
      <w:r>
        <w:rPr>
          <w:rStyle w:val="Emphasis"/>
        </w:rPr>
        <w:t>Pest Management Science.</w:t>
      </w:r>
      <w:r>
        <w:t xml:space="preserve"> Advanced online publication. https://doi.org/10.1002/ps.70196 </w:t>
      </w:r>
    </w:p>
    <w:p w:rsidR="00F80BFF" w:rsidRDefault="00F80BFF" w:rsidP="00F80BFF">
      <w:pPr>
        <w:pStyle w:val="NormalWeb"/>
      </w:pPr>
      <w:r>
        <w:t xml:space="preserve">Le </w:t>
      </w:r>
      <w:proofErr w:type="spellStart"/>
      <w:r>
        <w:t>Lann</w:t>
      </w:r>
      <w:proofErr w:type="spellEnd"/>
      <w:r>
        <w:t xml:space="preserve">, C., van </w:t>
      </w:r>
      <w:proofErr w:type="spellStart"/>
      <w:r>
        <w:t>Baaren</w:t>
      </w:r>
      <w:proofErr w:type="spellEnd"/>
      <w:r>
        <w:t xml:space="preserve">, J., &amp; Visser, B. (2021). Dealing with predictable and unpredictable temperatures in a climate change context: The case of parasitoids and their hosts. </w:t>
      </w:r>
      <w:r>
        <w:rPr>
          <w:rStyle w:val="Emphasis"/>
        </w:rPr>
        <w:t>Journal of Experimental Biology, 224</w:t>
      </w:r>
      <w:r>
        <w:t xml:space="preserve">(Suppl. 1), jeb238626. https://doi.org/10.1242/jeb.238626 </w:t>
      </w:r>
    </w:p>
    <w:p w:rsidR="00F80BFF" w:rsidRDefault="00F80BFF" w:rsidP="00F80BFF">
      <w:pPr>
        <w:pStyle w:val="NormalWeb"/>
        <w:rPr>
          <w:rStyle w:val="ms-1"/>
        </w:rPr>
      </w:pPr>
      <w:r>
        <w:t xml:space="preserve">Li, D., Brough, B., Rees, J. W., </w:t>
      </w:r>
      <w:proofErr w:type="spellStart"/>
      <w:r>
        <w:t>Coste</w:t>
      </w:r>
      <w:proofErr w:type="spellEnd"/>
      <w:r>
        <w:t xml:space="preserve">, C. F. D., Yuan, C., Fowler, M. S., &amp; </w:t>
      </w:r>
      <w:proofErr w:type="spellStart"/>
      <w:r>
        <w:t>Sait</w:t>
      </w:r>
      <w:proofErr w:type="spellEnd"/>
      <w:r>
        <w:t xml:space="preserve">, S. M. (2024). Humidity modifies species-specific and age-dependent heat stress effects in an insect host–parasitoid interaction. </w:t>
      </w:r>
      <w:r>
        <w:rPr>
          <w:rStyle w:val="Emphasis"/>
        </w:rPr>
        <w:t>Ecology and Evolution, 14</w:t>
      </w:r>
      <w:r>
        <w:t xml:space="preserve">, e70047. https://doi.org/10.1002/ece3.70047 </w:t>
      </w:r>
    </w:p>
    <w:p w:rsidR="00F80BFF" w:rsidRDefault="00F80BFF" w:rsidP="00F80BFF">
      <w:pPr>
        <w:pStyle w:val="NormalWeb"/>
      </w:pPr>
      <w:r w:rsidRPr="002804B9">
        <w:t>Ma, C. S., Zhang, W., Peng, Y., Zhao, F., Chang, X. Q., Xing, K., Zhu, L., Ma, G., Yang, H. P., &amp; Rudolf, V. H. W. (2021). Climate warming promotes pesticide resistance through expanding overwintering range of a global pest. Nature communications, 12(1), 5351. https://doi.org/10.1038/s41467-021-25505-7</w:t>
      </w:r>
    </w:p>
    <w:p w:rsidR="00F80BFF" w:rsidRDefault="00F80BFF" w:rsidP="00F80BFF">
      <w:pPr>
        <w:pStyle w:val="NormalWeb"/>
      </w:pPr>
      <w:r>
        <w:t xml:space="preserve">Macaulay, S. J., Lytle, D. A., Hageman, K. J., &amp; Matthaei, C. D. (2020). Water temperature interacts with the insecticide imidacloprid to influence mayfly survival. </w:t>
      </w:r>
      <w:r>
        <w:rPr>
          <w:rStyle w:val="Emphasis"/>
        </w:rPr>
        <w:t>New Zealand Journal of Marine and Freshwater Research, 54</w:t>
      </w:r>
      <w:r>
        <w:t xml:space="preserve">(1), 57–71. https://doi.org/10.1080/00288330.2019.1614961 </w:t>
      </w:r>
    </w:p>
    <w:p w:rsidR="00F80BFF" w:rsidRDefault="00F80BFF" w:rsidP="00F80BFF">
      <w:pPr>
        <w:pStyle w:val="NormalWeb"/>
      </w:pPr>
      <w:r>
        <w:t xml:space="preserve">Moore, M. E., Hill, C. A., &amp; Kingsolver, J. G. (2022). Developmental timing of extreme temperature events (heat waves) disrupts host–parasitoid interactions. </w:t>
      </w:r>
      <w:r>
        <w:rPr>
          <w:rStyle w:val="Emphasis"/>
        </w:rPr>
        <w:t>Ecology and Evolution, 12</w:t>
      </w:r>
      <w:r>
        <w:t xml:space="preserve">(3), e8618. https://doi.org/10.1002/ece3.8618 </w:t>
      </w:r>
    </w:p>
    <w:p w:rsidR="00F80BFF" w:rsidRDefault="00F80BFF" w:rsidP="00F80BFF">
      <w:pPr>
        <w:pStyle w:val="NormalWeb"/>
      </w:pPr>
      <w:r>
        <w:lastRenderedPageBreak/>
        <w:t xml:space="preserve">Neta, A., Levi, Y., Morin, E., &amp; Morin, S. (2023). Seasonal forecasting of pest population dynamics based on downscaled SEAS5 forecasts. </w:t>
      </w:r>
      <w:r>
        <w:rPr>
          <w:rStyle w:val="Emphasis"/>
        </w:rPr>
        <w:t>Ecological Modelling, 480</w:t>
      </w:r>
      <w:r>
        <w:t xml:space="preserve">, 110326. https://doi.org/10.1016/j.ecolmodel.2023.110326 </w:t>
      </w:r>
    </w:p>
    <w:p w:rsidR="00F80BFF" w:rsidRDefault="00F80BFF" w:rsidP="00F80BFF">
      <w:pPr>
        <w:pStyle w:val="NormalWeb"/>
      </w:pPr>
      <w:proofErr w:type="spellStart"/>
      <w:r>
        <w:t>Ouya</w:t>
      </w:r>
      <w:proofErr w:type="spellEnd"/>
      <w:r>
        <w:t xml:space="preserve">, F. O., Murage, A. W., </w:t>
      </w:r>
      <w:proofErr w:type="spellStart"/>
      <w:r>
        <w:t>Pittchar</w:t>
      </w:r>
      <w:proofErr w:type="spellEnd"/>
      <w:r>
        <w:t xml:space="preserve">, J. O., </w:t>
      </w:r>
      <w:proofErr w:type="spellStart"/>
      <w:r>
        <w:t>Chidawanyika</w:t>
      </w:r>
      <w:proofErr w:type="spellEnd"/>
      <w:r>
        <w:t xml:space="preserve">, F., Pickett, J. A., &amp; Khan, Z. R. (2023). Impacts of climate-resilient push–pull technology on farmers’ income in selected counties in Kenya and Tanzania: Propensity score matching approach. </w:t>
      </w:r>
      <w:r>
        <w:rPr>
          <w:rStyle w:val="Emphasis"/>
        </w:rPr>
        <w:t>Agriculture &amp; Food Security, 12</w:t>
      </w:r>
      <w:r>
        <w:t xml:space="preserve">(1), 15. https://doi.org/10.1186/s40066-023-00418-4. </w:t>
      </w:r>
    </w:p>
    <w:p w:rsidR="00F80BFF" w:rsidRDefault="00F80BFF" w:rsidP="00F80BFF">
      <w:pPr>
        <w:pStyle w:val="NormalWeb"/>
      </w:pPr>
      <w:proofErr w:type="spellStart"/>
      <w:r>
        <w:t>Paradinas</w:t>
      </w:r>
      <w:proofErr w:type="spellEnd"/>
      <w:r>
        <w:t xml:space="preserve">, I., Harris, O., Lobo, J. M., &amp; </w:t>
      </w:r>
      <w:proofErr w:type="spellStart"/>
      <w:r>
        <w:t>Santika</w:t>
      </w:r>
      <w:proofErr w:type="spellEnd"/>
      <w:r>
        <w:t xml:space="preserve">, T. (2023). Understanding spatial effects in species distribution models. </w:t>
      </w:r>
      <w:proofErr w:type="spellStart"/>
      <w:r>
        <w:rPr>
          <w:rStyle w:val="Emphasis"/>
        </w:rPr>
        <w:t>PLoS</w:t>
      </w:r>
      <w:proofErr w:type="spellEnd"/>
      <w:r>
        <w:rPr>
          <w:rStyle w:val="Emphasis"/>
        </w:rPr>
        <w:t xml:space="preserve"> ONE, 18</w:t>
      </w:r>
      <w:r>
        <w:t xml:space="preserve">(6), e0285463. https://doi.org/10.1371/journal.pone.0285463 </w:t>
      </w:r>
    </w:p>
    <w:p w:rsidR="00F80BFF" w:rsidRDefault="00F80BFF" w:rsidP="00F80BFF">
      <w:pPr>
        <w:pStyle w:val="NormalWeb"/>
      </w:pPr>
      <w:r>
        <w:t xml:space="preserve">Paredes, D., Rosenheim, J. A., Chaplin-Kramer, R., Winter, S., &amp; Karp, D. S. (2021). Landscape simplification increases vineyard pest outbreaks and insecticide use. </w:t>
      </w:r>
      <w:r>
        <w:rPr>
          <w:rStyle w:val="Emphasis"/>
        </w:rPr>
        <w:t>Ecology Letters, 24</w:t>
      </w:r>
      <w:r>
        <w:t xml:space="preserve">(1), 73–83. https://doi.org/10.1111/ele.13622 </w:t>
      </w:r>
    </w:p>
    <w:p w:rsidR="00F80BFF" w:rsidRDefault="00F80BFF" w:rsidP="00F80BFF">
      <w:pPr>
        <w:pStyle w:val="NormalWeb"/>
      </w:pPr>
      <w:r>
        <w:t xml:space="preserve">Parker, A. L., Han, P., &amp; </w:t>
      </w:r>
      <w:proofErr w:type="spellStart"/>
      <w:r>
        <w:t>Hance</w:t>
      </w:r>
      <w:proofErr w:type="spellEnd"/>
      <w:r>
        <w:t xml:space="preserve">, T. (2024). The interactive effects of heat stress, parasitism and host plant quality in a host–parasitoid system. </w:t>
      </w:r>
      <w:r>
        <w:rPr>
          <w:rStyle w:val="Emphasis"/>
        </w:rPr>
        <w:t>Functional Ecology, 38</w:t>
      </w:r>
      <w:r>
        <w:t xml:space="preserve">(3), 642–653. https://doi.org/10.1111/1365-2435.14498 </w:t>
      </w:r>
    </w:p>
    <w:p w:rsidR="00F80BFF" w:rsidRDefault="00F80BFF" w:rsidP="00F80BFF">
      <w:pPr>
        <w:pStyle w:val="NormalWeb"/>
      </w:pPr>
      <w:proofErr w:type="spellStart"/>
      <w:r>
        <w:t>Parkins</w:t>
      </w:r>
      <w:proofErr w:type="spellEnd"/>
      <w:r>
        <w:t xml:space="preserve">, A. J., </w:t>
      </w:r>
      <w:proofErr w:type="spellStart"/>
      <w:r>
        <w:t>Kheirodin</w:t>
      </w:r>
      <w:proofErr w:type="spellEnd"/>
      <w:r>
        <w:t xml:space="preserve">, A., </w:t>
      </w:r>
      <w:proofErr w:type="spellStart"/>
      <w:r>
        <w:t>Perier</w:t>
      </w:r>
      <w:proofErr w:type="spellEnd"/>
      <w:r>
        <w:t xml:space="preserve">, J. D., </w:t>
      </w:r>
      <w:proofErr w:type="spellStart"/>
      <w:r>
        <w:t>Cremonez</w:t>
      </w:r>
      <w:proofErr w:type="spellEnd"/>
      <w:r>
        <w:t xml:space="preserve">, P. S. G., Riley, D. G., Simmons, A. M., &amp; Schmidt, J. M. (2024). Direct and indirect effects of selective insecticides on two generalist predators of </w:t>
      </w:r>
      <w:proofErr w:type="spellStart"/>
      <w:r>
        <w:rPr>
          <w:rStyle w:val="Emphasis"/>
        </w:rPr>
        <w:t>Bemisia</w:t>
      </w:r>
      <w:proofErr w:type="spellEnd"/>
      <w:r>
        <w:rPr>
          <w:rStyle w:val="Emphasis"/>
        </w:rPr>
        <w:t xml:space="preserve"> </w:t>
      </w:r>
      <w:proofErr w:type="spellStart"/>
      <w:r>
        <w:rPr>
          <w:rStyle w:val="Emphasis"/>
        </w:rPr>
        <w:t>tabaci</w:t>
      </w:r>
      <w:proofErr w:type="spellEnd"/>
      <w:r>
        <w:t xml:space="preserve"> (Hemiptera: Aleyrodidae). </w:t>
      </w:r>
      <w:r>
        <w:rPr>
          <w:rStyle w:val="Emphasis"/>
        </w:rPr>
        <w:t>Journal of Insect Science, 24</w:t>
      </w:r>
      <w:r>
        <w:t xml:space="preserve">(6), 1–13. https://doi.org/10.1093/jisesa/ieae104. </w:t>
      </w:r>
    </w:p>
    <w:p w:rsidR="00F80BFF" w:rsidRDefault="00F80BFF" w:rsidP="00F80BFF">
      <w:pPr>
        <w:pStyle w:val="NormalWeb"/>
      </w:pPr>
      <w:r>
        <w:t xml:space="preserve">Perrin, M., </w:t>
      </w:r>
      <w:proofErr w:type="spellStart"/>
      <w:r>
        <w:t>Moiroux</w:t>
      </w:r>
      <w:proofErr w:type="spellEnd"/>
      <w:r>
        <w:t xml:space="preserve">, J., </w:t>
      </w:r>
      <w:proofErr w:type="spellStart"/>
      <w:r>
        <w:t>Maugin</w:t>
      </w:r>
      <w:proofErr w:type="spellEnd"/>
      <w:r>
        <w:t xml:space="preserve">, S., Olivares, J., </w:t>
      </w:r>
      <w:proofErr w:type="spellStart"/>
      <w:r>
        <w:t>Rault</w:t>
      </w:r>
      <w:proofErr w:type="spellEnd"/>
      <w:r>
        <w:t xml:space="preserve">, M., &amp; </w:t>
      </w:r>
      <w:proofErr w:type="spellStart"/>
      <w:r>
        <w:t>Siegwart</w:t>
      </w:r>
      <w:proofErr w:type="spellEnd"/>
      <w:r>
        <w:t xml:space="preserve">, M. (2022). Cross effects of heat stress and three insecticides on the survival of the codling moth </w:t>
      </w:r>
      <w:proofErr w:type="spellStart"/>
      <w:r>
        <w:rPr>
          <w:rStyle w:val="Emphasis"/>
        </w:rPr>
        <w:t>Cydia</w:t>
      </w:r>
      <w:proofErr w:type="spellEnd"/>
      <w:r>
        <w:rPr>
          <w:rStyle w:val="Emphasis"/>
        </w:rPr>
        <w:t xml:space="preserve"> </w:t>
      </w:r>
      <w:proofErr w:type="spellStart"/>
      <w:r>
        <w:rPr>
          <w:rStyle w:val="Emphasis"/>
        </w:rPr>
        <w:t>pomonella</w:t>
      </w:r>
      <w:proofErr w:type="spellEnd"/>
      <w:r>
        <w:t xml:space="preserve"> (L.): Investigating the molecular and biochemical mechanisms. </w:t>
      </w:r>
      <w:r>
        <w:rPr>
          <w:rStyle w:val="Emphasis"/>
        </w:rPr>
        <w:t>Pesticide Biochemistry and Physiology, 185</w:t>
      </w:r>
      <w:r>
        <w:t xml:space="preserve">, 105139. https://doi.org/10.1016/j.pestbp.2022.105139 </w:t>
      </w:r>
    </w:p>
    <w:p w:rsidR="00F80BFF" w:rsidRDefault="00F80BFF" w:rsidP="00F80BFF">
      <w:pPr>
        <w:pStyle w:val="NormalWeb"/>
      </w:pPr>
      <w:r>
        <w:t xml:space="preserve">Pu, J., Wang, Z., &amp; Chung, H. (2020). Climate change and the genetics of insecticide resistance. </w:t>
      </w:r>
      <w:r>
        <w:rPr>
          <w:rStyle w:val="Emphasis"/>
        </w:rPr>
        <w:t>Pest Management Science, 76</w:t>
      </w:r>
      <w:r>
        <w:t xml:space="preserve">(3), 846–852. https://doi.org/10.1002/ps.5700 </w:t>
      </w:r>
    </w:p>
    <w:p w:rsidR="00F80BFF" w:rsidRDefault="00F80BFF" w:rsidP="00F80BFF">
      <w:pPr>
        <w:pStyle w:val="NormalWeb"/>
      </w:pPr>
      <w:proofErr w:type="spellStart"/>
      <w:r>
        <w:t>Reaser</w:t>
      </w:r>
      <w:proofErr w:type="spellEnd"/>
      <w:r>
        <w:t xml:space="preserve">, J. K., </w:t>
      </w:r>
      <w:proofErr w:type="spellStart"/>
      <w:r>
        <w:t>Burgiel</w:t>
      </w:r>
      <w:proofErr w:type="spellEnd"/>
      <w:r>
        <w:t xml:space="preserve">, S. W., </w:t>
      </w:r>
      <w:proofErr w:type="spellStart"/>
      <w:r>
        <w:t>Kirkey</w:t>
      </w:r>
      <w:proofErr w:type="spellEnd"/>
      <w:r>
        <w:t xml:space="preserve">, J., Brantley, K. A., Veatch, S. D., &amp; Burgos-Rodríguez, J. (2020). The early detection of and rapid response (EDRR) to invasive species: A conceptual framework and federal capacities assessment. </w:t>
      </w:r>
      <w:r>
        <w:rPr>
          <w:rStyle w:val="Emphasis"/>
          <w:rFonts w:eastAsiaTheme="majorEastAsia"/>
        </w:rPr>
        <w:t>Biological Invasions, 22</w:t>
      </w:r>
      <w:r>
        <w:t xml:space="preserve">(1), 1–19. https://doi.org/10.1007/s10530-019-02156-w </w:t>
      </w:r>
    </w:p>
    <w:p w:rsidR="00F80BFF" w:rsidRDefault="00F80BFF" w:rsidP="00F80BFF">
      <w:pPr>
        <w:pStyle w:val="NormalWeb"/>
      </w:pPr>
      <w:proofErr w:type="spellStart"/>
      <w:r>
        <w:t>Rebaudo</w:t>
      </w:r>
      <w:proofErr w:type="spellEnd"/>
      <w:r>
        <w:t xml:space="preserve">, F., &amp; </w:t>
      </w:r>
      <w:proofErr w:type="spellStart"/>
      <w:r>
        <w:t>Rabhi</w:t>
      </w:r>
      <w:proofErr w:type="spellEnd"/>
      <w:r>
        <w:t xml:space="preserve">, V.-B. (2018). Modeling temperature-dependent development rate and phenology in insects: review of major developments, challenges, and future directions. </w:t>
      </w:r>
      <w:r>
        <w:rPr>
          <w:rStyle w:val="Emphasis"/>
        </w:rPr>
        <w:t>Ecological Entomology, 43</w:t>
      </w:r>
      <w:r>
        <w:t xml:space="preserve">(5), 587–595. https://doi.org/10.1111/eea.12693 </w:t>
      </w:r>
    </w:p>
    <w:p w:rsidR="00F80BFF" w:rsidRDefault="00F80BFF" w:rsidP="00F80BFF">
      <w:pPr>
        <w:pStyle w:val="NormalWeb"/>
      </w:pPr>
      <w:proofErr w:type="spellStart"/>
      <w:r>
        <w:t>Ristaino</w:t>
      </w:r>
      <w:proofErr w:type="spellEnd"/>
      <w:r>
        <w:t xml:space="preserve">, J. B., Anderson, P. K., </w:t>
      </w:r>
      <w:proofErr w:type="spellStart"/>
      <w:r>
        <w:t>Bebber</w:t>
      </w:r>
      <w:proofErr w:type="spellEnd"/>
      <w:r>
        <w:t xml:space="preserve">, D. P., </w:t>
      </w:r>
      <w:proofErr w:type="spellStart"/>
      <w:r>
        <w:t>Brauman</w:t>
      </w:r>
      <w:proofErr w:type="spellEnd"/>
      <w:r>
        <w:t xml:space="preserve">, K. A., </w:t>
      </w:r>
      <w:proofErr w:type="spellStart"/>
      <w:r>
        <w:t>Cunniffe</w:t>
      </w:r>
      <w:proofErr w:type="spellEnd"/>
      <w:r>
        <w:t xml:space="preserve">, N. J., </w:t>
      </w:r>
      <w:proofErr w:type="spellStart"/>
      <w:r>
        <w:t>Fedoroff</w:t>
      </w:r>
      <w:proofErr w:type="spellEnd"/>
      <w:r>
        <w:t xml:space="preserve">, N. V., </w:t>
      </w:r>
      <w:proofErr w:type="spellStart"/>
      <w:r>
        <w:t>Finegold</w:t>
      </w:r>
      <w:proofErr w:type="spellEnd"/>
      <w:r>
        <w:t xml:space="preserve">, C., Garrett, K. A., Gilligan, C. A., Jones, C. M., Martin, M. D., MacDonald, G. K., </w:t>
      </w:r>
      <w:proofErr w:type="spellStart"/>
      <w:r>
        <w:t>Neenan</w:t>
      </w:r>
      <w:proofErr w:type="spellEnd"/>
      <w:r>
        <w:t xml:space="preserve">, P. L., Records, A. R., </w:t>
      </w:r>
      <w:proofErr w:type="spellStart"/>
      <w:r>
        <w:t>Roossinck</w:t>
      </w:r>
      <w:proofErr w:type="spellEnd"/>
      <w:r>
        <w:t xml:space="preserve">, M. J., Wei, Q., &amp; </w:t>
      </w:r>
      <w:proofErr w:type="spellStart"/>
      <w:r>
        <w:t>Savary</w:t>
      </w:r>
      <w:proofErr w:type="spellEnd"/>
      <w:r>
        <w:t xml:space="preserve">, S. (2021). The persistent threat of emerging plant disease pandemics to global food security. </w:t>
      </w:r>
      <w:r>
        <w:rPr>
          <w:rStyle w:val="Emphasis"/>
        </w:rPr>
        <w:t>Proceedings of the National Academy of Sciences, 118</w:t>
      </w:r>
      <w:r>
        <w:t xml:space="preserve">(23), e2022239118. https://doi.org/10.1073/pnas.2022239118 </w:t>
      </w:r>
    </w:p>
    <w:p w:rsidR="00F80BFF" w:rsidRDefault="00F80BFF" w:rsidP="00F80BFF">
      <w:pPr>
        <w:pStyle w:val="NormalWeb"/>
      </w:pPr>
      <w:r>
        <w:lastRenderedPageBreak/>
        <w:t xml:space="preserve">Roe, A. D., Greenwood, L. F., &amp; Coyle, D. R. (2024). Catching </w:t>
      </w:r>
      <w:proofErr w:type="spellStart"/>
      <w:r>
        <w:t>invasives</w:t>
      </w:r>
      <w:proofErr w:type="spellEnd"/>
      <w:r>
        <w:t xml:space="preserve"> with curiosity: The importance of passive biosecurity surveillance systems for invasive forest pest detection. </w:t>
      </w:r>
      <w:r>
        <w:rPr>
          <w:rStyle w:val="Emphasis"/>
          <w:rFonts w:eastAsiaTheme="majorEastAsia"/>
        </w:rPr>
        <w:t>Environmental Entomology, 53</w:t>
      </w:r>
      <w:r>
        <w:t xml:space="preserve">(6), 881–893. https://doi.org/10.1093/ee/nvae082 </w:t>
      </w:r>
    </w:p>
    <w:p w:rsidR="00F80BFF" w:rsidRDefault="00F80BFF" w:rsidP="00F80BFF">
      <w:pPr>
        <w:pStyle w:val="NormalWeb"/>
      </w:pPr>
      <w:r>
        <w:t>Schmidt-</w:t>
      </w:r>
      <w:proofErr w:type="spellStart"/>
      <w:r>
        <w:t>Jeffris</w:t>
      </w:r>
      <w:proofErr w:type="spellEnd"/>
      <w:r>
        <w:t xml:space="preserve">, R. A. (2023). Nontarget pesticide impacts on pest natural enemies: Progress and gaps in current knowledge. </w:t>
      </w:r>
      <w:r>
        <w:rPr>
          <w:rStyle w:val="Emphasis"/>
        </w:rPr>
        <w:t>Current Opinion in Insect Science, 58</w:t>
      </w:r>
      <w:r>
        <w:t xml:space="preserve">, 101056. https://doi.org/10.1016/j.cois.2023.101056. </w:t>
      </w:r>
    </w:p>
    <w:p w:rsidR="00F80BFF" w:rsidRDefault="00F80BFF" w:rsidP="00F80BFF">
      <w:pPr>
        <w:pStyle w:val="NormalWeb"/>
      </w:pPr>
      <w:r>
        <w:t xml:space="preserve">Schneider, L., </w:t>
      </w:r>
      <w:proofErr w:type="spellStart"/>
      <w:r>
        <w:t>Rebetez</w:t>
      </w:r>
      <w:proofErr w:type="spellEnd"/>
      <w:r>
        <w:t xml:space="preserve">, M., &amp; </w:t>
      </w:r>
      <w:proofErr w:type="spellStart"/>
      <w:r>
        <w:t>Rasmann</w:t>
      </w:r>
      <w:proofErr w:type="spellEnd"/>
      <w:r>
        <w:t xml:space="preserve">, S. (2022). The effect of climate change on invasive crop pests across biomes. </w:t>
      </w:r>
      <w:r>
        <w:rPr>
          <w:rStyle w:val="Emphasis"/>
        </w:rPr>
        <w:t>Current Opinion in Insect Science, 50</w:t>
      </w:r>
      <w:r>
        <w:t xml:space="preserve">, 100895. https://doi.org/10.1016/j.cois.2022.100895 </w:t>
      </w:r>
    </w:p>
    <w:p w:rsidR="00F80BFF" w:rsidRDefault="00F80BFF" w:rsidP="00F80BFF">
      <w:pPr>
        <w:pStyle w:val="NormalWeb"/>
      </w:pPr>
      <w:r>
        <w:t xml:space="preserve">Sepulveda, A. J., Dumoulin, C. E., Blanchette, D. L., </w:t>
      </w:r>
      <w:proofErr w:type="spellStart"/>
      <w:r>
        <w:t>Pilliod</w:t>
      </w:r>
      <w:proofErr w:type="spellEnd"/>
      <w:r>
        <w:t xml:space="preserve">, D. S., </w:t>
      </w:r>
      <w:proofErr w:type="spellStart"/>
      <w:r>
        <w:t>Hitt</w:t>
      </w:r>
      <w:proofErr w:type="spellEnd"/>
      <w:r>
        <w:t xml:space="preserve">, N. P., </w:t>
      </w:r>
      <w:proofErr w:type="spellStart"/>
      <w:r>
        <w:t>Luikart</w:t>
      </w:r>
      <w:proofErr w:type="spellEnd"/>
      <w:r>
        <w:t xml:space="preserve">, G., … Smith, D. R. (2023). When are environmental DNA early detections of invasive species actionable? </w:t>
      </w:r>
      <w:r>
        <w:rPr>
          <w:rStyle w:val="Emphasis"/>
          <w:rFonts w:eastAsiaTheme="majorEastAsia"/>
        </w:rPr>
        <w:t>Journal of Environmental Management, 335</w:t>
      </w:r>
      <w:r>
        <w:t xml:space="preserve">, 118216. https://doi.org/10.1016/j.jenvman.2023.118216 </w:t>
      </w:r>
    </w:p>
    <w:p w:rsidR="00F80BFF" w:rsidRDefault="00F80BFF" w:rsidP="00F80BFF">
      <w:pPr>
        <w:pStyle w:val="NormalWeb"/>
      </w:pPr>
      <w:r>
        <w:t xml:space="preserve">Siegel, K. J., Cavanaugh, K. C., &amp; Dee, L. E. (2024). Balancing multiple management objectives as climate change transforms ecosystems. </w:t>
      </w:r>
      <w:r>
        <w:rPr>
          <w:rStyle w:val="Emphasis"/>
        </w:rPr>
        <w:t>Trends in Ecology &amp; Evolution, 39</w:t>
      </w:r>
      <w:r>
        <w:t xml:space="preserve">(4), 381–395. https://doi.org/10.1016/j.tree.2023.11.003. </w:t>
      </w:r>
    </w:p>
    <w:p w:rsidR="00F80BFF" w:rsidRDefault="00F80BFF" w:rsidP="00F80BFF">
      <w:pPr>
        <w:pStyle w:val="NormalWeb"/>
      </w:pPr>
      <w:proofErr w:type="spellStart"/>
      <w:r>
        <w:t>Vasseur</w:t>
      </w:r>
      <w:proofErr w:type="spellEnd"/>
      <w:r>
        <w:t xml:space="preserve">, D. A., DeLong, J. P., Gilbert, B., Greig, H. S., Harley, C. D. G., McCann, K. S., Savage, V., Tunney, T. D., &amp; O’Connor, M. I. (2014). Increased temperature variation poses a greater risk to species than climate warming. </w:t>
      </w:r>
      <w:r>
        <w:rPr>
          <w:rStyle w:val="Emphasis"/>
        </w:rPr>
        <w:t>Proceedings of the Royal Society B: Biological Sciences, 281</w:t>
      </w:r>
      <w:r>
        <w:t xml:space="preserve">(1779), 20132612. https://doi.org/10.1098/rspb.2013.2612 </w:t>
      </w:r>
    </w:p>
    <w:p w:rsidR="00F80BFF" w:rsidRDefault="00F80BFF" w:rsidP="00F80BFF">
      <w:pPr>
        <w:pStyle w:val="NormalWeb"/>
      </w:pPr>
      <w:r>
        <w:t xml:space="preserve">Williams, B. K., Eaton, M. J., Nichols, J. D., &amp; Runge, M. C. (2024). Managing ecosystems with resist–accept–direct (RAD). </w:t>
      </w:r>
      <w:r>
        <w:rPr>
          <w:rStyle w:val="Emphasis"/>
        </w:rPr>
        <w:t>Methods in Ecology and Evolution, 15</w:t>
      </w:r>
      <w:r>
        <w:t xml:space="preserve">(5), 796–805. https://doi.org/10.1111/2041-210X.14309. </w:t>
      </w:r>
    </w:p>
    <w:p w:rsidR="00F80BFF" w:rsidRDefault="00F80BFF" w:rsidP="00F80BFF">
      <w:pPr>
        <w:pStyle w:val="NormalWeb"/>
      </w:pPr>
      <w:r>
        <w:t xml:space="preserve">Yang, Y., Tilman, D., Jin, Z., Smith, P., Barrett, C. B., Zhu, Y.-G., Burney, J., </w:t>
      </w:r>
      <w:proofErr w:type="spellStart"/>
      <w:r>
        <w:t>D’Odorico</w:t>
      </w:r>
      <w:proofErr w:type="spellEnd"/>
      <w:r>
        <w:t xml:space="preserve">, P., </w:t>
      </w:r>
      <w:proofErr w:type="spellStart"/>
      <w:r>
        <w:t>Fantke</w:t>
      </w:r>
      <w:proofErr w:type="spellEnd"/>
      <w:r>
        <w:t xml:space="preserve">, P., </w:t>
      </w:r>
      <w:proofErr w:type="spellStart"/>
      <w:r>
        <w:t>Fargione</w:t>
      </w:r>
      <w:proofErr w:type="spellEnd"/>
      <w:r>
        <w:t xml:space="preserve">, J., Finlay, J. C., </w:t>
      </w:r>
      <w:proofErr w:type="spellStart"/>
      <w:r>
        <w:t>Rulli</w:t>
      </w:r>
      <w:proofErr w:type="spellEnd"/>
      <w:r>
        <w:t xml:space="preserve">, M. C., </w:t>
      </w:r>
      <w:proofErr w:type="spellStart"/>
      <w:r>
        <w:t>Sloat</w:t>
      </w:r>
      <w:proofErr w:type="spellEnd"/>
      <w:r>
        <w:t xml:space="preserve">, L., Van </w:t>
      </w:r>
      <w:proofErr w:type="spellStart"/>
      <w:r>
        <w:t>Groenigen</w:t>
      </w:r>
      <w:proofErr w:type="spellEnd"/>
      <w:r>
        <w:t xml:space="preserve">, K.-J., West, P., Ziska, L. H., Michalak, A. M., &amp; Lobell, D. B. (2024). Climate change exacerbates the environmental impacts of agriculture. </w:t>
      </w:r>
      <w:r>
        <w:rPr>
          <w:rStyle w:val="Emphasis"/>
        </w:rPr>
        <w:t>Science, 385</w:t>
      </w:r>
      <w:r>
        <w:t xml:space="preserve">(6713), eadn3747. https://doi.org/10.1126/science.adn3747 </w:t>
      </w:r>
    </w:p>
    <w:p w:rsidR="00F80BFF" w:rsidRDefault="00F80BFF" w:rsidP="00F80BFF">
      <w:pPr>
        <w:pStyle w:val="NormalWeb"/>
      </w:pPr>
      <w:r>
        <w:t xml:space="preserve">Zhou, J., </w:t>
      </w:r>
      <w:proofErr w:type="spellStart"/>
      <w:r>
        <w:t>Niu</w:t>
      </w:r>
      <w:proofErr w:type="spellEnd"/>
      <w:r>
        <w:t xml:space="preserve">, Z., Pang, L., Chen, P., Cai, J., Hong, H., … Shen, S. (2024). Integrated pest management: An update on theory and practice. </w:t>
      </w:r>
      <w:r>
        <w:rPr>
          <w:rStyle w:val="Emphasis"/>
        </w:rPr>
        <w:t>ACS Omega, 9</w:t>
      </w:r>
      <w:r>
        <w:t xml:space="preserve">(34), 30585–30599. https://doi.org/10.1021/acsomega.4c06628 </w:t>
      </w:r>
    </w:p>
    <w:p w:rsidR="00F80BFF" w:rsidRDefault="00F80BFF" w:rsidP="00F80BFF">
      <w:pPr>
        <w:pStyle w:val="NormalWeb"/>
        <w:rPr>
          <w:rStyle w:val="ms-1"/>
        </w:rPr>
      </w:pPr>
      <w:proofErr w:type="spellStart"/>
      <w:r>
        <w:t>Zilnik</w:t>
      </w:r>
      <w:proofErr w:type="spellEnd"/>
      <w:r>
        <w:t xml:space="preserve">, G., Bergeron, P. E., Chuang, A., </w:t>
      </w:r>
      <w:proofErr w:type="spellStart"/>
      <w:r>
        <w:t>Diepenbrock</w:t>
      </w:r>
      <w:proofErr w:type="spellEnd"/>
      <w:r>
        <w:t xml:space="preserve">, L., </w:t>
      </w:r>
      <w:proofErr w:type="spellStart"/>
      <w:r>
        <w:t>Hanel</w:t>
      </w:r>
      <w:proofErr w:type="spellEnd"/>
      <w:r>
        <w:t>, A., Middleton, E., Moretti, E., &amp; Schmidt-</w:t>
      </w:r>
      <w:proofErr w:type="spellStart"/>
      <w:r>
        <w:t>Jeffris</w:t>
      </w:r>
      <w:proofErr w:type="spellEnd"/>
      <w:r>
        <w:t xml:space="preserve">, R. (2023). Meta-analysis of herbicide non-target effects on pest natural enemies. </w:t>
      </w:r>
      <w:r>
        <w:rPr>
          <w:rStyle w:val="Emphasis"/>
        </w:rPr>
        <w:t>Insects, 14</w:t>
      </w:r>
      <w:r>
        <w:t xml:space="preserve">(10), 787. https://doi.org/10.3390/insects14100787. </w:t>
      </w:r>
    </w:p>
    <w:p w:rsidR="00F80BFF" w:rsidRDefault="00F80BFF" w:rsidP="00F80BFF">
      <w:pPr>
        <w:pStyle w:val="NormalWeb"/>
      </w:pPr>
      <w:proofErr w:type="spellStart"/>
      <w:r>
        <w:t>Zurell</w:t>
      </w:r>
      <w:proofErr w:type="spellEnd"/>
      <w:r>
        <w:t xml:space="preserve">, D., Franklin, J., König, C., </w:t>
      </w:r>
      <w:proofErr w:type="spellStart"/>
      <w:r>
        <w:t>Bouchet</w:t>
      </w:r>
      <w:proofErr w:type="spellEnd"/>
      <w:r>
        <w:t xml:space="preserve">, P. J., </w:t>
      </w:r>
      <w:proofErr w:type="spellStart"/>
      <w:r>
        <w:t>Dormann</w:t>
      </w:r>
      <w:proofErr w:type="spellEnd"/>
      <w:r>
        <w:t xml:space="preserve">, C. F., </w:t>
      </w:r>
      <w:proofErr w:type="spellStart"/>
      <w:r>
        <w:t>Elith</w:t>
      </w:r>
      <w:proofErr w:type="spellEnd"/>
      <w:r>
        <w:t xml:space="preserve">, J., </w:t>
      </w:r>
      <w:proofErr w:type="spellStart"/>
      <w:r>
        <w:t>Fandos</w:t>
      </w:r>
      <w:proofErr w:type="spellEnd"/>
      <w:r>
        <w:t xml:space="preserve">, G., Feng, X., </w:t>
      </w:r>
      <w:proofErr w:type="spellStart"/>
      <w:r>
        <w:t>Guillera-Arroita</w:t>
      </w:r>
      <w:proofErr w:type="spellEnd"/>
      <w:r>
        <w:t xml:space="preserve">, G., </w:t>
      </w:r>
      <w:proofErr w:type="spellStart"/>
      <w:r>
        <w:t>Guisan</w:t>
      </w:r>
      <w:proofErr w:type="spellEnd"/>
      <w:r>
        <w:t xml:space="preserve">, A., </w:t>
      </w:r>
      <w:proofErr w:type="spellStart"/>
      <w:r>
        <w:t>Lahoz-Monfort</w:t>
      </w:r>
      <w:proofErr w:type="spellEnd"/>
      <w:r>
        <w:t xml:space="preserve">, J. J., </w:t>
      </w:r>
      <w:proofErr w:type="spellStart"/>
      <w:r>
        <w:t>Leitão</w:t>
      </w:r>
      <w:proofErr w:type="spellEnd"/>
      <w:r>
        <w:t xml:space="preserve">, P. J., </w:t>
      </w:r>
      <w:proofErr w:type="spellStart"/>
      <w:r>
        <w:t>Kuemmerle</w:t>
      </w:r>
      <w:proofErr w:type="spellEnd"/>
      <w:r>
        <w:t xml:space="preserve">, T., </w:t>
      </w:r>
      <w:proofErr w:type="spellStart"/>
      <w:r>
        <w:t>Meller</w:t>
      </w:r>
      <w:proofErr w:type="spellEnd"/>
      <w:r>
        <w:t xml:space="preserve">, L., </w:t>
      </w:r>
      <w:proofErr w:type="spellStart"/>
      <w:r>
        <w:t>Merow</w:t>
      </w:r>
      <w:proofErr w:type="spellEnd"/>
      <w:r>
        <w:t>, C., Negroes, N., Nieto-</w:t>
      </w:r>
      <w:proofErr w:type="spellStart"/>
      <w:r>
        <w:t>Lugilde</w:t>
      </w:r>
      <w:proofErr w:type="spellEnd"/>
      <w:r>
        <w:t xml:space="preserve">, D., </w:t>
      </w:r>
      <w:proofErr w:type="spellStart"/>
      <w:r>
        <w:t>Ploton</w:t>
      </w:r>
      <w:proofErr w:type="spellEnd"/>
      <w:r>
        <w:t xml:space="preserve">, P., … Zimmermann, N. E. (2020). A standard protocol for reporting species distribution models. </w:t>
      </w:r>
      <w:proofErr w:type="spellStart"/>
      <w:r>
        <w:rPr>
          <w:rStyle w:val="Emphasis"/>
        </w:rPr>
        <w:t>Ecography</w:t>
      </w:r>
      <w:proofErr w:type="spellEnd"/>
      <w:r>
        <w:rPr>
          <w:rStyle w:val="Emphasis"/>
        </w:rPr>
        <w:t>, 43</w:t>
      </w:r>
      <w:r>
        <w:t>(9), 1261–1277. https://doi.org/10.1111/ecog.04960</w:t>
      </w:r>
    </w:p>
    <w:p w:rsidR="00F80BFF" w:rsidRDefault="00F80BFF" w:rsidP="00F80BFF">
      <w:pPr>
        <w:pStyle w:val="NormalWeb"/>
      </w:pPr>
      <w:proofErr w:type="spellStart"/>
      <w:r>
        <w:lastRenderedPageBreak/>
        <w:t>Zurell</w:t>
      </w:r>
      <w:proofErr w:type="spellEnd"/>
      <w:r>
        <w:t xml:space="preserve">, D., Franklin, J., König, C., </w:t>
      </w:r>
      <w:proofErr w:type="spellStart"/>
      <w:r>
        <w:t>Bouchet</w:t>
      </w:r>
      <w:proofErr w:type="spellEnd"/>
      <w:r>
        <w:t xml:space="preserve">, P. J., </w:t>
      </w:r>
      <w:proofErr w:type="spellStart"/>
      <w:r>
        <w:t>Dormann</w:t>
      </w:r>
      <w:proofErr w:type="spellEnd"/>
      <w:r>
        <w:t xml:space="preserve">, C. F., </w:t>
      </w:r>
      <w:proofErr w:type="spellStart"/>
      <w:r>
        <w:t>Elith</w:t>
      </w:r>
      <w:proofErr w:type="spellEnd"/>
      <w:r>
        <w:t xml:space="preserve">, J., </w:t>
      </w:r>
      <w:proofErr w:type="spellStart"/>
      <w:r>
        <w:t>Fandos</w:t>
      </w:r>
      <w:proofErr w:type="spellEnd"/>
      <w:r>
        <w:t xml:space="preserve">, G., Feng, X., </w:t>
      </w:r>
      <w:proofErr w:type="spellStart"/>
      <w:r>
        <w:t>Guillera-Arroita</w:t>
      </w:r>
      <w:proofErr w:type="spellEnd"/>
      <w:r>
        <w:t xml:space="preserve">, G., </w:t>
      </w:r>
      <w:proofErr w:type="spellStart"/>
      <w:r>
        <w:t>Guisan</w:t>
      </w:r>
      <w:proofErr w:type="spellEnd"/>
      <w:r>
        <w:t xml:space="preserve">, A., </w:t>
      </w:r>
      <w:proofErr w:type="spellStart"/>
      <w:r>
        <w:t>Lahoz-Monfort</w:t>
      </w:r>
      <w:proofErr w:type="spellEnd"/>
      <w:r>
        <w:t xml:space="preserve">, J. J., </w:t>
      </w:r>
      <w:proofErr w:type="spellStart"/>
      <w:r>
        <w:t>Leitão</w:t>
      </w:r>
      <w:proofErr w:type="spellEnd"/>
      <w:r>
        <w:t xml:space="preserve">, P. J., </w:t>
      </w:r>
      <w:proofErr w:type="spellStart"/>
      <w:r>
        <w:t>Kuemmerle</w:t>
      </w:r>
      <w:proofErr w:type="spellEnd"/>
      <w:r>
        <w:t xml:space="preserve">, T., </w:t>
      </w:r>
      <w:proofErr w:type="spellStart"/>
      <w:r>
        <w:t>Meller</w:t>
      </w:r>
      <w:proofErr w:type="spellEnd"/>
      <w:r>
        <w:t xml:space="preserve">, L., </w:t>
      </w:r>
      <w:proofErr w:type="spellStart"/>
      <w:r>
        <w:t>Merow</w:t>
      </w:r>
      <w:proofErr w:type="spellEnd"/>
      <w:r>
        <w:t>, C., Negroes, N., Nieto-</w:t>
      </w:r>
      <w:proofErr w:type="spellStart"/>
      <w:r>
        <w:t>Lugilde</w:t>
      </w:r>
      <w:proofErr w:type="spellEnd"/>
      <w:r>
        <w:t xml:space="preserve">, D., </w:t>
      </w:r>
      <w:proofErr w:type="spellStart"/>
      <w:r>
        <w:t>Ploton</w:t>
      </w:r>
      <w:proofErr w:type="spellEnd"/>
      <w:r>
        <w:t xml:space="preserve">, P., … Zimmermann, N. E. (2020). A standard protocol for reporting species distribution models. </w:t>
      </w:r>
      <w:proofErr w:type="spellStart"/>
      <w:r>
        <w:rPr>
          <w:rStyle w:val="Emphasis"/>
        </w:rPr>
        <w:t>Ecography</w:t>
      </w:r>
      <w:proofErr w:type="spellEnd"/>
      <w:r>
        <w:rPr>
          <w:rStyle w:val="Emphasis"/>
        </w:rPr>
        <w:t>, 43</w:t>
      </w:r>
      <w:r>
        <w:t>(9), 1261–1277. https://doi.org/10.1111/ecog.04960</w:t>
      </w:r>
    </w:p>
    <w:p w:rsidR="00F80BFF" w:rsidRPr="000D6598" w:rsidRDefault="00F80BFF" w:rsidP="00F80BFF">
      <w:pPr>
        <w:spacing w:before="100" w:beforeAutospacing="1" w:after="100" w:afterAutospacing="1" w:line="240" w:lineRule="auto"/>
        <w:rPr>
          <w:rFonts w:ascii="Times New Roman" w:eastAsia="Times New Roman" w:hAnsi="Times New Roman" w:cs="Times New Roman"/>
          <w:sz w:val="24"/>
          <w:szCs w:val="24"/>
          <w:lang w:val="en-US"/>
        </w:rPr>
      </w:pPr>
    </w:p>
    <w:p w:rsidR="00500DF3" w:rsidRDefault="00500DF3" w:rsidP="00F80BFF"/>
    <w:sectPr w:rsidR="00500DF3" w:rsidSect="00CB6EB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4D5F" w:rsidRDefault="00514D5F" w:rsidP="006F6DDE">
      <w:pPr>
        <w:spacing w:after="0" w:line="240" w:lineRule="auto"/>
      </w:pPr>
      <w:r>
        <w:separator/>
      </w:r>
    </w:p>
  </w:endnote>
  <w:endnote w:type="continuationSeparator" w:id="0">
    <w:p w:rsidR="00514D5F" w:rsidRDefault="00514D5F" w:rsidP="006F6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4D5F" w:rsidRDefault="00514D5F" w:rsidP="006F6DDE">
      <w:pPr>
        <w:spacing w:after="0" w:line="240" w:lineRule="auto"/>
      </w:pPr>
      <w:r>
        <w:separator/>
      </w:r>
    </w:p>
  </w:footnote>
  <w:footnote w:type="continuationSeparator" w:id="0">
    <w:p w:rsidR="00514D5F" w:rsidRDefault="00514D5F" w:rsidP="006F6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24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24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DDE" w:rsidRDefault="006F6DD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724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71192"/>
    <w:multiLevelType w:val="multilevel"/>
    <w:tmpl w:val="5F00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0F2D"/>
    <w:rsid w:val="000D6598"/>
    <w:rsid w:val="001376AF"/>
    <w:rsid w:val="001C02BD"/>
    <w:rsid w:val="00297CBF"/>
    <w:rsid w:val="002F7EED"/>
    <w:rsid w:val="00303DBB"/>
    <w:rsid w:val="003A104D"/>
    <w:rsid w:val="004B6F50"/>
    <w:rsid w:val="00500DF3"/>
    <w:rsid w:val="00514D5F"/>
    <w:rsid w:val="00521626"/>
    <w:rsid w:val="00522724"/>
    <w:rsid w:val="0056208F"/>
    <w:rsid w:val="006F6DDE"/>
    <w:rsid w:val="00700A71"/>
    <w:rsid w:val="00771EA3"/>
    <w:rsid w:val="0084140D"/>
    <w:rsid w:val="00870427"/>
    <w:rsid w:val="00974EAD"/>
    <w:rsid w:val="009B183C"/>
    <w:rsid w:val="00A2270F"/>
    <w:rsid w:val="00A74096"/>
    <w:rsid w:val="00B00BCA"/>
    <w:rsid w:val="00C712E2"/>
    <w:rsid w:val="00C7481D"/>
    <w:rsid w:val="00CB5816"/>
    <w:rsid w:val="00CB6EB6"/>
    <w:rsid w:val="00D75C9D"/>
    <w:rsid w:val="00D93CCC"/>
    <w:rsid w:val="00D9440F"/>
    <w:rsid w:val="00DD7056"/>
    <w:rsid w:val="00DE0F2D"/>
    <w:rsid w:val="00DF11E7"/>
    <w:rsid w:val="00E02F78"/>
    <w:rsid w:val="00E31A84"/>
    <w:rsid w:val="00E64FC5"/>
    <w:rsid w:val="00E913CB"/>
    <w:rsid w:val="00F6047F"/>
    <w:rsid w:val="00F80BF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660C092-64FA-4AE7-93D6-03B5440A5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1C02B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1C02BD"/>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31A8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E31A8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2B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1C02BD"/>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1C02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C02BD"/>
    <w:rPr>
      <w:b/>
      <w:bCs/>
    </w:rPr>
  </w:style>
  <w:style w:type="character" w:customStyle="1" w:styleId="ms-1">
    <w:name w:val="ms-1"/>
    <w:basedOn w:val="DefaultParagraphFont"/>
    <w:rsid w:val="001C02BD"/>
  </w:style>
  <w:style w:type="character" w:customStyle="1" w:styleId="max-w-15ch">
    <w:name w:val="max-w-[15ch]"/>
    <w:basedOn w:val="DefaultParagraphFont"/>
    <w:rsid w:val="001C02BD"/>
  </w:style>
  <w:style w:type="character" w:customStyle="1" w:styleId="-me-1">
    <w:name w:val="-me-1"/>
    <w:basedOn w:val="DefaultParagraphFont"/>
    <w:rsid w:val="001C02BD"/>
  </w:style>
  <w:style w:type="character" w:styleId="Emphasis">
    <w:name w:val="Emphasis"/>
    <w:basedOn w:val="DefaultParagraphFont"/>
    <w:uiPriority w:val="20"/>
    <w:qFormat/>
    <w:rsid w:val="001C02BD"/>
    <w:rPr>
      <w:i/>
      <w:iCs/>
    </w:rPr>
  </w:style>
  <w:style w:type="character" w:customStyle="1" w:styleId="Heading3Char">
    <w:name w:val="Heading 3 Char"/>
    <w:basedOn w:val="DefaultParagraphFont"/>
    <w:link w:val="Heading3"/>
    <w:uiPriority w:val="9"/>
    <w:semiHidden/>
    <w:rsid w:val="00E31A8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E31A8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4B6F50"/>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4B6F50"/>
    <w:pPr>
      <w:spacing w:after="100"/>
    </w:pPr>
  </w:style>
  <w:style w:type="paragraph" w:styleId="TOC2">
    <w:name w:val="toc 2"/>
    <w:basedOn w:val="Normal"/>
    <w:next w:val="Normal"/>
    <w:autoRedefine/>
    <w:uiPriority w:val="39"/>
    <w:unhideWhenUsed/>
    <w:rsid w:val="004B6F50"/>
    <w:pPr>
      <w:spacing w:after="100"/>
      <w:ind w:left="220"/>
    </w:pPr>
  </w:style>
  <w:style w:type="character" w:styleId="Hyperlink">
    <w:name w:val="Hyperlink"/>
    <w:basedOn w:val="DefaultParagraphFont"/>
    <w:uiPriority w:val="99"/>
    <w:unhideWhenUsed/>
    <w:rsid w:val="004B6F50"/>
    <w:rPr>
      <w:color w:val="0563C1" w:themeColor="hyperlink"/>
      <w:u w:val="single"/>
    </w:rPr>
  </w:style>
  <w:style w:type="paragraph" w:styleId="BalloonText">
    <w:name w:val="Balloon Text"/>
    <w:basedOn w:val="Normal"/>
    <w:link w:val="BalloonTextChar"/>
    <w:uiPriority w:val="99"/>
    <w:semiHidden/>
    <w:unhideWhenUsed/>
    <w:rsid w:val="004B6F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F50"/>
    <w:rPr>
      <w:rFonts w:ascii="Tahoma" w:hAnsi="Tahoma" w:cs="Tahoma"/>
      <w:sz w:val="16"/>
      <w:szCs w:val="16"/>
    </w:rPr>
  </w:style>
  <w:style w:type="paragraph" w:styleId="Header">
    <w:name w:val="header"/>
    <w:basedOn w:val="Normal"/>
    <w:link w:val="HeaderChar"/>
    <w:uiPriority w:val="99"/>
    <w:unhideWhenUsed/>
    <w:rsid w:val="006F6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DDE"/>
  </w:style>
  <w:style w:type="paragraph" w:styleId="Footer">
    <w:name w:val="footer"/>
    <w:basedOn w:val="Normal"/>
    <w:link w:val="FooterChar"/>
    <w:uiPriority w:val="99"/>
    <w:unhideWhenUsed/>
    <w:rsid w:val="006F6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947656">
      <w:bodyDiv w:val="1"/>
      <w:marLeft w:val="0"/>
      <w:marRight w:val="0"/>
      <w:marTop w:val="0"/>
      <w:marBottom w:val="0"/>
      <w:divBdr>
        <w:top w:val="none" w:sz="0" w:space="0" w:color="auto"/>
        <w:left w:val="none" w:sz="0" w:space="0" w:color="auto"/>
        <w:bottom w:val="none" w:sz="0" w:space="0" w:color="auto"/>
        <w:right w:val="none" w:sz="0" w:space="0" w:color="auto"/>
      </w:divBdr>
    </w:div>
    <w:div w:id="462968734">
      <w:bodyDiv w:val="1"/>
      <w:marLeft w:val="0"/>
      <w:marRight w:val="0"/>
      <w:marTop w:val="0"/>
      <w:marBottom w:val="0"/>
      <w:divBdr>
        <w:top w:val="none" w:sz="0" w:space="0" w:color="auto"/>
        <w:left w:val="none" w:sz="0" w:space="0" w:color="auto"/>
        <w:bottom w:val="none" w:sz="0" w:space="0" w:color="auto"/>
        <w:right w:val="none" w:sz="0" w:space="0" w:color="auto"/>
      </w:divBdr>
    </w:div>
    <w:div w:id="578754412">
      <w:bodyDiv w:val="1"/>
      <w:marLeft w:val="0"/>
      <w:marRight w:val="0"/>
      <w:marTop w:val="0"/>
      <w:marBottom w:val="0"/>
      <w:divBdr>
        <w:top w:val="none" w:sz="0" w:space="0" w:color="auto"/>
        <w:left w:val="none" w:sz="0" w:space="0" w:color="auto"/>
        <w:bottom w:val="none" w:sz="0" w:space="0" w:color="auto"/>
        <w:right w:val="none" w:sz="0" w:space="0" w:color="auto"/>
      </w:divBdr>
    </w:div>
    <w:div w:id="727461297">
      <w:bodyDiv w:val="1"/>
      <w:marLeft w:val="0"/>
      <w:marRight w:val="0"/>
      <w:marTop w:val="0"/>
      <w:marBottom w:val="0"/>
      <w:divBdr>
        <w:top w:val="none" w:sz="0" w:space="0" w:color="auto"/>
        <w:left w:val="none" w:sz="0" w:space="0" w:color="auto"/>
        <w:bottom w:val="none" w:sz="0" w:space="0" w:color="auto"/>
        <w:right w:val="none" w:sz="0" w:space="0" w:color="auto"/>
      </w:divBdr>
    </w:div>
    <w:div w:id="837116826">
      <w:bodyDiv w:val="1"/>
      <w:marLeft w:val="0"/>
      <w:marRight w:val="0"/>
      <w:marTop w:val="0"/>
      <w:marBottom w:val="0"/>
      <w:divBdr>
        <w:top w:val="none" w:sz="0" w:space="0" w:color="auto"/>
        <w:left w:val="none" w:sz="0" w:space="0" w:color="auto"/>
        <w:bottom w:val="none" w:sz="0" w:space="0" w:color="auto"/>
        <w:right w:val="none" w:sz="0" w:space="0" w:color="auto"/>
      </w:divBdr>
    </w:div>
    <w:div w:id="939801626">
      <w:bodyDiv w:val="1"/>
      <w:marLeft w:val="0"/>
      <w:marRight w:val="0"/>
      <w:marTop w:val="0"/>
      <w:marBottom w:val="0"/>
      <w:divBdr>
        <w:top w:val="none" w:sz="0" w:space="0" w:color="auto"/>
        <w:left w:val="none" w:sz="0" w:space="0" w:color="auto"/>
        <w:bottom w:val="none" w:sz="0" w:space="0" w:color="auto"/>
        <w:right w:val="none" w:sz="0" w:space="0" w:color="auto"/>
      </w:divBdr>
    </w:div>
    <w:div w:id="998462739">
      <w:bodyDiv w:val="1"/>
      <w:marLeft w:val="0"/>
      <w:marRight w:val="0"/>
      <w:marTop w:val="0"/>
      <w:marBottom w:val="0"/>
      <w:divBdr>
        <w:top w:val="none" w:sz="0" w:space="0" w:color="auto"/>
        <w:left w:val="none" w:sz="0" w:space="0" w:color="auto"/>
        <w:bottom w:val="none" w:sz="0" w:space="0" w:color="auto"/>
        <w:right w:val="none" w:sz="0" w:space="0" w:color="auto"/>
      </w:divBdr>
    </w:div>
    <w:div w:id="1009406304">
      <w:bodyDiv w:val="1"/>
      <w:marLeft w:val="0"/>
      <w:marRight w:val="0"/>
      <w:marTop w:val="0"/>
      <w:marBottom w:val="0"/>
      <w:divBdr>
        <w:top w:val="none" w:sz="0" w:space="0" w:color="auto"/>
        <w:left w:val="none" w:sz="0" w:space="0" w:color="auto"/>
        <w:bottom w:val="none" w:sz="0" w:space="0" w:color="auto"/>
        <w:right w:val="none" w:sz="0" w:space="0" w:color="auto"/>
      </w:divBdr>
    </w:div>
    <w:div w:id="1088888568">
      <w:bodyDiv w:val="1"/>
      <w:marLeft w:val="0"/>
      <w:marRight w:val="0"/>
      <w:marTop w:val="0"/>
      <w:marBottom w:val="0"/>
      <w:divBdr>
        <w:top w:val="none" w:sz="0" w:space="0" w:color="auto"/>
        <w:left w:val="none" w:sz="0" w:space="0" w:color="auto"/>
        <w:bottom w:val="none" w:sz="0" w:space="0" w:color="auto"/>
        <w:right w:val="none" w:sz="0" w:space="0" w:color="auto"/>
      </w:divBdr>
    </w:div>
    <w:div w:id="1176384414">
      <w:bodyDiv w:val="1"/>
      <w:marLeft w:val="0"/>
      <w:marRight w:val="0"/>
      <w:marTop w:val="0"/>
      <w:marBottom w:val="0"/>
      <w:divBdr>
        <w:top w:val="none" w:sz="0" w:space="0" w:color="auto"/>
        <w:left w:val="none" w:sz="0" w:space="0" w:color="auto"/>
        <w:bottom w:val="none" w:sz="0" w:space="0" w:color="auto"/>
        <w:right w:val="none" w:sz="0" w:space="0" w:color="auto"/>
      </w:divBdr>
    </w:div>
    <w:div w:id="1302467297">
      <w:bodyDiv w:val="1"/>
      <w:marLeft w:val="0"/>
      <w:marRight w:val="0"/>
      <w:marTop w:val="0"/>
      <w:marBottom w:val="0"/>
      <w:divBdr>
        <w:top w:val="none" w:sz="0" w:space="0" w:color="auto"/>
        <w:left w:val="none" w:sz="0" w:space="0" w:color="auto"/>
        <w:bottom w:val="none" w:sz="0" w:space="0" w:color="auto"/>
        <w:right w:val="none" w:sz="0" w:space="0" w:color="auto"/>
      </w:divBdr>
    </w:div>
    <w:div w:id="1366521819">
      <w:bodyDiv w:val="1"/>
      <w:marLeft w:val="0"/>
      <w:marRight w:val="0"/>
      <w:marTop w:val="0"/>
      <w:marBottom w:val="0"/>
      <w:divBdr>
        <w:top w:val="none" w:sz="0" w:space="0" w:color="auto"/>
        <w:left w:val="none" w:sz="0" w:space="0" w:color="auto"/>
        <w:bottom w:val="none" w:sz="0" w:space="0" w:color="auto"/>
        <w:right w:val="none" w:sz="0" w:space="0" w:color="auto"/>
      </w:divBdr>
    </w:div>
    <w:div w:id="1373194860">
      <w:bodyDiv w:val="1"/>
      <w:marLeft w:val="0"/>
      <w:marRight w:val="0"/>
      <w:marTop w:val="0"/>
      <w:marBottom w:val="0"/>
      <w:divBdr>
        <w:top w:val="none" w:sz="0" w:space="0" w:color="auto"/>
        <w:left w:val="none" w:sz="0" w:space="0" w:color="auto"/>
        <w:bottom w:val="none" w:sz="0" w:space="0" w:color="auto"/>
        <w:right w:val="none" w:sz="0" w:space="0" w:color="auto"/>
      </w:divBdr>
    </w:div>
    <w:div w:id="1403214364">
      <w:bodyDiv w:val="1"/>
      <w:marLeft w:val="0"/>
      <w:marRight w:val="0"/>
      <w:marTop w:val="0"/>
      <w:marBottom w:val="0"/>
      <w:divBdr>
        <w:top w:val="none" w:sz="0" w:space="0" w:color="auto"/>
        <w:left w:val="none" w:sz="0" w:space="0" w:color="auto"/>
        <w:bottom w:val="none" w:sz="0" w:space="0" w:color="auto"/>
        <w:right w:val="none" w:sz="0" w:space="0" w:color="auto"/>
      </w:divBdr>
    </w:div>
    <w:div w:id="1408530790">
      <w:bodyDiv w:val="1"/>
      <w:marLeft w:val="0"/>
      <w:marRight w:val="0"/>
      <w:marTop w:val="0"/>
      <w:marBottom w:val="0"/>
      <w:divBdr>
        <w:top w:val="none" w:sz="0" w:space="0" w:color="auto"/>
        <w:left w:val="none" w:sz="0" w:space="0" w:color="auto"/>
        <w:bottom w:val="none" w:sz="0" w:space="0" w:color="auto"/>
        <w:right w:val="none" w:sz="0" w:space="0" w:color="auto"/>
      </w:divBdr>
    </w:div>
    <w:div w:id="1500072721">
      <w:bodyDiv w:val="1"/>
      <w:marLeft w:val="0"/>
      <w:marRight w:val="0"/>
      <w:marTop w:val="0"/>
      <w:marBottom w:val="0"/>
      <w:divBdr>
        <w:top w:val="none" w:sz="0" w:space="0" w:color="auto"/>
        <w:left w:val="none" w:sz="0" w:space="0" w:color="auto"/>
        <w:bottom w:val="none" w:sz="0" w:space="0" w:color="auto"/>
        <w:right w:val="none" w:sz="0" w:space="0" w:color="auto"/>
      </w:divBdr>
    </w:div>
    <w:div w:id="1566254089">
      <w:bodyDiv w:val="1"/>
      <w:marLeft w:val="0"/>
      <w:marRight w:val="0"/>
      <w:marTop w:val="0"/>
      <w:marBottom w:val="0"/>
      <w:divBdr>
        <w:top w:val="none" w:sz="0" w:space="0" w:color="auto"/>
        <w:left w:val="none" w:sz="0" w:space="0" w:color="auto"/>
        <w:bottom w:val="none" w:sz="0" w:space="0" w:color="auto"/>
        <w:right w:val="none" w:sz="0" w:space="0" w:color="auto"/>
      </w:divBdr>
    </w:div>
    <w:div w:id="1664042062">
      <w:bodyDiv w:val="1"/>
      <w:marLeft w:val="0"/>
      <w:marRight w:val="0"/>
      <w:marTop w:val="0"/>
      <w:marBottom w:val="0"/>
      <w:divBdr>
        <w:top w:val="none" w:sz="0" w:space="0" w:color="auto"/>
        <w:left w:val="none" w:sz="0" w:space="0" w:color="auto"/>
        <w:bottom w:val="none" w:sz="0" w:space="0" w:color="auto"/>
        <w:right w:val="none" w:sz="0" w:space="0" w:color="auto"/>
      </w:divBdr>
    </w:div>
    <w:div w:id="1685204936">
      <w:bodyDiv w:val="1"/>
      <w:marLeft w:val="0"/>
      <w:marRight w:val="0"/>
      <w:marTop w:val="0"/>
      <w:marBottom w:val="0"/>
      <w:divBdr>
        <w:top w:val="none" w:sz="0" w:space="0" w:color="auto"/>
        <w:left w:val="none" w:sz="0" w:space="0" w:color="auto"/>
        <w:bottom w:val="none" w:sz="0" w:space="0" w:color="auto"/>
        <w:right w:val="none" w:sz="0" w:space="0" w:color="auto"/>
      </w:divBdr>
    </w:div>
    <w:div w:id="1835292705">
      <w:bodyDiv w:val="1"/>
      <w:marLeft w:val="0"/>
      <w:marRight w:val="0"/>
      <w:marTop w:val="0"/>
      <w:marBottom w:val="0"/>
      <w:divBdr>
        <w:top w:val="none" w:sz="0" w:space="0" w:color="auto"/>
        <w:left w:val="none" w:sz="0" w:space="0" w:color="auto"/>
        <w:bottom w:val="none" w:sz="0" w:space="0" w:color="auto"/>
        <w:right w:val="none" w:sz="0" w:space="0" w:color="auto"/>
      </w:divBdr>
    </w:div>
    <w:div w:id="1889565394">
      <w:bodyDiv w:val="1"/>
      <w:marLeft w:val="0"/>
      <w:marRight w:val="0"/>
      <w:marTop w:val="0"/>
      <w:marBottom w:val="0"/>
      <w:divBdr>
        <w:top w:val="none" w:sz="0" w:space="0" w:color="auto"/>
        <w:left w:val="none" w:sz="0" w:space="0" w:color="auto"/>
        <w:bottom w:val="none" w:sz="0" w:space="0" w:color="auto"/>
        <w:right w:val="none" w:sz="0" w:space="0" w:color="auto"/>
      </w:divBdr>
    </w:div>
    <w:div w:id="1997831133">
      <w:bodyDiv w:val="1"/>
      <w:marLeft w:val="0"/>
      <w:marRight w:val="0"/>
      <w:marTop w:val="0"/>
      <w:marBottom w:val="0"/>
      <w:divBdr>
        <w:top w:val="none" w:sz="0" w:space="0" w:color="auto"/>
        <w:left w:val="none" w:sz="0" w:space="0" w:color="auto"/>
        <w:bottom w:val="none" w:sz="0" w:space="0" w:color="auto"/>
        <w:right w:val="none" w:sz="0" w:space="0" w:color="auto"/>
      </w:divBdr>
    </w:div>
    <w:div w:id="2033608915">
      <w:bodyDiv w:val="1"/>
      <w:marLeft w:val="0"/>
      <w:marRight w:val="0"/>
      <w:marTop w:val="0"/>
      <w:marBottom w:val="0"/>
      <w:divBdr>
        <w:top w:val="none" w:sz="0" w:space="0" w:color="auto"/>
        <w:left w:val="none" w:sz="0" w:space="0" w:color="auto"/>
        <w:bottom w:val="none" w:sz="0" w:space="0" w:color="auto"/>
        <w:right w:val="none" w:sz="0" w:space="0" w:color="auto"/>
      </w:divBdr>
    </w:div>
    <w:div w:id="21289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pan3.1076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jee/toac04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6D099-E317-4390-9D34-DC859417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24</Pages>
  <Words>11210</Words>
  <Characters>63899</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1180</cp:lastModifiedBy>
  <cp:revision>12</cp:revision>
  <cp:lastPrinted>2025-10-26T12:20:00Z</cp:lastPrinted>
  <dcterms:created xsi:type="dcterms:W3CDTF">2025-10-23T16:06:00Z</dcterms:created>
  <dcterms:modified xsi:type="dcterms:W3CDTF">2025-10-28T10:08:00Z</dcterms:modified>
</cp:coreProperties>
</file>