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084E2" w14:textId="77777777" w:rsidR="009E65D4" w:rsidRPr="009E65D4" w:rsidRDefault="009E65D4" w:rsidP="00075B6F">
      <w:pPr>
        <w:spacing w:before="100" w:beforeAutospacing="1" w:after="120" w:line="240" w:lineRule="auto"/>
        <w:outlineLvl w:val="1"/>
        <w:rPr>
          <w:rFonts w:ascii="Times New Roman" w:eastAsia="Times New Roman" w:hAnsi="Times New Roman" w:cs="Times New Roman"/>
          <w:b/>
          <w:bCs/>
          <w:color w:val="1F1F1F"/>
          <w:sz w:val="28"/>
          <w:szCs w:val="28"/>
        </w:rPr>
      </w:pPr>
      <w:r w:rsidRPr="009E65D4">
        <w:rPr>
          <w:sz w:val="28"/>
          <w:szCs w:val="28"/>
        </w:rPr>
        <w:t>Duration-Dependent Depletion of Micronutrients in Nigerian Male Workers Exposed to Lead</w:t>
      </w:r>
    </w:p>
    <w:p w14:paraId="6D3FB833" w14:textId="77777777" w:rsidR="00A36766" w:rsidRPr="00A36766" w:rsidRDefault="00A36766" w:rsidP="00A36766"/>
    <w:p w14:paraId="408A5ED5" w14:textId="77777777" w:rsidR="00A36766" w:rsidRPr="00F36F57" w:rsidRDefault="00A36766" w:rsidP="00BE1EB0">
      <w:pPr>
        <w:spacing w:after="0" w:line="240" w:lineRule="auto"/>
        <w:jc w:val="right"/>
        <w:rPr>
          <w:rFonts w:ascii="Times New Roman" w:eastAsia="Times New Roman" w:hAnsi="Times New Roman" w:cs="Times New Roman"/>
          <w:sz w:val="24"/>
          <w:szCs w:val="24"/>
        </w:rPr>
      </w:pPr>
    </w:p>
    <w:p w14:paraId="1764F736" w14:textId="77777777" w:rsidR="00075B6F" w:rsidRDefault="00075B6F">
      <w:pPr>
        <w:rPr>
          <w:sz w:val="24"/>
          <w:szCs w:val="24"/>
        </w:rPr>
      </w:pPr>
    </w:p>
    <w:p w14:paraId="176C8054" w14:textId="77777777" w:rsidR="009E65D4" w:rsidRPr="00075B6F" w:rsidRDefault="00871424" w:rsidP="00075B6F">
      <w:pPr>
        <w:rPr>
          <w:sz w:val="24"/>
          <w:szCs w:val="24"/>
        </w:rPr>
      </w:pPr>
      <w:r w:rsidRPr="00871424">
        <w:rPr>
          <w:sz w:val="24"/>
          <w:szCs w:val="24"/>
        </w:rPr>
        <w:t>Abstract</w:t>
      </w:r>
    </w:p>
    <w:p w14:paraId="3883C259" w14:textId="77777777" w:rsidR="009E65D4" w:rsidRDefault="005637B7" w:rsidP="00A421D4">
      <w:pPr>
        <w:pStyle w:val="NormalWeb"/>
        <w:spacing w:after="0" w:afterAutospacing="0"/>
        <w:jc w:val="both"/>
        <w:rPr>
          <w:rStyle w:val="citation-374"/>
          <w:color w:val="444746"/>
          <w:bdr w:val="none" w:sz="0" w:space="0" w:color="auto" w:frame="1"/>
        </w:rPr>
      </w:pPr>
      <w:r>
        <w:rPr>
          <w:color w:val="1F1F1F"/>
          <w:bdr w:val="none" w:sz="0" w:space="0" w:color="auto" w:frame="1"/>
        </w:rPr>
        <w:t xml:space="preserve">Background: This study examined the effect of the duration of occupational exposure to lead on the levels of </w:t>
      </w:r>
      <w:proofErr w:type="spellStart"/>
      <w:r>
        <w:rPr>
          <w:color w:val="1F1F1F"/>
          <w:bdr w:val="none" w:sz="0" w:space="0" w:color="auto" w:frame="1"/>
        </w:rPr>
        <w:t>haemoglobin</w:t>
      </w:r>
      <w:proofErr w:type="spellEnd"/>
      <w:r w:rsidR="00392019">
        <w:rPr>
          <w:color w:val="1F1F1F"/>
          <w:bdr w:val="none" w:sz="0" w:space="0" w:color="auto" w:frame="1"/>
        </w:rPr>
        <w:t xml:space="preserve">, key trace elements </w:t>
      </w:r>
      <w:r>
        <w:rPr>
          <w:color w:val="1F1F1F"/>
          <w:bdr w:val="none" w:sz="0" w:space="0" w:color="auto" w:frame="1"/>
        </w:rPr>
        <w:t>Zinc (Zn),</w:t>
      </w:r>
      <w:r w:rsidR="00392019">
        <w:rPr>
          <w:color w:val="1F1F1F"/>
          <w:bdr w:val="none" w:sz="0" w:space="0" w:color="auto" w:frame="1"/>
        </w:rPr>
        <w:t xml:space="preserve"> Selenium (Se), Iron (Fe)</w:t>
      </w:r>
      <w:r w:rsidR="00BC0F06">
        <w:rPr>
          <w:color w:val="1F1F1F"/>
          <w:bdr w:val="none" w:sz="0" w:space="0" w:color="auto" w:frame="1"/>
        </w:rPr>
        <w:t>, and non-enzymatic antioxidants Vitamin C and</w:t>
      </w:r>
      <w:r>
        <w:rPr>
          <w:color w:val="1F1F1F"/>
          <w:bdr w:val="none" w:sz="0" w:space="0" w:color="auto" w:frame="1"/>
        </w:rPr>
        <w:t xml:space="preserve"> Uric Acid in Nigerian male auto painters and battery chargers. Participants in both occupations were divided into two groups: those with less than 5 years of exposure (&lt;5 years) and those with 5 years or more of exposure (&gt;5 years).</w:t>
      </w:r>
    </w:p>
    <w:p w14:paraId="31C3B423" w14:textId="77777777" w:rsidR="009E65D4" w:rsidRPr="0021162F" w:rsidRDefault="00112A63" w:rsidP="0021162F">
      <w:pPr>
        <w:pStyle w:val="NormalWeb"/>
        <w:jc w:val="both"/>
      </w:pPr>
      <w:r>
        <w:rPr>
          <w:rStyle w:val="citation-374"/>
          <w:color w:val="444746"/>
          <w:bdr w:val="none" w:sz="0" w:space="0" w:color="auto" w:frame="1"/>
        </w:rPr>
        <w:t xml:space="preserve">Methods: This six-month, cross-sectional study </w:t>
      </w:r>
      <w:r w:rsidR="00BC0F06">
        <w:rPr>
          <w:rStyle w:val="citation-374"/>
          <w:color w:val="444746"/>
          <w:bdr w:val="none" w:sz="0" w:space="0" w:color="auto" w:frame="1"/>
        </w:rPr>
        <w:t>analyzed blood lead levels (BLL</w:t>
      </w:r>
      <w:r w:rsidR="00392019">
        <w:rPr>
          <w:rStyle w:val="citation-374"/>
          <w:color w:val="444746"/>
          <w:bdr w:val="none" w:sz="0" w:space="0" w:color="auto" w:frame="1"/>
        </w:rPr>
        <w:t xml:space="preserve">), </w:t>
      </w:r>
      <w:proofErr w:type="spellStart"/>
      <w:r w:rsidR="00392019">
        <w:rPr>
          <w:rStyle w:val="citation-374"/>
          <w:color w:val="444746"/>
          <w:bdr w:val="none" w:sz="0" w:space="0" w:color="auto" w:frame="1"/>
        </w:rPr>
        <w:t>haemoglobin</w:t>
      </w:r>
      <w:proofErr w:type="spellEnd"/>
      <w:r w:rsidR="00392019">
        <w:rPr>
          <w:rStyle w:val="citation-374"/>
          <w:color w:val="444746"/>
          <w:bdr w:val="none" w:sz="0" w:space="0" w:color="auto" w:frame="1"/>
        </w:rPr>
        <w:t xml:space="preserve"> (Hb), zinc,</w:t>
      </w:r>
      <w:r w:rsidR="00BC0F06">
        <w:rPr>
          <w:rStyle w:val="citation-374"/>
          <w:color w:val="444746"/>
          <w:bdr w:val="none" w:sz="0" w:space="0" w:color="auto" w:frame="1"/>
        </w:rPr>
        <w:t xml:space="preserve"> selenium,</w:t>
      </w:r>
      <w:r w:rsidR="00392019">
        <w:rPr>
          <w:rStyle w:val="citation-374"/>
          <w:color w:val="444746"/>
          <w:bdr w:val="none" w:sz="0" w:space="0" w:color="auto" w:frame="1"/>
        </w:rPr>
        <w:t xml:space="preserve"> iron,</w:t>
      </w:r>
      <w:r w:rsidR="00BC0F06">
        <w:rPr>
          <w:rStyle w:val="citation-374"/>
          <w:color w:val="444746"/>
          <w:bdr w:val="none" w:sz="0" w:space="0" w:color="auto" w:frame="1"/>
        </w:rPr>
        <w:t xml:space="preserve"> vitamin C, and uric acid in 100 male Nigerian workers (50 battery chargers, 50 auto painters) aged 18-60</w:t>
      </w:r>
      <w:r>
        <w:rPr>
          <w:rStyle w:val="citation-374"/>
          <w:color w:val="444746"/>
          <w:bdr w:val="none" w:sz="0" w:space="0" w:color="auto" w:frame="1"/>
        </w:rPr>
        <w:t xml:space="preserve"> in Lagos. The subjects were categorized by duration of lead exposure (&lt;5 years vs. &gt;5 years). BLLs</w:t>
      </w:r>
      <w:r w:rsidR="00E2624B">
        <w:rPr>
          <w:rStyle w:val="citation-374"/>
          <w:color w:val="444746"/>
          <w:bdr w:val="none" w:sz="0" w:space="0" w:color="auto" w:frame="1"/>
        </w:rPr>
        <w:t>, Zn, Fe and Se</w:t>
      </w:r>
      <w:r>
        <w:rPr>
          <w:rStyle w:val="citation-374"/>
          <w:color w:val="444746"/>
          <w:bdr w:val="none" w:sz="0" w:space="0" w:color="auto" w:frame="1"/>
        </w:rPr>
        <w:t xml:space="preserve"> were measured using Atomic Absorption Spectrophotometry (AAS),</w:t>
      </w:r>
      <w:r w:rsidR="000A65B9">
        <w:rPr>
          <w:rStyle w:val="citation-374"/>
          <w:color w:val="444746"/>
          <w:bdr w:val="none" w:sz="0" w:space="0" w:color="auto" w:frame="1"/>
        </w:rPr>
        <w:t xml:space="preserve"> </w:t>
      </w:r>
      <w:proofErr w:type="spellStart"/>
      <w:r w:rsidR="000A65B9">
        <w:rPr>
          <w:rStyle w:val="citation-374"/>
          <w:color w:val="444746"/>
          <w:bdr w:val="none" w:sz="0" w:space="0" w:color="auto" w:frame="1"/>
        </w:rPr>
        <w:t>Haemoglobin</w:t>
      </w:r>
      <w:proofErr w:type="spellEnd"/>
      <w:r w:rsidR="000A65B9">
        <w:rPr>
          <w:rStyle w:val="citation-374"/>
          <w:color w:val="444746"/>
          <w:bdr w:val="none" w:sz="0" w:space="0" w:color="auto" w:frame="1"/>
        </w:rPr>
        <w:t xml:space="preserve"> (Hb), Vitamin C, and Uric Acid were analyzed using spectrophotometric methods. D</w:t>
      </w:r>
      <w:r>
        <w:rPr>
          <w:rStyle w:val="citation-374"/>
          <w:color w:val="444746"/>
          <w:bdr w:val="none" w:sz="0" w:space="0" w:color="auto" w:frame="1"/>
        </w:rPr>
        <w:t xml:space="preserve">ata </w:t>
      </w:r>
      <w:r w:rsidR="00BC0F06">
        <w:rPr>
          <w:rStyle w:val="citation-374"/>
          <w:color w:val="444746"/>
          <w:bdr w:val="none" w:sz="0" w:space="0" w:color="auto" w:frame="1"/>
        </w:rPr>
        <w:t>were</w:t>
      </w:r>
      <w:r>
        <w:rPr>
          <w:rStyle w:val="citation-374"/>
          <w:color w:val="444746"/>
          <w:bdr w:val="none" w:sz="0" w:space="0" w:color="auto" w:frame="1"/>
        </w:rPr>
        <w:t xml:space="preserve"> processed with SPSS version 20.</w:t>
      </w:r>
    </w:p>
    <w:p w14:paraId="3BE27A75" w14:textId="77777777" w:rsidR="009E65D4" w:rsidRDefault="005637B7" w:rsidP="00A421D4">
      <w:pPr>
        <w:pStyle w:val="NormalWeb"/>
        <w:spacing w:after="0" w:afterAutospacing="0"/>
        <w:jc w:val="both"/>
        <w:rPr>
          <w:color w:val="1F1F1F"/>
        </w:rPr>
      </w:pPr>
      <w:r>
        <w:rPr>
          <w:color w:val="1F1F1F"/>
          <w:bdr w:val="none" w:sz="0" w:space="0" w:color="auto" w:frame="1"/>
        </w:rPr>
        <w:t xml:space="preserve">The results showed a time-dependent increase in lead accumulation in both groups. For Auto Painters, Pb levels rose significantly from 24.02 µg/dL to 36.28 µg/dl. Battery Chargers displayed much higher lead levels, increasing significantly from 48.69 µg/dL to 67.74 µg/dL, indicating greater exposure severity in this occupation. Importantly, prolonged exposure resulted in a highly significant depletion of all measured micronutrients and antioxidants in both occupational groups, suggesting increased lead toxicity and chronic oxidative stress. In Auto Painters, the levels of Zn, Fe, Se, Vitamin C, and Uric Acid were all significantly lower in the &gt;5 years group. This depletion was even more pronounced in Battery Chargers. Those exposed for over 5 years showed a highly significant reduction in Zn, Fe, Se, and Vitamin C, with Uric Acid also significantly decreased.  </w:t>
      </w:r>
    </w:p>
    <w:p w14:paraId="7A80A8E0" w14:textId="77777777" w:rsidR="009E65D4" w:rsidRDefault="009E65D4" w:rsidP="00A421D4">
      <w:pPr>
        <w:pStyle w:val="NormalWeb"/>
        <w:spacing w:after="0" w:afterAutospacing="0"/>
        <w:jc w:val="both"/>
        <w:rPr>
          <w:color w:val="1F1F1F"/>
        </w:rPr>
      </w:pPr>
      <w:r>
        <w:rPr>
          <w:b/>
          <w:bCs/>
          <w:color w:val="1F1F1F"/>
          <w:bdr w:val="none" w:sz="0" w:space="0" w:color="auto" w:frame="1"/>
        </w:rPr>
        <w:t>Conclusion:</w:t>
      </w:r>
      <w:r>
        <w:rPr>
          <w:color w:val="1F1F1F"/>
        </w:rPr>
        <w:t xml:space="preserve"> The duration of occupational lead exposure is directly and significantly correlated with increased lead body burden and a severe, progressive depletion of essential trace metals and antioxidant </w:t>
      </w:r>
      <w:proofErr w:type="spellStart"/>
      <w:r w:rsidR="001D72E1">
        <w:rPr>
          <w:color w:val="1F1F1F"/>
        </w:rPr>
        <w:t>defences</w:t>
      </w:r>
      <w:proofErr w:type="spellEnd"/>
      <w:r>
        <w:rPr>
          <w:color w:val="1F1F1F"/>
        </w:rPr>
        <w:t xml:space="preserve">. These findings underscore the urgent need for targeted </w:t>
      </w:r>
      <w:r w:rsidRPr="00656933">
        <w:rPr>
          <w:bCs/>
          <w:color w:val="1F1F1F"/>
          <w:bdr w:val="none" w:sz="0" w:space="0" w:color="auto" w:frame="1"/>
        </w:rPr>
        <w:t xml:space="preserve">nutritional </w:t>
      </w:r>
      <w:r w:rsidR="001D72E1" w:rsidRPr="00656933">
        <w:rPr>
          <w:bCs/>
          <w:color w:val="1F1F1F"/>
          <w:bdr w:val="none" w:sz="0" w:space="0" w:color="auto" w:frame="1"/>
        </w:rPr>
        <w:t>interventions, such as supplementation with Zinc, Iron, and Selenium, to mitigate the chronic health risks associated with prolonged lead exposure among</w:t>
      </w:r>
      <w:r w:rsidRPr="00656933">
        <w:rPr>
          <w:color w:val="1F1F1F"/>
        </w:rPr>
        <w:t xml:space="preserve"> </w:t>
      </w:r>
      <w:r>
        <w:rPr>
          <w:color w:val="1F1F1F"/>
        </w:rPr>
        <w:t>these vulnerable Nigerian workers.</w:t>
      </w:r>
    </w:p>
    <w:p w14:paraId="34DB996E" w14:textId="77777777" w:rsidR="00871424" w:rsidRDefault="00871424" w:rsidP="00A421D4">
      <w:pPr>
        <w:jc w:val="both"/>
        <w:rPr>
          <w:sz w:val="24"/>
          <w:szCs w:val="24"/>
        </w:rPr>
      </w:pPr>
    </w:p>
    <w:p w14:paraId="6799D4C5" w14:textId="77777777" w:rsidR="009E65D4" w:rsidRPr="00871424" w:rsidRDefault="00112A63">
      <w:pPr>
        <w:rPr>
          <w:sz w:val="24"/>
          <w:szCs w:val="24"/>
        </w:rPr>
      </w:pPr>
      <w:r>
        <w:rPr>
          <w:sz w:val="24"/>
          <w:szCs w:val="24"/>
        </w:rPr>
        <w:t>Keywords: Blood Lead levels, Duration of Exposure, Zinc, Iron, Selenium</w:t>
      </w:r>
    </w:p>
    <w:p w14:paraId="1384722B" w14:textId="77777777" w:rsidR="00A421D4" w:rsidRDefault="00A421D4">
      <w:pPr>
        <w:rPr>
          <w:sz w:val="24"/>
          <w:szCs w:val="24"/>
        </w:rPr>
      </w:pPr>
    </w:p>
    <w:p w14:paraId="5B1CA4F9" w14:textId="56D31EDE" w:rsidR="00A421D4" w:rsidRDefault="00A421D4">
      <w:pPr>
        <w:rPr>
          <w:sz w:val="24"/>
          <w:szCs w:val="24"/>
        </w:rPr>
      </w:pPr>
    </w:p>
    <w:p w14:paraId="7C54162B" w14:textId="40E36290" w:rsidR="00660242" w:rsidRDefault="00660242">
      <w:pPr>
        <w:rPr>
          <w:sz w:val="24"/>
          <w:szCs w:val="24"/>
        </w:rPr>
      </w:pPr>
    </w:p>
    <w:p w14:paraId="6E48FA5D" w14:textId="77777777" w:rsidR="00660242" w:rsidRDefault="00660242">
      <w:pPr>
        <w:rPr>
          <w:sz w:val="24"/>
          <w:szCs w:val="24"/>
        </w:rPr>
      </w:pPr>
    </w:p>
    <w:p w14:paraId="74F1DDFD" w14:textId="77777777" w:rsidR="00871424" w:rsidRPr="00C0729E" w:rsidRDefault="00871424">
      <w:pPr>
        <w:rPr>
          <w:sz w:val="24"/>
          <w:szCs w:val="24"/>
        </w:rPr>
      </w:pPr>
      <w:r w:rsidRPr="00C0729E">
        <w:rPr>
          <w:sz w:val="24"/>
          <w:szCs w:val="24"/>
        </w:rPr>
        <w:t>Introduction</w:t>
      </w:r>
    </w:p>
    <w:p w14:paraId="7DDE2493" w14:textId="77777777" w:rsidR="00871424" w:rsidRPr="00871424" w:rsidRDefault="00392019" w:rsidP="000675D7">
      <w:pPr>
        <w:spacing w:before="100" w:beforeAutospacing="1" w:after="0" w:line="240" w:lineRule="auto"/>
        <w:jc w:val="both"/>
        <w:rPr>
          <w:rFonts w:ascii="Times New Roman" w:eastAsia="Times New Roman" w:hAnsi="Times New Roman" w:cs="Times New Roman"/>
          <w:color w:val="1F1F1F"/>
          <w:sz w:val="24"/>
          <w:szCs w:val="24"/>
        </w:rPr>
      </w:pPr>
      <w:r w:rsidRPr="00392019">
        <w:rPr>
          <w:rFonts w:ascii="Times New Roman" w:hAnsi="Times New Roman" w:cs="Times New Roman"/>
          <w:color w:val="1C1C1C"/>
          <w:sz w:val="21"/>
          <w:szCs w:val="21"/>
          <w:shd w:val="clear" w:color="auto" w:fill="FFFFFF"/>
        </w:rPr>
        <w:t>Exposure to lead in the workplace, a widespread heavy metal that offers no known health benefits, continues to be a significant public health issue worldwide</w:t>
      </w:r>
      <w:r w:rsidR="00871424" w:rsidRPr="00871424">
        <w:rPr>
          <w:rFonts w:ascii="Times New Roman" w:eastAsia="Times New Roman" w:hAnsi="Times New Roman" w:cs="Times New Roman"/>
          <w:color w:val="1F1F1F"/>
          <w:sz w:val="24"/>
          <w:szCs w:val="24"/>
        </w:rPr>
        <w:t>, particularly in developing nations like Nigeria</w:t>
      </w:r>
      <w:r w:rsidR="00C0729E">
        <w:rPr>
          <w:rFonts w:ascii="Times New Roman" w:eastAsia="Times New Roman" w:hAnsi="Times New Roman" w:cs="Times New Roman"/>
          <w:color w:val="1F1F1F"/>
          <w:sz w:val="24"/>
          <w:szCs w:val="24"/>
        </w:rPr>
        <w:t>,</w:t>
      </w:r>
      <w:r w:rsidR="00871424" w:rsidRPr="00871424">
        <w:rPr>
          <w:rFonts w:ascii="Times New Roman" w:eastAsia="Times New Roman" w:hAnsi="Times New Roman" w:cs="Times New Roman"/>
          <w:color w:val="1F1F1F"/>
          <w:sz w:val="24"/>
          <w:szCs w:val="24"/>
        </w:rPr>
        <w:t xml:space="preserve"> where regulatory enforcement and protective measures can be inadequate</w:t>
      </w:r>
      <w:r w:rsidR="00B301D5">
        <w:rPr>
          <w:rFonts w:ascii="Times New Roman" w:eastAsia="Times New Roman" w:hAnsi="Times New Roman" w:cs="Times New Roman"/>
          <w:color w:val="1F1F1F"/>
          <w:sz w:val="24"/>
          <w:szCs w:val="24"/>
        </w:rPr>
        <w:t xml:space="preserve"> </w:t>
      </w:r>
      <w:r w:rsidR="00B301D5">
        <w:rPr>
          <w:rFonts w:ascii="Times New Roman" w:eastAsia="Times New Roman" w:hAnsi="Times New Roman" w:cs="Times New Roman"/>
          <w:color w:val="1F1F1F"/>
          <w:sz w:val="24"/>
          <w:szCs w:val="24"/>
        </w:rPr>
        <w:fldChar w:fldCharType="begin" w:fldLock="1"/>
      </w:r>
      <w:r w:rsidR="00B301D5">
        <w:rPr>
          <w:rFonts w:ascii="Times New Roman" w:eastAsia="Times New Roman" w:hAnsi="Times New Roman" w:cs="Times New Roman"/>
          <w:color w:val="1F1F1F"/>
          <w:sz w:val="24"/>
          <w:szCs w:val="24"/>
        </w:rPr>
        <w:instrText>ADDIN CSL_CITATION {"citationItems":[{"id":"ITEM-1","itemData":{"DOI":"10.4103/1947-2714.127740","ISSN":"2250-1541 (Print)","PMID":"24696827","abstract":"Low-level heavy metals exposure may contribute much more toward the causation of  chronic disease and impaired functioning than previously thought. Among the suggested preventive and intervention measures for the control of renal diseases are the reduction in the exposure to heavy metals. Although these indicate knowledge and awareness of possible role of some heavy metals in the etiogenesis of some chronic diseases by Nigerian Physicians, heavy metal assay as diagnostic guide in patient management is often omitted in most healthcare settings. This is a synoptic capture of the increased incidence and prevalence of some metabolic disorders where heavy metals may be implicated. A search of the terms heavy metal exposure, source, toxicity, metabolic disorders, poisoning in Nigeria, in bibliographical databases (in English language) such as PubMed, Scopus, Google Scholar, and Africa Journal Online (AJOL) digital library was conducted. Leaded gasoline, refuse dumping, absence of poison information centers, and poor record keeping characterize environmental health in Nigeria. Lead and cadmium are of most significant public health importance in Nigeria. The recognition and inclusion of heavy metals assays in the diagnosis of metabolic disorders may ensure early diagnosis and improve management.","author":[{"dropping-particle":"","family":"Orisakwe","given":"Orish Ebere","non-dropping-particle":"","parse-names":false,"suffix":""}],"container-title":"North American journal of medical sciences","id":"ITEM-1","issue":"2","issued":{"date-parts":[["2014","2"]]},"language":"eng","page":"61-70","publisher-place":"India","title":"Lead and cadmium in public health in Nigeria: physicians neglect and pitfall in  patient management.","type":"article-journal","volume":"6"},"uris":["http://www.mendeley.com/documents/?uuid=b9bab293-4bc2-4f45-8954-bfceee641fb6"]}],"mendeley":{"formattedCitation":"[1]","plainTextFormattedCitation":"[1]","previouslyFormattedCitation":"[1]"},"properties":{"noteIndex":0},"schema":"https://github.com/citation-style-language/schema/raw/master/csl-citation.json"}</w:instrText>
      </w:r>
      <w:r w:rsidR="00B301D5">
        <w:rPr>
          <w:rFonts w:ascii="Times New Roman" w:eastAsia="Times New Roman" w:hAnsi="Times New Roman" w:cs="Times New Roman"/>
          <w:color w:val="1F1F1F"/>
          <w:sz w:val="24"/>
          <w:szCs w:val="24"/>
        </w:rPr>
        <w:fldChar w:fldCharType="separate"/>
      </w:r>
      <w:r w:rsidR="00B301D5" w:rsidRPr="00B301D5">
        <w:rPr>
          <w:rFonts w:ascii="Times New Roman" w:eastAsia="Times New Roman" w:hAnsi="Times New Roman" w:cs="Times New Roman"/>
          <w:noProof/>
          <w:color w:val="1F1F1F"/>
          <w:sz w:val="24"/>
          <w:szCs w:val="24"/>
        </w:rPr>
        <w:t>[1]</w:t>
      </w:r>
      <w:r w:rsidR="00B301D5">
        <w:rPr>
          <w:rFonts w:ascii="Times New Roman" w:eastAsia="Times New Roman" w:hAnsi="Times New Roman" w:cs="Times New Roman"/>
          <w:color w:val="1F1F1F"/>
          <w:sz w:val="24"/>
          <w:szCs w:val="24"/>
        </w:rPr>
        <w:fldChar w:fldCharType="end"/>
      </w:r>
      <w:r w:rsidR="00871424" w:rsidRPr="00871424">
        <w:rPr>
          <w:rFonts w:ascii="Times New Roman" w:eastAsia="Times New Roman" w:hAnsi="Times New Roman" w:cs="Times New Roman"/>
          <w:color w:val="1F1F1F"/>
          <w:sz w:val="24"/>
          <w:szCs w:val="24"/>
        </w:rPr>
        <w:t xml:space="preserve"> Lead's diverse applications across industries, including battery charging, painting, metal works, and artisanal mining, create environments where workers face chronic exposure through inhalation and ingestion</w:t>
      </w:r>
      <w:r w:rsidR="00B301D5">
        <w:rPr>
          <w:rFonts w:ascii="Times New Roman" w:eastAsia="Times New Roman" w:hAnsi="Times New Roman" w:cs="Times New Roman"/>
          <w:color w:val="1F1F1F"/>
          <w:sz w:val="24"/>
          <w:szCs w:val="24"/>
        </w:rPr>
        <w:t xml:space="preserve"> </w:t>
      </w:r>
      <w:r w:rsidR="00B301D5">
        <w:rPr>
          <w:rFonts w:ascii="Times New Roman" w:eastAsia="Times New Roman" w:hAnsi="Times New Roman" w:cs="Times New Roman"/>
          <w:color w:val="1F1F1F"/>
          <w:sz w:val="24"/>
          <w:szCs w:val="24"/>
        </w:rPr>
        <w:fldChar w:fldCharType="begin" w:fldLock="1"/>
      </w:r>
      <w:r w:rsidR="000675D7">
        <w:rPr>
          <w:rFonts w:ascii="Times New Roman" w:eastAsia="Times New Roman" w:hAnsi="Times New Roman" w:cs="Times New Roman"/>
          <w:color w:val="1F1F1F"/>
          <w:sz w:val="24"/>
          <w:szCs w:val="24"/>
        </w:rPr>
        <w:instrText>ADDIN CSL_CITATION {"citationItems":[{"id":"ITEM-1","itemData":{"DOI":"10.11648/j.cajph.20180401.15","ISSN":"2575-5773","abstract":"Maintaining due diligence on safety practices at the workplace of battery technicians is the most cost-effective intervention against lead-related hazards. The safety practice on lead poisoning in Nigeria is below average, and the compliance level is far from the expected target of 90%. Using Dejoy's workplace self-protective behavior theory, this study investigated multilevel factors that influence safety practices on lead poisoning and compared the rate of utilization of personal protective equipment by battery technicians in the organized and roadside settings. The study was a quantitative, cross-sectional survey design, and a multistage and systematic sampling technique was used to select 293 adult battery technicians aged 18 years and above. Hypotheses were tested with chi-square and multivariate logistic regressions at the significant level of p &lt; 0.05 and 95% confidence interval. The outcome of the safety practice status of battery technicians is 20%, and the rate of utilization of personal protective equipment is 18% in Lagos, Nigeria. Findings revealed that workplace conditions, blood lead levels, knowledge, education, and the rate of utilization of personal protective equipment are predictors of the safety practice status of battery technicians. There was no significant difference between battery technicians in the organized and roadside setting considering the perceived risk of lead poisoning and utilization of personal protective equipment. The positive social change implications of this study include recommendations for battery technicians to use the evolved alternative safety approaches to reduce lead-related hazards. Public health professional and policymakers should invest resources towards reducing the impact of lead poisoning on battery technicians at the workplace. (PsycINFO Database Record (c) 2018 APA, all rights reserved)","author":[{"dropping-particle":"","family":"Olusegun Rasheed","given":"Tajudeen","non-dropping-particle":"","parse-names":false,"suffix":""}],"container-title":"Central African Journal of Public Health","id":"ITEM-1","issue":"1","issued":{"date-parts":[["2018"]]},"page":"27","title":"Safety Practices on Lead Poisoning Among Battery Technicians in Lagos Nigeria, 2017","type":"article-journal","volume":"4"},"uris":["http://www.mendeley.com/documents/?uuid=f13b06fa-8d0d-437a-ad03-8d7876bdc93d"]}],"mendeley":{"formattedCitation":"[2]","plainTextFormattedCitation":"[2]","previouslyFormattedCitation":"[2]"},"properties":{"noteIndex":0},"schema":"https://github.com/citation-style-language/schema/raw/master/csl-citation.json"}</w:instrText>
      </w:r>
      <w:r w:rsidR="00B301D5">
        <w:rPr>
          <w:rFonts w:ascii="Times New Roman" w:eastAsia="Times New Roman" w:hAnsi="Times New Roman" w:cs="Times New Roman"/>
          <w:color w:val="1F1F1F"/>
          <w:sz w:val="24"/>
          <w:szCs w:val="24"/>
        </w:rPr>
        <w:fldChar w:fldCharType="separate"/>
      </w:r>
      <w:r w:rsidR="00B301D5" w:rsidRPr="00B301D5">
        <w:rPr>
          <w:rFonts w:ascii="Times New Roman" w:eastAsia="Times New Roman" w:hAnsi="Times New Roman" w:cs="Times New Roman"/>
          <w:noProof/>
          <w:color w:val="1F1F1F"/>
          <w:sz w:val="24"/>
          <w:szCs w:val="24"/>
        </w:rPr>
        <w:t>[2]</w:t>
      </w:r>
      <w:r w:rsidR="00B301D5">
        <w:rPr>
          <w:rFonts w:ascii="Times New Roman" w:eastAsia="Times New Roman" w:hAnsi="Times New Roman" w:cs="Times New Roman"/>
          <w:color w:val="1F1F1F"/>
          <w:sz w:val="24"/>
          <w:szCs w:val="24"/>
        </w:rPr>
        <w:fldChar w:fldCharType="end"/>
      </w:r>
      <w:r w:rsidR="00871424" w:rsidRPr="00871424">
        <w:rPr>
          <w:rFonts w:ascii="Times New Roman" w:eastAsia="Times New Roman" w:hAnsi="Times New Roman" w:cs="Times New Roman"/>
          <w:color w:val="1F1F1F"/>
          <w:sz w:val="24"/>
          <w:szCs w:val="24"/>
        </w:rPr>
        <w:t xml:space="preserve"> </w:t>
      </w:r>
      <w:r w:rsidR="00B301D5">
        <w:rPr>
          <w:rFonts w:ascii="Times New Roman" w:eastAsia="Times New Roman" w:hAnsi="Times New Roman" w:cs="Times New Roman"/>
          <w:color w:val="1F1F1F"/>
          <w:sz w:val="24"/>
          <w:szCs w:val="24"/>
        </w:rPr>
        <w:t xml:space="preserve"> </w:t>
      </w:r>
    </w:p>
    <w:p w14:paraId="4E2E0A5F" w14:textId="77777777" w:rsidR="00871424" w:rsidRPr="00871424" w:rsidRDefault="00871424" w:rsidP="000675D7">
      <w:pPr>
        <w:spacing w:before="100" w:beforeAutospacing="1" w:after="0" w:line="240" w:lineRule="auto"/>
        <w:jc w:val="both"/>
        <w:rPr>
          <w:rFonts w:ascii="Times New Roman" w:eastAsia="Times New Roman" w:hAnsi="Times New Roman" w:cs="Times New Roman"/>
          <w:color w:val="1F1F1F"/>
          <w:sz w:val="24"/>
          <w:szCs w:val="24"/>
        </w:rPr>
      </w:pPr>
      <w:r w:rsidRPr="00871424">
        <w:rPr>
          <w:rFonts w:ascii="Times New Roman" w:eastAsia="Times New Roman" w:hAnsi="Times New Roman" w:cs="Times New Roman"/>
          <w:color w:val="1F1F1F"/>
          <w:sz w:val="24"/>
          <w:szCs w:val="24"/>
          <w:bdr w:val="none" w:sz="0" w:space="0" w:color="auto" w:frame="1"/>
        </w:rPr>
        <w:t>The toxicity of lead is well-documented, affecting multiple organ systems</w:t>
      </w:r>
      <w:r w:rsidR="007B2A54">
        <w:rPr>
          <w:rFonts w:ascii="Times New Roman" w:eastAsia="Times New Roman" w:hAnsi="Times New Roman" w:cs="Times New Roman"/>
          <w:color w:val="1F1F1F"/>
          <w:sz w:val="24"/>
          <w:szCs w:val="24"/>
          <w:bdr w:val="none" w:sz="0" w:space="0" w:color="auto" w:frame="1"/>
        </w:rPr>
        <w:t>,</w:t>
      </w:r>
      <w:r w:rsidRPr="00871424">
        <w:rPr>
          <w:rFonts w:ascii="Times New Roman" w:eastAsia="Times New Roman" w:hAnsi="Times New Roman" w:cs="Times New Roman"/>
          <w:color w:val="1F1F1F"/>
          <w:sz w:val="24"/>
          <w:szCs w:val="24"/>
          <w:bdr w:val="none" w:sz="0" w:space="0" w:color="auto" w:frame="1"/>
        </w:rPr>
        <w:t xml:space="preserve"> including the hematopoietic, nervous, renal, and reproductive systems </w:t>
      </w:r>
      <w:r w:rsidR="000675D7">
        <w:rPr>
          <w:rFonts w:ascii="Times New Roman" w:eastAsia="Times New Roman" w:hAnsi="Times New Roman" w:cs="Times New Roman"/>
          <w:color w:val="1F1F1F"/>
          <w:sz w:val="24"/>
          <w:szCs w:val="24"/>
          <w:bdr w:val="none" w:sz="0" w:space="0" w:color="auto" w:frame="1"/>
        </w:rPr>
        <w:fldChar w:fldCharType="begin" w:fldLock="1"/>
      </w:r>
      <w:r w:rsidR="000675D7">
        <w:rPr>
          <w:rFonts w:ascii="Times New Roman" w:eastAsia="Times New Roman" w:hAnsi="Times New Roman" w:cs="Times New Roman"/>
          <w:color w:val="1F1F1F"/>
          <w:sz w:val="24"/>
          <w:szCs w:val="24"/>
          <w:bdr w:val="none" w:sz="0" w:space="0" w:color="auto" w:frame="1"/>
        </w:rPr>
        <w:instrText>ADDIN CSL_CITATION {"citationItems":[{"id":"ITEM-1","itemData":{"DOI":"10.1134/S0022093022030140","ISSN":"1608-3202","abstract":"The review addresses the mechanisms of lead acetate toxiceffects on the cardiovascular and nervous systems, as well as visceralorgans. Experimental and clinical studies conducted in recent yearshave shown an important pathogenetic role of oxidative stress inthe dysfunction of the vascular endothelium, leading to the developmentof pathology of internal organs, especially the kidneys and liver.Activation of free-radical processes and disruption of cellularbioenergetics are accompanied by a decrease in the production ofnitric oxide, a major vasodilator, leading to endothelial dysfunction,increased vascular tone, and eventually to systemic vasoconstriction.On the other hand, reactive oxygen species and lipid peroxidationproducts stimulate the synthesis of pro-inflammatory cytokines andpro-apoptotic proteins, causing intracellular inflammatory processesin the visceral organs, DNA damage, cell apoptosis, as well as persistentrenal and hepatic dysfunction. In this regard, there have been developedvarious pharmaceuticals with antioxidant and anti-inflammatory properties,and those able to improve cellular bioenergetics of the visceral organs.Among them are such phyto-derivatives as Moringaoleifera extract, curcumin, vitamin C, vitamin C–curcumincombination, as well as analogs of endogenous antioxidants, L-carnitineand coenzyme Q10. All tissues contain significantamounts of ubiquinone, which is essential for cellular functions,including electron and proton transport in the mitochondrial respiratorychain and antioxidant defense.","author":[{"dropping-particle":"","family":"Dzugkoev","given":"S G","non-dropping-particle":"","parse-names":false,"suffix":""},{"dropping-particle":"","family":"Dzugkoeva","given":"F S","non-dropping-particle":"","parse-names":false,"suffix":""},{"dropping-particle":"","family":"Margieva","given":"O I","non-dropping-particle":"","parse-names":false,"suffix":""}],"container-title":"Journal of Evolutionary Biochemistry and Physiology","id":"ITEM-1","issue":"3","issued":{"date-parts":[["2022"]]},"page":"807-814","title":"Mechanisms of Lead Toxicity and Their Pathogenetic Correction","type":"article-journal","volume":"58"},"uris":["http://www.mendeley.com/documents/?uuid=fffbea95-4613-447a-9089-c69fffbe25c1"]}],"mendeley":{"formattedCitation":"[3]","plainTextFormattedCitation":"[3]","previouslyFormattedCitation":"[3]"},"properties":{"noteIndex":0},"schema":"https://github.com/citation-style-language/schema/raw/master/csl-citation.json"}</w:instrText>
      </w:r>
      <w:r w:rsidR="000675D7">
        <w:rPr>
          <w:rFonts w:ascii="Times New Roman" w:eastAsia="Times New Roman" w:hAnsi="Times New Roman" w:cs="Times New Roman"/>
          <w:color w:val="1F1F1F"/>
          <w:sz w:val="24"/>
          <w:szCs w:val="24"/>
          <w:bdr w:val="none" w:sz="0" w:space="0" w:color="auto" w:frame="1"/>
        </w:rPr>
        <w:fldChar w:fldCharType="separate"/>
      </w:r>
      <w:r w:rsidR="000675D7" w:rsidRPr="000675D7">
        <w:rPr>
          <w:rFonts w:ascii="Times New Roman" w:eastAsia="Times New Roman" w:hAnsi="Times New Roman" w:cs="Times New Roman"/>
          <w:noProof/>
          <w:color w:val="1F1F1F"/>
          <w:sz w:val="24"/>
          <w:szCs w:val="24"/>
          <w:bdr w:val="none" w:sz="0" w:space="0" w:color="auto" w:frame="1"/>
        </w:rPr>
        <w:t>[3]</w:t>
      </w:r>
      <w:r w:rsidR="000675D7">
        <w:rPr>
          <w:rFonts w:ascii="Times New Roman" w:eastAsia="Times New Roman" w:hAnsi="Times New Roman" w:cs="Times New Roman"/>
          <w:color w:val="1F1F1F"/>
          <w:sz w:val="24"/>
          <w:szCs w:val="24"/>
          <w:bdr w:val="none" w:sz="0" w:space="0" w:color="auto" w:frame="1"/>
        </w:rPr>
        <w:fldChar w:fldCharType="end"/>
      </w:r>
      <w:r w:rsidR="000675D7">
        <w:rPr>
          <w:rFonts w:ascii="Times New Roman" w:eastAsia="Times New Roman" w:hAnsi="Times New Roman" w:cs="Times New Roman"/>
          <w:color w:val="1F1F1F"/>
          <w:sz w:val="24"/>
          <w:szCs w:val="24"/>
          <w:bdr w:val="none" w:sz="0" w:space="0" w:color="auto" w:frame="1"/>
        </w:rPr>
        <w:t>.</w:t>
      </w:r>
      <w:r w:rsidR="00B301D5">
        <w:rPr>
          <w:rFonts w:ascii="Times New Roman" w:eastAsia="Times New Roman" w:hAnsi="Times New Roman" w:cs="Times New Roman"/>
          <w:color w:val="1F1F1F"/>
          <w:sz w:val="24"/>
          <w:szCs w:val="24"/>
          <w:bdr w:val="none" w:sz="0" w:space="0" w:color="auto" w:frame="1"/>
        </w:rPr>
        <w:t xml:space="preserve"> </w:t>
      </w:r>
      <w:r w:rsidRPr="00871424">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bdr w:val="none" w:sz="0" w:space="0" w:color="auto" w:frame="1"/>
        </w:rPr>
        <w:t xml:space="preserve">The primary mechanism of lead-induced injury is often attributed to </w:t>
      </w:r>
      <w:r w:rsidRPr="006C5E73">
        <w:rPr>
          <w:rFonts w:ascii="Times New Roman" w:eastAsia="Times New Roman" w:hAnsi="Times New Roman" w:cs="Times New Roman"/>
          <w:bCs/>
          <w:color w:val="1F1F1F"/>
          <w:sz w:val="24"/>
          <w:szCs w:val="24"/>
          <w:bdr w:val="none" w:sz="0" w:space="0" w:color="auto" w:frame="1"/>
        </w:rPr>
        <w:t>oxidative stress</w:t>
      </w:r>
      <w:r w:rsidRPr="006C5E73">
        <w:rPr>
          <w:rFonts w:ascii="Times New Roman" w:eastAsia="Times New Roman" w:hAnsi="Times New Roman" w:cs="Times New Roman"/>
          <w:color w:val="1F1F1F"/>
          <w:sz w:val="24"/>
          <w:szCs w:val="24"/>
          <w:bdr w:val="none" w:sz="0" w:space="0" w:color="auto" w:frame="1"/>
        </w:rPr>
        <w:t>,</w:t>
      </w:r>
      <w:r w:rsidRPr="00871424">
        <w:rPr>
          <w:rFonts w:ascii="Times New Roman" w:eastAsia="Times New Roman" w:hAnsi="Times New Roman" w:cs="Times New Roman"/>
          <w:color w:val="1F1F1F"/>
          <w:sz w:val="24"/>
          <w:szCs w:val="24"/>
          <w:bdr w:val="none" w:sz="0" w:space="0" w:color="auto" w:frame="1"/>
        </w:rPr>
        <w:t xml:space="preserve"> where lead promotes the generation of reactive oxygen species (ROS) while simultaneously compromising the body's antioxidant </w:t>
      </w:r>
      <w:proofErr w:type="spellStart"/>
      <w:r w:rsidR="00F761C3">
        <w:rPr>
          <w:rFonts w:ascii="Times New Roman" w:eastAsia="Times New Roman" w:hAnsi="Times New Roman" w:cs="Times New Roman"/>
          <w:color w:val="1F1F1F"/>
          <w:sz w:val="24"/>
          <w:szCs w:val="24"/>
          <w:bdr w:val="none" w:sz="0" w:space="0" w:color="auto" w:frame="1"/>
        </w:rPr>
        <w:t>defence</w:t>
      </w:r>
      <w:proofErr w:type="spellEnd"/>
      <w:r w:rsidRPr="00871424">
        <w:rPr>
          <w:rFonts w:ascii="Times New Roman" w:eastAsia="Times New Roman" w:hAnsi="Times New Roman" w:cs="Times New Roman"/>
          <w:color w:val="1F1F1F"/>
          <w:sz w:val="24"/>
          <w:szCs w:val="24"/>
          <w:bdr w:val="none" w:sz="0" w:space="0" w:color="auto" w:frame="1"/>
        </w:rPr>
        <w:t xml:space="preserve"> systems </w:t>
      </w:r>
      <w:r w:rsidR="000675D7">
        <w:rPr>
          <w:rFonts w:ascii="Times New Roman" w:eastAsia="Times New Roman" w:hAnsi="Times New Roman" w:cs="Times New Roman"/>
          <w:color w:val="1F1F1F"/>
          <w:sz w:val="24"/>
          <w:szCs w:val="24"/>
          <w:bdr w:val="none" w:sz="0" w:space="0" w:color="auto" w:frame="1"/>
        </w:rPr>
        <w:fldChar w:fldCharType="begin" w:fldLock="1"/>
      </w:r>
      <w:r w:rsidR="000675D7">
        <w:rPr>
          <w:rFonts w:ascii="Times New Roman" w:eastAsia="Times New Roman" w:hAnsi="Times New Roman" w:cs="Times New Roman"/>
          <w:color w:val="1F1F1F"/>
          <w:sz w:val="24"/>
          <w:szCs w:val="24"/>
          <w:bdr w:val="none" w:sz="0" w:space="0" w:color="auto" w:frame="1"/>
        </w:rPr>
        <w:instrText>ADDIN CSL_CITATION {"citationItems":[{"id":"ITEM-1","itemData":{"DOI":"10.1007/978-3-319-20013-2_3","ISSN":"978-3-319-20012-5","author":[{"dropping-particle":"","family":"Almeida","given":"Ana Carolina","non-dropping-particle":"de","parse-names":false,"suffix":""},{"dropping-particle":"","family":"Peixe","given":"Tiago","non-dropping-particle":"","parse-names":false,"suffix":""},{"dropping-particle":"","family":"Mesas","given":"Arthur","non-dropping-particle":"","parse-names":false,"suffix":""},{"dropping-particle":"","family":"Paoliello","given":"Monica","non-dropping-particle":"","parse-names":false,"suffix":""}],"container-title":"Reviews of environmental contamination and toxicology","id":"ITEM-1","issued":{"date-parts":[["2015","10","6"]]},"page":"193-238","title":"Lead Exposure and Oxidative Stress: A Systematic Review","type":"article-journal","volume":"236"},"uris":["http://www.mendeley.com/documents/?uuid=68d91bc1-ce13-47de-b713-d9007629f3a9"]}],"mendeley":{"formattedCitation":"[4]","plainTextFormattedCitation":"[4]","previouslyFormattedCitation":"[4]"},"properties":{"noteIndex":0},"schema":"https://github.com/citation-style-language/schema/raw/master/csl-citation.json"}</w:instrText>
      </w:r>
      <w:r w:rsidR="000675D7">
        <w:rPr>
          <w:rFonts w:ascii="Times New Roman" w:eastAsia="Times New Roman" w:hAnsi="Times New Roman" w:cs="Times New Roman"/>
          <w:color w:val="1F1F1F"/>
          <w:sz w:val="24"/>
          <w:szCs w:val="24"/>
          <w:bdr w:val="none" w:sz="0" w:space="0" w:color="auto" w:frame="1"/>
        </w:rPr>
        <w:fldChar w:fldCharType="separate"/>
      </w:r>
      <w:r w:rsidR="000675D7" w:rsidRPr="000675D7">
        <w:rPr>
          <w:rFonts w:ascii="Times New Roman" w:eastAsia="Times New Roman" w:hAnsi="Times New Roman" w:cs="Times New Roman"/>
          <w:noProof/>
          <w:color w:val="1F1F1F"/>
          <w:sz w:val="24"/>
          <w:szCs w:val="24"/>
          <w:bdr w:val="none" w:sz="0" w:space="0" w:color="auto" w:frame="1"/>
        </w:rPr>
        <w:t>[4]</w:t>
      </w:r>
      <w:r w:rsidR="000675D7">
        <w:rPr>
          <w:rFonts w:ascii="Times New Roman" w:eastAsia="Times New Roman" w:hAnsi="Times New Roman" w:cs="Times New Roman"/>
          <w:color w:val="1F1F1F"/>
          <w:sz w:val="24"/>
          <w:szCs w:val="24"/>
          <w:bdr w:val="none" w:sz="0" w:space="0" w:color="auto" w:frame="1"/>
        </w:rPr>
        <w:fldChar w:fldCharType="end"/>
      </w:r>
      <w:r w:rsidR="000675D7">
        <w:rPr>
          <w:rFonts w:ascii="Times New Roman" w:eastAsia="Times New Roman" w:hAnsi="Times New Roman" w:cs="Times New Roman"/>
          <w:color w:val="1F1F1F"/>
          <w:sz w:val="24"/>
          <w:szCs w:val="24"/>
          <w:bdr w:val="none" w:sz="0" w:space="0" w:color="auto" w:frame="1"/>
        </w:rPr>
        <w:fldChar w:fldCharType="begin" w:fldLock="1"/>
      </w:r>
      <w:r w:rsidR="006D5290">
        <w:rPr>
          <w:rFonts w:ascii="Times New Roman" w:eastAsia="Times New Roman" w:hAnsi="Times New Roman" w:cs="Times New Roman"/>
          <w:color w:val="1F1F1F"/>
          <w:sz w:val="24"/>
          <w:szCs w:val="24"/>
          <w:bdr w:val="none" w:sz="0" w:space="0" w:color="auto" w:frame="1"/>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0675D7">
        <w:rPr>
          <w:rFonts w:ascii="Times New Roman" w:eastAsia="Times New Roman" w:hAnsi="Times New Roman" w:cs="Times New Roman"/>
          <w:color w:val="1F1F1F"/>
          <w:sz w:val="24"/>
          <w:szCs w:val="24"/>
          <w:bdr w:val="none" w:sz="0" w:space="0" w:color="auto" w:frame="1"/>
        </w:rPr>
        <w:fldChar w:fldCharType="separate"/>
      </w:r>
      <w:r w:rsidR="000675D7" w:rsidRPr="000675D7">
        <w:rPr>
          <w:rFonts w:ascii="Times New Roman" w:eastAsia="Times New Roman" w:hAnsi="Times New Roman" w:cs="Times New Roman"/>
          <w:noProof/>
          <w:color w:val="1F1F1F"/>
          <w:sz w:val="24"/>
          <w:szCs w:val="24"/>
          <w:bdr w:val="none" w:sz="0" w:space="0" w:color="auto" w:frame="1"/>
        </w:rPr>
        <w:t>[5]</w:t>
      </w:r>
      <w:r w:rsidR="000675D7">
        <w:rPr>
          <w:rFonts w:ascii="Times New Roman" w:eastAsia="Times New Roman" w:hAnsi="Times New Roman" w:cs="Times New Roman"/>
          <w:color w:val="1F1F1F"/>
          <w:sz w:val="24"/>
          <w:szCs w:val="24"/>
          <w:bdr w:val="none" w:sz="0" w:space="0" w:color="auto" w:frame="1"/>
        </w:rPr>
        <w:fldChar w:fldCharType="end"/>
      </w:r>
      <w:r w:rsidR="000675D7">
        <w:rPr>
          <w:rFonts w:ascii="Times New Roman" w:eastAsia="Times New Roman" w:hAnsi="Times New Roman" w:cs="Times New Roman"/>
          <w:color w:val="1F1F1F"/>
          <w:sz w:val="24"/>
          <w:szCs w:val="24"/>
          <w:bdr w:val="none" w:sz="0" w:space="0" w:color="auto" w:frame="1"/>
        </w:rPr>
        <w:t xml:space="preserve"> </w:t>
      </w:r>
    </w:p>
    <w:p w14:paraId="5750B8CD" w14:textId="77777777" w:rsidR="00871424" w:rsidRPr="00871424" w:rsidRDefault="00871424" w:rsidP="00871424">
      <w:pPr>
        <w:spacing w:before="100" w:beforeAutospacing="1" w:after="0" w:line="240" w:lineRule="auto"/>
        <w:rPr>
          <w:rFonts w:ascii="Times New Roman" w:eastAsia="Times New Roman" w:hAnsi="Times New Roman" w:cs="Times New Roman"/>
          <w:color w:val="1F1F1F"/>
          <w:sz w:val="24"/>
          <w:szCs w:val="24"/>
        </w:rPr>
      </w:pPr>
      <w:r w:rsidRPr="00871424">
        <w:rPr>
          <w:rFonts w:ascii="Times New Roman" w:eastAsia="Times New Roman" w:hAnsi="Times New Roman" w:cs="Times New Roman"/>
          <w:color w:val="1F1F1F"/>
          <w:sz w:val="24"/>
          <w:szCs w:val="24"/>
        </w:rPr>
        <w:t>Micronutrients, such as essential trac</w:t>
      </w:r>
      <w:r w:rsidR="000675D7">
        <w:rPr>
          <w:rFonts w:ascii="Times New Roman" w:eastAsia="Times New Roman" w:hAnsi="Times New Roman" w:cs="Times New Roman"/>
          <w:color w:val="1F1F1F"/>
          <w:sz w:val="24"/>
          <w:szCs w:val="24"/>
        </w:rPr>
        <w:t>e elements</w:t>
      </w:r>
      <w:r w:rsidR="006C5E73">
        <w:rPr>
          <w:rFonts w:ascii="Times New Roman" w:eastAsia="Times New Roman" w:hAnsi="Times New Roman" w:cs="Times New Roman"/>
          <w:color w:val="1F1F1F"/>
          <w:sz w:val="24"/>
          <w:szCs w:val="24"/>
        </w:rPr>
        <w:t xml:space="preserve"> (</w:t>
      </w:r>
      <w:r w:rsidR="00392019">
        <w:rPr>
          <w:rFonts w:ascii="Times New Roman" w:eastAsia="Times New Roman" w:hAnsi="Times New Roman" w:cs="Times New Roman"/>
          <w:color w:val="1F1F1F"/>
          <w:sz w:val="24"/>
          <w:szCs w:val="24"/>
        </w:rPr>
        <w:t xml:space="preserve"> Zinc,</w:t>
      </w:r>
      <w:r w:rsidR="00F761C3">
        <w:rPr>
          <w:rFonts w:ascii="Times New Roman" w:eastAsia="Times New Roman" w:hAnsi="Times New Roman" w:cs="Times New Roman"/>
          <w:color w:val="1F1F1F"/>
          <w:sz w:val="24"/>
          <w:szCs w:val="24"/>
        </w:rPr>
        <w:t xml:space="preserve"> Selenium,</w:t>
      </w:r>
      <w:r w:rsidR="00392019">
        <w:rPr>
          <w:rFonts w:ascii="Times New Roman" w:eastAsia="Times New Roman" w:hAnsi="Times New Roman" w:cs="Times New Roman"/>
          <w:color w:val="1F1F1F"/>
          <w:sz w:val="24"/>
          <w:szCs w:val="24"/>
        </w:rPr>
        <w:t xml:space="preserve"> Iron, </w:t>
      </w:r>
      <w:r w:rsidR="00F761C3">
        <w:rPr>
          <w:rFonts w:ascii="Times New Roman" w:eastAsia="Times New Roman" w:hAnsi="Times New Roman" w:cs="Times New Roman"/>
          <w:color w:val="1F1F1F"/>
          <w:sz w:val="24"/>
          <w:szCs w:val="24"/>
        </w:rPr>
        <w:t>Copper)</w:t>
      </w:r>
      <w:r w:rsidR="000675D7">
        <w:rPr>
          <w:rFonts w:ascii="Times New Roman" w:eastAsia="Times New Roman" w:hAnsi="Times New Roman" w:cs="Times New Roman"/>
          <w:b/>
          <w:bCs/>
          <w:color w:val="1F1F1F"/>
          <w:sz w:val="24"/>
          <w:szCs w:val="24"/>
          <w:bdr w:val="none" w:sz="0" w:space="0" w:color="auto" w:frame="1"/>
        </w:rPr>
        <w:t xml:space="preserve"> </w:t>
      </w:r>
      <w:r w:rsidR="006C5E73">
        <w:rPr>
          <w:rFonts w:ascii="Times New Roman" w:eastAsia="Times New Roman" w:hAnsi="Times New Roman" w:cs="Times New Roman"/>
          <w:color w:val="1F1F1F"/>
          <w:sz w:val="24"/>
          <w:szCs w:val="24"/>
        </w:rPr>
        <w:t>and vitamins (</w:t>
      </w:r>
      <w:r w:rsidRPr="006C5E73">
        <w:rPr>
          <w:rFonts w:ascii="Times New Roman" w:eastAsia="Times New Roman" w:hAnsi="Times New Roman" w:cs="Times New Roman"/>
          <w:bCs/>
          <w:color w:val="1F1F1F"/>
          <w:sz w:val="24"/>
          <w:szCs w:val="24"/>
          <w:bdr w:val="none" w:sz="0" w:space="0" w:color="auto" w:frame="1"/>
        </w:rPr>
        <w:t>Vitamin C</w:t>
      </w:r>
      <w:r w:rsidRPr="006C5E73">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 are indispensable cofactors for numerous enzymatic reactions and form the foundation of the body's antioxidant and immune </w:t>
      </w:r>
      <w:proofErr w:type="spellStart"/>
      <w:r w:rsidR="006D5290">
        <w:rPr>
          <w:rFonts w:ascii="Times New Roman" w:eastAsia="Times New Roman" w:hAnsi="Times New Roman" w:cs="Times New Roman"/>
          <w:color w:val="1F1F1F"/>
          <w:sz w:val="24"/>
          <w:szCs w:val="24"/>
        </w:rPr>
        <w:t>defence</w:t>
      </w:r>
      <w:proofErr w:type="spellEnd"/>
      <w:r w:rsidRPr="00871424">
        <w:rPr>
          <w:rFonts w:ascii="Times New Roman" w:eastAsia="Times New Roman" w:hAnsi="Times New Roman" w:cs="Times New Roman"/>
          <w:color w:val="1F1F1F"/>
          <w:sz w:val="24"/>
          <w:szCs w:val="24"/>
        </w:rPr>
        <w:t xml:space="preserve"> mechanisms </w:t>
      </w:r>
      <w:r w:rsidR="006D5290">
        <w:rPr>
          <w:rFonts w:ascii="Times New Roman" w:eastAsia="Times New Roman" w:hAnsi="Times New Roman" w:cs="Times New Roman"/>
          <w:color w:val="1F1F1F"/>
          <w:sz w:val="24"/>
          <w:szCs w:val="24"/>
        </w:rPr>
        <w:fldChar w:fldCharType="begin" w:fldLock="1"/>
      </w:r>
      <w:r w:rsidR="006D5290">
        <w:rPr>
          <w:rFonts w:ascii="Times New Roman" w:eastAsia="Times New Roman" w:hAnsi="Times New Roman" w:cs="Times New Roman"/>
          <w:color w:val="1F1F1F"/>
          <w:sz w:val="24"/>
          <w:szCs w:val="24"/>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6D5290">
        <w:rPr>
          <w:rFonts w:ascii="Times New Roman" w:eastAsia="Times New Roman" w:hAnsi="Times New Roman" w:cs="Times New Roman"/>
          <w:color w:val="1F1F1F"/>
          <w:sz w:val="24"/>
          <w:szCs w:val="24"/>
        </w:rPr>
        <w:fldChar w:fldCharType="separate"/>
      </w:r>
      <w:r w:rsidR="006D5290" w:rsidRPr="006D5290">
        <w:rPr>
          <w:rFonts w:ascii="Times New Roman" w:eastAsia="Times New Roman" w:hAnsi="Times New Roman" w:cs="Times New Roman"/>
          <w:noProof/>
          <w:color w:val="1F1F1F"/>
          <w:sz w:val="24"/>
          <w:szCs w:val="24"/>
        </w:rPr>
        <w:t>[5]</w:t>
      </w:r>
      <w:r w:rsidR="006D5290">
        <w:rPr>
          <w:rFonts w:ascii="Times New Roman" w:eastAsia="Times New Roman" w:hAnsi="Times New Roman" w:cs="Times New Roman"/>
          <w:color w:val="1F1F1F"/>
          <w:sz w:val="24"/>
          <w:szCs w:val="24"/>
        </w:rPr>
        <w:fldChar w:fldCharType="end"/>
      </w:r>
      <w:r w:rsidR="006D5290">
        <w:rPr>
          <w:rFonts w:ascii="Times New Roman" w:eastAsia="Times New Roman" w:hAnsi="Times New Roman" w:cs="Times New Roman"/>
          <w:color w:val="1F1F1F"/>
          <w:sz w:val="24"/>
          <w:szCs w:val="24"/>
        </w:rPr>
        <w:fldChar w:fldCharType="begin" w:fldLock="1"/>
      </w:r>
      <w:r w:rsidR="006D5290">
        <w:rPr>
          <w:rFonts w:ascii="Times New Roman" w:eastAsia="Times New Roman" w:hAnsi="Times New Roman" w:cs="Times New Roman"/>
          <w:color w:val="1F1F1F"/>
          <w:sz w:val="24"/>
          <w:szCs w:val="24"/>
        </w:rPr>
        <w:instrText>ADDIN CSL_CITATION {"citationItems":[{"id":"ITEM-1","itemData":{"DOI":"10.3390/molecules30173568","ISSN":"14203049","PMID":"40942093","abstract":"Micronutrients and nutraceuticals play crucial roles in wound healing and tissue regeneration, supporting various physiological processes. This review aims to synthesize and evaluate the functions of various micronutrients and nutraceuticals, emphasizing the synergistic interactions among different nutrients that facilitate wound healing processes. A thorough literature review was performed using electronic databases, including PubMed, Scopus, Web of Science, Embase, Google Scholar, and Cochrane Library, to identify molecular studies, animal models, randomized controlled trials, and observational human studies published up to January 2000. Two independent reviewers screened the articles, extracted data, and evaluated the Risk of Bias using the Risk of Bias 2 (RoB 2) tool for the 190 studies that met the inclusion criteria. Evidence suggests that bioactive compounds found in functional foods and dietary supplements can help prevent chronic conditions and promote wellness beyond basic nutrition. Vitamins A, C, and E, as well as minerals such as zinc, selenium, and iron, are essential for cell proliferation and the formation of new tissues. Additionally, nutraceuticals, including omega-3 fatty acids, glutamine, arginine, and polyphenols, exhibit anti-inflammatory and antioxidant properties, which promote healing and reduce the risk of infection. Probiotics and other bioactive compounds in nutraceuticals contribute to maintaining the balance of microbiota, reducing inflammation, and stimulating cell regeneration. Significant variability was noted in study design, sample size, intervention dosage, and outcome measures. This evidence underscores the necessity for further well-designed clinical trials to determine the optimal dosages and combinations for specific wound types across diverse patient populations. This systematic review was prospectively registered in PROSPERO (ID: 1072091).","author":[{"dropping-particle":"","family":"Stanescu","given":"Cristina","non-dropping-particle":"","parse-names":false,"suffix":""},{"dropping-particle":"","family":"Chiscop","given":"Iulia","non-dropping-particle":"","parse-names":false,"suffix":""},{"dropping-particle":"","family":"Mihalache","given":"Daniela","non-dropping-particle":"","parse-names":false,"suffix":""},{"dropping-particle":"","family":"Boev","given":"Monica","non-dropping-particle":"","parse-names":false,"suffix":""},{"dropping-particle":"","family":"Tamas","given":"Camelia","non-dropping-particle":"","parse-names":false,"suffix":""},{"dropping-particle":"","family":"Stoleriu","given":"Gabriela","non-dropping-particle":"","parse-names":false,"suffix":""}],"container-title":"Molecules","id":"ITEM-1","issue":"17","issued":{"date-parts":[["2025"]]},"title":"The Roles of Micronutrition and Nutraceuticals in Enhancing Wound Healing and Tissue Regeneration: A Systematic Review","type":"article","volume":"30"},"uris":["http://www.mendeley.com/documents/?uuid=a7d6518f-c4b4-41ba-bd69-5c609c72d03d"]}],"mendeley":{"formattedCitation":"[6]","plainTextFormattedCitation":"[6]","previouslyFormattedCitation":"[6]"},"properties":{"noteIndex":0},"schema":"https://github.com/citation-style-language/schema/raw/master/csl-citation.json"}</w:instrText>
      </w:r>
      <w:r w:rsidR="006D5290">
        <w:rPr>
          <w:rFonts w:ascii="Times New Roman" w:eastAsia="Times New Roman" w:hAnsi="Times New Roman" w:cs="Times New Roman"/>
          <w:color w:val="1F1F1F"/>
          <w:sz w:val="24"/>
          <w:szCs w:val="24"/>
        </w:rPr>
        <w:fldChar w:fldCharType="separate"/>
      </w:r>
      <w:r w:rsidR="006D5290" w:rsidRPr="006D5290">
        <w:rPr>
          <w:rFonts w:ascii="Times New Roman" w:eastAsia="Times New Roman" w:hAnsi="Times New Roman" w:cs="Times New Roman"/>
          <w:noProof/>
          <w:color w:val="1F1F1F"/>
          <w:sz w:val="24"/>
          <w:szCs w:val="24"/>
        </w:rPr>
        <w:t>[6]</w:t>
      </w:r>
      <w:r w:rsidR="006D5290">
        <w:rPr>
          <w:rFonts w:ascii="Times New Roman" w:eastAsia="Times New Roman" w:hAnsi="Times New Roman" w:cs="Times New Roman"/>
          <w:color w:val="1F1F1F"/>
          <w:sz w:val="24"/>
          <w:szCs w:val="24"/>
        </w:rPr>
        <w:fldChar w:fldCharType="end"/>
      </w:r>
      <w:r w:rsidR="006D5290">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 The toxicological nexus between lead and micronutrient status is estab</w:t>
      </w:r>
      <w:r w:rsidR="006D5290">
        <w:rPr>
          <w:rFonts w:ascii="Times New Roman" w:eastAsia="Times New Roman" w:hAnsi="Times New Roman" w:cs="Times New Roman"/>
          <w:color w:val="1F1F1F"/>
          <w:sz w:val="24"/>
          <w:szCs w:val="24"/>
        </w:rPr>
        <w:t xml:space="preserve">lished through several pathways </w:t>
      </w:r>
      <w:r w:rsidR="006D5290">
        <w:rPr>
          <w:rFonts w:ascii="Times New Roman" w:eastAsia="Times New Roman" w:hAnsi="Times New Roman" w:cs="Times New Roman"/>
          <w:color w:val="1F1F1F"/>
          <w:sz w:val="24"/>
          <w:szCs w:val="24"/>
        </w:rPr>
        <w:fldChar w:fldCharType="begin" w:fldLock="1"/>
      </w:r>
      <w:r w:rsidR="006D5290">
        <w:rPr>
          <w:rFonts w:ascii="Times New Roman" w:eastAsia="Times New Roman" w:hAnsi="Times New Roman" w:cs="Times New Roman"/>
          <w:color w:val="1F1F1F"/>
          <w:sz w:val="24"/>
          <w:szCs w:val="24"/>
        </w:rPr>
        <w:instrText>ADDIN CSL_CITATION {"citationItems":[{"id":"ITEM-1","itemData":{"DOI":"10.3390/jox15050146","ISSN":"2039-4713 (Electronic)","PMID":"40981357","abstract":"Lead (Pb) is a non-essential, toxic heavy metal with no known biological function  that has caused widespread environmental contamination throughout human history. Pb toxicity represents one of the most persistent environmental health challenges, with no safe exposure threshold identified. The metal demonstrates remarkable persistence in biological systems, with approximately 90% of it stored in bone tissue for decades, mimicking calcium due to its similar ionic properties. Contemporary contamination primarily stems from mining activities, battery manufacturing, electronic waste recycling, and deteriorating infrastructure. Pb enters organisms through multiple pathways and causes severe health impacts across all biological systems, with particularly devastating neurodevelopmental and bone effects in children and cardiovascular and reproductive consequences in adults. On a molecular level, Pb disrupts cellular processes through ion mimicry, replacing essential metals in enzymes and proteins and leading to mitochondrial dysfunction, oxidative stress, DNA damage, and epigenetic modifications. This review examines the sources of Pb pollution and its toxicological impacts on bacteria, fungi, plants, animals, and humans. It explores the molecular mechanisms underlying these effects, including neuroinflammation, genotoxicity, and cell death pathways. The paper considers current approaches for Pb removal from contaminated environments and therapeutic interventions for Pb poisoning.","author":[{"dropping-particle":"","family":"Generalova","given":"Anastasiia","non-dropping-particle":"","parse-names":false,"suffix":""},{"dropping-particle":"","family":"Davidova","given":"Slavena","non-dropping-particle":"","parse-names":false,"suffix":""},{"dropping-particle":"","family":"Satchanska","given":"Galina","non-dropping-particle":"","parse-names":false,"suffix":""}],"container-title":"Journal of xenobiotics","id":"ITEM-1","issue":"5","issued":{"date-parts":[["2025","9"]]},"language":"eng","publisher-place":"Switzerland","title":"The Mechanisms of Lead Toxicity in Living Organisms.","type":"article-journal","volume":"15"},"uris":["http://www.mendeley.com/documents/?uuid=0c2577d9-99ce-4f8a-8ec9-411e1ad94c66"]}],"mendeley":{"formattedCitation":"[7]","plainTextFormattedCitation":"[7]","previouslyFormattedCitation":"[7]"},"properties":{"noteIndex":0},"schema":"https://github.com/citation-style-language/schema/raw/master/csl-citation.json"}</w:instrText>
      </w:r>
      <w:r w:rsidR="006D5290">
        <w:rPr>
          <w:rFonts w:ascii="Times New Roman" w:eastAsia="Times New Roman" w:hAnsi="Times New Roman" w:cs="Times New Roman"/>
          <w:color w:val="1F1F1F"/>
          <w:sz w:val="24"/>
          <w:szCs w:val="24"/>
        </w:rPr>
        <w:fldChar w:fldCharType="separate"/>
      </w:r>
      <w:r w:rsidR="006D5290" w:rsidRPr="006D5290">
        <w:rPr>
          <w:rFonts w:ascii="Times New Roman" w:eastAsia="Times New Roman" w:hAnsi="Times New Roman" w:cs="Times New Roman"/>
          <w:noProof/>
          <w:color w:val="1F1F1F"/>
          <w:sz w:val="24"/>
          <w:szCs w:val="24"/>
        </w:rPr>
        <w:t>[7]</w:t>
      </w:r>
      <w:r w:rsidR="006D5290">
        <w:rPr>
          <w:rFonts w:ascii="Times New Roman" w:eastAsia="Times New Roman" w:hAnsi="Times New Roman" w:cs="Times New Roman"/>
          <w:color w:val="1F1F1F"/>
          <w:sz w:val="24"/>
          <w:szCs w:val="24"/>
        </w:rPr>
        <w:fldChar w:fldCharType="end"/>
      </w:r>
    </w:p>
    <w:p w14:paraId="4ECE6597" w14:textId="77777777" w:rsidR="009D3337" w:rsidRDefault="00871424" w:rsidP="009D3337">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sidRPr="00871424">
        <w:rPr>
          <w:rFonts w:ascii="Times New Roman" w:eastAsia="Times New Roman" w:hAnsi="Times New Roman" w:cs="Times New Roman"/>
          <w:color w:val="1F1F1F"/>
          <w:sz w:val="24"/>
          <w:szCs w:val="24"/>
          <w:bdr w:val="none" w:sz="0" w:space="0" w:color="auto" w:frame="1"/>
        </w:rPr>
        <w:t>Lead can functionally mimic or compete w</w:t>
      </w:r>
      <w:r w:rsidR="006D5290">
        <w:rPr>
          <w:rFonts w:ascii="Times New Roman" w:eastAsia="Times New Roman" w:hAnsi="Times New Roman" w:cs="Times New Roman"/>
          <w:color w:val="1F1F1F"/>
          <w:sz w:val="24"/>
          <w:szCs w:val="24"/>
          <w:bdr w:val="none" w:sz="0" w:space="0" w:color="auto" w:frame="1"/>
        </w:rPr>
        <w:t xml:space="preserve">ith essential ions </w:t>
      </w:r>
      <w:r w:rsidR="009D3337">
        <w:rPr>
          <w:rFonts w:ascii="Times New Roman" w:eastAsia="Times New Roman" w:hAnsi="Times New Roman" w:cs="Times New Roman"/>
          <w:color w:val="1F1F1F"/>
          <w:sz w:val="24"/>
          <w:szCs w:val="24"/>
          <w:bdr w:val="none" w:sz="0" w:space="0" w:color="auto" w:frame="1"/>
        </w:rPr>
        <w:t xml:space="preserve">such as Calcium, Zinc, and Iron </w:t>
      </w:r>
      <w:r w:rsidRPr="00871424">
        <w:rPr>
          <w:rFonts w:ascii="Times New Roman" w:eastAsia="Times New Roman" w:hAnsi="Times New Roman" w:cs="Times New Roman"/>
          <w:color w:val="1F1F1F"/>
          <w:sz w:val="24"/>
          <w:szCs w:val="24"/>
          <w:bdr w:val="none" w:sz="0" w:space="0" w:color="auto" w:frame="1"/>
        </w:rPr>
        <w:t xml:space="preserve">for binding sites on proteins and enzymes, leading to their inactivation or displacement </w:t>
      </w:r>
      <w:r w:rsidR="006D5290">
        <w:rPr>
          <w:rFonts w:ascii="Times New Roman" w:eastAsia="Times New Roman" w:hAnsi="Times New Roman" w:cs="Times New Roman"/>
          <w:color w:val="1F1F1F"/>
          <w:sz w:val="24"/>
          <w:szCs w:val="24"/>
          <w:bdr w:val="none" w:sz="0" w:space="0" w:color="auto" w:frame="1"/>
        </w:rPr>
        <w:fldChar w:fldCharType="begin" w:fldLock="1"/>
      </w:r>
      <w:r w:rsidR="003D1DC6">
        <w:rPr>
          <w:rFonts w:ascii="Times New Roman" w:eastAsia="Times New Roman" w:hAnsi="Times New Roman" w:cs="Times New Roman"/>
          <w:color w:val="1F1F1F"/>
          <w:sz w:val="24"/>
          <w:szCs w:val="24"/>
          <w:bdr w:val="none" w:sz="0" w:space="0" w:color="auto" w:frame="1"/>
        </w:rPr>
        <w:instrText>ADDIN CSL_CITATION {"citationItems":[{"id":"ITEM-1","itemData":{"DOI":"10.3390/toxics9020023","ISSN":"2305-6304 (Electronic)","PMID":"33525464","abstract":"Lead (Pb) is considered a strong environmental toxin with human health  repercussions. Due to its widespread use and the number of people potentially exposed to different sources of this heavy metal, Pb intoxication is recognized as a public health problem in many countries. Exposure to Pb can occur through ingestion, inhalation, dermal, and transplacental routes. The magnitude of its effects depends on several toxicity conditions: lead speciation, doses, time, and age of exposure, among others. It has been demonstrated that Pb exposure induces stronger effects during early life. The central nervous system is especially vulnerable to Pb toxicity; Pb exposure is linked to cognitive impairment, executive function alterations, abnormal social behavior, and fine motor control perturbations. This review aims to provide a general view of the cognitive consequences associated with Pb exposure during early life as well as during adulthood. Additionally, it describes the neurotoxic mechanisms associated with cognitive impairment induced by Pb, which include neurochemical, molecular, and morphological changes that jointly could have a synergic effect on the cognitive performance.","author":[{"dropping-particle":"","family":"Ramírez Ortega","given":"Daniela","non-dropping-particle":"","parse-names":false,"suffix":""},{"dropping-particle":"","family":"González Esquivel","given":"Dinora F","non-dropping-particle":"","parse-names":false,"suffix":""},{"dropping-particle":"","family":"Blanco Ayala","given":"Tonali","non-dropping-particle":"","parse-names":false,"suffix":""},{"dropping-particle":"","family":"Pineda","given":"Benjamín","non-dropping-particle":"","parse-names":false,"suffix":""},{"dropping-particle":"","family":"Gómez Manzo","given":"Saul","non-dropping-particle":"","parse-names":false,"suffix":""},{"dropping-particle":"","family":"Marcial Quino","given":"Jaime","non-dropping-particle":"","parse-names":false,"suffix":""},{"dropping-particle":"","family":"Carrillo Mora","given":"Paul","non-dropping-particle":"","parse-names":false,"suffix":""},{"dropping-particle":"","family":"Pérez de la Cruz","given":"Verónica","non-dropping-particle":"","parse-names":false,"suffix":""}],"container-title":"Toxics","id":"ITEM-1","issue":"2","issued":{"date-parts":[["2021","1"]]},"language":"eng","publisher-place":"Switzerland","title":"Cognitive Impairment Induced by Lead Exposure during Lifespan: Mechanisms of Lead  Neurotoxicity.","type":"article-journal","volume":"9"},"uris":["http://www.mendeley.com/documents/?uuid=539b5ac1-f846-43d5-900d-e5b6b954fe74"]}],"mendeley":{"formattedCitation":"[8]","plainTextFormattedCitation":"[8]","previouslyFormattedCitation":"[8]"},"properties":{"noteIndex":0},"schema":"https://github.com/citation-style-language/schema/raw/master/csl-citation.json"}</w:instrText>
      </w:r>
      <w:r w:rsidR="006D5290">
        <w:rPr>
          <w:rFonts w:ascii="Times New Roman" w:eastAsia="Times New Roman" w:hAnsi="Times New Roman" w:cs="Times New Roman"/>
          <w:color w:val="1F1F1F"/>
          <w:sz w:val="24"/>
          <w:szCs w:val="24"/>
          <w:bdr w:val="none" w:sz="0" w:space="0" w:color="auto" w:frame="1"/>
        </w:rPr>
        <w:fldChar w:fldCharType="separate"/>
      </w:r>
      <w:r w:rsidR="006D5290" w:rsidRPr="006D5290">
        <w:rPr>
          <w:rFonts w:ascii="Times New Roman" w:eastAsia="Times New Roman" w:hAnsi="Times New Roman" w:cs="Times New Roman"/>
          <w:noProof/>
          <w:color w:val="1F1F1F"/>
          <w:sz w:val="24"/>
          <w:szCs w:val="24"/>
          <w:bdr w:val="none" w:sz="0" w:space="0" w:color="auto" w:frame="1"/>
        </w:rPr>
        <w:t>[8]</w:t>
      </w:r>
      <w:r w:rsidR="006D5290">
        <w:rPr>
          <w:rFonts w:ascii="Times New Roman" w:eastAsia="Times New Roman" w:hAnsi="Times New Roman" w:cs="Times New Roman"/>
          <w:color w:val="1F1F1F"/>
          <w:sz w:val="24"/>
          <w:szCs w:val="24"/>
          <w:bdr w:val="none" w:sz="0" w:space="0" w:color="auto" w:frame="1"/>
        </w:rPr>
        <w:fldChar w:fldCharType="end"/>
      </w:r>
      <w:r w:rsidR="006D5290">
        <w:rPr>
          <w:rFonts w:ascii="Times New Roman" w:eastAsia="Times New Roman" w:hAnsi="Times New Roman" w:cs="Times New Roman"/>
          <w:color w:val="1F1F1F"/>
          <w:sz w:val="24"/>
          <w:szCs w:val="24"/>
          <w:bdr w:val="none" w:sz="0" w:space="0" w:color="auto" w:frame="1"/>
        </w:rPr>
        <w:t xml:space="preserve">. </w:t>
      </w:r>
      <w:r w:rsidRPr="00871424">
        <w:rPr>
          <w:rFonts w:ascii="Times New Roman" w:eastAsia="Times New Roman" w:hAnsi="Times New Roman" w:cs="Times New Roman"/>
          <w:color w:val="1F1F1F"/>
          <w:sz w:val="24"/>
          <w:szCs w:val="24"/>
          <w:bdr w:val="none" w:sz="0" w:space="0" w:color="auto" w:frame="1"/>
        </w:rPr>
        <w:t xml:space="preserve">Deficiencies in certain micronutrients, particularly iron and calcium, can enhance </w:t>
      </w:r>
      <w:r w:rsidR="007B2A54">
        <w:rPr>
          <w:rFonts w:ascii="Times New Roman" w:eastAsia="Times New Roman" w:hAnsi="Times New Roman" w:cs="Times New Roman"/>
          <w:color w:val="1F1F1F"/>
          <w:sz w:val="24"/>
          <w:szCs w:val="24"/>
          <w:bdr w:val="none" w:sz="0" w:space="0" w:color="auto" w:frame="1"/>
        </w:rPr>
        <w:t xml:space="preserve">gastrointestinal lead absorption </w:t>
      </w:r>
      <w:r w:rsidR="009D3337">
        <w:rPr>
          <w:rFonts w:ascii="Times New Roman" w:eastAsia="Times New Roman" w:hAnsi="Times New Roman" w:cs="Times New Roman"/>
          <w:color w:val="1F1F1F"/>
          <w:sz w:val="24"/>
          <w:szCs w:val="24"/>
          <w:bdr w:val="none" w:sz="0" w:space="0" w:color="auto" w:frame="1"/>
        </w:rPr>
        <w:fldChar w:fldCharType="begin" w:fldLock="1"/>
      </w:r>
      <w:r w:rsidR="009D2F04">
        <w:rPr>
          <w:rFonts w:ascii="Times New Roman" w:eastAsia="Times New Roman" w:hAnsi="Times New Roman" w:cs="Times New Roman"/>
          <w:color w:val="1F1F1F"/>
          <w:sz w:val="24"/>
          <w:szCs w:val="24"/>
          <w:bdr w:val="none" w:sz="0" w:space="0" w:color="auto" w:frame="1"/>
        </w:rPr>
        <w:instrText>ADDIN CSL_CITATION {"citationItems":[{"id":"ITEM-1","itemData":{"DOI":"https://doi.org/10.1016/j.jtemb.2023.127192","ISSN":"0946-672X","abstract":"Objective Adverse effects of lead exposure on children's health have been demonstrated. While studies have examined the relationship between iron status and low-level lead exposure in children with blood lead levels (BLLs) &lt; 100 μg/L, few have investigated the association between blood lead and other trace elements and anemia in children with BLLs ≥ 100 μg/L. This study aimed to assess the levels of lead, iron, copper, zinc, magnesium, and calcium in children aged 0–14 with BLLs≥ 100 μg/L between 2009 and 2021, and to examine the relationship between blood lead, trace elements and anemia. Methods A total of 11,541 children with BLLs ≥ 100 μg/L were included in this study. Venous blood samples were collected to measure blood lead levels, hemoglobin levels, and trace element levels. According to the World Health Organization standard, outpatients with hemoglobin levels &lt; 110 g / L were defined as having anemia. Results The study results found that high BLLs and blood calcium had a negative influence on Hb with odds ratios (95% confidence interval) of 1.411(1.208, 1.649) and 1.219(1.043, 1.424). High blood iron had a positive influence on Hb with odds ratios of 0.421(0.355, 0.499). Conclusion The results suggest that the risk of anemia rose significantly with higher BLLs, blood copper, and blood calcium levels, and decreases considerably with higher blood iron levels.","author":[{"dropping-particle":"","family":"Yu","given":"Xiaoyu","non-dropping-particle":"","parse-names":false,"suffix":""},{"dropping-particle":"","family":"Xiong","given":"Liang","non-dropping-particle":"","parse-names":false,"suffix":""},{"dropping-particle":"","family":"Zhao","given":"Sha","non-dropping-particle":"","parse-names":false,"suffix":""},{"dropping-particle":"","family":"Li","given":"Zhengqiu","non-dropping-particle":"","parse-names":false,"suffix":""},{"dropping-particle":"","family":"Xiang","given":"Shiting","non-dropping-particle":"","parse-names":false,"suffix":""},{"dropping-particle":"","family":"Cao","given":"Yuhan","non-dropping-particle":"","parse-names":false,"suffix":""},{"dropping-particle":"","family":"Zhou","given":"Changci","non-dropping-particle":"","parse-names":false,"suffix":""},{"dropping-particle":"","family":"Dong","given":"Jie","non-dropping-particle":"","parse-names":false,"suffix":""},{"dropping-particle":"","family":"Qiu","given":"Jun","non-dropping-particle":"","parse-names":false,"suffix":""}],"container-title":"Journal of Trace Elements in Medicine and Biology","id":"ITEM-1","issued":{"date-parts":[["2023"]]},"page":"127192","title":"Effect of lead, calcium, iron, zinc, copper and magnesium on anemia in children with BLLs ≥ 100 μg/L","type":"article-journal","volume":"78"},"uris":["http://www.mendeley.com/documents/?uuid=6b993864-7809-431e-b524-5f17a316ae3b"]}],"mendeley":{"formattedCitation":"[9]","plainTextFormattedCitation":"[9]","previouslyFormattedCitation":"[9]"},"properties":{"noteIndex":0},"schema":"https://github.com/citation-style-language/schema/raw/master/csl-citation.json"}</w:instrText>
      </w:r>
      <w:r w:rsidR="009D3337">
        <w:rPr>
          <w:rFonts w:ascii="Times New Roman" w:eastAsia="Times New Roman" w:hAnsi="Times New Roman" w:cs="Times New Roman"/>
          <w:color w:val="1F1F1F"/>
          <w:sz w:val="24"/>
          <w:szCs w:val="24"/>
          <w:bdr w:val="none" w:sz="0" w:space="0" w:color="auto" w:frame="1"/>
        </w:rPr>
        <w:fldChar w:fldCharType="separate"/>
      </w:r>
      <w:r w:rsidR="009D3337" w:rsidRPr="009D3337">
        <w:rPr>
          <w:rFonts w:ascii="Times New Roman" w:eastAsia="Times New Roman" w:hAnsi="Times New Roman" w:cs="Times New Roman"/>
          <w:noProof/>
          <w:color w:val="1F1F1F"/>
          <w:sz w:val="24"/>
          <w:szCs w:val="24"/>
          <w:bdr w:val="none" w:sz="0" w:space="0" w:color="auto" w:frame="1"/>
        </w:rPr>
        <w:t>[9]</w:t>
      </w:r>
      <w:r w:rsidR="009D3337">
        <w:rPr>
          <w:rFonts w:ascii="Times New Roman" w:eastAsia="Times New Roman" w:hAnsi="Times New Roman" w:cs="Times New Roman"/>
          <w:color w:val="1F1F1F"/>
          <w:sz w:val="24"/>
          <w:szCs w:val="24"/>
          <w:bdr w:val="none" w:sz="0" w:space="0" w:color="auto" w:frame="1"/>
        </w:rPr>
        <w:fldChar w:fldCharType="end"/>
      </w:r>
      <w:r w:rsidR="009D3337">
        <w:rPr>
          <w:rFonts w:ascii="Times New Roman" w:eastAsia="Times New Roman" w:hAnsi="Times New Roman" w:cs="Times New Roman"/>
          <w:color w:val="1F1F1F"/>
          <w:sz w:val="24"/>
          <w:szCs w:val="24"/>
          <w:bdr w:val="none" w:sz="0" w:space="0" w:color="auto" w:frame="1"/>
        </w:rPr>
        <w:t>.</w:t>
      </w:r>
    </w:p>
    <w:p w14:paraId="5F1C38E1" w14:textId="77777777" w:rsidR="00871424" w:rsidRPr="008001A4" w:rsidRDefault="00871424" w:rsidP="008001A4">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sidRPr="00871424">
        <w:rPr>
          <w:rFonts w:ascii="Times New Roman" w:eastAsia="Times New Roman" w:hAnsi="Times New Roman" w:cs="Times New Roman"/>
          <w:color w:val="1F1F1F"/>
          <w:sz w:val="24"/>
          <w:szCs w:val="24"/>
          <w:bdr w:val="none" w:sz="0" w:space="0" w:color="auto" w:frame="1"/>
        </w:rPr>
        <w:t xml:space="preserve">Essential micronutrients </w:t>
      </w:r>
      <w:r w:rsidR="009D3337">
        <w:rPr>
          <w:rFonts w:ascii="Times New Roman" w:eastAsia="Times New Roman" w:hAnsi="Times New Roman" w:cs="Times New Roman"/>
          <w:color w:val="1F1F1F"/>
          <w:sz w:val="24"/>
          <w:szCs w:val="24"/>
          <w:bdr w:val="none" w:sz="0" w:space="0" w:color="auto" w:frame="1"/>
        </w:rPr>
        <w:t>such as Zinc and Selenium are integral components of major antioxidant enzymes</w:t>
      </w:r>
      <w:r w:rsidR="00F761C3">
        <w:rPr>
          <w:rFonts w:ascii="Times New Roman" w:eastAsia="Times New Roman" w:hAnsi="Times New Roman" w:cs="Times New Roman"/>
          <w:color w:val="1F1F1F"/>
          <w:sz w:val="24"/>
          <w:szCs w:val="24"/>
          <w:bdr w:val="none" w:sz="0" w:space="0" w:color="auto" w:frame="1"/>
        </w:rPr>
        <w:t>, including</w:t>
      </w:r>
      <w:r w:rsidR="009D3337">
        <w:rPr>
          <w:rFonts w:ascii="Times New Roman" w:eastAsia="Times New Roman" w:hAnsi="Times New Roman" w:cs="Times New Roman"/>
          <w:color w:val="1F1F1F"/>
          <w:sz w:val="24"/>
          <w:szCs w:val="24"/>
          <w:bdr w:val="none" w:sz="0" w:space="0" w:color="auto" w:frame="1"/>
        </w:rPr>
        <w:t xml:space="preserve"> Superoxide Dismutase (SOD) and Glutathione Peroxidase (</w:t>
      </w:r>
      <w:proofErr w:type="spellStart"/>
      <w:r w:rsidR="009D3337">
        <w:rPr>
          <w:rFonts w:ascii="Times New Roman" w:eastAsia="Times New Roman" w:hAnsi="Times New Roman" w:cs="Times New Roman"/>
          <w:color w:val="1F1F1F"/>
          <w:sz w:val="24"/>
          <w:szCs w:val="24"/>
          <w:bdr w:val="none" w:sz="0" w:space="0" w:color="auto" w:frame="1"/>
        </w:rPr>
        <w:t>GPx</w:t>
      </w:r>
      <w:proofErr w:type="spellEnd"/>
      <w:r w:rsidR="009D3337">
        <w:rPr>
          <w:rFonts w:ascii="Times New Roman" w:eastAsia="Times New Roman" w:hAnsi="Times New Roman" w:cs="Times New Roman"/>
          <w:color w:val="1F1F1F"/>
          <w:sz w:val="24"/>
          <w:szCs w:val="24"/>
          <w:bdr w:val="none" w:sz="0" w:space="0" w:color="auto" w:frame="1"/>
        </w:rPr>
        <w:t xml:space="preserve">) </w:t>
      </w:r>
      <w:r w:rsidR="009D3337">
        <w:rPr>
          <w:rFonts w:ascii="Times New Roman" w:eastAsia="Times New Roman" w:hAnsi="Times New Roman" w:cs="Times New Roman"/>
          <w:color w:val="1F1F1F"/>
          <w:sz w:val="24"/>
          <w:szCs w:val="24"/>
          <w:bdr w:val="none" w:sz="0" w:space="0" w:color="auto" w:frame="1"/>
        </w:rPr>
        <w:fldChar w:fldCharType="begin" w:fldLock="1"/>
      </w:r>
      <w:r w:rsidR="009D2F04">
        <w:rPr>
          <w:rFonts w:ascii="Times New Roman" w:eastAsia="Times New Roman" w:hAnsi="Times New Roman" w:cs="Times New Roman"/>
          <w:color w:val="1F1F1F"/>
          <w:sz w:val="24"/>
          <w:szCs w:val="24"/>
          <w:bdr w:val="none" w:sz="0" w:space="0" w:color="auto" w:frame="1"/>
        </w:rPr>
        <w:instrText>ADDIN CSL_CITATION {"citationItems":[{"id":"ITEM-1","itemData":{"DOI":"https://doi.org/10.1016/j.jtemb.2024.127499","ISSN":"0946-672X","abstract":"Introduction Chronic low-grade inflammation and oxidative stress are pivotal contributors to the metabolic complications associated with obesity. Selenoprotein P (SELENOP) and glutathione peroxidase 1 (GPx1) are selenoproteins involved in the reduction of reactive oxygen species and pro-inflammatory cytokines levels. Nutritional epigenomics revealed the interaction of microRNAs and nutrients with an important impact on metabolic pathways involved in obesity. However, the knowledge regarding the influence of microRNA on selenium biomarkers and its impact on metabolic pathways related to obesity remains scarce. Thus, the aim of this study was to investigate the association of plasma miR‐7‐5p expression with selenium and inflammatory biomarkers in women with overweight/obesity. Material and methods Anthropometric evaluations were performed and blood samples were collected for the analysis of fasting glucose, insulin, inflammatory and selenium biomarkers, and miR-7–5p expression in 54 women with overweight/obesity. Gene expression of SELENOP and GPX1 were evaluated in peripheral mononuclear blood cells. Results This study observed a negative correlation between SELENOP levels and miR-7–5p (rho = −0.350; p = 0.018). Additionally, it was observed that body fat (OR = 0.737; p = 0.011), age (OR = 1.214; p = 0.007), and miR‐7‐5p (OR = 0.990; p = 0.015) emerged as significant predictors of SELENOP levels. Conclusions In conclusion, we observed a significant inverse association between miR‐7‐5p expression and SELENOP concentration in overweight/obese women, suggesting that age and percentage of body fat are also associated. Trial registration number Brazilian Registry of Clinical Trials (ReBEC) number RBR-2nfy5q","author":[{"dropping-particle":"","family":"Alves","given":"Higor Paiva de Mendonça","non-dropping-particle":"","parse-names":false,"suffix":""},{"dropping-particle":"","family":"Duarte","given":"Graziela Biude Silva","non-dropping-particle":"","parse-names":false,"suffix":""},{"dropping-particle":"de","family":"Souza Junior","given":"Adriano Carlos","non-dropping-particle":"","parse-names":false,"suffix":""},{"dropping-particle":"","family":"Pereira Batista","given":"Leonam da Silva","non-dropping-particle":"","parse-names":false,"suffix":""},{"dropping-particle":"","family":"Rogero","given":"Marcelo Macedo","non-dropping-particle":"","parse-names":false,"suffix":""},{"dropping-particle":"","family":"Barbosa Jr","given":"Fernando","non-dropping-particle":"","parse-names":false,"suffix":""},{"dropping-particle":"","family":"Cozzolino","given":"Silvia Maria Franciscato","non-dropping-particle":"","parse-names":false,"suffix":""},{"dropping-particle":"","family":"Dantas-Komatsu","given":"Raquel Costa Silva","non-dropping-particle":"","parse-names":false,"suffix":""},{"dropping-particle":"","family":"Marinho Costa","given":"Karina Zaira Silva","non-dropping-particle":"","parse-names":false,"suffix":""},{"dropping-particle":"","family":"Reis","given":"Bruna Zavarize","non-dropping-particle":"","parse-names":false,"suffix":""}],"container-title":"Journal of Trace Elements in Medicine and Biology","id":"ITEM-1","issued":{"date-parts":[["2024"]]},"page":"127499","title":"Selenium biomarkers and miR‐7‐5p in overweight/obese women","type":"article-journal","volume":"86"},"uris":["http://www.mendeley.com/documents/?uuid=c14c8f2a-5156-4628-9b58-e775b36c28ae"]}],"mendeley":{"formattedCitation":"[10]","plainTextFormattedCitation":"[10]","previouslyFormattedCitation":"[10]"},"properties":{"noteIndex":0},"schema":"https://github.com/citation-style-language/schema/raw/master/csl-citation.json"}</w:instrText>
      </w:r>
      <w:r w:rsidR="009D3337">
        <w:rPr>
          <w:rFonts w:ascii="Times New Roman" w:eastAsia="Times New Roman" w:hAnsi="Times New Roman" w:cs="Times New Roman"/>
          <w:color w:val="1F1F1F"/>
          <w:sz w:val="24"/>
          <w:szCs w:val="24"/>
          <w:bdr w:val="none" w:sz="0" w:space="0" w:color="auto" w:frame="1"/>
        </w:rPr>
        <w:fldChar w:fldCharType="separate"/>
      </w:r>
      <w:r w:rsidR="009D3337" w:rsidRPr="009D3337">
        <w:rPr>
          <w:rFonts w:ascii="Times New Roman" w:eastAsia="Times New Roman" w:hAnsi="Times New Roman" w:cs="Times New Roman"/>
          <w:noProof/>
          <w:color w:val="1F1F1F"/>
          <w:sz w:val="24"/>
          <w:szCs w:val="24"/>
          <w:bdr w:val="none" w:sz="0" w:space="0" w:color="auto" w:frame="1"/>
        </w:rPr>
        <w:t>[10]</w:t>
      </w:r>
      <w:r w:rsidR="009D3337">
        <w:rPr>
          <w:rFonts w:ascii="Times New Roman" w:eastAsia="Times New Roman" w:hAnsi="Times New Roman" w:cs="Times New Roman"/>
          <w:color w:val="1F1F1F"/>
          <w:sz w:val="24"/>
          <w:szCs w:val="24"/>
          <w:bdr w:val="none" w:sz="0" w:space="0" w:color="auto" w:frame="1"/>
        </w:rPr>
        <w:fldChar w:fldCharType="end"/>
      </w:r>
      <w:r w:rsidR="009D2F04">
        <w:rPr>
          <w:rFonts w:ascii="Times New Roman" w:eastAsia="Times New Roman" w:hAnsi="Times New Roman" w:cs="Times New Roman"/>
          <w:color w:val="1F1F1F"/>
          <w:sz w:val="24"/>
          <w:szCs w:val="24"/>
          <w:bdr w:val="none" w:sz="0" w:space="0" w:color="auto" w:frame="1"/>
        </w:rPr>
        <w:fldChar w:fldCharType="begin" w:fldLock="1"/>
      </w:r>
      <w:r w:rsidR="009D2F04">
        <w:rPr>
          <w:rFonts w:ascii="Times New Roman" w:eastAsia="Times New Roman" w:hAnsi="Times New Roman" w:cs="Times New Roman"/>
          <w:color w:val="1F1F1F"/>
          <w:sz w:val="24"/>
          <w:szCs w:val="24"/>
          <w:bdr w:val="none" w:sz="0" w:space="0" w:color="auto" w:frame="1"/>
        </w:rPr>
        <w:instrText>ADDIN CSL_CITATION {"citationItems":[{"id":"ITEM-1","itemData":{"DOI":"https://doi.org/10.1016/B978-0-12-823482-2.00021-2","ISBN":"978-0-12-823482-2","abstract":"Chronic low-grade systemic inflammation and oxidative stress are processes that occur simultaneously and are relevant for the pathophysiology of the most chronic diseases such as obesity, type 2 diabetes, cardiovascular diseases, and cancer, which can contribute to the development of comorbidities and worsening prognosis of these diseases. The micronutrients selenium (Se) and zinc (Zn) are essential trace elements for human health that exert important biological functions for the human organism. These minerals are not only recognized by their important role as antioxidants through enzymes as cofactors—glutathione peroxidase and superoxide dismutase, respectively—but also by their potential role as an antiinflammatory elements in different related pathways. The Se and Zn adequate intake and nutritional status are of great relevance to contribute together with other nutrients and bioactive compounds for the maintenance of good health of populations in different ages and clinical conditions.","author":[{"dropping-particle":"","family":"Silva Duarte","given":"Graziela Biude","non-dropping-particle":"da","parse-names":false,"suffix":""},{"dropping-particle":"","family":"Reis","given":"Bruna Zavarize","non-dropping-particle":"","parse-names":false,"suffix":""},{"dropping-particle":"","family":"Rogero","given":"Marcelo Macedo","non-dropping-particle":"","parse-names":false,"suffix":""}],"editor":[{"dropping-particle":"","family":"Hernández-Ledesma","given":"Blanca","non-dropping-particle":"","parse-names":false,"suffix":""},{"dropping-particle":"","family":"Martínez-Villaluenga","given":"Cristina B T - Current Advances for Development of Functional Foods Modulating Inflammation and Oxidative Stress","non-dropping-particle":"","parse-names":false,"suffix":""}],"id":"ITEM-1","issued":{"date-parts":[["2022"]]},"page":"181-188","publisher":"Academic Press","title":"Chapter 10 - Role of micronutrients zinc and selenium in inflammation and oxidative stress","type":"chapter"},"uris":["http://www.mendeley.com/documents/?uuid=02797b6f-4b02-4c17-a9ca-76304516e25b"]}],"mendeley":{"formattedCitation":"[11]","plainTextFormattedCitation":"[11]","previouslyFormattedCitation":"[11]"},"properties":{"noteIndex":0},"schema":"https://github.com/citation-style-language/schema/raw/master/csl-citation.json"}</w:instrText>
      </w:r>
      <w:r w:rsidR="009D2F04">
        <w:rPr>
          <w:rFonts w:ascii="Times New Roman" w:eastAsia="Times New Roman" w:hAnsi="Times New Roman" w:cs="Times New Roman"/>
          <w:color w:val="1F1F1F"/>
          <w:sz w:val="24"/>
          <w:szCs w:val="24"/>
          <w:bdr w:val="none" w:sz="0" w:space="0" w:color="auto" w:frame="1"/>
        </w:rPr>
        <w:fldChar w:fldCharType="separate"/>
      </w:r>
      <w:r w:rsidR="009D2F04" w:rsidRPr="009D2F04">
        <w:rPr>
          <w:rFonts w:ascii="Times New Roman" w:eastAsia="Times New Roman" w:hAnsi="Times New Roman" w:cs="Times New Roman"/>
          <w:noProof/>
          <w:color w:val="1F1F1F"/>
          <w:sz w:val="24"/>
          <w:szCs w:val="24"/>
          <w:bdr w:val="none" w:sz="0" w:space="0" w:color="auto" w:frame="1"/>
        </w:rPr>
        <w:t>[11]</w:t>
      </w:r>
      <w:r w:rsidR="009D2F04">
        <w:rPr>
          <w:rFonts w:ascii="Times New Roman" w:eastAsia="Times New Roman" w:hAnsi="Times New Roman" w:cs="Times New Roman"/>
          <w:color w:val="1F1F1F"/>
          <w:sz w:val="24"/>
          <w:szCs w:val="24"/>
          <w:bdr w:val="none" w:sz="0" w:space="0" w:color="auto" w:frame="1"/>
        </w:rPr>
        <w:fldChar w:fldCharType="end"/>
      </w:r>
      <w:r w:rsidR="009D2F04">
        <w:rPr>
          <w:rFonts w:ascii="Times New Roman" w:eastAsia="Times New Roman" w:hAnsi="Times New Roman" w:cs="Times New Roman"/>
          <w:color w:val="1F1F1F"/>
          <w:sz w:val="24"/>
          <w:szCs w:val="24"/>
          <w:bdr w:val="none" w:sz="0" w:space="0" w:color="auto" w:frame="1"/>
        </w:rPr>
        <w:t>.</w:t>
      </w:r>
      <w:r w:rsidR="009D3337">
        <w:rPr>
          <w:rFonts w:ascii="Times New Roman" w:eastAsia="Times New Roman" w:hAnsi="Times New Roman" w:cs="Times New Roman"/>
          <w:color w:val="1F1F1F"/>
          <w:sz w:val="24"/>
          <w:szCs w:val="24"/>
          <w:bdr w:val="none" w:sz="0" w:space="0" w:color="auto" w:frame="1"/>
        </w:rPr>
        <w:t xml:space="preserve"> </w:t>
      </w:r>
      <w:r w:rsidRPr="00871424">
        <w:rPr>
          <w:rFonts w:ascii="Times New Roman" w:eastAsia="Times New Roman" w:hAnsi="Times New Roman" w:cs="Times New Roman"/>
          <w:color w:val="1F1F1F"/>
          <w:sz w:val="24"/>
          <w:szCs w:val="24"/>
          <w:bdr w:val="none" w:sz="0" w:space="0" w:color="auto" w:frame="1"/>
        </w:rPr>
        <w:t>Lead exposure can deplete or inactivate these micronutrient-dependent antioxidant systems, further exacerbating oxidative damage</w:t>
      </w:r>
      <w:r w:rsidR="009D2F04">
        <w:rPr>
          <w:rFonts w:ascii="Times New Roman" w:eastAsia="Times New Roman" w:hAnsi="Times New Roman" w:cs="Times New Roman"/>
          <w:color w:val="1F1F1F"/>
          <w:sz w:val="24"/>
          <w:szCs w:val="24"/>
          <w:bdr w:val="none" w:sz="0" w:space="0" w:color="auto" w:frame="1"/>
        </w:rPr>
        <w:t xml:space="preserve"> </w:t>
      </w:r>
      <w:r w:rsidR="009D2F04">
        <w:rPr>
          <w:rFonts w:ascii="Times New Roman" w:eastAsia="Times New Roman" w:hAnsi="Times New Roman" w:cs="Times New Roman"/>
          <w:color w:val="1F1F1F"/>
          <w:sz w:val="24"/>
          <w:szCs w:val="24"/>
          <w:bdr w:val="none" w:sz="0" w:space="0" w:color="auto" w:frame="1"/>
        </w:rPr>
        <w:fldChar w:fldCharType="begin" w:fldLock="1"/>
      </w:r>
      <w:r w:rsidR="008001A4">
        <w:rPr>
          <w:rFonts w:ascii="Times New Roman" w:eastAsia="Times New Roman" w:hAnsi="Times New Roman" w:cs="Times New Roman"/>
          <w:color w:val="1F1F1F"/>
          <w:sz w:val="24"/>
          <w:szCs w:val="24"/>
          <w:bdr w:val="none" w:sz="0" w:space="0" w:color="auto" w:frame="1"/>
        </w:rPr>
        <w:instrText>ADDIN CSL_CITATION {"citationItems":[{"id":"ITEM-1","itemData":{"DOI":"https://doi.org/10.1016/B978-0-12-803158-2.00003-5","ISBN":"978-0-12-803158-2","abstract":"Toxic metals occur naturally in rocks and are released to the environment by weathering. However, release of increasingly larger quantities of toxic metals into the environment have been put our present and future into great danger. Heavy metals are not degradable and do not decompose at all; therefore, they continuously accumulate in soil or our bodies. Lead, in particular, has a great potential to cause disorders in living organisms. Although its toxicity and mode of action have been greatly studied in various studies, it should be remembered that even at a low dose could also be cytotoxic or genotoxic. Even if it does not create genotoxicity at acute exposure, its continuous accumulation results in generating a great amount of reactive oxygen species that eventually create DNA damage and cytotoxicity in living organisms. Low doses could also interact with other abiotic and biotic stressors and create more danger than that of either stress factor alone. Also, pathogenic microorganisms could be invigorated and result in more pathological effects through increased virulence of pathogens. To prevent the potential danger of lead toxicity, we should be aware of its danger in advance of chronic accumulation in the environment or in organisms. Therefore, a new genotoxical method that measures the conditions of DNA should be used via new assays. For remediation of lead, especially from agricultural sites including soil and aquacultural areas, new plant species should be introduced and incorporated with beneficial microorganisms to remediate the polluted environments efficiently. Removal of lead should not only target the absorption of heavy metals, but also should do this in a shorter time.","author":[{"dropping-particle":"","family":"Dikilitas","given":"Murat","non-dropping-particle":"","parse-names":false,"suffix":""},{"dropping-particle":"","family":"Karakas","given":"Sema","non-dropping-particle":"","parse-names":false,"suffix":""},{"dropping-particle":"","family":"Ahmad","given":"Parvaiz","non-dropping-particle":"","parse-names":false,"suffix":""}],"editor":[{"dropping-particle":"","family":"Ahmad","given":"Parvaiz B T - Plant Metal Interaction","non-dropping-particle":"","parse-names":false,"suffix":""}],"id":"ITEM-1","issued":{"date-parts":[["2016"]]},"page":"41-67","publisher":"Elsevier","title":"Chapter 3 - Effect of Lead on Plant and Human DNA Damages and Its Impact on the Environment","type":"chapter"},"uris":["http://www.mendeley.com/documents/?uuid=d09c17bb-a85e-4538-9a7d-29b32d7cb855"]}],"mendeley":{"formattedCitation":"[12]","plainTextFormattedCitation":"[12]","previouslyFormattedCitation":"[12]"},"properties":{"noteIndex":0},"schema":"https://github.com/citation-style-language/schema/raw/master/csl-citation.json"}</w:instrText>
      </w:r>
      <w:r w:rsidR="009D2F04">
        <w:rPr>
          <w:rFonts w:ascii="Times New Roman" w:eastAsia="Times New Roman" w:hAnsi="Times New Roman" w:cs="Times New Roman"/>
          <w:color w:val="1F1F1F"/>
          <w:sz w:val="24"/>
          <w:szCs w:val="24"/>
          <w:bdr w:val="none" w:sz="0" w:space="0" w:color="auto" w:frame="1"/>
        </w:rPr>
        <w:fldChar w:fldCharType="separate"/>
      </w:r>
      <w:r w:rsidR="009D2F04" w:rsidRPr="009D2F04">
        <w:rPr>
          <w:rFonts w:ascii="Times New Roman" w:eastAsia="Times New Roman" w:hAnsi="Times New Roman" w:cs="Times New Roman"/>
          <w:noProof/>
          <w:color w:val="1F1F1F"/>
          <w:sz w:val="24"/>
          <w:szCs w:val="24"/>
          <w:bdr w:val="none" w:sz="0" w:space="0" w:color="auto" w:frame="1"/>
        </w:rPr>
        <w:t>[12]</w:t>
      </w:r>
      <w:r w:rsidR="009D2F04">
        <w:rPr>
          <w:rFonts w:ascii="Times New Roman" w:eastAsia="Times New Roman" w:hAnsi="Times New Roman" w:cs="Times New Roman"/>
          <w:color w:val="1F1F1F"/>
          <w:sz w:val="24"/>
          <w:szCs w:val="24"/>
          <w:bdr w:val="none" w:sz="0" w:space="0" w:color="auto" w:frame="1"/>
        </w:rPr>
        <w:fldChar w:fldCharType="end"/>
      </w:r>
      <w:r w:rsidR="009D2F04">
        <w:rPr>
          <w:rFonts w:ascii="Times New Roman" w:eastAsia="Times New Roman" w:hAnsi="Times New Roman" w:cs="Times New Roman"/>
          <w:color w:val="1F1F1F"/>
          <w:sz w:val="24"/>
          <w:szCs w:val="24"/>
          <w:bdr w:val="none" w:sz="0" w:space="0" w:color="auto" w:frame="1"/>
        </w:rPr>
        <w:t>.</w:t>
      </w:r>
      <w:r w:rsidR="008001A4">
        <w:rPr>
          <w:rFonts w:ascii="Times New Roman" w:eastAsia="Times New Roman" w:hAnsi="Times New Roman" w:cs="Times New Roman"/>
          <w:color w:val="1F1F1F"/>
          <w:sz w:val="24"/>
          <w:szCs w:val="24"/>
          <w:bdr w:val="none" w:sz="0" w:space="0" w:color="auto" w:frame="1"/>
        </w:rPr>
        <w:t xml:space="preserve"> </w:t>
      </w:r>
      <w:r w:rsidR="00225EC9">
        <w:rPr>
          <w:rFonts w:ascii="Times New Roman" w:eastAsia="Times New Roman" w:hAnsi="Times New Roman" w:cs="Times New Roman"/>
          <w:color w:val="1F1F1F"/>
          <w:sz w:val="24"/>
          <w:szCs w:val="24"/>
        </w:rPr>
        <w:t xml:space="preserve">While the </w:t>
      </w:r>
      <w:r w:rsidRPr="00871424">
        <w:rPr>
          <w:rFonts w:ascii="Times New Roman" w:eastAsia="Times New Roman" w:hAnsi="Times New Roman" w:cs="Times New Roman"/>
          <w:color w:val="1F1F1F"/>
          <w:sz w:val="24"/>
          <w:szCs w:val="24"/>
        </w:rPr>
        <w:t xml:space="preserve">Blood Lead Levels, </w:t>
      </w:r>
      <w:r w:rsidR="00225EC9">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BLLs) is the most common biomarker of recent exposure, the </w:t>
      </w:r>
      <w:r w:rsidRPr="00225EC9">
        <w:rPr>
          <w:rFonts w:ascii="Times New Roman" w:eastAsia="Times New Roman" w:hAnsi="Times New Roman" w:cs="Times New Roman"/>
          <w:bCs/>
          <w:color w:val="1F1F1F"/>
          <w:sz w:val="24"/>
          <w:szCs w:val="24"/>
          <w:bdr w:val="none" w:sz="0" w:space="0" w:color="auto" w:frame="1"/>
        </w:rPr>
        <w:t>duration of occupational exposure</w:t>
      </w:r>
      <w:r w:rsidRPr="00871424">
        <w:rPr>
          <w:rFonts w:ascii="Times New Roman" w:eastAsia="Times New Roman" w:hAnsi="Times New Roman" w:cs="Times New Roman"/>
          <w:color w:val="1F1F1F"/>
          <w:sz w:val="24"/>
          <w:szCs w:val="24"/>
        </w:rPr>
        <w:t xml:space="preserve"> is crucial for assessing chronic toxicity and bioaccumulation </w:t>
      </w:r>
      <w:r w:rsidR="008001A4">
        <w:rPr>
          <w:rFonts w:ascii="Times New Roman" w:eastAsia="Times New Roman" w:hAnsi="Times New Roman" w:cs="Times New Roman"/>
          <w:color w:val="1F1F1F"/>
          <w:sz w:val="24"/>
          <w:szCs w:val="24"/>
        </w:rPr>
        <w:fldChar w:fldCharType="begin" w:fldLock="1"/>
      </w:r>
      <w:r w:rsidR="008001A4">
        <w:rPr>
          <w:rFonts w:ascii="Times New Roman" w:eastAsia="Times New Roman" w:hAnsi="Times New Roman" w:cs="Times New Roman"/>
          <w:color w:val="1F1F1F"/>
          <w:sz w:val="24"/>
          <w:szCs w:val="24"/>
        </w:rPr>
        <w:instrText>ADDIN CSL_CITATION {"citationItems":[{"id":"ITEM-1","itemData":{"DOI":"10.1289/ehp.7917","ISSN":"0091-6765 (Print)","PMID":"16330345","abstract":"Lead concentration in whole blood (BPb) is the primary biomarker used to monitor  exposure to this metallic element. The U.S. Centers for Disease Control and Prevention and the World Health Organization define a BPb of 10 microg/dL (0.48 micromol/L) as the threshold of concern in young children. However, recent studies have reported the possibility of adverse health effects, including intellectual impairment in young children, at BPb levels &lt; 10 microg/dL, suggesting that there is no safe level of exposure. It appears impossible to differentiate between low-level chronic Pb exposure and a high-level short Pb exposure based on a single BPb measurement; therefore, serial BPb measurements offer a better estimation of possible health outcomes. The difficulty in assessing the exact nature of Pb exposure is dependent not so much on problems with current analytical methodologies, but rather on the complex toxicokinetics of Pb within various body compartments (i.e., cycling of Pb between bone, blood, and soft tissues). If we are to differentiate more effectively between Pb stored in the body for years and Pb from recent exposure, information on other biomarkers of exposure may be needed. None of the current biomarkers of internal Pb dose have yet been accepted by the scientific community as a reliable substitute for a BPb measurement. This review focuses on the limitations of biomarkers of Pb exposure and the need to improve the accuracy of their measurement. We present here only the traditional analytical protocols in current use, and we attempt to assess the influence of confounding variables on BPb levels. Finally, we discuss the interpretation of BPb data with respect to both external and endogenous Pb exposure, past or recent exposure, as well as the significance of Pb determinations in human specimens including hair, nails, saliva, bone, blood (plasma, whole blood), urine, feces, and exfoliated teeth.","author":[{"dropping-particle":"","family":"Barbosa","given":"Fernando Jr","non-dropping-particle":"","parse-names":false,"suffix":""},{"dropping-particle":"","family":"Tanus-Santos","given":"José Eduardo","non-dropping-particle":"","parse-names":false,"suffix":""},{"dropping-particle":"","family":"Gerlach","given":"Raquel Fernanda","non-dropping-particle":"","parse-names":false,"suffix":""},{"dropping-particle":"","family":"Parsons","given":"Patrick J","non-dropping-particle":"","parse-names":false,"suffix":""}],"container-title":"Environmental health perspectives","id":"ITEM-1","issue":"12","issued":{"date-parts":[["2005","12"]]},"language":"eng","page":"1669-1674","publisher-place":"United States","title":"A critical review of biomarkers used for monitoring human exposure to lead:  advantages, limitations, and future needs.","type":"article-journal","volume":"113"},"uris":["http://www.mendeley.com/documents/?uuid=66e79682-d85d-4ef5-a75a-87bacedb759a"]}],"mendeley":{"formattedCitation":"[13]","plainTextFormattedCitation":"[13]","previouslyFormattedCitation":"[13]"},"properties":{"noteIndex":0},"schema":"https://github.com/citation-style-language/schema/raw/master/csl-citation.json"}</w:instrText>
      </w:r>
      <w:r w:rsidR="008001A4">
        <w:rPr>
          <w:rFonts w:ascii="Times New Roman" w:eastAsia="Times New Roman" w:hAnsi="Times New Roman" w:cs="Times New Roman"/>
          <w:color w:val="1F1F1F"/>
          <w:sz w:val="24"/>
          <w:szCs w:val="24"/>
        </w:rPr>
        <w:fldChar w:fldCharType="separate"/>
      </w:r>
      <w:r w:rsidR="008001A4" w:rsidRPr="008001A4">
        <w:rPr>
          <w:rFonts w:ascii="Times New Roman" w:eastAsia="Times New Roman" w:hAnsi="Times New Roman" w:cs="Times New Roman"/>
          <w:noProof/>
          <w:color w:val="1F1F1F"/>
          <w:sz w:val="24"/>
          <w:szCs w:val="24"/>
        </w:rPr>
        <w:t>[13]</w:t>
      </w:r>
      <w:r w:rsidR="008001A4">
        <w:rPr>
          <w:rFonts w:ascii="Times New Roman" w:eastAsia="Times New Roman" w:hAnsi="Times New Roman" w:cs="Times New Roman"/>
          <w:color w:val="1F1F1F"/>
          <w:sz w:val="24"/>
          <w:szCs w:val="24"/>
        </w:rPr>
        <w:fldChar w:fldCharType="end"/>
      </w:r>
      <w:r w:rsidR="00225EC9">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 xml:space="preserve"> Lead has a long biological half-life, especially when stored in the bone (up to 30 years), meaning that cumulative exposure over years can have more profound and irreversible effects </w:t>
      </w:r>
      <w:r w:rsidR="008001A4">
        <w:rPr>
          <w:rFonts w:ascii="Times New Roman" w:eastAsia="Times New Roman" w:hAnsi="Times New Roman" w:cs="Times New Roman"/>
          <w:color w:val="1F1F1F"/>
          <w:sz w:val="24"/>
          <w:szCs w:val="24"/>
        </w:rPr>
        <w:fldChar w:fldCharType="begin" w:fldLock="1"/>
      </w:r>
      <w:r w:rsidR="003F2D83">
        <w:rPr>
          <w:rFonts w:ascii="Times New Roman" w:eastAsia="Times New Roman" w:hAnsi="Times New Roman" w:cs="Times New Roman"/>
          <w:color w:val="1F1F1F"/>
          <w:sz w:val="24"/>
          <w:szCs w:val="24"/>
        </w:rPr>
        <w:instrText>ADDIN CSL_CITATION {"citationItems":[{"id":"ITEM-1","itemData":{"DOI":"10.3390/jox15050146","ISSN":"2039-4713 (Electronic)","PMID":"40981357","abstract":"Lead (Pb) is a non-essential, toxic heavy metal with no known biological function  that has caused widespread environmental contamination throughout human history. Pb toxicity represents one of the most persistent environmental health challenges, with no safe exposure threshold identified. The metal demonstrates remarkable persistence in biological systems, with approximately 90% of it stored in bone tissue for decades, mimicking calcium due to its similar ionic properties. Contemporary contamination primarily stems from mining activities, battery manufacturing, electronic waste recycling, and deteriorating infrastructure. Pb enters organisms through multiple pathways and causes severe health impacts across all biological systems, with particularly devastating neurodevelopmental and bone effects in children and cardiovascular and reproductive consequences in adults. On a molecular level, Pb disrupts cellular processes through ion mimicry, replacing essential metals in enzymes and proteins and leading to mitochondrial dysfunction, oxidative stress, DNA damage, and epigenetic modifications. This review examines the sources of Pb pollution and its toxicological impacts on bacteria, fungi, plants, animals, and humans. It explores the molecular mechanisms underlying these effects, including neuroinflammation, genotoxicity, and cell death pathways. The paper considers current approaches for Pb removal from contaminated environments and therapeutic interventions for Pb poisoning.","author":[{"dropping-particle":"","family":"Generalova","given":"Anastasiia","non-dropping-particle":"","parse-names":false,"suffix":""},{"dropping-particle":"","family":"Davidova","given":"Slavena","non-dropping-particle":"","parse-names":false,"suffix":""},{"dropping-particle":"","family":"Satchanska","given":"Galina","non-dropping-particle":"","parse-names":false,"suffix":""}],"container-title":"Journal of xenobiotics","id":"ITEM-1","issue":"5","issued":{"date-parts":[["2025","9"]]},"language":"eng","publisher-place":"Switzerland","title":"The Mechanisms of Lead Toxicity in Living Organisms.","type":"article-journal","volume":"15"},"uris":["http://www.mendeley.com/documents/?uuid=0c2577d9-99ce-4f8a-8ec9-411e1ad94c66"]}],"mendeley":{"formattedCitation":"[7]","plainTextFormattedCitation":"[7]","previouslyFormattedCitation":"[7]"},"properties":{"noteIndex":0},"schema":"https://github.com/citation-style-language/schema/raw/master/csl-citation.json"}</w:instrText>
      </w:r>
      <w:r w:rsidR="008001A4">
        <w:rPr>
          <w:rFonts w:ascii="Times New Roman" w:eastAsia="Times New Roman" w:hAnsi="Times New Roman" w:cs="Times New Roman"/>
          <w:color w:val="1F1F1F"/>
          <w:sz w:val="24"/>
          <w:szCs w:val="24"/>
        </w:rPr>
        <w:fldChar w:fldCharType="separate"/>
      </w:r>
      <w:r w:rsidR="008001A4" w:rsidRPr="008001A4">
        <w:rPr>
          <w:rFonts w:ascii="Times New Roman" w:eastAsia="Times New Roman" w:hAnsi="Times New Roman" w:cs="Times New Roman"/>
          <w:noProof/>
          <w:color w:val="1F1F1F"/>
          <w:sz w:val="24"/>
          <w:szCs w:val="24"/>
        </w:rPr>
        <w:t>[7]</w:t>
      </w:r>
      <w:r w:rsidR="008001A4">
        <w:rPr>
          <w:rFonts w:ascii="Times New Roman" w:eastAsia="Times New Roman" w:hAnsi="Times New Roman" w:cs="Times New Roman"/>
          <w:color w:val="1F1F1F"/>
          <w:sz w:val="24"/>
          <w:szCs w:val="24"/>
        </w:rPr>
        <w:fldChar w:fldCharType="end"/>
      </w:r>
    </w:p>
    <w:p w14:paraId="58BF0693" w14:textId="77777777" w:rsidR="00B301D5" w:rsidRPr="00BA4F57" w:rsidRDefault="00871424" w:rsidP="00BA4F57">
      <w:pPr>
        <w:spacing w:before="100" w:beforeAutospacing="1" w:after="0" w:line="240" w:lineRule="auto"/>
        <w:jc w:val="both"/>
        <w:rPr>
          <w:rFonts w:ascii="Times New Roman" w:eastAsia="Times New Roman" w:hAnsi="Times New Roman" w:cs="Times New Roman"/>
          <w:color w:val="1F1F1F"/>
          <w:sz w:val="24"/>
          <w:szCs w:val="24"/>
        </w:rPr>
      </w:pPr>
      <w:r w:rsidRPr="00871424">
        <w:rPr>
          <w:rFonts w:ascii="Times New Roman" w:eastAsia="Times New Roman" w:hAnsi="Times New Roman" w:cs="Times New Roman"/>
          <w:color w:val="1F1F1F"/>
          <w:sz w:val="24"/>
          <w:szCs w:val="24"/>
          <w:bdr w:val="none" w:sz="0" w:space="0" w:color="auto" w:frame="1"/>
        </w:rPr>
        <w:t>Studies on Nigerian occupational groups, such as battery chargers and auto painters, have consistently reported significantly elevated blood lead levels and associated health risks, including subclinical renal impairment and disrupted hormonal balance, with the severity often correlating with the duratio</w:t>
      </w:r>
      <w:r w:rsidR="008001A4">
        <w:rPr>
          <w:rFonts w:ascii="Times New Roman" w:eastAsia="Times New Roman" w:hAnsi="Times New Roman" w:cs="Times New Roman"/>
          <w:color w:val="1F1F1F"/>
          <w:sz w:val="24"/>
          <w:szCs w:val="24"/>
          <w:bdr w:val="none" w:sz="0" w:space="0" w:color="auto" w:frame="1"/>
        </w:rPr>
        <w:t xml:space="preserve">n of exposure </w:t>
      </w:r>
      <w:r w:rsidR="003F2D83">
        <w:rPr>
          <w:rFonts w:ascii="Times New Roman" w:eastAsia="Times New Roman" w:hAnsi="Times New Roman" w:cs="Times New Roman"/>
          <w:color w:val="1F1F1F"/>
          <w:sz w:val="24"/>
          <w:szCs w:val="24"/>
          <w:bdr w:val="none" w:sz="0" w:space="0" w:color="auto" w:frame="1"/>
        </w:rPr>
        <w:fldChar w:fldCharType="begin" w:fldLock="1"/>
      </w:r>
      <w:r w:rsidR="003F2D83">
        <w:rPr>
          <w:rFonts w:ascii="Times New Roman" w:eastAsia="Times New Roman" w:hAnsi="Times New Roman" w:cs="Times New Roman"/>
          <w:color w:val="1F1F1F"/>
          <w:sz w:val="24"/>
          <w:szCs w:val="24"/>
          <w:bdr w:val="none" w:sz="0" w:space="0" w:color="auto" w:frame="1"/>
        </w:rPr>
        <w:instrText>ADDIN CSL_CITATION {"citationItems":[{"id":"ITEM-1","itemData":{"DOI":"10.1080/09603123.2024.2400699","ISSN":"0960-3123","author":[{"dropping-particle":"","family":"Sani-Gwarzo","given":"Nasir","non-dropping-particle":"","parse-names":false,"suffix":""},{"dropping-particle":"","family":"Garba","given":"Rayyan Muhammad","non-dropping-particle":"","parse-names":false,"suffix":""},{"dropping-particle":"","family":"Muhammad","given":"Mukhtar","non-dropping-particle":"","parse-names":false,"suffix":""},{"dropping-particle":"","family":"Gadanya","given":"Muktar Ahmed","non-dropping-particle":"","parse-names":false,"suffix":""},{"dropping-particle":"","family":"Umar-Tsafe","given":"Nasir","non-dropping-particle":"","parse-names":false,"suffix":""},{"dropping-particle":"","family":"Amin","given":"Said Mohammed","non-dropping-particle":"","parse-names":false,"suffix":""},{"dropping-particle":"","family":"Nguku","given":"Patrick","non-dropping-particle":"","parse-names":false,"suffix":""},{"dropping-particle":"","family":"Gumel","given":"Aliyu Gambo","non-dropping-particle":"","parse-names":false,"suffix":""},{"dropping-particle":"","family":"Tirima","given":"Simba","non-dropping-particle":"","parse-names":false,"suffix":""},{"dropping-particle":"","family":"Abah","given":"Steven","non-dropping-particle":"","parse-names":false,"suffix":""},{"dropping-particle":"","family":"Iliyasu","given":"Zubairu","non-dropping-particle":"","parse-names":false,"suffix":""},{"dropping-particle":"","family":"Uzochukwu","given":"Bsc","non-dropping-particle":"","parse-names":false,"suffix":""},{"dropping-particle":"","family":"Nasidi","given":"Abdulsalami","non-dropping-particle":"","parse-names":false,"suffix":""}],"container-title":"International Journal of Environmental Health Research","id":"ITEM-1","issue":"6","issued":{"date-parts":[["2025","6","3"]]},"note":"doi: 10.1080/09603123.2024.2400699","page":"1640-1649","publisher":"Taylor &amp; Francis","title":"Comparison of blood lead levels between battery recycling workers and controls in Northern Nigeria","type":"article-journal","volume":"35"},"uris":["http://www.mendeley.com/documents/?uuid=c1194e82-15dc-4cfd-8158-6c4f2a7a66ae"]}],"mendeley":{"formattedCitation":"[14]","plainTextFormattedCitation":"[14]","previouslyFormattedCitation":"[14]"},"properties":{"noteIndex":0},"schema":"https://github.com/citation-style-language/schema/raw/master/csl-citation.json"}</w:instrText>
      </w:r>
      <w:r w:rsidR="003F2D83">
        <w:rPr>
          <w:rFonts w:ascii="Times New Roman" w:eastAsia="Times New Roman" w:hAnsi="Times New Roman" w:cs="Times New Roman"/>
          <w:color w:val="1F1F1F"/>
          <w:sz w:val="24"/>
          <w:szCs w:val="24"/>
          <w:bdr w:val="none" w:sz="0" w:space="0" w:color="auto" w:frame="1"/>
        </w:rPr>
        <w:fldChar w:fldCharType="separate"/>
      </w:r>
      <w:r w:rsidR="003F2D83" w:rsidRPr="003F2D83">
        <w:rPr>
          <w:rFonts w:ascii="Times New Roman" w:eastAsia="Times New Roman" w:hAnsi="Times New Roman" w:cs="Times New Roman"/>
          <w:noProof/>
          <w:color w:val="1F1F1F"/>
          <w:sz w:val="24"/>
          <w:szCs w:val="24"/>
          <w:bdr w:val="none" w:sz="0" w:space="0" w:color="auto" w:frame="1"/>
        </w:rPr>
        <w:t>[14]</w:t>
      </w:r>
      <w:r w:rsidR="003F2D83">
        <w:rPr>
          <w:rFonts w:ascii="Times New Roman" w:eastAsia="Times New Roman" w:hAnsi="Times New Roman" w:cs="Times New Roman"/>
          <w:color w:val="1F1F1F"/>
          <w:sz w:val="24"/>
          <w:szCs w:val="24"/>
          <w:bdr w:val="none" w:sz="0" w:space="0" w:color="auto" w:frame="1"/>
        </w:rPr>
        <w:fldChar w:fldCharType="end"/>
      </w:r>
      <w:r w:rsidR="003F2D83">
        <w:rPr>
          <w:rFonts w:ascii="Times New Roman" w:eastAsia="Times New Roman" w:hAnsi="Times New Roman" w:cs="Times New Roman"/>
          <w:color w:val="1F1F1F"/>
          <w:sz w:val="24"/>
          <w:szCs w:val="24"/>
          <w:bdr w:val="none" w:sz="0" w:space="0" w:color="auto" w:frame="1"/>
        </w:rPr>
        <w:fldChar w:fldCharType="begin" w:fldLock="1"/>
      </w:r>
      <w:r w:rsidR="003F2D83">
        <w:rPr>
          <w:rFonts w:ascii="Times New Roman" w:eastAsia="Times New Roman" w:hAnsi="Times New Roman" w:cs="Times New Roman"/>
          <w:color w:val="1F1F1F"/>
          <w:sz w:val="24"/>
          <w:szCs w:val="24"/>
          <w:bdr w:val="none" w:sz="0" w:space="0" w:color="auto" w:frame="1"/>
        </w:rPr>
        <w:instrText>ADDIN CSL_CITATION {"citationItems":[{"id":"ITEM-1","itemData":{"DOI":"10.53378/jahsmr.353225","author":[{"dropping-particle":"","family":"Adeosun","given":"Ganiyu","non-dropping-particle":"","parse-names":false,"suffix":""},{"dropping-particle":"","family":"Olawuyi","given":"Abdullahi","non-dropping-particle":"","parse-names":false,"suffix":""},{"dropping-particle":"","family":"Oboh","given":"Regina","non-dropping-particle":"","parse-names":false,"suffix":""},{"dropping-particle":"","family":"Salawudeen","given":"Fatai","non-dropping-particle":"","parse-names":false,"suffix":""},{"dropping-particle":"","family":"Onyeneke","given":"Tonia","non-dropping-particle":"","parse-names":false,"suffix":""},{"dropping-particle":"","family":"Adeosun","given":"Hassanat","non-dropping-particle":"","parse-names":false,"suffix":""}],"container-title":"Journal of Allied Health Sciences &amp; Medical Research","id":"ITEM-1","issued":{"date-parts":[["2025","6","15"]]},"page":"65-81","title":"Occupational lead exposure and its dual impact on renal function and reproductive hormones: A case-control study of Nigerian battery chargers","type":"article-journal","volume":"1"},"uris":["http://www.mendeley.com/documents/?uuid=378a4f22-be37-4a99-94d3-779c063002d3"]}],"mendeley":{"formattedCitation":"[15]","plainTextFormattedCitation":"[15]","previouslyFormattedCitation":"[15]"},"properties":{"noteIndex":0},"schema":"https://github.com/citation-style-language/schema/raw/master/csl-citation.json"}</w:instrText>
      </w:r>
      <w:r w:rsidR="003F2D83">
        <w:rPr>
          <w:rFonts w:ascii="Times New Roman" w:eastAsia="Times New Roman" w:hAnsi="Times New Roman" w:cs="Times New Roman"/>
          <w:color w:val="1F1F1F"/>
          <w:sz w:val="24"/>
          <w:szCs w:val="24"/>
          <w:bdr w:val="none" w:sz="0" w:space="0" w:color="auto" w:frame="1"/>
        </w:rPr>
        <w:fldChar w:fldCharType="separate"/>
      </w:r>
      <w:r w:rsidR="003F2D83" w:rsidRPr="003F2D83">
        <w:rPr>
          <w:rFonts w:ascii="Times New Roman" w:eastAsia="Times New Roman" w:hAnsi="Times New Roman" w:cs="Times New Roman"/>
          <w:noProof/>
          <w:color w:val="1F1F1F"/>
          <w:sz w:val="24"/>
          <w:szCs w:val="24"/>
          <w:bdr w:val="none" w:sz="0" w:space="0" w:color="auto" w:frame="1"/>
        </w:rPr>
        <w:t>[15]</w:t>
      </w:r>
      <w:r w:rsidR="003F2D83">
        <w:rPr>
          <w:rFonts w:ascii="Times New Roman" w:eastAsia="Times New Roman" w:hAnsi="Times New Roman" w:cs="Times New Roman"/>
          <w:color w:val="1F1F1F"/>
          <w:sz w:val="24"/>
          <w:szCs w:val="24"/>
          <w:bdr w:val="none" w:sz="0" w:space="0" w:color="auto" w:frame="1"/>
        </w:rPr>
        <w:fldChar w:fldCharType="end"/>
      </w:r>
      <w:r w:rsidR="003F2D83">
        <w:rPr>
          <w:rFonts w:ascii="Times New Roman" w:eastAsia="Times New Roman" w:hAnsi="Times New Roman" w:cs="Times New Roman"/>
          <w:color w:val="1F1F1F"/>
          <w:sz w:val="24"/>
          <w:szCs w:val="24"/>
          <w:bdr w:val="none" w:sz="0" w:space="0" w:color="auto" w:frame="1"/>
        </w:rPr>
        <w:fldChar w:fldCharType="begin" w:fldLock="1"/>
      </w:r>
      <w:r w:rsidR="00BA4F57">
        <w:rPr>
          <w:rFonts w:ascii="Times New Roman" w:eastAsia="Times New Roman" w:hAnsi="Times New Roman" w:cs="Times New Roman"/>
          <w:color w:val="1F1F1F"/>
          <w:sz w:val="24"/>
          <w:szCs w:val="24"/>
          <w:bdr w:val="none" w:sz="0" w:space="0" w:color="auto" w:frame="1"/>
        </w:rPr>
        <w:instrText>ADDIN CSL_CITATION {"citationItems":[{"id":"ITEM-1","itemData":{"DOI":"10.53378/jahsmr.353225","author":[{"dropping-particle":"","family":"Adeosun","given":"Ganiyu","non-dropping-particle":"","parse-names":false,"suffix":""},{"dropping-particle":"","family":"Olawuyi","given":"Abdullahi","non-dropping-particle":"","parse-names":false,"suffix":""},{"dropping-particle":"","family":"Oboh","given":"Regina","non-dropping-particle":"","parse-names":false,"suffix":""},{"dropping-particle":"","family":"Salawudeen","given":"Fatai","non-dropping-particle":"","parse-names":false,"suffix":""},{"dropping-particle":"","family":"Onyeneke","given":"Tonia","non-dropping-particle":"","parse-names":false,"suffix":""},{"dropping-particle":"","family":"Adeosun","given":"Hassanat","non-dropping-particle":"","parse-names":false,"suffix":""}],"container-title":"Journal of Allied Health Sciences &amp; Medical Research","id":"ITEM-1","issued":{"date-parts":[["2025","6","15"]]},"page":"65-81","title":"Occupational lead exposure and its dual impact on renal function and reproductive hormones: A case-control study of Nigerian battery chargers","type":"article-journal","volume":"1"},"uris":["http://www.mendeley.com/documents/?uuid=378a4f22-be37-4a99-94d3-779c063002d3"]}],"mendeley":{"formattedCitation":"[15]","plainTextFormattedCitation":"[15]","previouslyFormattedCitation":"[15]"},"properties":{"noteIndex":0},"schema":"https://github.com/citation-style-language/schema/raw/master/csl-citation.json"}</w:instrText>
      </w:r>
      <w:r w:rsidR="003F2D83">
        <w:rPr>
          <w:rFonts w:ascii="Times New Roman" w:eastAsia="Times New Roman" w:hAnsi="Times New Roman" w:cs="Times New Roman"/>
          <w:color w:val="1F1F1F"/>
          <w:sz w:val="24"/>
          <w:szCs w:val="24"/>
          <w:bdr w:val="none" w:sz="0" w:space="0" w:color="auto" w:frame="1"/>
        </w:rPr>
        <w:fldChar w:fldCharType="separate"/>
      </w:r>
      <w:r w:rsidR="003F2D83" w:rsidRPr="003F2D83">
        <w:rPr>
          <w:rFonts w:ascii="Times New Roman" w:eastAsia="Times New Roman" w:hAnsi="Times New Roman" w:cs="Times New Roman"/>
          <w:noProof/>
          <w:color w:val="1F1F1F"/>
          <w:sz w:val="24"/>
          <w:szCs w:val="24"/>
          <w:bdr w:val="none" w:sz="0" w:space="0" w:color="auto" w:frame="1"/>
        </w:rPr>
        <w:t>[15]</w:t>
      </w:r>
      <w:r w:rsidR="003F2D83">
        <w:rPr>
          <w:rFonts w:ascii="Times New Roman" w:eastAsia="Times New Roman" w:hAnsi="Times New Roman" w:cs="Times New Roman"/>
          <w:color w:val="1F1F1F"/>
          <w:sz w:val="24"/>
          <w:szCs w:val="24"/>
          <w:bdr w:val="none" w:sz="0" w:space="0" w:color="auto" w:frame="1"/>
        </w:rPr>
        <w:fldChar w:fldCharType="end"/>
      </w:r>
      <w:r w:rsidR="003F2D83">
        <w:rPr>
          <w:rFonts w:ascii="Times New Roman" w:eastAsia="Times New Roman" w:hAnsi="Times New Roman" w:cs="Times New Roman"/>
          <w:color w:val="1F1F1F"/>
          <w:sz w:val="24"/>
          <w:szCs w:val="24"/>
          <w:bdr w:val="none" w:sz="0" w:space="0" w:color="auto" w:frame="1"/>
        </w:rPr>
        <w:t>.</w:t>
      </w:r>
      <w:r w:rsidRPr="00871424">
        <w:rPr>
          <w:rFonts w:ascii="Times New Roman" w:eastAsia="Times New Roman" w:hAnsi="Times New Roman" w:cs="Times New Roman"/>
          <w:color w:val="1F1F1F"/>
          <w:sz w:val="24"/>
          <w:szCs w:val="24"/>
        </w:rPr>
        <w:t xml:space="preserve"> However, the specific influence of prolonged exposure duration on the </w:t>
      </w:r>
      <w:r w:rsidRPr="006C5E73">
        <w:rPr>
          <w:rFonts w:ascii="Times New Roman" w:eastAsia="Times New Roman" w:hAnsi="Times New Roman" w:cs="Times New Roman"/>
          <w:iCs/>
          <w:color w:val="1F1F1F"/>
          <w:sz w:val="24"/>
          <w:szCs w:val="24"/>
          <w:bdr w:val="none" w:sz="0" w:space="0" w:color="auto" w:frame="1"/>
        </w:rPr>
        <w:t>pattern and extent</w:t>
      </w:r>
      <w:r w:rsidRPr="00871424">
        <w:rPr>
          <w:rFonts w:ascii="Times New Roman" w:eastAsia="Times New Roman" w:hAnsi="Times New Roman" w:cs="Times New Roman"/>
          <w:color w:val="1F1F1F"/>
          <w:sz w:val="24"/>
          <w:szCs w:val="24"/>
        </w:rPr>
        <w:t xml:space="preserve"> of micronutrient depletion or alteration (e.g., Iron, Zinc, Selenium, and Vitamin C status) in these Nigerian male workers requires focused investigation</w:t>
      </w:r>
      <w:r w:rsidR="00BA4F57">
        <w:rPr>
          <w:rFonts w:ascii="Times New Roman" w:eastAsia="Times New Roman" w:hAnsi="Times New Roman" w:cs="Times New Roman"/>
          <w:color w:val="1F1F1F"/>
          <w:sz w:val="24"/>
          <w:szCs w:val="24"/>
        </w:rPr>
        <w:t xml:space="preserve"> </w:t>
      </w:r>
      <w:r w:rsidR="00BA4F57">
        <w:rPr>
          <w:rFonts w:ascii="Times New Roman" w:eastAsia="Times New Roman" w:hAnsi="Times New Roman" w:cs="Times New Roman"/>
          <w:color w:val="1F1F1F"/>
          <w:sz w:val="24"/>
          <w:szCs w:val="24"/>
        </w:rPr>
        <w:fldChar w:fldCharType="begin" w:fldLock="1"/>
      </w:r>
      <w:r w:rsidR="005630B0">
        <w:rPr>
          <w:rFonts w:ascii="Times New Roman" w:eastAsia="Times New Roman" w:hAnsi="Times New Roman" w:cs="Times New Roman"/>
          <w:color w:val="1F1F1F"/>
          <w:sz w:val="24"/>
          <w:szCs w:val="24"/>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BA4F57">
        <w:rPr>
          <w:rFonts w:ascii="Times New Roman" w:eastAsia="Times New Roman" w:hAnsi="Times New Roman" w:cs="Times New Roman"/>
          <w:color w:val="1F1F1F"/>
          <w:sz w:val="24"/>
          <w:szCs w:val="24"/>
        </w:rPr>
        <w:fldChar w:fldCharType="separate"/>
      </w:r>
      <w:r w:rsidR="00BA4F57" w:rsidRPr="00BA4F57">
        <w:rPr>
          <w:rFonts w:ascii="Times New Roman" w:eastAsia="Times New Roman" w:hAnsi="Times New Roman" w:cs="Times New Roman"/>
          <w:noProof/>
          <w:color w:val="1F1F1F"/>
          <w:sz w:val="24"/>
          <w:szCs w:val="24"/>
        </w:rPr>
        <w:t>[5]</w:t>
      </w:r>
      <w:r w:rsidR="00BA4F57">
        <w:rPr>
          <w:rFonts w:ascii="Times New Roman" w:eastAsia="Times New Roman" w:hAnsi="Times New Roman" w:cs="Times New Roman"/>
          <w:color w:val="1F1F1F"/>
          <w:sz w:val="24"/>
          <w:szCs w:val="24"/>
        </w:rPr>
        <w:fldChar w:fldCharType="end"/>
      </w:r>
      <w:r w:rsidRPr="00871424">
        <w:rPr>
          <w:rFonts w:ascii="Times New Roman" w:eastAsia="Times New Roman" w:hAnsi="Times New Roman" w:cs="Times New Roman"/>
          <w:color w:val="1F1F1F"/>
          <w:sz w:val="24"/>
          <w:szCs w:val="24"/>
        </w:rPr>
        <w:t>.</w:t>
      </w:r>
      <w:r w:rsidR="00BA4F57">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 xml:space="preserve">The central hypothesis of this study is that </w:t>
      </w:r>
      <w:r w:rsidRPr="00BA4F57">
        <w:rPr>
          <w:rFonts w:ascii="Times New Roman" w:eastAsia="Times New Roman" w:hAnsi="Times New Roman" w:cs="Times New Roman"/>
          <w:bCs/>
          <w:color w:val="1F1F1F"/>
          <w:sz w:val="24"/>
          <w:szCs w:val="24"/>
          <w:bdr w:val="none" w:sz="0" w:space="0" w:color="auto" w:frame="1"/>
        </w:rPr>
        <w:t xml:space="preserve">increasing duration of occupational lead exposure will result in </w:t>
      </w:r>
      <w:r w:rsidR="00BA4F57" w:rsidRPr="00BA4F57">
        <w:rPr>
          <w:rFonts w:ascii="Times New Roman" w:eastAsia="Times New Roman" w:hAnsi="Times New Roman" w:cs="Times New Roman"/>
          <w:bCs/>
          <w:color w:val="1F1F1F"/>
          <w:sz w:val="24"/>
          <w:szCs w:val="24"/>
          <w:bdr w:val="none" w:sz="0" w:space="0" w:color="auto" w:frame="1"/>
        </w:rPr>
        <w:t>more severe alterations and depletion of essential micronutrient and antioxidant status among</w:t>
      </w:r>
      <w:r w:rsidRPr="00BA4F57">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 xml:space="preserve">Nigerian male workers. By evaluating the relationship between years of exposure and </w:t>
      </w:r>
      <w:r w:rsidR="00BA4F57">
        <w:rPr>
          <w:rFonts w:ascii="Times New Roman" w:eastAsia="Times New Roman" w:hAnsi="Times New Roman" w:cs="Times New Roman"/>
          <w:color w:val="1F1F1F"/>
          <w:sz w:val="24"/>
          <w:szCs w:val="24"/>
        </w:rPr>
        <w:t>levels of key micronutrients, this research aims to provide critical data to inform the development of targeted nutritional interventions</w:t>
      </w:r>
      <w:r w:rsidR="006C5E73">
        <w:rPr>
          <w:rFonts w:ascii="Times New Roman" w:eastAsia="Times New Roman" w:hAnsi="Times New Roman" w:cs="Times New Roman"/>
          <w:color w:val="1F1F1F"/>
          <w:sz w:val="24"/>
          <w:szCs w:val="24"/>
        </w:rPr>
        <w:t xml:space="preserve"> and public health strategies</w:t>
      </w:r>
      <w:r w:rsidR="00607516">
        <w:rPr>
          <w:rFonts w:ascii="Times New Roman" w:eastAsia="Times New Roman" w:hAnsi="Times New Roman" w:cs="Times New Roman"/>
          <w:color w:val="1F1F1F"/>
          <w:sz w:val="24"/>
          <w:szCs w:val="24"/>
        </w:rPr>
        <w:t>, such as dietary supplementation,</w:t>
      </w:r>
      <w:r w:rsidR="006C5E73">
        <w:rPr>
          <w:rFonts w:ascii="Times New Roman" w:eastAsia="Times New Roman" w:hAnsi="Times New Roman" w:cs="Times New Roman"/>
          <w:color w:val="1F1F1F"/>
          <w:sz w:val="24"/>
          <w:szCs w:val="24"/>
        </w:rPr>
        <w:t xml:space="preserve"> </w:t>
      </w:r>
      <w:r w:rsidRPr="00871424">
        <w:rPr>
          <w:rFonts w:ascii="Times New Roman" w:eastAsia="Times New Roman" w:hAnsi="Times New Roman" w:cs="Times New Roman"/>
          <w:color w:val="1F1F1F"/>
          <w:sz w:val="24"/>
          <w:szCs w:val="24"/>
        </w:rPr>
        <w:t>to mitigate the chronic toxic effects of lead in this vulnerable population</w:t>
      </w:r>
      <w:r w:rsidR="00BA4F57">
        <w:rPr>
          <w:rFonts w:ascii="Times New Roman" w:eastAsia="Times New Roman" w:hAnsi="Times New Roman" w:cs="Times New Roman"/>
          <w:color w:val="1F1F1F"/>
          <w:sz w:val="24"/>
          <w:szCs w:val="24"/>
        </w:rPr>
        <w:t>.</w:t>
      </w:r>
      <w:r w:rsidRPr="00871424">
        <w:rPr>
          <w:rFonts w:ascii="Times New Roman" w:eastAsia="Times New Roman" w:hAnsi="Times New Roman" w:cs="Times New Roman"/>
          <w:color w:val="1F1F1F"/>
          <w:sz w:val="24"/>
          <w:szCs w:val="24"/>
        </w:rPr>
        <w:t xml:space="preserve"> </w:t>
      </w:r>
    </w:p>
    <w:p w14:paraId="336C1264" w14:textId="77777777" w:rsidR="00B301D5" w:rsidRDefault="0064108D" w:rsidP="00BA4F57">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Methodology</w:t>
      </w:r>
    </w:p>
    <w:p w14:paraId="540A49C3" w14:textId="77777777" w:rsidR="0064108D" w:rsidRDefault="0064108D" w:rsidP="00BA4F57">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Study Site</w:t>
      </w:r>
    </w:p>
    <w:p w14:paraId="29BCA9F7" w14:textId="77777777" w:rsidR="0064108D" w:rsidRPr="0064108D" w:rsidRDefault="0064108D" w:rsidP="006410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Surulere</w:t>
      </w:r>
      <w:r w:rsidR="005630B0">
        <w:rPr>
          <w:rFonts w:ascii="Times New Roman" w:eastAsia="Times New Roman" w:hAnsi="Times New Roman" w:cs="Times New Roman"/>
          <w:sz w:val="24"/>
          <w:szCs w:val="24"/>
        </w:rPr>
        <w:t xml:space="preserve"> is a key part of metropolitan Lagos on the Lagos mainland, and functions as both a residential and commercial </w:t>
      </w:r>
      <w:proofErr w:type="spellStart"/>
      <w:r w:rsidR="005630B0">
        <w:rPr>
          <w:rFonts w:ascii="Times New Roman" w:eastAsia="Times New Roman" w:hAnsi="Times New Roman" w:cs="Times New Roman"/>
          <w:sz w:val="24"/>
          <w:szCs w:val="24"/>
        </w:rPr>
        <w:t>centre</w:t>
      </w:r>
      <w:proofErr w:type="spellEnd"/>
      <w:r w:rsidRPr="0064108D">
        <w:rPr>
          <w:rFonts w:ascii="Times New Roman" w:eastAsia="Times New Roman" w:hAnsi="Times New Roman" w:cs="Times New Roman"/>
          <w:sz w:val="24"/>
          <w:szCs w:val="24"/>
        </w:rPr>
        <w:t xml:space="preserve">. Spanning </w:t>
      </w:r>
      <w:r w:rsidR="005630B0">
        <w:rPr>
          <w:rFonts w:ascii="Times New Roman" w:eastAsia="Times New Roman" w:hAnsi="Times New Roman" w:cs="Times New Roman"/>
          <w:sz w:val="24"/>
          <w:szCs w:val="24"/>
        </w:rPr>
        <w:t>23 km</w:t>
      </w:r>
      <w:r w:rsidR="005630B0" w:rsidRPr="005630B0">
        <w:rPr>
          <w:rFonts w:ascii="Times New Roman" w:eastAsia="Times New Roman" w:hAnsi="Times New Roman" w:cs="Times New Roman"/>
          <w:sz w:val="24"/>
          <w:szCs w:val="24"/>
          <w:vertAlign w:val="superscript"/>
        </w:rPr>
        <w:t>2</w:t>
      </w:r>
      <w:r w:rsidRPr="0064108D">
        <w:rPr>
          <w:rFonts w:ascii="Times New Roman" w:eastAsia="Times New Roman" w:hAnsi="Times New Roman" w:cs="Times New Roman"/>
          <w:sz w:val="24"/>
          <w:szCs w:val="24"/>
        </w:rPr>
        <w:t xml:space="preserve">, it is </w:t>
      </w:r>
      <w:r w:rsidR="005630B0">
        <w:rPr>
          <w:rFonts w:ascii="Times New Roman" w:eastAsia="Times New Roman" w:hAnsi="Times New Roman" w:cs="Times New Roman"/>
          <w:sz w:val="24"/>
          <w:szCs w:val="24"/>
        </w:rPr>
        <w:t xml:space="preserve">characterized by its high population density, with 744,000 residents in 2022, translating to 32,000 inhabitants per square </w:t>
      </w:r>
      <w:proofErr w:type="spellStart"/>
      <w:r w:rsidR="005630B0">
        <w:rPr>
          <w:rFonts w:ascii="Times New Roman" w:eastAsia="Times New Roman" w:hAnsi="Times New Roman" w:cs="Times New Roman"/>
          <w:sz w:val="24"/>
          <w:szCs w:val="24"/>
        </w:rPr>
        <w:t>kilometre</w:t>
      </w:r>
      <w:proofErr w:type="spellEnd"/>
      <w:r w:rsidRPr="0064108D">
        <w:rPr>
          <w:rFonts w:ascii="Times New Roman" w:eastAsia="Times New Roman" w:hAnsi="Times New Roman" w:cs="Times New Roman"/>
          <w:sz w:val="24"/>
          <w:szCs w:val="24"/>
        </w:rPr>
        <w:t xml:space="preserve">. The dominant ethnic groups residing in this Local Government Area (LGA) are the Yoruba </w:t>
      </w:r>
      <w:r w:rsidR="005630B0">
        <w:rPr>
          <w:rFonts w:ascii="Times New Roman" w:eastAsia="Times New Roman" w:hAnsi="Times New Roman" w:cs="Times New Roman"/>
          <w:sz w:val="24"/>
          <w:szCs w:val="24"/>
        </w:rPr>
        <w:t>and Christians, although studies have shown varied income levels</w:t>
      </w:r>
      <w:r w:rsidR="0021162F">
        <w:rPr>
          <w:rFonts w:ascii="Times New Roman" w:eastAsia="Times New Roman" w:hAnsi="Times New Roman" w:cs="Times New Roman"/>
          <w:sz w:val="24"/>
          <w:szCs w:val="24"/>
        </w:rPr>
        <w:t>.</w:t>
      </w:r>
      <w:r w:rsidR="005630B0">
        <w:rPr>
          <w:rFonts w:ascii="Times New Roman" w:eastAsia="Times New Roman" w:hAnsi="Times New Roman" w:cs="Times New Roman"/>
          <w:sz w:val="24"/>
          <w:szCs w:val="24"/>
        </w:rPr>
        <w:t xml:space="preserve"> </w:t>
      </w:r>
    </w:p>
    <w:p w14:paraId="45D12054" w14:textId="77777777" w:rsidR="0064108D" w:rsidRDefault="0064108D" w:rsidP="00BA4F57">
      <w:pPr>
        <w:spacing w:before="100" w:beforeAutospacing="1" w:after="0" w:line="240" w:lineRule="auto"/>
        <w:jc w:val="both"/>
        <w:rPr>
          <w:rFonts w:ascii="Times New Roman" w:eastAsia="Times New Roman" w:hAnsi="Times New Roman" w:cs="Times New Roman"/>
          <w:color w:val="1F1F1F"/>
          <w:sz w:val="24"/>
          <w:szCs w:val="24"/>
        </w:rPr>
      </w:pPr>
    </w:p>
    <w:p w14:paraId="02D207D1" w14:textId="77777777" w:rsidR="008C35C5" w:rsidRPr="006C5E73" w:rsidRDefault="008C35C5" w:rsidP="00BA4F57">
      <w:pPr>
        <w:spacing w:before="100" w:beforeAutospacing="1" w:after="0" w:line="240" w:lineRule="auto"/>
        <w:jc w:val="both"/>
        <w:rPr>
          <w:rFonts w:ascii="Times New Roman" w:eastAsia="Times New Roman" w:hAnsi="Times New Roman" w:cs="Times New Roman"/>
          <w:color w:val="1F1F1F"/>
          <w:sz w:val="24"/>
          <w:szCs w:val="24"/>
        </w:rPr>
      </w:pPr>
      <w:r w:rsidRPr="006C5E73">
        <w:rPr>
          <w:rFonts w:ascii="Times New Roman" w:eastAsia="Times New Roman" w:hAnsi="Times New Roman" w:cs="Times New Roman"/>
          <w:color w:val="1F1F1F"/>
          <w:sz w:val="24"/>
          <w:szCs w:val="24"/>
        </w:rPr>
        <w:t>Study design</w:t>
      </w:r>
    </w:p>
    <w:p w14:paraId="4E829379" w14:textId="77777777" w:rsidR="001F3B1B" w:rsidRPr="006C5E73" w:rsidRDefault="008C35C5" w:rsidP="001F3B1B">
      <w:pPr>
        <w:jc w:val="both"/>
        <w:rPr>
          <w:rFonts w:ascii="Times New Roman" w:eastAsia="Times New Roman" w:hAnsi="Times New Roman" w:cs="Times New Roman"/>
          <w:sz w:val="24"/>
          <w:szCs w:val="24"/>
        </w:rPr>
      </w:pPr>
      <w:r w:rsidRPr="006C5E73">
        <w:rPr>
          <w:rFonts w:ascii="Times New Roman" w:eastAsia="Times New Roman" w:hAnsi="Times New Roman" w:cs="Times New Roman"/>
          <w:color w:val="1F1F1F"/>
          <w:sz w:val="24"/>
          <w:szCs w:val="24"/>
        </w:rPr>
        <w:t xml:space="preserve">The study aims to demonstrate a </w:t>
      </w:r>
      <w:r w:rsidR="005C4C46" w:rsidRPr="006C5E73">
        <w:rPr>
          <w:rFonts w:ascii="Times New Roman" w:hAnsi="Times New Roman" w:cs="Times New Roman"/>
          <w:bCs/>
          <w:color w:val="1F1F1F"/>
          <w:bdr w:val="none" w:sz="0" w:space="0" w:color="auto" w:frame="1"/>
        </w:rPr>
        <w:t>duration-dependent significant difference</w:t>
      </w:r>
      <w:r w:rsidRPr="006C5E73">
        <w:rPr>
          <w:rFonts w:ascii="Times New Roman" w:hAnsi="Times New Roman" w:cs="Times New Roman"/>
          <w:bCs/>
          <w:color w:val="1F1F1F"/>
          <w:bdr w:val="none" w:sz="0" w:space="0" w:color="auto" w:frame="1"/>
        </w:rPr>
        <w:t xml:space="preserve"> in lead accumulation</w:t>
      </w:r>
      <w:r w:rsidR="005C4C46" w:rsidRPr="006C5E73">
        <w:rPr>
          <w:rFonts w:ascii="Times New Roman" w:hAnsi="Times New Roman" w:cs="Times New Roman"/>
          <w:color w:val="1F1F1F"/>
          <w:bdr w:val="none" w:sz="0" w:space="0" w:color="auto" w:frame="1"/>
        </w:rPr>
        <w:t xml:space="preserve"> </w:t>
      </w:r>
      <w:r w:rsidR="0064108D" w:rsidRPr="006C5E73">
        <w:rPr>
          <w:rFonts w:ascii="Times New Roman" w:hAnsi="Times New Roman" w:cs="Times New Roman"/>
          <w:color w:val="1F1F1F"/>
          <w:bdr w:val="none" w:sz="0" w:space="0" w:color="auto" w:frame="1"/>
        </w:rPr>
        <w:t>across groups</w:t>
      </w:r>
      <w:r w:rsidR="005C4C46" w:rsidRPr="006C5E73">
        <w:rPr>
          <w:rFonts w:ascii="Times New Roman" w:hAnsi="Times New Roman" w:cs="Times New Roman"/>
          <w:color w:val="1F1F1F"/>
          <w:bdr w:val="none" w:sz="0" w:space="0" w:color="auto" w:frame="1"/>
        </w:rPr>
        <w:t xml:space="preserve"> of lead workers.</w:t>
      </w:r>
      <w:r w:rsidR="001F3B1B" w:rsidRPr="006C5E73">
        <w:rPr>
          <w:rFonts w:ascii="Times New Roman" w:hAnsi="Times New Roman" w:cs="Times New Roman"/>
          <w:color w:val="1F1F1F"/>
          <w:bdr w:val="none" w:sz="0" w:space="0" w:color="auto" w:frame="1"/>
        </w:rPr>
        <w:t xml:space="preserve"> Since the aim was to evaluate the effect of </w:t>
      </w:r>
      <w:r w:rsidR="0064108D" w:rsidRPr="006C5E73">
        <w:rPr>
          <w:rFonts w:ascii="Times New Roman" w:hAnsi="Times New Roman" w:cs="Times New Roman"/>
          <w:color w:val="1F1F1F"/>
          <w:bdr w:val="none" w:sz="0" w:space="0" w:color="auto" w:frame="1"/>
        </w:rPr>
        <w:t>lead exposure duration among these workers, the group with less than 5 years of exposure serves as the hypothetical baseline group for comparison with the group with 5 years or more</w:t>
      </w:r>
      <w:r w:rsidR="001F3B1B" w:rsidRPr="006C5E73">
        <w:rPr>
          <w:rFonts w:ascii="Times New Roman" w:eastAsia="Times New Roman" w:hAnsi="Times New Roman" w:cs="Times New Roman"/>
          <w:bCs/>
          <w:sz w:val="24"/>
          <w:szCs w:val="24"/>
        </w:rPr>
        <w:t xml:space="preserve"> of exposure</w:t>
      </w:r>
      <w:r w:rsidR="001F3B1B" w:rsidRPr="006C5E73">
        <w:rPr>
          <w:rFonts w:ascii="Times New Roman" w:eastAsia="Times New Roman" w:hAnsi="Times New Roman" w:cs="Times New Roman"/>
          <w:sz w:val="24"/>
          <w:szCs w:val="24"/>
        </w:rPr>
        <w:t xml:space="preserve">. </w:t>
      </w:r>
    </w:p>
    <w:p w14:paraId="02606BCB" w14:textId="77777777" w:rsidR="009E442B" w:rsidRDefault="001F3B1B" w:rsidP="00BA4F57">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Inclusion Criteria</w:t>
      </w:r>
    </w:p>
    <w:p w14:paraId="48140544" w14:textId="77777777" w:rsidR="001F3B1B" w:rsidRDefault="00461888"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Adult males aged 18–6</w:t>
      </w:r>
      <w:r w:rsidR="001F3B1B">
        <w:rPr>
          <w:rFonts w:ascii="Times New Roman" w:eastAsia="Times New Roman" w:hAnsi="Times New Roman" w:cs="Times New Roman"/>
          <w:color w:val="1F1F1F"/>
          <w:sz w:val="24"/>
          <w:szCs w:val="24"/>
          <w:bdr w:val="none" w:sz="0" w:space="0" w:color="auto" w:frame="1"/>
        </w:rPr>
        <w:t>0 years</w:t>
      </w:r>
      <w:r w:rsidR="001F3B1B" w:rsidRPr="00F476A2">
        <w:rPr>
          <w:rFonts w:ascii="Times New Roman" w:eastAsia="Times New Roman" w:hAnsi="Times New Roman" w:cs="Times New Roman"/>
          <w:color w:val="1F1F1F"/>
          <w:sz w:val="24"/>
          <w:szCs w:val="24"/>
          <w:bdr w:val="none" w:sz="0" w:space="0" w:color="auto" w:frame="1"/>
        </w:rPr>
        <w:t>, phys</w:t>
      </w:r>
      <w:r>
        <w:rPr>
          <w:rFonts w:ascii="Times New Roman" w:eastAsia="Times New Roman" w:hAnsi="Times New Roman" w:cs="Times New Roman"/>
          <w:color w:val="1F1F1F"/>
          <w:sz w:val="24"/>
          <w:szCs w:val="24"/>
          <w:bdr w:val="none" w:sz="0" w:space="0" w:color="auto" w:frame="1"/>
        </w:rPr>
        <w:t>ically healthy, non-smokers,</w:t>
      </w:r>
      <w:r w:rsidR="001F3B1B" w:rsidRPr="00F476A2">
        <w:rPr>
          <w:rFonts w:ascii="Times New Roman" w:eastAsia="Times New Roman" w:hAnsi="Times New Roman" w:cs="Times New Roman"/>
          <w:color w:val="1F1F1F"/>
          <w:sz w:val="24"/>
          <w:szCs w:val="24"/>
          <w:bdr w:val="none" w:sz="0" w:space="0" w:color="auto" w:frame="1"/>
        </w:rPr>
        <w:t xml:space="preserve"> and with cle</w:t>
      </w:r>
      <w:r w:rsidR="001F3B1B">
        <w:rPr>
          <w:rFonts w:ascii="Times New Roman" w:eastAsia="Times New Roman" w:hAnsi="Times New Roman" w:cs="Times New Roman"/>
          <w:color w:val="1F1F1F"/>
          <w:sz w:val="24"/>
          <w:szCs w:val="24"/>
          <w:bdr w:val="none" w:sz="0" w:space="0" w:color="auto" w:frame="1"/>
        </w:rPr>
        <w:t>ar consent. Exposed workers had</w:t>
      </w:r>
      <w:r w:rsidR="001F3B1B" w:rsidRPr="00F476A2">
        <w:rPr>
          <w:rFonts w:ascii="Times New Roman" w:eastAsia="Times New Roman" w:hAnsi="Times New Roman" w:cs="Times New Roman"/>
          <w:color w:val="1F1F1F"/>
          <w:sz w:val="24"/>
          <w:szCs w:val="24"/>
          <w:bdr w:val="none" w:sz="0" w:space="0" w:color="auto" w:frame="1"/>
        </w:rPr>
        <w:t xml:space="preserve"> a minimum employment duration</w:t>
      </w:r>
      <w:r w:rsidR="001F3B1B">
        <w:rPr>
          <w:rFonts w:ascii="Times New Roman" w:eastAsia="Times New Roman" w:hAnsi="Times New Roman" w:cs="Times New Roman"/>
          <w:color w:val="1F1F1F"/>
          <w:sz w:val="24"/>
          <w:szCs w:val="24"/>
          <w:bdr w:val="none" w:sz="0" w:space="0" w:color="auto" w:frame="1"/>
        </w:rPr>
        <w:t xml:space="preserve">. This was to </w:t>
      </w:r>
      <w:r w:rsidR="0064108D">
        <w:rPr>
          <w:rFonts w:ascii="Times New Roman" w:eastAsia="Times New Roman" w:hAnsi="Times New Roman" w:cs="Times New Roman"/>
          <w:color w:val="1F1F1F"/>
          <w:sz w:val="24"/>
          <w:szCs w:val="24"/>
          <w:bdr w:val="none" w:sz="0" w:space="0" w:color="auto" w:frame="1"/>
        </w:rPr>
        <w:t xml:space="preserve">Minimize other factors that can influence </w:t>
      </w:r>
      <w:proofErr w:type="spellStart"/>
      <w:r w:rsidR="0064108D">
        <w:rPr>
          <w:rFonts w:ascii="Times New Roman" w:eastAsia="Times New Roman" w:hAnsi="Times New Roman" w:cs="Times New Roman"/>
          <w:color w:val="1F1F1F"/>
          <w:sz w:val="24"/>
          <w:szCs w:val="24"/>
          <w:bdr w:val="none" w:sz="0" w:space="0" w:color="auto" w:frame="1"/>
        </w:rPr>
        <w:t>haematological</w:t>
      </w:r>
      <w:proofErr w:type="spellEnd"/>
      <w:r w:rsidR="001F3B1B" w:rsidRPr="00F476A2">
        <w:rPr>
          <w:rFonts w:ascii="Times New Roman" w:eastAsia="Times New Roman" w:hAnsi="Times New Roman" w:cs="Times New Roman"/>
          <w:color w:val="1F1F1F"/>
          <w:sz w:val="24"/>
          <w:szCs w:val="24"/>
          <w:bdr w:val="none" w:sz="0" w:space="0" w:color="auto" w:frame="1"/>
        </w:rPr>
        <w:t xml:space="preserve"> and antioxidant status.</w:t>
      </w:r>
    </w:p>
    <w:p w14:paraId="431AD63A" w14:textId="77777777" w:rsidR="001F3B1B" w:rsidRDefault="001F3B1B" w:rsidP="0064108D">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Exclusion Criteria</w:t>
      </w:r>
    </w:p>
    <w:p w14:paraId="7799355A" w14:textId="77777777" w:rsidR="00B301D5" w:rsidRDefault="0064108D"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sidRPr="00F476A2">
        <w:rPr>
          <w:rFonts w:ascii="Times New Roman" w:eastAsia="Times New Roman" w:hAnsi="Times New Roman" w:cs="Times New Roman"/>
          <w:color w:val="1F1F1F"/>
          <w:sz w:val="24"/>
          <w:szCs w:val="24"/>
          <w:bdr w:val="none" w:sz="0" w:space="0" w:color="auto" w:frame="1"/>
        </w:rPr>
        <w:t>Individuals with chronic dise</w:t>
      </w:r>
      <w:r>
        <w:rPr>
          <w:rFonts w:ascii="Times New Roman" w:eastAsia="Times New Roman" w:hAnsi="Times New Roman" w:cs="Times New Roman"/>
          <w:color w:val="1F1F1F"/>
          <w:sz w:val="24"/>
          <w:szCs w:val="24"/>
          <w:bdr w:val="none" w:sz="0" w:space="0" w:color="auto" w:frame="1"/>
        </w:rPr>
        <w:t>ases like</w:t>
      </w:r>
      <w:r w:rsidRPr="00F476A2">
        <w:rPr>
          <w:rFonts w:ascii="Times New Roman" w:eastAsia="Times New Roman" w:hAnsi="Times New Roman" w:cs="Times New Roman"/>
          <w:color w:val="1F1F1F"/>
          <w:sz w:val="24"/>
          <w:szCs w:val="24"/>
          <w:bdr w:val="none" w:sz="0" w:space="0" w:color="auto" w:frame="1"/>
        </w:rPr>
        <w:t xml:space="preserve"> diabetes, hypertension, renal impairment, in</w:t>
      </w:r>
      <w:r>
        <w:rPr>
          <w:rFonts w:ascii="Times New Roman" w:eastAsia="Times New Roman" w:hAnsi="Times New Roman" w:cs="Times New Roman"/>
          <w:color w:val="1F1F1F"/>
          <w:sz w:val="24"/>
          <w:szCs w:val="24"/>
          <w:bdr w:val="none" w:sz="0" w:space="0" w:color="auto" w:frame="1"/>
        </w:rPr>
        <w:t xml:space="preserve">herited </w:t>
      </w:r>
      <w:proofErr w:type="spellStart"/>
      <w:r w:rsidR="00461888">
        <w:rPr>
          <w:rFonts w:ascii="Times New Roman" w:eastAsia="Times New Roman" w:hAnsi="Times New Roman" w:cs="Times New Roman"/>
          <w:color w:val="1F1F1F"/>
          <w:sz w:val="24"/>
          <w:szCs w:val="24"/>
          <w:bdr w:val="none" w:sz="0" w:space="0" w:color="auto" w:frame="1"/>
        </w:rPr>
        <w:t>haematological</w:t>
      </w:r>
      <w:proofErr w:type="spellEnd"/>
      <w:r>
        <w:rPr>
          <w:rFonts w:ascii="Times New Roman" w:eastAsia="Times New Roman" w:hAnsi="Times New Roman" w:cs="Times New Roman"/>
          <w:color w:val="1F1F1F"/>
          <w:sz w:val="24"/>
          <w:szCs w:val="24"/>
          <w:bdr w:val="none" w:sz="0" w:space="0" w:color="auto" w:frame="1"/>
        </w:rPr>
        <w:t xml:space="preserve"> disorders, or recent use of vitamin and </w:t>
      </w:r>
      <w:r w:rsidRPr="00F476A2">
        <w:rPr>
          <w:rFonts w:ascii="Times New Roman" w:eastAsia="Times New Roman" w:hAnsi="Times New Roman" w:cs="Times New Roman"/>
          <w:color w:val="1F1F1F"/>
          <w:sz w:val="24"/>
          <w:szCs w:val="24"/>
          <w:bdr w:val="none" w:sz="0" w:space="0" w:color="auto" w:frame="1"/>
        </w:rPr>
        <w:t>mineral supplements.</w:t>
      </w:r>
      <w:r>
        <w:rPr>
          <w:rFonts w:ascii="Times New Roman" w:eastAsia="Times New Roman" w:hAnsi="Times New Roman" w:cs="Times New Roman"/>
          <w:color w:val="1F1F1F"/>
          <w:sz w:val="24"/>
          <w:szCs w:val="24"/>
          <w:bdr w:val="none" w:sz="0" w:space="0" w:color="auto" w:frame="1"/>
        </w:rPr>
        <w:t xml:space="preserve"> This was to ensure the</w:t>
      </w:r>
      <w:r w:rsidRPr="00F476A2">
        <w:rPr>
          <w:rFonts w:ascii="Times New Roman" w:eastAsia="Times New Roman" w:hAnsi="Times New Roman" w:cs="Times New Roman"/>
          <w:color w:val="1F1F1F"/>
          <w:sz w:val="24"/>
          <w:szCs w:val="24"/>
          <w:bdr w:val="none" w:sz="0" w:space="0" w:color="auto" w:frame="1"/>
        </w:rPr>
        <w:t xml:space="preserve"> observed effects are primarily attributable to lead exposure</w:t>
      </w:r>
      <w:r>
        <w:rPr>
          <w:rFonts w:ascii="Times New Roman" w:eastAsia="Times New Roman" w:hAnsi="Times New Roman" w:cs="Times New Roman"/>
          <w:color w:val="1F1F1F"/>
          <w:sz w:val="24"/>
          <w:szCs w:val="24"/>
          <w:bdr w:val="none" w:sz="0" w:space="0" w:color="auto" w:frame="1"/>
        </w:rPr>
        <w:t>.</w:t>
      </w:r>
    </w:p>
    <w:p w14:paraId="4BA0A612" w14:textId="77777777" w:rsidR="006C5E73" w:rsidRDefault="006C5E73"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p>
    <w:p w14:paraId="6D0FDB6D" w14:textId="77777777" w:rsidR="0024295B" w:rsidRDefault="0024295B" w:rsidP="0064108D">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Ethical Approval</w:t>
      </w:r>
    </w:p>
    <w:p w14:paraId="1461CB1A" w14:textId="77777777" w:rsidR="0024295B" w:rsidRPr="00392019" w:rsidRDefault="00392019" w:rsidP="0064108D">
      <w:pPr>
        <w:spacing w:before="100" w:beforeAutospacing="1" w:after="0" w:line="240" w:lineRule="auto"/>
        <w:jc w:val="both"/>
        <w:rPr>
          <w:rFonts w:ascii="Times New Roman" w:hAnsi="Times New Roman" w:cs="Times New Roman"/>
          <w:sz w:val="24"/>
          <w:szCs w:val="24"/>
        </w:rPr>
      </w:pPr>
      <w:r w:rsidRPr="00392019">
        <w:rPr>
          <w:rFonts w:ascii="Times New Roman" w:hAnsi="Times New Roman" w:cs="Times New Roman"/>
          <w:color w:val="1C1C1C"/>
          <w:sz w:val="24"/>
          <w:szCs w:val="24"/>
          <w:shd w:val="clear" w:color="auto" w:fill="FFFFFF"/>
        </w:rPr>
        <w:t xml:space="preserve">Approval for ethical compliance in the study was obtained from the Institutional Review Board (IRB) at the Nigerian Institute for Medical Research in Lagos State. All participants provided informed consent through a carefully designed questionnaire. Furthermore, they received verbal summaries outlining the risks associated with lead exposure to promote their voluntary </w:t>
      </w:r>
      <w:r w:rsidR="00607516">
        <w:rPr>
          <w:rFonts w:ascii="Times New Roman" w:hAnsi="Times New Roman" w:cs="Times New Roman"/>
          <w:color w:val="1C1C1C"/>
          <w:sz w:val="24"/>
          <w:szCs w:val="24"/>
          <w:shd w:val="clear" w:color="auto" w:fill="FFFFFF"/>
        </w:rPr>
        <w:t>participation. Sample</w:t>
      </w:r>
      <w:r w:rsidR="0024295B" w:rsidRPr="00392019">
        <w:rPr>
          <w:rFonts w:ascii="Times New Roman" w:hAnsi="Times New Roman" w:cs="Times New Roman"/>
          <w:sz w:val="24"/>
          <w:szCs w:val="24"/>
        </w:rPr>
        <w:t xml:space="preserve"> Collection</w:t>
      </w:r>
    </w:p>
    <w:p w14:paraId="06B96A82" w14:textId="77777777" w:rsidR="0024295B" w:rsidRDefault="0024295B" w:rsidP="0064108D">
      <w:pPr>
        <w:spacing w:before="100" w:beforeAutospacing="1" w:after="0" w:line="240" w:lineRule="auto"/>
        <w:jc w:val="both"/>
        <w:rPr>
          <w:sz w:val="24"/>
          <w:szCs w:val="24"/>
        </w:rPr>
      </w:pPr>
      <w:r>
        <w:rPr>
          <w:sz w:val="24"/>
          <w:szCs w:val="24"/>
        </w:rPr>
        <w:t>Blood</w:t>
      </w:r>
    </w:p>
    <w:p w14:paraId="1237AA56" w14:textId="77777777" w:rsidR="0024295B" w:rsidRDefault="0024295B" w:rsidP="002429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 </w:t>
      </w:r>
      <w:proofErr w:type="spellStart"/>
      <w:r>
        <w:rPr>
          <w:rFonts w:ascii="Times New Roman" w:eastAsia="Times New Roman" w:hAnsi="Times New Roman" w:cs="Times New Roman"/>
          <w:sz w:val="24"/>
          <w:szCs w:val="24"/>
        </w:rPr>
        <w:t>millilitres</w:t>
      </w:r>
      <w:proofErr w:type="spellEnd"/>
      <w:r>
        <w:rPr>
          <w:rFonts w:ascii="Times New Roman" w:eastAsia="Times New Roman" w:hAnsi="Times New Roman" w:cs="Times New Roman"/>
          <w:sz w:val="24"/>
          <w:szCs w:val="24"/>
        </w:rPr>
        <w:t xml:space="preserve"> (10mL</w:t>
      </w:r>
      <w:r w:rsidRPr="0024295B">
        <w:rPr>
          <w:rFonts w:ascii="Times New Roman" w:eastAsia="Times New Roman" w:hAnsi="Times New Roman" w:cs="Times New Roman"/>
          <w:sz w:val="24"/>
          <w:szCs w:val="24"/>
        </w:rPr>
        <w:t>) of venous blood were drawn from each subject. The samples were collected in the morning, specifically between 8:00 AM and 10:00 AM. This volume was then divided equally and</w:t>
      </w:r>
      <w:r w:rsidR="00847704">
        <w:rPr>
          <w:rFonts w:ascii="Times New Roman" w:eastAsia="Times New Roman" w:hAnsi="Times New Roman" w:cs="Times New Roman"/>
          <w:sz w:val="24"/>
          <w:szCs w:val="24"/>
        </w:rPr>
        <w:t xml:space="preserve"> dispensed into three </w:t>
      </w:r>
      <w:r w:rsidRPr="0024295B">
        <w:rPr>
          <w:rFonts w:ascii="Times New Roman" w:eastAsia="Times New Roman" w:hAnsi="Times New Roman" w:cs="Times New Roman"/>
          <w:sz w:val="24"/>
          <w:szCs w:val="24"/>
        </w:rPr>
        <w:t xml:space="preserve">collection vessels: lead-free </w:t>
      </w:r>
      <w:r w:rsidR="00847704">
        <w:rPr>
          <w:rFonts w:ascii="Times New Roman" w:eastAsia="Times New Roman" w:hAnsi="Times New Roman" w:cs="Times New Roman"/>
          <w:sz w:val="24"/>
          <w:szCs w:val="24"/>
        </w:rPr>
        <w:t>heparinized tubes, EDTA</w:t>
      </w:r>
      <w:r w:rsidRPr="0024295B">
        <w:rPr>
          <w:rFonts w:ascii="Times New Roman" w:eastAsia="Times New Roman" w:hAnsi="Times New Roman" w:cs="Times New Roman"/>
          <w:sz w:val="24"/>
          <w:szCs w:val="24"/>
        </w:rPr>
        <w:t xml:space="preserve"> and plain bottles. Samples designated for lead analysis were processed within three hours of collection. The blood in the plain bottles was allowed to clot, after which it was centrifuged to separate the serum. The resulting serum was stored at </w:t>
      </w:r>
      <w:r>
        <w:rPr>
          <w:rFonts w:ascii="Times New Roman" w:eastAsia="Times New Roman" w:hAnsi="Times New Roman" w:cs="Times New Roman"/>
          <w:sz w:val="24"/>
          <w:szCs w:val="24"/>
        </w:rPr>
        <w:t>-</w:t>
      </w:r>
      <w:r w:rsidR="00C57A79">
        <w:rPr>
          <w:rFonts w:ascii="Times New Roman" w:eastAsia="Times New Roman" w:hAnsi="Times New Roman" w:cs="Times New Roman"/>
          <w:sz w:val="24"/>
          <w:szCs w:val="24"/>
        </w:rPr>
        <w:t>4 °C</w:t>
      </w:r>
      <w:r w:rsidRPr="0024295B">
        <w:rPr>
          <w:rFonts w:ascii="Times New Roman" w:eastAsia="Times New Roman" w:hAnsi="Times New Roman" w:cs="Times New Roman"/>
          <w:sz w:val="24"/>
          <w:szCs w:val="24"/>
        </w:rPr>
        <w:t xml:space="preserve"> until analysis</w:t>
      </w:r>
      <w:r>
        <w:rPr>
          <w:rFonts w:ascii="Times New Roman" w:eastAsia="Times New Roman" w:hAnsi="Times New Roman" w:cs="Times New Roman"/>
          <w:sz w:val="24"/>
          <w:szCs w:val="24"/>
        </w:rPr>
        <w:t xml:space="preserve">. </w:t>
      </w:r>
    </w:p>
    <w:p w14:paraId="7C8E660D" w14:textId="77777777" w:rsidR="00535C29" w:rsidRDefault="008D7782" w:rsidP="002429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Statistical Analysis</w:t>
      </w:r>
    </w:p>
    <w:p w14:paraId="7DEE057E" w14:textId="77777777" w:rsidR="008D7782" w:rsidRDefault="008D7782" w:rsidP="008D7782">
      <w:pPr>
        <w:spacing w:after="0" w:line="240" w:lineRule="auto"/>
        <w:rPr>
          <w:rFonts w:ascii="Times New Roman" w:eastAsia="Times New Roman" w:hAnsi="Times New Roman" w:cs="Times New Roman"/>
          <w:sz w:val="24"/>
          <w:szCs w:val="24"/>
        </w:rPr>
      </w:pPr>
    </w:p>
    <w:p w14:paraId="2F55ADE2" w14:textId="77777777" w:rsidR="008D7782" w:rsidRPr="008D7782" w:rsidRDefault="008D7782" w:rsidP="008D7782">
      <w:pPr>
        <w:spacing w:after="0" w:line="240" w:lineRule="auto"/>
        <w:jc w:val="both"/>
        <w:rPr>
          <w:rFonts w:ascii="Times New Roman" w:eastAsia="Times New Roman" w:hAnsi="Times New Roman" w:cs="Times New Roman"/>
          <w:sz w:val="24"/>
          <w:szCs w:val="24"/>
        </w:rPr>
      </w:pPr>
      <w:r w:rsidRPr="008D7782">
        <w:rPr>
          <w:rFonts w:ascii="Times New Roman" w:eastAsia="Times New Roman" w:hAnsi="Times New Roman" w:cs="Times New Roman"/>
          <w:sz w:val="24"/>
          <w:szCs w:val="24"/>
        </w:rPr>
        <w:t xml:space="preserve">Data analysis utilized </w:t>
      </w:r>
      <w:r w:rsidR="00847704">
        <w:rPr>
          <w:rFonts w:ascii="Times New Roman" w:eastAsia="Times New Roman" w:hAnsi="Times New Roman" w:cs="Times New Roman"/>
          <w:bCs/>
          <w:sz w:val="24"/>
          <w:szCs w:val="24"/>
        </w:rPr>
        <w:t>SPSS version 24</w:t>
      </w:r>
      <w:r w:rsidRPr="008D7782">
        <w:rPr>
          <w:rFonts w:ascii="Times New Roman" w:eastAsia="Times New Roman" w:hAnsi="Times New Roman" w:cs="Times New Roman"/>
          <w:sz w:val="24"/>
          <w:szCs w:val="24"/>
        </w:rPr>
        <w:t xml:space="preserve">. The </w:t>
      </w:r>
      <w:r w:rsidRPr="008D7782">
        <w:rPr>
          <w:rFonts w:ascii="Times New Roman" w:eastAsia="Times New Roman" w:hAnsi="Times New Roman" w:cs="Times New Roman"/>
          <w:bCs/>
          <w:sz w:val="24"/>
          <w:szCs w:val="24"/>
        </w:rPr>
        <w:t>Independent Student's t-test</w:t>
      </w:r>
      <w:r w:rsidRPr="008D7782">
        <w:rPr>
          <w:rFonts w:ascii="Times New Roman" w:eastAsia="Times New Roman" w:hAnsi="Times New Roman" w:cs="Times New Roman"/>
          <w:sz w:val="24"/>
          <w:szCs w:val="24"/>
        </w:rPr>
        <w:t xml:space="preserve"> compared groups. Results are presented as </w:t>
      </w:r>
      <w:r w:rsidRPr="008D7782">
        <w:rPr>
          <w:rFonts w:ascii="Times New Roman" w:eastAsia="Times New Roman" w:hAnsi="Times New Roman" w:cs="Times New Roman"/>
          <w:bCs/>
          <w:sz w:val="24"/>
          <w:szCs w:val="24"/>
        </w:rPr>
        <w:t xml:space="preserve">mean </w:t>
      </w:r>
      <w:r w:rsidRPr="008D7782">
        <w:rPr>
          <w:sz w:val="24"/>
          <w:szCs w:val="24"/>
        </w:rPr>
        <w:t xml:space="preserve">± </w:t>
      </w:r>
      <w:r w:rsidRPr="008D7782">
        <w:rPr>
          <w:rFonts w:ascii="Times New Roman" w:eastAsia="Times New Roman" w:hAnsi="Times New Roman" w:cs="Times New Roman"/>
          <w:bCs/>
          <w:sz w:val="24"/>
          <w:szCs w:val="24"/>
        </w:rPr>
        <w:t>SD</w:t>
      </w:r>
      <w:r w:rsidRPr="008D7782">
        <w:rPr>
          <w:rFonts w:ascii="Times New Roman" w:eastAsia="Times New Roman" w:hAnsi="Times New Roman" w:cs="Times New Roman"/>
          <w:sz w:val="24"/>
          <w:szCs w:val="24"/>
        </w:rPr>
        <w:t xml:space="preserve">, with statistical significance defined as a </w:t>
      </w:r>
      <w:r w:rsidRPr="008D7782">
        <w:rPr>
          <w:sz w:val="24"/>
          <w:szCs w:val="24"/>
        </w:rPr>
        <w:t>p &lt; 0.05</w:t>
      </w:r>
    </w:p>
    <w:p w14:paraId="04FC7B5D" w14:textId="77777777" w:rsidR="007D5570" w:rsidRDefault="007D5570" w:rsidP="0064108D">
      <w:pPr>
        <w:spacing w:before="100" w:beforeAutospacing="1" w:after="0" w:line="240" w:lineRule="auto"/>
        <w:jc w:val="both"/>
        <w:rPr>
          <w:rFonts w:ascii="Times New Roman" w:eastAsia="Times New Roman" w:hAnsi="Times New Roman" w:cs="Times New Roman"/>
          <w:color w:val="1F1F1F"/>
          <w:sz w:val="24"/>
          <w:szCs w:val="24"/>
        </w:rPr>
      </w:pPr>
    </w:p>
    <w:p w14:paraId="65156477" w14:textId="77777777" w:rsidR="0024295B" w:rsidRDefault="00265EFE" w:rsidP="0064108D">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Laboratory Analysis</w:t>
      </w:r>
    </w:p>
    <w:p w14:paraId="00BC2697" w14:textId="77777777" w:rsidR="009426C7" w:rsidRDefault="005A611E" w:rsidP="0064108D">
      <w:pPr>
        <w:spacing w:before="100" w:beforeAutospacing="1" w:after="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Determination of Lead</w:t>
      </w:r>
      <w:r w:rsidR="009426C7" w:rsidRPr="005A611E">
        <w:rPr>
          <w:rStyle w:val="fontstyle01"/>
          <w:rFonts w:ascii="Times New Roman" w:hAnsi="Times New Roman" w:cs="Times New Roman"/>
          <w:sz w:val="24"/>
          <w:szCs w:val="24"/>
        </w:rPr>
        <w:t>, Selenium</w:t>
      </w:r>
      <w:r>
        <w:rPr>
          <w:rStyle w:val="fontstyle01"/>
          <w:rFonts w:ascii="Times New Roman" w:hAnsi="Times New Roman" w:cs="Times New Roman"/>
          <w:sz w:val="24"/>
          <w:szCs w:val="24"/>
        </w:rPr>
        <w:t>, Iron and Zinc</w:t>
      </w:r>
    </w:p>
    <w:p w14:paraId="4D211DE9" w14:textId="77777777" w:rsidR="005A611E" w:rsidRDefault="005A611E" w:rsidP="005A611E">
      <w:pPr>
        <w:spacing w:after="0" w:line="240" w:lineRule="auto"/>
        <w:rPr>
          <w:rFonts w:ascii="Times New Roman" w:eastAsia="Times New Roman" w:hAnsi="Times New Roman" w:cs="Times New Roman"/>
          <w:sz w:val="24"/>
          <w:szCs w:val="24"/>
        </w:rPr>
      </w:pPr>
    </w:p>
    <w:p w14:paraId="0A855030" w14:textId="77777777" w:rsidR="005A611E" w:rsidRDefault="005A611E" w:rsidP="005A611E">
      <w:pPr>
        <w:pStyle w:val="NormalWeb"/>
        <w:jc w:val="both"/>
      </w:pPr>
      <w:r>
        <w:t xml:space="preserve">Principle: </w:t>
      </w:r>
      <w:r w:rsidRPr="005A611E">
        <w:t>Atomic Absorption Spectrophotometry (AAS) is a technique used to measure the concentration of metals in a sample, such as determining blood lead levels (</w:t>
      </w:r>
      <w:r>
        <w:t xml:space="preserve">BLL) or serum </w:t>
      </w:r>
      <w:r w:rsidR="00607516">
        <w:t xml:space="preserve">zinc, selenium, </w:t>
      </w:r>
      <w:r>
        <w:t xml:space="preserve">and Iron. </w:t>
      </w:r>
      <w:r w:rsidRPr="005A611E">
        <w:t>The princ</w:t>
      </w:r>
      <w:r>
        <w:t>iple involves using heat from a flame</w:t>
      </w:r>
      <w:r w:rsidRPr="005A611E">
        <w:t xml:space="preserve"> to convert the metal compounds into </w:t>
      </w:r>
      <w:r w:rsidRPr="005A611E">
        <w:rPr>
          <w:bCs/>
        </w:rPr>
        <w:t>free, ground-state atoms</w:t>
      </w:r>
      <w:r w:rsidRPr="005A611E">
        <w:t xml:space="preserve">. A light source then shines a beam with the </w:t>
      </w:r>
      <w:r w:rsidRPr="005A611E">
        <w:rPr>
          <w:bCs/>
        </w:rPr>
        <w:t>exact wavelength</w:t>
      </w:r>
      <w:r w:rsidRPr="005A611E">
        <w:t xml:space="preserve"> characteristic of the metal being analyzed through this cloud of atoms. The atoms absorb this specific energy, moving them to an excited state. The core measurement is the amount of light energy </w:t>
      </w:r>
      <w:r w:rsidRPr="005A611E">
        <w:rPr>
          <w:bCs/>
        </w:rPr>
        <w:t>absorbed</w:t>
      </w:r>
      <w:r w:rsidRPr="005A611E">
        <w:t xml:space="preserve"> by the sample. This absorption is </w:t>
      </w:r>
      <w:r w:rsidRPr="005A611E">
        <w:rPr>
          <w:bCs/>
        </w:rPr>
        <w:t>directly proportional</w:t>
      </w:r>
      <w:r w:rsidRPr="005A611E">
        <w:t xml:space="preserve"> to the quantity, or </w:t>
      </w:r>
      <w:r w:rsidRPr="005A611E">
        <w:rPr>
          <w:bCs/>
        </w:rPr>
        <w:t>concentration</w:t>
      </w:r>
      <w:r w:rsidRPr="005A611E">
        <w:t>, of the target element present</w:t>
      </w:r>
      <w:r w:rsidR="004B6823">
        <w:t xml:space="preserve"> </w:t>
      </w:r>
      <w:r w:rsidR="004B6823">
        <w:fldChar w:fldCharType="begin" w:fldLock="1"/>
      </w:r>
      <w:r w:rsidR="00CA16FA">
        <w:instrText>ADDIN CSL_CITATION {"citationItems":[{"id":"ITEM-1","itemData":{"DOI":"10.1093/jaoac/83.5.1189","author":[{"dropping-particle":"","family":"Jorhem","given":"Lars","non-dropping-particle":"","parse-names":false,"suffix":""},{"dropping-particle":"","family":"Engman","given":"Joakim","non-dropping-particle":"","parse-names":false,"suffix":""},{"dropping-particle":"","family":"Arvidsson","given":"B-M","non-dropping-particle":"","parse-names":false,"suffix":""},{"dropping-particle":"","family":"Åsman","given":"B","non-dropping-particle":"","parse-names":false,"suffix":""},{"dropping-particle":"","family":"Åstrand","given":"C","non-dropping-particle":"","parse-names":false,"suffix":""},{"dropping-particle":"","family":"Gjerstad","given":"K","non-dropping-particle":"","parse-names":false,"suffix":""},{"dropping-particle":"","family":"Haugsnes","given":"J","non-dropping-particle":"","parse-names":false,"suffix":""},{"dropping-particle":"","family":"Heldal","given":"V","non-dropping-particle":"","parse-names":false,"suffix":""},{"dropping-particle":"","family":"Holm","given":"K","non-dropping-particle":"","parse-names":false,"suffix":""},{"dropping-particle":"","family":"Jensen","given":"A","non-dropping-particle":"","parse-names":false,"suffix":""},{"dropping-particle":"","family":"Johansson","given":"M","non-dropping-particle":"","parse-names":false,"suffix":""},{"dropping-particle":"","family":"Jonsson","given":"L","non-dropping-particle":"","parse-names":false,"suffix":""},{"dropping-particle":"","family":"Liukkonen-Lilja","given":"H","non-dropping-particle":"","parse-names":false,"suffix":""},{"dropping-particle":"","family":"Niemi","given":"E","non-dropping-particle":"","parse-names":false,"suffix":""},{"dropping-particle":"","family":"Thorn","given":"C","non-dropping-particle":"","parse-names":false,"suffix":""},{"dropping-particle":"","family":"Utterström","given":"K","non-dropping-particle":"","parse-names":false,"suffix":""},{"dropping-particle":"","family":"Venäläinen","given":"E-R","non-dropping-particle":"","parse-names":false,"suffix":""},{"dropping-particle":"","family":"Waaler","given":"T","non-dropping-particle":"","parse-names":false,"suffix":""}],"container-title":"Journal of AOAC INTERNATIONAL","id":"ITEM-1","issued":{"date-parts":[["2000","9","1"]]},"page":"1189-1203","title":"Determination of Lead, Cadmium, Zinc, Copper, and Iron in Foods by Atomic Absorption Spectrometry after Microwave Digestion: NMKL1 Collaborative Study","type":"article-journal","volume":"83"},"uris":["http://www.mendeley.com/documents/?uuid=fa583dba-1e48-4da8-8b2c-0a988988765a"]}],"mendeley":{"formattedCitation":"[16]","plainTextFormattedCitation":"[16]","previouslyFormattedCitation":"[16]"},"properties":{"noteIndex":0},"schema":"https://github.com/citation-style-language/schema/raw/master/csl-citation.json"}</w:instrText>
      </w:r>
      <w:r w:rsidR="004B6823">
        <w:fldChar w:fldCharType="separate"/>
      </w:r>
      <w:r w:rsidR="004B6823" w:rsidRPr="004B6823">
        <w:rPr>
          <w:noProof/>
        </w:rPr>
        <w:t>[16]</w:t>
      </w:r>
      <w:r w:rsidR="004B6823">
        <w:fldChar w:fldCharType="end"/>
      </w:r>
    </w:p>
    <w:p w14:paraId="3761E687" w14:textId="77777777" w:rsidR="000A65B9" w:rsidRDefault="000A65B9" w:rsidP="005A611E">
      <w:pPr>
        <w:pStyle w:val="NormalWeb"/>
        <w:jc w:val="both"/>
      </w:pPr>
      <w:r>
        <w:t xml:space="preserve">Determination of </w:t>
      </w:r>
      <w:proofErr w:type="spellStart"/>
      <w:r>
        <w:t>Haemoglobin</w:t>
      </w:r>
      <w:proofErr w:type="spellEnd"/>
    </w:p>
    <w:p w14:paraId="41D59F83" w14:textId="77777777" w:rsidR="007A4A1B" w:rsidRPr="007A4A1B" w:rsidRDefault="000A65B9" w:rsidP="005A611E">
      <w:pPr>
        <w:pStyle w:val="NormalWeb"/>
        <w:jc w:val="both"/>
        <w:rPr>
          <w:color w:val="1C1C1C"/>
          <w:shd w:val="clear" w:color="auto" w:fill="FFFFFF"/>
        </w:rPr>
      </w:pPr>
      <w:r>
        <w:t xml:space="preserve">Principle: </w:t>
      </w:r>
      <w:r w:rsidR="007A4A1B" w:rsidRPr="007A4A1B">
        <w:rPr>
          <w:color w:val="1C1C1C"/>
          <w:shd w:val="clear" w:color="auto" w:fill="FFFFFF"/>
        </w:rPr>
        <w:t xml:space="preserve">When exposed to alkaline potassium ferricyanide, </w:t>
      </w:r>
      <w:proofErr w:type="spellStart"/>
      <w:r w:rsidR="007A4A1B" w:rsidRPr="007A4A1B">
        <w:rPr>
          <w:color w:val="1C1C1C"/>
          <w:shd w:val="clear" w:color="auto" w:fill="FFFFFF"/>
        </w:rPr>
        <w:t>haemoglobin</w:t>
      </w:r>
      <w:proofErr w:type="spellEnd"/>
      <w:r w:rsidR="007A4A1B" w:rsidRPr="007A4A1B">
        <w:rPr>
          <w:color w:val="1C1C1C"/>
          <w:shd w:val="clear" w:color="auto" w:fill="FFFFFF"/>
        </w:rPr>
        <w:t xml:space="preserve"> undergoes oxidation to become </w:t>
      </w:r>
      <w:proofErr w:type="spellStart"/>
      <w:r w:rsidR="007A4A1B" w:rsidRPr="007A4A1B">
        <w:rPr>
          <w:color w:val="1C1C1C"/>
          <w:shd w:val="clear" w:color="auto" w:fill="FFFFFF"/>
        </w:rPr>
        <w:t>methaemoglobin</w:t>
      </w:r>
      <w:proofErr w:type="spellEnd"/>
      <w:r w:rsidR="007A4A1B" w:rsidRPr="007A4A1B">
        <w:rPr>
          <w:color w:val="1C1C1C"/>
          <w:shd w:val="clear" w:color="auto" w:fill="FFFFFF"/>
        </w:rPr>
        <w:t xml:space="preserve">. This </w:t>
      </w:r>
      <w:proofErr w:type="spellStart"/>
      <w:r w:rsidR="007A4A1B" w:rsidRPr="007A4A1B">
        <w:rPr>
          <w:color w:val="1C1C1C"/>
          <w:shd w:val="clear" w:color="auto" w:fill="FFFFFF"/>
        </w:rPr>
        <w:t>methaemoglobin</w:t>
      </w:r>
      <w:proofErr w:type="spellEnd"/>
      <w:r w:rsidR="007A4A1B" w:rsidRPr="007A4A1B">
        <w:rPr>
          <w:color w:val="1C1C1C"/>
          <w:shd w:val="clear" w:color="auto" w:fill="FFFFFF"/>
        </w:rPr>
        <w:t xml:space="preserve"> subsequently </w:t>
      </w:r>
      <w:r w:rsidR="00E83D90">
        <w:rPr>
          <w:color w:val="1C1C1C"/>
          <w:shd w:val="clear" w:color="auto" w:fill="FFFFFF"/>
        </w:rPr>
        <w:t>reacts with potassium cyanide to form</w:t>
      </w:r>
      <w:r w:rsidR="007A4A1B" w:rsidRPr="007A4A1B">
        <w:rPr>
          <w:color w:val="1C1C1C"/>
          <w:shd w:val="clear" w:color="auto" w:fill="FFFFFF"/>
        </w:rPr>
        <w:t xml:space="preserve"> </w:t>
      </w:r>
      <w:proofErr w:type="spellStart"/>
      <w:r w:rsidR="007A4A1B" w:rsidRPr="007A4A1B">
        <w:rPr>
          <w:color w:val="1C1C1C"/>
          <w:shd w:val="clear" w:color="auto" w:fill="FFFFFF"/>
        </w:rPr>
        <w:t>cyanmethaemoglobin</w:t>
      </w:r>
      <w:proofErr w:type="spellEnd"/>
      <w:r w:rsidR="007A4A1B" w:rsidRPr="007A4A1B">
        <w:rPr>
          <w:color w:val="1C1C1C"/>
          <w:shd w:val="clear" w:color="auto" w:fill="FFFFFF"/>
        </w:rPr>
        <w:t xml:space="preserve">, which exhibits absorption at 540 nm. The level of this absorbance is directly proportional to the total concentration of </w:t>
      </w:r>
      <w:proofErr w:type="spellStart"/>
      <w:r w:rsidR="007A4A1B" w:rsidRPr="007A4A1B">
        <w:rPr>
          <w:color w:val="1C1C1C"/>
          <w:shd w:val="clear" w:color="auto" w:fill="FFFFFF"/>
        </w:rPr>
        <w:t>haemoglobin</w:t>
      </w:r>
      <w:proofErr w:type="spellEnd"/>
      <w:r w:rsidR="007A4A1B" w:rsidRPr="007A4A1B">
        <w:rPr>
          <w:color w:val="1C1C1C"/>
          <w:shd w:val="clear" w:color="auto" w:fill="FFFFFF"/>
        </w:rPr>
        <w:t>.</w:t>
      </w:r>
    </w:p>
    <w:p w14:paraId="3B552F98" w14:textId="77777777" w:rsidR="005A611E" w:rsidRDefault="005A611E" w:rsidP="005A611E">
      <w:pPr>
        <w:pStyle w:val="NormalWeb"/>
        <w:jc w:val="both"/>
      </w:pPr>
      <w:r>
        <w:t>Determination of Vitamin C</w:t>
      </w:r>
    </w:p>
    <w:p w14:paraId="4E0FAD3D" w14:textId="77777777" w:rsidR="005A611E" w:rsidRPr="005A611E" w:rsidRDefault="00F70D97" w:rsidP="00F70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Principle: </w:t>
      </w:r>
      <w:r w:rsidR="005A611E" w:rsidRPr="005A611E">
        <w:rPr>
          <w:rFonts w:ascii="Times New Roman" w:eastAsia="Times New Roman" w:hAnsi="Times New Roman" w:cs="Times New Roman"/>
          <w:sz w:val="24"/>
          <w:szCs w:val="24"/>
        </w:rPr>
        <w:t xml:space="preserve">The ascorbic acid in the serum is first chemically oxidized using </w:t>
      </w:r>
      <w:proofErr w:type="gramStart"/>
      <w:r w:rsidR="005A611E" w:rsidRPr="00F70D97">
        <w:rPr>
          <w:rFonts w:ascii="Times New Roman" w:eastAsia="Times New Roman" w:hAnsi="Times New Roman" w:cs="Times New Roman"/>
          <w:bCs/>
          <w:sz w:val="24"/>
          <w:szCs w:val="24"/>
        </w:rPr>
        <w:t>copper(</w:t>
      </w:r>
      <w:proofErr w:type="gramEnd"/>
      <w:r w:rsidR="005A611E" w:rsidRPr="00F70D97">
        <w:rPr>
          <w:rFonts w:ascii="Times New Roman" w:eastAsia="Times New Roman" w:hAnsi="Times New Roman" w:cs="Times New Roman"/>
          <w:bCs/>
          <w:sz w:val="24"/>
          <w:szCs w:val="24"/>
        </w:rPr>
        <w:t xml:space="preserve">II) ions. </w:t>
      </w:r>
      <w:r w:rsidR="005A611E" w:rsidRPr="005A611E">
        <w:rPr>
          <w:rFonts w:ascii="Times New Roman" w:eastAsia="Times New Roman" w:hAnsi="Times New Roman" w:cs="Times New Roman"/>
          <w:sz w:val="24"/>
          <w:szCs w:val="24"/>
        </w:rPr>
        <w:t xml:space="preserve">This converts the ascorbic acid into its oxidized form, </w:t>
      </w:r>
      <w:r w:rsidR="005A611E" w:rsidRPr="005A611E">
        <w:rPr>
          <w:rFonts w:ascii="Times New Roman" w:eastAsia="Times New Roman" w:hAnsi="Times New Roman" w:cs="Times New Roman"/>
          <w:bCs/>
          <w:sz w:val="24"/>
          <w:szCs w:val="24"/>
        </w:rPr>
        <w:t>dehydroascorbic acid</w:t>
      </w:r>
      <w:r w:rsidR="005A611E" w:rsidRPr="005A611E">
        <w:rPr>
          <w:rFonts w:ascii="Times New Roman" w:eastAsia="Times New Roman" w:hAnsi="Times New Roman" w:cs="Times New Roman"/>
          <w:sz w:val="24"/>
          <w:szCs w:val="24"/>
        </w:rPr>
        <w:t>.</w:t>
      </w:r>
      <w:r w:rsidR="005A611E" w:rsidRPr="00F70D97">
        <w:rPr>
          <w:rFonts w:ascii="Times New Roman" w:eastAsia="Times New Roman" w:hAnsi="Times New Roman" w:cs="Times New Roman"/>
          <w:sz w:val="24"/>
          <w:szCs w:val="24"/>
        </w:rPr>
        <w:t xml:space="preserve"> </w:t>
      </w:r>
      <w:r w:rsidR="005A611E" w:rsidRPr="005A611E">
        <w:rPr>
          <w:rFonts w:ascii="Times New Roman" w:eastAsia="Times New Roman" w:hAnsi="Times New Roman" w:cs="Times New Roman"/>
          <w:sz w:val="24"/>
          <w:szCs w:val="24"/>
        </w:rPr>
        <w:t xml:space="preserve">The newly formed dehydroascorbic acid is then reacted with a chemical reagent called </w:t>
      </w:r>
      <w:r w:rsidR="005A611E" w:rsidRPr="005A611E">
        <w:rPr>
          <w:rFonts w:ascii="Times New Roman" w:eastAsia="Times New Roman" w:hAnsi="Times New Roman" w:cs="Times New Roman"/>
          <w:bCs/>
          <w:sz w:val="24"/>
          <w:szCs w:val="24"/>
        </w:rPr>
        <w:t>2,4-dinitrophenylhydrazine (2,4-DNPH)</w:t>
      </w:r>
      <w:r w:rsidR="005A611E" w:rsidRPr="005A611E">
        <w:rPr>
          <w:rFonts w:ascii="Times New Roman" w:eastAsia="Times New Roman" w:hAnsi="Times New Roman" w:cs="Times New Roman"/>
          <w:sz w:val="24"/>
          <w:szCs w:val="24"/>
        </w:rPr>
        <w:t xml:space="preserve"> under acidic conditions. This reaction forms a </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compound known as a hydrazone, which appears reddish-orange</w:t>
      </w:r>
      <w:r w:rsidR="005A611E" w:rsidRPr="005A611E">
        <w:rPr>
          <w:rFonts w:ascii="Times New Roman" w:eastAsia="Times New Roman" w:hAnsi="Times New Roman" w:cs="Times New Roman"/>
          <w:sz w:val="24"/>
          <w:szCs w:val="24"/>
        </w:rPr>
        <w:t>.</w:t>
      </w:r>
      <w:r w:rsidR="005A611E" w:rsidRPr="00F70D97">
        <w:rPr>
          <w:rFonts w:ascii="Times New Roman" w:eastAsia="Times New Roman" w:hAnsi="Times New Roman" w:cs="Times New Roman"/>
          <w:sz w:val="24"/>
          <w:szCs w:val="24"/>
        </w:rPr>
        <w:t xml:space="preserve"> </w:t>
      </w:r>
      <w:r w:rsidR="005A611E" w:rsidRPr="005A611E">
        <w:rPr>
          <w:rFonts w:ascii="Times New Roman" w:eastAsia="Times New Roman" w:hAnsi="Times New Roman" w:cs="Times New Roman"/>
          <w:sz w:val="24"/>
          <w:szCs w:val="24"/>
        </w:rPr>
        <w:t xml:space="preserve">The intensity of this reddish </w:t>
      </w:r>
      <w:proofErr w:type="spellStart"/>
      <w:r w:rsidR="005A611E" w:rsidRPr="005A611E">
        <w:rPr>
          <w:rFonts w:ascii="Times New Roman" w:eastAsia="Times New Roman" w:hAnsi="Times New Roman" w:cs="Times New Roman"/>
          <w:sz w:val="24"/>
          <w:szCs w:val="24"/>
        </w:rPr>
        <w:t>hydrazone</w:t>
      </w:r>
      <w:proofErr w:type="spellEnd"/>
      <w:r w:rsidR="005A611E" w:rsidRPr="005A611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colour</w:t>
      </w:r>
      <w:proofErr w:type="spellEnd"/>
      <w:r w:rsidR="005A611E" w:rsidRPr="005A611E">
        <w:rPr>
          <w:rFonts w:ascii="Times New Roman" w:eastAsia="Times New Roman" w:hAnsi="Times New Roman" w:cs="Times New Roman"/>
          <w:sz w:val="24"/>
          <w:szCs w:val="24"/>
        </w:rPr>
        <w:t xml:space="preserve"> is measured using a </w:t>
      </w:r>
      <w:r w:rsidR="005A611E" w:rsidRPr="005A611E">
        <w:rPr>
          <w:rFonts w:ascii="Times New Roman" w:eastAsia="Times New Roman" w:hAnsi="Times New Roman" w:cs="Times New Roman"/>
          <w:bCs/>
          <w:sz w:val="24"/>
          <w:szCs w:val="24"/>
        </w:rPr>
        <w:t>spectrophotometer</w:t>
      </w:r>
      <w:r w:rsidR="005A611E" w:rsidRPr="005A611E">
        <w:rPr>
          <w:rFonts w:ascii="Times New Roman" w:eastAsia="Times New Roman" w:hAnsi="Times New Roman" w:cs="Times New Roman"/>
          <w:sz w:val="24"/>
          <w:szCs w:val="24"/>
        </w:rPr>
        <w:t xml:space="preserve"> at a specific wavelength of </w:t>
      </w:r>
      <w:r w:rsidRPr="00F70D97">
        <w:rPr>
          <w:rFonts w:ascii="Times New Roman" w:eastAsia="Times New Roman" w:hAnsi="Times New Roman" w:cs="Times New Roman"/>
          <w:bCs/>
          <w:sz w:val="24"/>
          <w:szCs w:val="24"/>
        </w:rPr>
        <w:t xml:space="preserve">520 nanometers. </w:t>
      </w:r>
      <w:r w:rsidR="005A611E" w:rsidRPr="005A611E">
        <w:rPr>
          <w:rFonts w:ascii="Times New Roman" w:eastAsia="Times New Roman" w:hAnsi="Times New Roman" w:cs="Times New Roman"/>
          <w:sz w:val="24"/>
          <w:szCs w:val="24"/>
        </w:rPr>
        <w:t xml:space="preserve">The amount of </w:t>
      </w:r>
      <w:proofErr w:type="spellStart"/>
      <w:r>
        <w:rPr>
          <w:rFonts w:ascii="Times New Roman" w:eastAsia="Times New Roman" w:hAnsi="Times New Roman" w:cs="Times New Roman"/>
          <w:sz w:val="24"/>
          <w:szCs w:val="24"/>
        </w:rPr>
        <w:t>colour</w:t>
      </w:r>
      <w:proofErr w:type="spellEnd"/>
      <w:r w:rsidR="005A611E" w:rsidRPr="005A611E">
        <w:rPr>
          <w:rFonts w:ascii="Times New Roman" w:eastAsia="Times New Roman" w:hAnsi="Times New Roman" w:cs="Times New Roman"/>
          <w:sz w:val="24"/>
          <w:szCs w:val="24"/>
        </w:rPr>
        <w:t xml:space="preserve"> produced is directly proportional to the original concentratio</w:t>
      </w:r>
      <w:r w:rsidR="00CA16FA">
        <w:rPr>
          <w:rFonts w:ascii="Times New Roman" w:eastAsia="Times New Roman" w:hAnsi="Times New Roman" w:cs="Times New Roman"/>
          <w:sz w:val="24"/>
          <w:szCs w:val="24"/>
        </w:rPr>
        <w:t xml:space="preserve">n of ascorbic acid in the serum </w:t>
      </w:r>
      <w:r w:rsidR="00CA16FA">
        <w:rPr>
          <w:rFonts w:ascii="Times New Roman" w:eastAsia="Times New Roman" w:hAnsi="Times New Roman" w:cs="Times New Roman"/>
          <w:sz w:val="24"/>
          <w:szCs w:val="24"/>
        </w:rPr>
        <w:fldChar w:fldCharType="begin" w:fldLock="1"/>
      </w:r>
      <w:r w:rsidR="008866E9">
        <w:rPr>
          <w:rFonts w:ascii="Times New Roman" w:eastAsia="Times New Roman" w:hAnsi="Times New Roman" w:cs="Times New Roman"/>
          <w:sz w:val="24"/>
          <w:szCs w:val="24"/>
        </w:rPr>
        <w:instrText>ADDIN CSL_CITATION {"citationItems":[{"id":"ITEM-1","itemData":{"author":[{"dropping-particle":"","family":"Al-Ani","given":"Majeed","non-dropping-particle":"","parse-names":false,"suffix":""},{"dropping-particle":"","family":"Opara","given":"Umezuruike","non-dropping-particle":"","parse-names":false,"suffix":""},{"dropping-particle":"","family":"Al-Bahri","given":"Dalila","non-dropping-particle":"","parse-names":false,"suffix":""},{"dropping-particle":"","family":"Rahbi","given":"Mohammed","non-dropping-particle":"Al","parse-names":false,"suffix":""}],"container-title":"Journal of Food, Agriculture and Environment","id":"ITEM-1","issued":{"date-parts":[["2007","7","1"]]},"title":"Spectrophotometric quantification of ascorbic acid contents of fruit and vegetables using the 2,4-dinitrophenylhydrazine method","type":"article-journal","volume":"5"},"uris":["http://www.mendeley.com/documents/?uuid=0fb1fb80-de92-4457-9f01-726dffdb417e"]}],"mendeley":{"formattedCitation":"[17]","plainTextFormattedCitation":"[17]","previouslyFormattedCitation":"[17]"},"properties":{"noteIndex":0},"schema":"https://github.com/citation-style-language/schema/raw/master/csl-citation.json"}</w:instrText>
      </w:r>
      <w:r w:rsidR="00CA16FA">
        <w:rPr>
          <w:rFonts w:ascii="Times New Roman" w:eastAsia="Times New Roman" w:hAnsi="Times New Roman" w:cs="Times New Roman"/>
          <w:sz w:val="24"/>
          <w:szCs w:val="24"/>
        </w:rPr>
        <w:fldChar w:fldCharType="separate"/>
      </w:r>
      <w:r w:rsidR="00CA16FA" w:rsidRPr="00CA16FA">
        <w:rPr>
          <w:rFonts w:ascii="Times New Roman" w:eastAsia="Times New Roman" w:hAnsi="Times New Roman" w:cs="Times New Roman"/>
          <w:noProof/>
          <w:sz w:val="24"/>
          <w:szCs w:val="24"/>
        </w:rPr>
        <w:t>[17]</w:t>
      </w:r>
      <w:r w:rsidR="00CA16FA">
        <w:rPr>
          <w:rFonts w:ascii="Times New Roman" w:eastAsia="Times New Roman" w:hAnsi="Times New Roman" w:cs="Times New Roman"/>
          <w:sz w:val="24"/>
          <w:szCs w:val="24"/>
        </w:rPr>
        <w:fldChar w:fldCharType="end"/>
      </w:r>
    </w:p>
    <w:p w14:paraId="4A75E0E4" w14:textId="77777777" w:rsidR="005A611E" w:rsidRDefault="00CA16FA" w:rsidP="00F70D97">
      <w:pPr>
        <w:pStyle w:val="NormalWeb"/>
        <w:jc w:val="both"/>
      </w:pPr>
      <w:r>
        <w:t>Determination of Uric Acid</w:t>
      </w:r>
    </w:p>
    <w:p w14:paraId="27415B9A" w14:textId="77777777" w:rsidR="00CA16FA" w:rsidRPr="00CA16FA" w:rsidRDefault="00CA16FA" w:rsidP="00CA16FA">
      <w:pPr>
        <w:pStyle w:val="NormalWeb"/>
        <w:jc w:val="both"/>
      </w:pPr>
      <w:r w:rsidRPr="00CA16FA">
        <w:t xml:space="preserve">Principle: The uric acid in the sample is first converted by the enzyme </w:t>
      </w:r>
      <w:r w:rsidRPr="00CA16FA">
        <w:rPr>
          <w:bCs/>
        </w:rPr>
        <w:t>uricase</w:t>
      </w:r>
      <w:r w:rsidRPr="00CA16FA">
        <w:t xml:space="preserve">. This reaction breaks down the uric acid, yielding two products: </w:t>
      </w:r>
      <w:r w:rsidRPr="00CA16FA">
        <w:rPr>
          <w:bCs/>
        </w:rPr>
        <w:t>allantoin</w:t>
      </w:r>
      <w:r w:rsidRPr="00CA16FA">
        <w:t xml:space="preserve">   and </w:t>
      </w:r>
      <w:r>
        <w:rPr>
          <w:bCs/>
        </w:rPr>
        <w:t>hydrogen peroxide.</w:t>
      </w:r>
      <w:r w:rsidRPr="00CA16FA">
        <w:t xml:space="preserve"> Under the catalytic influence of a second enzyme, </w:t>
      </w:r>
      <w:r w:rsidRPr="00CA16FA">
        <w:rPr>
          <w:bCs/>
        </w:rPr>
        <w:t>peroxidase</w:t>
      </w:r>
      <w:r w:rsidRPr="00CA16FA">
        <w:t xml:space="preserve">, the hydrogen peroxide </w:t>
      </w:r>
      <w:proofErr w:type="spellStart"/>
      <w:r w:rsidR="00CD65C2">
        <w:t>oxidises</w:t>
      </w:r>
      <w:proofErr w:type="spellEnd"/>
      <w:r w:rsidR="00CD65C2">
        <w:t xml:space="preserve"> two special </w:t>
      </w:r>
      <w:proofErr w:type="spellStart"/>
      <w:r w:rsidR="00CD65C2">
        <w:t>colourless</w:t>
      </w:r>
      <w:proofErr w:type="spellEnd"/>
      <w:r w:rsidR="00CD65C2">
        <w:t xml:space="preserve"> reagents: 3,5-dichloro-2-hydroxybenzene</w:t>
      </w:r>
      <w:r w:rsidRPr="00CA16FA">
        <w:rPr>
          <w:bCs/>
        </w:rPr>
        <w:t xml:space="preserve"> sulfonic acid (DCHBS)</w:t>
      </w:r>
      <w:r w:rsidRPr="00CA16FA">
        <w:t xml:space="preserve"> and </w:t>
      </w:r>
      <w:r w:rsidRPr="00CA16FA">
        <w:rPr>
          <w:bCs/>
        </w:rPr>
        <w:t xml:space="preserve">4-aminophenazone (4-AAP). </w:t>
      </w:r>
      <w:r w:rsidRPr="00CA16FA">
        <w:t>This oxidation reaction cause</w:t>
      </w:r>
      <w:r>
        <w:t>s DCHBS and 4-AAP</w:t>
      </w:r>
      <w:r w:rsidRPr="00CA16FA">
        <w:t xml:space="preserve"> to couple and form a deeply </w:t>
      </w:r>
      <w:proofErr w:type="spellStart"/>
      <w:r w:rsidRPr="00CA16FA">
        <w:t>colo</w:t>
      </w:r>
      <w:r w:rsidR="00CD65C2">
        <w:t>u</w:t>
      </w:r>
      <w:r w:rsidRPr="00CA16FA">
        <w:t>red</w:t>
      </w:r>
      <w:proofErr w:type="spellEnd"/>
      <w:r w:rsidRPr="00CA16FA">
        <w:t xml:space="preserve"> </w:t>
      </w:r>
      <w:r w:rsidRPr="00CA16FA">
        <w:lastRenderedPageBreak/>
        <w:t xml:space="preserve">dye known as a </w:t>
      </w:r>
      <w:proofErr w:type="spellStart"/>
      <w:r w:rsidRPr="00CA16FA">
        <w:rPr>
          <w:bCs/>
        </w:rPr>
        <w:t>quinoneimine</w:t>
      </w:r>
      <w:proofErr w:type="spellEnd"/>
      <w:r w:rsidRPr="00CA16FA">
        <w:t xml:space="preserve"> compound. This compound appears </w:t>
      </w:r>
      <w:r w:rsidR="00CD65C2">
        <w:t xml:space="preserve">to have a distinct red-violet </w:t>
      </w:r>
      <w:proofErr w:type="spellStart"/>
      <w:r w:rsidR="00CD65C2">
        <w:t>colour</w:t>
      </w:r>
      <w:proofErr w:type="spellEnd"/>
      <w:r w:rsidRPr="00CA16FA">
        <w:t xml:space="preserve">, whose intensity is measured spectrophotometrically. The intensity of the final red-violet </w:t>
      </w:r>
      <w:proofErr w:type="spellStart"/>
      <w:r w:rsidR="00CD65C2">
        <w:t>colour</w:t>
      </w:r>
      <w:proofErr w:type="spellEnd"/>
      <w:r w:rsidRPr="00CA16FA">
        <w:t xml:space="preserve"> is </w:t>
      </w:r>
      <w:r w:rsidRPr="00CA16FA">
        <w:rPr>
          <w:bCs/>
        </w:rPr>
        <w:t>directly proportional</w:t>
      </w:r>
      <w:r w:rsidRPr="00CA16FA">
        <w:t xml:space="preserve"> to the amount of hydrogen peroxide produced, which is, in turn, </w:t>
      </w:r>
      <w:r w:rsidRPr="00CA16FA">
        <w:rPr>
          <w:bCs/>
        </w:rPr>
        <w:t>directly proportional</w:t>
      </w:r>
      <w:r w:rsidRPr="00CA16FA">
        <w:t xml:space="preserve"> to the original concentration of uric acid in the sample</w:t>
      </w:r>
      <w:r w:rsidR="008866E9">
        <w:t xml:space="preserve"> </w:t>
      </w:r>
      <w:r w:rsidR="008866E9">
        <w:fldChar w:fldCharType="begin" w:fldLock="1"/>
      </w:r>
      <w:r w:rsidR="00BF209D">
        <w:instrText>ADDIN CSL_CITATION {"citationItems":[{"id":"ITEM-1","itemData":{"DOI":"10.1016/0009-8981(80)90257-0","ISSN":"0009-8981 (Print)","PMID":"7357749","abstract":"A reliable method for the determination of uric acid in plasma or serum is  described. The hydrogen peroxidase developed in the uricase reaction is used, together with peroxidase, for the coupling of sulphonated dichlorophenol and 4-aminoantipyine to a red dye. The difference in absorbance at 515 nm before and after addition of uricase is measured. Of the components tested for interference some gave rise to falsely lowered values. Reagents are cheap and the high molecular absorption coefficient of the red dye permits the use of small sample volumes.","author":[{"dropping-particle":"","family":"Sanders","given":"G T","non-dropping-particle":"","parse-names":false,"suffix":""},{"dropping-particle":"","family":"Pasman","given":"A J","non-dropping-particle":"","parse-names":false,"suffix":""},{"dropping-particle":"","family":"Hoek","given":"F J","non-dropping-particle":"","parse-names":false,"suffix":""}],"container-title":"Clinica chimica acta; international journal of clinical chemistry","id":"ITEM-1","issue":"2-3","issued":{"date-parts":[["1980","2"]]},"language":"eng","page":"299-303","publisher-place":"Netherlands","title":"Determination of uric acid with uricase and peroxidase.","type":"article-journal","volume":"101"},"uris":["http://www.mendeley.com/documents/?uuid=0adf802f-76a6-43bf-9c0a-d642597e0e15"]}],"mendeley":{"formattedCitation":"[18]","plainTextFormattedCitation":"[18]","previouslyFormattedCitation":"[18]"},"properties":{"noteIndex":0},"schema":"https://github.com/citation-style-language/schema/raw/master/csl-citation.json"}</w:instrText>
      </w:r>
      <w:r w:rsidR="008866E9">
        <w:fldChar w:fldCharType="separate"/>
      </w:r>
      <w:r w:rsidR="008866E9" w:rsidRPr="008866E9">
        <w:rPr>
          <w:noProof/>
        </w:rPr>
        <w:t>[18]</w:t>
      </w:r>
      <w:r w:rsidR="008866E9">
        <w:fldChar w:fldCharType="end"/>
      </w:r>
      <w:r w:rsidRPr="00CA16FA">
        <w:t>.</w:t>
      </w:r>
    </w:p>
    <w:p w14:paraId="1163F572" w14:textId="77777777" w:rsidR="00CA16FA" w:rsidRPr="00CA16FA" w:rsidRDefault="00CA16FA" w:rsidP="00CA16FA">
      <w:pPr>
        <w:pStyle w:val="NormalWeb"/>
        <w:jc w:val="both"/>
      </w:pPr>
    </w:p>
    <w:p w14:paraId="42CBC95E" w14:textId="77777777" w:rsidR="00CA16FA" w:rsidRDefault="00F135CD" w:rsidP="00CA16FA">
      <w:pPr>
        <w:rPr>
          <w:rFonts w:ascii="Times New Roman" w:eastAsia="Times New Roman" w:hAnsi="Times New Roman" w:cs="Times New Roman"/>
          <w:sz w:val="24"/>
          <w:szCs w:val="24"/>
        </w:rPr>
      </w:pPr>
      <w:r>
        <w:rPr>
          <w:rFonts w:ascii="Times New Roman" w:eastAsia="Times New Roman" w:hAnsi="Times New Roman" w:cs="Times New Roman"/>
          <w:sz w:val="24"/>
          <w:szCs w:val="24"/>
        </w:rPr>
        <w:t>Results</w:t>
      </w:r>
    </w:p>
    <w:p w14:paraId="1EF8E268" w14:textId="77777777" w:rsidR="00F135CD" w:rsidRPr="00CA16FA" w:rsidRDefault="00F135CD" w:rsidP="00CA16FA">
      <w:pPr>
        <w:rPr>
          <w:rFonts w:ascii="Times New Roman" w:eastAsia="Times New Roman" w:hAnsi="Times New Roman" w:cs="Times New Roman"/>
          <w:sz w:val="24"/>
          <w:szCs w:val="24"/>
        </w:rPr>
      </w:pPr>
    </w:p>
    <w:p w14:paraId="4D127FA8" w14:textId="77777777" w:rsidR="00F135CD" w:rsidRPr="00F135CD" w:rsidRDefault="00F135CD" w:rsidP="00F135CD">
      <w:pPr>
        <w:pStyle w:val="NoSpacing"/>
        <w:spacing w:line="480" w:lineRule="auto"/>
        <w:jc w:val="both"/>
        <w:rPr>
          <w:sz w:val="24"/>
          <w:szCs w:val="24"/>
        </w:rPr>
      </w:pPr>
      <w:r w:rsidRPr="00F135CD">
        <w:rPr>
          <w:sz w:val="24"/>
          <w:szCs w:val="24"/>
        </w:rPr>
        <w:t xml:space="preserve">The mean values of lead, Hb, zinc, iron, selenium, vitamin C and uric acid of the auto painters with less than 5 years duration of exposure and 5 years and above duration of exposure are expressed in </w:t>
      </w:r>
      <w:r w:rsidRPr="006C5E73">
        <w:rPr>
          <w:sz w:val="24"/>
          <w:szCs w:val="24"/>
        </w:rPr>
        <w:t>Table 1.</w:t>
      </w:r>
      <w:r w:rsidRPr="00F135CD">
        <w:rPr>
          <w:sz w:val="24"/>
          <w:szCs w:val="24"/>
        </w:rPr>
        <w:t xml:space="preserve">  Interestingly</w:t>
      </w:r>
      <w:r w:rsidR="00627483">
        <w:rPr>
          <w:sz w:val="24"/>
          <w:szCs w:val="24"/>
        </w:rPr>
        <w:t>,</w:t>
      </w:r>
      <w:r w:rsidRPr="00F135CD">
        <w:rPr>
          <w:sz w:val="24"/>
          <w:szCs w:val="24"/>
        </w:rPr>
        <w:t xml:space="preserve"> </w:t>
      </w:r>
      <w:r w:rsidR="0021162F">
        <w:rPr>
          <w:sz w:val="24"/>
          <w:szCs w:val="24"/>
        </w:rPr>
        <w:t xml:space="preserve">lead level concentrations for exposure durations of 5 years </w:t>
      </w:r>
      <w:r w:rsidR="000A65B9">
        <w:rPr>
          <w:sz w:val="24"/>
          <w:szCs w:val="24"/>
        </w:rPr>
        <w:t xml:space="preserve">or longer increased significantly compared with those for exposure durations of </w:t>
      </w:r>
      <w:r w:rsidR="0021162F">
        <w:rPr>
          <w:sz w:val="24"/>
          <w:szCs w:val="24"/>
        </w:rPr>
        <w:t xml:space="preserve">less than 5 years </w:t>
      </w:r>
      <w:r w:rsidRPr="00F135CD">
        <w:rPr>
          <w:sz w:val="24"/>
          <w:szCs w:val="24"/>
        </w:rPr>
        <w:t>(p &lt; 0.01).</w:t>
      </w:r>
      <w:r w:rsidR="00627483">
        <w:rPr>
          <w:sz w:val="24"/>
          <w:szCs w:val="24"/>
        </w:rPr>
        <w:t xml:space="preserve"> </w:t>
      </w:r>
      <w:r w:rsidRPr="00F135CD">
        <w:rPr>
          <w:sz w:val="24"/>
          <w:szCs w:val="24"/>
        </w:rPr>
        <w:t xml:space="preserve">All </w:t>
      </w:r>
      <w:r w:rsidR="00627483">
        <w:rPr>
          <w:sz w:val="24"/>
          <w:szCs w:val="24"/>
        </w:rPr>
        <w:t xml:space="preserve">trace metals with exposure durations of 5 years or longer were significantly reduced compared to those with exposure durations of less than 5 years </w:t>
      </w:r>
      <w:r w:rsidRPr="00F135CD">
        <w:rPr>
          <w:sz w:val="24"/>
          <w:szCs w:val="24"/>
        </w:rPr>
        <w:t>(p &lt; 0.05).</w:t>
      </w:r>
      <w:r w:rsidR="00627483">
        <w:rPr>
          <w:sz w:val="24"/>
          <w:szCs w:val="24"/>
        </w:rPr>
        <w:t xml:space="preserve"> </w:t>
      </w:r>
      <w:r w:rsidRPr="00F135CD">
        <w:rPr>
          <w:sz w:val="24"/>
          <w:szCs w:val="24"/>
        </w:rPr>
        <w:t>Similarly</w:t>
      </w:r>
      <w:r w:rsidR="00627483">
        <w:rPr>
          <w:sz w:val="24"/>
          <w:szCs w:val="24"/>
        </w:rPr>
        <w:t>,</w:t>
      </w:r>
      <w:r w:rsidRPr="00F135CD">
        <w:rPr>
          <w:sz w:val="24"/>
          <w:szCs w:val="24"/>
        </w:rPr>
        <w:t xml:space="preserve"> </w:t>
      </w:r>
      <w:r w:rsidR="00627483">
        <w:rPr>
          <w:sz w:val="24"/>
          <w:szCs w:val="24"/>
        </w:rPr>
        <w:t xml:space="preserve">vitamin C and uric acid were significantly </w:t>
      </w:r>
      <w:r w:rsidR="000A65B9">
        <w:rPr>
          <w:sz w:val="24"/>
          <w:szCs w:val="24"/>
        </w:rPr>
        <w:t>lower in the 5 years and above duration-of-exposure group than in</w:t>
      </w:r>
      <w:r w:rsidR="0021162F">
        <w:rPr>
          <w:sz w:val="24"/>
          <w:szCs w:val="24"/>
        </w:rPr>
        <w:t xml:space="preserve"> the less than 5 years duration-of-exposure group</w:t>
      </w:r>
      <w:r w:rsidR="00627483">
        <w:rPr>
          <w:sz w:val="24"/>
          <w:szCs w:val="24"/>
        </w:rPr>
        <w:t xml:space="preserve"> </w:t>
      </w:r>
      <w:r w:rsidRPr="00F135CD">
        <w:rPr>
          <w:sz w:val="24"/>
          <w:szCs w:val="24"/>
        </w:rPr>
        <w:t xml:space="preserve">(p &lt; 0.05).  There was </w:t>
      </w:r>
      <w:r w:rsidR="00627483">
        <w:rPr>
          <w:sz w:val="24"/>
          <w:szCs w:val="24"/>
        </w:rPr>
        <w:t xml:space="preserve">no significant difference in Hb levels between auto painters with less than 5 years of exposure and those with 5 years or more </w:t>
      </w:r>
      <w:r w:rsidRPr="00F135CD">
        <w:rPr>
          <w:sz w:val="24"/>
          <w:szCs w:val="24"/>
        </w:rPr>
        <w:t>of exposure (P &gt; 0.05).</w:t>
      </w:r>
    </w:p>
    <w:p w14:paraId="59B81BA2" w14:textId="77777777" w:rsidR="00F135CD" w:rsidRPr="00F135CD" w:rsidRDefault="0021162F" w:rsidP="00F135CD">
      <w:pPr>
        <w:pStyle w:val="NoSpacing"/>
        <w:spacing w:line="480" w:lineRule="auto"/>
        <w:jc w:val="both"/>
        <w:rPr>
          <w:sz w:val="24"/>
          <w:szCs w:val="24"/>
        </w:rPr>
      </w:pPr>
      <w:r>
        <w:rPr>
          <w:sz w:val="24"/>
          <w:szCs w:val="24"/>
        </w:rPr>
        <w:t xml:space="preserve">The mean values of lead, </w:t>
      </w:r>
      <w:proofErr w:type="spellStart"/>
      <w:r>
        <w:rPr>
          <w:sz w:val="24"/>
          <w:szCs w:val="24"/>
        </w:rPr>
        <w:t>haemoglobin</w:t>
      </w:r>
      <w:proofErr w:type="spellEnd"/>
      <w:r>
        <w:rPr>
          <w:sz w:val="24"/>
          <w:szCs w:val="24"/>
        </w:rPr>
        <w:t xml:space="preserve">, zinc, iron, selenium, vitamin C, and uric acid in battery chargers with exposure durations of less than 5 years and those with 5 years or more are shown in Table 2. Lead levels </w:t>
      </w:r>
      <w:r w:rsidR="000A65B9">
        <w:rPr>
          <w:sz w:val="24"/>
          <w:szCs w:val="24"/>
        </w:rPr>
        <w:t>were significantly higher in the group exposed for 5 years or more than in</w:t>
      </w:r>
      <w:r>
        <w:rPr>
          <w:sz w:val="24"/>
          <w:szCs w:val="24"/>
        </w:rPr>
        <w:t xml:space="preserve"> the group with less than 5 years of exposure (p &lt; 0.05). All trace metals measured over 5 years of exposure were significantly lower compared to those with less than 5 years of exposure (p &lt; 0.0001). Similarly, vitamin C levels in the group exposed for 5 years or more </w:t>
      </w:r>
      <w:r w:rsidR="000A65B9">
        <w:rPr>
          <w:sz w:val="24"/>
          <w:szCs w:val="24"/>
        </w:rPr>
        <w:t>decreased significantly</w:t>
      </w:r>
      <w:r>
        <w:rPr>
          <w:sz w:val="24"/>
          <w:szCs w:val="24"/>
        </w:rPr>
        <w:t xml:space="preserve"> compared to the less-than-5-year group (p &lt; 0.0001). Uric acid levels in the </w:t>
      </w:r>
      <w:r w:rsidR="000A65B9">
        <w:rPr>
          <w:sz w:val="24"/>
          <w:szCs w:val="24"/>
        </w:rPr>
        <w:t>5-year-and-above</w:t>
      </w:r>
      <w:r>
        <w:rPr>
          <w:sz w:val="24"/>
          <w:szCs w:val="24"/>
        </w:rPr>
        <w:t xml:space="preserve"> group were significantly lower than in the less-than-5-year group (p &lt; 0.05). There was </w:t>
      </w:r>
      <w:r>
        <w:rPr>
          <w:sz w:val="24"/>
          <w:szCs w:val="24"/>
        </w:rPr>
        <w:lastRenderedPageBreak/>
        <w:t xml:space="preserve">no significant difference in </w:t>
      </w:r>
      <w:proofErr w:type="spellStart"/>
      <w:r>
        <w:rPr>
          <w:sz w:val="24"/>
          <w:szCs w:val="24"/>
        </w:rPr>
        <w:t>haemoglobin</w:t>
      </w:r>
      <w:proofErr w:type="spellEnd"/>
      <w:r>
        <w:rPr>
          <w:sz w:val="24"/>
          <w:szCs w:val="24"/>
        </w:rPr>
        <w:t xml:space="preserve"> levels between battery chargers exposed for less than 5 years and those </w:t>
      </w:r>
      <w:r w:rsidR="000A65B9">
        <w:rPr>
          <w:sz w:val="24"/>
          <w:szCs w:val="24"/>
        </w:rPr>
        <w:t xml:space="preserve">exposed for 5 or more years </w:t>
      </w:r>
      <w:r>
        <w:rPr>
          <w:sz w:val="24"/>
          <w:szCs w:val="24"/>
        </w:rPr>
        <w:t>(p &gt; 0.05).</w:t>
      </w:r>
    </w:p>
    <w:p w14:paraId="0708FA42" w14:textId="77777777" w:rsidR="00F135CD" w:rsidRPr="00F135CD" w:rsidRDefault="00F135CD" w:rsidP="00F135CD">
      <w:pPr>
        <w:pStyle w:val="NoSpacing"/>
        <w:spacing w:line="480" w:lineRule="auto"/>
        <w:jc w:val="both"/>
        <w:rPr>
          <w:sz w:val="24"/>
          <w:szCs w:val="24"/>
        </w:rPr>
      </w:pPr>
    </w:p>
    <w:p w14:paraId="7E7578BC" w14:textId="77777777" w:rsidR="00F135CD" w:rsidRPr="00F135CD" w:rsidRDefault="00F135CD" w:rsidP="00F135CD">
      <w:pPr>
        <w:pStyle w:val="NoSpacing"/>
        <w:spacing w:line="480" w:lineRule="auto"/>
        <w:jc w:val="both"/>
        <w:rPr>
          <w:sz w:val="24"/>
          <w:szCs w:val="24"/>
        </w:rPr>
      </w:pPr>
    </w:p>
    <w:p w14:paraId="7BA5BE6D" w14:textId="77777777" w:rsidR="00F135CD" w:rsidRPr="00F135CD" w:rsidRDefault="00F135CD" w:rsidP="00F135CD">
      <w:pPr>
        <w:pStyle w:val="NoSpacing"/>
        <w:spacing w:line="480" w:lineRule="auto"/>
        <w:jc w:val="both"/>
        <w:rPr>
          <w:sz w:val="24"/>
          <w:szCs w:val="24"/>
        </w:rPr>
      </w:pPr>
    </w:p>
    <w:p w14:paraId="20875ECD" w14:textId="77777777" w:rsidR="00607516" w:rsidRDefault="00607516" w:rsidP="00F135CD">
      <w:pPr>
        <w:pStyle w:val="NoSpacing"/>
        <w:pBdr>
          <w:bottom w:val="single" w:sz="6" w:space="1" w:color="auto"/>
        </w:pBdr>
        <w:spacing w:line="480" w:lineRule="auto"/>
        <w:jc w:val="both"/>
        <w:rPr>
          <w:b/>
          <w:bCs/>
          <w:sz w:val="24"/>
          <w:szCs w:val="24"/>
        </w:rPr>
      </w:pPr>
    </w:p>
    <w:p w14:paraId="044C940D"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b/>
          <w:bCs/>
          <w:sz w:val="24"/>
          <w:szCs w:val="24"/>
        </w:rPr>
        <w:t>Table 1: Concentrations of Pb, Hb, Zn, Fe, Se, vitamin C and uric acid in auto painters with different durations of lead exposure.</w:t>
      </w:r>
    </w:p>
    <w:p w14:paraId="08D86555" w14:textId="77777777" w:rsidR="00F135CD" w:rsidRPr="00F135CD" w:rsidRDefault="00F135CD" w:rsidP="00F135CD">
      <w:pPr>
        <w:pStyle w:val="NoSpacing"/>
        <w:tabs>
          <w:tab w:val="left" w:pos="720"/>
          <w:tab w:val="left" w:pos="1440"/>
          <w:tab w:val="left" w:pos="2160"/>
          <w:tab w:val="left" w:pos="3532"/>
          <w:tab w:val="center" w:pos="4635"/>
        </w:tabs>
        <w:spacing w:line="480" w:lineRule="auto"/>
        <w:jc w:val="both"/>
        <w:rPr>
          <w:sz w:val="24"/>
          <w:szCs w:val="24"/>
        </w:rPr>
      </w:pPr>
      <w:r w:rsidRPr="00F135CD">
        <w:rPr>
          <w:sz w:val="24"/>
          <w:szCs w:val="24"/>
        </w:rPr>
        <w:t>Variables</w:t>
      </w:r>
      <w:r w:rsidRPr="00F135CD">
        <w:rPr>
          <w:sz w:val="24"/>
          <w:szCs w:val="24"/>
        </w:rPr>
        <w:tab/>
      </w:r>
      <w:r w:rsidRPr="00F135CD">
        <w:rPr>
          <w:sz w:val="24"/>
          <w:szCs w:val="24"/>
        </w:rPr>
        <w:tab/>
        <w:t>Auto painters</w:t>
      </w:r>
      <w:r w:rsidRPr="00F135CD">
        <w:rPr>
          <w:sz w:val="24"/>
          <w:szCs w:val="24"/>
        </w:rPr>
        <w:tab/>
      </w:r>
      <w:r w:rsidRPr="00F135CD">
        <w:rPr>
          <w:sz w:val="24"/>
          <w:szCs w:val="24"/>
        </w:rPr>
        <w:tab/>
      </w:r>
      <w:r w:rsidR="007B21EC">
        <w:rPr>
          <w:sz w:val="24"/>
          <w:szCs w:val="24"/>
        </w:rPr>
        <w:t xml:space="preserve">          </w:t>
      </w:r>
      <w:r w:rsidRPr="00F135CD">
        <w:rPr>
          <w:sz w:val="24"/>
          <w:szCs w:val="24"/>
        </w:rPr>
        <w:t>Auto painters</w:t>
      </w:r>
    </w:p>
    <w:p w14:paraId="70B4209A" w14:textId="77777777" w:rsidR="00F135CD" w:rsidRPr="00F135CD" w:rsidRDefault="00F135CD" w:rsidP="00F135CD">
      <w:pPr>
        <w:pStyle w:val="NoSpacing"/>
        <w:spacing w:line="480" w:lineRule="auto"/>
        <w:jc w:val="both"/>
        <w:rPr>
          <w:sz w:val="24"/>
          <w:szCs w:val="24"/>
        </w:rPr>
      </w:pPr>
      <w:r w:rsidRPr="00F135CD">
        <w:rPr>
          <w:sz w:val="24"/>
          <w:szCs w:val="24"/>
        </w:rPr>
        <w:tab/>
      </w:r>
      <w:r w:rsidRPr="00F135CD">
        <w:rPr>
          <w:sz w:val="24"/>
          <w:szCs w:val="24"/>
        </w:rPr>
        <w:tab/>
      </w:r>
      <w:r w:rsidRPr="00F135CD">
        <w:rPr>
          <w:sz w:val="24"/>
          <w:szCs w:val="24"/>
        </w:rPr>
        <w:tab/>
        <w:t xml:space="preserve">&lt;5 years exposure    </w:t>
      </w:r>
      <w:r w:rsidRPr="00F135CD">
        <w:rPr>
          <w:sz w:val="24"/>
          <w:szCs w:val="24"/>
        </w:rPr>
        <w:tab/>
        <w:t>&gt; 5 years exposure</w:t>
      </w:r>
    </w:p>
    <w:p w14:paraId="4953B306"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sz w:val="24"/>
          <w:szCs w:val="24"/>
        </w:rPr>
        <w:tab/>
      </w:r>
      <w:r w:rsidRPr="00F135CD">
        <w:rPr>
          <w:sz w:val="24"/>
          <w:szCs w:val="24"/>
        </w:rPr>
        <w:tab/>
      </w:r>
      <w:r w:rsidRPr="00F135CD">
        <w:rPr>
          <w:sz w:val="24"/>
          <w:szCs w:val="24"/>
        </w:rPr>
        <w:tab/>
        <w:t>n=30</w:t>
      </w:r>
      <w:r w:rsidRPr="00F135CD">
        <w:rPr>
          <w:sz w:val="24"/>
          <w:szCs w:val="24"/>
        </w:rPr>
        <w:tab/>
      </w:r>
      <w:r w:rsidRPr="00F135CD">
        <w:rPr>
          <w:sz w:val="24"/>
          <w:szCs w:val="24"/>
        </w:rPr>
        <w:tab/>
      </w:r>
      <w:r w:rsidRPr="00F135CD">
        <w:rPr>
          <w:sz w:val="24"/>
          <w:szCs w:val="24"/>
        </w:rPr>
        <w:tab/>
        <w:t>n=20</w:t>
      </w:r>
      <w:r w:rsidRPr="00F135CD">
        <w:rPr>
          <w:sz w:val="24"/>
          <w:szCs w:val="24"/>
        </w:rPr>
        <w:tab/>
      </w:r>
      <w:r w:rsidRPr="00F135CD">
        <w:rPr>
          <w:sz w:val="24"/>
          <w:szCs w:val="24"/>
        </w:rPr>
        <w:tab/>
      </w:r>
      <w:r w:rsidRPr="00F135CD">
        <w:rPr>
          <w:sz w:val="24"/>
          <w:szCs w:val="24"/>
        </w:rPr>
        <w:tab/>
        <w:t xml:space="preserve">t-value            </w:t>
      </w:r>
      <w:r w:rsidRPr="00F135CD">
        <w:rPr>
          <w:sz w:val="24"/>
          <w:szCs w:val="24"/>
        </w:rPr>
        <w:tab/>
        <w:t>p-value</w:t>
      </w:r>
    </w:p>
    <w:p w14:paraId="2B07C96B" w14:textId="77777777" w:rsidR="00F135CD" w:rsidRPr="00F135CD" w:rsidRDefault="00F135CD" w:rsidP="00F135CD">
      <w:pPr>
        <w:pStyle w:val="NoSpacing"/>
        <w:spacing w:line="480" w:lineRule="auto"/>
        <w:jc w:val="both"/>
        <w:rPr>
          <w:sz w:val="24"/>
          <w:szCs w:val="24"/>
        </w:rPr>
      </w:pPr>
      <w:r w:rsidRPr="00F135CD">
        <w:rPr>
          <w:sz w:val="24"/>
          <w:szCs w:val="24"/>
        </w:rPr>
        <w:t>Pb (µg/dL)</w:t>
      </w:r>
      <w:r w:rsidRPr="00F135CD">
        <w:rPr>
          <w:sz w:val="24"/>
          <w:szCs w:val="24"/>
        </w:rPr>
        <w:tab/>
      </w:r>
      <w:r w:rsidRPr="00F135CD">
        <w:rPr>
          <w:sz w:val="24"/>
          <w:szCs w:val="24"/>
        </w:rPr>
        <w:tab/>
        <w:t>24.02 ± 12.86</w:t>
      </w:r>
      <w:r w:rsidRPr="00F135CD">
        <w:rPr>
          <w:sz w:val="24"/>
          <w:szCs w:val="24"/>
        </w:rPr>
        <w:tab/>
      </w:r>
      <w:r w:rsidRPr="00F135CD">
        <w:rPr>
          <w:sz w:val="24"/>
          <w:szCs w:val="24"/>
        </w:rPr>
        <w:tab/>
        <w:t xml:space="preserve">36.28 ± 18.38 </w:t>
      </w:r>
      <w:r w:rsidRPr="00F135CD">
        <w:rPr>
          <w:sz w:val="24"/>
          <w:szCs w:val="24"/>
        </w:rPr>
        <w:tab/>
      </w:r>
      <w:r w:rsidRPr="00F135CD">
        <w:rPr>
          <w:sz w:val="24"/>
          <w:szCs w:val="24"/>
        </w:rPr>
        <w:tab/>
        <w:t xml:space="preserve">2.778           </w:t>
      </w:r>
      <w:r w:rsidRPr="00F135CD">
        <w:rPr>
          <w:sz w:val="24"/>
          <w:szCs w:val="24"/>
        </w:rPr>
        <w:tab/>
        <w:t>0.008*</w:t>
      </w:r>
    </w:p>
    <w:p w14:paraId="64C6D859" w14:textId="77777777" w:rsidR="00F135CD" w:rsidRPr="00F135CD" w:rsidRDefault="00F135CD" w:rsidP="00F135CD">
      <w:pPr>
        <w:pStyle w:val="NoSpacing"/>
        <w:spacing w:line="480" w:lineRule="auto"/>
        <w:jc w:val="both"/>
        <w:rPr>
          <w:sz w:val="24"/>
          <w:szCs w:val="24"/>
        </w:rPr>
      </w:pPr>
      <w:r w:rsidRPr="00F135CD">
        <w:rPr>
          <w:sz w:val="24"/>
          <w:szCs w:val="24"/>
        </w:rPr>
        <w:t>Hb (g/dL)</w:t>
      </w:r>
      <w:r w:rsidRPr="00F135CD">
        <w:rPr>
          <w:sz w:val="24"/>
          <w:szCs w:val="24"/>
        </w:rPr>
        <w:tab/>
      </w:r>
      <w:r w:rsidRPr="00F135CD">
        <w:rPr>
          <w:sz w:val="24"/>
          <w:szCs w:val="24"/>
        </w:rPr>
        <w:tab/>
        <w:t>12.18 ± 1.29</w:t>
      </w:r>
      <w:r w:rsidRPr="00F135CD">
        <w:rPr>
          <w:sz w:val="24"/>
          <w:szCs w:val="24"/>
        </w:rPr>
        <w:tab/>
      </w:r>
      <w:r w:rsidRPr="00F135CD">
        <w:rPr>
          <w:sz w:val="24"/>
          <w:szCs w:val="24"/>
        </w:rPr>
        <w:tab/>
        <w:t xml:space="preserve">11.58 ± 0.96              </w:t>
      </w:r>
      <w:r w:rsidRPr="00F135CD">
        <w:rPr>
          <w:sz w:val="24"/>
          <w:szCs w:val="24"/>
        </w:rPr>
        <w:tab/>
        <w:t>1.782</w:t>
      </w:r>
      <w:r w:rsidRPr="00F135CD">
        <w:rPr>
          <w:sz w:val="24"/>
          <w:szCs w:val="24"/>
        </w:rPr>
        <w:tab/>
      </w:r>
      <w:r w:rsidRPr="00F135CD">
        <w:rPr>
          <w:sz w:val="24"/>
          <w:szCs w:val="24"/>
        </w:rPr>
        <w:tab/>
        <w:t>0.081*</w:t>
      </w:r>
    </w:p>
    <w:p w14:paraId="3B66BD4D" w14:textId="77777777" w:rsidR="00F135CD" w:rsidRPr="00F135CD" w:rsidRDefault="00F135CD" w:rsidP="00F135CD">
      <w:pPr>
        <w:pStyle w:val="NoSpacing"/>
        <w:spacing w:line="480" w:lineRule="auto"/>
        <w:jc w:val="both"/>
        <w:rPr>
          <w:sz w:val="24"/>
          <w:szCs w:val="24"/>
        </w:rPr>
      </w:pPr>
      <w:r w:rsidRPr="00F135CD">
        <w:rPr>
          <w:sz w:val="24"/>
          <w:szCs w:val="24"/>
        </w:rPr>
        <w:t>Zn (µg/dL)</w:t>
      </w:r>
      <w:r w:rsidRPr="00F135CD">
        <w:rPr>
          <w:sz w:val="24"/>
          <w:szCs w:val="24"/>
        </w:rPr>
        <w:tab/>
      </w:r>
      <w:r w:rsidRPr="00F135CD">
        <w:rPr>
          <w:sz w:val="24"/>
          <w:szCs w:val="24"/>
        </w:rPr>
        <w:tab/>
        <w:t>86.93 ± 10.89</w:t>
      </w:r>
      <w:r w:rsidRPr="00F135CD">
        <w:rPr>
          <w:sz w:val="24"/>
          <w:szCs w:val="24"/>
        </w:rPr>
        <w:tab/>
      </w:r>
      <w:r w:rsidRPr="00F135CD">
        <w:rPr>
          <w:sz w:val="24"/>
          <w:szCs w:val="24"/>
        </w:rPr>
        <w:tab/>
        <w:t>78.35 ± 9.98</w:t>
      </w:r>
      <w:r w:rsidRPr="00F135CD">
        <w:rPr>
          <w:sz w:val="24"/>
          <w:szCs w:val="24"/>
        </w:rPr>
        <w:tab/>
      </w:r>
      <w:r w:rsidRPr="00F135CD">
        <w:rPr>
          <w:sz w:val="24"/>
          <w:szCs w:val="24"/>
        </w:rPr>
        <w:tab/>
        <w:t>2.820</w:t>
      </w:r>
      <w:r w:rsidRPr="00F135CD">
        <w:rPr>
          <w:sz w:val="24"/>
          <w:szCs w:val="24"/>
        </w:rPr>
        <w:tab/>
      </w:r>
      <w:r w:rsidRPr="00F135CD">
        <w:rPr>
          <w:sz w:val="24"/>
          <w:szCs w:val="24"/>
        </w:rPr>
        <w:tab/>
        <w:t>0.007*</w:t>
      </w:r>
    </w:p>
    <w:p w14:paraId="6F790D2F" w14:textId="77777777" w:rsidR="00F135CD" w:rsidRPr="00F135CD" w:rsidRDefault="00F135CD" w:rsidP="00F135CD">
      <w:pPr>
        <w:pStyle w:val="NoSpacing"/>
        <w:spacing w:line="480" w:lineRule="auto"/>
        <w:jc w:val="both"/>
        <w:rPr>
          <w:sz w:val="24"/>
          <w:szCs w:val="24"/>
        </w:rPr>
      </w:pPr>
      <w:r w:rsidRPr="00F135CD">
        <w:rPr>
          <w:sz w:val="24"/>
          <w:szCs w:val="24"/>
        </w:rPr>
        <w:t>Fe (µg/dL)</w:t>
      </w:r>
      <w:r w:rsidRPr="00F135CD">
        <w:rPr>
          <w:sz w:val="24"/>
          <w:szCs w:val="24"/>
        </w:rPr>
        <w:tab/>
      </w:r>
      <w:r w:rsidRPr="00F135CD">
        <w:rPr>
          <w:sz w:val="24"/>
          <w:szCs w:val="24"/>
        </w:rPr>
        <w:tab/>
        <w:t>88.93 ± 8.78</w:t>
      </w:r>
      <w:r w:rsidRPr="00F135CD">
        <w:rPr>
          <w:sz w:val="24"/>
          <w:szCs w:val="24"/>
        </w:rPr>
        <w:tab/>
      </w:r>
      <w:r w:rsidRPr="00F135CD">
        <w:rPr>
          <w:sz w:val="24"/>
          <w:szCs w:val="24"/>
        </w:rPr>
        <w:tab/>
        <w:t>77.25 ± 13.97</w:t>
      </w:r>
      <w:r w:rsidRPr="00F135CD">
        <w:rPr>
          <w:sz w:val="24"/>
          <w:szCs w:val="24"/>
        </w:rPr>
        <w:tab/>
      </w:r>
      <w:r w:rsidRPr="00F135CD">
        <w:rPr>
          <w:sz w:val="24"/>
          <w:szCs w:val="24"/>
        </w:rPr>
        <w:tab/>
        <w:t xml:space="preserve">3.635      </w:t>
      </w:r>
      <w:r w:rsidRPr="00F135CD">
        <w:rPr>
          <w:sz w:val="24"/>
          <w:szCs w:val="24"/>
        </w:rPr>
        <w:tab/>
        <w:t>0.001*</w:t>
      </w:r>
    </w:p>
    <w:p w14:paraId="11FBB897"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 xml:space="preserve">Se (µg/L)          </w:t>
      </w:r>
      <w:r w:rsidRPr="00F135CD">
        <w:rPr>
          <w:sz w:val="24"/>
          <w:szCs w:val="24"/>
          <w:lang w:val="pt-PT"/>
        </w:rPr>
        <w:tab/>
        <w:t>41.17 ± 5.13</w:t>
      </w:r>
      <w:r w:rsidRPr="00F135CD">
        <w:rPr>
          <w:sz w:val="24"/>
          <w:szCs w:val="24"/>
          <w:lang w:val="pt-PT"/>
        </w:rPr>
        <w:tab/>
      </w:r>
      <w:r w:rsidRPr="00F135CD">
        <w:rPr>
          <w:sz w:val="24"/>
          <w:szCs w:val="24"/>
          <w:lang w:val="pt-PT"/>
        </w:rPr>
        <w:tab/>
        <w:t xml:space="preserve">34.25 ± 6.90              </w:t>
      </w:r>
      <w:r w:rsidRPr="00F135CD">
        <w:rPr>
          <w:sz w:val="24"/>
          <w:szCs w:val="24"/>
          <w:lang w:val="pt-PT"/>
        </w:rPr>
        <w:tab/>
        <w:t xml:space="preserve">2.126          </w:t>
      </w:r>
      <w:r w:rsidRPr="00F135CD">
        <w:rPr>
          <w:sz w:val="24"/>
          <w:szCs w:val="24"/>
          <w:lang w:val="pt-PT"/>
        </w:rPr>
        <w:tab/>
        <w:t>0.047*</w:t>
      </w:r>
    </w:p>
    <w:p w14:paraId="00E53DB8"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Vitamin C (mg/dL)</w:t>
      </w:r>
      <w:r w:rsidRPr="00F135CD">
        <w:rPr>
          <w:sz w:val="24"/>
          <w:szCs w:val="24"/>
          <w:lang w:val="pt-PT"/>
        </w:rPr>
        <w:tab/>
        <w:t>1.77 ± 0.32</w:t>
      </w:r>
      <w:r w:rsidRPr="00F135CD">
        <w:rPr>
          <w:sz w:val="24"/>
          <w:szCs w:val="24"/>
          <w:lang w:val="pt-PT"/>
        </w:rPr>
        <w:tab/>
      </w:r>
      <w:r w:rsidRPr="00F135CD">
        <w:rPr>
          <w:sz w:val="24"/>
          <w:szCs w:val="24"/>
          <w:lang w:val="pt-PT"/>
        </w:rPr>
        <w:tab/>
        <w:t>1.30  ± 0.38</w:t>
      </w:r>
      <w:r w:rsidRPr="00F135CD">
        <w:rPr>
          <w:sz w:val="24"/>
          <w:szCs w:val="24"/>
          <w:lang w:val="pt-PT"/>
        </w:rPr>
        <w:tab/>
      </w:r>
      <w:r w:rsidRPr="00F135CD">
        <w:rPr>
          <w:sz w:val="24"/>
          <w:szCs w:val="24"/>
          <w:lang w:val="pt-PT"/>
        </w:rPr>
        <w:tab/>
        <w:t>4.749</w:t>
      </w:r>
      <w:r w:rsidRPr="00F135CD">
        <w:rPr>
          <w:sz w:val="24"/>
          <w:szCs w:val="24"/>
          <w:lang w:val="pt-PT"/>
        </w:rPr>
        <w:tab/>
      </w:r>
      <w:r w:rsidRPr="00F135CD">
        <w:rPr>
          <w:sz w:val="24"/>
          <w:szCs w:val="24"/>
          <w:lang w:val="pt-PT"/>
        </w:rPr>
        <w:tab/>
        <w:t>0.0011*</w:t>
      </w:r>
    </w:p>
    <w:p w14:paraId="757D6C8B"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sz w:val="24"/>
          <w:szCs w:val="24"/>
        </w:rPr>
        <w:t>Uric acid (mg/dL</w:t>
      </w:r>
      <w:proofErr w:type="gramStart"/>
      <w:r w:rsidRPr="00F135CD">
        <w:rPr>
          <w:sz w:val="24"/>
          <w:szCs w:val="24"/>
        </w:rPr>
        <w:t xml:space="preserve">)  </w:t>
      </w:r>
      <w:r w:rsidRPr="00F135CD">
        <w:rPr>
          <w:sz w:val="24"/>
          <w:szCs w:val="24"/>
        </w:rPr>
        <w:tab/>
      </w:r>
      <w:proofErr w:type="gramEnd"/>
      <w:r w:rsidRPr="00F135CD">
        <w:rPr>
          <w:sz w:val="24"/>
          <w:szCs w:val="24"/>
        </w:rPr>
        <w:t>4.49 ± 0.86</w:t>
      </w:r>
      <w:r w:rsidRPr="00F135CD">
        <w:rPr>
          <w:sz w:val="24"/>
          <w:szCs w:val="24"/>
        </w:rPr>
        <w:tab/>
      </w:r>
      <w:r w:rsidRPr="00F135CD">
        <w:rPr>
          <w:sz w:val="24"/>
          <w:szCs w:val="24"/>
        </w:rPr>
        <w:tab/>
        <w:t>3.83 ± 0.77</w:t>
      </w:r>
      <w:r w:rsidRPr="00F135CD">
        <w:rPr>
          <w:sz w:val="24"/>
          <w:szCs w:val="24"/>
        </w:rPr>
        <w:tab/>
      </w:r>
      <w:r w:rsidRPr="00F135CD">
        <w:rPr>
          <w:sz w:val="24"/>
          <w:szCs w:val="24"/>
        </w:rPr>
        <w:tab/>
        <w:t>2.791</w:t>
      </w:r>
      <w:r w:rsidRPr="00F135CD">
        <w:rPr>
          <w:sz w:val="24"/>
          <w:szCs w:val="24"/>
        </w:rPr>
        <w:tab/>
      </w:r>
      <w:r w:rsidRPr="00F135CD">
        <w:rPr>
          <w:sz w:val="24"/>
          <w:szCs w:val="24"/>
        </w:rPr>
        <w:tab/>
        <w:t>0.018*</w:t>
      </w:r>
    </w:p>
    <w:p w14:paraId="67BA133F" w14:textId="77777777" w:rsidR="00F135CD" w:rsidRPr="00F135CD" w:rsidRDefault="00F135CD" w:rsidP="00F135CD">
      <w:pPr>
        <w:pStyle w:val="NoSpacing"/>
        <w:spacing w:line="480" w:lineRule="auto"/>
        <w:jc w:val="both"/>
        <w:rPr>
          <w:sz w:val="24"/>
          <w:szCs w:val="24"/>
        </w:rPr>
      </w:pPr>
      <w:r w:rsidRPr="00F135CD">
        <w:rPr>
          <w:sz w:val="24"/>
          <w:szCs w:val="24"/>
        </w:rPr>
        <w:t> </w:t>
      </w:r>
      <w:r w:rsidRPr="00F135CD">
        <w:rPr>
          <w:sz w:val="24"/>
          <w:szCs w:val="24"/>
        </w:rPr>
        <w:br/>
        <w:t>Results are expressed as mean ± SD</w:t>
      </w:r>
    </w:p>
    <w:p w14:paraId="68813BEA" w14:textId="77777777" w:rsidR="00F135CD" w:rsidRPr="00F135CD" w:rsidRDefault="00F135CD" w:rsidP="00F135CD">
      <w:pPr>
        <w:pStyle w:val="NoSpacing"/>
        <w:spacing w:line="480" w:lineRule="auto"/>
        <w:jc w:val="both"/>
        <w:rPr>
          <w:sz w:val="24"/>
          <w:szCs w:val="24"/>
        </w:rPr>
      </w:pPr>
      <w:r w:rsidRPr="00F135CD">
        <w:rPr>
          <w:sz w:val="24"/>
          <w:szCs w:val="24"/>
        </w:rPr>
        <w:t xml:space="preserve">* =significantly different </w:t>
      </w:r>
    </w:p>
    <w:p w14:paraId="40E46CA7" w14:textId="77777777" w:rsidR="00F135CD" w:rsidRPr="00F135CD" w:rsidRDefault="00F135CD" w:rsidP="00F135CD">
      <w:pPr>
        <w:pStyle w:val="NoSpacing"/>
        <w:spacing w:line="480" w:lineRule="auto"/>
        <w:jc w:val="both"/>
        <w:rPr>
          <w:sz w:val="24"/>
          <w:szCs w:val="24"/>
        </w:rPr>
      </w:pPr>
      <w:r w:rsidRPr="00F135CD">
        <w:rPr>
          <w:sz w:val="24"/>
          <w:szCs w:val="24"/>
        </w:rPr>
        <w:t>n = number of subjects</w:t>
      </w:r>
    </w:p>
    <w:p w14:paraId="16292B0C" w14:textId="77777777" w:rsidR="00F135CD" w:rsidRPr="00F135CD" w:rsidRDefault="00F135CD" w:rsidP="00F135CD">
      <w:pPr>
        <w:pStyle w:val="NoSpacing"/>
        <w:spacing w:line="480" w:lineRule="auto"/>
        <w:jc w:val="both"/>
        <w:rPr>
          <w:sz w:val="24"/>
          <w:szCs w:val="24"/>
        </w:rPr>
      </w:pPr>
    </w:p>
    <w:p w14:paraId="44651FCF" w14:textId="77777777" w:rsidR="00F135CD" w:rsidRPr="00F135CD" w:rsidRDefault="00F135CD" w:rsidP="00F135CD">
      <w:pPr>
        <w:pStyle w:val="NoSpacing"/>
        <w:spacing w:line="360" w:lineRule="auto"/>
        <w:jc w:val="both"/>
        <w:rPr>
          <w:sz w:val="24"/>
          <w:szCs w:val="24"/>
        </w:rPr>
      </w:pPr>
      <w:proofErr w:type="gramStart"/>
      <w:r w:rsidRPr="00F135CD">
        <w:rPr>
          <w:sz w:val="24"/>
          <w:szCs w:val="24"/>
        </w:rPr>
        <w:lastRenderedPageBreak/>
        <w:t>Pb  =</w:t>
      </w:r>
      <w:proofErr w:type="gramEnd"/>
      <w:r w:rsidRPr="00F135CD">
        <w:rPr>
          <w:sz w:val="24"/>
          <w:szCs w:val="24"/>
        </w:rPr>
        <w:t xml:space="preserve"> Lead</w:t>
      </w:r>
    </w:p>
    <w:p w14:paraId="768227BB" w14:textId="77777777" w:rsidR="00F135CD" w:rsidRPr="00F135CD" w:rsidRDefault="00F135CD" w:rsidP="00F135CD">
      <w:pPr>
        <w:pStyle w:val="NoSpacing"/>
        <w:spacing w:line="360" w:lineRule="auto"/>
        <w:jc w:val="both"/>
        <w:rPr>
          <w:sz w:val="24"/>
          <w:szCs w:val="24"/>
        </w:rPr>
      </w:pPr>
      <w:r w:rsidRPr="00F135CD">
        <w:rPr>
          <w:sz w:val="24"/>
          <w:szCs w:val="24"/>
        </w:rPr>
        <w:t xml:space="preserve">Hb = </w:t>
      </w:r>
      <w:proofErr w:type="spellStart"/>
      <w:r w:rsidRPr="00F135CD">
        <w:rPr>
          <w:sz w:val="24"/>
          <w:szCs w:val="24"/>
        </w:rPr>
        <w:t>Haemoglobin</w:t>
      </w:r>
      <w:proofErr w:type="spellEnd"/>
    </w:p>
    <w:p w14:paraId="7A3B2179" w14:textId="77777777" w:rsidR="00F135CD" w:rsidRPr="00F135CD" w:rsidRDefault="00F135CD" w:rsidP="00F135CD">
      <w:pPr>
        <w:pStyle w:val="NoSpacing"/>
        <w:spacing w:line="360" w:lineRule="auto"/>
        <w:jc w:val="both"/>
        <w:rPr>
          <w:sz w:val="24"/>
          <w:szCs w:val="24"/>
        </w:rPr>
      </w:pPr>
      <w:r w:rsidRPr="00F135CD">
        <w:rPr>
          <w:sz w:val="24"/>
          <w:szCs w:val="24"/>
        </w:rPr>
        <w:t>Zn = Zinc</w:t>
      </w:r>
    </w:p>
    <w:p w14:paraId="49801891" w14:textId="77777777" w:rsidR="00F135CD" w:rsidRPr="00F135CD" w:rsidRDefault="00F135CD" w:rsidP="00F135CD">
      <w:pPr>
        <w:pStyle w:val="NoSpacing"/>
        <w:spacing w:line="360" w:lineRule="auto"/>
        <w:jc w:val="both"/>
        <w:rPr>
          <w:sz w:val="24"/>
          <w:szCs w:val="24"/>
        </w:rPr>
      </w:pPr>
      <w:r w:rsidRPr="00F135CD">
        <w:rPr>
          <w:sz w:val="24"/>
          <w:szCs w:val="24"/>
        </w:rPr>
        <w:t>Fe = Iron</w:t>
      </w:r>
    </w:p>
    <w:p w14:paraId="523B4505" w14:textId="77777777" w:rsidR="00F135CD" w:rsidRDefault="00F135CD" w:rsidP="00F135CD">
      <w:pPr>
        <w:pStyle w:val="NoSpacing"/>
        <w:spacing w:line="360" w:lineRule="auto"/>
        <w:jc w:val="both"/>
        <w:rPr>
          <w:sz w:val="24"/>
          <w:szCs w:val="24"/>
        </w:rPr>
      </w:pPr>
      <w:r w:rsidRPr="00F135CD">
        <w:rPr>
          <w:sz w:val="24"/>
          <w:szCs w:val="24"/>
        </w:rPr>
        <w:t>Se = Selenium</w:t>
      </w:r>
    </w:p>
    <w:p w14:paraId="46D3C28F" w14:textId="77777777" w:rsidR="00CA16FA" w:rsidRPr="005A611E" w:rsidRDefault="00CA16FA" w:rsidP="00F70D97">
      <w:pPr>
        <w:pStyle w:val="NormalWeb"/>
        <w:jc w:val="both"/>
      </w:pPr>
    </w:p>
    <w:p w14:paraId="44DBB773" w14:textId="77777777" w:rsidR="00F135CD" w:rsidRPr="00F135CD" w:rsidRDefault="00F135CD" w:rsidP="00F135CD">
      <w:pPr>
        <w:pStyle w:val="NoSpacing"/>
        <w:pBdr>
          <w:bottom w:val="single" w:sz="6" w:space="1" w:color="auto"/>
        </w:pBdr>
        <w:spacing w:line="480" w:lineRule="auto"/>
        <w:jc w:val="both"/>
        <w:rPr>
          <w:b/>
          <w:sz w:val="24"/>
          <w:szCs w:val="24"/>
        </w:rPr>
      </w:pPr>
      <w:r w:rsidRPr="00F135CD">
        <w:rPr>
          <w:b/>
          <w:noProof/>
          <w:sz w:val="24"/>
          <w:szCs w:val="24"/>
        </w:rPr>
        <mc:AlternateContent>
          <mc:Choice Requires="wps">
            <w:drawing>
              <wp:anchor distT="0" distB="0" distL="114300" distR="114300" simplePos="0" relativeHeight="251661312" behindDoc="0" locked="0" layoutInCell="1" allowOverlap="1" wp14:anchorId="738B9A29" wp14:editId="4DA5FD79">
                <wp:simplePos x="0" y="0"/>
                <wp:positionH relativeFrom="column">
                  <wp:posOffset>-375920</wp:posOffset>
                </wp:positionH>
                <wp:positionV relativeFrom="paragraph">
                  <wp:posOffset>223520</wp:posOffset>
                </wp:positionV>
                <wp:extent cx="5931535" cy="908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153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F2F8A8" id="Rectangle 1" o:spid="_x0000_s1026" style="position:absolute;margin-left:-29.6pt;margin-top:17.6pt;width:467.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" stroked="f"/>
            </w:pict>
          </mc:Fallback>
        </mc:AlternateContent>
      </w:r>
      <w:r w:rsidRPr="00F135CD">
        <w:rPr>
          <w:b/>
          <w:sz w:val="24"/>
          <w:szCs w:val="24"/>
        </w:rPr>
        <w:t>Table 2: Concentrations of Pb, Hb, Zn, Fe, Se, vitamin C and uric acid in battery chargers with different durations of lead exposure.</w:t>
      </w:r>
    </w:p>
    <w:p w14:paraId="3C1985E7" w14:textId="77777777" w:rsidR="00F135CD" w:rsidRPr="00F135CD" w:rsidRDefault="00F135CD" w:rsidP="00F135CD">
      <w:pPr>
        <w:pStyle w:val="NoSpacing"/>
        <w:spacing w:line="480" w:lineRule="auto"/>
        <w:jc w:val="both"/>
        <w:rPr>
          <w:sz w:val="24"/>
          <w:szCs w:val="24"/>
        </w:rPr>
      </w:pPr>
      <w:r w:rsidRPr="00F135CD">
        <w:rPr>
          <w:sz w:val="24"/>
          <w:szCs w:val="24"/>
        </w:rPr>
        <w:t>Variables</w:t>
      </w:r>
      <w:r w:rsidRPr="00F135CD">
        <w:rPr>
          <w:sz w:val="24"/>
          <w:szCs w:val="24"/>
        </w:rPr>
        <w:tab/>
      </w:r>
      <w:r w:rsidRPr="00F135CD">
        <w:rPr>
          <w:sz w:val="24"/>
          <w:szCs w:val="24"/>
        </w:rPr>
        <w:tab/>
        <w:t>Battery chargers        Battery chargers</w:t>
      </w:r>
    </w:p>
    <w:p w14:paraId="3A32C191" w14:textId="77777777" w:rsidR="00F135CD" w:rsidRPr="00F135CD" w:rsidRDefault="00F135CD" w:rsidP="00F135CD">
      <w:pPr>
        <w:pStyle w:val="NoSpacing"/>
        <w:spacing w:line="480" w:lineRule="auto"/>
        <w:ind w:left="-360"/>
        <w:jc w:val="both"/>
        <w:rPr>
          <w:sz w:val="24"/>
          <w:szCs w:val="24"/>
        </w:rPr>
      </w:pPr>
      <w:r w:rsidRPr="00F135CD">
        <w:rPr>
          <w:sz w:val="24"/>
          <w:szCs w:val="24"/>
        </w:rPr>
        <w:tab/>
      </w:r>
      <w:r w:rsidRPr="00F135CD">
        <w:rPr>
          <w:sz w:val="24"/>
          <w:szCs w:val="24"/>
        </w:rPr>
        <w:tab/>
      </w:r>
      <w:r w:rsidRPr="00F135CD">
        <w:rPr>
          <w:sz w:val="24"/>
          <w:szCs w:val="24"/>
        </w:rPr>
        <w:tab/>
      </w:r>
      <w:r w:rsidRPr="00F135CD">
        <w:rPr>
          <w:sz w:val="24"/>
          <w:szCs w:val="24"/>
        </w:rPr>
        <w:tab/>
        <w:t>&lt;5 years exposure &gt;5 years exposure</w:t>
      </w:r>
    </w:p>
    <w:p w14:paraId="48389890" w14:textId="77777777" w:rsidR="00F135CD" w:rsidRPr="00F135CD" w:rsidRDefault="00F135CD" w:rsidP="00F135CD">
      <w:pPr>
        <w:pStyle w:val="NoSpacing"/>
        <w:pBdr>
          <w:bottom w:val="single" w:sz="6" w:space="1" w:color="auto"/>
        </w:pBdr>
        <w:spacing w:line="480" w:lineRule="auto"/>
        <w:ind w:left="-360"/>
        <w:jc w:val="both"/>
        <w:rPr>
          <w:sz w:val="24"/>
          <w:szCs w:val="24"/>
        </w:rPr>
      </w:pPr>
      <w:r w:rsidRPr="00F135CD">
        <w:rPr>
          <w:sz w:val="24"/>
          <w:szCs w:val="24"/>
        </w:rPr>
        <w:tab/>
      </w:r>
      <w:r w:rsidRPr="00F135CD">
        <w:rPr>
          <w:sz w:val="24"/>
          <w:szCs w:val="24"/>
        </w:rPr>
        <w:tab/>
      </w:r>
      <w:r w:rsidRPr="00F135CD">
        <w:rPr>
          <w:sz w:val="24"/>
          <w:szCs w:val="24"/>
        </w:rPr>
        <w:tab/>
      </w:r>
      <w:r w:rsidRPr="00F135CD">
        <w:rPr>
          <w:sz w:val="24"/>
          <w:szCs w:val="24"/>
        </w:rPr>
        <w:tab/>
        <w:t>n=30</w:t>
      </w:r>
      <w:r w:rsidRPr="00F135CD">
        <w:rPr>
          <w:sz w:val="24"/>
          <w:szCs w:val="24"/>
        </w:rPr>
        <w:tab/>
      </w:r>
      <w:r w:rsidRPr="00F135CD">
        <w:rPr>
          <w:sz w:val="24"/>
          <w:szCs w:val="24"/>
        </w:rPr>
        <w:tab/>
      </w:r>
      <w:r w:rsidRPr="00F135CD">
        <w:rPr>
          <w:sz w:val="24"/>
          <w:szCs w:val="24"/>
        </w:rPr>
        <w:tab/>
        <w:t>n=20</w:t>
      </w:r>
      <w:r w:rsidRPr="00F135CD">
        <w:rPr>
          <w:sz w:val="24"/>
          <w:szCs w:val="24"/>
        </w:rPr>
        <w:tab/>
      </w:r>
      <w:r w:rsidRPr="00F135CD">
        <w:rPr>
          <w:sz w:val="24"/>
          <w:szCs w:val="24"/>
        </w:rPr>
        <w:tab/>
      </w:r>
      <w:r w:rsidRPr="00F135CD">
        <w:rPr>
          <w:sz w:val="24"/>
          <w:szCs w:val="24"/>
        </w:rPr>
        <w:tab/>
        <w:t xml:space="preserve">t-value          </w:t>
      </w:r>
      <w:r w:rsidRPr="00F135CD">
        <w:rPr>
          <w:sz w:val="24"/>
          <w:szCs w:val="24"/>
        </w:rPr>
        <w:tab/>
        <w:t>p-value</w:t>
      </w:r>
    </w:p>
    <w:p w14:paraId="3E41B1B1" w14:textId="77777777" w:rsidR="00F135CD" w:rsidRPr="00F135CD" w:rsidRDefault="00F135CD" w:rsidP="00F135CD">
      <w:pPr>
        <w:pStyle w:val="NoSpacing"/>
        <w:spacing w:line="480" w:lineRule="auto"/>
        <w:jc w:val="both"/>
        <w:rPr>
          <w:sz w:val="24"/>
          <w:szCs w:val="24"/>
        </w:rPr>
      </w:pPr>
      <w:r w:rsidRPr="00F135CD">
        <w:rPr>
          <w:sz w:val="24"/>
          <w:szCs w:val="24"/>
        </w:rPr>
        <w:t>Pb (µg/dL)</w:t>
      </w:r>
      <w:r w:rsidRPr="00F135CD">
        <w:rPr>
          <w:sz w:val="24"/>
          <w:szCs w:val="24"/>
        </w:rPr>
        <w:tab/>
      </w:r>
      <w:r w:rsidRPr="00F135CD">
        <w:rPr>
          <w:sz w:val="24"/>
          <w:szCs w:val="24"/>
        </w:rPr>
        <w:tab/>
        <w:t xml:space="preserve">48.69 ± 12.32        </w:t>
      </w:r>
      <w:r w:rsidRPr="00F135CD">
        <w:rPr>
          <w:sz w:val="24"/>
          <w:szCs w:val="24"/>
        </w:rPr>
        <w:tab/>
        <w:t xml:space="preserve">67.74 ± 19.87 </w:t>
      </w:r>
      <w:r w:rsidRPr="00F135CD">
        <w:rPr>
          <w:sz w:val="24"/>
          <w:szCs w:val="24"/>
        </w:rPr>
        <w:tab/>
      </w:r>
      <w:r w:rsidRPr="00F135CD">
        <w:rPr>
          <w:sz w:val="24"/>
          <w:szCs w:val="24"/>
        </w:rPr>
        <w:tab/>
        <w:t>-3.28</w:t>
      </w:r>
      <w:r w:rsidRPr="00F135CD">
        <w:rPr>
          <w:sz w:val="24"/>
          <w:szCs w:val="24"/>
        </w:rPr>
        <w:tab/>
      </w:r>
      <w:r w:rsidRPr="00F135CD">
        <w:rPr>
          <w:sz w:val="24"/>
          <w:szCs w:val="24"/>
        </w:rPr>
        <w:tab/>
        <w:t>0.0205*</w:t>
      </w:r>
    </w:p>
    <w:p w14:paraId="794AA3EC" w14:textId="77777777" w:rsidR="00F135CD" w:rsidRPr="00F135CD" w:rsidRDefault="00F135CD" w:rsidP="00F135CD">
      <w:pPr>
        <w:pStyle w:val="NoSpacing"/>
        <w:spacing w:line="480" w:lineRule="auto"/>
        <w:jc w:val="both"/>
        <w:rPr>
          <w:sz w:val="24"/>
          <w:szCs w:val="24"/>
        </w:rPr>
      </w:pPr>
      <w:r w:rsidRPr="00F135CD">
        <w:rPr>
          <w:sz w:val="24"/>
          <w:szCs w:val="24"/>
        </w:rPr>
        <w:t>Hb (g/dL)</w:t>
      </w:r>
      <w:r w:rsidRPr="00F135CD">
        <w:rPr>
          <w:sz w:val="24"/>
          <w:szCs w:val="24"/>
        </w:rPr>
        <w:tab/>
      </w:r>
      <w:r w:rsidRPr="00F135CD">
        <w:rPr>
          <w:sz w:val="24"/>
          <w:szCs w:val="24"/>
        </w:rPr>
        <w:tab/>
        <w:t>12.03 ± 3.06</w:t>
      </w:r>
      <w:r w:rsidRPr="00F135CD">
        <w:rPr>
          <w:sz w:val="24"/>
          <w:szCs w:val="24"/>
        </w:rPr>
        <w:tab/>
      </w:r>
      <w:r w:rsidRPr="00F135CD">
        <w:rPr>
          <w:sz w:val="24"/>
          <w:szCs w:val="24"/>
        </w:rPr>
        <w:tab/>
        <w:t>10.61 ± 0.93</w:t>
      </w:r>
      <w:r w:rsidRPr="00F135CD">
        <w:rPr>
          <w:sz w:val="24"/>
          <w:szCs w:val="24"/>
        </w:rPr>
        <w:tab/>
      </w:r>
      <w:r w:rsidRPr="00F135CD">
        <w:rPr>
          <w:sz w:val="24"/>
          <w:szCs w:val="24"/>
        </w:rPr>
        <w:tab/>
        <w:t>0.990</w:t>
      </w:r>
      <w:r w:rsidRPr="00F135CD">
        <w:rPr>
          <w:sz w:val="24"/>
          <w:szCs w:val="24"/>
        </w:rPr>
        <w:tab/>
      </w:r>
      <w:r w:rsidRPr="00F135CD">
        <w:rPr>
          <w:sz w:val="24"/>
          <w:szCs w:val="24"/>
        </w:rPr>
        <w:tab/>
        <w:t>0.327</w:t>
      </w:r>
    </w:p>
    <w:p w14:paraId="3F7F7FA8" w14:textId="77777777" w:rsidR="00F135CD" w:rsidRPr="00F135CD" w:rsidRDefault="00F135CD" w:rsidP="00F135CD">
      <w:pPr>
        <w:pStyle w:val="NoSpacing"/>
        <w:spacing w:line="480" w:lineRule="auto"/>
        <w:jc w:val="both"/>
        <w:rPr>
          <w:sz w:val="24"/>
          <w:szCs w:val="24"/>
        </w:rPr>
      </w:pPr>
      <w:r w:rsidRPr="00F135CD">
        <w:rPr>
          <w:sz w:val="24"/>
          <w:szCs w:val="24"/>
        </w:rPr>
        <w:t>Zn (µg/dL)</w:t>
      </w:r>
      <w:r w:rsidRPr="00F135CD">
        <w:rPr>
          <w:sz w:val="24"/>
          <w:szCs w:val="24"/>
        </w:rPr>
        <w:tab/>
      </w:r>
      <w:r w:rsidRPr="00F135CD">
        <w:rPr>
          <w:sz w:val="24"/>
          <w:szCs w:val="24"/>
        </w:rPr>
        <w:tab/>
        <w:t>68.93 ± 7.40</w:t>
      </w:r>
      <w:r w:rsidRPr="00F135CD">
        <w:rPr>
          <w:sz w:val="24"/>
          <w:szCs w:val="24"/>
        </w:rPr>
        <w:tab/>
      </w:r>
      <w:r w:rsidRPr="00F135CD">
        <w:rPr>
          <w:sz w:val="24"/>
          <w:szCs w:val="24"/>
        </w:rPr>
        <w:tab/>
        <w:t>53.40 ± 7.92</w:t>
      </w:r>
      <w:r w:rsidRPr="00F135CD">
        <w:rPr>
          <w:sz w:val="24"/>
          <w:szCs w:val="24"/>
        </w:rPr>
        <w:tab/>
      </w:r>
      <w:r w:rsidRPr="00F135CD">
        <w:rPr>
          <w:sz w:val="24"/>
          <w:szCs w:val="24"/>
        </w:rPr>
        <w:tab/>
        <w:t>7.070</w:t>
      </w:r>
      <w:r w:rsidRPr="00F135CD">
        <w:rPr>
          <w:sz w:val="24"/>
          <w:szCs w:val="24"/>
        </w:rPr>
        <w:tab/>
      </w:r>
      <w:r w:rsidRPr="00F135CD">
        <w:rPr>
          <w:sz w:val="24"/>
          <w:szCs w:val="24"/>
        </w:rPr>
        <w:tab/>
        <w:t>0.0001*</w:t>
      </w:r>
    </w:p>
    <w:p w14:paraId="195131AA" w14:textId="77777777" w:rsidR="00F135CD" w:rsidRPr="00F135CD" w:rsidRDefault="00F135CD" w:rsidP="00F135CD">
      <w:pPr>
        <w:pStyle w:val="NoSpacing"/>
        <w:spacing w:line="480" w:lineRule="auto"/>
        <w:jc w:val="both"/>
        <w:rPr>
          <w:sz w:val="24"/>
          <w:szCs w:val="24"/>
        </w:rPr>
      </w:pPr>
      <w:r w:rsidRPr="00F135CD">
        <w:rPr>
          <w:sz w:val="24"/>
          <w:szCs w:val="24"/>
        </w:rPr>
        <w:t>Fe (µg/dL)</w:t>
      </w:r>
      <w:r w:rsidRPr="00F135CD">
        <w:rPr>
          <w:sz w:val="24"/>
          <w:szCs w:val="24"/>
        </w:rPr>
        <w:tab/>
      </w:r>
      <w:r w:rsidRPr="00F135CD">
        <w:rPr>
          <w:sz w:val="24"/>
          <w:szCs w:val="24"/>
        </w:rPr>
        <w:tab/>
        <w:t>58.23 ± 5.23</w:t>
      </w:r>
      <w:r w:rsidRPr="00F135CD">
        <w:rPr>
          <w:sz w:val="24"/>
          <w:szCs w:val="24"/>
        </w:rPr>
        <w:tab/>
      </w:r>
      <w:r w:rsidRPr="00F135CD">
        <w:rPr>
          <w:sz w:val="24"/>
          <w:szCs w:val="24"/>
        </w:rPr>
        <w:tab/>
        <w:t>41.50 ± 6.22</w:t>
      </w:r>
      <w:r w:rsidRPr="00F135CD">
        <w:rPr>
          <w:sz w:val="24"/>
          <w:szCs w:val="24"/>
        </w:rPr>
        <w:tab/>
      </w:r>
      <w:r w:rsidRPr="00F135CD">
        <w:rPr>
          <w:sz w:val="24"/>
          <w:szCs w:val="24"/>
        </w:rPr>
        <w:tab/>
        <w:t>10.266</w:t>
      </w:r>
      <w:r w:rsidRPr="00F135CD">
        <w:rPr>
          <w:sz w:val="24"/>
          <w:szCs w:val="24"/>
        </w:rPr>
        <w:tab/>
      </w:r>
      <w:r w:rsidRPr="00F135CD">
        <w:rPr>
          <w:sz w:val="24"/>
          <w:szCs w:val="24"/>
        </w:rPr>
        <w:tab/>
        <w:t>0.0001*</w:t>
      </w:r>
    </w:p>
    <w:p w14:paraId="5AEB143B"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Se (µg/L)</w:t>
      </w:r>
      <w:r w:rsidRPr="00F135CD">
        <w:rPr>
          <w:sz w:val="24"/>
          <w:szCs w:val="24"/>
          <w:lang w:val="pt-PT"/>
        </w:rPr>
        <w:tab/>
      </w:r>
      <w:r w:rsidRPr="00F135CD">
        <w:rPr>
          <w:sz w:val="24"/>
          <w:szCs w:val="24"/>
          <w:lang w:val="pt-PT"/>
        </w:rPr>
        <w:tab/>
        <w:t>35.17 ± 4.01</w:t>
      </w:r>
      <w:r w:rsidRPr="00F135CD">
        <w:rPr>
          <w:sz w:val="24"/>
          <w:szCs w:val="24"/>
          <w:lang w:val="pt-PT"/>
        </w:rPr>
        <w:tab/>
      </w:r>
      <w:r w:rsidRPr="00F135CD">
        <w:rPr>
          <w:sz w:val="24"/>
          <w:szCs w:val="24"/>
          <w:lang w:val="pt-PT"/>
        </w:rPr>
        <w:tab/>
        <w:t>19.45 ± 2.13</w:t>
      </w:r>
      <w:r w:rsidRPr="00F135CD">
        <w:rPr>
          <w:sz w:val="24"/>
          <w:szCs w:val="24"/>
          <w:lang w:val="pt-PT"/>
        </w:rPr>
        <w:tab/>
      </w:r>
      <w:r w:rsidRPr="00F135CD">
        <w:rPr>
          <w:sz w:val="24"/>
          <w:szCs w:val="24"/>
          <w:lang w:val="pt-PT"/>
        </w:rPr>
        <w:tab/>
        <w:t>16.068</w:t>
      </w:r>
      <w:r w:rsidRPr="00F135CD">
        <w:rPr>
          <w:sz w:val="24"/>
          <w:szCs w:val="24"/>
          <w:lang w:val="pt-PT"/>
        </w:rPr>
        <w:tab/>
      </w:r>
      <w:r w:rsidRPr="00F135CD">
        <w:rPr>
          <w:sz w:val="24"/>
          <w:szCs w:val="24"/>
          <w:lang w:val="pt-PT"/>
        </w:rPr>
        <w:tab/>
        <w:t>0.0001*</w:t>
      </w:r>
    </w:p>
    <w:p w14:paraId="07741499" w14:textId="77777777" w:rsidR="00F135CD" w:rsidRPr="00F135CD" w:rsidRDefault="00F135CD" w:rsidP="00F135CD">
      <w:pPr>
        <w:pStyle w:val="NoSpacing"/>
        <w:spacing w:line="480" w:lineRule="auto"/>
        <w:jc w:val="both"/>
        <w:rPr>
          <w:sz w:val="24"/>
          <w:szCs w:val="24"/>
          <w:lang w:val="pt-PT"/>
        </w:rPr>
      </w:pPr>
      <w:r w:rsidRPr="00F135CD">
        <w:rPr>
          <w:sz w:val="24"/>
          <w:szCs w:val="24"/>
          <w:lang w:val="pt-PT"/>
        </w:rPr>
        <w:t>Vitamin C (mg/dL)</w:t>
      </w:r>
      <w:r w:rsidRPr="00F135CD">
        <w:rPr>
          <w:sz w:val="24"/>
          <w:szCs w:val="24"/>
          <w:lang w:val="pt-PT"/>
        </w:rPr>
        <w:tab/>
        <w:t>1.12 ± 0.25</w:t>
      </w:r>
      <w:r w:rsidRPr="00F135CD">
        <w:rPr>
          <w:sz w:val="24"/>
          <w:szCs w:val="24"/>
          <w:lang w:val="pt-PT"/>
        </w:rPr>
        <w:tab/>
      </w:r>
      <w:r w:rsidRPr="00F135CD">
        <w:rPr>
          <w:sz w:val="24"/>
          <w:szCs w:val="24"/>
          <w:lang w:val="pt-PT"/>
        </w:rPr>
        <w:tab/>
        <w:t>0.80 ± 0.21</w:t>
      </w:r>
      <w:r w:rsidRPr="00F135CD">
        <w:rPr>
          <w:sz w:val="24"/>
          <w:szCs w:val="24"/>
          <w:lang w:val="pt-PT"/>
        </w:rPr>
        <w:tab/>
      </w:r>
      <w:r w:rsidRPr="00F135CD">
        <w:rPr>
          <w:sz w:val="24"/>
          <w:szCs w:val="24"/>
          <w:lang w:val="pt-PT"/>
        </w:rPr>
        <w:tab/>
        <w:t>4.728</w:t>
      </w:r>
      <w:r w:rsidRPr="00F135CD">
        <w:rPr>
          <w:sz w:val="24"/>
          <w:szCs w:val="24"/>
          <w:lang w:val="pt-PT"/>
        </w:rPr>
        <w:tab/>
      </w:r>
      <w:r w:rsidRPr="00F135CD">
        <w:rPr>
          <w:sz w:val="24"/>
          <w:szCs w:val="24"/>
          <w:lang w:val="pt-PT"/>
        </w:rPr>
        <w:tab/>
        <w:t>0.0001*</w:t>
      </w:r>
    </w:p>
    <w:p w14:paraId="0B46DA0C" w14:textId="77777777" w:rsidR="00F135CD" w:rsidRPr="00F135CD" w:rsidRDefault="00F135CD" w:rsidP="00F135CD">
      <w:pPr>
        <w:pStyle w:val="NoSpacing"/>
        <w:pBdr>
          <w:bottom w:val="single" w:sz="6" w:space="1" w:color="auto"/>
        </w:pBdr>
        <w:spacing w:line="480" w:lineRule="auto"/>
        <w:jc w:val="both"/>
        <w:rPr>
          <w:sz w:val="24"/>
          <w:szCs w:val="24"/>
        </w:rPr>
      </w:pPr>
      <w:r w:rsidRPr="00F135CD">
        <w:rPr>
          <w:sz w:val="24"/>
          <w:szCs w:val="24"/>
        </w:rPr>
        <w:t>Uric acid (mg/dL)</w:t>
      </w:r>
      <w:r w:rsidRPr="00F135CD">
        <w:rPr>
          <w:sz w:val="24"/>
          <w:szCs w:val="24"/>
        </w:rPr>
        <w:tab/>
        <w:t>3.63 ± 0.60</w:t>
      </w:r>
      <w:r w:rsidRPr="00F135CD">
        <w:rPr>
          <w:sz w:val="24"/>
          <w:szCs w:val="24"/>
        </w:rPr>
        <w:tab/>
      </w:r>
      <w:r w:rsidRPr="00F135CD">
        <w:rPr>
          <w:sz w:val="24"/>
          <w:szCs w:val="24"/>
        </w:rPr>
        <w:tab/>
        <w:t>2.72 ± 0.44</w:t>
      </w:r>
      <w:r w:rsidRPr="00F135CD">
        <w:rPr>
          <w:sz w:val="24"/>
          <w:szCs w:val="24"/>
        </w:rPr>
        <w:tab/>
      </w:r>
      <w:r w:rsidRPr="00F135CD">
        <w:rPr>
          <w:sz w:val="24"/>
          <w:szCs w:val="24"/>
        </w:rPr>
        <w:tab/>
        <w:t>5.789</w:t>
      </w:r>
      <w:r w:rsidRPr="00F135CD">
        <w:rPr>
          <w:sz w:val="24"/>
          <w:szCs w:val="24"/>
        </w:rPr>
        <w:tab/>
      </w:r>
      <w:r w:rsidRPr="00F135CD">
        <w:rPr>
          <w:sz w:val="24"/>
          <w:szCs w:val="24"/>
        </w:rPr>
        <w:tab/>
        <w:t>0.0204*</w:t>
      </w:r>
    </w:p>
    <w:p w14:paraId="3827B522" w14:textId="77777777" w:rsidR="00F135CD" w:rsidRPr="00F135CD" w:rsidRDefault="00F135CD" w:rsidP="00F135CD">
      <w:pPr>
        <w:pStyle w:val="NoSpacing"/>
        <w:spacing w:line="480" w:lineRule="auto"/>
        <w:jc w:val="both"/>
        <w:rPr>
          <w:sz w:val="24"/>
          <w:szCs w:val="24"/>
        </w:rPr>
      </w:pPr>
    </w:p>
    <w:p w14:paraId="665CAAB9" w14:textId="77777777" w:rsidR="00F135CD" w:rsidRPr="00F135CD" w:rsidRDefault="00F135CD" w:rsidP="00F135CD">
      <w:pPr>
        <w:pStyle w:val="NoSpacing"/>
        <w:spacing w:line="480" w:lineRule="auto"/>
        <w:jc w:val="both"/>
        <w:rPr>
          <w:sz w:val="24"/>
          <w:szCs w:val="24"/>
        </w:rPr>
      </w:pPr>
      <w:r w:rsidRPr="00F135CD">
        <w:rPr>
          <w:sz w:val="24"/>
          <w:szCs w:val="24"/>
        </w:rPr>
        <w:t>Results are expressed as mean ± SD</w:t>
      </w:r>
    </w:p>
    <w:p w14:paraId="0C0E5F17" w14:textId="77777777" w:rsidR="00F135CD" w:rsidRPr="00F135CD" w:rsidRDefault="00F135CD" w:rsidP="00F135CD">
      <w:pPr>
        <w:pStyle w:val="NoSpacing"/>
        <w:spacing w:line="480" w:lineRule="auto"/>
        <w:jc w:val="both"/>
        <w:rPr>
          <w:sz w:val="24"/>
          <w:szCs w:val="24"/>
        </w:rPr>
      </w:pPr>
      <w:r w:rsidRPr="00F135CD">
        <w:rPr>
          <w:sz w:val="24"/>
          <w:szCs w:val="24"/>
        </w:rPr>
        <w:t>* =significantly different</w:t>
      </w:r>
    </w:p>
    <w:p w14:paraId="1E62ADB4" w14:textId="77777777" w:rsidR="00F135CD" w:rsidRPr="00F135CD" w:rsidRDefault="00F135CD" w:rsidP="00F135CD">
      <w:pPr>
        <w:pStyle w:val="NoSpacing"/>
        <w:spacing w:line="480" w:lineRule="auto"/>
        <w:jc w:val="both"/>
        <w:rPr>
          <w:sz w:val="24"/>
          <w:szCs w:val="24"/>
        </w:rPr>
      </w:pPr>
      <w:r w:rsidRPr="00F135CD">
        <w:rPr>
          <w:sz w:val="24"/>
          <w:szCs w:val="24"/>
        </w:rPr>
        <w:t>n = number of subjects</w:t>
      </w:r>
    </w:p>
    <w:p w14:paraId="4AAE9CA5" w14:textId="77777777" w:rsidR="00F135CD" w:rsidRPr="00F135CD" w:rsidRDefault="00F135CD" w:rsidP="00F135CD">
      <w:pPr>
        <w:pStyle w:val="NoSpacing"/>
        <w:spacing w:line="480" w:lineRule="auto"/>
        <w:jc w:val="both"/>
        <w:rPr>
          <w:sz w:val="24"/>
          <w:szCs w:val="24"/>
        </w:rPr>
      </w:pPr>
    </w:p>
    <w:p w14:paraId="27BC4002" w14:textId="77777777" w:rsidR="00F135CD" w:rsidRPr="00F135CD" w:rsidRDefault="00F135CD" w:rsidP="00F135CD">
      <w:pPr>
        <w:pStyle w:val="NoSpacing"/>
        <w:spacing w:line="360" w:lineRule="auto"/>
        <w:jc w:val="both"/>
        <w:rPr>
          <w:sz w:val="24"/>
          <w:szCs w:val="24"/>
        </w:rPr>
      </w:pPr>
      <w:proofErr w:type="gramStart"/>
      <w:r w:rsidRPr="00F135CD">
        <w:rPr>
          <w:sz w:val="24"/>
          <w:szCs w:val="24"/>
        </w:rPr>
        <w:t>Pb  =</w:t>
      </w:r>
      <w:proofErr w:type="gramEnd"/>
      <w:r w:rsidRPr="00F135CD">
        <w:rPr>
          <w:sz w:val="24"/>
          <w:szCs w:val="24"/>
        </w:rPr>
        <w:t xml:space="preserve"> Lead</w:t>
      </w:r>
    </w:p>
    <w:p w14:paraId="7BF04CF0" w14:textId="77777777" w:rsidR="00F135CD" w:rsidRPr="00F135CD" w:rsidRDefault="00F135CD" w:rsidP="00F135CD">
      <w:pPr>
        <w:pStyle w:val="NoSpacing"/>
        <w:spacing w:line="360" w:lineRule="auto"/>
        <w:jc w:val="both"/>
        <w:rPr>
          <w:sz w:val="24"/>
          <w:szCs w:val="24"/>
        </w:rPr>
      </w:pPr>
      <w:r w:rsidRPr="00F135CD">
        <w:rPr>
          <w:sz w:val="24"/>
          <w:szCs w:val="24"/>
        </w:rPr>
        <w:lastRenderedPageBreak/>
        <w:t xml:space="preserve">Hb = </w:t>
      </w:r>
      <w:proofErr w:type="spellStart"/>
      <w:r w:rsidRPr="00F135CD">
        <w:rPr>
          <w:sz w:val="24"/>
          <w:szCs w:val="24"/>
        </w:rPr>
        <w:t>Haemoglobin</w:t>
      </w:r>
      <w:proofErr w:type="spellEnd"/>
    </w:p>
    <w:p w14:paraId="4CC48694" w14:textId="77777777" w:rsidR="00F135CD" w:rsidRPr="00F135CD" w:rsidRDefault="00F135CD" w:rsidP="00F135CD">
      <w:pPr>
        <w:pStyle w:val="NoSpacing"/>
        <w:spacing w:line="360" w:lineRule="auto"/>
        <w:jc w:val="both"/>
        <w:rPr>
          <w:sz w:val="24"/>
          <w:szCs w:val="24"/>
        </w:rPr>
      </w:pPr>
      <w:r w:rsidRPr="00F135CD">
        <w:rPr>
          <w:sz w:val="24"/>
          <w:szCs w:val="24"/>
        </w:rPr>
        <w:t>Zn = Zinc</w:t>
      </w:r>
    </w:p>
    <w:p w14:paraId="2A6BAB1E" w14:textId="77777777" w:rsidR="00F135CD" w:rsidRPr="00F135CD" w:rsidRDefault="00F135CD" w:rsidP="00F135CD">
      <w:pPr>
        <w:pStyle w:val="NoSpacing"/>
        <w:spacing w:line="360" w:lineRule="auto"/>
        <w:jc w:val="both"/>
        <w:rPr>
          <w:sz w:val="24"/>
          <w:szCs w:val="24"/>
        </w:rPr>
      </w:pPr>
      <w:r w:rsidRPr="00F135CD">
        <w:rPr>
          <w:sz w:val="24"/>
          <w:szCs w:val="24"/>
        </w:rPr>
        <w:t>Fe = Iron</w:t>
      </w:r>
    </w:p>
    <w:p w14:paraId="7F905F15" w14:textId="77777777" w:rsidR="00F135CD" w:rsidRDefault="00F135CD" w:rsidP="00F135CD">
      <w:pPr>
        <w:pStyle w:val="NoSpacing"/>
        <w:spacing w:line="360" w:lineRule="auto"/>
        <w:jc w:val="both"/>
        <w:rPr>
          <w:sz w:val="24"/>
          <w:szCs w:val="24"/>
        </w:rPr>
      </w:pPr>
      <w:r w:rsidRPr="00F135CD">
        <w:rPr>
          <w:sz w:val="24"/>
          <w:szCs w:val="24"/>
        </w:rPr>
        <w:t>Se = Selenium</w:t>
      </w:r>
    </w:p>
    <w:p w14:paraId="609CA9E1" w14:textId="77777777" w:rsidR="00F135CD" w:rsidRDefault="00F135CD" w:rsidP="00F135CD">
      <w:pPr>
        <w:pStyle w:val="NoSpacing"/>
        <w:spacing w:line="480" w:lineRule="auto"/>
        <w:jc w:val="both"/>
        <w:rPr>
          <w:sz w:val="24"/>
          <w:szCs w:val="24"/>
        </w:rPr>
      </w:pPr>
    </w:p>
    <w:p w14:paraId="752E0350" w14:textId="77777777" w:rsidR="00627483" w:rsidRDefault="00627483" w:rsidP="00F135CD">
      <w:pPr>
        <w:rPr>
          <w:sz w:val="24"/>
          <w:szCs w:val="24"/>
        </w:rPr>
      </w:pPr>
    </w:p>
    <w:p w14:paraId="01420775" w14:textId="77777777" w:rsidR="00627483" w:rsidRDefault="00627483" w:rsidP="00F135CD">
      <w:pPr>
        <w:rPr>
          <w:sz w:val="24"/>
          <w:szCs w:val="24"/>
        </w:rPr>
      </w:pPr>
    </w:p>
    <w:p w14:paraId="5D24BC7D" w14:textId="77777777" w:rsidR="00F135CD" w:rsidRPr="00B95C0C" w:rsidRDefault="008E0972" w:rsidP="00F135CD">
      <w:pPr>
        <w:rPr>
          <w:sz w:val="24"/>
          <w:szCs w:val="24"/>
        </w:rPr>
      </w:pPr>
      <w:r w:rsidRPr="00B95C0C">
        <w:rPr>
          <w:sz w:val="24"/>
          <w:szCs w:val="24"/>
        </w:rPr>
        <w:t>Discussion</w:t>
      </w:r>
    </w:p>
    <w:p w14:paraId="655FEEF6" w14:textId="77777777" w:rsidR="00BE3DB3" w:rsidRPr="001A68CC" w:rsidRDefault="00BE3DB3" w:rsidP="001A68CC">
      <w:pPr>
        <w:spacing w:before="100" w:beforeAutospacing="1" w:after="0" w:line="240" w:lineRule="auto"/>
        <w:jc w:val="both"/>
        <w:rPr>
          <w:rFonts w:ascii="Times New Roman" w:eastAsia="Times New Roman" w:hAnsi="Times New Roman" w:cs="Times New Roman"/>
          <w:color w:val="1F1F1F"/>
          <w:sz w:val="24"/>
          <w:szCs w:val="24"/>
        </w:rPr>
      </w:pPr>
      <w:r w:rsidRPr="001A68CC">
        <w:rPr>
          <w:rFonts w:ascii="Times New Roman" w:eastAsia="Times New Roman" w:hAnsi="Times New Roman" w:cs="Times New Roman"/>
          <w:color w:val="1F1F1F"/>
          <w:sz w:val="24"/>
          <w:szCs w:val="24"/>
        </w:rPr>
        <w:t xml:space="preserve">The general trend across both occupational groups is that </w:t>
      </w:r>
      <w:r w:rsidR="00EC05A2">
        <w:rPr>
          <w:rFonts w:ascii="Times New Roman" w:eastAsia="Times New Roman" w:hAnsi="Times New Roman" w:cs="Times New Roman"/>
          <w:bCs/>
          <w:color w:val="1F1F1F"/>
          <w:sz w:val="24"/>
          <w:szCs w:val="24"/>
          <w:bdr w:val="none" w:sz="0" w:space="0" w:color="auto" w:frame="1"/>
        </w:rPr>
        <w:t>prolonged exposure to lead significantly exacerbates lead accumulation and depletes</w:t>
      </w:r>
      <w:r w:rsidRPr="001A68CC">
        <w:rPr>
          <w:rFonts w:ascii="Times New Roman" w:eastAsia="Times New Roman" w:hAnsi="Times New Roman" w:cs="Times New Roman"/>
          <w:bCs/>
          <w:color w:val="1F1F1F"/>
          <w:sz w:val="24"/>
          <w:szCs w:val="24"/>
          <w:bdr w:val="none" w:sz="0" w:space="0" w:color="auto" w:frame="1"/>
        </w:rPr>
        <w:t xml:space="preserve"> essential micronutrients and antioxidants.</w:t>
      </w:r>
    </w:p>
    <w:p w14:paraId="2C5F39B9" w14:textId="77777777" w:rsidR="008E0972" w:rsidRPr="001A68CC" w:rsidRDefault="00BE3DB3" w:rsidP="001A68CC">
      <w:pPr>
        <w:jc w:val="both"/>
        <w:rPr>
          <w:rFonts w:ascii="Times New Roman" w:eastAsia="Times New Roman" w:hAnsi="Times New Roman" w:cs="Times New Roman"/>
          <w:bCs/>
          <w:color w:val="1F1F1F"/>
          <w:sz w:val="24"/>
          <w:szCs w:val="24"/>
          <w:bdr w:val="none" w:sz="0" w:space="0" w:color="auto" w:frame="1"/>
        </w:rPr>
      </w:pPr>
      <w:r w:rsidRPr="001A68CC">
        <w:rPr>
          <w:rFonts w:ascii="Times New Roman" w:eastAsia="Times New Roman" w:hAnsi="Times New Roman" w:cs="Times New Roman"/>
          <w:color w:val="1F1F1F"/>
          <w:sz w:val="24"/>
          <w:szCs w:val="24"/>
          <w:bdr w:val="none" w:sz="0" w:space="0" w:color="auto" w:frame="1"/>
        </w:rPr>
        <w:t xml:space="preserve">This study clearly establishes that </w:t>
      </w:r>
      <w:r w:rsidRPr="001A68CC">
        <w:rPr>
          <w:rFonts w:ascii="Times New Roman" w:eastAsia="Times New Roman" w:hAnsi="Times New Roman" w:cs="Times New Roman"/>
          <w:bCs/>
          <w:color w:val="1F1F1F"/>
          <w:sz w:val="24"/>
          <w:szCs w:val="24"/>
          <w:bdr w:val="none" w:sz="0" w:space="0" w:color="auto" w:frame="1"/>
        </w:rPr>
        <w:t xml:space="preserve">the duration of occupational lead exposure is a critical determinant of lead </w:t>
      </w:r>
      <w:proofErr w:type="spellStart"/>
      <w:r w:rsidRPr="001A68CC">
        <w:rPr>
          <w:rFonts w:ascii="Times New Roman" w:eastAsia="Times New Roman" w:hAnsi="Times New Roman" w:cs="Times New Roman"/>
          <w:bCs/>
          <w:color w:val="1F1F1F"/>
          <w:sz w:val="24"/>
          <w:szCs w:val="24"/>
          <w:bdr w:val="none" w:sz="0" w:space="0" w:color="auto" w:frame="1"/>
        </w:rPr>
        <w:t>toxicokinetics</w:t>
      </w:r>
      <w:proofErr w:type="spellEnd"/>
      <w:r w:rsidRPr="001A68CC">
        <w:rPr>
          <w:rFonts w:ascii="Times New Roman" w:eastAsia="Times New Roman" w:hAnsi="Times New Roman" w:cs="Times New Roman"/>
          <w:bCs/>
          <w:color w:val="1F1F1F"/>
          <w:sz w:val="24"/>
          <w:szCs w:val="24"/>
          <w:bdr w:val="none" w:sz="0" w:space="0" w:color="auto" w:frame="1"/>
        </w:rPr>
        <w:t xml:space="preserve"> and its subsequent impact on micronutrient and antioxidant status</w:t>
      </w:r>
      <w:r w:rsidRPr="001A68CC">
        <w:rPr>
          <w:rFonts w:ascii="Times New Roman" w:eastAsia="Times New Roman" w:hAnsi="Times New Roman" w:cs="Times New Roman"/>
          <w:color w:val="1F1F1F"/>
          <w:sz w:val="24"/>
          <w:szCs w:val="24"/>
          <w:bdr w:val="none" w:sz="0" w:space="0" w:color="auto" w:frame="1"/>
        </w:rPr>
        <w:t xml:space="preserve"> in Nigerian male workers.</w:t>
      </w:r>
      <w:r w:rsidR="00BF209D">
        <w:rPr>
          <w:rFonts w:ascii="Times New Roman" w:eastAsia="Times New Roman" w:hAnsi="Times New Roman" w:cs="Times New Roman"/>
          <w:color w:val="1F1F1F"/>
          <w:sz w:val="24"/>
          <w:szCs w:val="24"/>
          <w:bdr w:val="none" w:sz="0" w:space="0" w:color="auto" w:frame="1"/>
        </w:rPr>
        <w:t xml:space="preserve"> These findings </w:t>
      </w:r>
      <w:r w:rsidR="004962FE">
        <w:rPr>
          <w:rFonts w:ascii="Times New Roman" w:eastAsia="Times New Roman" w:hAnsi="Times New Roman" w:cs="Times New Roman"/>
          <w:color w:val="1F1F1F"/>
          <w:sz w:val="24"/>
          <w:szCs w:val="24"/>
          <w:bdr w:val="none" w:sz="0" w:space="0" w:color="auto" w:frame="1"/>
        </w:rPr>
        <w:t xml:space="preserve">are consistent with those of </w:t>
      </w:r>
      <w:r w:rsidR="00BF209D">
        <w:rPr>
          <w:rFonts w:ascii="Times New Roman" w:eastAsia="Times New Roman" w:hAnsi="Times New Roman" w:cs="Times New Roman"/>
          <w:color w:val="1F1F1F"/>
          <w:sz w:val="24"/>
          <w:szCs w:val="24"/>
          <w:bdr w:val="none" w:sz="0" w:space="0" w:color="auto" w:frame="1"/>
        </w:rPr>
        <w:t xml:space="preserve">other studies </w:t>
      </w:r>
      <w:r w:rsidR="00BF209D">
        <w:rPr>
          <w:rFonts w:ascii="Times New Roman" w:eastAsia="Times New Roman" w:hAnsi="Times New Roman" w:cs="Times New Roman"/>
          <w:color w:val="1F1F1F"/>
          <w:sz w:val="24"/>
          <w:szCs w:val="24"/>
          <w:bdr w:val="none" w:sz="0" w:space="0" w:color="auto" w:frame="1"/>
        </w:rPr>
        <w:fldChar w:fldCharType="begin" w:fldLock="1"/>
      </w:r>
      <w:r w:rsidR="00BF209D">
        <w:rPr>
          <w:rFonts w:ascii="Times New Roman" w:eastAsia="Times New Roman" w:hAnsi="Times New Roman" w:cs="Times New Roman"/>
          <w:color w:val="1F1F1F"/>
          <w:sz w:val="24"/>
          <w:szCs w:val="24"/>
          <w:bdr w:val="none" w:sz="0" w:space="0" w:color="auto" w:frame="1"/>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BF209D">
        <w:rPr>
          <w:rFonts w:ascii="Times New Roman" w:eastAsia="Times New Roman" w:hAnsi="Times New Roman" w:cs="Times New Roman"/>
          <w:color w:val="1F1F1F"/>
          <w:sz w:val="24"/>
          <w:szCs w:val="24"/>
          <w:bdr w:val="none" w:sz="0" w:space="0" w:color="auto" w:frame="1"/>
        </w:rPr>
        <w:fldChar w:fldCharType="separate"/>
      </w:r>
      <w:r w:rsidR="00BF209D" w:rsidRPr="00BF209D">
        <w:rPr>
          <w:rFonts w:ascii="Times New Roman" w:eastAsia="Times New Roman" w:hAnsi="Times New Roman" w:cs="Times New Roman"/>
          <w:noProof/>
          <w:color w:val="1F1F1F"/>
          <w:sz w:val="24"/>
          <w:szCs w:val="24"/>
          <w:bdr w:val="none" w:sz="0" w:space="0" w:color="auto" w:frame="1"/>
        </w:rPr>
        <w:t>[5]</w:t>
      </w:r>
      <w:r w:rsidR="00BF209D">
        <w:rPr>
          <w:rFonts w:ascii="Times New Roman" w:eastAsia="Times New Roman" w:hAnsi="Times New Roman" w:cs="Times New Roman"/>
          <w:color w:val="1F1F1F"/>
          <w:sz w:val="24"/>
          <w:szCs w:val="24"/>
          <w:bdr w:val="none" w:sz="0" w:space="0" w:color="auto" w:frame="1"/>
        </w:rPr>
        <w:fldChar w:fldCharType="end"/>
      </w:r>
      <w:r w:rsidR="00BF209D">
        <w:rPr>
          <w:rFonts w:ascii="Times New Roman" w:eastAsia="Times New Roman" w:hAnsi="Times New Roman" w:cs="Times New Roman"/>
          <w:color w:val="1F1F1F"/>
          <w:sz w:val="24"/>
          <w:szCs w:val="24"/>
          <w:bdr w:val="none" w:sz="0" w:space="0" w:color="auto" w:frame="1"/>
        </w:rPr>
        <w:fldChar w:fldCharType="begin" w:fldLock="1"/>
      </w:r>
      <w:r w:rsidR="00AC4A91">
        <w:rPr>
          <w:rFonts w:ascii="Times New Roman" w:eastAsia="Times New Roman" w:hAnsi="Times New Roman" w:cs="Times New Roman"/>
          <w:color w:val="1F1F1F"/>
          <w:sz w:val="24"/>
          <w:szCs w:val="24"/>
          <w:bdr w:val="none" w:sz="0" w:space="0" w:color="auto" w:frame="1"/>
        </w:rPr>
        <w:instrText>ADDIN CSL_CITATION {"citationItems":[{"id":"ITEM-1","itemData":{"DOI":"10.1007/s12011-012-9490-x","ISSN":"1559-0720 (Electronic)","PMID":"22923205","abstract":"The study objective was to evaluate the effect of occupational lead exposure on  blood concentrations of zinc, iron, copper, selenium and proteins related to them, such as transferrin, caeruloplasmin and haptoglobin. The examined group consisted of 192 healthy male employees of zinc-lead works. By the degree of lead exposure, the exposed group was subdivided into three subgroups. The control group was composed of 73 healthy male administrative workers. The markers of lead exposure (blood levels of lead and zinc protoporphyrin) were significantly elevated in the exposed group compared with the control group. Additionally, concentrations of copper and caeruloplasmin were raised. The significant increase in haptoglobin level was observed only in the low exposure group. Selenium levels were significantly decreased, whereas iron, zinc and transferrin levels were unchanged in the exposed group compared with the control group. There were positive correlations between the lead toxicity parameters and the copper and caeruloplasmin levels. In conclusion, the effect of occupational exposure to lead on the metabolism of trace metals appears to be limited. However, significant associations between lead exposure and levels of copper and selenium were shown. Changed levels of positive acute-phase proteins, such as caeruloplasmin and haptoglobin, were also observed.","author":[{"dropping-particle":"","family":"Kasperczyk","given":"Aleksandra","non-dropping-particle":"","parse-names":false,"suffix":""},{"dropping-particle":"","family":"Prokopowicz","given":"Adam","non-dropping-particle":"","parse-names":false,"suffix":""},{"dropping-particle":"","family":"Dobrakowski","given":"Michał","non-dropping-particle":"","parse-names":false,"suffix":""},{"dropping-particle":"","family":"Pawlas","given":"Natalia","non-dropping-particle":"","parse-names":false,"suffix":""},{"dropping-particle":"","family":"Kasperczyk","given":"Sławomir","non-dropping-particle":"","parse-names":false,"suffix":""}],"container-title":"Biological trace element research","id":"ITEM-1","issue":"1-3","issued":{"date-parts":[["2012","12"]]},"language":"eng","page":"49-55","publisher-place":"United States","title":"The effect of occupational lead exposure on blood levels of zinc, iron, copper,  selenium and related proteins.","type":"article-journal","volume":"150"},"uris":["http://www.mendeley.com/documents/?uuid=abe4bfae-02cf-46a3-82ad-a76b4d8b6374"]}],"mendeley":{"formattedCitation":"[19]","plainTextFormattedCitation":"[19]","previouslyFormattedCitation":"[19]"},"properties":{"noteIndex":0},"schema":"https://github.com/citation-style-language/schema/raw/master/csl-citation.json"}</w:instrText>
      </w:r>
      <w:r w:rsidR="00BF209D">
        <w:rPr>
          <w:rFonts w:ascii="Times New Roman" w:eastAsia="Times New Roman" w:hAnsi="Times New Roman" w:cs="Times New Roman"/>
          <w:color w:val="1F1F1F"/>
          <w:sz w:val="24"/>
          <w:szCs w:val="24"/>
          <w:bdr w:val="none" w:sz="0" w:space="0" w:color="auto" w:frame="1"/>
        </w:rPr>
        <w:fldChar w:fldCharType="separate"/>
      </w:r>
      <w:r w:rsidR="00BF209D" w:rsidRPr="00BF209D">
        <w:rPr>
          <w:rFonts w:ascii="Times New Roman" w:eastAsia="Times New Roman" w:hAnsi="Times New Roman" w:cs="Times New Roman"/>
          <w:noProof/>
          <w:color w:val="1F1F1F"/>
          <w:sz w:val="24"/>
          <w:szCs w:val="24"/>
          <w:bdr w:val="none" w:sz="0" w:space="0" w:color="auto" w:frame="1"/>
        </w:rPr>
        <w:t>[19]</w:t>
      </w:r>
      <w:r w:rsidR="00BF209D">
        <w:rPr>
          <w:rFonts w:ascii="Times New Roman" w:eastAsia="Times New Roman" w:hAnsi="Times New Roman" w:cs="Times New Roman"/>
          <w:color w:val="1F1F1F"/>
          <w:sz w:val="24"/>
          <w:szCs w:val="24"/>
          <w:bdr w:val="none" w:sz="0" w:space="0" w:color="auto" w:frame="1"/>
        </w:rPr>
        <w:fldChar w:fldCharType="end"/>
      </w:r>
      <w:r w:rsidR="004962FE">
        <w:rPr>
          <w:rFonts w:ascii="Times New Roman" w:eastAsia="Times New Roman" w:hAnsi="Times New Roman" w:cs="Times New Roman"/>
          <w:color w:val="1F1F1F"/>
          <w:sz w:val="24"/>
          <w:szCs w:val="24"/>
          <w:bdr w:val="none" w:sz="0" w:space="0" w:color="auto" w:frame="1"/>
        </w:rPr>
        <w:t xml:space="preserve">. </w:t>
      </w:r>
      <w:r w:rsidRPr="001A68CC">
        <w:rPr>
          <w:rFonts w:ascii="Times New Roman" w:eastAsia="Times New Roman" w:hAnsi="Times New Roman" w:cs="Times New Roman"/>
          <w:color w:val="1F1F1F"/>
          <w:sz w:val="24"/>
          <w:szCs w:val="24"/>
          <w:bdr w:val="none" w:sz="0" w:space="0" w:color="auto" w:frame="1"/>
        </w:rPr>
        <w:t xml:space="preserve">In both auto painters and battery chargers, </w:t>
      </w:r>
      <w:r w:rsidR="00627483">
        <w:rPr>
          <w:rFonts w:ascii="Times New Roman" w:eastAsia="Times New Roman" w:hAnsi="Times New Roman" w:cs="Times New Roman"/>
          <w:color w:val="1F1F1F"/>
          <w:sz w:val="24"/>
          <w:szCs w:val="24"/>
          <w:bdr w:val="none" w:sz="0" w:space="0" w:color="auto" w:frame="1"/>
        </w:rPr>
        <w:t>longer exposure duration (&gt;5 years) is associated with</w:t>
      </w:r>
      <w:r w:rsidRPr="001A68CC">
        <w:rPr>
          <w:rFonts w:ascii="Times New Roman" w:eastAsia="Times New Roman" w:hAnsi="Times New Roman" w:cs="Times New Roman"/>
          <w:color w:val="1F1F1F"/>
          <w:sz w:val="24"/>
          <w:szCs w:val="24"/>
          <w:bdr w:val="none" w:sz="0" w:space="0" w:color="auto" w:frame="1"/>
        </w:rPr>
        <w:t xml:space="preserve"> a </w:t>
      </w:r>
      <w:r w:rsidRPr="001A68CC">
        <w:rPr>
          <w:rFonts w:ascii="Times New Roman" w:eastAsia="Times New Roman" w:hAnsi="Times New Roman" w:cs="Times New Roman"/>
          <w:bCs/>
          <w:color w:val="1F1F1F"/>
          <w:sz w:val="24"/>
          <w:szCs w:val="24"/>
          <w:bdr w:val="none" w:sz="0" w:space="0" w:color="auto" w:frame="1"/>
        </w:rPr>
        <w:t>significant increase in blood lead levels.</w:t>
      </w:r>
    </w:p>
    <w:p w14:paraId="5C362654" w14:textId="77777777" w:rsidR="00BE3DB3" w:rsidRPr="002C1B3D" w:rsidRDefault="00895623" w:rsidP="002C1B3D">
      <w:pPr>
        <w:jc w:val="both"/>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This depletion probably results from lead's ability to compete with vital metals like Zn and Fe for enzyme and transporter binding sites, as well as from the consumption of antioxidants [20]. The significant drops in Zinc, Selenium, and Vitamin C levels among lead-exposed Nigerian workers, especially those with longer exposure, have important physiological consequences that highlight lead's chronic t</w:t>
      </w:r>
      <w:r w:rsidR="00AC41B7">
        <w:rPr>
          <w:rFonts w:ascii="Times New Roman" w:eastAsia="Times New Roman" w:hAnsi="Times New Roman" w:cs="Times New Roman"/>
          <w:color w:val="1F1F1F"/>
          <w:sz w:val="24"/>
          <w:szCs w:val="24"/>
          <w:bdr w:val="none" w:sz="0" w:space="0" w:color="auto" w:frame="1"/>
        </w:rPr>
        <w:t xml:space="preserve">oxicity </w:t>
      </w:r>
      <w:r w:rsidR="00AC41B7">
        <w:rPr>
          <w:rFonts w:ascii="Times New Roman" w:eastAsia="Times New Roman" w:hAnsi="Times New Roman" w:cs="Times New Roman"/>
          <w:color w:val="1F1F1F"/>
          <w:sz w:val="24"/>
          <w:szCs w:val="24"/>
          <w:bdr w:val="none" w:sz="0" w:space="0" w:color="auto" w:frame="1"/>
        </w:rPr>
        <w:fldChar w:fldCharType="begin" w:fldLock="1"/>
      </w:r>
      <w:r w:rsidR="008E4CC8">
        <w:rPr>
          <w:rFonts w:ascii="Times New Roman" w:eastAsia="Times New Roman" w:hAnsi="Times New Roman" w:cs="Times New Roman"/>
          <w:color w:val="1F1F1F"/>
          <w:sz w:val="24"/>
          <w:szCs w:val="24"/>
          <w:bdr w:val="none" w:sz="0" w:space="0" w:color="auto" w:frame="1"/>
        </w:rPr>
        <w:instrText>ADDIN CSL_CITATION {"citationItems":[{"id":"ITEM-1","itemData":{"DOI":"10.1515/intox-2015-0009","ISSN":"1337-6853 (Print)","PMID":"27486361","abstract":"Lead toxicity is an important environmental disease and its effects on the human  body are devastating. There is almost no function in the human body which is not affected by lead toxicity. Though in countries like US and Canada the use of lead has been controlled up to a certain extent, it is still used vehemently in the developing countries. This is primarily because lead bears unique physical and chemical properties that make it suitable for a large number of applications for which humans have exploited its benefits from historical times and thus it has become a common environmental pollutant. Lead is highly persistent in the environment and because of its continuous use its levels rise in almost every country, posing serious threats. This article reviews the works listed in the literature with recent updates regarding the toxicity of lead. Focus is also on toxic effects of lead on the renal, reproductive and nervous system. Finally the techniques available for treating lead toxicity are presented with some recent updates.","author":[{"dropping-particle":"","family":"Wani","given":"Ab Latif","non-dropping-particle":"","parse-names":false,"suffix":""},{"dropping-particle":"","family":"Ara","given":"Anjum","non-dropping-particle":"","parse-names":false,"suffix":""},{"dropping-particle":"","family":"Usmani","given":"Jawed Ahmad","non-dropping-particle":"","parse-names":false,"suffix":""}],"container-title":"Interdisciplinary toxicology","id":"ITEM-1","issue":"2","issued":{"date-parts":[["2015","6"]]},"language":"eng","page":"55-64","publisher-place":"Slovakia","title":"Lead toxicity: a review.","type":"article-journal","volume":"8"},"uris":["http://www.mendeley.com/documents/?uuid=17684cb9-63fe-4893-a28a-e03437725db0"]}],"mendeley":{"formattedCitation":"[20]","plainTextFormattedCitation":"[20]","previouslyFormattedCitation":"[20]"},"properties":{"noteIndex":0},"schema":"https://github.com/citation-style-language/schema/raw/master/csl-citation.json"}</w:instrText>
      </w:r>
      <w:r w:rsidR="00AC41B7">
        <w:rPr>
          <w:rFonts w:ascii="Times New Roman" w:eastAsia="Times New Roman" w:hAnsi="Times New Roman" w:cs="Times New Roman"/>
          <w:color w:val="1F1F1F"/>
          <w:sz w:val="24"/>
          <w:szCs w:val="24"/>
          <w:bdr w:val="none" w:sz="0" w:space="0" w:color="auto" w:frame="1"/>
        </w:rPr>
        <w:fldChar w:fldCharType="separate"/>
      </w:r>
      <w:r w:rsidR="00AC41B7" w:rsidRPr="00AC41B7">
        <w:rPr>
          <w:rFonts w:ascii="Times New Roman" w:eastAsia="Times New Roman" w:hAnsi="Times New Roman" w:cs="Times New Roman"/>
          <w:noProof/>
          <w:color w:val="1F1F1F"/>
          <w:sz w:val="24"/>
          <w:szCs w:val="24"/>
          <w:bdr w:val="none" w:sz="0" w:space="0" w:color="auto" w:frame="1"/>
        </w:rPr>
        <w:t>[20]</w:t>
      </w:r>
      <w:r w:rsidR="00AC41B7">
        <w:rPr>
          <w:rFonts w:ascii="Times New Roman" w:eastAsia="Times New Roman" w:hAnsi="Times New Roman" w:cs="Times New Roman"/>
          <w:color w:val="1F1F1F"/>
          <w:sz w:val="24"/>
          <w:szCs w:val="24"/>
          <w:bdr w:val="none" w:sz="0" w:space="0" w:color="auto" w:frame="1"/>
        </w:rPr>
        <w:fldChar w:fldCharType="end"/>
      </w:r>
      <w:r w:rsidR="008E4CC8">
        <w:rPr>
          <w:rFonts w:ascii="Times New Roman" w:eastAsia="Times New Roman" w:hAnsi="Times New Roman" w:cs="Times New Roman"/>
          <w:color w:val="1F1F1F"/>
          <w:sz w:val="24"/>
          <w:szCs w:val="24"/>
          <w:bdr w:val="none" w:sz="0" w:space="0" w:color="auto" w:frame="1"/>
        </w:rPr>
        <w:fldChar w:fldCharType="begin" w:fldLock="1"/>
      </w:r>
      <w:r w:rsidR="001F023A">
        <w:rPr>
          <w:rFonts w:ascii="Times New Roman" w:eastAsia="Times New Roman" w:hAnsi="Times New Roman" w:cs="Times New Roman"/>
          <w:color w:val="1F1F1F"/>
          <w:sz w:val="24"/>
          <w:szCs w:val="24"/>
          <w:bdr w:val="none" w:sz="0" w:space="0" w:color="auto" w:frame="1"/>
        </w:rPr>
        <w:instrText>ADDIN CSL_CITATION {"citationItems":[{"id":"ITEM-1","itemData":{"ISSN":"2322-2611","abstract":"Background: This study intended to investigate blood lead and serum total antioxidant capacity and oxidative stress marker levels of subjects in a lead-zinc mining community of Ebonyi State, Nigeria.Methods: Sixty-eight (68) occupationally-exposed (OE) and 62 environmentally-exposed (EE) to lead in Enyigba community and 70 non-inhabitants (controls), were recruited for this study. Blood samples were collected from them for blood lead (BL), malondialdehyde (MDA), total antioxidant capacity (TAC), superoxide dismutase (SOD), catalase (CAT), and glutathione peroxidase (GPX), assays using standard methods. Data were analyzed with the IBM SPSS software and means were compared using One Way ANOVA and t-test. Statistical differences was considered significant at p&lt;0.05.Result: Mean BL significantly rose in the OE and EE groups (p&lt;0.0001 respectively) than the controls. TAC decreased significantly in the OE (p&lt;0.01), but increased in EE (p&lt;0.05) compared with the control groups, while SOD, CAT, and MDA decreased significantly in the OE (p&lt;0.01 respectively) and EE (p&lt;0.01 each) versus control group. Significant higher TAC and lower CAT were recorded in the EE compared with the OE (p&lt;0.05) subjects. GPx significantly increased (p&lt;0.05) in the OE compared with the control group. Only CAT correlated significantly with lead in the EE subjects. BL, MDA, and CAT differed significantly (&lt;0.0001 respectively), and SOD (&lt;0.05) varied with age. Children &lt;10 years recorded the highest BL concentration (34.77±12.46) b young adults aged 21-30 the lowest, which was significantly lower than in the other age categories.Conclusion: The elevated MDA concentration and reduced antioxidant activities indicated some oxidative stress damage resulting from lead toxicity.","author":[{"dropping-particle":"","family":"Ituen","given":"Aniema Sunday","non-dropping-particle":"","parse-names":false,"suffix":""},{"dropping-particle":"","family":"Nubila","given":"Nkoyo Imelda","non-dropping-particle":"","parse-names":false,"suffix":""},{"dropping-particle":"","family":"Otuu","given":"Fre Chibuisi","non-dropping-particle":"","parse-names":false,"suffix":""},{"dropping-particle":"","family":"Shuneba","given":"Irene Lemwi","non-dropping-particle":"","parse-names":false,"suffix":""},{"dropping-particle":"","family":"Katchy","given":"Amechi U","non-dropping-particle":"","parse-names":false,"suffix":""},{"dropping-particle":"","family":"Anyaehie","given":"Bond","non-dropping-particle":"","parse-names":false,"suffix":""},{"dropping-particle":"","family":"Shu","given":"Elvis N","non-dropping-particle":"","parse-names":false,"suffix":""}],"container-title":"Asia Pacific Journal of Medical Toxicology","id":"ITEM-1","issue":"4","issued":{"date-parts":[["2023"]]},"page":"128-145","title":"Serum Total Antioxidant Status and Oxidative Stress Marker Levels of Subjects in a Lead-Zinc Mining Community of Ebonyi State, Nigeria: Evidence of Lead Intoxication","type":"article-journal","volume":"11"},"uris":["http://www.mendeley.com/documents/?uuid=fa6baa20-9a45-4251-b34d-f2c88547e7b3"]}],"mendeley":{"formattedCitation":"[21]","plainTextFormattedCitation":"[21]","previouslyFormattedCitation":"[21]"},"properties":{"noteIndex":0},"schema":"https://github.com/citation-style-language/schema/raw/master/csl-citation.json"}</w:instrText>
      </w:r>
      <w:r w:rsidR="008E4CC8">
        <w:rPr>
          <w:rFonts w:ascii="Times New Roman" w:eastAsia="Times New Roman" w:hAnsi="Times New Roman" w:cs="Times New Roman"/>
          <w:color w:val="1F1F1F"/>
          <w:sz w:val="24"/>
          <w:szCs w:val="24"/>
          <w:bdr w:val="none" w:sz="0" w:space="0" w:color="auto" w:frame="1"/>
        </w:rPr>
        <w:fldChar w:fldCharType="separate"/>
      </w:r>
      <w:r w:rsidR="008E4CC8" w:rsidRPr="008E4CC8">
        <w:rPr>
          <w:rFonts w:ascii="Times New Roman" w:eastAsia="Times New Roman" w:hAnsi="Times New Roman" w:cs="Times New Roman"/>
          <w:noProof/>
          <w:color w:val="1F1F1F"/>
          <w:sz w:val="24"/>
          <w:szCs w:val="24"/>
          <w:bdr w:val="none" w:sz="0" w:space="0" w:color="auto" w:frame="1"/>
        </w:rPr>
        <w:t>[21]</w:t>
      </w:r>
      <w:r w:rsidR="008E4CC8">
        <w:rPr>
          <w:rFonts w:ascii="Times New Roman" w:eastAsia="Times New Roman" w:hAnsi="Times New Roman" w:cs="Times New Roman"/>
          <w:color w:val="1F1F1F"/>
          <w:sz w:val="24"/>
          <w:szCs w:val="24"/>
          <w:bdr w:val="none" w:sz="0" w:space="0" w:color="auto" w:frame="1"/>
        </w:rPr>
        <w:fldChar w:fldCharType="end"/>
      </w:r>
      <w:r>
        <w:rPr>
          <w:rFonts w:ascii="Times New Roman" w:eastAsia="Times New Roman" w:hAnsi="Times New Roman" w:cs="Times New Roman"/>
          <w:color w:val="1F1F1F"/>
          <w:sz w:val="24"/>
          <w:szCs w:val="24"/>
          <w:bdr w:val="none" w:sz="0" w:space="0" w:color="auto" w:frame="1"/>
        </w:rPr>
        <w:t>. These notable decreases impair the body's capacity to counteract lead-induced damage, fostering a vicious cycle of toxicity and nutrient depletion.</w:t>
      </w:r>
    </w:p>
    <w:p w14:paraId="2469403B" w14:textId="77777777" w:rsidR="00AB2A62" w:rsidRPr="002C1B3D" w:rsidRDefault="00AF4B1D" w:rsidP="001A68CC">
      <w:pPr>
        <w:pStyle w:val="NormalWeb"/>
        <w:spacing w:after="0" w:afterAutospacing="0"/>
        <w:jc w:val="both"/>
        <w:rPr>
          <w:rStyle w:val="citation-281"/>
          <w:color w:val="1F1F1F"/>
        </w:rPr>
      </w:pPr>
      <w:r>
        <w:rPr>
          <w:color w:val="1F1F1F"/>
        </w:rPr>
        <w:t xml:space="preserve">Zinc is an essential trace element and a cofactor for over 300 enzymes, playing a vital role in metabolism, DNA repair, and immune function. Its depletion caused by lead exposure has two major physiological effects. Zinc is crucial for the proper functioning of </w:t>
      </w:r>
      <w:r w:rsidR="000A19E9">
        <w:rPr>
          <w:color w:val="1F1F1F"/>
        </w:rPr>
        <w:t>delta-</w:t>
      </w:r>
      <w:proofErr w:type="spellStart"/>
      <w:r w:rsidR="000A19E9">
        <w:rPr>
          <w:color w:val="1F1F1F"/>
        </w:rPr>
        <w:t>aminolevulinic</w:t>
      </w:r>
      <w:proofErr w:type="spellEnd"/>
      <w:r w:rsidR="000A19E9">
        <w:rPr>
          <w:color w:val="1F1F1F"/>
        </w:rPr>
        <w:t xml:space="preserve"> acid dehydratase</w:t>
      </w:r>
      <w:r w:rsidR="001F023A">
        <w:rPr>
          <w:color w:val="1F1F1F"/>
        </w:rPr>
        <w:t xml:space="preserve"> (d-ALAD) </w:t>
      </w:r>
      <w:r w:rsidR="001F023A">
        <w:rPr>
          <w:color w:val="1F1F1F"/>
        </w:rPr>
        <w:fldChar w:fldCharType="begin" w:fldLock="1"/>
      </w:r>
      <w:r w:rsidR="001F023A">
        <w:rPr>
          <w:color w:val="1F1F1F"/>
        </w:rPr>
        <w:instrText>ADDIN CSL_CITATION {"citationItems":[{"id":"ITEM-1","itemData":{"DOI":"10.20944/preprints202112.0371.v1","author":[{"dropping-particle":"","family":"Mukisa","given":"Ambrose","non-dropping-particle":"","parse-names":false,"suffix":""},{"dropping-particle":"","family":"Kasozi","given":"Denis","non-dropping-particle":"","parse-names":false,"suffix":""},{"dropping-particle":"","family":"Aguttu","given":"Claire","non-dropping-particle":"","parse-names":false,"suffix":""},{"dropping-particle":"","family":"Kyambadde","given":"Joseph","non-dropping-particle":"","parse-names":false,"suffix":""}],"id":"ITEM-1","issued":{"date-parts":[["2021","12","21"]]},"title":"Delta-Aminolevulinic Acid Dehydratase Enzyme Activity and Susceptibility to Lead Toxicity in Uganda’s Urban Children","type":"book"},"uris":["http://www.mendeley.com/documents/?uuid=f2e9d6e7-4a67-4b15-a791-5cbb6f56f5cc"]}],"mendeley":{"formattedCitation":"[22]","plainTextFormattedCitation":"[22]","previouslyFormattedCitation":"[22]"},"properties":{"noteIndex":0},"schema":"https://github.com/citation-style-language/schema/raw/master/csl-citation.json"}</w:instrText>
      </w:r>
      <w:r w:rsidR="001F023A">
        <w:rPr>
          <w:color w:val="1F1F1F"/>
        </w:rPr>
        <w:fldChar w:fldCharType="separate"/>
      </w:r>
      <w:r w:rsidR="001F023A" w:rsidRPr="001F023A">
        <w:rPr>
          <w:noProof/>
          <w:color w:val="1F1F1F"/>
        </w:rPr>
        <w:t>[22]</w:t>
      </w:r>
      <w:r w:rsidR="001F023A">
        <w:rPr>
          <w:color w:val="1F1F1F"/>
        </w:rPr>
        <w:fldChar w:fldCharType="end"/>
      </w:r>
      <w:r>
        <w:rPr>
          <w:color w:val="1F1F1F"/>
        </w:rPr>
        <w:t xml:space="preserve">. Lead significantly inhibits ALAD by competing with the zinc atom at its active site, thereby disrupting </w:t>
      </w:r>
      <w:proofErr w:type="spellStart"/>
      <w:r>
        <w:rPr>
          <w:color w:val="1F1F1F"/>
        </w:rPr>
        <w:t>haem</w:t>
      </w:r>
      <w:proofErr w:type="spellEnd"/>
      <w:r>
        <w:rPr>
          <w:color w:val="1F1F1F"/>
        </w:rPr>
        <w:t xml:space="preserve"> synthesis, the oxygen-carryi</w:t>
      </w:r>
      <w:r w:rsidR="00AC41B7">
        <w:rPr>
          <w:color w:val="1F1F1F"/>
        </w:rPr>
        <w:t xml:space="preserve">ng component of </w:t>
      </w:r>
      <w:proofErr w:type="spellStart"/>
      <w:r w:rsidR="00AC41B7">
        <w:rPr>
          <w:color w:val="1F1F1F"/>
        </w:rPr>
        <w:t>haemoglobin</w:t>
      </w:r>
      <w:proofErr w:type="spellEnd"/>
      <w:r>
        <w:rPr>
          <w:color w:val="1F1F1F"/>
        </w:rPr>
        <w:t xml:space="preserve">. Although the study found no significant difference in final Hb levels based on duration, ongoing zinc depletion and ALAD inhibition suggest a state of subclinical </w:t>
      </w:r>
      <w:proofErr w:type="spellStart"/>
      <w:r>
        <w:rPr>
          <w:color w:val="1F1F1F"/>
        </w:rPr>
        <w:t>haematotoxicity</w:t>
      </w:r>
      <w:proofErr w:type="spellEnd"/>
      <w:r>
        <w:rPr>
          <w:color w:val="1F1F1F"/>
        </w:rPr>
        <w:t xml:space="preserve"> and impaired erythropoiesis. Chronic exposure will eventually lead to microcytic </w:t>
      </w:r>
      <w:proofErr w:type="spellStart"/>
      <w:r w:rsidR="00AC41B7">
        <w:rPr>
          <w:color w:val="1F1F1F"/>
        </w:rPr>
        <w:t>anaemia</w:t>
      </w:r>
      <w:proofErr w:type="spellEnd"/>
      <w:r w:rsidR="00AC41B7">
        <w:rPr>
          <w:color w:val="1F1F1F"/>
        </w:rPr>
        <w:t xml:space="preserve"> </w:t>
      </w:r>
      <w:r w:rsidR="001F023A">
        <w:rPr>
          <w:color w:val="1F1F1F"/>
        </w:rPr>
        <w:fldChar w:fldCharType="begin" w:fldLock="1"/>
      </w:r>
      <w:r w:rsidR="00D24F2F">
        <w:rPr>
          <w:color w:val="1F1F1F"/>
        </w:rPr>
        <w:instrText>ADDIN CSL_CITATION {"citationItems":[{"id":"ITEM-1","itemData":{"DOI":"10.7759/cureus.3811","ISSN":"2168-8184 (Print)","PMID":"30868025","abstract":"Iron deficiency anemia (IDA) is the most common type of anemia. Impaired iron  absorption can be caused by a decrease in trace elements as zinc, which is found in the structure of enzymes that coordinate or catalyst iron metabolism. The aim of this study is to detect if zinc deficiency is associated with IDA and to determine the effect of associated zinc deficiency on symptoms of IDA in adult IDA patients. This case-control study included 30 IDA patients with matched healthy control group (n = 30) for age and sex. For each subject, the parameters were evaluated: hemoglobin (Hb); mean corpuscular volume (MCV), total iron binding capacity (TIBC), serum iron, serum ferritin (SF). Serum zinc levels were measured by atomic absorption method with the PerkinElmer Analyst. Symptoms attributed to iron deficiency or depletion, defined as fatigue, cardiopulmonary symptoms, mental manifestations, epithelial manifestations, and neuromuscular symptoms were recorded. Serum zinc levels were lower in IDA patients (43.4 ± 7.9 mg/dL) than in the control subjects (94.7 ± 16.75 mg/dL; p &lt; 0.0001). Zinc deficiency was associated with worse cardiovascular symptoms (p = 0.04), epithelial symptoms (p = 0.027), and restless leg syndrome (p &lt; 0.001) in patients with IDA. Measurement of zinc levels should be considered for IDA patients. With the help of our study, iron and zinc supplementation instead of only iron replacement may be considered in cases of iron deficiency particularly, in patients with severe epithelial dysfunctions. Further studies are still needed to evaluate the benefit of zinc and iron supplementation in IDA patients.","author":[{"dropping-particle":"","family":"Abdelhaleim","given":"Ayman Fathy","non-dropping-particle":"","parse-names":false,"suffix":""},{"dropping-particle":"","family":"Abdo Soliman","given":"Jehan S","non-dropping-particle":"","parse-names":false,"suffix":""},{"dropping-particle":"","family":"Amer","given":"Ahmed Y","non-dropping-particle":"","parse-names":false,"suffix":""},{"dropping-particle":"","family":"Abdo Soliman","given":"Jehan S","non-dropping-particle":"","parse-names":false,"suffix":""}],"container-title":"Cureus","id":"ITEM-1","issue":"1","issued":{"date-parts":[["2019","1"]]},"language":"eng","page":"e3811","publisher-place":"United States","title":"Association of Zinc Deficiency with Iron Deficiency Anemia and its Symptoms:  Results from a Case-control Study.","type":"article-journal","volume":"11"},"uris":["http://www.mendeley.com/documents/?uuid=e00df6de-74fa-4850-9802-1d82ae2284db"]}],"mendeley":{"formattedCitation":"[23]","plainTextFormattedCitation":"[23]","previouslyFormattedCitation":"[23]"},"properties":{"noteIndex":0},"schema":"https://github.com/citation-style-language/schema/raw/master/csl-citation.json"}</w:instrText>
      </w:r>
      <w:r w:rsidR="001F023A">
        <w:rPr>
          <w:color w:val="1F1F1F"/>
        </w:rPr>
        <w:fldChar w:fldCharType="separate"/>
      </w:r>
      <w:r w:rsidR="001F023A" w:rsidRPr="001F023A">
        <w:rPr>
          <w:noProof/>
          <w:color w:val="1F1F1F"/>
        </w:rPr>
        <w:t>[23]</w:t>
      </w:r>
      <w:r w:rsidR="001F023A">
        <w:rPr>
          <w:color w:val="1F1F1F"/>
        </w:rPr>
        <w:fldChar w:fldCharType="end"/>
      </w:r>
      <w:r w:rsidR="00AC41B7">
        <w:rPr>
          <w:color w:val="1F1F1F"/>
        </w:rPr>
        <w:t>.</w:t>
      </w:r>
      <w:r>
        <w:rPr>
          <w:color w:val="1F1F1F"/>
        </w:rPr>
        <w:t xml:space="preserve"> Additionally, Zn is an indispensable component of the antioxidant enzyme Copper/Zinc Superoxide Dismutase (Cu/Zn-SOD)</w:t>
      </w:r>
      <w:r w:rsidR="00D24F2F">
        <w:rPr>
          <w:color w:val="1F1F1F"/>
        </w:rPr>
        <w:fldChar w:fldCharType="begin" w:fldLock="1"/>
      </w:r>
      <w:r w:rsidR="00D24F2F">
        <w:rPr>
          <w:color w:val="1F1F1F"/>
        </w:rPr>
        <w:instrText>ADDIN CSL_CITATION {"citationItems":[{"id":"ITEM-1","itemData":{"DOI":"10.1016/j.bbadis.2006.03.008","ISSN":"09254439","PMID":"16713195","abstract":"The cause(s) of amyotrophic lateral sclerosis (ALS) is not fully understood in the vast majority of cases and the mechanisms involved in motor neuron degeneration are multi-factorial and complex. There is substantial evidence to support the hypothesis that oxidative stress is one mechanism by which motor neuron death occurs. This theory becomes more persuasive with the discovery that mutation of the anti-oxidant enzyme, superoxide dismutase 1 (SOD1), causes disease in a significant minority of cases. However, the precise mechanism(s) by which mutant SOD1 leads to motor neuron degeneration have not been defined with certainty, and trials of anti-oxidant therapies have been disappointing. Here, we review the evidence implicating oxidative stress in ALS pathogenesis, discuss how oxidative stress may affect and be affected by other proposed mechanisms of neurodegeneration, and review the trials of various anti-oxidants as potential therapies for ALS. © 2006 Elsevier B.V. All rights reserved.","author":[{"dropping-particle":"","family":"Barber","given":"Siân C.","non-dropping-particle":"","parse-names":false,"suffix":""},{"dropping-particle":"","family":"Mead","given":"Richard J.","non-dropping-particle":"","parse-names":false,"suffix":""},{"dropping-particle":"","family":"Shaw","given":"Pamela J.","non-dropping-particle":"","parse-names":false,"suffix":""}],"container-title":"Biochimica et Biophysica Acta - Molecular Basis of Disease","id":"ITEM-1","issue":"11-12","issued":{"date-parts":[["2006"]]},"page":"1051-1067","title":"Oxidative stress in ALS: A mechanism of neurodegeneration and a therapeutic target","type":"article-journal","volume":"1762"},"uris":["http://www.mendeley.com/documents/?uuid=30362143-a6cd-43f9-8f76-fde56334283b"]}],"mendeley":{"formattedCitation":"[24]","plainTextFormattedCitation":"[24]","previouslyFormattedCitation":"[24]"},"properties":{"noteIndex":0},"schema":"https://github.com/citation-style-language/schema/raw/master/csl-citation.json"}</w:instrText>
      </w:r>
      <w:r w:rsidR="00D24F2F">
        <w:rPr>
          <w:color w:val="1F1F1F"/>
        </w:rPr>
        <w:fldChar w:fldCharType="separate"/>
      </w:r>
      <w:r w:rsidR="00D24F2F" w:rsidRPr="00D24F2F">
        <w:rPr>
          <w:noProof/>
          <w:color w:val="1F1F1F"/>
        </w:rPr>
        <w:t>[24]</w:t>
      </w:r>
      <w:r w:rsidR="00D24F2F">
        <w:rPr>
          <w:color w:val="1F1F1F"/>
        </w:rPr>
        <w:fldChar w:fldCharType="end"/>
      </w:r>
      <w:r>
        <w:rPr>
          <w:color w:val="1F1F1F"/>
        </w:rPr>
        <w:t xml:space="preserve">. The reduction in available Zn </w:t>
      </w:r>
      <w:r w:rsidR="00C436B2">
        <w:rPr>
          <w:color w:val="1F1F1F"/>
        </w:rPr>
        <w:t>may compromise this enzyme’s activity, thereby converting the highly reactive superoxide radical (O2-</w:t>
      </w:r>
      <w:r>
        <w:rPr>
          <w:color w:val="1F1F1F"/>
        </w:rPr>
        <w:t>) into the les</w:t>
      </w:r>
      <w:r w:rsidR="00D24F2F">
        <w:rPr>
          <w:color w:val="1F1F1F"/>
        </w:rPr>
        <w:t xml:space="preserve">s toxic hydrogen peroxide </w:t>
      </w:r>
      <w:r w:rsidR="00196F8C">
        <w:rPr>
          <w:color w:val="1F1F1F"/>
        </w:rPr>
        <w:fldChar w:fldCharType="begin" w:fldLock="1"/>
      </w:r>
      <w:r w:rsidR="00C322EB">
        <w:rPr>
          <w:color w:val="1F1F1F"/>
        </w:rPr>
        <w:instrText>ADDIN CSL_CITATION {"citationItems":[{"id":"ITEM-1","itemData":{"DOI":"10.1155/2019/8549727","ISSN":"19420994","PMID":"31565155","abstract":"The overexposure to nickel due to the extensive use of it in modern technology remains a major public health concern. The mechanisms of pathological effects of this metal remain elusive. The present study was devoted to evaluate the effect of nickel on the oxidative state of the brain cells of mice and to assess whether zinc as redox state modulator could efficiently protect cells against nickel's neurotoxicity. As oxidative stress biomarkers in the present study, we have measured the concentrations of reduced glutathione, metallothioneins, and malondialdehyde and the activity of the enzyme δ-aminolevulinate dehydratase. For the single metal exposure, mice were i.p. injected once with solutions of NiCl2 and/or ZnSO4; repeated exposure was performed i.p. injecting metal salt solutions for 14 days (once a day). The control mice received i.p. injections of saline. Results of our study demonstrate that single and 14 days of Ni2+ exposure decreased reduced glutathione and increased malondialdehyde contents in the brain of mice. Repeated Ni2+ administration significantly inhibited δ-aminolevulinate dehydratase while increasing brain metallothionein concentration at both exposure periods. Zinc exhibited a protective effect against nickel-induced glutathione and lipid peroxidation in brain cells of mice at both intervals of time, while repeated exposure to this metal significantly raised the brain metallothionein content. Repeated Zn2+ pretreatment protected δ-aminolevulinate dehydratase from Ni2+-induced inhibition and significantly increased metallothionein concentration at both investigated time intervals.","author":[{"dropping-particle":"","family":"Šulinskiene","given":"Jurgita","non-dropping-particle":"","parse-names":false,"suffix":""},{"dropping-particle":"","family":"Bernotiene","given":"Rasa","non-dropping-particle":"","parse-names":false,"suffix":""},{"dropping-particle":"","family":"Baranauskiene","given":"Dale","non-dropping-particle":"","parse-names":false,"suffix":""},{"dropping-particle":"","family":"Naginiene","given":"Rima","non-dropping-particle":"","parse-names":false,"suffix":""},{"dropping-particle":"","family":"Stanevičiene","given":"Inga","non-dropping-particle":"","parse-names":false,"suffix":""},{"dropping-particle":"","family":"Kašauskas","given":"Arturas","non-dropping-particle":"","parse-names":false,"suffix":""},{"dropping-particle":"","family":"Ivanov","given":"Leonid","non-dropping-particle":"","parse-names":false,"suffix":""}],"container-title":"Oxidative Medicine and Cellular Longevity","id":"ITEM-1","issued":{"date-parts":[["2019"]]},"title":"Effect of Zinc on the Oxidative Stress Biomarkers in the Brain of Nickel-Treated Mice","type":"article-journal","volume":"2019"},"uris":["http://www.mendeley.com/documents/?uuid=7aace51e-f862-4d63-be06-8c55c769626f"]}],"mendeley":{"formattedCitation":"[25]","plainTextFormattedCitation":"[25]","previouslyFormattedCitation":"[25]"},"properties":{"noteIndex":0},"schema":"https://github.com/citation-style-language/schema/raw/master/csl-citation.json"}</w:instrText>
      </w:r>
      <w:r w:rsidR="00196F8C">
        <w:rPr>
          <w:color w:val="1F1F1F"/>
        </w:rPr>
        <w:fldChar w:fldCharType="separate"/>
      </w:r>
      <w:r w:rsidR="00196F8C" w:rsidRPr="00196F8C">
        <w:rPr>
          <w:noProof/>
          <w:color w:val="1F1F1F"/>
        </w:rPr>
        <w:t>[25]</w:t>
      </w:r>
      <w:r w:rsidR="00196F8C">
        <w:rPr>
          <w:color w:val="1F1F1F"/>
        </w:rPr>
        <w:fldChar w:fldCharType="end"/>
      </w:r>
      <w:r>
        <w:rPr>
          <w:color w:val="1F1F1F"/>
        </w:rPr>
        <w:t xml:space="preserve">. The implication is that reduced Zn levels weaken the body's first line of </w:t>
      </w:r>
      <w:proofErr w:type="spellStart"/>
      <w:r>
        <w:rPr>
          <w:color w:val="1F1F1F"/>
        </w:rPr>
        <w:t>defence</w:t>
      </w:r>
      <w:proofErr w:type="spellEnd"/>
      <w:r>
        <w:rPr>
          <w:color w:val="1F1F1F"/>
        </w:rPr>
        <w:t xml:space="preserve"> against</w:t>
      </w:r>
      <w:r w:rsidR="00464F8F">
        <w:rPr>
          <w:color w:val="1F1F1F"/>
        </w:rPr>
        <w:t xml:space="preserve"> ROS generated by lead, leading to</w:t>
      </w:r>
      <w:r>
        <w:rPr>
          <w:color w:val="1F1F1F"/>
        </w:rPr>
        <w:t xml:space="preserve"> a build-up of oxidative stress and potential damage to lipids, proteins, and DNA.</w:t>
      </w:r>
    </w:p>
    <w:p w14:paraId="74D1D77F" w14:textId="77777777" w:rsidR="00F0514E" w:rsidRDefault="002C1B3D" w:rsidP="001A68CC">
      <w:pPr>
        <w:pStyle w:val="NormalWeb"/>
        <w:spacing w:after="0" w:afterAutospacing="0"/>
        <w:jc w:val="both"/>
        <w:rPr>
          <w:rStyle w:val="citation-276"/>
          <w:color w:val="1F1F1F"/>
          <w:bdr w:val="none" w:sz="0" w:space="0" w:color="auto" w:frame="1"/>
        </w:rPr>
      </w:pPr>
      <w:r>
        <w:rPr>
          <w:color w:val="1F1F1F"/>
        </w:rPr>
        <w:t>Selenium is a crucial trace element, mainly known for its roles in antioxidant protection and immune response. Se</w:t>
      </w:r>
      <w:r w:rsidR="000A19E9">
        <w:rPr>
          <w:color w:val="1F1F1F"/>
        </w:rPr>
        <w:t>,</w:t>
      </w:r>
      <w:r w:rsidR="00C322EB">
        <w:rPr>
          <w:color w:val="1F1F1F"/>
        </w:rPr>
        <w:t xml:space="preserve"> which </w:t>
      </w:r>
      <w:r w:rsidR="00C322EB">
        <w:t>plays a central role in the formation of selenocysteine,</w:t>
      </w:r>
      <w:r>
        <w:rPr>
          <w:color w:val="1F1F1F"/>
        </w:rPr>
        <w:t xml:space="preserve"> is an essential </w:t>
      </w:r>
      <w:r>
        <w:rPr>
          <w:color w:val="1F1F1F"/>
        </w:rPr>
        <w:lastRenderedPageBreak/>
        <w:t xml:space="preserve">structural </w:t>
      </w:r>
      <w:r w:rsidR="00EC5060">
        <w:rPr>
          <w:color w:val="1F1F1F"/>
        </w:rPr>
        <w:t>component of the enzyme Glutathione Peroxidase (</w:t>
      </w:r>
      <w:proofErr w:type="spellStart"/>
      <w:r w:rsidR="00EC5060">
        <w:rPr>
          <w:color w:val="1F1F1F"/>
        </w:rPr>
        <w:t>GPx</w:t>
      </w:r>
      <w:proofErr w:type="spellEnd"/>
      <w:r w:rsidR="00EC5060">
        <w:rPr>
          <w:color w:val="1F1F1F"/>
        </w:rPr>
        <w:t>), which is vital for neutralizing hydrogen peroxide and organic hydroperoxides, thereby</w:t>
      </w:r>
      <w:r>
        <w:rPr>
          <w:color w:val="1F1F1F"/>
        </w:rPr>
        <w:t xml:space="preserve"> detoxifying harmful ROS. The notable decline in Se seen in workers with prolonged exposure</w:t>
      </w:r>
      <w:r w:rsidR="00C436B2">
        <w:rPr>
          <w:color w:val="1F1F1F"/>
        </w:rPr>
        <w:t xml:space="preserve"> may directly undermine</w:t>
      </w:r>
      <w:r>
        <w:rPr>
          <w:color w:val="1F1F1F"/>
        </w:rPr>
        <w:t xml:space="preserve"> </w:t>
      </w:r>
      <w:proofErr w:type="spellStart"/>
      <w:r>
        <w:rPr>
          <w:color w:val="1F1F1F"/>
        </w:rPr>
        <w:t>GPx</w:t>
      </w:r>
      <w:proofErr w:type="spellEnd"/>
      <w:r>
        <w:rPr>
          <w:color w:val="1F1F1F"/>
        </w:rPr>
        <w:t xml:space="preserve"> activity</w:t>
      </w:r>
      <w:r w:rsidR="00C322EB">
        <w:rPr>
          <w:color w:val="1F1F1F"/>
        </w:rPr>
        <w:t xml:space="preserve"> </w:t>
      </w:r>
      <w:r w:rsidR="00C322EB">
        <w:rPr>
          <w:color w:val="1F1F1F"/>
        </w:rPr>
        <w:fldChar w:fldCharType="begin" w:fldLock="1"/>
      </w:r>
      <w:r w:rsidR="00C322EB">
        <w:rPr>
          <w:color w:val="1F1F1F"/>
        </w:rPr>
        <w:instrText>ADDIN CSL_CITATION {"citationItems":[{"id":"ITEM-1","itemData":{"DOI":"10.2174/138955707781024526","author":[{"dropping-particle":"","family":"Stawicki","given":"Stanislaw","non-dropping-particle":"","parse-names":false,"suffix":""},{"dropping-particle":"","family":"Lyons","given":"Melanie","non-dropping-particle":"","parse-names":false,"suffix":""},{"dropping-particle":"","family":"Aloupis","given":"Marianne","non-dropping-particle":"","parse-names":false,"suffix":""},{"dropping-particle":"","family":"Sarani","given":"Babak","non-dropping-particle":"","parse-names":false,"suffix":""}],"container-title":"Mini Reviews in Medicinal Chemistry","id":"ITEM-1","issued":{"date-parts":[["2007","7","1"]]},"page":"1-7","title":"Current Evidence from Phase III Clinical Trials of Selenium Supplementation in Critically Ill Patients: Why Should We Bother?","type":"article-journal","volume":"7"},"uris":["http://www.mendeley.com/documents/?uuid=1b268110-69e4-4346-8d64-274f3e9b36cb"]}],"mendeley":{"formattedCitation":"[26]","plainTextFormattedCitation":"[26]","previouslyFormattedCitation":"[26]"},"properties":{"noteIndex":0},"schema":"https://github.com/citation-style-language/schema/raw/master/csl-citation.json"}</w:instrText>
      </w:r>
      <w:r w:rsidR="00C322EB">
        <w:rPr>
          <w:color w:val="1F1F1F"/>
        </w:rPr>
        <w:fldChar w:fldCharType="separate"/>
      </w:r>
      <w:r w:rsidR="00C322EB" w:rsidRPr="00C322EB">
        <w:rPr>
          <w:noProof/>
          <w:color w:val="1F1F1F"/>
        </w:rPr>
        <w:t>[26]</w:t>
      </w:r>
      <w:r w:rsidR="00C322EB">
        <w:rPr>
          <w:color w:val="1F1F1F"/>
        </w:rPr>
        <w:fldChar w:fldCharType="end"/>
      </w:r>
      <w:r w:rsidR="00C322EB">
        <w:rPr>
          <w:color w:val="1F1F1F"/>
        </w:rPr>
        <w:fldChar w:fldCharType="begin" w:fldLock="1"/>
      </w:r>
      <w:r w:rsidR="00C322EB">
        <w:rPr>
          <w:color w:val="1F1F1F"/>
        </w:rPr>
        <w:instrText>ADDIN CSL_CITATION {"citationItems":[{"id":"ITEM-1","itemData":{"DOI":"10.3389/fphar.2023.1147414","ISSN":"1663-9812 (Print)","PMID":"36937839","abstract":"Maintaining the balance of a cell's redox function is key to determining cell  fate. In the critical redox system of mammalian cells, glutathione peroxidase (GPX) is the most prominent family of proteins with a multifaceted function that affects almost all cellular processes. A total of eight members of the GPX family are currently found, namely GPX1-GPX8. They have long been used as antioxidant enzymes to play an important role in combating oxidative stress and maintaining redox balance. However, each member of the GPX family has a different mechanism of action and site of action in maintaining redox balance. GPX1-4 and GPX6 use selenocysteine as the active center to catalyze the reduction of H(2)O(2) or organic hydroperoxides to water or corresponding alcohols, thereby reducing their toxicity and maintaining redox balance. In addition to reducing H(2)O(2) and small molecule hydroperoxides, GPX4 is also capable of reducing complex lipid compounds. It is the only enzyme in the GPX family that directly reduces and destroys lipid hydroperoxides. The active sites of GPX5 and GPX7-GPX8 do not contain selenium cysteine (Secys), but instead, have cysteine residues (Cys) as their active sites. GPX5 is mainly expressed in epididymal tissue and plays a role in protecting sperm from oxidative stress. Both enzymes, GPX7 and GPX8, are located in the endoplasmic reticulum and are necessary enzymes involved in the oxidative folding of endoplasmic reticulum proteins, and GPX8 also plays an important role in the regulation of Ca(2+) in the endoplasmic reticulum. With an in-depth understanding of the role of the GPX family members in health and disease development, redox balance has become the functional core of GPX family, in order to further clarify the expression and regulatory mechanism of each member in the redox process, we reviewed GPX family members separately.","author":[{"dropping-particle":"","family":"Pei","given":"Jun","non-dropping-particle":"","parse-names":false,"suffix":""},{"dropping-particle":"","family":"Pan","given":"Xingyu","non-dropping-particle":"","parse-names":false,"suffix":""},{"dropping-particle":"","family":"Wei","given":"Guanghui","non-dropping-particle":"","parse-names":false,"suffix":""},{"dropping-particle":"","family":"Hua","given":"Yi","non-dropping-particle":"","parse-names":false,"suffix":""}],"container-title":"Frontiers in pharmacology","id":"ITEM-1","issued":{"date-parts":[["2023"]]},"language":"eng","page":"1147414","publisher-place":"Switzerland","title":"Research progress of glutathione peroxidase family (GPX) in redoxidation.","type":"article-journal","volume":"14"},"uris":["http://www.mendeley.com/documents/?uuid=eb002639-5bb3-4f20-ae90-05a80d90fe00"]}],"mendeley":{"formattedCitation":"[27]","plainTextFormattedCitation":"[27]","previouslyFormattedCitation":"[27]"},"properties":{"noteIndex":0},"schema":"https://github.com/citation-style-language/schema/raw/master/csl-citation.json"}</w:instrText>
      </w:r>
      <w:r w:rsidR="00C322EB">
        <w:rPr>
          <w:color w:val="1F1F1F"/>
        </w:rPr>
        <w:fldChar w:fldCharType="separate"/>
      </w:r>
      <w:r w:rsidR="00C322EB" w:rsidRPr="00C322EB">
        <w:rPr>
          <w:noProof/>
          <w:color w:val="1F1F1F"/>
        </w:rPr>
        <w:t>[27]</w:t>
      </w:r>
      <w:r w:rsidR="00C322EB">
        <w:rPr>
          <w:color w:val="1F1F1F"/>
        </w:rPr>
        <w:fldChar w:fldCharType="end"/>
      </w:r>
      <w:r w:rsidR="00C322EB">
        <w:rPr>
          <w:color w:val="1F1F1F"/>
        </w:rPr>
        <w:fldChar w:fldCharType="begin" w:fldLock="1"/>
      </w:r>
      <w:r w:rsidR="00BF7AAB">
        <w:rPr>
          <w:color w:val="1F1F1F"/>
        </w:rPr>
        <w:instrText>ADDIN CSL_CITATION {"citationItems":[{"id":"ITEM-1","itemData":{"DOI":"10.1016/j.redox.2020.101518","ISSN":"2213-2317 (Electronic)","PMID":"32278283","abstract":"Selenium is a metalloid trace element essential for maintaining the optimal redox  environment in cells and tissues. It is structurally incorporated into over 25 selenoproteins and enzymes. The glutathione peroxidase (GPx) family of enzymes has a critical role in human health because of its antioxidant function. The recommended daily allowance (RDA) for selenium intake in humans was established to maximize the activity of GPx in plasma. Suboptimal availability of selenium can limit the expression and activities of GPxs leading to a compromised redox environment. This can cause detrimental oxidative distress that could be prevented by increasing the availability of selenium. In cell culture studies, the medium is typically deficient in selenium; supplementation with selenium can increase selenoenzyme activities. However, the optimal level of supplementation in cell culture media has not been well characterized. We performed dose-response experiments for the activities of GPx1 and GPx4 vs. the level of selenium supplementation in cell culture medium. For this, we advanced an assay to determine the activities of both GPx1 and GPx4 efficiently in a single run. During the optimization process, we found that the observed activities of GPx1 and GPx4 depend greatly on the pH of the assay buffer; the observed activities increase with increasing pH, with pH 8 being optimal. Using the combination assay, we also found that the expression and activities for both GPx1 and GPx4 can be maximized in exponentially growing cells by supplementing cell culture media with ≈ 200 nM seleno-l-methionine, without concerns for toxicity. Optimizing the availability of selenium in cell culture to maximize the expression and activities GPx1 and GPx4 may allow for better translation of information from cell culture work to in vivo settings.","author":[{"dropping-particle":"","family":"Stolwijk","given":"Jeffrey M","non-dropping-particle":"","parse-names":false,"suffix":""},{"dropping-particle":"","family":"Falls-Hubert","given":"Kelly C","non-dropping-particle":"","parse-names":false,"suffix":""},{"dropping-particle":"","family":"Searby","given":"Charles C","non-dropping-particle":"","parse-names":false,"suffix":""},{"dropping-particle":"","family":"Wagner","given":"Brett A","non-dropping-particle":"","parse-names":false,"suffix":""},{"dropping-particle":"","family":"Buettner","given":"Garry R","non-dropping-particle":"","parse-names":false,"suffix":""}],"container-title":"Redox biology","id":"ITEM-1","issued":{"date-parts":[["2020","5"]]},"language":"eng","page":"101518","publisher-place":"Netherlands","title":"Simultaneous detection of the enzyme activities of GPx1 and GPx4 guide  optimization of selenium in cell biological experiments.","type":"article-journal","volume":"32"},"uris":["http://www.mendeley.com/documents/?uuid=ca5c18cc-afca-41c1-a14b-b3f138ee934a"]}],"mendeley":{"formattedCitation":"[28]","plainTextFormattedCitation":"[28]","previouslyFormattedCitation":"[28]"},"properties":{"noteIndex":0},"schema":"https://github.com/citation-style-language/schema/raw/master/csl-citation.json"}</w:instrText>
      </w:r>
      <w:r w:rsidR="00C322EB">
        <w:rPr>
          <w:color w:val="1F1F1F"/>
        </w:rPr>
        <w:fldChar w:fldCharType="separate"/>
      </w:r>
      <w:r w:rsidR="00C322EB" w:rsidRPr="00C322EB">
        <w:rPr>
          <w:noProof/>
          <w:color w:val="1F1F1F"/>
        </w:rPr>
        <w:t>[28]</w:t>
      </w:r>
      <w:r w:rsidR="00C322EB">
        <w:rPr>
          <w:color w:val="1F1F1F"/>
        </w:rPr>
        <w:fldChar w:fldCharType="end"/>
      </w:r>
      <w:r w:rsidR="00BF7AAB">
        <w:rPr>
          <w:color w:val="1F1F1F"/>
        </w:rPr>
        <w:t xml:space="preserve">. The depletion of selenium and zinc may reduce </w:t>
      </w:r>
      <w:proofErr w:type="spellStart"/>
      <w:r w:rsidR="00BF7AAB">
        <w:rPr>
          <w:color w:val="1F1F1F"/>
        </w:rPr>
        <w:t>GPx</w:t>
      </w:r>
      <w:proofErr w:type="spellEnd"/>
      <w:r w:rsidR="00BF7AAB">
        <w:rPr>
          <w:color w:val="1F1F1F"/>
        </w:rPr>
        <w:t xml:space="preserve"> and SOD, leading to a severe imbalance in the cellular redox state and, in turn</w:t>
      </w:r>
      <w:r>
        <w:rPr>
          <w:color w:val="1F1F1F"/>
        </w:rPr>
        <w:t>, exponentially increasing lead-induced oxidative stress and cellular injury, particularly in the kidneys and liver</w:t>
      </w:r>
      <w:r w:rsidR="00BF7AAB">
        <w:rPr>
          <w:color w:val="1F1F1F"/>
        </w:rPr>
        <w:t xml:space="preserve"> </w:t>
      </w:r>
      <w:r w:rsidR="00BF7AAB">
        <w:rPr>
          <w:color w:val="1F1F1F"/>
        </w:rPr>
        <w:fldChar w:fldCharType="begin" w:fldLock="1"/>
      </w:r>
      <w:r w:rsidR="00BF7AAB">
        <w:rPr>
          <w:color w:val="1F1F1F"/>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968c131c-6c88-449f-99bd-018dd214afa2"]}],"mendeley":{"formattedCitation":"[5]","plainTextFormattedCitation":"[5]","previouslyFormattedCitation":"[5]"},"properties":{"noteIndex":0},"schema":"https://github.com/citation-style-language/schema/raw/master/csl-citation.json"}</w:instrText>
      </w:r>
      <w:r w:rsidR="00BF7AAB">
        <w:rPr>
          <w:color w:val="1F1F1F"/>
        </w:rPr>
        <w:fldChar w:fldCharType="separate"/>
      </w:r>
      <w:r w:rsidR="00BF7AAB" w:rsidRPr="00BF7AAB">
        <w:rPr>
          <w:noProof/>
          <w:color w:val="1F1F1F"/>
        </w:rPr>
        <w:t>[5]</w:t>
      </w:r>
      <w:r w:rsidR="00BF7AAB">
        <w:rPr>
          <w:color w:val="1F1F1F"/>
        </w:rPr>
        <w:fldChar w:fldCharType="end"/>
      </w:r>
      <w:r w:rsidR="00BF7AAB">
        <w:rPr>
          <w:color w:val="1F1F1F"/>
        </w:rPr>
        <w:fldChar w:fldCharType="begin" w:fldLock="1"/>
      </w:r>
      <w:r w:rsidR="00BF7AAB">
        <w:rPr>
          <w:color w:val="1F1F1F"/>
        </w:rPr>
        <w:instrText>ADDIN CSL_CITATION {"citationItems":[{"id":"ITEM-1","itemData":{"DOI":"10.4061/2011/457327","ISSN":"2042-0048 (Electronic)","PMID":"21547215","abstract":"Oxidative stress has been implicated to play a role, at least in part, in  pathogenesis of many disease conditions and toxicities in animals. Overproduction of reactive oxygen species and free radicals beyond the cells intrinsic capacity to neutralize following xenobiotics exposure leads to a state of oxidative stress and resultant damages of lipids, protein, and DNA. Lead and cadmium are the common environmental heavy metal pollutants and have widespread distribution. Both natural and anthropogenic sources including mining, smelting, and other industrial processes are responsible for human and animal exposure. These pollutants, many a times, are copollutants leading to concurrent exposure to living beings and resultant synergistic deleterious health effects. Several mechanisms have been explained for the damaging effects on the body system. Of late, oxidative stress has been implicated in the pathogenesis of the lead- and cadmium-induced pathotoxicity. Several ameliorative measures to counteract the oxidative damage to the body system aftermath or during exposure to these toxicants have been assessed with the use of antioxidants. The present review focuses on mechanism of lead- and cadmium-induced oxidate damages and the ameliorative measures to counteract the oxidative damage and pathotoxicity with the use of supplemented antioxidants for their beneficial effects.","author":[{"dropping-particle":"","family":"Patra","given":"R C","non-dropping-particle":"","parse-names":false,"suffix":""},{"dropping-particle":"","family":"Rautray","given":"Amiya K","non-dropping-particle":"","parse-names":false,"suffix":""},{"dropping-particle":"","family":"Swarup","given":"D","non-dropping-particle":"","parse-names":false,"suffix":""}],"container-title":"Veterinary medicine international","id":"ITEM-1","issued":{"date-parts":[["2011","3"]]},"language":"eng","page":"457327","publisher-place":"United States","title":"Oxidative stress in lead and cadmium toxicity and its amelioration.","type":"article-journal","volume":"2011"},"uris":["http://www.mendeley.com/documents/?uuid=a4c7d539-da5c-4039-8411-3ecb8d4689d0"]}],"mendeley":{"formattedCitation":"[29]","plainTextFormattedCitation":"[29]","previouslyFormattedCitation":"[29]"},"properties":{"noteIndex":0},"schema":"https://github.com/citation-style-language/schema/raw/master/csl-citation.json"}</w:instrText>
      </w:r>
      <w:r w:rsidR="00BF7AAB">
        <w:rPr>
          <w:color w:val="1F1F1F"/>
        </w:rPr>
        <w:fldChar w:fldCharType="separate"/>
      </w:r>
      <w:r w:rsidR="00BF7AAB" w:rsidRPr="00BF7AAB">
        <w:rPr>
          <w:noProof/>
          <w:color w:val="1F1F1F"/>
        </w:rPr>
        <w:t>[29]</w:t>
      </w:r>
      <w:r w:rsidR="00BF7AAB">
        <w:rPr>
          <w:color w:val="1F1F1F"/>
        </w:rPr>
        <w:fldChar w:fldCharType="end"/>
      </w:r>
      <w:r w:rsidR="00BF7AAB">
        <w:rPr>
          <w:color w:val="1F1F1F"/>
        </w:rPr>
        <w:fldChar w:fldCharType="begin" w:fldLock="1"/>
      </w:r>
      <w:r w:rsidR="002A3BE6">
        <w:rPr>
          <w:color w:val="1F1F1F"/>
        </w:rPr>
        <w:instrText>ADDIN CSL_CITATION {"citationItems":[{"id":"ITEM-1","itemData":{"DOI":"10.21608/zvjz.2017.28665","author":[{"dropping-particle":"","family":"Khater","given":"Safaa I.","non-dropping-particle":"","parse-names":false,"suffix":""},{"dropping-particle":"","family":"ELsaadawy","given":"Hamad A.","non-dropping-particle":"","parse-names":false,"suffix":""},{"dropping-particle":"","family":"El-Basyoni","given":"Shrouk A.","non-dropping-particle":"","parse-names":false,"suffix":""}],"container-title":"Zagazig Veterinary Journal","id":"ITEM-1","issue":"1","issued":{"date-parts":[["2017"]]},"page":"201-209","title":"Effect of Zinc, Selenium and their Combination on Cadmium- Induced Oxidative Stress in Rat Kidney-A Molecular Study","type":"article-journal","volume":"45"},"uris":["http://www.mendeley.com/documents/?uuid=a987422c-89fe-4bd7-8e9a-2236fb06de9f"]}],"mendeley":{"formattedCitation":"[30]","plainTextFormattedCitation":"[30]","previouslyFormattedCitation":"[30]"},"properties":{"noteIndex":0},"schema":"https://github.com/citation-style-language/schema/raw/master/csl-citation.json"}</w:instrText>
      </w:r>
      <w:r w:rsidR="00BF7AAB">
        <w:rPr>
          <w:color w:val="1F1F1F"/>
        </w:rPr>
        <w:fldChar w:fldCharType="separate"/>
      </w:r>
      <w:r w:rsidR="00BF7AAB" w:rsidRPr="00BF7AAB">
        <w:rPr>
          <w:noProof/>
          <w:color w:val="1F1F1F"/>
        </w:rPr>
        <w:t>[30]</w:t>
      </w:r>
      <w:r w:rsidR="00BF7AAB">
        <w:rPr>
          <w:color w:val="1F1F1F"/>
        </w:rPr>
        <w:fldChar w:fldCharType="end"/>
      </w:r>
      <w:r>
        <w:rPr>
          <w:color w:val="1F1F1F"/>
        </w:rPr>
        <w:t>.</w:t>
      </w:r>
    </w:p>
    <w:p w14:paraId="31450897" w14:textId="77777777" w:rsidR="00F0514E" w:rsidRPr="002C1B3D" w:rsidRDefault="00F0514E" w:rsidP="001A68CC">
      <w:pPr>
        <w:pStyle w:val="NormalWeb"/>
        <w:spacing w:after="0" w:afterAutospacing="0"/>
        <w:jc w:val="both"/>
        <w:rPr>
          <w:color w:val="1F1F1F"/>
        </w:rPr>
      </w:pPr>
      <w:r>
        <w:rPr>
          <w:color w:val="1F1F1F"/>
        </w:rPr>
        <w:t xml:space="preserve">Vitamin C is a powerful, water-soluble, non-enzymatic antioxidant that directly scavenges </w:t>
      </w:r>
      <w:r>
        <w:rPr>
          <w:rStyle w:val="math-inline"/>
          <w:color w:val="1F1F1F"/>
          <w:bdr w:val="none" w:sz="0" w:space="0" w:color="auto" w:frame="1"/>
        </w:rPr>
        <w:t xml:space="preserve">ROS </w:t>
      </w:r>
      <w:r>
        <w:rPr>
          <w:color w:val="1F1F1F"/>
        </w:rPr>
        <w:t>and helps regenerate other antioxidants</w:t>
      </w:r>
      <w:r w:rsidR="00076329">
        <w:rPr>
          <w:color w:val="1F1F1F"/>
        </w:rPr>
        <w:t>, such as</w:t>
      </w:r>
      <w:r>
        <w:rPr>
          <w:color w:val="1F1F1F"/>
        </w:rPr>
        <w:t xml:space="preserve"> Vitamin E. </w:t>
      </w:r>
      <w:r>
        <w:rPr>
          <w:rStyle w:val="citation-275"/>
          <w:color w:val="1F1F1F"/>
          <w:bdr w:val="none" w:sz="0" w:space="0" w:color="auto" w:frame="1"/>
        </w:rPr>
        <w:t xml:space="preserve">Vitamin C can directly </w:t>
      </w:r>
      <w:r w:rsidR="002A3BE6">
        <w:rPr>
          <w:rStyle w:val="citation-275"/>
          <w:color w:val="1F1F1F"/>
          <w:bdr w:val="none" w:sz="0" w:space="0" w:color="auto" w:frame="1"/>
        </w:rPr>
        <w:t>neutraliz</w:t>
      </w:r>
      <w:r w:rsidR="00EC05A2">
        <w:rPr>
          <w:rStyle w:val="citation-275"/>
          <w:color w:val="1F1F1F"/>
          <w:bdr w:val="none" w:sz="0" w:space="0" w:color="auto" w:frame="1"/>
        </w:rPr>
        <w:t>e lead-generated free radicals and chelate specific metal ions, potentially l</w:t>
      </w:r>
      <w:r w:rsidR="00594993">
        <w:rPr>
          <w:rStyle w:val="citation-275"/>
          <w:color w:val="1F1F1F"/>
          <w:bdr w:val="none" w:sz="0" w:space="0" w:color="auto" w:frame="1"/>
        </w:rPr>
        <w:t>imiting their ability to catalyz</w:t>
      </w:r>
      <w:r w:rsidR="00EC05A2">
        <w:rPr>
          <w:rStyle w:val="citation-275"/>
          <w:color w:val="1F1F1F"/>
          <w:bdr w:val="none" w:sz="0" w:space="0" w:color="auto" w:frame="1"/>
        </w:rPr>
        <w:t>e</w:t>
      </w:r>
      <w:r>
        <w:rPr>
          <w:rStyle w:val="citation-275"/>
          <w:color w:val="1F1F1F"/>
          <w:bdr w:val="none" w:sz="0" w:space="0" w:color="auto" w:frame="1"/>
        </w:rPr>
        <w:t xml:space="preserve"> further free radical formation</w:t>
      </w:r>
      <w:r>
        <w:rPr>
          <w:rStyle w:val="citation-275"/>
          <w:color w:val="444746"/>
          <w:bdr w:val="none" w:sz="0" w:space="0" w:color="auto" w:frame="1"/>
        </w:rPr>
        <w:t>.</w:t>
      </w:r>
      <w:r w:rsidR="002C1B3D">
        <w:rPr>
          <w:color w:val="1F1F1F"/>
        </w:rPr>
        <w:t xml:space="preserve"> </w:t>
      </w:r>
      <w:r>
        <w:rPr>
          <w:rStyle w:val="citation-274"/>
          <w:color w:val="1F1F1F"/>
          <w:bdr w:val="none" w:sz="0" w:space="0" w:color="auto" w:frame="1"/>
        </w:rPr>
        <w:t xml:space="preserve">The highly significant reduction in plasma Vitamin C levels, especially </w:t>
      </w:r>
      <w:r w:rsidR="00EC05A2">
        <w:rPr>
          <w:rStyle w:val="citation-274"/>
          <w:color w:val="1F1F1F"/>
          <w:bdr w:val="none" w:sz="0" w:space="0" w:color="auto" w:frame="1"/>
        </w:rPr>
        <w:t>among battery chargers with more prolonged exposure, suggests that this crucial antioxidant is being rapidly depleted</w:t>
      </w:r>
      <w:r>
        <w:rPr>
          <w:rStyle w:val="citation-273"/>
          <w:color w:val="1F1F1F"/>
          <w:bdr w:val="none" w:sz="0" w:space="0" w:color="auto" w:frame="1"/>
        </w:rPr>
        <w:t xml:space="preserve"> to quench the massive surge of lead-induced free radicals</w:t>
      </w:r>
      <w:r>
        <w:rPr>
          <w:color w:val="1F1F1F"/>
          <w:bdr w:val="none" w:sz="0" w:space="0" w:color="auto" w:frame="1"/>
        </w:rPr>
        <w:t xml:space="preserve">. </w:t>
      </w:r>
      <w:r>
        <w:rPr>
          <w:rStyle w:val="citation-272"/>
          <w:color w:val="1F1F1F"/>
          <w:bdr w:val="none" w:sz="0" w:space="0" w:color="auto" w:frame="1"/>
        </w:rPr>
        <w:t>A state of chronic Vitamin C depletion leaves the body vulnerable to sustained oxidative damage and impairs immune function and collagen synthesis</w:t>
      </w:r>
      <w:r w:rsidR="002A3BE6">
        <w:rPr>
          <w:rStyle w:val="citation-272"/>
          <w:color w:val="1F1F1F"/>
          <w:bdr w:val="none" w:sz="0" w:space="0" w:color="auto" w:frame="1"/>
        </w:rPr>
        <w:t xml:space="preserve"> </w:t>
      </w:r>
      <w:r w:rsidR="002A3BE6">
        <w:rPr>
          <w:rStyle w:val="citation-272"/>
          <w:color w:val="1F1F1F"/>
          <w:bdr w:val="none" w:sz="0" w:space="0" w:color="auto" w:frame="1"/>
        </w:rPr>
        <w:fldChar w:fldCharType="begin" w:fldLock="1"/>
      </w:r>
      <w:r w:rsidR="002A3BE6">
        <w:rPr>
          <w:rStyle w:val="citation-272"/>
          <w:color w:val="1F1F1F"/>
          <w:bdr w:val="none" w:sz="0" w:space="0" w:color="auto" w:frame="1"/>
        </w:rPr>
        <w:instrText>ADDIN CSL_CITATION {"citationItems":[{"id":"ITEM-1","itemData":{"DOI":"10.3390/nu9111211","ISSN":"2072-6643 (Electronic)","PMID":"29099763","abstract":"Vitamin C is an essential micronutrient for humans, with pleiotropic functions  related to its ability to donate electrons. It is a potent antioxidant and a cofactor for a family of biosynthetic and gene regulatory enzymes. Vitamin C contributes to immune defense by supporting various cellular functions of both the innate and adaptive immune system. Vitamin C supports epithelial barrier function against pathogens and promotes the oxidant scavenging activity of the skin, thereby potentially protecting against environmental oxidative stress. Vitamin C accumulates in phagocytic cells, such as neutrophils, and can enhance chemotaxis, phagocytosis, generation of reactive oxygen species, and ultimately microbial killing. It is also needed for apoptosis and clearance of the spent neutrophils from sites of infection by macrophages, thereby decreasing necrosis/NETosis and potential tissue damage. The role of vitamin C in lymphocytes is less clear, but it has been shown to enhance differentiation and proliferation of B- and T-cells, likely due to its gene regulating effects. Vitamin C deficiency results in impaired immunity and higher susceptibility to infections. In turn, infections significantly impact on vitamin C levels due to enhanced inflammation and metabolic requirements. Furthermore, supplementation with vitamin C appears to be able to both prevent and treat respiratory and systemic infections. Prophylactic prevention of infection requires dietary vitamin C intakes that provide at least adequate, if not saturating plasma levels (i.e., 100-200 mg/day), which optimize cell and tissue levels. In contrast, treatment of established infections requires significantly higher (gram) doses of the vitamin to compensate for the increased inflammatory response and metabolic demand.","author":[{"dropping-particle":"","family":"Carr","given":"Anitra C","non-dropping-particle":"","parse-names":false,"suffix":""},{"dropping-particle":"","family":"Maggini","given":"Silvia","non-dropping-particle":"","parse-names":false,"suffix":""}],"container-title":"Nutrients","id":"ITEM-1","issue":"11","issued":{"date-parts":[["2017","11"]]},"language":"eng","publisher-place":"Switzerland","title":"Vitamin C and Immune Function.","type":"article-journal","volume":"9"},"uris":["http://www.mendeley.com/documents/?uuid=b687dc8c-a6a9-45ef-88d3-5b3675b5a4fb"]}],"mendeley":{"formattedCitation":"[31]","plainTextFormattedCitation":"[31]","previouslyFormattedCitation":"[31]"},"properties":{"noteIndex":0},"schema":"https://github.com/citation-style-language/schema/raw/master/csl-citation.json"}</w:instrText>
      </w:r>
      <w:r w:rsidR="002A3BE6">
        <w:rPr>
          <w:rStyle w:val="citation-272"/>
          <w:color w:val="1F1F1F"/>
          <w:bdr w:val="none" w:sz="0" w:space="0" w:color="auto" w:frame="1"/>
        </w:rPr>
        <w:fldChar w:fldCharType="separate"/>
      </w:r>
      <w:r w:rsidR="002A3BE6" w:rsidRPr="002A3BE6">
        <w:rPr>
          <w:rStyle w:val="citation-272"/>
          <w:noProof/>
          <w:color w:val="1F1F1F"/>
          <w:bdr w:val="none" w:sz="0" w:space="0" w:color="auto" w:frame="1"/>
        </w:rPr>
        <w:t>[31]</w:t>
      </w:r>
      <w:r w:rsidR="002A3BE6">
        <w:rPr>
          <w:rStyle w:val="citation-272"/>
          <w:color w:val="1F1F1F"/>
          <w:bdr w:val="none" w:sz="0" w:space="0" w:color="auto" w:frame="1"/>
        </w:rPr>
        <w:fldChar w:fldCharType="end"/>
      </w:r>
      <w:r>
        <w:rPr>
          <w:color w:val="1F1F1F"/>
          <w:bdr w:val="none" w:sz="0" w:space="0" w:color="auto" w:frame="1"/>
        </w:rPr>
        <w:t>.</w:t>
      </w:r>
    </w:p>
    <w:p w14:paraId="40676099" w14:textId="77777777" w:rsidR="00EC05A2" w:rsidRDefault="002A3BE6" w:rsidP="00EC05A2">
      <w:pPr>
        <w:pStyle w:val="NormalWeb"/>
        <w:spacing w:after="0" w:afterAutospacing="0"/>
        <w:jc w:val="both"/>
        <w:rPr>
          <w:color w:val="1F1F1F"/>
        </w:rPr>
      </w:pPr>
      <w:r>
        <w:rPr>
          <w:color w:val="1F1F1F"/>
        </w:rPr>
        <w:t xml:space="preserve">Uric acid is the end product of purine metabolism in humans. It acts as a potent, non-enzymatic, water-soluble antioxidant in plasma, significantly contributing to the body's overall antioxidant capacity. Similar to vitamin C, uric acid is rapidly depleted when the body experiences high levels of ROS production and oxidative stress </w:t>
      </w:r>
      <w:r>
        <w:rPr>
          <w:color w:val="1F1F1F"/>
        </w:rPr>
        <w:fldChar w:fldCharType="begin" w:fldLock="1"/>
      </w:r>
      <w:r>
        <w:rPr>
          <w:color w:val="1F1F1F"/>
        </w:rPr>
        <w:instrText>ADDIN CSL_CITATION {"citationItems":[{"id":"ITEM-1","itemData":{"DOI":"10.33549/physiolres.933555","ISSN":"18029973","PMID":"28937257","abstract":"Uric acid is the end-product of purine nucleotide metabolism and an increase in uric acid concentration in the body results in hyperuricemia, ultimately leading to gout. However, uric acid is a potent antioxidant and interacts with reactive oxygen species (ROS) to be non-enzymatically converted to allantoin. Uric acid accounts for approximately 60 % of antioxidant capacity in the plasma; however, its contribution to tissue antioxidant capacity is unknown. In this study, the contribution of uric acid to tissue antioxidant capacity and its conversion to allantoin by scavenging ROS in tissue were examined. The results showed that a decrease in hepatic uric acid content via allopurinol administration significantly reduced hepatic total-radical trapping antioxidant parameter (TRAP) content in protein-free cytosol. Additionally, treating protein-free cytosol with uricase led to a further reduction of hepatic TRAP content. Allantoin was also detected in the solution containing protein-free cytosol that reacted with ROS. These findings suggest that in the absence of protein, uric acid contributes greatly to antioxidant capacity in the liver, where uric acid is converted to allantoin by scavenging ROS.","author":[{"dropping-particle":"","family":"Mikami","given":"T.","non-dropping-particle":"","parse-names":false,"suffix":""},{"dropping-particle":"","family":"Sorimachi","given":"M.","non-dropping-particle":"","parse-names":false,"suffix":""}],"container-title":"Physiological Research","id":"ITEM-1","issue":"6","issued":{"date-parts":[["2017"]]},"page":"1001-1007","title":"Uric acid contributes greatly to hepatic antioxidant capacity besides protein","type":"article-journal","volume":"66"},"uris":["http://www.mendeley.com/documents/?uuid=6aacb13d-62dd-40b8-9bbe-bed5799c66aa"]}],"mendeley":{"formattedCitation":"[32]","plainTextFormattedCitation":"[32]"},"properties":{"noteIndex":0},"schema":"https://github.com/citation-style-language/schema/raw/master/csl-citation.json"}</w:instrText>
      </w:r>
      <w:r>
        <w:rPr>
          <w:color w:val="1F1F1F"/>
        </w:rPr>
        <w:fldChar w:fldCharType="separate"/>
      </w:r>
      <w:r w:rsidRPr="002A3BE6">
        <w:rPr>
          <w:noProof/>
          <w:color w:val="1F1F1F"/>
        </w:rPr>
        <w:t>[32]</w:t>
      </w:r>
      <w:r>
        <w:rPr>
          <w:color w:val="1F1F1F"/>
        </w:rPr>
        <w:fldChar w:fldCharType="end"/>
      </w:r>
      <w:r>
        <w:rPr>
          <w:color w:val="1F1F1F"/>
        </w:rPr>
        <w:t xml:space="preserve">. Because lead exposure can cause severe oxidative stress, uric acid levels decrease as it is used to neutralize lead-induced free radicals. The marked decline in uric acid levels among auto painters and battery chargers indicates a substantial and ongoing effort by the body's non-enzymatic </w:t>
      </w:r>
      <w:proofErr w:type="spellStart"/>
      <w:r>
        <w:rPr>
          <w:color w:val="1F1F1F"/>
        </w:rPr>
        <w:t>defence</w:t>
      </w:r>
      <w:proofErr w:type="spellEnd"/>
      <w:r>
        <w:rPr>
          <w:color w:val="1F1F1F"/>
        </w:rPr>
        <w:t xml:space="preserve"> system to counteract toxicity. This depletion may further weaken the overall antioxidant reserve, rendering circulating lipids and proteins more susceptible to damage.</w:t>
      </w:r>
    </w:p>
    <w:p w14:paraId="58F19BF5" w14:textId="77777777" w:rsidR="00EC05A2" w:rsidRDefault="00EC05A2" w:rsidP="001A68CC">
      <w:pPr>
        <w:pStyle w:val="NormalWeb"/>
        <w:spacing w:after="0" w:afterAutospacing="0"/>
        <w:jc w:val="both"/>
        <w:rPr>
          <w:color w:val="1F1F1F"/>
          <w:bdr w:val="none" w:sz="0" w:space="0" w:color="auto" w:frame="1"/>
        </w:rPr>
      </w:pPr>
    </w:p>
    <w:p w14:paraId="47F8DFB1" w14:textId="77777777" w:rsidR="00F0514E" w:rsidRPr="001A68CC" w:rsidRDefault="002C1B3D" w:rsidP="001A68CC">
      <w:pPr>
        <w:pStyle w:val="NormalWeb"/>
        <w:spacing w:after="0" w:afterAutospacing="0"/>
        <w:jc w:val="both"/>
        <w:rPr>
          <w:color w:val="444746"/>
          <w:bdr w:val="none" w:sz="0" w:space="0" w:color="auto" w:frame="1"/>
        </w:rPr>
      </w:pPr>
      <w:r>
        <w:rPr>
          <w:color w:val="1F1F1F"/>
          <w:bdr w:val="none" w:sz="0" w:space="0" w:color="auto" w:frame="1"/>
        </w:rPr>
        <w:t>Battery chargers showed higher baseline Pb levels and, consequently, a more significant depletion of Zn, Fe, Se, and Vitamin C with prolonged exposure (p&lt;0.0001) compared to auto painters. This indicates that the nature of the work environment in battery handling may pose a greater and more immediate risk of exposure.</w:t>
      </w:r>
    </w:p>
    <w:p w14:paraId="31AA7367" w14:textId="77777777" w:rsidR="001A68CC" w:rsidRPr="001A68CC" w:rsidRDefault="001A68CC" w:rsidP="001A68CC">
      <w:pPr>
        <w:pStyle w:val="NormalWeb"/>
        <w:spacing w:after="0" w:afterAutospacing="0"/>
        <w:jc w:val="both"/>
        <w:rPr>
          <w:color w:val="444746"/>
          <w:bdr w:val="none" w:sz="0" w:space="0" w:color="auto" w:frame="1"/>
        </w:rPr>
      </w:pPr>
      <w:r w:rsidRPr="001A68CC">
        <w:rPr>
          <w:color w:val="444746"/>
          <w:bdr w:val="none" w:sz="0" w:space="0" w:color="auto" w:frame="1"/>
        </w:rPr>
        <w:t>Conclusion</w:t>
      </w:r>
    </w:p>
    <w:p w14:paraId="7319F1AF" w14:textId="77777777" w:rsidR="001A68CC" w:rsidRPr="001A68CC" w:rsidRDefault="00F33E56" w:rsidP="001A68CC">
      <w:pPr>
        <w:pStyle w:val="NormalWeb"/>
        <w:spacing w:after="0" w:afterAutospacing="0"/>
        <w:jc w:val="both"/>
        <w:rPr>
          <w:color w:val="1F1F1F"/>
        </w:rPr>
      </w:pPr>
      <w:r>
        <w:rPr>
          <w:rStyle w:val="citation-271"/>
          <w:color w:val="1F1F1F"/>
          <w:bdr w:val="none" w:sz="0" w:space="0" w:color="auto" w:frame="1"/>
        </w:rPr>
        <w:t xml:space="preserve">The study's findings show that prolonged lead exposure systematically weakens the body’s primary </w:t>
      </w:r>
      <w:proofErr w:type="spellStart"/>
      <w:r>
        <w:rPr>
          <w:rStyle w:val="citation-271"/>
          <w:color w:val="1F1F1F"/>
          <w:bdr w:val="none" w:sz="0" w:space="0" w:color="auto" w:frame="1"/>
        </w:rPr>
        <w:t>defence</w:t>
      </w:r>
      <w:proofErr w:type="spellEnd"/>
      <w:r>
        <w:rPr>
          <w:rStyle w:val="citation-271"/>
          <w:color w:val="1F1F1F"/>
          <w:bdr w:val="none" w:sz="0" w:space="0" w:color="auto" w:frame="1"/>
        </w:rPr>
        <w:t xml:space="preserve"> systems by depleting essential micronutrients such as zinc, selenium, and iron, which are crucial for enzymatic antioxidant functions like SOD, </w:t>
      </w:r>
      <w:proofErr w:type="spellStart"/>
      <w:r>
        <w:rPr>
          <w:rStyle w:val="citation-271"/>
          <w:color w:val="1F1F1F"/>
          <w:bdr w:val="none" w:sz="0" w:space="0" w:color="auto" w:frame="1"/>
        </w:rPr>
        <w:t>GPx</w:t>
      </w:r>
      <w:proofErr w:type="spellEnd"/>
      <w:r>
        <w:rPr>
          <w:rStyle w:val="citation-271"/>
          <w:color w:val="1F1F1F"/>
          <w:bdr w:val="none" w:sz="0" w:space="0" w:color="auto" w:frame="1"/>
        </w:rPr>
        <w:t xml:space="preserve">, and catalase, and by reducing non-enzymatic free radical scavengers like vitamin C. This can cause severe oxidative stress, increasing the risk of chronic, irreversible organ damage, including neurotoxicity or nephrotoxicity, in these occupationally exposed Nigerian males. Monitoring the levels of SOD, </w:t>
      </w:r>
      <w:proofErr w:type="spellStart"/>
      <w:r>
        <w:rPr>
          <w:rStyle w:val="citation-271"/>
          <w:color w:val="1F1F1F"/>
          <w:bdr w:val="none" w:sz="0" w:space="0" w:color="auto" w:frame="1"/>
        </w:rPr>
        <w:t>GPx</w:t>
      </w:r>
      <w:proofErr w:type="spellEnd"/>
      <w:r>
        <w:rPr>
          <w:rStyle w:val="citation-271"/>
          <w:color w:val="1F1F1F"/>
          <w:bdr w:val="none" w:sz="0" w:space="0" w:color="auto" w:frame="1"/>
        </w:rPr>
        <w:t>, and catalase in workers with long-term lead exposure is therefore essential for future research.</w:t>
      </w:r>
    </w:p>
    <w:p w14:paraId="4559BA6A" w14:textId="77777777" w:rsidR="0071027F" w:rsidRDefault="0071027F" w:rsidP="001A68CC">
      <w:pPr>
        <w:pStyle w:val="NormalWeb"/>
        <w:spacing w:after="0" w:afterAutospacing="0"/>
        <w:jc w:val="both"/>
        <w:rPr>
          <w:color w:val="1F1F1F"/>
        </w:rPr>
      </w:pPr>
    </w:p>
    <w:p w14:paraId="1E514775" w14:textId="77777777" w:rsidR="00F0514E" w:rsidRDefault="0071027F" w:rsidP="001A68CC">
      <w:pPr>
        <w:pStyle w:val="NormalWeb"/>
        <w:spacing w:after="0" w:afterAutospacing="0"/>
        <w:jc w:val="both"/>
        <w:rPr>
          <w:color w:val="1F1F1F"/>
        </w:rPr>
      </w:pPr>
      <w:r>
        <w:rPr>
          <w:color w:val="1F1F1F"/>
        </w:rPr>
        <w:lastRenderedPageBreak/>
        <w:t>Recommendations</w:t>
      </w:r>
    </w:p>
    <w:p w14:paraId="2F2F09E7" w14:textId="77777777" w:rsidR="0071027F" w:rsidRDefault="00F33E56" w:rsidP="00076329">
      <w:pPr>
        <w:pStyle w:val="NormalWeb"/>
        <w:spacing w:after="0" w:afterAutospacing="0"/>
        <w:jc w:val="both"/>
        <w:rPr>
          <w:color w:val="1F1F1F"/>
        </w:rPr>
      </w:pPr>
      <w:r>
        <w:rPr>
          <w:color w:val="1F1F1F"/>
        </w:rPr>
        <w:t xml:space="preserve">Given the significant reduction in essential micronutrients (Zn, Fe, Se) and antioxidants (Vitamin C), targeted dietary supplementation </w:t>
      </w:r>
      <w:proofErr w:type="spellStart"/>
      <w:r>
        <w:rPr>
          <w:color w:val="1F1F1F"/>
        </w:rPr>
        <w:t>programmes</w:t>
      </w:r>
      <w:proofErr w:type="spellEnd"/>
      <w:r>
        <w:rPr>
          <w:color w:val="1F1F1F"/>
        </w:rPr>
        <w:t xml:space="preserve"> must be implemented for all workers exposed occupationally, especially those with longer periods of employment, to mitigate the oxidative damage caused by chronic lead exposure. Regular and comprehensive health surveillance should be mandated, focusing not only on blood lead levels but also on the status of key micronutrients such as Zn, Fe, and Se, and on antioxidants such as Vitamin C to monitor subclinical health effects. Immediate and strict enforcement of occupational health and safety protocols is necessary, particularly for high-risk occupations such as battery charging, to reduce environmental lead levels, prevent worker exposure, and avoid bioaccumulation. Workers should receive mandatory, regular training on the hazards of lead exposure, proper use of Personal Protective Equipment (PPE), and hygiene practices such as handwashing before eating and avoiding bringing work clothes home. Future research should target the levels of SOD, </w:t>
      </w:r>
      <w:proofErr w:type="spellStart"/>
      <w:r>
        <w:rPr>
          <w:color w:val="1F1F1F"/>
        </w:rPr>
        <w:t>GPx</w:t>
      </w:r>
      <w:proofErr w:type="spellEnd"/>
      <w:r>
        <w:rPr>
          <w:color w:val="1F1F1F"/>
        </w:rPr>
        <w:t>, and catalase during prolonged exposures.</w:t>
      </w:r>
    </w:p>
    <w:p w14:paraId="3A9BB7D0" w14:textId="77777777" w:rsidR="0071027F" w:rsidRDefault="0071027F" w:rsidP="00076329">
      <w:pPr>
        <w:pStyle w:val="NormalWeb"/>
        <w:spacing w:after="0" w:afterAutospacing="0"/>
        <w:jc w:val="both"/>
        <w:rPr>
          <w:color w:val="1F1F1F"/>
        </w:rPr>
      </w:pPr>
    </w:p>
    <w:p w14:paraId="65190937" w14:textId="77777777" w:rsidR="00B301D5" w:rsidRPr="003229DB" w:rsidRDefault="00EC05A2" w:rsidP="0064108D">
      <w:pPr>
        <w:spacing w:before="100" w:beforeAutospacing="1" w:after="0" w:line="240" w:lineRule="auto"/>
        <w:jc w:val="both"/>
        <w:rPr>
          <w:rFonts w:ascii="Times New Roman" w:eastAsia="Times New Roman" w:hAnsi="Times New Roman" w:cs="Times New Roman"/>
          <w:color w:val="1F1F1F"/>
        </w:rPr>
      </w:pPr>
      <w:bookmarkStart w:id="0" w:name="_GoBack"/>
      <w:bookmarkEnd w:id="0"/>
      <w:r w:rsidRPr="003229DB">
        <w:rPr>
          <w:rFonts w:ascii="Times New Roman" w:eastAsia="Times New Roman" w:hAnsi="Times New Roman" w:cs="Times New Roman"/>
          <w:color w:val="1F1F1F"/>
        </w:rPr>
        <w:t>References</w:t>
      </w:r>
    </w:p>
    <w:p w14:paraId="0C8367FD" w14:textId="77777777" w:rsidR="00EC05A2" w:rsidRDefault="00EC05A2" w:rsidP="0064108D">
      <w:pPr>
        <w:spacing w:before="100" w:beforeAutospacing="1" w:after="0" w:line="240" w:lineRule="auto"/>
        <w:jc w:val="both"/>
        <w:rPr>
          <w:rFonts w:ascii="Times New Roman" w:eastAsia="Times New Roman" w:hAnsi="Times New Roman" w:cs="Times New Roman"/>
          <w:color w:val="1F1F1F"/>
          <w:sz w:val="24"/>
          <w:szCs w:val="24"/>
        </w:rPr>
      </w:pPr>
    </w:p>
    <w:p w14:paraId="283902B1" w14:textId="77777777" w:rsidR="002A3BE6" w:rsidRPr="002A3BE6" w:rsidRDefault="00B301D5"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Pr>
          <w:rFonts w:ascii="Times New Roman" w:eastAsia="Times New Roman" w:hAnsi="Times New Roman" w:cs="Times New Roman"/>
          <w:color w:val="1F1F1F"/>
          <w:sz w:val="24"/>
          <w:szCs w:val="24"/>
        </w:rPr>
        <w:fldChar w:fldCharType="begin" w:fldLock="1"/>
      </w:r>
      <w:r>
        <w:rPr>
          <w:rFonts w:ascii="Times New Roman" w:eastAsia="Times New Roman" w:hAnsi="Times New Roman" w:cs="Times New Roman"/>
          <w:color w:val="1F1F1F"/>
          <w:sz w:val="24"/>
          <w:szCs w:val="24"/>
        </w:rPr>
        <w:instrText xml:space="preserve">ADDIN Mendeley Bibliography CSL_BIBLIOGRAPHY </w:instrText>
      </w:r>
      <w:r>
        <w:rPr>
          <w:rFonts w:ascii="Times New Roman" w:eastAsia="Times New Roman" w:hAnsi="Times New Roman" w:cs="Times New Roman"/>
          <w:color w:val="1F1F1F"/>
          <w:sz w:val="24"/>
          <w:szCs w:val="24"/>
        </w:rPr>
        <w:fldChar w:fldCharType="separate"/>
      </w:r>
      <w:r w:rsidR="002A3BE6" w:rsidRPr="002A3BE6">
        <w:rPr>
          <w:rFonts w:ascii="Times New Roman" w:hAnsi="Times New Roman" w:cs="Times New Roman"/>
          <w:noProof/>
          <w:sz w:val="24"/>
          <w:szCs w:val="24"/>
        </w:rPr>
        <w:t>[1]</w:t>
      </w:r>
      <w:r w:rsidR="002A3BE6" w:rsidRPr="002A3BE6">
        <w:rPr>
          <w:rFonts w:ascii="Times New Roman" w:hAnsi="Times New Roman" w:cs="Times New Roman"/>
          <w:noProof/>
          <w:sz w:val="24"/>
          <w:szCs w:val="24"/>
        </w:rPr>
        <w:tab/>
        <w:t xml:space="preserve">O. E. Orisakwe, “Lead and cadmium in public health in Nigeria: physicians neglect and pitfall in  patient management.,” </w:t>
      </w:r>
      <w:r w:rsidR="002A3BE6" w:rsidRPr="002A3BE6">
        <w:rPr>
          <w:rFonts w:ascii="Times New Roman" w:hAnsi="Times New Roman" w:cs="Times New Roman"/>
          <w:i/>
          <w:iCs/>
          <w:noProof/>
          <w:sz w:val="24"/>
          <w:szCs w:val="24"/>
        </w:rPr>
        <w:t>N. Am. J. Med. Sci.</w:t>
      </w:r>
      <w:r w:rsidR="002A3BE6" w:rsidRPr="002A3BE6">
        <w:rPr>
          <w:rFonts w:ascii="Times New Roman" w:hAnsi="Times New Roman" w:cs="Times New Roman"/>
          <w:noProof/>
          <w:sz w:val="24"/>
          <w:szCs w:val="24"/>
        </w:rPr>
        <w:t>, vol. 6, no. 2, pp. 61–70, Feb. 2014, doi: 10.4103/1947-2714.127740.</w:t>
      </w:r>
    </w:p>
    <w:p w14:paraId="2E291978"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w:t>
      </w:r>
      <w:r w:rsidRPr="002A3BE6">
        <w:rPr>
          <w:rFonts w:ascii="Times New Roman" w:hAnsi="Times New Roman" w:cs="Times New Roman"/>
          <w:noProof/>
          <w:sz w:val="24"/>
          <w:szCs w:val="24"/>
        </w:rPr>
        <w:tab/>
        <w:t xml:space="preserve">T. Olusegun Rasheed, “Safety Practices on Lead Poisoning Among Battery Technicians in Lagos Nigeria, 2017,” </w:t>
      </w:r>
      <w:r w:rsidRPr="002A3BE6">
        <w:rPr>
          <w:rFonts w:ascii="Times New Roman" w:hAnsi="Times New Roman" w:cs="Times New Roman"/>
          <w:i/>
          <w:iCs/>
          <w:noProof/>
          <w:sz w:val="24"/>
          <w:szCs w:val="24"/>
        </w:rPr>
        <w:t>Cent. African J. Public Heal.</w:t>
      </w:r>
      <w:r w:rsidRPr="002A3BE6">
        <w:rPr>
          <w:rFonts w:ascii="Times New Roman" w:hAnsi="Times New Roman" w:cs="Times New Roman"/>
          <w:noProof/>
          <w:sz w:val="24"/>
          <w:szCs w:val="24"/>
        </w:rPr>
        <w:t>, vol. 4, no. 1, p. 27, 2018, doi: 10.11648/j.cajph.20180401.15.</w:t>
      </w:r>
    </w:p>
    <w:p w14:paraId="79C2C9E9"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[3]</w:t>
      </w:r>
      <w:r w:rsidRPr="002A3BE6">
        <w:rPr>
          <w:rFonts w:ascii="Times New Roman" w:hAnsi="Times New Roman" w:cs="Times New Roman"/>
          <w:noProof/>
          <w:sz w:val="24"/>
          <w:szCs w:val="24"/>
        </w:rPr>
        <w:tab/>
        <w:t xml:space="preserve">S. G. Dzugkoev, F. S. Dzugkoeva, and O. I. Margieva, “Mechanisms of Lead Toxicity and Their Pathogenetic Correction,” </w:t>
      </w:r>
      <w:r w:rsidRPr="002A3BE6">
        <w:rPr>
          <w:rFonts w:ascii="Times New Roman" w:hAnsi="Times New Roman" w:cs="Times New Roman"/>
          <w:i/>
          <w:iCs/>
          <w:noProof/>
          <w:sz w:val="24"/>
          <w:szCs w:val="24"/>
        </w:rPr>
        <w:t>J. Evol. Biochem. Physiol.</w:t>
      </w:r>
      <w:r w:rsidRPr="002A3BE6">
        <w:rPr>
          <w:rFonts w:ascii="Times New Roman" w:hAnsi="Times New Roman" w:cs="Times New Roman"/>
          <w:noProof/>
          <w:sz w:val="24"/>
          <w:szCs w:val="24"/>
        </w:rPr>
        <w:t>, vol. 58, no. 3, pp. 807–814, 2022, doi: 10.1134/S0022093022030140.</w:t>
      </w:r>
    </w:p>
    <w:p w14:paraId="40C8EE20"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[4]</w:t>
      </w:r>
      <w:r w:rsidRPr="002A3BE6">
        <w:rPr>
          <w:rFonts w:ascii="Times New Roman" w:hAnsi="Times New Roman" w:cs="Times New Roman"/>
          <w:noProof/>
          <w:sz w:val="24"/>
          <w:szCs w:val="24"/>
        </w:rPr>
        <w:tab/>
        <w:t xml:space="preserve">A. C. de Almeida, T. Peixe, A. Mesas, and M. Paoliello, “Lead Exposure and Oxidative Stress: A Systematic Review,” </w:t>
      </w:r>
      <w:r w:rsidRPr="002A3BE6">
        <w:rPr>
          <w:rFonts w:ascii="Times New Roman" w:hAnsi="Times New Roman" w:cs="Times New Roman"/>
          <w:i/>
          <w:iCs/>
          <w:noProof/>
          <w:sz w:val="24"/>
          <w:szCs w:val="24"/>
        </w:rPr>
        <w:t>Rev. Environ. Contam. Toxicol.</w:t>
      </w:r>
      <w:r w:rsidRPr="002A3BE6">
        <w:rPr>
          <w:rFonts w:ascii="Times New Roman" w:hAnsi="Times New Roman" w:cs="Times New Roman"/>
          <w:noProof/>
          <w:sz w:val="24"/>
          <w:szCs w:val="24"/>
        </w:rPr>
        <w:t>, vol. 236, pp. 193–238, Oct. 2015, doi: 10.1007/978-3-319-20013-2_3.</w:t>
      </w:r>
    </w:p>
    <w:p w14:paraId="77640C7A"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[5]</w:t>
      </w:r>
      <w:r w:rsidRPr="002A3BE6">
        <w:rPr>
          <w:rFonts w:ascii="Times New Roman" w:hAnsi="Times New Roman" w:cs="Times New Roman"/>
          <w:noProof/>
          <w:sz w:val="24"/>
          <w:szCs w:val="24"/>
        </w:rPr>
        <w:tab/>
        <w:t xml:space="preserve">Okafor JC, Obianagha NF, Salum SS, Anetor JI, Mohamed AA, and Mohammed S, “Antioxidant and Micronutrient Status of Nigerian Males Occupationally Exposed to Lead,” </w:t>
      </w:r>
      <w:r w:rsidRPr="002A3BE6">
        <w:rPr>
          <w:rFonts w:ascii="Times New Roman" w:hAnsi="Times New Roman" w:cs="Times New Roman"/>
          <w:i/>
          <w:iCs/>
          <w:noProof/>
          <w:sz w:val="24"/>
          <w:szCs w:val="24"/>
        </w:rPr>
        <w:t>ASJ Int. J. Heal. Saf. Environ.</w:t>
      </w:r>
      <w:r w:rsidRPr="002A3BE6">
        <w:rPr>
          <w:rFonts w:ascii="Times New Roman" w:hAnsi="Times New Roman" w:cs="Times New Roman"/>
          <w:noProof/>
          <w:sz w:val="24"/>
          <w:szCs w:val="24"/>
        </w:rPr>
        <w:t>, vol. 6, no. 01, pp. 478–486, 2020, [Online]. Available: www.academiascholarlyjournal.org/ijhse/index_ijhse.htm</w:t>
      </w:r>
    </w:p>
    <w:p w14:paraId="543F8FC4"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[6]</w:t>
      </w:r>
      <w:r w:rsidRPr="002A3BE6">
        <w:rPr>
          <w:rFonts w:ascii="Times New Roman" w:hAnsi="Times New Roman" w:cs="Times New Roman"/>
          <w:noProof/>
          <w:sz w:val="24"/>
          <w:szCs w:val="24"/>
        </w:rPr>
        <w:tab/>
        <w:t xml:space="preserve">C. Stanescu, I. Chiscop, D. Mihalache, M. Boev, C. Tamas, and G. Stoleriu, “The Roles of Micronutrition and Nutraceuticals in Enhancing Wound Healing and Tissue Regeneration: A Systematic Review,” </w:t>
      </w:r>
      <w:r w:rsidRPr="002A3BE6">
        <w:rPr>
          <w:rFonts w:ascii="Times New Roman" w:hAnsi="Times New Roman" w:cs="Times New Roman"/>
          <w:i/>
          <w:iCs/>
          <w:noProof/>
          <w:sz w:val="24"/>
          <w:szCs w:val="24"/>
        </w:rPr>
        <w:t>Molecules</w:t>
      </w:r>
      <w:r w:rsidRPr="002A3BE6">
        <w:rPr>
          <w:rFonts w:ascii="Times New Roman" w:hAnsi="Times New Roman" w:cs="Times New Roman"/>
          <w:noProof/>
          <w:sz w:val="24"/>
          <w:szCs w:val="24"/>
        </w:rPr>
        <w:t>, vol. 30, no. 17. 2025. doi: 10.3390/molecules30173568.</w:t>
      </w:r>
    </w:p>
    <w:p w14:paraId="257B3E54"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[7]</w:t>
      </w:r>
      <w:r w:rsidRPr="002A3BE6">
        <w:rPr>
          <w:rFonts w:ascii="Times New Roman" w:hAnsi="Times New Roman" w:cs="Times New Roman"/>
          <w:noProof/>
          <w:sz w:val="24"/>
          <w:szCs w:val="24"/>
        </w:rPr>
        <w:tab/>
        <w:t xml:space="preserve">A. Generalova, S. Davidova, and G. Satchanska, “The Mechanisms of Lead Toxicity in Living Organisms.,” </w:t>
      </w:r>
      <w:r w:rsidRPr="002A3BE6">
        <w:rPr>
          <w:rFonts w:ascii="Times New Roman" w:hAnsi="Times New Roman" w:cs="Times New Roman"/>
          <w:i/>
          <w:iCs/>
          <w:noProof/>
          <w:sz w:val="24"/>
          <w:szCs w:val="24"/>
        </w:rPr>
        <w:t>J. xenobiotics</w:t>
      </w:r>
      <w:r w:rsidRPr="002A3BE6">
        <w:rPr>
          <w:rFonts w:ascii="Times New Roman" w:hAnsi="Times New Roman" w:cs="Times New Roman"/>
          <w:noProof/>
          <w:sz w:val="24"/>
          <w:szCs w:val="24"/>
        </w:rPr>
        <w:t>, vol. 15, no. 5, Sep. 2025, doi: 10.3390/jox15050146.</w:t>
      </w:r>
    </w:p>
    <w:p w14:paraId="0412D41E"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[8]</w:t>
      </w:r>
      <w:r w:rsidRPr="002A3BE6">
        <w:rPr>
          <w:rFonts w:ascii="Times New Roman" w:hAnsi="Times New Roman" w:cs="Times New Roman"/>
          <w:noProof/>
          <w:sz w:val="24"/>
          <w:szCs w:val="24"/>
        </w:rPr>
        <w:tab/>
        <w:t xml:space="preserve">D. Ramírez Ortega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“Cognitive Impairment Induced by Lead Exposure during </w:t>
      </w:r>
      <w:r w:rsidRPr="002A3BE6">
        <w:rPr>
          <w:rFonts w:ascii="Times New Roman" w:hAnsi="Times New Roman" w:cs="Times New Roman"/>
          <w:noProof/>
          <w:sz w:val="24"/>
          <w:szCs w:val="24"/>
        </w:rPr>
        <w:lastRenderedPageBreak/>
        <w:t xml:space="preserve">Lifespan: Mechanisms of Lead  Neurotoxicity.,” </w:t>
      </w:r>
      <w:r w:rsidRPr="002A3BE6">
        <w:rPr>
          <w:rFonts w:ascii="Times New Roman" w:hAnsi="Times New Roman" w:cs="Times New Roman"/>
          <w:i/>
          <w:iCs/>
          <w:noProof/>
          <w:sz w:val="24"/>
          <w:szCs w:val="24"/>
        </w:rPr>
        <w:t>Toxics</w:t>
      </w:r>
      <w:r w:rsidRPr="002A3BE6">
        <w:rPr>
          <w:rFonts w:ascii="Times New Roman" w:hAnsi="Times New Roman" w:cs="Times New Roman"/>
          <w:noProof/>
          <w:sz w:val="24"/>
          <w:szCs w:val="24"/>
        </w:rPr>
        <w:t>, vol. 9, no. 2, Jan. 2021, doi: 10.3390/toxics9020023.</w:t>
      </w:r>
    </w:p>
    <w:p w14:paraId="61602DD5"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[9]</w:t>
      </w:r>
      <w:r w:rsidRPr="002A3BE6">
        <w:rPr>
          <w:rFonts w:ascii="Times New Roman" w:hAnsi="Times New Roman" w:cs="Times New Roman"/>
          <w:noProof/>
          <w:sz w:val="24"/>
          <w:szCs w:val="24"/>
        </w:rPr>
        <w:tab/>
        <w:t xml:space="preserve">X. Yu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“Effect of lead, calcium, iron, zinc, copper and magnesium on anemia in children with BLLs ≥ 100 μg/L,” </w:t>
      </w:r>
      <w:r w:rsidRPr="002A3BE6">
        <w:rPr>
          <w:rFonts w:ascii="Times New Roman" w:hAnsi="Times New Roman" w:cs="Times New Roman"/>
          <w:i/>
          <w:iCs/>
          <w:noProof/>
          <w:sz w:val="24"/>
          <w:szCs w:val="24"/>
        </w:rPr>
        <w:t>J. Trace Elem. Med. Biol.</w:t>
      </w:r>
      <w:r w:rsidRPr="002A3BE6">
        <w:rPr>
          <w:rFonts w:ascii="Times New Roman" w:hAnsi="Times New Roman" w:cs="Times New Roman"/>
          <w:noProof/>
          <w:sz w:val="24"/>
          <w:szCs w:val="24"/>
        </w:rPr>
        <w:t>, vol. 78, p. 127192, 2023, doi: https://doi.org/10.1016/j.jtemb.2023.127192.</w:t>
      </w:r>
    </w:p>
    <w:p w14:paraId="41CB214A"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[10]</w:t>
      </w:r>
      <w:r w:rsidRPr="002A3BE6">
        <w:rPr>
          <w:rFonts w:ascii="Times New Roman" w:hAnsi="Times New Roman" w:cs="Times New Roman"/>
          <w:noProof/>
          <w:sz w:val="24"/>
          <w:szCs w:val="24"/>
        </w:rPr>
        <w:tab/>
        <w:t xml:space="preserve">H. P. de M. Alves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“Selenium biomarkers and miR‐7‐5p in overweight/obese women,” </w:t>
      </w:r>
      <w:r w:rsidRPr="002A3BE6">
        <w:rPr>
          <w:rFonts w:ascii="Times New Roman" w:hAnsi="Times New Roman" w:cs="Times New Roman"/>
          <w:i/>
          <w:iCs/>
          <w:noProof/>
          <w:sz w:val="24"/>
          <w:szCs w:val="24"/>
        </w:rPr>
        <w:t>J. Trace Elem. Med. Biol.</w:t>
      </w:r>
      <w:r w:rsidRPr="002A3BE6">
        <w:rPr>
          <w:rFonts w:ascii="Times New Roman" w:hAnsi="Times New Roman" w:cs="Times New Roman"/>
          <w:noProof/>
          <w:sz w:val="24"/>
          <w:szCs w:val="24"/>
        </w:rPr>
        <w:t>, vol. 86, p. 127499, 2024, doi: https://doi.org/10.1016/j.jtemb.2024.127499.</w:t>
      </w:r>
    </w:p>
    <w:p w14:paraId="28C8F6B7"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[11]</w:t>
      </w:r>
      <w:r w:rsidRPr="002A3BE6">
        <w:rPr>
          <w:rFonts w:ascii="Times New Roman" w:hAnsi="Times New Roman" w:cs="Times New Roman"/>
          <w:noProof/>
          <w:sz w:val="24"/>
          <w:szCs w:val="24"/>
        </w:rPr>
        <w:tab/>
        <w:t>G. B. da Silva Duarte, B. Z. Reis, and M. M. Rogero, “Chapter 10 - Role of micronutrients zinc and selenium in inflammation and oxidative stress,” B. Hernández-Ledesma and C. B. T.-C. A. for D. of F. F. M. I. and O. S. Martínez-Villaluenga, Eds., Academic Press, 2022, pp. 181–188. doi: https://doi.org/10.1016/B978-0-12-823482-2.00021-2.</w:t>
      </w:r>
    </w:p>
    <w:p w14:paraId="40AD945C"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[12]</w:t>
      </w:r>
      <w:r w:rsidRPr="002A3BE6">
        <w:rPr>
          <w:rFonts w:ascii="Times New Roman" w:hAnsi="Times New Roman" w:cs="Times New Roman"/>
          <w:noProof/>
          <w:sz w:val="24"/>
          <w:szCs w:val="24"/>
        </w:rPr>
        <w:tab/>
        <w:t>M. Dikilitas, S. Karakas, and P. Ahmad, “Chapter 3 - Effect of Lead on Plant and Human DNA Damages and Its Impact on the Environment,” P. B. T.-P. M. I. Ahmad, Ed., Elsevier, 2016, pp. 41–67. doi: https://doi.org/10.1016/B978-0-12-803158-2.00003-5.</w:t>
      </w:r>
    </w:p>
    <w:p w14:paraId="5E216B01"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[13]</w:t>
      </w:r>
      <w:r w:rsidRPr="002A3BE6">
        <w:rPr>
          <w:rFonts w:ascii="Times New Roman" w:hAnsi="Times New Roman" w:cs="Times New Roman"/>
          <w:noProof/>
          <w:sz w:val="24"/>
          <w:szCs w:val="24"/>
        </w:rPr>
        <w:tab/>
        <w:t xml:space="preserve">F. J. Barbosa, J. E. Tanus-Santos, R. F. Gerlach, and P. J. Parsons, “A critical review of biomarkers used for monitoring human exposure to lead:  advantages, limitations, and future needs.,” </w:t>
      </w:r>
      <w:r w:rsidRPr="002A3BE6">
        <w:rPr>
          <w:rFonts w:ascii="Times New Roman" w:hAnsi="Times New Roman" w:cs="Times New Roman"/>
          <w:i/>
          <w:iCs/>
          <w:noProof/>
          <w:sz w:val="24"/>
          <w:szCs w:val="24"/>
        </w:rPr>
        <w:t>Environ. Health Perspect.</w:t>
      </w:r>
      <w:r w:rsidRPr="002A3BE6">
        <w:rPr>
          <w:rFonts w:ascii="Times New Roman" w:hAnsi="Times New Roman" w:cs="Times New Roman"/>
          <w:noProof/>
          <w:sz w:val="24"/>
          <w:szCs w:val="24"/>
        </w:rPr>
        <w:t>, vol. 113, no. 12, pp. 1669–1674, Dec. 2005, doi: 10.1289/ehp.7917.</w:t>
      </w:r>
    </w:p>
    <w:p w14:paraId="4313008C"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[14]</w:t>
      </w:r>
      <w:r w:rsidRPr="002A3BE6">
        <w:rPr>
          <w:rFonts w:ascii="Times New Roman" w:hAnsi="Times New Roman" w:cs="Times New Roman"/>
          <w:noProof/>
          <w:sz w:val="24"/>
          <w:szCs w:val="24"/>
        </w:rPr>
        <w:tab/>
        <w:t xml:space="preserve">N. Sani-Gwarzo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“Comparison of blood lead levels between battery recycling workers and controls in Northern Nigeria,” </w:t>
      </w:r>
      <w:r w:rsidRPr="002A3BE6">
        <w:rPr>
          <w:rFonts w:ascii="Times New Roman" w:hAnsi="Times New Roman" w:cs="Times New Roman"/>
          <w:i/>
          <w:iCs/>
          <w:noProof/>
          <w:sz w:val="24"/>
          <w:szCs w:val="24"/>
        </w:rPr>
        <w:t>Int. J. Environ. Health Res.</w:t>
      </w:r>
      <w:r w:rsidRPr="002A3BE6">
        <w:rPr>
          <w:rFonts w:ascii="Times New Roman" w:hAnsi="Times New Roman" w:cs="Times New Roman"/>
          <w:noProof/>
          <w:sz w:val="24"/>
          <w:szCs w:val="24"/>
        </w:rPr>
        <w:t>, vol. 35, no. 6, pp. 1640–1649, Jun. 2025, doi: 10.1080/09603123.2024.2400699.</w:t>
      </w:r>
    </w:p>
    <w:p w14:paraId="4B08C603"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[15]</w:t>
      </w:r>
      <w:r w:rsidRPr="002A3BE6">
        <w:rPr>
          <w:rFonts w:ascii="Times New Roman" w:hAnsi="Times New Roman" w:cs="Times New Roman"/>
          <w:noProof/>
          <w:sz w:val="24"/>
          <w:szCs w:val="24"/>
        </w:rPr>
        <w:tab/>
        <w:t xml:space="preserve">G. Adeosun, A. Olawuyi, R. Oboh, F. Salawudeen, T. Onyeneke, and H. Adeosun, “Occupational lead exposure and its dual impact on renal function and reproductive hormones: A case-control study of Nigerian battery chargers,” </w:t>
      </w:r>
      <w:r w:rsidRPr="002A3BE6">
        <w:rPr>
          <w:rFonts w:ascii="Times New Roman" w:hAnsi="Times New Roman" w:cs="Times New Roman"/>
          <w:i/>
          <w:iCs/>
          <w:noProof/>
          <w:sz w:val="24"/>
          <w:szCs w:val="24"/>
        </w:rPr>
        <w:t>J. Allied Heal. Sci. Med. Res.</w:t>
      </w:r>
      <w:r w:rsidRPr="002A3BE6">
        <w:rPr>
          <w:rFonts w:ascii="Times New Roman" w:hAnsi="Times New Roman" w:cs="Times New Roman"/>
          <w:noProof/>
          <w:sz w:val="24"/>
          <w:szCs w:val="24"/>
        </w:rPr>
        <w:t>, vol. 1, pp. 65–81, Jun. 2025, doi: 10.53378/jahsmr.353225.</w:t>
      </w:r>
    </w:p>
    <w:p w14:paraId="2AA1420C"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[16]</w:t>
      </w:r>
      <w:r w:rsidRPr="002A3BE6">
        <w:rPr>
          <w:rFonts w:ascii="Times New Roman" w:hAnsi="Times New Roman" w:cs="Times New Roman"/>
          <w:noProof/>
          <w:sz w:val="24"/>
          <w:szCs w:val="24"/>
        </w:rPr>
        <w:tab/>
        <w:t xml:space="preserve">L. Jorhem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“Determination of Lead, Cadmium, Zinc, Copper, and Iron in Foods by Atomic Absorption Spectrometry after Microwave Digestion: NMKL1 Collaborative Study,” </w:t>
      </w:r>
      <w:r w:rsidRPr="002A3BE6">
        <w:rPr>
          <w:rFonts w:ascii="Times New Roman" w:hAnsi="Times New Roman" w:cs="Times New Roman"/>
          <w:i/>
          <w:iCs/>
          <w:noProof/>
          <w:sz w:val="24"/>
          <w:szCs w:val="24"/>
        </w:rPr>
        <w:t>J. AOAC Int.</w:t>
      </w:r>
      <w:r w:rsidRPr="002A3BE6">
        <w:rPr>
          <w:rFonts w:ascii="Times New Roman" w:hAnsi="Times New Roman" w:cs="Times New Roman"/>
          <w:noProof/>
          <w:sz w:val="24"/>
          <w:szCs w:val="24"/>
        </w:rPr>
        <w:t>, vol. 83, pp. 1189–1203, Sep. 2000, doi: 10.1093/jaoac/83.5.1189.</w:t>
      </w:r>
    </w:p>
    <w:p w14:paraId="076FA1DA"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[17]</w:t>
      </w:r>
      <w:r w:rsidRPr="002A3BE6">
        <w:rPr>
          <w:rFonts w:ascii="Times New Roman" w:hAnsi="Times New Roman" w:cs="Times New Roman"/>
          <w:noProof/>
          <w:sz w:val="24"/>
          <w:szCs w:val="24"/>
        </w:rPr>
        <w:tab/>
        <w:t xml:space="preserve">M. Al-Ani, U. Opara, D. Al-Bahri, and M. Al Rahbi, “Spectrophotometric quantification of ascorbic acid contents of fruit and vegetables using the 2,4-dinitrophenylhydrazine method,” </w:t>
      </w:r>
      <w:r w:rsidRPr="002A3BE6">
        <w:rPr>
          <w:rFonts w:ascii="Times New Roman" w:hAnsi="Times New Roman" w:cs="Times New Roman"/>
          <w:i/>
          <w:iCs/>
          <w:noProof/>
          <w:sz w:val="24"/>
          <w:szCs w:val="24"/>
        </w:rPr>
        <w:t>J. Food, Agric. Environ.</w:t>
      </w:r>
      <w:r w:rsidRPr="002A3BE6">
        <w:rPr>
          <w:rFonts w:ascii="Times New Roman" w:hAnsi="Times New Roman" w:cs="Times New Roman"/>
          <w:noProof/>
          <w:sz w:val="24"/>
          <w:szCs w:val="24"/>
        </w:rPr>
        <w:t>, vol. 5, Jul. 2007.</w:t>
      </w:r>
    </w:p>
    <w:p w14:paraId="60A0D35A"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[18]</w:t>
      </w:r>
      <w:r w:rsidRPr="002A3BE6">
        <w:rPr>
          <w:rFonts w:ascii="Times New Roman" w:hAnsi="Times New Roman" w:cs="Times New Roman"/>
          <w:noProof/>
          <w:sz w:val="24"/>
          <w:szCs w:val="24"/>
        </w:rPr>
        <w:tab/>
        <w:t xml:space="preserve">G. T. Sanders, A. J. Pasman, and F. J. Hoek, “Determination of uric acid with uricase and peroxidase.,” </w:t>
      </w:r>
      <w:r w:rsidRPr="002A3BE6">
        <w:rPr>
          <w:rFonts w:ascii="Times New Roman" w:hAnsi="Times New Roman" w:cs="Times New Roman"/>
          <w:i/>
          <w:iCs/>
          <w:noProof/>
          <w:sz w:val="24"/>
          <w:szCs w:val="24"/>
        </w:rPr>
        <w:t>Clin. Chim. Acta.</w:t>
      </w:r>
      <w:r w:rsidRPr="002A3BE6">
        <w:rPr>
          <w:rFonts w:ascii="Times New Roman" w:hAnsi="Times New Roman" w:cs="Times New Roman"/>
          <w:noProof/>
          <w:sz w:val="24"/>
          <w:szCs w:val="24"/>
        </w:rPr>
        <w:t>, vol. 101, no. 2–3, pp. 299–303, Feb. 1980, doi: 10.1016/0009-8981(80)90257-0.</w:t>
      </w:r>
    </w:p>
    <w:p w14:paraId="14D91584"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[19]</w:t>
      </w:r>
      <w:r w:rsidRPr="002A3BE6">
        <w:rPr>
          <w:rFonts w:ascii="Times New Roman" w:hAnsi="Times New Roman" w:cs="Times New Roman"/>
          <w:noProof/>
          <w:sz w:val="24"/>
          <w:szCs w:val="24"/>
        </w:rPr>
        <w:tab/>
        <w:t xml:space="preserve">A. Kasperczyk, A. Prokopowicz, M. Dobrakowski, N. Pawlas, and S. Kasperczyk, “The effect of occupational lead exposure on blood levels of zinc, iron, copper,  selenium and related proteins.,” </w:t>
      </w:r>
      <w:r w:rsidRPr="002A3BE6">
        <w:rPr>
          <w:rFonts w:ascii="Times New Roman" w:hAnsi="Times New Roman" w:cs="Times New Roman"/>
          <w:i/>
          <w:iCs/>
          <w:noProof/>
          <w:sz w:val="24"/>
          <w:szCs w:val="24"/>
        </w:rPr>
        <w:t>Biol. Trace Elem. Res.</w:t>
      </w:r>
      <w:r w:rsidRPr="002A3BE6">
        <w:rPr>
          <w:rFonts w:ascii="Times New Roman" w:hAnsi="Times New Roman" w:cs="Times New Roman"/>
          <w:noProof/>
          <w:sz w:val="24"/>
          <w:szCs w:val="24"/>
        </w:rPr>
        <w:t>, vol. 150, no. 1–3, pp. 49–55, Dec. 2012, doi: 10.1007/s12011-012-9490-x.</w:t>
      </w:r>
    </w:p>
    <w:p w14:paraId="671B190E"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[20]</w:t>
      </w:r>
      <w:r w:rsidRPr="002A3BE6">
        <w:rPr>
          <w:rFonts w:ascii="Times New Roman" w:hAnsi="Times New Roman" w:cs="Times New Roman"/>
          <w:noProof/>
          <w:sz w:val="24"/>
          <w:szCs w:val="24"/>
        </w:rPr>
        <w:tab/>
        <w:t xml:space="preserve">A. L. Wani, A. Ara, and J. A. Usmani, “Lead toxicity: a review.,” </w:t>
      </w:r>
      <w:r w:rsidRPr="002A3BE6">
        <w:rPr>
          <w:rFonts w:ascii="Times New Roman" w:hAnsi="Times New Roman" w:cs="Times New Roman"/>
          <w:i/>
          <w:iCs/>
          <w:noProof/>
          <w:sz w:val="24"/>
          <w:szCs w:val="24"/>
        </w:rPr>
        <w:t>Interdiscip. Toxicol.</w:t>
      </w:r>
      <w:r w:rsidRPr="002A3BE6">
        <w:rPr>
          <w:rFonts w:ascii="Times New Roman" w:hAnsi="Times New Roman" w:cs="Times New Roman"/>
          <w:noProof/>
          <w:sz w:val="24"/>
          <w:szCs w:val="24"/>
        </w:rPr>
        <w:t>, vol. 8, no. 2, pp. 55–64, Jun. 2015, doi: 10.1515/intox-2015-0009.</w:t>
      </w:r>
    </w:p>
    <w:p w14:paraId="159D1F75"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[21]</w:t>
      </w:r>
      <w:r w:rsidRPr="002A3BE6">
        <w:rPr>
          <w:rFonts w:ascii="Times New Roman" w:hAnsi="Times New Roman" w:cs="Times New Roman"/>
          <w:noProof/>
          <w:sz w:val="24"/>
          <w:szCs w:val="24"/>
        </w:rPr>
        <w:tab/>
        <w:t xml:space="preserve">A. S. Ituen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“Serum Total Antioxidant Status and Oxidative Stress Marker Levels of </w:t>
      </w:r>
      <w:r w:rsidRPr="002A3BE6">
        <w:rPr>
          <w:rFonts w:ascii="Times New Roman" w:hAnsi="Times New Roman" w:cs="Times New Roman"/>
          <w:noProof/>
          <w:sz w:val="24"/>
          <w:szCs w:val="24"/>
        </w:rPr>
        <w:lastRenderedPageBreak/>
        <w:t xml:space="preserve">Subjects in a Lead-Zinc Mining Community of Ebonyi State, Nigeria: Evidence of Lead Intoxication,” </w:t>
      </w:r>
      <w:r w:rsidRPr="002A3BE6">
        <w:rPr>
          <w:rFonts w:ascii="Times New Roman" w:hAnsi="Times New Roman" w:cs="Times New Roman"/>
          <w:i/>
          <w:iCs/>
          <w:noProof/>
          <w:sz w:val="24"/>
          <w:szCs w:val="24"/>
        </w:rPr>
        <w:t>Asia Pacific J. Med. Toxicol.</w:t>
      </w:r>
      <w:r w:rsidRPr="002A3BE6">
        <w:rPr>
          <w:rFonts w:ascii="Times New Roman" w:hAnsi="Times New Roman" w:cs="Times New Roman"/>
          <w:noProof/>
          <w:sz w:val="24"/>
          <w:szCs w:val="24"/>
        </w:rPr>
        <w:t>, vol. 11, no. 4, pp. 128–145, 2023, [Online]. Available: https://apjmt.mums.ac.ir/article_21780.html</w:t>
      </w:r>
    </w:p>
    <w:p w14:paraId="47CC7829"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[22]</w:t>
      </w:r>
      <w:r w:rsidRPr="002A3BE6">
        <w:rPr>
          <w:rFonts w:ascii="Times New Roman" w:hAnsi="Times New Roman" w:cs="Times New Roman"/>
          <w:noProof/>
          <w:sz w:val="24"/>
          <w:szCs w:val="24"/>
        </w:rPr>
        <w:tab/>
        <w:t xml:space="preserve">A. Mukisa, D. Kasozi, C. Aguttu, and J. Kyambadde, </w:t>
      </w:r>
      <w:r w:rsidRPr="002A3BE6">
        <w:rPr>
          <w:rFonts w:ascii="Times New Roman" w:hAnsi="Times New Roman" w:cs="Times New Roman"/>
          <w:i/>
          <w:iCs/>
          <w:noProof/>
          <w:sz w:val="24"/>
          <w:szCs w:val="24"/>
        </w:rPr>
        <w:t>Delta-Aminolevulinic Acid Dehydratase Enzyme Activity and Susceptibility to Lead Toxicity in Uganda’s Urban Children</w:t>
      </w:r>
      <w:r w:rsidRPr="002A3BE6">
        <w:rPr>
          <w:rFonts w:ascii="Times New Roman" w:hAnsi="Times New Roman" w:cs="Times New Roman"/>
          <w:noProof/>
          <w:sz w:val="24"/>
          <w:szCs w:val="24"/>
        </w:rPr>
        <w:t>. 2021. doi: 10.20944/preprints202112.0371.v1.</w:t>
      </w:r>
    </w:p>
    <w:p w14:paraId="0A2AA0A1"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[23]</w:t>
      </w:r>
      <w:r w:rsidRPr="002A3BE6">
        <w:rPr>
          <w:rFonts w:ascii="Times New Roman" w:hAnsi="Times New Roman" w:cs="Times New Roman"/>
          <w:noProof/>
          <w:sz w:val="24"/>
          <w:szCs w:val="24"/>
        </w:rPr>
        <w:tab/>
        <w:t xml:space="preserve">A. F. Abdelhaleim, J. S. Abdo Soliman, A. Y. Amer, and J. S. Abdo Soliman, “Association of Zinc Deficiency with Iron Deficiency Anemia and its Symptoms:  Results from a Case-control Study.,” </w:t>
      </w:r>
      <w:r w:rsidRPr="002A3BE6">
        <w:rPr>
          <w:rFonts w:ascii="Times New Roman" w:hAnsi="Times New Roman" w:cs="Times New Roman"/>
          <w:i/>
          <w:iCs/>
          <w:noProof/>
          <w:sz w:val="24"/>
          <w:szCs w:val="24"/>
        </w:rPr>
        <w:t>Cureus</w:t>
      </w:r>
      <w:r w:rsidRPr="002A3BE6">
        <w:rPr>
          <w:rFonts w:ascii="Times New Roman" w:hAnsi="Times New Roman" w:cs="Times New Roman"/>
          <w:noProof/>
          <w:sz w:val="24"/>
          <w:szCs w:val="24"/>
        </w:rPr>
        <w:t>, vol. 11, no. 1, p. e3811, Jan. 2019, doi: 10.7759/cureus.3811.</w:t>
      </w:r>
    </w:p>
    <w:p w14:paraId="2060EAE6"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[24]</w:t>
      </w:r>
      <w:r w:rsidRPr="002A3BE6">
        <w:rPr>
          <w:rFonts w:ascii="Times New Roman" w:hAnsi="Times New Roman" w:cs="Times New Roman"/>
          <w:noProof/>
          <w:sz w:val="24"/>
          <w:szCs w:val="24"/>
        </w:rPr>
        <w:tab/>
        <w:t xml:space="preserve">S. C. Barber, R. J. Mead, and P. J. Shaw, “Oxidative stress in ALS: A mechanism of neurodegeneration and a therapeutic target,” </w:t>
      </w:r>
      <w:r w:rsidRPr="002A3BE6">
        <w:rPr>
          <w:rFonts w:ascii="Times New Roman" w:hAnsi="Times New Roman" w:cs="Times New Roman"/>
          <w:i/>
          <w:iCs/>
          <w:noProof/>
          <w:sz w:val="24"/>
          <w:szCs w:val="24"/>
        </w:rPr>
        <w:t>Biochim. Biophys. Acta - Mol. Basis Dis.</w:t>
      </w:r>
      <w:r w:rsidRPr="002A3BE6">
        <w:rPr>
          <w:rFonts w:ascii="Times New Roman" w:hAnsi="Times New Roman" w:cs="Times New Roman"/>
          <w:noProof/>
          <w:sz w:val="24"/>
          <w:szCs w:val="24"/>
        </w:rPr>
        <w:t>, vol. 1762, no. 11–12, pp. 1051–1067, 2006, doi: 10.1016/j.bbadis.2006.03.008.</w:t>
      </w:r>
    </w:p>
    <w:p w14:paraId="41204C0D"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[25]</w:t>
      </w:r>
      <w:r w:rsidRPr="002A3BE6">
        <w:rPr>
          <w:rFonts w:ascii="Times New Roman" w:hAnsi="Times New Roman" w:cs="Times New Roman"/>
          <w:noProof/>
          <w:sz w:val="24"/>
          <w:szCs w:val="24"/>
        </w:rPr>
        <w:tab/>
        <w:t xml:space="preserve">J. Šulinskiene </w:t>
      </w:r>
      <w:r w:rsidRPr="002A3BE6">
        <w:rPr>
          <w:rFonts w:ascii="Times New Roman" w:hAnsi="Times New Roman" w:cs="Times New Roman"/>
          <w:i/>
          <w:iCs/>
          <w:noProof/>
          <w:sz w:val="24"/>
          <w:szCs w:val="24"/>
        </w:rPr>
        <w:t>et al.</w:t>
      </w:r>
      <w:r w:rsidRPr="002A3BE6">
        <w:rPr>
          <w:rFonts w:ascii="Times New Roman" w:hAnsi="Times New Roman" w:cs="Times New Roman"/>
          <w:noProof/>
          <w:sz w:val="24"/>
          <w:szCs w:val="24"/>
        </w:rPr>
        <w:t xml:space="preserve">, “Effect of Zinc on the Oxidative Stress Biomarkers in the Brain of Nickel-Treated Mice,” </w:t>
      </w:r>
      <w:r w:rsidRPr="002A3BE6">
        <w:rPr>
          <w:rFonts w:ascii="Times New Roman" w:hAnsi="Times New Roman" w:cs="Times New Roman"/>
          <w:i/>
          <w:iCs/>
          <w:noProof/>
          <w:sz w:val="24"/>
          <w:szCs w:val="24"/>
        </w:rPr>
        <w:t>Oxid. Med. Cell. Longev.</w:t>
      </w:r>
      <w:r w:rsidRPr="002A3BE6">
        <w:rPr>
          <w:rFonts w:ascii="Times New Roman" w:hAnsi="Times New Roman" w:cs="Times New Roman"/>
          <w:noProof/>
          <w:sz w:val="24"/>
          <w:szCs w:val="24"/>
        </w:rPr>
        <w:t>, vol. 2019, 2019, doi: 10.1155/2019/8549727.</w:t>
      </w:r>
    </w:p>
    <w:p w14:paraId="0F12680A"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[26]</w:t>
      </w:r>
      <w:r w:rsidRPr="002A3BE6">
        <w:rPr>
          <w:rFonts w:ascii="Times New Roman" w:hAnsi="Times New Roman" w:cs="Times New Roman"/>
          <w:noProof/>
          <w:sz w:val="24"/>
          <w:szCs w:val="24"/>
        </w:rPr>
        <w:tab/>
        <w:t xml:space="preserve">S. Stawicki, M. Lyons, M. Aloupis, and B. Sarani, “Current Evidence from Phase III Clinical Trials of Selenium Supplementation in Critically Ill Patients: Why Should We Bother?,” </w:t>
      </w:r>
      <w:r w:rsidRPr="002A3BE6">
        <w:rPr>
          <w:rFonts w:ascii="Times New Roman" w:hAnsi="Times New Roman" w:cs="Times New Roman"/>
          <w:i/>
          <w:iCs/>
          <w:noProof/>
          <w:sz w:val="24"/>
          <w:szCs w:val="24"/>
        </w:rPr>
        <w:t>Mini Rev. Med. Chem.</w:t>
      </w:r>
      <w:r w:rsidRPr="002A3BE6">
        <w:rPr>
          <w:rFonts w:ascii="Times New Roman" w:hAnsi="Times New Roman" w:cs="Times New Roman"/>
          <w:noProof/>
          <w:sz w:val="24"/>
          <w:szCs w:val="24"/>
        </w:rPr>
        <w:t>, vol. 7, pp. 1–7, Jul. 2007, doi: 10.2174/138955707781024526.</w:t>
      </w:r>
    </w:p>
    <w:p w14:paraId="502E0EE4"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[27]</w:t>
      </w:r>
      <w:r w:rsidRPr="002A3BE6">
        <w:rPr>
          <w:rFonts w:ascii="Times New Roman" w:hAnsi="Times New Roman" w:cs="Times New Roman"/>
          <w:noProof/>
          <w:sz w:val="24"/>
          <w:szCs w:val="24"/>
        </w:rPr>
        <w:tab/>
        <w:t xml:space="preserve">J. Pei, X. Pan, G. Wei, and Y. Hua, “Research progress of glutathione peroxidase family (GPX) in redoxidation,” </w:t>
      </w:r>
      <w:r w:rsidRPr="002A3BE6">
        <w:rPr>
          <w:rFonts w:ascii="Times New Roman" w:hAnsi="Times New Roman" w:cs="Times New Roman"/>
          <w:i/>
          <w:iCs/>
          <w:noProof/>
          <w:sz w:val="24"/>
          <w:szCs w:val="24"/>
        </w:rPr>
        <w:t>Front. Pharmacol.</w:t>
      </w:r>
      <w:r w:rsidRPr="002A3BE6">
        <w:rPr>
          <w:rFonts w:ascii="Times New Roman" w:hAnsi="Times New Roman" w:cs="Times New Roman"/>
          <w:noProof/>
          <w:sz w:val="24"/>
          <w:szCs w:val="24"/>
        </w:rPr>
        <w:t>, vol. 14, p. 1147414, 2023, doi: 10.3389/fphar.2023.1147414.</w:t>
      </w:r>
    </w:p>
    <w:p w14:paraId="11FE10B4"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[28]</w:t>
      </w:r>
      <w:r w:rsidRPr="002A3BE6">
        <w:rPr>
          <w:rFonts w:ascii="Times New Roman" w:hAnsi="Times New Roman" w:cs="Times New Roman"/>
          <w:noProof/>
          <w:sz w:val="24"/>
          <w:szCs w:val="24"/>
        </w:rPr>
        <w:tab/>
        <w:t xml:space="preserve">J. M. Stolwijk, K. C. Falls-Hubert, C. C. Searby, B. A. Wagner, and G. R. Buettner, “Simultaneous detection of the enzyme activities of GPx1 and GPx4 guide  optimization of selenium in cell biological experiments.,” </w:t>
      </w:r>
      <w:r w:rsidRPr="002A3BE6">
        <w:rPr>
          <w:rFonts w:ascii="Times New Roman" w:hAnsi="Times New Roman" w:cs="Times New Roman"/>
          <w:i/>
          <w:iCs/>
          <w:noProof/>
          <w:sz w:val="24"/>
          <w:szCs w:val="24"/>
        </w:rPr>
        <w:t>Redox Biol.</w:t>
      </w:r>
      <w:r w:rsidRPr="002A3BE6">
        <w:rPr>
          <w:rFonts w:ascii="Times New Roman" w:hAnsi="Times New Roman" w:cs="Times New Roman"/>
          <w:noProof/>
          <w:sz w:val="24"/>
          <w:szCs w:val="24"/>
        </w:rPr>
        <w:t>, vol. 32, p. 101518, May 2020, doi: 10.1016/j.redox.2020.101518.</w:t>
      </w:r>
    </w:p>
    <w:p w14:paraId="5AD394FE"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[29]</w:t>
      </w:r>
      <w:r w:rsidRPr="002A3BE6">
        <w:rPr>
          <w:rFonts w:ascii="Times New Roman" w:hAnsi="Times New Roman" w:cs="Times New Roman"/>
          <w:noProof/>
          <w:sz w:val="24"/>
          <w:szCs w:val="24"/>
        </w:rPr>
        <w:tab/>
        <w:t xml:space="preserve">R. C. Patra, A. K. Rautray, and D. Swarup, “Oxidative stress in lead and cadmium toxicity and its amelioration,” </w:t>
      </w:r>
      <w:r w:rsidRPr="002A3BE6">
        <w:rPr>
          <w:rFonts w:ascii="Times New Roman" w:hAnsi="Times New Roman" w:cs="Times New Roman"/>
          <w:i/>
          <w:iCs/>
          <w:noProof/>
          <w:sz w:val="24"/>
          <w:szCs w:val="24"/>
        </w:rPr>
        <w:t>Vet. Med. Int.</w:t>
      </w:r>
      <w:r w:rsidRPr="002A3BE6">
        <w:rPr>
          <w:rFonts w:ascii="Times New Roman" w:hAnsi="Times New Roman" w:cs="Times New Roman"/>
          <w:noProof/>
          <w:sz w:val="24"/>
          <w:szCs w:val="24"/>
        </w:rPr>
        <w:t>, vol. 2011, p. 457327, Mar. 2011, doi: 10.4061/2011/457327.</w:t>
      </w:r>
    </w:p>
    <w:p w14:paraId="0207B8AE"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[30]</w:t>
      </w:r>
      <w:r w:rsidRPr="002A3BE6">
        <w:rPr>
          <w:rFonts w:ascii="Times New Roman" w:hAnsi="Times New Roman" w:cs="Times New Roman"/>
          <w:noProof/>
          <w:sz w:val="24"/>
          <w:szCs w:val="24"/>
        </w:rPr>
        <w:tab/>
        <w:t xml:space="preserve">S. I. Khater, H. A. ELsaadawy, and S. A. El-Basyoni, “Effect of Zinc, Selenium and their Combination on Cadmium- Induced Oxidative Stress in Rat Kidney-A Molecular Study,” </w:t>
      </w:r>
      <w:r w:rsidRPr="002A3BE6">
        <w:rPr>
          <w:rFonts w:ascii="Times New Roman" w:hAnsi="Times New Roman" w:cs="Times New Roman"/>
          <w:i/>
          <w:iCs/>
          <w:noProof/>
          <w:sz w:val="24"/>
          <w:szCs w:val="24"/>
        </w:rPr>
        <w:t>Zagazig Vet. J.</w:t>
      </w:r>
      <w:r w:rsidRPr="002A3BE6">
        <w:rPr>
          <w:rFonts w:ascii="Times New Roman" w:hAnsi="Times New Roman" w:cs="Times New Roman"/>
          <w:noProof/>
          <w:sz w:val="24"/>
          <w:szCs w:val="24"/>
        </w:rPr>
        <w:t>, vol. 45, no. 1, pp. 201–209, 2017, doi: 10.21608/zvjz.2017.28665.</w:t>
      </w:r>
    </w:p>
    <w:p w14:paraId="7D44ADF8"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szCs w:val="24"/>
        </w:rPr>
      </w:pPr>
      <w:r w:rsidRPr="002A3BE6">
        <w:rPr>
          <w:rFonts w:ascii="Times New Roman" w:hAnsi="Times New Roman" w:cs="Times New Roman"/>
          <w:noProof/>
          <w:sz w:val="24"/>
          <w:szCs w:val="24"/>
        </w:rPr>
        <w:t>[31]</w:t>
      </w:r>
      <w:r w:rsidRPr="002A3BE6">
        <w:rPr>
          <w:rFonts w:ascii="Times New Roman" w:hAnsi="Times New Roman" w:cs="Times New Roman"/>
          <w:noProof/>
          <w:sz w:val="24"/>
          <w:szCs w:val="24"/>
        </w:rPr>
        <w:tab/>
        <w:t xml:space="preserve">A. C. Carr and S. Maggini, “Vitamin C and Immune Function,” </w:t>
      </w:r>
      <w:r w:rsidRPr="002A3BE6">
        <w:rPr>
          <w:rFonts w:ascii="Times New Roman" w:hAnsi="Times New Roman" w:cs="Times New Roman"/>
          <w:i/>
          <w:iCs/>
          <w:noProof/>
          <w:sz w:val="24"/>
          <w:szCs w:val="24"/>
        </w:rPr>
        <w:t>Nutrients</w:t>
      </w:r>
      <w:r w:rsidRPr="002A3BE6">
        <w:rPr>
          <w:rFonts w:ascii="Times New Roman" w:hAnsi="Times New Roman" w:cs="Times New Roman"/>
          <w:noProof/>
          <w:sz w:val="24"/>
          <w:szCs w:val="24"/>
        </w:rPr>
        <w:t>, vol. 9, no. 11, Nov. 2017, doi: 10.3390/nu9111211.</w:t>
      </w:r>
    </w:p>
    <w:p w14:paraId="4ED2FD3B" w14:textId="77777777" w:rsidR="002A3BE6" w:rsidRPr="002A3BE6" w:rsidRDefault="002A3BE6" w:rsidP="002A3BE6">
      <w:pPr>
        <w:widowControl w:val="0"/>
        <w:autoSpaceDE w:val="0"/>
        <w:autoSpaceDN w:val="0"/>
        <w:adjustRightInd w:val="0"/>
        <w:spacing w:before="100" w:after="0" w:line="240" w:lineRule="auto"/>
        <w:ind w:left="640" w:hanging="640"/>
        <w:rPr>
          <w:rFonts w:ascii="Times New Roman" w:hAnsi="Times New Roman" w:cs="Times New Roman"/>
          <w:noProof/>
          <w:sz w:val="24"/>
        </w:rPr>
      </w:pPr>
      <w:r w:rsidRPr="002A3BE6">
        <w:rPr>
          <w:rFonts w:ascii="Times New Roman" w:hAnsi="Times New Roman" w:cs="Times New Roman"/>
          <w:noProof/>
          <w:sz w:val="24"/>
          <w:szCs w:val="24"/>
        </w:rPr>
        <w:t>[32]</w:t>
      </w:r>
      <w:r w:rsidRPr="002A3BE6">
        <w:rPr>
          <w:rFonts w:ascii="Times New Roman" w:hAnsi="Times New Roman" w:cs="Times New Roman"/>
          <w:noProof/>
          <w:sz w:val="24"/>
          <w:szCs w:val="24"/>
        </w:rPr>
        <w:tab/>
        <w:t xml:space="preserve">T. Mikami and M. Sorimachi, “Uric acid contributes greatly to hepatic antioxidant capacity besides protein,” </w:t>
      </w:r>
      <w:r w:rsidRPr="002A3BE6">
        <w:rPr>
          <w:rFonts w:ascii="Times New Roman" w:hAnsi="Times New Roman" w:cs="Times New Roman"/>
          <w:i/>
          <w:iCs/>
          <w:noProof/>
          <w:sz w:val="24"/>
          <w:szCs w:val="24"/>
        </w:rPr>
        <w:t>Physiol. Res.</w:t>
      </w:r>
      <w:r w:rsidRPr="002A3BE6">
        <w:rPr>
          <w:rFonts w:ascii="Times New Roman" w:hAnsi="Times New Roman" w:cs="Times New Roman"/>
          <w:noProof/>
          <w:sz w:val="24"/>
          <w:szCs w:val="24"/>
        </w:rPr>
        <w:t>, vol. 66, no. 6, pp. 1001–1007, 2017, doi: 10.33549/physiolres.933555.</w:t>
      </w:r>
    </w:p>
    <w:p w14:paraId="0F498DD6"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fldChar w:fldCharType="end"/>
      </w:r>
    </w:p>
    <w:p w14:paraId="13D31693"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2415B1FD"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6F59ED4E"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67F1C497"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410FCD6A"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16483F51"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6CB1B7CD"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78E52835"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0A447976"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7FF44F3F" w14:textId="77777777" w:rsidR="00B301D5" w:rsidRDefault="00B301D5" w:rsidP="00871424">
      <w:pPr>
        <w:spacing w:before="100" w:beforeAutospacing="1" w:after="0" w:line="240" w:lineRule="auto"/>
        <w:rPr>
          <w:rFonts w:ascii="Times New Roman" w:eastAsia="Times New Roman" w:hAnsi="Times New Roman" w:cs="Times New Roman"/>
          <w:color w:val="1F1F1F"/>
          <w:sz w:val="24"/>
          <w:szCs w:val="24"/>
        </w:rPr>
      </w:pPr>
    </w:p>
    <w:p w14:paraId="5A912A9B" w14:textId="77777777" w:rsidR="00871424" w:rsidRDefault="00871424"/>
    <w:p w14:paraId="0E1C6CEE" w14:textId="77777777" w:rsidR="00F476A2" w:rsidRDefault="00F476A2"/>
    <w:sectPr w:rsidR="00F476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28F6C" w14:textId="77777777" w:rsidR="00EA1E3A" w:rsidRDefault="00EA1E3A" w:rsidP="00660242">
      <w:pPr>
        <w:spacing w:after="0" w:line="240" w:lineRule="auto"/>
      </w:pPr>
      <w:r>
        <w:separator/>
      </w:r>
    </w:p>
  </w:endnote>
  <w:endnote w:type="continuationSeparator" w:id="0">
    <w:p w14:paraId="4DC61CB5" w14:textId="77777777" w:rsidR="00EA1E3A" w:rsidRDefault="00EA1E3A" w:rsidP="0066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0759" w14:textId="77777777" w:rsidR="00660242" w:rsidRDefault="00660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008C" w14:textId="77777777" w:rsidR="00660242" w:rsidRDefault="00660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97B51" w14:textId="77777777" w:rsidR="00660242" w:rsidRDefault="00660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2694E" w14:textId="77777777" w:rsidR="00EA1E3A" w:rsidRDefault="00EA1E3A" w:rsidP="00660242">
      <w:pPr>
        <w:spacing w:after="0" w:line="240" w:lineRule="auto"/>
      </w:pPr>
      <w:r>
        <w:separator/>
      </w:r>
    </w:p>
  </w:footnote>
  <w:footnote w:type="continuationSeparator" w:id="0">
    <w:p w14:paraId="4AF9E1AB" w14:textId="77777777" w:rsidR="00EA1E3A" w:rsidRDefault="00EA1E3A" w:rsidP="00660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BA80" w14:textId="154F61B8" w:rsidR="00660242" w:rsidRDefault="00660242">
    <w:pPr>
      <w:pStyle w:val="Header"/>
    </w:pPr>
    <w:r>
      <w:rPr>
        <w:noProof/>
      </w:rPr>
      <w:pict w14:anchorId="2E051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39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609B" w14:textId="1AE770A5" w:rsidR="00660242" w:rsidRDefault="00660242">
    <w:pPr>
      <w:pStyle w:val="Header"/>
    </w:pPr>
    <w:r>
      <w:rPr>
        <w:noProof/>
      </w:rPr>
      <w:pict w14:anchorId="33172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39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2717" w14:textId="2144160B" w:rsidR="00660242" w:rsidRDefault="00660242">
    <w:pPr>
      <w:pStyle w:val="Header"/>
    </w:pPr>
    <w:r>
      <w:rPr>
        <w:noProof/>
      </w:rPr>
      <w:pict w14:anchorId="4887E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39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061"/>
    <w:multiLevelType w:val="hybridMultilevel"/>
    <w:tmpl w:val="1A2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0C33"/>
    <w:multiLevelType w:val="multilevel"/>
    <w:tmpl w:val="6A9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F76CC"/>
    <w:multiLevelType w:val="multilevel"/>
    <w:tmpl w:val="6504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B7DB8"/>
    <w:multiLevelType w:val="multilevel"/>
    <w:tmpl w:val="7B96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B6776"/>
    <w:multiLevelType w:val="multilevel"/>
    <w:tmpl w:val="C824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65BA0"/>
    <w:multiLevelType w:val="multilevel"/>
    <w:tmpl w:val="9D9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25290"/>
    <w:multiLevelType w:val="multilevel"/>
    <w:tmpl w:val="5748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16690"/>
    <w:multiLevelType w:val="multilevel"/>
    <w:tmpl w:val="CAB65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822144"/>
    <w:multiLevelType w:val="multilevel"/>
    <w:tmpl w:val="5A94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7451E"/>
    <w:multiLevelType w:val="multilevel"/>
    <w:tmpl w:val="98A8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D0343A"/>
    <w:multiLevelType w:val="multilevel"/>
    <w:tmpl w:val="8FCA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292EB2"/>
    <w:multiLevelType w:val="multilevel"/>
    <w:tmpl w:val="272A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6"/>
  </w:num>
  <w:num w:numId="5">
    <w:abstractNumId w:val="3"/>
  </w:num>
  <w:num w:numId="6">
    <w:abstractNumId w:val="1"/>
  </w:num>
  <w:num w:numId="7">
    <w:abstractNumId w:val="8"/>
  </w:num>
  <w:num w:numId="8">
    <w:abstractNumId w:val="0"/>
  </w:num>
  <w:num w:numId="9">
    <w:abstractNumId w:val="1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24"/>
    <w:rsid w:val="000675D7"/>
    <w:rsid w:val="00075B6F"/>
    <w:rsid w:val="00076329"/>
    <w:rsid w:val="000A19E9"/>
    <w:rsid w:val="000A65B9"/>
    <w:rsid w:val="00112A63"/>
    <w:rsid w:val="00152221"/>
    <w:rsid w:val="0019475E"/>
    <w:rsid w:val="00196F8C"/>
    <w:rsid w:val="001A68CC"/>
    <w:rsid w:val="001D72E1"/>
    <w:rsid w:val="001F023A"/>
    <w:rsid w:val="001F0563"/>
    <w:rsid w:val="001F3B1B"/>
    <w:rsid w:val="0021162F"/>
    <w:rsid w:val="00225EC9"/>
    <w:rsid w:val="00234B14"/>
    <w:rsid w:val="0024295B"/>
    <w:rsid w:val="00265EFE"/>
    <w:rsid w:val="00277DC9"/>
    <w:rsid w:val="002A3BE6"/>
    <w:rsid w:val="002C1B3D"/>
    <w:rsid w:val="002C6F9F"/>
    <w:rsid w:val="002D031B"/>
    <w:rsid w:val="002F6615"/>
    <w:rsid w:val="003229DB"/>
    <w:rsid w:val="0038591C"/>
    <w:rsid w:val="00392019"/>
    <w:rsid w:val="003D1DC6"/>
    <w:rsid w:val="003F2D83"/>
    <w:rsid w:val="00461888"/>
    <w:rsid w:val="004646A4"/>
    <w:rsid w:val="00464F8F"/>
    <w:rsid w:val="004962FE"/>
    <w:rsid w:val="004B6823"/>
    <w:rsid w:val="00535C29"/>
    <w:rsid w:val="005630B0"/>
    <w:rsid w:val="005637B7"/>
    <w:rsid w:val="00594993"/>
    <w:rsid w:val="005A611E"/>
    <w:rsid w:val="005C4C46"/>
    <w:rsid w:val="00607516"/>
    <w:rsid w:val="00627483"/>
    <w:rsid w:val="0064108D"/>
    <w:rsid w:val="00656933"/>
    <w:rsid w:val="00660242"/>
    <w:rsid w:val="00672C25"/>
    <w:rsid w:val="006C5E73"/>
    <w:rsid w:val="006D5290"/>
    <w:rsid w:val="0071027F"/>
    <w:rsid w:val="0075781B"/>
    <w:rsid w:val="00776B75"/>
    <w:rsid w:val="007A4A1B"/>
    <w:rsid w:val="007B21EC"/>
    <w:rsid w:val="007B2A54"/>
    <w:rsid w:val="007D5570"/>
    <w:rsid w:val="008001A4"/>
    <w:rsid w:val="00847704"/>
    <w:rsid w:val="00871424"/>
    <w:rsid w:val="008866E9"/>
    <w:rsid w:val="00895623"/>
    <w:rsid w:val="008C35C5"/>
    <w:rsid w:val="008D7782"/>
    <w:rsid w:val="008E0972"/>
    <w:rsid w:val="008E385D"/>
    <w:rsid w:val="008E4CC8"/>
    <w:rsid w:val="00921A50"/>
    <w:rsid w:val="009426C7"/>
    <w:rsid w:val="009D2F04"/>
    <w:rsid w:val="009D3337"/>
    <w:rsid w:val="009E442B"/>
    <w:rsid w:val="009E65D4"/>
    <w:rsid w:val="00A17074"/>
    <w:rsid w:val="00A36766"/>
    <w:rsid w:val="00A421D4"/>
    <w:rsid w:val="00AB2A62"/>
    <w:rsid w:val="00AC41B7"/>
    <w:rsid w:val="00AC4A91"/>
    <w:rsid w:val="00AF4B1D"/>
    <w:rsid w:val="00B301D5"/>
    <w:rsid w:val="00B449EB"/>
    <w:rsid w:val="00B95C0C"/>
    <w:rsid w:val="00BA4F57"/>
    <w:rsid w:val="00BC0F06"/>
    <w:rsid w:val="00BE1EB0"/>
    <w:rsid w:val="00BE3DB3"/>
    <w:rsid w:val="00BF209D"/>
    <w:rsid w:val="00BF7AAB"/>
    <w:rsid w:val="00C0729E"/>
    <w:rsid w:val="00C322EB"/>
    <w:rsid w:val="00C36EED"/>
    <w:rsid w:val="00C436B2"/>
    <w:rsid w:val="00C57A79"/>
    <w:rsid w:val="00C920A5"/>
    <w:rsid w:val="00CA16FA"/>
    <w:rsid w:val="00CD65C2"/>
    <w:rsid w:val="00D004A6"/>
    <w:rsid w:val="00D24F2F"/>
    <w:rsid w:val="00D836EA"/>
    <w:rsid w:val="00E2624B"/>
    <w:rsid w:val="00E83D90"/>
    <w:rsid w:val="00EA1E3A"/>
    <w:rsid w:val="00EC05A2"/>
    <w:rsid w:val="00EC5060"/>
    <w:rsid w:val="00EC5E9F"/>
    <w:rsid w:val="00F0514E"/>
    <w:rsid w:val="00F135CD"/>
    <w:rsid w:val="00F33E56"/>
    <w:rsid w:val="00F476A2"/>
    <w:rsid w:val="00F70D97"/>
    <w:rsid w:val="00F761C3"/>
    <w:rsid w:val="00F94654"/>
    <w:rsid w:val="00FD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44D11D"/>
  <w15:chartTrackingRefBased/>
  <w15:docId w15:val="{D7FECC84-8C70-4EA4-A077-3DB138D3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424"/>
  </w:style>
  <w:style w:type="paragraph" w:styleId="Heading1">
    <w:name w:val="heading 1"/>
    <w:basedOn w:val="Normal"/>
    <w:next w:val="Normal"/>
    <w:link w:val="Heading1Char"/>
    <w:uiPriority w:val="9"/>
    <w:qFormat/>
    <w:rsid w:val="00A367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1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14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424"/>
    <w:pPr>
      <w:spacing w:after="0" w:line="240" w:lineRule="auto"/>
    </w:pPr>
    <w:rPr>
      <w:rFonts w:ascii="Times New Roman" w:eastAsia="SimSun" w:hAnsi="Times New Roman" w:cs="Times New Roman"/>
    </w:rPr>
  </w:style>
  <w:style w:type="character" w:customStyle="1" w:styleId="Heading2Char">
    <w:name w:val="Heading 2 Char"/>
    <w:basedOn w:val="DefaultParagraphFont"/>
    <w:link w:val="Heading2"/>
    <w:uiPriority w:val="9"/>
    <w:rsid w:val="008714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1424"/>
    <w:rPr>
      <w:rFonts w:ascii="Times New Roman" w:eastAsia="Times New Roman" w:hAnsi="Times New Roman" w:cs="Times New Roman"/>
      <w:b/>
      <w:bCs/>
      <w:sz w:val="27"/>
      <w:szCs w:val="27"/>
    </w:rPr>
  </w:style>
  <w:style w:type="paragraph" w:styleId="NormalWeb">
    <w:name w:val="Normal (Web)"/>
    <w:basedOn w:val="Normal"/>
    <w:uiPriority w:val="99"/>
    <w:unhideWhenUsed/>
    <w:rsid w:val="008714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871424"/>
  </w:style>
  <w:style w:type="character" w:customStyle="1" w:styleId="citation-27">
    <w:name w:val="citation-27"/>
    <w:basedOn w:val="DefaultParagraphFont"/>
    <w:rsid w:val="00871424"/>
  </w:style>
  <w:style w:type="character" w:customStyle="1" w:styleId="citation-26">
    <w:name w:val="citation-26"/>
    <w:basedOn w:val="DefaultParagraphFont"/>
    <w:rsid w:val="00871424"/>
  </w:style>
  <w:style w:type="character" w:customStyle="1" w:styleId="citation-25">
    <w:name w:val="citation-25"/>
    <w:basedOn w:val="DefaultParagraphFont"/>
    <w:rsid w:val="00871424"/>
  </w:style>
  <w:style w:type="character" w:customStyle="1" w:styleId="citation-24">
    <w:name w:val="citation-24"/>
    <w:basedOn w:val="DefaultParagraphFont"/>
    <w:rsid w:val="00871424"/>
  </w:style>
  <w:style w:type="character" w:customStyle="1" w:styleId="citation-23">
    <w:name w:val="citation-23"/>
    <w:basedOn w:val="DefaultParagraphFont"/>
    <w:rsid w:val="00871424"/>
  </w:style>
  <w:style w:type="character" w:customStyle="1" w:styleId="citation-22">
    <w:name w:val="citation-22"/>
    <w:basedOn w:val="DefaultParagraphFont"/>
    <w:rsid w:val="00871424"/>
  </w:style>
  <w:style w:type="character" w:customStyle="1" w:styleId="citation-21">
    <w:name w:val="citation-21"/>
    <w:basedOn w:val="DefaultParagraphFont"/>
    <w:rsid w:val="00871424"/>
  </w:style>
  <w:style w:type="character" w:customStyle="1" w:styleId="citation-20">
    <w:name w:val="citation-20"/>
    <w:basedOn w:val="DefaultParagraphFont"/>
    <w:rsid w:val="00871424"/>
  </w:style>
  <w:style w:type="character" w:customStyle="1" w:styleId="citation-19">
    <w:name w:val="citation-19"/>
    <w:basedOn w:val="DefaultParagraphFont"/>
    <w:rsid w:val="00871424"/>
  </w:style>
  <w:style w:type="character" w:customStyle="1" w:styleId="citation-18">
    <w:name w:val="citation-18"/>
    <w:basedOn w:val="DefaultParagraphFont"/>
    <w:rsid w:val="00871424"/>
  </w:style>
  <w:style w:type="character" w:customStyle="1" w:styleId="citation-17">
    <w:name w:val="citation-17"/>
    <w:basedOn w:val="DefaultParagraphFont"/>
    <w:rsid w:val="00871424"/>
  </w:style>
  <w:style w:type="character" w:customStyle="1" w:styleId="citation-16">
    <w:name w:val="citation-16"/>
    <w:basedOn w:val="DefaultParagraphFont"/>
    <w:rsid w:val="00871424"/>
  </w:style>
  <w:style w:type="character" w:customStyle="1" w:styleId="citation-15">
    <w:name w:val="citation-15"/>
    <w:basedOn w:val="DefaultParagraphFont"/>
    <w:rsid w:val="00871424"/>
  </w:style>
  <w:style w:type="character" w:customStyle="1" w:styleId="citation-14">
    <w:name w:val="citation-14"/>
    <w:basedOn w:val="DefaultParagraphFont"/>
    <w:rsid w:val="00871424"/>
  </w:style>
  <w:style w:type="character" w:styleId="Strong">
    <w:name w:val="Strong"/>
    <w:basedOn w:val="DefaultParagraphFont"/>
    <w:uiPriority w:val="22"/>
    <w:qFormat/>
    <w:rsid w:val="00F476A2"/>
    <w:rPr>
      <w:b/>
      <w:bCs/>
    </w:rPr>
  </w:style>
  <w:style w:type="character" w:customStyle="1" w:styleId="citation-374">
    <w:name w:val="citation-374"/>
    <w:basedOn w:val="DefaultParagraphFont"/>
    <w:rsid w:val="009E65D4"/>
  </w:style>
  <w:style w:type="character" w:customStyle="1" w:styleId="citation-373">
    <w:name w:val="citation-373"/>
    <w:basedOn w:val="DefaultParagraphFont"/>
    <w:rsid w:val="009E65D4"/>
  </w:style>
  <w:style w:type="character" w:customStyle="1" w:styleId="citation-372">
    <w:name w:val="citation-372"/>
    <w:basedOn w:val="DefaultParagraphFont"/>
    <w:rsid w:val="009E65D4"/>
  </w:style>
  <w:style w:type="character" w:customStyle="1" w:styleId="citation-371">
    <w:name w:val="citation-371"/>
    <w:basedOn w:val="DefaultParagraphFont"/>
    <w:rsid w:val="009E65D4"/>
  </w:style>
  <w:style w:type="character" w:customStyle="1" w:styleId="citation-370">
    <w:name w:val="citation-370"/>
    <w:basedOn w:val="DefaultParagraphFont"/>
    <w:rsid w:val="009E65D4"/>
  </w:style>
  <w:style w:type="character" w:customStyle="1" w:styleId="citation-369">
    <w:name w:val="citation-369"/>
    <w:basedOn w:val="DefaultParagraphFont"/>
    <w:rsid w:val="009E65D4"/>
  </w:style>
  <w:style w:type="character" w:customStyle="1" w:styleId="citation-368">
    <w:name w:val="citation-368"/>
    <w:basedOn w:val="DefaultParagraphFont"/>
    <w:rsid w:val="009E65D4"/>
  </w:style>
  <w:style w:type="character" w:customStyle="1" w:styleId="citation-94">
    <w:name w:val="citation-94"/>
    <w:basedOn w:val="DefaultParagraphFont"/>
    <w:rsid w:val="001F3B1B"/>
  </w:style>
  <w:style w:type="character" w:customStyle="1" w:styleId="citation-134">
    <w:name w:val="citation-134"/>
    <w:basedOn w:val="DefaultParagraphFont"/>
    <w:rsid w:val="0064108D"/>
  </w:style>
  <w:style w:type="character" w:customStyle="1" w:styleId="citation-133">
    <w:name w:val="citation-133"/>
    <w:basedOn w:val="DefaultParagraphFont"/>
    <w:rsid w:val="0064108D"/>
  </w:style>
  <w:style w:type="character" w:customStyle="1" w:styleId="citation-132">
    <w:name w:val="citation-132"/>
    <w:basedOn w:val="DefaultParagraphFont"/>
    <w:rsid w:val="0064108D"/>
  </w:style>
  <w:style w:type="character" w:customStyle="1" w:styleId="citation-201">
    <w:name w:val="citation-201"/>
    <w:basedOn w:val="DefaultParagraphFont"/>
    <w:rsid w:val="0024295B"/>
  </w:style>
  <w:style w:type="character" w:customStyle="1" w:styleId="citation-200">
    <w:name w:val="citation-200"/>
    <w:basedOn w:val="DefaultParagraphFont"/>
    <w:rsid w:val="0024295B"/>
  </w:style>
  <w:style w:type="character" w:customStyle="1" w:styleId="citation-199">
    <w:name w:val="citation-199"/>
    <w:basedOn w:val="DefaultParagraphFont"/>
    <w:rsid w:val="0024295B"/>
  </w:style>
  <w:style w:type="character" w:customStyle="1" w:styleId="citation-198">
    <w:name w:val="citation-198"/>
    <w:basedOn w:val="DefaultParagraphFont"/>
    <w:rsid w:val="0024295B"/>
  </w:style>
  <w:style w:type="character" w:customStyle="1" w:styleId="citation-197">
    <w:name w:val="citation-197"/>
    <w:basedOn w:val="DefaultParagraphFont"/>
    <w:rsid w:val="0024295B"/>
  </w:style>
  <w:style w:type="character" w:customStyle="1" w:styleId="fontstyle01">
    <w:name w:val="fontstyle01"/>
    <w:basedOn w:val="DefaultParagraphFont"/>
    <w:rsid w:val="009426C7"/>
    <w:rPr>
      <w:rFonts w:ascii="Arial-BoldMT" w:hAnsi="Arial-BoldMT" w:hint="default"/>
      <w:b/>
      <w:bCs/>
      <w:i w:val="0"/>
      <w:iCs w:val="0"/>
      <w:color w:val="000000"/>
      <w:sz w:val="22"/>
      <w:szCs w:val="22"/>
    </w:rPr>
  </w:style>
  <w:style w:type="character" w:customStyle="1" w:styleId="citation-288">
    <w:name w:val="citation-288"/>
    <w:basedOn w:val="DefaultParagraphFont"/>
    <w:rsid w:val="00BE3DB3"/>
  </w:style>
  <w:style w:type="character" w:customStyle="1" w:styleId="citation-287">
    <w:name w:val="citation-287"/>
    <w:basedOn w:val="DefaultParagraphFont"/>
    <w:rsid w:val="00C920A5"/>
  </w:style>
  <w:style w:type="character" w:customStyle="1" w:styleId="citation-286">
    <w:name w:val="citation-286"/>
    <w:basedOn w:val="DefaultParagraphFont"/>
    <w:rsid w:val="00C920A5"/>
  </w:style>
  <w:style w:type="character" w:customStyle="1" w:styleId="citation-285">
    <w:name w:val="citation-285"/>
    <w:basedOn w:val="DefaultParagraphFont"/>
    <w:rsid w:val="00AB2A62"/>
  </w:style>
  <w:style w:type="character" w:customStyle="1" w:styleId="citation-284">
    <w:name w:val="citation-284"/>
    <w:basedOn w:val="DefaultParagraphFont"/>
    <w:rsid w:val="00AB2A62"/>
  </w:style>
  <w:style w:type="character" w:customStyle="1" w:styleId="citation-283">
    <w:name w:val="citation-283"/>
    <w:basedOn w:val="DefaultParagraphFont"/>
    <w:rsid w:val="00AB2A62"/>
  </w:style>
  <w:style w:type="character" w:customStyle="1" w:styleId="citation-282">
    <w:name w:val="citation-282"/>
    <w:basedOn w:val="DefaultParagraphFont"/>
    <w:rsid w:val="00AB2A62"/>
  </w:style>
  <w:style w:type="character" w:customStyle="1" w:styleId="citation-281">
    <w:name w:val="citation-281"/>
    <w:basedOn w:val="DefaultParagraphFont"/>
    <w:rsid w:val="00AB2A62"/>
  </w:style>
  <w:style w:type="character" w:customStyle="1" w:styleId="citation-280">
    <w:name w:val="citation-280"/>
    <w:basedOn w:val="DefaultParagraphFont"/>
    <w:rsid w:val="00F0514E"/>
  </w:style>
  <w:style w:type="character" w:customStyle="1" w:styleId="citation-279">
    <w:name w:val="citation-279"/>
    <w:basedOn w:val="DefaultParagraphFont"/>
    <w:rsid w:val="00F0514E"/>
  </w:style>
  <w:style w:type="character" w:customStyle="1" w:styleId="citation-278">
    <w:name w:val="citation-278"/>
    <w:basedOn w:val="DefaultParagraphFont"/>
    <w:rsid w:val="00F0514E"/>
  </w:style>
  <w:style w:type="character" w:customStyle="1" w:styleId="citation-277">
    <w:name w:val="citation-277"/>
    <w:basedOn w:val="DefaultParagraphFont"/>
    <w:rsid w:val="00F0514E"/>
  </w:style>
  <w:style w:type="character" w:customStyle="1" w:styleId="citation-276">
    <w:name w:val="citation-276"/>
    <w:basedOn w:val="DefaultParagraphFont"/>
    <w:rsid w:val="00F0514E"/>
  </w:style>
  <w:style w:type="character" w:customStyle="1" w:styleId="citation-275">
    <w:name w:val="citation-275"/>
    <w:basedOn w:val="DefaultParagraphFont"/>
    <w:rsid w:val="00F0514E"/>
  </w:style>
  <w:style w:type="character" w:customStyle="1" w:styleId="citation-274">
    <w:name w:val="citation-274"/>
    <w:basedOn w:val="DefaultParagraphFont"/>
    <w:rsid w:val="00F0514E"/>
  </w:style>
  <w:style w:type="character" w:customStyle="1" w:styleId="citation-273">
    <w:name w:val="citation-273"/>
    <w:basedOn w:val="DefaultParagraphFont"/>
    <w:rsid w:val="00F0514E"/>
  </w:style>
  <w:style w:type="character" w:customStyle="1" w:styleId="citation-272">
    <w:name w:val="citation-272"/>
    <w:basedOn w:val="DefaultParagraphFont"/>
    <w:rsid w:val="00F0514E"/>
  </w:style>
  <w:style w:type="character" w:customStyle="1" w:styleId="citation-271">
    <w:name w:val="citation-271"/>
    <w:basedOn w:val="DefaultParagraphFont"/>
    <w:rsid w:val="001A68CC"/>
  </w:style>
  <w:style w:type="character" w:customStyle="1" w:styleId="citation-334">
    <w:name w:val="citation-334"/>
    <w:basedOn w:val="DefaultParagraphFont"/>
    <w:rsid w:val="00EC05A2"/>
  </w:style>
  <w:style w:type="character" w:customStyle="1" w:styleId="citation-333">
    <w:name w:val="citation-333"/>
    <w:basedOn w:val="DefaultParagraphFont"/>
    <w:rsid w:val="00EC05A2"/>
  </w:style>
  <w:style w:type="character" w:customStyle="1" w:styleId="citation-332">
    <w:name w:val="citation-332"/>
    <w:basedOn w:val="DefaultParagraphFont"/>
    <w:rsid w:val="00EC05A2"/>
  </w:style>
  <w:style w:type="character" w:styleId="Hyperlink">
    <w:name w:val="Hyperlink"/>
    <w:basedOn w:val="DefaultParagraphFont"/>
    <w:uiPriority w:val="99"/>
    <w:unhideWhenUsed/>
    <w:rsid w:val="00A36766"/>
    <w:rPr>
      <w:color w:val="0563C1" w:themeColor="hyperlink"/>
      <w:u w:val="single"/>
    </w:rPr>
  </w:style>
  <w:style w:type="character" w:customStyle="1" w:styleId="Heading1Char">
    <w:name w:val="Heading 1 Char"/>
    <w:basedOn w:val="DefaultParagraphFont"/>
    <w:link w:val="Heading1"/>
    <w:uiPriority w:val="9"/>
    <w:rsid w:val="00A36766"/>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A17074"/>
    <w:rPr>
      <w:color w:val="605E5C"/>
      <w:shd w:val="clear" w:color="auto" w:fill="E1DFDD"/>
    </w:rPr>
  </w:style>
  <w:style w:type="paragraph" w:styleId="Header">
    <w:name w:val="header"/>
    <w:basedOn w:val="Normal"/>
    <w:link w:val="HeaderChar"/>
    <w:uiPriority w:val="99"/>
    <w:unhideWhenUsed/>
    <w:rsid w:val="00660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242"/>
  </w:style>
  <w:style w:type="paragraph" w:styleId="Footer">
    <w:name w:val="footer"/>
    <w:basedOn w:val="Normal"/>
    <w:link w:val="FooterChar"/>
    <w:uiPriority w:val="99"/>
    <w:unhideWhenUsed/>
    <w:rsid w:val="00660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6454">
      <w:bodyDiv w:val="1"/>
      <w:marLeft w:val="0"/>
      <w:marRight w:val="0"/>
      <w:marTop w:val="0"/>
      <w:marBottom w:val="0"/>
      <w:divBdr>
        <w:top w:val="none" w:sz="0" w:space="0" w:color="auto"/>
        <w:left w:val="none" w:sz="0" w:space="0" w:color="auto"/>
        <w:bottom w:val="none" w:sz="0" w:space="0" w:color="auto"/>
        <w:right w:val="none" w:sz="0" w:space="0" w:color="auto"/>
      </w:divBdr>
      <w:divsChild>
        <w:div w:id="868379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19758">
      <w:bodyDiv w:val="1"/>
      <w:marLeft w:val="0"/>
      <w:marRight w:val="0"/>
      <w:marTop w:val="0"/>
      <w:marBottom w:val="0"/>
      <w:divBdr>
        <w:top w:val="none" w:sz="0" w:space="0" w:color="auto"/>
        <w:left w:val="none" w:sz="0" w:space="0" w:color="auto"/>
        <w:bottom w:val="none" w:sz="0" w:space="0" w:color="auto"/>
        <w:right w:val="none" w:sz="0" w:space="0" w:color="auto"/>
      </w:divBdr>
    </w:div>
    <w:div w:id="358622874">
      <w:bodyDiv w:val="1"/>
      <w:marLeft w:val="0"/>
      <w:marRight w:val="0"/>
      <w:marTop w:val="0"/>
      <w:marBottom w:val="0"/>
      <w:divBdr>
        <w:top w:val="none" w:sz="0" w:space="0" w:color="auto"/>
        <w:left w:val="none" w:sz="0" w:space="0" w:color="auto"/>
        <w:bottom w:val="none" w:sz="0" w:space="0" w:color="auto"/>
        <w:right w:val="none" w:sz="0" w:space="0" w:color="auto"/>
      </w:divBdr>
    </w:div>
    <w:div w:id="502358297">
      <w:bodyDiv w:val="1"/>
      <w:marLeft w:val="0"/>
      <w:marRight w:val="0"/>
      <w:marTop w:val="0"/>
      <w:marBottom w:val="0"/>
      <w:divBdr>
        <w:top w:val="none" w:sz="0" w:space="0" w:color="auto"/>
        <w:left w:val="none" w:sz="0" w:space="0" w:color="auto"/>
        <w:bottom w:val="none" w:sz="0" w:space="0" w:color="auto"/>
        <w:right w:val="none" w:sz="0" w:space="0" w:color="auto"/>
      </w:divBdr>
    </w:div>
    <w:div w:id="655038231">
      <w:bodyDiv w:val="1"/>
      <w:marLeft w:val="0"/>
      <w:marRight w:val="0"/>
      <w:marTop w:val="0"/>
      <w:marBottom w:val="0"/>
      <w:divBdr>
        <w:top w:val="none" w:sz="0" w:space="0" w:color="auto"/>
        <w:left w:val="none" w:sz="0" w:space="0" w:color="auto"/>
        <w:bottom w:val="none" w:sz="0" w:space="0" w:color="auto"/>
        <w:right w:val="none" w:sz="0" w:space="0" w:color="auto"/>
      </w:divBdr>
    </w:div>
    <w:div w:id="1092118748">
      <w:bodyDiv w:val="1"/>
      <w:marLeft w:val="0"/>
      <w:marRight w:val="0"/>
      <w:marTop w:val="0"/>
      <w:marBottom w:val="0"/>
      <w:divBdr>
        <w:top w:val="none" w:sz="0" w:space="0" w:color="auto"/>
        <w:left w:val="none" w:sz="0" w:space="0" w:color="auto"/>
        <w:bottom w:val="none" w:sz="0" w:space="0" w:color="auto"/>
        <w:right w:val="none" w:sz="0" w:space="0" w:color="auto"/>
      </w:divBdr>
    </w:div>
    <w:div w:id="1230186214">
      <w:bodyDiv w:val="1"/>
      <w:marLeft w:val="0"/>
      <w:marRight w:val="0"/>
      <w:marTop w:val="0"/>
      <w:marBottom w:val="0"/>
      <w:divBdr>
        <w:top w:val="none" w:sz="0" w:space="0" w:color="auto"/>
        <w:left w:val="none" w:sz="0" w:space="0" w:color="auto"/>
        <w:bottom w:val="none" w:sz="0" w:space="0" w:color="auto"/>
        <w:right w:val="none" w:sz="0" w:space="0" w:color="auto"/>
      </w:divBdr>
    </w:div>
    <w:div w:id="1321692707">
      <w:bodyDiv w:val="1"/>
      <w:marLeft w:val="0"/>
      <w:marRight w:val="0"/>
      <w:marTop w:val="0"/>
      <w:marBottom w:val="0"/>
      <w:divBdr>
        <w:top w:val="none" w:sz="0" w:space="0" w:color="auto"/>
        <w:left w:val="none" w:sz="0" w:space="0" w:color="auto"/>
        <w:bottom w:val="none" w:sz="0" w:space="0" w:color="auto"/>
        <w:right w:val="none" w:sz="0" w:space="0" w:color="auto"/>
      </w:divBdr>
    </w:div>
    <w:div w:id="1362898256">
      <w:bodyDiv w:val="1"/>
      <w:marLeft w:val="0"/>
      <w:marRight w:val="0"/>
      <w:marTop w:val="0"/>
      <w:marBottom w:val="0"/>
      <w:divBdr>
        <w:top w:val="none" w:sz="0" w:space="0" w:color="auto"/>
        <w:left w:val="none" w:sz="0" w:space="0" w:color="auto"/>
        <w:bottom w:val="none" w:sz="0" w:space="0" w:color="auto"/>
        <w:right w:val="none" w:sz="0" w:space="0" w:color="auto"/>
      </w:divBdr>
    </w:div>
    <w:div w:id="1424228414">
      <w:bodyDiv w:val="1"/>
      <w:marLeft w:val="0"/>
      <w:marRight w:val="0"/>
      <w:marTop w:val="0"/>
      <w:marBottom w:val="0"/>
      <w:divBdr>
        <w:top w:val="none" w:sz="0" w:space="0" w:color="auto"/>
        <w:left w:val="none" w:sz="0" w:space="0" w:color="auto"/>
        <w:bottom w:val="none" w:sz="0" w:space="0" w:color="auto"/>
        <w:right w:val="none" w:sz="0" w:space="0" w:color="auto"/>
      </w:divBdr>
    </w:div>
    <w:div w:id="1692418656">
      <w:bodyDiv w:val="1"/>
      <w:marLeft w:val="0"/>
      <w:marRight w:val="0"/>
      <w:marTop w:val="0"/>
      <w:marBottom w:val="0"/>
      <w:divBdr>
        <w:top w:val="none" w:sz="0" w:space="0" w:color="auto"/>
        <w:left w:val="none" w:sz="0" w:space="0" w:color="auto"/>
        <w:bottom w:val="none" w:sz="0" w:space="0" w:color="auto"/>
        <w:right w:val="none" w:sz="0" w:space="0" w:color="auto"/>
      </w:divBdr>
    </w:div>
    <w:div w:id="1809930537">
      <w:bodyDiv w:val="1"/>
      <w:marLeft w:val="0"/>
      <w:marRight w:val="0"/>
      <w:marTop w:val="0"/>
      <w:marBottom w:val="0"/>
      <w:divBdr>
        <w:top w:val="none" w:sz="0" w:space="0" w:color="auto"/>
        <w:left w:val="none" w:sz="0" w:space="0" w:color="auto"/>
        <w:bottom w:val="none" w:sz="0" w:space="0" w:color="auto"/>
        <w:right w:val="none" w:sz="0" w:space="0" w:color="auto"/>
      </w:divBdr>
    </w:div>
    <w:div w:id="1861237283">
      <w:bodyDiv w:val="1"/>
      <w:marLeft w:val="0"/>
      <w:marRight w:val="0"/>
      <w:marTop w:val="0"/>
      <w:marBottom w:val="0"/>
      <w:divBdr>
        <w:top w:val="none" w:sz="0" w:space="0" w:color="auto"/>
        <w:left w:val="none" w:sz="0" w:space="0" w:color="auto"/>
        <w:bottom w:val="none" w:sz="0" w:space="0" w:color="auto"/>
        <w:right w:val="none" w:sz="0" w:space="0" w:color="auto"/>
      </w:divBdr>
    </w:div>
    <w:div w:id="1992564754">
      <w:bodyDiv w:val="1"/>
      <w:marLeft w:val="0"/>
      <w:marRight w:val="0"/>
      <w:marTop w:val="0"/>
      <w:marBottom w:val="0"/>
      <w:divBdr>
        <w:top w:val="none" w:sz="0" w:space="0" w:color="auto"/>
        <w:left w:val="none" w:sz="0" w:space="0" w:color="auto"/>
        <w:bottom w:val="none" w:sz="0" w:space="0" w:color="auto"/>
        <w:right w:val="none" w:sz="0" w:space="0" w:color="auto"/>
      </w:divBdr>
    </w:div>
    <w:div w:id="213805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5FAE373-3035-4FFB-8162-72626FD9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13</Pages>
  <Words>18582</Words>
  <Characters>105921</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SDI 1084</cp:lastModifiedBy>
  <cp:revision>56</cp:revision>
  <dcterms:created xsi:type="dcterms:W3CDTF">2025-12-11T09:16:00Z</dcterms:created>
  <dcterms:modified xsi:type="dcterms:W3CDTF">2026-01-10T09:28:00Z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06638d9c-fb0f-4a1a-861d-f06b20b6025e</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cccce271-7dd1-3059-84fe-b8fbeaa9ff09</vt:lpwstr>
  </property>
</Properties>
</file>