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D2E35" w14:textId="77777777" w:rsidR="00B7658B" w:rsidRPr="00B7658B" w:rsidRDefault="00B7658B" w:rsidP="00B7658B">
      <w:pPr>
        <w:ind w:right="-766"/>
        <w:jc w:val="both"/>
        <w:rPr>
          <w:rFonts w:ascii="Arial" w:hAnsi="Arial" w:cs="Arial"/>
          <w:b/>
          <w:bCs/>
          <w:i/>
          <w:iCs/>
          <w:sz w:val="36"/>
          <w:szCs w:val="36"/>
          <w:u w:val="single"/>
        </w:rPr>
      </w:pPr>
      <w:bookmarkStart w:id="0" w:name="_Hlk215497867"/>
      <w:r w:rsidRPr="00B7658B">
        <w:rPr>
          <w:rFonts w:ascii="Arial" w:hAnsi="Arial" w:cs="Arial"/>
          <w:b/>
          <w:bCs/>
          <w:i/>
          <w:iCs/>
          <w:sz w:val="36"/>
          <w:szCs w:val="36"/>
          <w:u w:val="single"/>
        </w:rPr>
        <w:t>Original Research Article</w:t>
      </w:r>
    </w:p>
    <w:p w14:paraId="12DD35FA" w14:textId="77777777" w:rsidR="00B7658B" w:rsidRDefault="00B7658B" w:rsidP="004C51AA">
      <w:pPr>
        <w:ind w:right="-766"/>
        <w:jc w:val="both"/>
        <w:rPr>
          <w:rFonts w:ascii="Arial" w:hAnsi="Arial" w:cs="Arial"/>
          <w:b/>
          <w:bCs/>
          <w:sz w:val="36"/>
          <w:szCs w:val="36"/>
          <w:lang w:val="en-GB"/>
        </w:rPr>
      </w:pPr>
    </w:p>
    <w:p w14:paraId="3365ADD1" w14:textId="02C67759" w:rsidR="004C51AA" w:rsidRPr="004C51AA" w:rsidRDefault="004C51AA" w:rsidP="004C51AA">
      <w:pPr>
        <w:ind w:right="-766"/>
        <w:jc w:val="both"/>
        <w:rPr>
          <w:rFonts w:ascii="Arial" w:hAnsi="Arial" w:cs="Arial"/>
          <w:b/>
          <w:bCs/>
          <w:sz w:val="36"/>
          <w:szCs w:val="36"/>
          <w:lang w:val="en-GB"/>
        </w:rPr>
      </w:pPr>
      <w:r w:rsidRPr="004C51AA">
        <w:rPr>
          <w:rFonts w:ascii="Arial" w:hAnsi="Arial" w:cs="Arial"/>
          <w:b/>
          <w:bCs/>
          <w:sz w:val="36"/>
          <w:szCs w:val="36"/>
          <w:lang w:val="en-GB"/>
        </w:rPr>
        <w:t xml:space="preserve">Phytochemical Investigation and Evaluation of the Antioxidant and Antibacterial Potentials of the Organs of </w:t>
      </w:r>
      <w:proofErr w:type="spellStart"/>
      <w:r w:rsidRPr="004C51AA">
        <w:rPr>
          <w:rFonts w:ascii="Arial" w:hAnsi="Arial" w:cs="Arial"/>
          <w:b/>
          <w:bCs/>
          <w:i/>
          <w:iCs/>
          <w:sz w:val="36"/>
          <w:szCs w:val="36"/>
          <w:lang w:val="en-GB"/>
        </w:rPr>
        <w:t>Adenanthera</w:t>
      </w:r>
      <w:proofErr w:type="spellEnd"/>
      <w:r w:rsidRPr="004C51AA">
        <w:rPr>
          <w:rFonts w:ascii="Arial" w:hAnsi="Arial" w:cs="Arial"/>
          <w:b/>
          <w:bCs/>
          <w:i/>
          <w:iCs/>
          <w:sz w:val="36"/>
          <w:szCs w:val="36"/>
          <w:lang w:val="en-GB"/>
        </w:rPr>
        <w:t xml:space="preserve"> </w:t>
      </w:r>
      <w:proofErr w:type="spellStart"/>
      <w:r w:rsidRPr="004C51AA">
        <w:rPr>
          <w:rFonts w:ascii="Arial" w:hAnsi="Arial" w:cs="Arial"/>
          <w:b/>
          <w:bCs/>
          <w:i/>
          <w:iCs/>
          <w:sz w:val="36"/>
          <w:szCs w:val="36"/>
          <w:lang w:val="en-GB"/>
        </w:rPr>
        <w:t>pavonina</w:t>
      </w:r>
      <w:proofErr w:type="spellEnd"/>
      <w:r w:rsidRPr="004C51AA">
        <w:rPr>
          <w:rFonts w:ascii="Arial" w:hAnsi="Arial" w:cs="Arial"/>
          <w:b/>
          <w:bCs/>
          <w:sz w:val="36"/>
          <w:szCs w:val="36"/>
          <w:lang w:val="en-GB"/>
        </w:rPr>
        <w:t xml:space="preserve"> (Fabaceae)  </w:t>
      </w:r>
    </w:p>
    <w:bookmarkEnd w:id="0"/>
    <w:p w14:paraId="06C476F5" w14:textId="77777777" w:rsidR="00A258C3" w:rsidRPr="004C51AA" w:rsidRDefault="00A258C3" w:rsidP="00441B6F">
      <w:pPr>
        <w:pStyle w:val="Author"/>
        <w:spacing w:line="240" w:lineRule="auto"/>
        <w:jc w:val="both"/>
        <w:rPr>
          <w:rFonts w:ascii="Arial" w:hAnsi="Arial" w:cs="Arial"/>
          <w:sz w:val="36"/>
          <w:lang w:val="en-GB"/>
        </w:rPr>
      </w:pPr>
    </w:p>
    <w:p w14:paraId="188EE2A0" w14:textId="77777777" w:rsidR="00B7658B" w:rsidRPr="00FB3A86" w:rsidRDefault="00B7658B" w:rsidP="00441B6F">
      <w:pPr>
        <w:pStyle w:val="Affiliation"/>
        <w:spacing w:after="0" w:line="240" w:lineRule="auto"/>
        <w:jc w:val="both"/>
        <w:rPr>
          <w:rFonts w:ascii="Arial" w:hAnsi="Arial" w:cs="Arial"/>
        </w:rPr>
      </w:pPr>
    </w:p>
    <w:p w14:paraId="46EB4BE2" w14:textId="77777777" w:rsidR="00B01FCD" w:rsidRPr="00FB3A86" w:rsidRDefault="00DA5BB1" w:rsidP="00441B6F">
      <w:pPr>
        <w:pStyle w:val="Copyright"/>
        <w:spacing w:after="0" w:line="240" w:lineRule="auto"/>
        <w:jc w:val="both"/>
        <w:rPr>
          <w:rFonts w:ascii="Arial" w:hAnsi="Arial" w:cs="Arial"/>
        </w:rPr>
        <w:sectPr w:rsidR="00B01FCD" w:rsidRPr="00FB3A86" w:rsidSect="004C47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ACD2F1">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BCB01E1" w14:textId="6548C3B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13FA5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56"/>
      </w:tblGrid>
      <w:tr w:rsidR="00296529" w:rsidRPr="001E44FE" w14:paraId="1B805B6C" w14:textId="77777777" w:rsidTr="001E44FE">
        <w:tc>
          <w:tcPr>
            <w:tcW w:w="9576" w:type="dxa"/>
            <w:shd w:val="clear" w:color="auto" w:fill="F2F2F2"/>
          </w:tcPr>
          <w:p w14:paraId="04538C56" w14:textId="77777777" w:rsidR="00E3114E" w:rsidRDefault="00E3114E" w:rsidP="00441B6F">
            <w:pPr>
              <w:pStyle w:val="Body"/>
              <w:spacing w:after="0"/>
              <w:rPr>
                <w:rFonts w:ascii="Arial" w:eastAsia="Calibri" w:hAnsi="Arial" w:cs="Arial"/>
                <w:b/>
                <w:szCs w:val="22"/>
              </w:rPr>
            </w:pPr>
          </w:p>
          <w:p w14:paraId="143B6CF4" w14:textId="704B922E" w:rsidR="00BA1B01" w:rsidRPr="00D1118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D1118C" w:rsidRPr="00D1118C">
              <w:rPr>
                <w:rFonts w:ascii="Arial" w:eastAsia="Calibri" w:hAnsi="Arial" w:cs="Arial"/>
                <w:bCs/>
                <w:szCs w:val="22"/>
              </w:rPr>
              <w:t xml:space="preserve">This study aims to evaluate the pharmacological potential of </w:t>
            </w:r>
            <w:proofErr w:type="spellStart"/>
            <w:r w:rsidR="00D1118C" w:rsidRPr="002D6CF1">
              <w:rPr>
                <w:rFonts w:ascii="Arial" w:eastAsia="Calibri" w:hAnsi="Arial" w:cs="Arial"/>
                <w:bCs/>
                <w:i/>
                <w:iCs/>
                <w:szCs w:val="22"/>
              </w:rPr>
              <w:t>Adenanthera</w:t>
            </w:r>
            <w:proofErr w:type="spellEnd"/>
            <w:r w:rsidR="00D1118C" w:rsidRPr="002D6CF1">
              <w:rPr>
                <w:rFonts w:ascii="Arial" w:eastAsia="Calibri" w:hAnsi="Arial" w:cs="Arial"/>
                <w:bCs/>
                <w:i/>
                <w:iCs/>
                <w:szCs w:val="22"/>
              </w:rPr>
              <w:t xml:space="preserve"> </w:t>
            </w:r>
            <w:proofErr w:type="spellStart"/>
            <w:r w:rsidR="00D1118C" w:rsidRPr="002D6CF1">
              <w:rPr>
                <w:rFonts w:ascii="Arial" w:eastAsia="Calibri" w:hAnsi="Arial" w:cs="Arial"/>
                <w:bCs/>
                <w:i/>
                <w:iCs/>
                <w:szCs w:val="22"/>
              </w:rPr>
              <w:t>pavonina</w:t>
            </w:r>
            <w:proofErr w:type="spellEnd"/>
            <w:r w:rsidR="00D1118C" w:rsidRPr="00D1118C">
              <w:rPr>
                <w:rFonts w:ascii="Arial" w:eastAsia="Calibri" w:hAnsi="Arial" w:cs="Arial"/>
                <w:bCs/>
                <w:szCs w:val="22"/>
              </w:rPr>
              <w:t xml:space="preserve"> (Fabaceae), an ornamental plant from </w:t>
            </w:r>
            <w:r w:rsidR="00D1118C">
              <w:rPr>
                <w:rFonts w:ascii="Arial" w:eastAsia="Calibri" w:hAnsi="Arial" w:cs="Arial"/>
                <w:bCs/>
                <w:szCs w:val="22"/>
              </w:rPr>
              <w:t>Côte d’Ivoire</w:t>
            </w:r>
            <w:r w:rsidR="00D1118C" w:rsidRPr="00D1118C">
              <w:rPr>
                <w:rFonts w:ascii="Arial" w:eastAsia="Calibri" w:hAnsi="Arial" w:cs="Arial"/>
                <w:bCs/>
                <w:szCs w:val="22"/>
              </w:rPr>
              <w:t>.</w:t>
            </w:r>
          </w:p>
          <w:p w14:paraId="4D3B8D89" w14:textId="133CE901" w:rsidR="000B3E2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3E2E">
              <w:rPr>
                <w:rFonts w:ascii="Arial" w:eastAsia="Calibri" w:hAnsi="Arial" w:cs="Arial"/>
                <w:szCs w:val="22"/>
              </w:rPr>
              <w:t xml:space="preserve">For this purpose, </w:t>
            </w:r>
            <w:r w:rsidR="000B3E2E" w:rsidRPr="000B3E2E">
              <w:rPr>
                <w:rFonts w:ascii="Arial" w:eastAsia="Calibri" w:hAnsi="Arial" w:cs="Arial"/>
                <w:szCs w:val="22"/>
              </w:rPr>
              <w:t xml:space="preserve">hydroethanolic extracts from the leaves, seeds, and trunk bark of </w:t>
            </w:r>
            <w:proofErr w:type="spellStart"/>
            <w:r w:rsidR="000B3E2E" w:rsidRPr="000B3E2E">
              <w:rPr>
                <w:rFonts w:ascii="Arial" w:eastAsia="Calibri" w:hAnsi="Arial" w:cs="Arial"/>
                <w:i/>
                <w:iCs/>
                <w:szCs w:val="22"/>
              </w:rPr>
              <w:t>Adenanthera</w:t>
            </w:r>
            <w:proofErr w:type="spellEnd"/>
            <w:r w:rsidR="000B3E2E" w:rsidRPr="000B3E2E">
              <w:rPr>
                <w:rFonts w:ascii="Arial" w:eastAsia="Calibri" w:hAnsi="Arial" w:cs="Arial"/>
                <w:i/>
                <w:iCs/>
                <w:szCs w:val="22"/>
              </w:rPr>
              <w:t xml:space="preserve"> </w:t>
            </w:r>
            <w:proofErr w:type="spellStart"/>
            <w:r w:rsidR="000B3E2E" w:rsidRPr="000B3E2E">
              <w:rPr>
                <w:rFonts w:ascii="Arial" w:eastAsia="Calibri" w:hAnsi="Arial" w:cs="Arial"/>
                <w:i/>
                <w:iCs/>
                <w:szCs w:val="22"/>
              </w:rPr>
              <w:t>pavonina</w:t>
            </w:r>
            <w:proofErr w:type="spellEnd"/>
            <w:r w:rsidR="000B3E2E" w:rsidRPr="000B3E2E">
              <w:rPr>
                <w:rFonts w:ascii="Arial" w:eastAsia="Calibri" w:hAnsi="Arial" w:cs="Arial"/>
                <w:szCs w:val="22"/>
              </w:rPr>
              <w:t xml:space="preserve"> were prepared. These extracts were then subjected to phytochemical screening using detection tests (color reactions and precipitation), as well as spectrophotometric quantification of total phenols, flavonoids, and condensed tannins. Additionally, the antioxidant activity of these extracts was evaluated using the DPPH (free radical scavenging) and FRAP (ferric reducing antioxidant power) assays. Finally, their antibacterial activity was assessed against five resistant bacterial strains.</w:t>
            </w:r>
          </w:p>
          <w:p w14:paraId="04A43782" w14:textId="5E97B14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B7887" w:rsidRPr="004B7887">
              <w:rPr>
                <w:rFonts w:ascii="Arial" w:eastAsia="Calibri" w:hAnsi="Arial" w:cs="Arial"/>
                <w:szCs w:val="22"/>
              </w:rPr>
              <w:t>Phytochemical analysis, carried out through qualitative and quantitative tests, revealed the presence of various bioactive compounds such as polyphenols, flavonoids, coumarins, tannins, and saponins. The FRAP and DPPH tests demonstrated an exceptional antioxidant activity in the bark (IC50 = 0.00268 mg/mL), surpassing that of vitamin C (0.0045 mg/mL), a natural antioxidant. The bark also exhibited bactericidal activity at 100 mg/mL against Escherichia coli and Pseudomonas aeruginosa, unlike the other plant parts</w:t>
            </w:r>
            <w:r w:rsidRPr="00BA1B01">
              <w:rPr>
                <w:rFonts w:ascii="Arial" w:eastAsia="Calibri" w:hAnsi="Arial" w:cs="Arial"/>
                <w:szCs w:val="22"/>
              </w:rPr>
              <w:t>.</w:t>
            </w:r>
          </w:p>
          <w:p w14:paraId="2730F053" w14:textId="28B8DCD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3E2E" w:rsidRPr="000B3E2E">
              <w:rPr>
                <w:rFonts w:ascii="Arial" w:hAnsi="Arial" w:cs="Arial"/>
                <w:bCs/>
                <w:lang w:val="en-GB"/>
              </w:rPr>
              <w:t xml:space="preserve">these results highlight the potential of </w:t>
            </w:r>
            <w:r w:rsidR="000B3E2E" w:rsidRPr="000B3E2E">
              <w:rPr>
                <w:rFonts w:ascii="Arial" w:hAnsi="Arial" w:cs="Arial"/>
                <w:bCs/>
                <w:i/>
                <w:iCs/>
                <w:lang w:val="en-GB"/>
              </w:rPr>
              <w:t xml:space="preserve">A. </w:t>
            </w:r>
            <w:proofErr w:type="spellStart"/>
            <w:r w:rsidR="000B3E2E" w:rsidRPr="000B3E2E">
              <w:rPr>
                <w:rFonts w:ascii="Arial" w:hAnsi="Arial" w:cs="Arial"/>
                <w:bCs/>
                <w:i/>
                <w:iCs/>
                <w:lang w:val="en-GB"/>
              </w:rPr>
              <w:t>pavonina</w:t>
            </w:r>
            <w:proofErr w:type="spellEnd"/>
            <w:r w:rsidR="000B3E2E" w:rsidRPr="000B3E2E">
              <w:rPr>
                <w:rFonts w:ascii="Arial" w:hAnsi="Arial" w:cs="Arial"/>
                <w:bCs/>
                <w:lang w:val="en-GB"/>
              </w:rPr>
              <w:t xml:space="preserve"> from Côte d’Ivoire as a source of natural antioxidants and antibacterial agents, justifying further research for the isolation of its active compounds</w:t>
            </w:r>
            <w:r w:rsidR="000B3E2E">
              <w:rPr>
                <w:rFonts w:ascii="Arial" w:hAnsi="Arial" w:cs="Arial"/>
                <w:bCs/>
                <w:lang w:val="en-GB"/>
              </w:rPr>
              <w:t>.</w:t>
            </w:r>
          </w:p>
        </w:tc>
      </w:tr>
    </w:tbl>
    <w:p w14:paraId="26400BB6" w14:textId="77777777" w:rsidR="00636EB2" w:rsidRDefault="00636EB2" w:rsidP="00441B6F">
      <w:pPr>
        <w:pStyle w:val="Body"/>
        <w:spacing w:after="0"/>
        <w:rPr>
          <w:rFonts w:ascii="Arial" w:hAnsi="Arial" w:cs="Arial"/>
          <w:i/>
        </w:rPr>
      </w:pPr>
    </w:p>
    <w:p w14:paraId="0B94F50D" w14:textId="2CB3F132" w:rsidR="0024282C" w:rsidRPr="009A7799" w:rsidRDefault="00A24E7E" w:rsidP="00441B6F">
      <w:pPr>
        <w:pStyle w:val="Body"/>
        <w:spacing w:after="0"/>
        <w:rPr>
          <w:rFonts w:ascii="Arial" w:hAnsi="Arial" w:cs="Arial"/>
          <w:i/>
        </w:rPr>
      </w:pPr>
      <w:r>
        <w:rPr>
          <w:rFonts w:ascii="Arial" w:hAnsi="Arial" w:cs="Arial"/>
          <w:i/>
        </w:rPr>
        <w:t xml:space="preserve">Keywords: </w:t>
      </w:r>
      <w:proofErr w:type="spellStart"/>
      <w:r w:rsidR="009A7799" w:rsidRPr="009A7799">
        <w:rPr>
          <w:rFonts w:ascii="Arial" w:hAnsi="Arial" w:cs="Arial"/>
          <w:i/>
        </w:rPr>
        <w:t>Adenanthera</w:t>
      </w:r>
      <w:proofErr w:type="spellEnd"/>
      <w:r w:rsidR="009A7799" w:rsidRPr="009A7799">
        <w:rPr>
          <w:rFonts w:ascii="Arial" w:hAnsi="Arial" w:cs="Arial"/>
          <w:i/>
        </w:rPr>
        <w:t xml:space="preserve"> </w:t>
      </w:r>
      <w:proofErr w:type="spellStart"/>
      <w:r w:rsidR="009A7799" w:rsidRPr="009A7799">
        <w:rPr>
          <w:rFonts w:ascii="Arial" w:hAnsi="Arial" w:cs="Arial"/>
          <w:i/>
        </w:rPr>
        <w:t>pavonina</w:t>
      </w:r>
      <w:proofErr w:type="spellEnd"/>
      <w:r w:rsidR="009A7799" w:rsidRPr="009A7799">
        <w:rPr>
          <w:rFonts w:ascii="Arial" w:hAnsi="Arial" w:cs="Arial"/>
          <w:i/>
        </w:rPr>
        <w:t>, antioxidant potential, phytochemical study, antibacterial activity, Côte d’Ivoire.</w:t>
      </w:r>
    </w:p>
    <w:p w14:paraId="6C89BDE6" w14:textId="77777777" w:rsidR="00505F06" w:rsidRPr="00A24E7E" w:rsidRDefault="00505F06" w:rsidP="00441B6F">
      <w:pPr>
        <w:pStyle w:val="Body"/>
        <w:spacing w:after="0"/>
        <w:rPr>
          <w:rFonts w:ascii="Arial" w:hAnsi="Arial" w:cs="Arial"/>
          <w:i/>
        </w:rPr>
      </w:pPr>
    </w:p>
    <w:p w14:paraId="7B471A03" w14:textId="2A1CD7D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1BDCFDC" w14:textId="77777777" w:rsidR="00790ADA" w:rsidRPr="00FB3A86" w:rsidRDefault="00790ADA" w:rsidP="00441B6F">
      <w:pPr>
        <w:pStyle w:val="AbstHead"/>
        <w:spacing w:after="0"/>
        <w:jc w:val="both"/>
        <w:rPr>
          <w:rFonts w:ascii="Arial" w:hAnsi="Arial" w:cs="Arial"/>
        </w:rPr>
      </w:pPr>
    </w:p>
    <w:p w14:paraId="29DDFDD6" w14:textId="4B44114E" w:rsidR="00B01FCD" w:rsidRDefault="00E1247C" w:rsidP="00441B6F">
      <w:pPr>
        <w:pStyle w:val="Body"/>
        <w:spacing w:after="0"/>
        <w:rPr>
          <w:rFonts w:ascii="Arial" w:hAnsi="Arial" w:cs="Arial"/>
        </w:rPr>
      </w:pPr>
      <w:proofErr w:type="spellStart"/>
      <w:r w:rsidRPr="00A57B8D">
        <w:rPr>
          <w:rFonts w:ascii="Arial" w:hAnsi="Arial" w:cs="Arial"/>
          <w:i/>
          <w:iCs/>
        </w:rPr>
        <w:t>Adenanthera</w:t>
      </w:r>
      <w:proofErr w:type="spellEnd"/>
      <w:r w:rsidRPr="00A57B8D">
        <w:rPr>
          <w:rFonts w:ascii="Arial" w:hAnsi="Arial" w:cs="Arial"/>
          <w:i/>
          <w:iCs/>
        </w:rPr>
        <w:t xml:space="preserve"> </w:t>
      </w:r>
      <w:proofErr w:type="spellStart"/>
      <w:r w:rsidRPr="00A57B8D">
        <w:rPr>
          <w:rFonts w:ascii="Arial" w:hAnsi="Arial" w:cs="Arial"/>
          <w:i/>
          <w:iCs/>
        </w:rPr>
        <w:t>pavonina</w:t>
      </w:r>
      <w:proofErr w:type="spellEnd"/>
      <w:r w:rsidRPr="00E1247C">
        <w:rPr>
          <w:rFonts w:ascii="Arial" w:hAnsi="Arial" w:cs="Arial"/>
        </w:rPr>
        <w:t xml:space="preserve"> (Fabaceae) is a fast-growing tree belonging to the Mimosaceae subfamily. This tree is also known as red bead tree, red sandalwood, saga tree, and </w:t>
      </w:r>
      <w:proofErr w:type="spellStart"/>
      <w:r w:rsidRPr="00E1247C">
        <w:rPr>
          <w:rFonts w:ascii="Arial" w:hAnsi="Arial" w:cs="Arial"/>
        </w:rPr>
        <w:t>coralwood</w:t>
      </w:r>
      <w:proofErr w:type="spellEnd"/>
      <w:r w:rsidRPr="00E1247C">
        <w:rPr>
          <w:rFonts w:ascii="Arial" w:hAnsi="Arial" w:cs="Arial"/>
        </w:rPr>
        <w:t xml:space="preserve"> tree, and is cultivated for forage and soil improvement. </w:t>
      </w:r>
      <w:proofErr w:type="spellStart"/>
      <w:r w:rsidRPr="00A57B8D">
        <w:rPr>
          <w:rFonts w:ascii="Arial" w:hAnsi="Arial" w:cs="Arial"/>
          <w:i/>
          <w:iCs/>
        </w:rPr>
        <w:t>Adenanthera</w:t>
      </w:r>
      <w:proofErr w:type="spellEnd"/>
      <w:r w:rsidRPr="00A57B8D">
        <w:rPr>
          <w:rFonts w:ascii="Arial" w:hAnsi="Arial" w:cs="Arial"/>
          <w:i/>
          <w:iCs/>
        </w:rPr>
        <w:t xml:space="preserve"> </w:t>
      </w:r>
      <w:proofErr w:type="spellStart"/>
      <w:r w:rsidRPr="00A57B8D">
        <w:rPr>
          <w:rFonts w:ascii="Arial" w:hAnsi="Arial" w:cs="Arial"/>
          <w:i/>
          <w:iCs/>
        </w:rPr>
        <w:t>pavonina</w:t>
      </w:r>
      <w:proofErr w:type="spellEnd"/>
      <w:r w:rsidRPr="00E1247C">
        <w:rPr>
          <w:rFonts w:ascii="Arial" w:hAnsi="Arial" w:cs="Arial"/>
        </w:rPr>
        <w:t xml:space="preserve"> is native to India and Southeast China, and has been introduced to tropical regions worldwide, including Côte d’Ivoire, primarily for its ornamental value [1]. Various parts of the plant are widely used in ethnopharmacology for the treatment of diarrhea, asthma, boils, inflammation, rheumatism, and hematuria [1–4]. These traditional uses are supported by scientific evidence that attributes to the plant antidiarrheal, anti-inflammatory, analgesic, cytotoxic, antibacterial, antifungal, antioxidant, antidiabetic, and hypotensive activities [5–8]. However, despite its numerous virtues, the species introduced in Côte d’Ivoire remains poorly studied, and local scientific data are scarce. The present study thus aims to address this gap by characterizing the phytochemical</w:t>
      </w:r>
      <w:r>
        <w:rPr>
          <w:rFonts w:ascii="Arial" w:hAnsi="Arial" w:cs="Arial"/>
        </w:rPr>
        <w:t xml:space="preserve"> </w:t>
      </w:r>
      <w:r w:rsidRPr="00E1247C">
        <w:rPr>
          <w:rFonts w:ascii="Arial" w:hAnsi="Arial" w:cs="Arial"/>
        </w:rPr>
        <w:t xml:space="preserve">composition and evaluating the antioxidant potential of the leaves, seeds, and bark of </w:t>
      </w:r>
      <w:proofErr w:type="spellStart"/>
      <w:r w:rsidRPr="00A57B8D">
        <w:rPr>
          <w:rFonts w:ascii="Arial" w:hAnsi="Arial" w:cs="Arial"/>
          <w:i/>
          <w:iCs/>
        </w:rPr>
        <w:t>Adenanthera</w:t>
      </w:r>
      <w:proofErr w:type="spellEnd"/>
      <w:r w:rsidRPr="00A57B8D">
        <w:rPr>
          <w:rFonts w:ascii="Arial" w:hAnsi="Arial" w:cs="Arial"/>
          <w:i/>
          <w:iCs/>
        </w:rPr>
        <w:t xml:space="preserve"> </w:t>
      </w:r>
      <w:proofErr w:type="spellStart"/>
      <w:r w:rsidRPr="00A57B8D">
        <w:rPr>
          <w:rFonts w:ascii="Arial" w:hAnsi="Arial" w:cs="Arial"/>
          <w:i/>
          <w:iCs/>
        </w:rPr>
        <w:t>pavonina</w:t>
      </w:r>
      <w:proofErr w:type="spellEnd"/>
      <w:r w:rsidRPr="00E1247C">
        <w:rPr>
          <w:rFonts w:ascii="Arial" w:hAnsi="Arial" w:cs="Arial"/>
        </w:rPr>
        <w:t xml:space="preserve"> acclimatized in Côte d’Ivoire.</w:t>
      </w:r>
    </w:p>
    <w:p w14:paraId="445FCC7D" w14:textId="77777777" w:rsidR="00790ADA" w:rsidRPr="00FB3A86" w:rsidRDefault="00790ADA" w:rsidP="00441B6F">
      <w:pPr>
        <w:pStyle w:val="Body"/>
        <w:spacing w:after="0"/>
        <w:rPr>
          <w:rFonts w:ascii="Arial" w:hAnsi="Arial" w:cs="Arial"/>
        </w:rPr>
      </w:pPr>
    </w:p>
    <w:p w14:paraId="5CBB5B64" w14:textId="255F5808" w:rsidR="00790ADA" w:rsidRPr="00FB3A86" w:rsidRDefault="00902823" w:rsidP="009F391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AE0623" w14:textId="094B3067" w:rsidR="00AA74E0" w:rsidRDefault="00AA74E0" w:rsidP="00441B6F">
      <w:pPr>
        <w:pStyle w:val="Body"/>
        <w:spacing w:after="0"/>
        <w:rPr>
          <w:rFonts w:ascii="Arial" w:hAnsi="Arial" w:cs="Arial"/>
        </w:rPr>
      </w:pPr>
      <w:r w:rsidRPr="00C30A0F">
        <w:rPr>
          <w:rFonts w:ascii="Arial" w:hAnsi="Arial" w:cs="Arial"/>
          <w:b/>
          <w:caps/>
          <w:sz w:val="22"/>
        </w:rPr>
        <w:t xml:space="preserve">2.1 </w:t>
      </w:r>
      <w:r w:rsidR="009F3910">
        <w:rPr>
          <w:rFonts w:ascii="Arial" w:hAnsi="Arial" w:cs="Arial"/>
          <w:b/>
          <w:sz w:val="22"/>
        </w:rPr>
        <w:t>Material</w:t>
      </w:r>
    </w:p>
    <w:p w14:paraId="05A93A88" w14:textId="041362F5"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172DBB">
        <w:rPr>
          <w:rFonts w:ascii="Arial" w:hAnsi="Arial" w:cs="Arial"/>
          <w:b/>
          <w:u w:val="single"/>
        </w:rPr>
        <w:t>Plant material</w:t>
      </w:r>
      <w:r w:rsidRPr="00FB3A86">
        <w:rPr>
          <w:rFonts w:ascii="Arial" w:hAnsi="Arial" w:cs="Arial"/>
        </w:rPr>
        <w:t xml:space="preserve">  </w:t>
      </w:r>
    </w:p>
    <w:p w14:paraId="54BBE6D0" w14:textId="77777777" w:rsidR="00172DBB" w:rsidRDefault="00172DBB" w:rsidP="00441B6F">
      <w:pPr>
        <w:pStyle w:val="Body"/>
        <w:spacing w:after="0"/>
        <w:rPr>
          <w:rFonts w:ascii="Arial" w:hAnsi="Arial" w:cs="Arial"/>
        </w:rPr>
      </w:pPr>
    </w:p>
    <w:p w14:paraId="4333D66D" w14:textId="6457BEF5" w:rsidR="00172DBB" w:rsidRPr="00172DBB" w:rsidRDefault="00172DBB" w:rsidP="00441B6F">
      <w:pPr>
        <w:pStyle w:val="Body"/>
        <w:spacing w:after="0"/>
        <w:rPr>
          <w:rFonts w:ascii="Arial" w:hAnsi="Arial" w:cs="Arial"/>
          <w:lang w:val="en-GB"/>
        </w:rPr>
      </w:pPr>
      <w:r w:rsidRPr="00172DBB">
        <w:rPr>
          <w:rFonts w:ascii="Arial" w:hAnsi="Arial" w:cs="Arial"/>
          <w:lang w:val="en-GB"/>
        </w:rPr>
        <w:t xml:space="preserve">The plant samples (leaves, seeds, and bark) of </w:t>
      </w:r>
      <w:proofErr w:type="spellStart"/>
      <w:r w:rsidRPr="00A57B8D">
        <w:rPr>
          <w:rFonts w:ascii="Arial" w:hAnsi="Arial" w:cs="Arial"/>
          <w:i/>
          <w:iCs/>
          <w:lang w:val="en-GB"/>
        </w:rPr>
        <w:t>Adenanthera</w:t>
      </w:r>
      <w:proofErr w:type="spellEnd"/>
      <w:r w:rsidRPr="00A57B8D">
        <w:rPr>
          <w:rFonts w:ascii="Arial" w:hAnsi="Arial" w:cs="Arial"/>
          <w:i/>
          <w:iCs/>
          <w:lang w:val="en-GB"/>
        </w:rPr>
        <w:t xml:space="preserve"> </w:t>
      </w:r>
      <w:proofErr w:type="spellStart"/>
      <w:r w:rsidRPr="00A57B8D">
        <w:rPr>
          <w:rFonts w:ascii="Arial" w:hAnsi="Arial" w:cs="Arial"/>
          <w:i/>
          <w:iCs/>
          <w:lang w:val="en-GB"/>
        </w:rPr>
        <w:t>pavonina</w:t>
      </w:r>
      <w:proofErr w:type="spellEnd"/>
      <w:r w:rsidRPr="00172DBB">
        <w:rPr>
          <w:rFonts w:ascii="Arial" w:hAnsi="Arial" w:cs="Arial"/>
          <w:lang w:val="en-GB"/>
        </w:rPr>
        <w:t xml:space="preserve"> were collected from a tree growing in the garden of the Cercle Voile </w:t>
      </w:r>
      <w:proofErr w:type="spellStart"/>
      <w:r w:rsidRPr="00172DBB">
        <w:rPr>
          <w:rFonts w:ascii="Arial" w:hAnsi="Arial" w:cs="Arial"/>
          <w:lang w:val="en-GB"/>
        </w:rPr>
        <w:t>d’Abidjan</w:t>
      </w:r>
      <w:proofErr w:type="spellEnd"/>
      <w:r w:rsidRPr="00172DBB">
        <w:rPr>
          <w:rFonts w:ascii="Arial" w:hAnsi="Arial" w:cs="Arial"/>
          <w:lang w:val="en-GB"/>
        </w:rPr>
        <w:t xml:space="preserve">, located in the </w:t>
      </w:r>
      <w:proofErr w:type="spellStart"/>
      <w:r w:rsidRPr="00172DBB">
        <w:rPr>
          <w:rFonts w:ascii="Arial" w:hAnsi="Arial" w:cs="Arial"/>
          <w:lang w:val="en-GB"/>
        </w:rPr>
        <w:t>Attécoubé</w:t>
      </w:r>
      <w:proofErr w:type="spellEnd"/>
      <w:r w:rsidRPr="00172DBB">
        <w:rPr>
          <w:rFonts w:ascii="Arial" w:hAnsi="Arial" w:cs="Arial"/>
          <w:lang w:val="en-GB"/>
        </w:rPr>
        <w:t xml:space="preserve"> district (Côte d’Ivoire), on January 24, 2025. Botanical identification was carried out by </w:t>
      </w:r>
      <w:proofErr w:type="spellStart"/>
      <w:r w:rsidRPr="00172DBB">
        <w:rPr>
          <w:rFonts w:ascii="Arial" w:hAnsi="Arial" w:cs="Arial"/>
          <w:lang w:val="en-GB"/>
        </w:rPr>
        <w:t>Dr.</w:t>
      </w:r>
      <w:proofErr w:type="spellEnd"/>
      <w:r w:rsidRPr="00172DBB">
        <w:rPr>
          <w:rFonts w:ascii="Arial" w:hAnsi="Arial" w:cs="Arial"/>
          <w:lang w:val="en-GB"/>
        </w:rPr>
        <w:t xml:space="preserve"> YAO Konan from the National Floristic </w:t>
      </w:r>
      <w:proofErr w:type="spellStart"/>
      <w:r w:rsidRPr="00172DBB">
        <w:rPr>
          <w:rFonts w:ascii="Arial" w:hAnsi="Arial" w:cs="Arial"/>
          <w:lang w:val="en-GB"/>
        </w:rPr>
        <w:t>Center</w:t>
      </w:r>
      <w:proofErr w:type="spellEnd"/>
      <w:r w:rsidRPr="00172DBB">
        <w:rPr>
          <w:rFonts w:ascii="Arial" w:hAnsi="Arial" w:cs="Arial"/>
          <w:lang w:val="en-GB"/>
        </w:rPr>
        <w:t xml:space="preserve"> of Félix </w:t>
      </w:r>
      <w:proofErr w:type="spellStart"/>
      <w:r w:rsidRPr="00172DBB">
        <w:rPr>
          <w:rFonts w:ascii="Arial" w:hAnsi="Arial" w:cs="Arial"/>
          <w:lang w:val="en-GB"/>
        </w:rPr>
        <w:t>Houphouët-Boigny</w:t>
      </w:r>
      <w:proofErr w:type="spellEnd"/>
      <w:r w:rsidRPr="00172DBB">
        <w:rPr>
          <w:rFonts w:ascii="Arial" w:hAnsi="Arial" w:cs="Arial"/>
          <w:lang w:val="en-GB"/>
        </w:rPr>
        <w:t xml:space="preserve"> University (Abidjan, Côte d’Ivoire), where a reference specimen is preserved in the herbarium under the number </w:t>
      </w:r>
      <w:r w:rsidR="00730176">
        <w:rPr>
          <w:rFonts w:ascii="Arial" w:hAnsi="Arial" w:cs="Arial"/>
          <w:lang w:val="en-GB"/>
        </w:rPr>
        <w:t>UCJ009619</w:t>
      </w:r>
      <w:r w:rsidR="00A54788">
        <w:rPr>
          <w:rFonts w:ascii="Arial" w:hAnsi="Arial" w:cs="Arial"/>
          <w:lang w:val="en-GB"/>
        </w:rPr>
        <w:t>.</w:t>
      </w:r>
      <w:r w:rsidRPr="00730176">
        <w:rPr>
          <w:rFonts w:ascii="Arial" w:hAnsi="Arial" w:cs="Arial"/>
          <w:color w:val="FFFFFF" w:themeColor="background1"/>
          <w:lang w:val="en-GB"/>
        </w:rPr>
        <w:t>………...</w:t>
      </w:r>
    </w:p>
    <w:p w14:paraId="628F7A8A" w14:textId="14B39AFA" w:rsidR="00172DBB" w:rsidRDefault="00172DBB" w:rsidP="00441B6F">
      <w:pPr>
        <w:pStyle w:val="Body"/>
        <w:spacing w:after="0"/>
        <w:rPr>
          <w:rFonts w:ascii="Arial" w:hAnsi="Arial" w:cs="Arial"/>
        </w:rPr>
      </w:pPr>
    </w:p>
    <w:p w14:paraId="62420811" w14:textId="75FC8FE4" w:rsidR="00172DBB" w:rsidRDefault="00172DBB" w:rsidP="00172DBB">
      <w:pPr>
        <w:ind w:right="-766"/>
        <w:jc w:val="both"/>
        <w:rPr>
          <w:rFonts w:ascii="Arial" w:hAnsi="Arial" w:cs="Arial"/>
          <w:b/>
          <w:u w:val="single"/>
        </w:rPr>
      </w:pPr>
      <w:r w:rsidRPr="0073290D">
        <w:rPr>
          <w:rFonts w:ascii="Times New Roman" w:hAnsi="Times New Roman"/>
        </w:rPr>
        <w:t xml:space="preserve"> </w:t>
      </w:r>
      <w:r w:rsidR="00576485">
        <w:rPr>
          <w:rFonts w:ascii="Arial" w:hAnsi="Arial" w:cs="Arial"/>
          <w:b/>
          <w:u w:val="single"/>
        </w:rPr>
        <w:t>2</w:t>
      </w:r>
      <w:r w:rsidR="00576485" w:rsidRPr="00902823">
        <w:rPr>
          <w:rFonts w:ascii="Arial" w:hAnsi="Arial" w:cs="Arial"/>
          <w:b/>
          <w:u w:val="single"/>
        </w:rPr>
        <w:t>.1.</w:t>
      </w:r>
      <w:r w:rsidR="00576485">
        <w:rPr>
          <w:rFonts w:ascii="Arial" w:hAnsi="Arial" w:cs="Arial"/>
          <w:b/>
          <w:u w:val="single"/>
        </w:rPr>
        <w:t>2</w:t>
      </w:r>
      <w:r w:rsidR="00576485" w:rsidRPr="00902823">
        <w:rPr>
          <w:rFonts w:ascii="Arial" w:hAnsi="Arial" w:cs="Arial"/>
          <w:b/>
          <w:u w:val="single"/>
        </w:rPr>
        <w:t xml:space="preserve"> </w:t>
      </w:r>
      <w:r w:rsidR="00576485">
        <w:rPr>
          <w:rFonts w:ascii="Arial" w:hAnsi="Arial" w:cs="Arial"/>
          <w:b/>
          <w:u w:val="single"/>
        </w:rPr>
        <w:t>Bacterial material</w:t>
      </w:r>
    </w:p>
    <w:p w14:paraId="7C84CC00" w14:textId="77777777" w:rsidR="00576485" w:rsidRDefault="00576485" w:rsidP="00172DBB">
      <w:pPr>
        <w:ind w:right="-766"/>
        <w:jc w:val="both"/>
        <w:rPr>
          <w:rFonts w:ascii="Times New Roman" w:hAnsi="Times New Roman"/>
        </w:rPr>
      </w:pPr>
    </w:p>
    <w:p w14:paraId="60D2EAF9" w14:textId="4F8CF476" w:rsidR="00172DBB" w:rsidRDefault="00576485" w:rsidP="00441B6F">
      <w:pPr>
        <w:pStyle w:val="Body"/>
        <w:spacing w:after="0"/>
        <w:rPr>
          <w:rFonts w:ascii="Arial" w:hAnsi="Arial" w:cs="Arial"/>
          <w:lang w:val="en-GB"/>
        </w:rPr>
      </w:pPr>
      <w:r w:rsidRPr="00576485">
        <w:rPr>
          <w:rFonts w:ascii="Arial" w:hAnsi="Arial" w:cs="Arial"/>
          <w:lang w:val="en-GB"/>
        </w:rPr>
        <w:t xml:space="preserve">Five (05) clinically derived bacterial strains were used for antibacterial activity testing. These included two strains of </w:t>
      </w:r>
      <w:r w:rsidRPr="00576485">
        <w:rPr>
          <w:rFonts w:ascii="Arial" w:hAnsi="Arial" w:cs="Arial"/>
          <w:i/>
          <w:iCs/>
          <w:lang w:val="en-GB"/>
        </w:rPr>
        <w:t>Escherichia coli</w:t>
      </w:r>
      <w:r w:rsidRPr="00576485">
        <w:rPr>
          <w:rFonts w:ascii="Arial" w:hAnsi="Arial" w:cs="Arial"/>
          <w:lang w:val="en-GB"/>
        </w:rPr>
        <w:t xml:space="preserve"> (2473C/25, 2411C/25), two strains of </w:t>
      </w:r>
      <w:r w:rsidRPr="00576485">
        <w:rPr>
          <w:rFonts w:ascii="Arial" w:hAnsi="Arial" w:cs="Arial"/>
          <w:i/>
          <w:iCs/>
          <w:lang w:val="en-GB"/>
        </w:rPr>
        <w:t>Staphylococcus aureus</w:t>
      </w:r>
      <w:r w:rsidRPr="00576485">
        <w:rPr>
          <w:rFonts w:ascii="Arial" w:hAnsi="Arial" w:cs="Arial"/>
          <w:lang w:val="en-GB"/>
        </w:rPr>
        <w:t xml:space="preserve"> (2459C/25, 2404C/25), and one strain of </w:t>
      </w:r>
      <w:r w:rsidRPr="00576485">
        <w:rPr>
          <w:rFonts w:ascii="Arial" w:hAnsi="Arial" w:cs="Arial"/>
          <w:i/>
          <w:iCs/>
          <w:lang w:val="en-GB"/>
        </w:rPr>
        <w:t>Pseudomonas aeruginosa</w:t>
      </w:r>
      <w:r w:rsidRPr="00576485">
        <w:rPr>
          <w:rFonts w:ascii="Arial" w:hAnsi="Arial" w:cs="Arial"/>
          <w:lang w:val="en-GB"/>
        </w:rPr>
        <w:t xml:space="preserve"> (2472C/25), all obtained from the biobank of the Pasteur Institute of Côte d’Ivoire (IPCI).</w:t>
      </w:r>
    </w:p>
    <w:p w14:paraId="03EA8B0F" w14:textId="77777777" w:rsidR="0031753E" w:rsidRPr="00172DBB" w:rsidRDefault="0031753E" w:rsidP="00441B6F">
      <w:pPr>
        <w:pStyle w:val="Body"/>
        <w:spacing w:after="0"/>
        <w:rPr>
          <w:rFonts w:ascii="Arial" w:hAnsi="Arial" w:cs="Arial"/>
          <w:lang w:val="en-GB"/>
        </w:rPr>
      </w:pPr>
    </w:p>
    <w:p w14:paraId="2475A5ED" w14:textId="4AA1911D" w:rsidR="0031753E" w:rsidRDefault="0031753E" w:rsidP="0031753E">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Methods</w:t>
      </w:r>
    </w:p>
    <w:p w14:paraId="5A39783B" w14:textId="401DFE4A" w:rsidR="00256E49" w:rsidRDefault="00256E49" w:rsidP="00256E4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427C22">
        <w:rPr>
          <w:rFonts w:ascii="Arial" w:hAnsi="Arial" w:cs="Arial"/>
          <w:b/>
          <w:u w:val="single"/>
        </w:rPr>
        <w:t>2</w:t>
      </w:r>
      <w:r w:rsidRPr="00902823">
        <w:rPr>
          <w:rFonts w:ascii="Arial" w:hAnsi="Arial" w:cs="Arial"/>
          <w:b/>
          <w:u w:val="single"/>
        </w:rPr>
        <w:t xml:space="preserve">.1 </w:t>
      </w:r>
      <w:r>
        <w:rPr>
          <w:rFonts w:ascii="Arial" w:hAnsi="Arial" w:cs="Arial"/>
          <w:b/>
          <w:u w:val="single"/>
        </w:rPr>
        <w:t>Preparation of crude hydroethanolic extracts</w:t>
      </w:r>
    </w:p>
    <w:p w14:paraId="475ECC3B" w14:textId="77777777" w:rsidR="00256E49" w:rsidRDefault="00256E49" w:rsidP="00256E49">
      <w:pPr>
        <w:pStyle w:val="Body"/>
        <w:spacing w:after="0"/>
        <w:rPr>
          <w:rFonts w:ascii="Arial" w:hAnsi="Arial" w:cs="Arial"/>
          <w:b/>
          <w:u w:val="single"/>
        </w:rPr>
      </w:pPr>
    </w:p>
    <w:p w14:paraId="7F6753A8" w14:textId="179B998F" w:rsidR="00256E49" w:rsidRDefault="00256E49" w:rsidP="00256E49">
      <w:pPr>
        <w:pStyle w:val="Body"/>
        <w:spacing w:after="0"/>
        <w:rPr>
          <w:rFonts w:ascii="Arial" w:hAnsi="Arial" w:cs="Arial"/>
        </w:rPr>
      </w:pPr>
      <w:r w:rsidRPr="00256E49">
        <w:rPr>
          <w:rFonts w:ascii="Arial" w:hAnsi="Arial" w:cs="Arial"/>
        </w:rPr>
        <w:t>The plant samples (leaves, seeds, bark) were carefully cleaned and air-dried at room temperature in a well-ventilated area for two weeks, then ground into a fine powder using an electric grinder (BLENDER HGB66E, reference HGB660EI). For each organ, twenty (20) grams of powder were macerated in 100 mL of an 80% hydroethanolic solution for 24 hours. The process was repeated three times using the same plant residues. After filtration through filter paper, the collected macerates were pooled and concentrated under reduced pressure at 50°C using a rotary evaporator. The concentrated extracts were then dried in an oven at 40°C for three (03) days to remove any solvent residues and obtain the crude hydroethanolic extracts, which were used for phytochemical analyses and antioxidant potential evaluation.</w:t>
      </w:r>
    </w:p>
    <w:p w14:paraId="2332DB37" w14:textId="77777777" w:rsidR="00172DBB" w:rsidRDefault="00172DBB" w:rsidP="00441B6F">
      <w:pPr>
        <w:pStyle w:val="Body"/>
        <w:spacing w:after="0"/>
        <w:rPr>
          <w:rFonts w:ascii="Arial" w:hAnsi="Arial" w:cs="Arial"/>
        </w:rPr>
      </w:pPr>
    </w:p>
    <w:p w14:paraId="10D27B89" w14:textId="78849E26" w:rsidR="00427C22" w:rsidRDefault="00427C22" w:rsidP="00427C2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Qualitative analysis</w:t>
      </w:r>
    </w:p>
    <w:p w14:paraId="3837A9A0" w14:textId="77777777" w:rsidR="00427C22" w:rsidRDefault="00427C22" w:rsidP="00427C22">
      <w:pPr>
        <w:pStyle w:val="Body"/>
        <w:spacing w:after="0"/>
        <w:rPr>
          <w:rFonts w:ascii="Arial" w:hAnsi="Arial" w:cs="Arial"/>
          <w:b/>
          <w:u w:val="single"/>
        </w:rPr>
      </w:pPr>
    </w:p>
    <w:p w14:paraId="7E424F9F" w14:textId="1D39E4E2" w:rsidR="00427C22" w:rsidRPr="00427C22" w:rsidRDefault="00A57B8D" w:rsidP="00427C22">
      <w:pPr>
        <w:pStyle w:val="Body"/>
        <w:spacing w:after="0"/>
        <w:rPr>
          <w:rFonts w:ascii="Arial" w:hAnsi="Arial" w:cs="Arial"/>
          <w:bCs/>
        </w:rPr>
      </w:pPr>
      <w:r w:rsidRPr="00A57B8D">
        <w:rPr>
          <w:rFonts w:ascii="Arial" w:hAnsi="Arial" w:cs="Arial"/>
          <w:bCs/>
        </w:rPr>
        <w:t xml:space="preserve">A qualitative phytochemical screening was carried out on the hydroethanolic extracts of the leaves, seeds, and bark of </w:t>
      </w:r>
      <w:proofErr w:type="spellStart"/>
      <w:r w:rsidRPr="00826016">
        <w:rPr>
          <w:rFonts w:ascii="Arial" w:hAnsi="Arial" w:cs="Arial"/>
          <w:bCs/>
          <w:i/>
          <w:iCs/>
        </w:rPr>
        <w:t>Adenanthera</w:t>
      </w:r>
      <w:proofErr w:type="spellEnd"/>
      <w:r w:rsidRPr="00826016">
        <w:rPr>
          <w:rFonts w:ascii="Arial" w:hAnsi="Arial" w:cs="Arial"/>
          <w:bCs/>
          <w:i/>
          <w:iCs/>
        </w:rPr>
        <w:t xml:space="preserve"> </w:t>
      </w:r>
      <w:proofErr w:type="spellStart"/>
      <w:r w:rsidRPr="00826016">
        <w:rPr>
          <w:rFonts w:ascii="Arial" w:hAnsi="Arial" w:cs="Arial"/>
          <w:bCs/>
          <w:i/>
          <w:iCs/>
        </w:rPr>
        <w:t>pavonina</w:t>
      </w:r>
      <w:proofErr w:type="spellEnd"/>
      <w:r w:rsidRPr="00A57B8D">
        <w:rPr>
          <w:rFonts w:ascii="Arial" w:hAnsi="Arial" w:cs="Arial"/>
          <w:bCs/>
        </w:rPr>
        <w:t xml:space="preserve"> to detect the presence of major classes of secondary metabolites. To this end, colorimetric tests were performed using standard methods described in the literature [9–17].</w:t>
      </w:r>
    </w:p>
    <w:p w14:paraId="60C42F8D" w14:textId="77777777" w:rsidR="00427C22" w:rsidRDefault="00427C22" w:rsidP="00441B6F">
      <w:pPr>
        <w:pStyle w:val="Body"/>
        <w:spacing w:after="0"/>
        <w:rPr>
          <w:rFonts w:ascii="Arial" w:hAnsi="Arial" w:cs="Arial"/>
        </w:rPr>
      </w:pPr>
    </w:p>
    <w:p w14:paraId="04614685" w14:textId="58AF99E2" w:rsidR="00826016" w:rsidRDefault="00826016" w:rsidP="00826016">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Quantitative analysis</w:t>
      </w:r>
    </w:p>
    <w:p w14:paraId="483726A8" w14:textId="77777777" w:rsidR="00505F06" w:rsidRDefault="00505F06" w:rsidP="00441B6F">
      <w:pPr>
        <w:pStyle w:val="Body"/>
        <w:spacing w:after="0"/>
        <w:rPr>
          <w:rFonts w:ascii="Arial" w:hAnsi="Arial" w:cs="Arial"/>
        </w:rPr>
      </w:pPr>
    </w:p>
    <w:p w14:paraId="06D2DE2A" w14:textId="29203233" w:rsidR="00AA74E0" w:rsidRPr="00826016" w:rsidRDefault="00826016" w:rsidP="00441B6F">
      <w:pPr>
        <w:pStyle w:val="Body"/>
        <w:spacing w:after="0"/>
        <w:rPr>
          <w:rFonts w:ascii="Arial" w:hAnsi="Arial" w:cs="Arial"/>
          <w:b/>
          <w:bCs/>
        </w:rPr>
      </w:pPr>
      <w:r w:rsidRPr="00826016">
        <w:rPr>
          <w:rFonts w:ascii="Arial" w:hAnsi="Arial" w:cs="Arial"/>
          <w:b/>
          <w:bCs/>
          <w:i/>
        </w:rPr>
        <w:t xml:space="preserve">2.2.3.1 </w:t>
      </w:r>
      <w:r w:rsidRPr="00F44AAF">
        <w:rPr>
          <w:rFonts w:ascii="Arial" w:hAnsi="Arial" w:cs="Arial"/>
          <w:b/>
          <w:bCs/>
          <w:i/>
          <w:iCs/>
        </w:rPr>
        <w:t>Determination of total phenolic content</w:t>
      </w:r>
    </w:p>
    <w:p w14:paraId="62A1B0A5" w14:textId="77777777" w:rsidR="00790ADA" w:rsidRDefault="00790ADA" w:rsidP="00441B6F">
      <w:pPr>
        <w:pStyle w:val="Body"/>
        <w:spacing w:after="0"/>
        <w:rPr>
          <w:rFonts w:ascii="Arial" w:hAnsi="Arial" w:cs="Arial"/>
        </w:rPr>
      </w:pPr>
    </w:p>
    <w:p w14:paraId="5DDD6D34" w14:textId="663307F2" w:rsidR="00F44AAF" w:rsidRDefault="00F44AAF" w:rsidP="00441B6F">
      <w:pPr>
        <w:pStyle w:val="Body"/>
        <w:spacing w:after="0"/>
        <w:rPr>
          <w:rFonts w:ascii="Arial" w:hAnsi="Arial" w:cs="Arial"/>
        </w:rPr>
      </w:pPr>
      <w:r w:rsidRPr="00F44AAF">
        <w:rPr>
          <w:rFonts w:ascii="Arial" w:hAnsi="Arial" w:cs="Arial"/>
        </w:rPr>
        <w:t>The total phenolic content of the extracts was determined using the spectrophotometric method described in [18]. To 1 mL of each extract at a concentration of 0.1 mg/mL, 1.5 mL of Na</w:t>
      </w:r>
      <w:r w:rsidRPr="00583112">
        <w:rPr>
          <w:rFonts w:ascii="Arial" w:hAnsi="Arial" w:cs="Arial"/>
          <w:vertAlign w:val="subscript"/>
        </w:rPr>
        <w:t>2</w:t>
      </w:r>
      <w:r w:rsidRPr="00F44AAF">
        <w:rPr>
          <w:rFonts w:ascii="Arial" w:hAnsi="Arial" w:cs="Arial"/>
        </w:rPr>
        <w:t>CO</w:t>
      </w:r>
      <w:r w:rsidRPr="00583112">
        <w:rPr>
          <w:rFonts w:ascii="Arial" w:hAnsi="Arial" w:cs="Arial"/>
          <w:vertAlign w:val="subscript"/>
        </w:rPr>
        <w:t>3</w:t>
      </w:r>
      <w:r w:rsidRPr="00F44AAF">
        <w:rPr>
          <w:rFonts w:ascii="Arial" w:hAnsi="Arial" w:cs="Arial"/>
        </w:rPr>
        <w:t xml:space="preserve"> (17%, w/v) and 0.5 mL of </w:t>
      </w:r>
      <w:proofErr w:type="spellStart"/>
      <w:r w:rsidRPr="00F44AAF">
        <w:rPr>
          <w:rFonts w:ascii="Arial" w:hAnsi="Arial" w:cs="Arial"/>
        </w:rPr>
        <w:t>Folin-Ciocalteu</w:t>
      </w:r>
      <w:proofErr w:type="spellEnd"/>
      <w:r w:rsidRPr="00F44AAF">
        <w:rPr>
          <w:rFonts w:ascii="Arial" w:hAnsi="Arial" w:cs="Arial"/>
        </w:rPr>
        <w:t xml:space="preserve"> reagent (0.5 N) were added. The mixtures were incubated at 37°C for 30 minutes in the dark. The absorbance of each solution was measured at 760 nm against a blank consisting of the reaction mixture without extract. A calibration curve was previously established using gallic acid as a standard, with concentrations ranging from 0.000390625 to 0.2 mg/</w:t>
      </w:r>
      <w:proofErr w:type="spellStart"/>
      <w:r w:rsidRPr="00F44AAF">
        <w:rPr>
          <w:rFonts w:ascii="Arial" w:hAnsi="Arial" w:cs="Arial"/>
        </w:rPr>
        <w:t>mL.</w:t>
      </w:r>
      <w:proofErr w:type="spellEnd"/>
      <w:r w:rsidRPr="00F44AAF">
        <w:rPr>
          <w:rFonts w:ascii="Arial" w:hAnsi="Arial" w:cs="Arial"/>
        </w:rPr>
        <w:t xml:space="preserve"> The calibration line in the form y = ax + b was used to calculate the total polyphenol content of the samples. The total phenolic content (TPC), expressed in milligrams of gallic acid equivalent per gram of dry matter (mg GAE/g DM), was calculated using the following formula:</w:t>
      </w:r>
    </w:p>
    <w:p w14:paraId="747238DD" w14:textId="77777777" w:rsidR="00F44AAF" w:rsidRDefault="00F44AAF" w:rsidP="00441B6F">
      <w:pPr>
        <w:pStyle w:val="Body"/>
        <w:spacing w:after="0"/>
        <w:rPr>
          <w:rFonts w:ascii="Arial" w:hAnsi="Arial" w:cs="Arial"/>
        </w:rPr>
      </w:pPr>
    </w:p>
    <w:p w14:paraId="6D5C91A5" w14:textId="77777777" w:rsidR="00F44AAF" w:rsidRPr="00F44AAF" w:rsidRDefault="00F44AAF" w:rsidP="00F44AAF">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6D3AEF96" w14:textId="77777777" w:rsidR="00F44AAF" w:rsidRDefault="00F44AAF" w:rsidP="00441B6F">
      <w:pPr>
        <w:pStyle w:val="Body"/>
        <w:spacing w:after="0"/>
        <w:rPr>
          <w:rFonts w:ascii="Arial" w:hAnsi="Arial" w:cs="Arial"/>
        </w:rPr>
      </w:pPr>
    </w:p>
    <w:p w14:paraId="1099473F" w14:textId="1DC1D409" w:rsidR="00F44AAF" w:rsidRDefault="00F44AAF" w:rsidP="00441B6F">
      <w:pPr>
        <w:pStyle w:val="Body"/>
        <w:spacing w:after="0"/>
        <w:rPr>
          <w:rFonts w:ascii="Arial" w:hAnsi="Arial" w:cs="Arial"/>
        </w:rPr>
      </w:pPr>
      <w:r w:rsidRPr="00F44AAF">
        <w:rPr>
          <w:rFonts w:ascii="Arial" w:hAnsi="Arial" w:cs="Arial"/>
        </w:rPr>
        <w:lastRenderedPageBreak/>
        <w:t xml:space="preserve">With </w:t>
      </w:r>
      <w:proofErr w:type="spellStart"/>
      <w:r w:rsidRPr="00F44AAF">
        <w:rPr>
          <w:rFonts w:ascii="Arial" w:hAnsi="Arial" w:cs="Arial"/>
        </w:rPr>
        <w:t>Cf</w:t>
      </w:r>
      <w:proofErr w:type="spellEnd"/>
      <w:r w:rsidRPr="00F44AAF">
        <w:rPr>
          <w:rFonts w:ascii="Arial" w:hAnsi="Arial" w:cs="Arial"/>
        </w:rPr>
        <w:t>: concentration of the extract in gallic acid equivalent (mg EAG/mL); d: dilution factor; and Ci: concentration of the extract (g/mL).</w:t>
      </w:r>
    </w:p>
    <w:p w14:paraId="1DD46303" w14:textId="77777777" w:rsidR="00F44AAF" w:rsidRDefault="00F44AAF" w:rsidP="00441B6F">
      <w:pPr>
        <w:pStyle w:val="Body"/>
        <w:spacing w:after="0"/>
        <w:rPr>
          <w:rFonts w:ascii="Arial" w:hAnsi="Arial" w:cs="Arial"/>
        </w:rPr>
      </w:pPr>
    </w:p>
    <w:p w14:paraId="0F0115EE" w14:textId="23991932" w:rsidR="00F44AAF" w:rsidRPr="00DA52D5" w:rsidRDefault="00DA52D5" w:rsidP="00441B6F">
      <w:pPr>
        <w:pStyle w:val="Body"/>
        <w:spacing w:after="0"/>
        <w:rPr>
          <w:rFonts w:ascii="Arial" w:hAnsi="Arial" w:cs="Arial"/>
          <w:i/>
        </w:rPr>
      </w:pPr>
      <w:r w:rsidRPr="00DA52D5">
        <w:rPr>
          <w:rFonts w:ascii="Arial" w:hAnsi="Arial" w:cs="Arial"/>
          <w:b/>
          <w:bCs/>
          <w:i/>
        </w:rPr>
        <w:t>2.2.3.2 Determination of Flavonoids</w:t>
      </w:r>
    </w:p>
    <w:p w14:paraId="7DB2146B" w14:textId="77777777" w:rsidR="00F44AAF" w:rsidRDefault="00F44AAF" w:rsidP="00441B6F">
      <w:pPr>
        <w:pStyle w:val="Body"/>
        <w:spacing w:after="0"/>
        <w:rPr>
          <w:rFonts w:ascii="Arial" w:hAnsi="Arial" w:cs="Arial"/>
        </w:rPr>
      </w:pPr>
    </w:p>
    <w:p w14:paraId="0BFCECD9" w14:textId="31FFB75D" w:rsidR="00F44AAF" w:rsidRDefault="00DA52D5" w:rsidP="00441B6F">
      <w:pPr>
        <w:pStyle w:val="Body"/>
        <w:spacing w:after="0"/>
        <w:rPr>
          <w:rFonts w:ascii="Arial" w:hAnsi="Arial" w:cs="Arial"/>
        </w:rPr>
      </w:pPr>
      <w:r w:rsidRPr="00DA52D5">
        <w:rPr>
          <w:rFonts w:ascii="Arial" w:hAnsi="Arial" w:cs="Arial"/>
        </w:rPr>
        <w:t xml:space="preserve">The total flavonoid content was determined using the aluminum chloride method described by </w:t>
      </w:r>
      <w:proofErr w:type="spellStart"/>
      <w:r w:rsidRPr="00DA52D5">
        <w:rPr>
          <w:rFonts w:ascii="Arial" w:hAnsi="Arial" w:cs="Arial"/>
        </w:rPr>
        <w:t>Arvouet</w:t>
      </w:r>
      <w:proofErr w:type="spellEnd"/>
      <w:r w:rsidRPr="00DA52D5">
        <w:rPr>
          <w:rFonts w:ascii="Arial" w:hAnsi="Arial" w:cs="Arial"/>
        </w:rPr>
        <w:t>-Grand et al. (1994) [19]. For each assay, 2 mL of the extract at a concentration of 1 mg/mL were mixed with 2 mL of a 2% (w/v) aluminum chloride (AlCl</w:t>
      </w:r>
      <w:r w:rsidRPr="00583112">
        <w:rPr>
          <w:rFonts w:ascii="Arial" w:hAnsi="Arial" w:cs="Arial"/>
          <w:vertAlign w:val="subscript"/>
        </w:rPr>
        <w:t>3</w:t>
      </w:r>
      <w:r w:rsidRPr="00DA52D5">
        <w:rPr>
          <w:rFonts w:ascii="Arial" w:hAnsi="Arial" w:cs="Arial"/>
        </w:rPr>
        <w:t>) solution in ethanol. After 10 minutes of incubation, the absorbance was measured at 415 nm using a spectrophotometer. A calibration curve was prepared using quercetin as the standard, with concentrations ranging from 0.00039 to 0.1 mg/</w:t>
      </w:r>
      <w:proofErr w:type="spellStart"/>
      <w:r w:rsidRPr="00DA52D5">
        <w:rPr>
          <w:rFonts w:ascii="Arial" w:hAnsi="Arial" w:cs="Arial"/>
        </w:rPr>
        <w:t>mL.</w:t>
      </w:r>
      <w:proofErr w:type="spellEnd"/>
      <w:r w:rsidRPr="00DA52D5">
        <w:rPr>
          <w:rFonts w:ascii="Arial" w:hAnsi="Arial" w:cs="Arial"/>
        </w:rPr>
        <w:t xml:space="preserve"> The total flavonoid content (TFC), expressed in milligrams of quercetin equivalent per gram of dry matter (mg QE/g DM), was calculated using the following formula:</w:t>
      </w:r>
    </w:p>
    <w:p w14:paraId="314F0860" w14:textId="77777777" w:rsidR="00037EDD" w:rsidRPr="00F44AAF" w:rsidRDefault="00037EDD" w:rsidP="00037EDD">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4D04DC1E" w14:textId="77777777" w:rsidR="00F44AAF" w:rsidRDefault="00F44AAF" w:rsidP="00441B6F">
      <w:pPr>
        <w:pStyle w:val="Body"/>
        <w:spacing w:after="0"/>
        <w:rPr>
          <w:rFonts w:ascii="Arial" w:hAnsi="Arial" w:cs="Arial"/>
        </w:rPr>
      </w:pPr>
    </w:p>
    <w:p w14:paraId="0EF0CE04" w14:textId="77777777" w:rsidR="00037EDD" w:rsidRDefault="00037EDD" w:rsidP="00441B6F">
      <w:pPr>
        <w:pStyle w:val="Body"/>
        <w:spacing w:after="0"/>
        <w:rPr>
          <w:rFonts w:ascii="Arial" w:hAnsi="Arial" w:cs="Arial"/>
        </w:rPr>
      </w:pPr>
    </w:p>
    <w:p w14:paraId="34A8D0AC" w14:textId="6683030A" w:rsidR="00037EDD" w:rsidRDefault="00037EDD" w:rsidP="00441B6F">
      <w:pPr>
        <w:pStyle w:val="Body"/>
        <w:spacing w:after="0"/>
        <w:rPr>
          <w:rFonts w:ascii="Arial" w:hAnsi="Arial" w:cs="Arial"/>
        </w:rPr>
      </w:pPr>
      <w:r w:rsidRPr="00037EDD">
        <w:rPr>
          <w:rFonts w:ascii="Arial" w:hAnsi="Arial" w:cs="Arial"/>
        </w:rPr>
        <w:t xml:space="preserve">With </w:t>
      </w:r>
      <w:proofErr w:type="spellStart"/>
      <w:r w:rsidRPr="00037EDD">
        <w:rPr>
          <w:rFonts w:ascii="Arial" w:hAnsi="Arial" w:cs="Arial"/>
        </w:rPr>
        <w:t>Cf</w:t>
      </w:r>
      <w:proofErr w:type="spellEnd"/>
      <w:r w:rsidRPr="00037EDD">
        <w:rPr>
          <w:rFonts w:ascii="Arial" w:hAnsi="Arial" w:cs="Arial"/>
        </w:rPr>
        <w:t>: concentration of the extract in quercetin equivalent (mg QE/mL); d: dilution factor; and Ci: concentration of the extract (g/mL).</w:t>
      </w:r>
    </w:p>
    <w:p w14:paraId="334AFA06" w14:textId="77777777" w:rsidR="00037EDD" w:rsidRDefault="00037EDD" w:rsidP="00441B6F">
      <w:pPr>
        <w:pStyle w:val="Body"/>
        <w:spacing w:after="0"/>
        <w:rPr>
          <w:rFonts w:ascii="Arial" w:hAnsi="Arial" w:cs="Arial"/>
        </w:rPr>
      </w:pPr>
    </w:p>
    <w:p w14:paraId="38C06FFF" w14:textId="0B2B4CF9" w:rsidR="00037EDD" w:rsidRPr="00037EDD" w:rsidRDefault="00037EDD" w:rsidP="00037EDD">
      <w:pPr>
        <w:pStyle w:val="Body"/>
        <w:spacing w:after="0"/>
        <w:rPr>
          <w:rFonts w:ascii="Arial" w:hAnsi="Arial" w:cs="Arial"/>
          <w:i/>
        </w:rPr>
      </w:pPr>
      <w:r w:rsidRPr="00037EDD">
        <w:rPr>
          <w:rFonts w:ascii="Arial" w:hAnsi="Arial" w:cs="Arial"/>
          <w:b/>
          <w:bCs/>
          <w:i/>
        </w:rPr>
        <w:t>2.2.3.3 Determination of Condensed Tannins</w:t>
      </w:r>
    </w:p>
    <w:p w14:paraId="7C2EB827" w14:textId="77777777" w:rsidR="00F44AAF" w:rsidRDefault="00F44AAF" w:rsidP="00441B6F">
      <w:pPr>
        <w:pStyle w:val="Body"/>
        <w:spacing w:after="0"/>
        <w:rPr>
          <w:rFonts w:ascii="Arial" w:hAnsi="Arial" w:cs="Arial"/>
        </w:rPr>
      </w:pPr>
    </w:p>
    <w:p w14:paraId="5B27F5B3" w14:textId="114D7EB8" w:rsidR="00583112" w:rsidRDefault="00583112" w:rsidP="00441B6F">
      <w:pPr>
        <w:pStyle w:val="Body"/>
        <w:spacing w:after="0"/>
        <w:rPr>
          <w:rFonts w:ascii="Arial" w:hAnsi="Arial" w:cs="Arial"/>
        </w:rPr>
      </w:pPr>
      <w:r w:rsidRPr="00583112">
        <w:rPr>
          <w:rFonts w:ascii="Arial" w:hAnsi="Arial" w:cs="Arial"/>
        </w:rPr>
        <w:t xml:space="preserve">The condensed tannin content was determined using the vanillin–hydrochloric acid reagent method described by </w:t>
      </w:r>
      <w:proofErr w:type="spellStart"/>
      <w:r w:rsidRPr="00583112">
        <w:rPr>
          <w:rFonts w:ascii="Arial" w:hAnsi="Arial" w:cs="Arial"/>
        </w:rPr>
        <w:t>Heimler</w:t>
      </w:r>
      <w:proofErr w:type="spellEnd"/>
      <w:r w:rsidRPr="00583112">
        <w:rPr>
          <w:rFonts w:ascii="Arial" w:hAnsi="Arial" w:cs="Arial"/>
        </w:rPr>
        <w:t xml:space="preserve"> et al. (2006) [20]. To 0.2 mL of each test extract (1 mg/mL), 1.5 mL of a 4% (w/v) ethanolic vanillin solution and 0.75 mL of concentrated HCl were added. The mixture was incubated for 15 minutes, and the absorbance was read at 500 nm. Quantification of condensed tannins was carried out using a linear calibration curve (y = ax + b) established with catechin as the standard, within a concentration range of 0.00078 to 0.05 mg/</w:t>
      </w:r>
      <w:proofErr w:type="spellStart"/>
      <w:r w:rsidRPr="00583112">
        <w:rPr>
          <w:rFonts w:ascii="Arial" w:hAnsi="Arial" w:cs="Arial"/>
        </w:rPr>
        <w:t>mL.</w:t>
      </w:r>
      <w:proofErr w:type="spellEnd"/>
      <w:r w:rsidRPr="00583112">
        <w:rPr>
          <w:rFonts w:ascii="Arial" w:hAnsi="Arial" w:cs="Arial"/>
        </w:rPr>
        <w:t xml:space="preserve"> The condensed tannin content (CTC), expressed in milligrams of catechin equivalent per gram of dry matter (mg CE/g DM), was calculated using the following formula:</w:t>
      </w:r>
    </w:p>
    <w:p w14:paraId="278689AE" w14:textId="77777777" w:rsidR="00583112" w:rsidRDefault="00583112" w:rsidP="00441B6F">
      <w:pPr>
        <w:pStyle w:val="Body"/>
        <w:spacing w:after="0"/>
        <w:rPr>
          <w:rFonts w:ascii="Arial" w:hAnsi="Arial" w:cs="Arial"/>
        </w:rPr>
      </w:pPr>
    </w:p>
    <w:p w14:paraId="717DC6F3" w14:textId="77777777" w:rsidR="00583112" w:rsidRPr="00F44AAF" w:rsidRDefault="00583112" w:rsidP="00583112">
      <w:pPr>
        <w:ind w:right="-766"/>
        <w:jc w:val="both"/>
        <w:rPr>
          <w:rFonts w:ascii="Arial" w:hAnsi="Arial" w:cs="Arial"/>
        </w:rPr>
      </w:pPr>
      <m:oMathPara>
        <m:oMath>
          <m:r>
            <w:rPr>
              <w:rFonts w:ascii="Cambria Math" w:hAnsi="Cambria Math" w:cs="Arial"/>
            </w:rPr>
            <m:t>TPT</m:t>
          </m:r>
          <m:r>
            <m:rPr>
              <m:sty m:val="p"/>
            </m:rPr>
            <w:rPr>
              <w:rFonts w:ascii="Cambria Math" w:hAnsi="Cambria Math" w:cs="Arial"/>
            </w:rPr>
            <m:t>=</m:t>
          </m:r>
          <m:f>
            <m:fPr>
              <m:ctrlPr>
                <w:rPr>
                  <w:rFonts w:ascii="Cambria Math" w:hAnsi="Cambria Math" w:cs="Arial"/>
                </w:rPr>
              </m:ctrlPr>
            </m:fPr>
            <m:num>
              <m:r>
                <w:rPr>
                  <w:rFonts w:ascii="Cambria Math" w:hAnsi="Cambria Math" w:cs="Arial"/>
                </w:rPr>
                <m:t>Cf⨯d</m:t>
              </m:r>
            </m:num>
            <m:den>
              <m:r>
                <m:rPr>
                  <m:sty m:val="p"/>
                </m:rPr>
                <w:rPr>
                  <w:rFonts w:ascii="Cambria Math" w:hAnsi="Cambria Math" w:cs="Arial"/>
                </w:rPr>
                <m:t>Ci</m:t>
              </m:r>
            </m:den>
          </m:f>
          <m:r>
            <w:rPr>
              <w:rFonts w:ascii="Cambria Math" w:hAnsi="Cambria Math" w:cs="Arial"/>
            </w:rPr>
            <m:t xml:space="preserve"> </m:t>
          </m:r>
        </m:oMath>
      </m:oMathPara>
    </w:p>
    <w:p w14:paraId="67945F4A" w14:textId="77777777" w:rsidR="00583112" w:rsidRDefault="00583112" w:rsidP="00441B6F">
      <w:pPr>
        <w:pStyle w:val="Body"/>
        <w:spacing w:after="0"/>
        <w:rPr>
          <w:rFonts w:ascii="Arial" w:hAnsi="Arial" w:cs="Arial"/>
        </w:rPr>
      </w:pPr>
    </w:p>
    <w:p w14:paraId="7F88FB02" w14:textId="63AE941C" w:rsidR="00583112" w:rsidRDefault="00583112" w:rsidP="00441B6F">
      <w:pPr>
        <w:pStyle w:val="Body"/>
        <w:spacing w:after="0"/>
        <w:rPr>
          <w:rFonts w:ascii="Arial" w:hAnsi="Arial" w:cs="Arial"/>
        </w:rPr>
      </w:pPr>
      <w:r w:rsidRPr="00583112">
        <w:rPr>
          <w:rFonts w:ascii="Arial" w:hAnsi="Arial" w:cs="Arial"/>
        </w:rPr>
        <w:t xml:space="preserve">With </w:t>
      </w:r>
      <w:proofErr w:type="spellStart"/>
      <w:r w:rsidRPr="00583112">
        <w:rPr>
          <w:rFonts w:ascii="Arial" w:hAnsi="Arial" w:cs="Arial"/>
        </w:rPr>
        <w:t>Cf</w:t>
      </w:r>
      <w:proofErr w:type="spellEnd"/>
      <w:r w:rsidRPr="00583112">
        <w:rPr>
          <w:rFonts w:ascii="Arial" w:hAnsi="Arial" w:cs="Arial"/>
        </w:rPr>
        <w:t>: concentration of the extract in quercetin equivalent (mg QE/mL); d: dilution factor; and Ci: concentration of the extract (g/mL).</w:t>
      </w:r>
    </w:p>
    <w:p w14:paraId="2CB9E301" w14:textId="77777777" w:rsidR="00583112" w:rsidRDefault="00583112" w:rsidP="00441B6F">
      <w:pPr>
        <w:pStyle w:val="Body"/>
        <w:spacing w:after="0"/>
        <w:rPr>
          <w:rFonts w:ascii="Arial" w:hAnsi="Arial" w:cs="Arial"/>
        </w:rPr>
      </w:pPr>
    </w:p>
    <w:p w14:paraId="0E1299D3" w14:textId="3BA46AF3" w:rsidR="00583112" w:rsidRDefault="00583112" w:rsidP="00583112">
      <w:pPr>
        <w:pStyle w:val="Body"/>
        <w:spacing w:after="0"/>
        <w:rPr>
          <w:rFonts w:ascii="Arial" w:hAnsi="Arial" w:cs="Arial"/>
          <w:b/>
          <w:bCs/>
          <w:u w:val="single"/>
        </w:rPr>
      </w:pPr>
      <w:r w:rsidRPr="00583112">
        <w:rPr>
          <w:rFonts w:ascii="Arial" w:hAnsi="Arial" w:cs="Arial"/>
          <w:b/>
          <w:u w:val="single"/>
        </w:rPr>
        <w:t xml:space="preserve">2.2.4 Assessment </w:t>
      </w:r>
      <w:r w:rsidRPr="00583112">
        <w:rPr>
          <w:rFonts w:ascii="Arial" w:hAnsi="Arial" w:cs="Arial"/>
          <w:b/>
          <w:bCs/>
          <w:u w:val="single"/>
        </w:rPr>
        <w:t>of Antioxidant Potential</w:t>
      </w:r>
    </w:p>
    <w:p w14:paraId="0339F12C" w14:textId="77777777" w:rsidR="00583112" w:rsidRPr="00583112" w:rsidRDefault="00583112" w:rsidP="00583112">
      <w:pPr>
        <w:pStyle w:val="Body"/>
        <w:spacing w:after="0"/>
        <w:rPr>
          <w:rFonts w:ascii="Arial" w:hAnsi="Arial" w:cs="Arial"/>
          <w:b/>
          <w:u w:val="single"/>
        </w:rPr>
      </w:pPr>
    </w:p>
    <w:p w14:paraId="7B66162E" w14:textId="161002A1" w:rsidR="00583112" w:rsidRPr="00826016" w:rsidRDefault="00583112" w:rsidP="00583112">
      <w:pPr>
        <w:pStyle w:val="Body"/>
        <w:spacing w:after="0"/>
        <w:rPr>
          <w:rFonts w:ascii="Arial" w:hAnsi="Arial" w:cs="Arial"/>
          <w:b/>
          <w:bCs/>
        </w:rPr>
      </w:pPr>
      <w:r w:rsidRPr="00826016">
        <w:rPr>
          <w:rFonts w:ascii="Arial" w:hAnsi="Arial" w:cs="Arial"/>
          <w:b/>
          <w:bCs/>
          <w:i/>
        </w:rPr>
        <w:t>2.2.</w:t>
      </w:r>
      <w:r>
        <w:rPr>
          <w:rFonts w:ascii="Arial" w:hAnsi="Arial" w:cs="Arial"/>
          <w:b/>
          <w:bCs/>
          <w:i/>
        </w:rPr>
        <w:t>4</w:t>
      </w:r>
      <w:r w:rsidRPr="00826016">
        <w:rPr>
          <w:rFonts w:ascii="Arial" w:hAnsi="Arial" w:cs="Arial"/>
          <w:b/>
          <w:bCs/>
          <w:i/>
        </w:rPr>
        <w:t xml:space="preserve">.1 </w:t>
      </w:r>
      <w:r w:rsidRPr="00F44AAF">
        <w:rPr>
          <w:rFonts w:ascii="Arial" w:hAnsi="Arial" w:cs="Arial"/>
          <w:b/>
          <w:bCs/>
          <w:i/>
          <w:iCs/>
        </w:rPr>
        <w:t>D</w:t>
      </w:r>
      <w:r>
        <w:rPr>
          <w:rFonts w:ascii="Arial" w:hAnsi="Arial" w:cs="Arial"/>
          <w:b/>
          <w:bCs/>
          <w:i/>
          <w:iCs/>
        </w:rPr>
        <w:t>PPH test</w:t>
      </w:r>
    </w:p>
    <w:p w14:paraId="3306A944" w14:textId="77777777" w:rsidR="00583112" w:rsidRDefault="00583112" w:rsidP="00441B6F">
      <w:pPr>
        <w:pStyle w:val="Body"/>
        <w:spacing w:after="0"/>
        <w:rPr>
          <w:rFonts w:ascii="Arial" w:hAnsi="Arial" w:cs="Arial"/>
        </w:rPr>
      </w:pPr>
    </w:p>
    <w:p w14:paraId="3265D591" w14:textId="5D85BC0D" w:rsidR="00583112" w:rsidRDefault="00583112" w:rsidP="00583112">
      <w:pPr>
        <w:pStyle w:val="Body"/>
        <w:spacing w:after="0"/>
        <w:rPr>
          <w:rFonts w:ascii="Arial" w:hAnsi="Arial" w:cs="Arial"/>
        </w:rPr>
      </w:pPr>
      <w:r w:rsidRPr="00583112">
        <w:rPr>
          <w:rFonts w:ascii="Arial" w:hAnsi="Arial" w:cs="Arial"/>
        </w:rPr>
        <w:t>The antioxidant activity of the extracts was evaluated based on their ability to scavenge the free radical DPPH•</w:t>
      </w:r>
      <w:r w:rsidR="00F83105">
        <w:rPr>
          <w:rFonts w:ascii="Arial" w:hAnsi="Arial" w:cs="Arial"/>
        </w:rPr>
        <w:t xml:space="preserve"> </w:t>
      </w:r>
      <w:r w:rsidRPr="00583112">
        <w:rPr>
          <w:rFonts w:ascii="Arial" w:hAnsi="Arial" w:cs="Arial"/>
        </w:rPr>
        <w:t>(2,2-diphenyl-1-picrylhydrazyl), according to the method described by Brand-Williams et al. [21], with slight modifications. DPPH• was dissolved in 80% ethanol to prepare a stock solution at a concentration of 0.03 mg/</w:t>
      </w:r>
      <w:proofErr w:type="spellStart"/>
      <w:r w:rsidRPr="00583112">
        <w:rPr>
          <w:rFonts w:ascii="Arial" w:hAnsi="Arial" w:cs="Arial"/>
        </w:rPr>
        <w:t>mL.</w:t>
      </w:r>
      <w:proofErr w:type="spellEnd"/>
      <w:r w:rsidRPr="00583112">
        <w:rPr>
          <w:rFonts w:ascii="Arial" w:hAnsi="Arial" w:cs="Arial"/>
        </w:rPr>
        <w:t xml:space="preserve"> Different concentration ranges of the extracts were prepared: from 0.015625 to 1 mg/mL for leaves (LE) and seeds (SE), and from 0.00078 to 0.5 mg/mL for bark (TE), reflecting its anticipated higher activity.</w:t>
      </w:r>
    </w:p>
    <w:p w14:paraId="09058D86" w14:textId="59728983" w:rsidR="00583112" w:rsidRDefault="00583112" w:rsidP="00583112">
      <w:pPr>
        <w:pStyle w:val="Body"/>
        <w:spacing w:after="0"/>
        <w:rPr>
          <w:rFonts w:ascii="Arial" w:hAnsi="Arial" w:cs="Arial"/>
        </w:rPr>
      </w:pPr>
      <w:r w:rsidRPr="00583112">
        <w:rPr>
          <w:rFonts w:ascii="Arial" w:hAnsi="Arial" w:cs="Arial"/>
        </w:rPr>
        <w:t>In dry and sterile test tubes, 1 mL of each extract concentration was mixed with 2 mL of the DPPH• solution. After shaking, the mixtures were incubated in the dark at room temperature for 30 minutes. Absorbance was measured at 517 nm against a blank composed of 2 mL of DPPH• solution and 1 mL of 80% ethanol. Ascorbic acid (vitamin C) was used as the positive reference control under the same conditions.</w:t>
      </w:r>
    </w:p>
    <w:p w14:paraId="209754CA" w14:textId="05B7B2EE" w:rsidR="00583112" w:rsidRDefault="00583112" w:rsidP="00583112">
      <w:pPr>
        <w:pStyle w:val="Body"/>
        <w:spacing w:after="0"/>
        <w:rPr>
          <w:rFonts w:ascii="Arial" w:hAnsi="Arial" w:cs="Arial"/>
        </w:rPr>
      </w:pPr>
      <w:r>
        <w:rPr>
          <w:rFonts w:ascii="Arial" w:hAnsi="Arial" w:cs="Arial"/>
        </w:rPr>
        <w:t xml:space="preserve">The percentage of </w:t>
      </w:r>
      <w:r w:rsidRPr="00583112">
        <w:rPr>
          <w:rFonts w:ascii="Arial" w:hAnsi="Arial" w:cs="Arial"/>
          <w:lang w:val="en-GB"/>
        </w:rPr>
        <w:t>DPPH•</w:t>
      </w:r>
      <w:r>
        <w:rPr>
          <w:rFonts w:ascii="Arial" w:hAnsi="Arial" w:cs="Arial"/>
          <w:lang w:val="en-GB"/>
        </w:rPr>
        <w:t xml:space="preserve"> radical reduction (PR) was calculated for each concentration using </w:t>
      </w:r>
      <w:r w:rsidR="00BD7656">
        <w:rPr>
          <w:rFonts w:ascii="Arial" w:hAnsi="Arial" w:cs="Arial"/>
          <w:lang w:val="en-GB"/>
        </w:rPr>
        <w:t xml:space="preserve">the following formula: </w:t>
      </w:r>
    </w:p>
    <w:p w14:paraId="297A4715" w14:textId="77777777" w:rsidR="00BD7656" w:rsidRDefault="00BD7656" w:rsidP="00BD7656">
      <w:pPr>
        <w:jc w:val="center"/>
        <w:rPr>
          <w:rFonts w:ascii="Arial" w:hAnsi="Arial" w:cs="Arial"/>
          <w:bCs/>
        </w:rPr>
      </w:pPr>
      <w:r w:rsidRPr="00BD7656">
        <w:rPr>
          <w:rFonts w:ascii="Arial" w:hAnsi="Arial" w:cs="Arial"/>
          <w:bCs/>
        </w:rPr>
        <w:t>PR (%) = (1 -</w:t>
      </w:r>
      <m:oMath>
        <m:r>
          <w:rPr>
            <w:rFonts w:ascii="Cambria Math" w:hAnsi="Cambria Math" w:cs="Arial"/>
          </w:rPr>
          <m:t xml:space="preserve"> </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A</m:t>
                </m:r>
              </m:e>
              <m:sub>
                <m:r>
                  <w:rPr>
                    <w:rFonts w:ascii="Cambria Math" w:hAnsi="Cambria Math" w:cs="Arial"/>
                  </w:rPr>
                  <m:t>e</m:t>
                </m:r>
              </m:sub>
            </m:sSub>
          </m:num>
          <m:den>
            <m:sSub>
              <m:sSubPr>
                <m:ctrlPr>
                  <w:rPr>
                    <w:rFonts w:ascii="Cambria Math" w:hAnsi="Cambria Math" w:cs="Arial"/>
                    <w:bCs/>
                    <w:i/>
                  </w:rPr>
                </m:ctrlPr>
              </m:sSubPr>
              <m:e>
                <m:r>
                  <w:rPr>
                    <w:rFonts w:ascii="Cambria Math" w:hAnsi="Cambria Math" w:cs="Arial"/>
                  </w:rPr>
                  <m:t>A</m:t>
                </m:r>
              </m:e>
              <m:sub>
                <m:r>
                  <w:rPr>
                    <w:rFonts w:ascii="Cambria Math" w:hAnsi="Cambria Math" w:cs="Arial"/>
                  </w:rPr>
                  <m:t>b</m:t>
                </m:r>
              </m:sub>
            </m:sSub>
          </m:den>
        </m:f>
      </m:oMath>
      <w:r w:rsidRPr="00BD7656">
        <w:rPr>
          <w:rFonts w:ascii="Arial" w:hAnsi="Arial" w:cs="Arial"/>
          <w:bCs/>
        </w:rPr>
        <w:t xml:space="preserve"> ) </w:t>
      </w:r>
      <m:oMath>
        <m:r>
          <w:rPr>
            <w:rFonts w:ascii="Cambria Math" w:hAnsi="Cambria Math" w:cs="Arial"/>
          </w:rPr>
          <m:t>×</m:t>
        </m:r>
      </m:oMath>
      <w:r w:rsidRPr="00BD7656">
        <w:rPr>
          <w:rFonts w:ascii="Arial" w:hAnsi="Arial" w:cs="Arial"/>
          <w:bCs/>
        </w:rPr>
        <w:t>100</w:t>
      </w:r>
    </w:p>
    <w:p w14:paraId="5EA9FDCD" w14:textId="77777777" w:rsidR="00BD7656" w:rsidRDefault="00BD7656" w:rsidP="00BD7656">
      <w:pPr>
        <w:jc w:val="center"/>
        <w:rPr>
          <w:rFonts w:ascii="Arial" w:hAnsi="Arial" w:cs="Arial"/>
          <w:bCs/>
        </w:rPr>
      </w:pPr>
    </w:p>
    <w:p w14:paraId="4167E33D" w14:textId="77777777" w:rsidR="00BD7656" w:rsidRPr="001019B6" w:rsidRDefault="00BD7656" w:rsidP="00BD7656">
      <w:pPr>
        <w:ind w:right="-766"/>
        <w:rPr>
          <w:rFonts w:ascii="Times New Roman" w:hAnsi="Times New Roman"/>
          <w:lang w:val="en-GB"/>
        </w:rPr>
      </w:pPr>
      <w:r w:rsidRPr="001019B6">
        <w:rPr>
          <w:rFonts w:ascii="Times New Roman" w:hAnsi="Times New Roman"/>
          <w:lang w:val="en-GB"/>
        </w:rPr>
        <w:lastRenderedPageBreak/>
        <w:t xml:space="preserve">Where:  </w:t>
      </w:r>
    </w:p>
    <w:p w14:paraId="4985851C" w14:textId="77777777" w:rsidR="00BD7656" w:rsidRPr="001019B6" w:rsidRDefault="00BD7656" w:rsidP="00BD7656">
      <w:pPr>
        <w:ind w:right="-766"/>
        <w:rPr>
          <w:rFonts w:ascii="Times New Roman" w:hAnsi="Times New Roman"/>
          <w:lang w:val="en-GB"/>
        </w:rPr>
      </w:pPr>
      <w:r w:rsidRPr="001019B6">
        <w:rPr>
          <w:rFonts w:ascii="Times New Roman" w:hAnsi="Times New Roman"/>
          <w:lang w:val="en-GB"/>
        </w:rPr>
        <w:t xml:space="preserve">- Ae = absorbance of the sample (extract)  </w:t>
      </w:r>
    </w:p>
    <w:p w14:paraId="225056DE" w14:textId="77777777" w:rsidR="00BD7656" w:rsidRDefault="00BD7656" w:rsidP="00BD7656">
      <w:pPr>
        <w:ind w:right="-766"/>
        <w:rPr>
          <w:rFonts w:ascii="Times New Roman" w:hAnsi="Times New Roman"/>
        </w:rPr>
      </w:pPr>
      <w:r w:rsidRPr="001A0F3F">
        <w:rPr>
          <w:rFonts w:ascii="Times New Roman" w:hAnsi="Times New Roman"/>
        </w:rPr>
        <w:t>- Ab = absorbance of the blank</w:t>
      </w:r>
    </w:p>
    <w:p w14:paraId="6EB6E3DA" w14:textId="77777777" w:rsidR="00BD7656" w:rsidRPr="00BD7656" w:rsidRDefault="00BD7656" w:rsidP="00BD7656">
      <w:pPr>
        <w:rPr>
          <w:rFonts w:ascii="Arial" w:hAnsi="Arial" w:cs="Arial"/>
          <w:bCs/>
        </w:rPr>
      </w:pPr>
    </w:p>
    <w:p w14:paraId="1E379EB0" w14:textId="6AAAE234" w:rsidR="00BD7656" w:rsidRDefault="00BD7656" w:rsidP="00BD7656">
      <w:pPr>
        <w:pStyle w:val="Body"/>
        <w:spacing w:after="0"/>
        <w:rPr>
          <w:rFonts w:ascii="Arial" w:hAnsi="Arial" w:cs="Arial"/>
          <w:b/>
          <w:bCs/>
          <w:i/>
          <w:iCs/>
        </w:rPr>
      </w:pPr>
      <w:r w:rsidRPr="00826016">
        <w:rPr>
          <w:rFonts w:ascii="Arial" w:hAnsi="Arial" w:cs="Arial"/>
          <w:b/>
          <w:bCs/>
          <w:i/>
        </w:rPr>
        <w:t>2.2.</w:t>
      </w:r>
      <w:r>
        <w:rPr>
          <w:rFonts w:ascii="Arial" w:hAnsi="Arial" w:cs="Arial"/>
          <w:b/>
          <w:bCs/>
          <w:i/>
        </w:rPr>
        <w:t>4</w:t>
      </w:r>
      <w:r w:rsidRPr="00826016">
        <w:rPr>
          <w:rFonts w:ascii="Arial" w:hAnsi="Arial" w:cs="Arial"/>
          <w:b/>
          <w:bCs/>
          <w:i/>
        </w:rPr>
        <w:t>.</w:t>
      </w:r>
      <w:r>
        <w:rPr>
          <w:rFonts w:ascii="Arial" w:hAnsi="Arial" w:cs="Arial"/>
          <w:b/>
          <w:bCs/>
          <w:i/>
        </w:rPr>
        <w:t>2</w:t>
      </w:r>
      <w:r w:rsidRPr="00826016">
        <w:rPr>
          <w:rFonts w:ascii="Arial" w:hAnsi="Arial" w:cs="Arial"/>
          <w:b/>
          <w:bCs/>
          <w:i/>
        </w:rPr>
        <w:t xml:space="preserve"> </w:t>
      </w:r>
      <w:r>
        <w:rPr>
          <w:rFonts w:ascii="Arial" w:hAnsi="Arial" w:cs="Arial"/>
          <w:b/>
          <w:bCs/>
          <w:i/>
          <w:iCs/>
        </w:rPr>
        <w:t>FRAP test</w:t>
      </w:r>
    </w:p>
    <w:p w14:paraId="64EE7680" w14:textId="77777777" w:rsidR="00BD7656" w:rsidRPr="00BD7656" w:rsidRDefault="00BD7656" w:rsidP="00BD7656">
      <w:pPr>
        <w:pStyle w:val="Body"/>
        <w:spacing w:after="0"/>
        <w:rPr>
          <w:rFonts w:ascii="Arial" w:hAnsi="Arial" w:cs="Arial"/>
        </w:rPr>
      </w:pPr>
    </w:p>
    <w:p w14:paraId="2ECE30C1" w14:textId="24F9BF97" w:rsidR="00583112" w:rsidRDefault="00BD7656" w:rsidP="00BD7656">
      <w:pPr>
        <w:pStyle w:val="Body"/>
        <w:rPr>
          <w:rFonts w:ascii="Arial" w:hAnsi="Arial" w:cs="Arial"/>
        </w:rPr>
      </w:pPr>
      <w:r w:rsidRPr="00BD7656">
        <w:rPr>
          <w:rFonts w:ascii="Arial" w:hAnsi="Arial" w:cs="Arial"/>
        </w:rPr>
        <w:t>The antioxidant reducing power of the extracts was evaluated using the FRAP (Ferric Reducing Antioxidant Power) method, according to a suitable protocol [</w:t>
      </w:r>
      <w:r w:rsidR="00CC0AB4" w:rsidRPr="00BD7656">
        <w:rPr>
          <w:rFonts w:ascii="Arial" w:hAnsi="Arial" w:cs="Arial"/>
        </w:rPr>
        <w:t>22;</w:t>
      </w:r>
      <w:r w:rsidRPr="00BD7656">
        <w:rPr>
          <w:rFonts w:ascii="Arial" w:hAnsi="Arial" w:cs="Arial"/>
        </w:rPr>
        <w:t xml:space="preserve"> 23].</w:t>
      </w:r>
      <w:r>
        <w:rPr>
          <w:rFonts w:ascii="Arial" w:hAnsi="Arial" w:cs="Arial"/>
        </w:rPr>
        <w:t xml:space="preserve"> </w:t>
      </w:r>
      <w:r w:rsidRPr="00BD7656">
        <w:rPr>
          <w:rFonts w:ascii="Arial" w:hAnsi="Arial" w:cs="Arial"/>
        </w:rPr>
        <w:t>To prepare the FRAP reagent, a mixture of 0.1 M acetate buffer (pH 3.6), 10 mM TPTZ, and 20 mM ferric chloride (10 :1 :1</w:t>
      </w:r>
      <w:r w:rsidR="00CC0AB4" w:rsidRPr="00BD7656">
        <w:rPr>
          <w:rFonts w:ascii="Arial" w:hAnsi="Arial" w:cs="Arial"/>
        </w:rPr>
        <w:t xml:space="preserve">, </w:t>
      </w:r>
      <w:r w:rsidRPr="00BD7656">
        <w:rPr>
          <w:rFonts w:ascii="Arial" w:hAnsi="Arial" w:cs="Arial"/>
        </w:rPr>
        <w:t>v/v) was used. For the assay, 100 µL of each extract (0.25 mg/mL) were added to 3 mL of the freshly prepared FRAP reagent. After 4 minutes, absorbance was measured at 593 nm at room temperature.</w:t>
      </w:r>
      <w:r>
        <w:rPr>
          <w:rFonts w:ascii="Arial" w:hAnsi="Arial" w:cs="Arial"/>
        </w:rPr>
        <w:t xml:space="preserve"> </w:t>
      </w:r>
      <w:r w:rsidRPr="00BD7656">
        <w:rPr>
          <w:rFonts w:ascii="Arial" w:hAnsi="Arial" w:cs="Arial"/>
        </w:rPr>
        <w:t>A calibration curve was established using Trolox as the standard, with a concentration range from 0.00039065 to 1 mg/</w:t>
      </w:r>
      <w:proofErr w:type="spellStart"/>
      <w:r w:rsidRPr="00BD7656">
        <w:rPr>
          <w:rFonts w:ascii="Arial" w:hAnsi="Arial" w:cs="Arial"/>
        </w:rPr>
        <w:t>mL.</w:t>
      </w:r>
      <w:proofErr w:type="spellEnd"/>
      <w:r>
        <w:rPr>
          <w:rFonts w:ascii="Arial" w:hAnsi="Arial" w:cs="Arial"/>
        </w:rPr>
        <w:t xml:space="preserve"> </w:t>
      </w:r>
      <w:r w:rsidRPr="00BD7656">
        <w:rPr>
          <w:rFonts w:ascii="Arial" w:hAnsi="Arial" w:cs="Arial"/>
        </w:rPr>
        <w:t>The antioxidant reducing activity of each sample was expressed in mM Trolox equivalent per gram of dry weight (mM TE/g DW).</w:t>
      </w:r>
    </w:p>
    <w:p w14:paraId="21EE95BC" w14:textId="65CFFD38" w:rsidR="000A7099" w:rsidRPr="00C56BF3" w:rsidRDefault="000A7099" w:rsidP="000A7099">
      <w:pPr>
        <w:pStyle w:val="Body"/>
        <w:spacing w:after="0"/>
        <w:rPr>
          <w:rFonts w:ascii="Arial" w:hAnsi="Arial" w:cs="Arial"/>
          <w:b/>
          <w:bCs/>
          <w:u w:val="single"/>
        </w:rPr>
      </w:pPr>
      <w:r w:rsidRPr="00C56BF3">
        <w:rPr>
          <w:rFonts w:ascii="Arial" w:hAnsi="Arial" w:cs="Arial"/>
          <w:b/>
          <w:u w:val="single"/>
        </w:rPr>
        <w:t xml:space="preserve">2.2.5 </w:t>
      </w:r>
      <w:r w:rsidR="00C56BF3" w:rsidRPr="00C56BF3">
        <w:rPr>
          <w:rFonts w:ascii="Arial" w:hAnsi="Arial" w:cs="Arial"/>
          <w:b/>
          <w:u w:val="single"/>
        </w:rPr>
        <w:t xml:space="preserve">Bacterial activity of the different </w:t>
      </w:r>
      <w:r w:rsidR="00C56BF3" w:rsidRPr="00C56BF3">
        <w:rPr>
          <w:rFonts w:ascii="Arial" w:hAnsi="Arial" w:cs="Arial"/>
          <w:b/>
          <w:bCs/>
          <w:u w:val="single"/>
          <w:lang w:val="en-GB"/>
        </w:rPr>
        <w:t>crude extracts</w:t>
      </w:r>
    </w:p>
    <w:p w14:paraId="0364AEC7" w14:textId="77777777" w:rsidR="00C56BF3" w:rsidRDefault="00C56BF3" w:rsidP="00C56BF3">
      <w:pPr>
        <w:pStyle w:val="Body"/>
        <w:spacing w:after="0"/>
        <w:rPr>
          <w:rFonts w:ascii="Arial" w:hAnsi="Arial" w:cs="Arial"/>
        </w:rPr>
      </w:pPr>
    </w:p>
    <w:p w14:paraId="13957345" w14:textId="66D90E62" w:rsidR="00C56BF3" w:rsidRPr="00826016" w:rsidRDefault="00C56BF3" w:rsidP="00C56BF3">
      <w:pPr>
        <w:pStyle w:val="Body"/>
        <w:spacing w:after="0"/>
        <w:rPr>
          <w:rFonts w:ascii="Arial" w:hAnsi="Arial" w:cs="Arial"/>
          <w:b/>
          <w:bCs/>
        </w:rPr>
      </w:pPr>
      <w:r w:rsidRPr="00826016">
        <w:rPr>
          <w:rFonts w:ascii="Arial" w:hAnsi="Arial" w:cs="Arial"/>
          <w:b/>
          <w:bCs/>
          <w:i/>
        </w:rPr>
        <w:t>2.2.</w:t>
      </w:r>
      <w:r>
        <w:rPr>
          <w:rFonts w:ascii="Arial" w:hAnsi="Arial" w:cs="Arial"/>
          <w:b/>
          <w:bCs/>
          <w:i/>
        </w:rPr>
        <w:t>5</w:t>
      </w:r>
      <w:r w:rsidRPr="00826016">
        <w:rPr>
          <w:rFonts w:ascii="Arial" w:hAnsi="Arial" w:cs="Arial"/>
          <w:b/>
          <w:bCs/>
          <w:i/>
        </w:rPr>
        <w:t xml:space="preserve">.1 </w:t>
      </w:r>
      <w:r w:rsidR="00C41E53">
        <w:rPr>
          <w:rFonts w:ascii="Arial" w:hAnsi="Arial" w:cs="Arial"/>
          <w:b/>
          <w:bCs/>
          <w:i/>
        </w:rPr>
        <w:t xml:space="preserve">Preparation of </w:t>
      </w:r>
      <w:r w:rsidR="00C41E53" w:rsidRPr="00C41E53">
        <w:rPr>
          <w:rFonts w:ascii="Arial" w:hAnsi="Arial" w:cs="Arial"/>
          <w:b/>
          <w:bCs/>
          <w:i/>
        </w:rPr>
        <w:t>the Bacterial Inoculum</w:t>
      </w:r>
    </w:p>
    <w:p w14:paraId="1318FB32" w14:textId="77777777" w:rsidR="00C56BF3" w:rsidRDefault="00C56BF3" w:rsidP="00BD7656">
      <w:pPr>
        <w:pStyle w:val="Body"/>
        <w:rPr>
          <w:rFonts w:ascii="Arial" w:hAnsi="Arial" w:cs="Arial"/>
        </w:rPr>
      </w:pPr>
    </w:p>
    <w:p w14:paraId="134491E6" w14:textId="22F7FF7F" w:rsidR="00BD7656" w:rsidRDefault="00C41E53" w:rsidP="00441B6F">
      <w:pPr>
        <w:pStyle w:val="Body"/>
        <w:spacing w:after="0"/>
        <w:rPr>
          <w:rFonts w:ascii="Arial" w:hAnsi="Arial" w:cs="Arial"/>
          <w:lang w:val="en-GB"/>
        </w:rPr>
      </w:pPr>
      <w:r w:rsidRPr="00C41E53">
        <w:rPr>
          <w:rFonts w:ascii="Arial" w:hAnsi="Arial" w:cs="Arial"/>
          <w:lang w:val="en-GB"/>
        </w:rPr>
        <w:t>Bacterial strains were pre-cultured on selective media at 37°C for 24 hours. For each strain, one to two well-isolated colonies with homogeneous morphology were collected and suspended in 2 mL of sterile physiological water. The suspension was homogenized using a vortex, and its turbidity was adjusted to match the 0.5 McFarland standard using a densitometer. This standardized inoculum was immediately used to seed Mueller-Hinton (MH) agar, in accordance with the EUCAST-CASFM (2024) guidelines [24].</w:t>
      </w:r>
    </w:p>
    <w:p w14:paraId="54AA48DE" w14:textId="77777777" w:rsidR="00C41E53" w:rsidRDefault="00C41E53" w:rsidP="00441B6F">
      <w:pPr>
        <w:pStyle w:val="Body"/>
        <w:spacing w:after="0"/>
        <w:rPr>
          <w:rFonts w:ascii="Arial" w:hAnsi="Arial" w:cs="Arial"/>
          <w:lang w:val="en-GB"/>
        </w:rPr>
      </w:pPr>
    </w:p>
    <w:p w14:paraId="449D74B2" w14:textId="1599C19E" w:rsidR="00C41E53" w:rsidRDefault="00C41E53" w:rsidP="00C41E53">
      <w:pPr>
        <w:pStyle w:val="Body"/>
        <w:spacing w:after="0"/>
        <w:rPr>
          <w:rFonts w:ascii="Arial" w:hAnsi="Arial" w:cs="Arial"/>
          <w:b/>
          <w:lang w:eastAsia="fr-FR"/>
        </w:rPr>
      </w:pPr>
      <w:r w:rsidRPr="00FE3738">
        <w:rPr>
          <w:rFonts w:ascii="Arial" w:hAnsi="Arial" w:cs="Arial"/>
          <w:b/>
          <w:bCs/>
          <w:i/>
        </w:rPr>
        <w:t xml:space="preserve">2.2.5.2 </w:t>
      </w:r>
      <w:r w:rsidR="00FE3738" w:rsidRPr="00FE3738">
        <w:rPr>
          <w:rFonts w:ascii="Arial" w:hAnsi="Arial" w:cs="Arial"/>
          <w:b/>
          <w:bCs/>
          <w:i/>
        </w:rPr>
        <w:t xml:space="preserve">Evaluation of antibacterial </w:t>
      </w:r>
      <w:r w:rsidR="00FE3738" w:rsidRPr="00FE3738">
        <w:rPr>
          <w:rFonts w:ascii="Arial" w:hAnsi="Arial" w:cs="Arial"/>
          <w:b/>
          <w:lang w:eastAsia="fr-FR"/>
        </w:rPr>
        <w:t>activity</w:t>
      </w:r>
    </w:p>
    <w:p w14:paraId="15FD1FF2" w14:textId="77777777" w:rsidR="00FE3738" w:rsidRDefault="00FE3738" w:rsidP="00C41E53">
      <w:pPr>
        <w:pStyle w:val="Body"/>
        <w:spacing w:after="0"/>
        <w:rPr>
          <w:rFonts w:ascii="Arial" w:hAnsi="Arial" w:cs="Arial"/>
          <w:b/>
          <w:lang w:eastAsia="fr-FR"/>
        </w:rPr>
      </w:pPr>
    </w:p>
    <w:p w14:paraId="0C98E46A" w14:textId="149AB4F2" w:rsidR="00FE3738" w:rsidRPr="00FE3738" w:rsidRDefault="00FE3738" w:rsidP="00C41E53">
      <w:pPr>
        <w:pStyle w:val="Body"/>
        <w:spacing w:after="0"/>
        <w:rPr>
          <w:rFonts w:ascii="Arial" w:hAnsi="Arial" w:cs="Arial"/>
        </w:rPr>
      </w:pPr>
      <w:r w:rsidRPr="00FE3738">
        <w:rPr>
          <w:rFonts w:ascii="Arial" w:hAnsi="Arial" w:cs="Arial"/>
        </w:rPr>
        <w:t>The antibacterial activity of the extracts was evaluated using two complementary methods: agar diffusion and liquid microdilution, after performing the sterility test. For this purpose, a stock solution of each extract was prepared at a concentration of 100 mg/mL in sterile distilled water, homogenized using a vortex, and then serially diluted twofold to obtain a range of concentrations.</w:t>
      </w:r>
    </w:p>
    <w:p w14:paraId="198CA90C" w14:textId="77777777" w:rsidR="00C41E53" w:rsidRDefault="00C41E53" w:rsidP="00441B6F">
      <w:pPr>
        <w:pStyle w:val="Body"/>
        <w:spacing w:after="0"/>
        <w:rPr>
          <w:rFonts w:ascii="Arial" w:hAnsi="Arial" w:cs="Arial"/>
          <w:lang w:val="en-GB"/>
        </w:rPr>
      </w:pPr>
    </w:p>
    <w:p w14:paraId="687B3EFE" w14:textId="77777777" w:rsidR="00FE3738" w:rsidRPr="00FE3738" w:rsidRDefault="00FE3738" w:rsidP="00FE3738">
      <w:pPr>
        <w:pStyle w:val="Body"/>
        <w:rPr>
          <w:rFonts w:ascii="Arial" w:hAnsi="Arial" w:cs="Arial"/>
          <w:lang w:val="en-GB"/>
        </w:rPr>
      </w:pPr>
      <w:r w:rsidRPr="00FE3738">
        <w:rPr>
          <w:rFonts w:ascii="Arial" w:hAnsi="Arial" w:cs="Arial"/>
          <w:lang w:val="en-GB"/>
        </w:rPr>
        <w:t>a)</w:t>
      </w:r>
      <w:r w:rsidRPr="00FE3738">
        <w:rPr>
          <w:rFonts w:ascii="Arial" w:hAnsi="Arial" w:cs="Arial"/>
          <w:lang w:val="en-GB"/>
        </w:rPr>
        <w:tab/>
        <w:t>Agar Diffusion Method</w:t>
      </w:r>
    </w:p>
    <w:p w14:paraId="09FE31CD" w14:textId="5B2C7BF3" w:rsidR="00FE3738" w:rsidRDefault="00FE3738" w:rsidP="00FE3738">
      <w:pPr>
        <w:pStyle w:val="Body"/>
        <w:spacing w:after="0"/>
        <w:rPr>
          <w:rFonts w:ascii="Arial" w:hAnsi="Arial" w:cs="Arial"/>
          <w:lang w:val="en-GB"/>
        </w:rPr>
      </w:pPr>
      <w:r w:rsidRPr="00FE3738">
        <w:rPr>
          <w:rFonts w:ascii="Arial" w:hAnsi="Arial" w:cs="Arial"/>
          <w:lang w:val="en-GB"/>
        </w:rPr>
        <w:t xml:space="preserve">This qualitative method was used to visualize the inhibitory effect by measuring the diameter of inhibition zones After plating Mueller-Hinton agar with the standardised inoculum, wells were drilled and filled with an identical volume (50 </w:t>
      </w:r>
      <w:proofErr w:type="spellStart"/>
      <w:r w:rsidRPr="00FE3738">
        <w:rPr>
          <w:rFonts w:ascii="Arial" w:hAnsi="Arial" w:cs="Arial"/>
          <w:lang w:val="en-GB"/>
        </w:rPr>
        <w:t>μL</w:t>
      </w:r>
      <w:proofErr w:type="spellEnd"/>
      <w:r w:rsidRPr="00FE3738">
        <w:rPr>
          <w:rFonts w:ascii="Arial" w:hAnsi="Arial" w:cs="Arial"/>
          <w:lang w:val="en-GB"/>
        </w:rPr>
        <w:t>) of each extract concentration. Negative (sterile distilled water) and positive (standard antibiotics) controls were included. The plates were incubated at 37°C for 24 hours. An extract or negative control is considered active if the inhibition diameter is greater than or equal to 9 mm [25]. The activity of the antibiotic controls was interpreted according to the EUCAST-CASFM (2024) guidelines [24].</w:t>
      </w:r>
    </w:p>
    <w:p w14:paraId="5E399378" w14:textId="77777777" w:rsidR="002531CD" w:rsidRDefault="002531CD" w:rsidP="00FE3738">
      <w:pPr>
        <w:pStyle w:val="Body"/>
        <w:spacing w:after="0"/>
        <w:rPr>
          <w:rFonts w:ascii="Arial" w:hAnsi="Arial" w:cs="Arial"/>
          <w:lang w:val="en-GB"/>
        </w:rPr>
      </w:pPr>
    </w:p>
    <w:p w14:paraId="1732B2E7" w14:textId="77777777" w:rsidR="002531CD" w:rsidRPr="002531CD" w:rsidRDefault="002531CD" w:rsidP="002531CD">
      <w:pPr>
        <w:pStyle w:val="Body"/>
        <w:rPr>
          <w:rFonts w:ascii="Arial" w:hAnsi="Arial" w:cs="Arial"/>
          <w:lang w:val="en-GB"/>
        </w:rPr>
      </w:pPr>
      <w:r w:rsidRPr="002531CD">
        <w:rPr>
          <w:rFonts w:ascii="Arial" w:hAnsi="Arial" w:cs="Arial"/>
          <w:lang w:val="en-GB"/>
        </w:rPr>
        <w:t>b)</w:t>
      </w:r>
      <w:r w:rsidRPr="002531CD">
        <w:rPr>
          <w:rFonts w:ascii="Arial" w:hAnsi="Arial" w:cs="Arial"/>
          <w:lang w:val="en-GB"/>
        </w:rPr>
        <w:tab/>
        <w:t>Microdilution Method in Liquid Medium</w:t>
      </w:r>
    </w:p>
    <w:p w14:paraId="5483D7D6" w14:textId="0F0618B2" w:rsidR="00FE3738" w:rsidRDefault="002531CD" w:rsidP="002531CD">
      <w:pPr>
        <w:pStyle w:val="Body"/>
        <w:spacing w:after="0"/>
        <w:rPr>
          <w:rFonts w:ascii="Arial" w:hAnsi="Arial" w:cs="Arial"/>
          <w:lang w:val="en-GB"/>
        </w:rPr>
      </w:pPr>
      <w:r w:rsidRPr="002531CD">
        <w:rPr>
          <w:rFonts w:ascii="Arial" w:hAnsi="Arial" w:cs="Arial"/>
          <w:lang w:val="en-GB"/>
        </w:rPr>
        <w:t>This quantitative method was used to determine the Minimum Inhibitory Concentration (MIC), defined as the lowest concentration of extract that prevents any visible bacterial growth after incubation. The minimum bactericidal concentration (MBC) was determined by plating wells with no visible growth onto fresh Mueller-Hinton agar. The MBC corresponds to the lowest concentration that eliminates at least 99.9% of the bacterial cells. The MBC/MIC ratio was calculated to characterize the mode of action of the extracts. A ratio of MBC/MIC ≤ 2 indicates a bactericidal effect, whereas a ratio &gt; 2 suggests a bacteriostatic effect [26].</w:t>
      </w:r>
    </w:p>
    <w:p w14:paraId="6FF63906" w14:textId="77777777" w:rsidR="002531CD" w:rsidRDefault="002531CD" w:rsidP="002531CD">
      <w:pPr>
        <w:pStyle w:val="Body"/>
        <w:spacing w:after="0"/>
        <w:rPr>
          <w:rFonts w:ascii="Arial" w:hAnsi="Arial" w:cs="Arial"/>
          <w:lang w:val="en-GB"/>
        </w:rPr>
      </w:pPr>
    </w:p>
    <w:p w14:paraId="3276C4BB" w14:textId="27B1FC2F" w:rsidR="002531CD" w:rsidRDefault="002531CD" w:rsidP="002531CD">
      <w:pPr>
        <w:pStyle w:val="Body"/>
        <w:spacing w:after="0"/>
        <w:rPr>
          <w:rFonts w:ascii="Arial" w:hAnsi="Arial" w:cs="Arial"/>
          <w:b/>
          <w:u w:val="single"/>
        </w:rPr>
      </w:pPr>
      <w:r w:rsidRPr="00C56BF3">
        <w:rPr>
          <w:rFonts w:ascii="Arial" w:hAnsi="Arial" w:cs="Arial"/>
          <w:b/>
          <w:u w:val="single"/>
        </w:rPr>
        <w:t>2.2.</w:t>
      </w:r>
      <w:r>
        <w:rPr>
          <w:rFonts w:ascii="Arial" w:hAnsi="Arial" w:cs="Arial"/>
          <w:b/>
          <w:u w:val="single"/>
        </w:rPr>
        <w:t>6</w:t>
      </w:r>
      <w:r w:rsidRPr="00C56BF3">
        <w:rPr>
          <w:rFonts w:ascii="Arial" w:hAnsi="Arial" w:cs="Arial"/>
          <w:b/>
          <w:u w:val="single"/>
        </w:rPr>
        <w:t xml:space="preserve"> </w:t>
      </w:r>
      <w:r>
        <w:rPr>
          <w:rFonts w:ascii="Arial" w:hAnsi="Arial" w:cs="Arial"/>
          <w:b/>
          <w:u w:val="single"/>
        </w:rPr>
        <w:t>Statistical analysis</w:t>
      </w:r>
    </w:p>
    <w:p w14:paraId="0BE08584" w14:textId="77777777" w:rsidR="002531CD" w:rsidRDefault="002531CD" w:rsidP="002531CD">
      <w:pPr>
        <w:pStyle w:val="Body"/>
        <w:spacing w:after="0"/>
        <w:rPr>
          <w:rFonts w:ascii="Arial" w:hAnsi="Arial" w:cs="Arial"/>
          <w:bCs/>
        </w:rPr>
      </w:pPr>
    </w:p>
    <w:p w14:paraId="5D063846" w14:textId="1E1D467D" w:rsidR="002531CD" w:rsidRDefault="002531CD" w:rsidP="002531CD">
      <w:pPr>
        <w:pStyle w:val="Body"/>
        <w:spacing w:after="0"/>
        <w:rPr>
          <w:rFonts w:ascii="Arial" w:hAnsi="Arial" w:cs="Arial"/>
          <w:bCs/>
          <w:lang w:val="en-GB"/>
        </w:rPr>
      </w:pPr>
      <w:r w:rsidRPr="002531CD">
        <w:rPr>
          <w:rFonts w:ascii="Arial" w:hAnsi="Arial" w:cs="Arial"/>
          <w:bCs/>
          <w:lang w:val="en-GB"/>
        </w:rPr>
        <w:lastRenderedPageBreak/>
        <w:t>A one-way analysis of variance (ANOVA) was performed using GraphPad Prism software version 8 (USA). Differences between means were considered statistically significant at a 0.01% level. All experimental measurements were carried out in triplicate, and results were expressed as mean ± standard deviation (SD).</w:t>
      </w:r>
    </w:p>
    <w:p w14:paraId="5C742328" w14:textId="77777777" w:rsidR="002531CD" w:rsidRPr="002531CD" w:rsidRDefault="002531CD" w:rsidP="002531CD">
      <w:pPr>
        <w:pStyle w:val="Body"/>
        <w:spacing w:after="0"/>
        <w:rPr>
          <w:rFonts w:ascii="Arial" w:hAnsi="Arial" w:cs="Arial"/>
          <w:bCs/>
          <w:lang w:val="en-GB"/>
        </w:rPr>
      </w:pPr>
    </w:p>
    <w:p w14:paraId="65B9DA7F" w14:textId="77777777" w:rsidR="002531CD" w:rsidRPr="002531CD" w:rsidRDefault="002531CD" w:rsidP="002531CD">
      <w:pPr>
        <w:pStyle w:val="Body"/>
        <w:spacing w:after="0"/>
        <w:rPr>
          <w:rFonts w:ascii="Arial" w:hAnsi="Arial" w:cs="Arial"/>
        </w:rPr>
      </w:pPr>
    </w:p>
    <w:p w14:paraId="70029D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212190" w14:textId="47B6B412" w:rsidR="00740428" w:rsidRDefault="007B05B6" w:rsidP="007B05B6">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740428">
        <w:rPr>
          <w:rFonts w:ascii="Arial" w:hAnsi="Arial" w:cs="Arial"/>
          <w:b/>
          <w:sz w:val="22"/>
        </w:rPr>
        <w:t>Yield of crude extracts</w:t>
      </w:r>
    </w:p>
    <w:p w14:paraId="77CC2134" w14:textId="77777777" w:rsidR="007B05B6" w:rsidRDefault="007B05B6" w:rsidP="007B05B6">
      <w:pPr>
        <w:pStyle w:val="Body"/>
        <w:spacing w:after="0"/>
        <w:rPr>
          <w:rFonts w:ascii="Arial" w:hAnsi="Arial" w:cs="Arial"/>
          <w:b/>
          <w:sz w:val="22"/>
        </w:rPr>
      </w:pPr>
    </w:p>
    <w:p w14:paraId="14413591" w14:textId="4BD0EDC1" w:rsidR="007B05B6" w:rsidRDefault="007B05B6" w:rsidP="007B05B6">
      <w:pPr>
        <w:pStyle w:val="Body"/>
        <w:spacing w:after="0"/>
        <w:rPr>
          <w:rFonts w:ascii="Arial" w:hAnsi="Arial" w:cs="Arial"/>
        </w:rPr>
      </w:pPr>
      <w:r w:rsidRPr="007B05B6">
        <w:rPr>
          <w:rFonts w:ascii="Arial" w:hAnsi="Arial" w:cs="Arial"/>
        </w:rPr>
        <w:t>Crude extracts were obtained by maceration in 80% hydroethanolic solution. Extraction yields of phytocompounds ranged from 9 ± 0.76% for seeds (SE) to 37.67 ± 1.45% for trunk bark (TE) (Table 1).</w:t>
      </w:r>
    </w:p>
    <w:p w14:paraId="070C496D" w14:textId="77777777" w:rsidR="007B05B6" w:rsidRDefault="007B05B6" w:rsidP="007B05B6">
      <w:pPr>
        <w:ind w:right="-766"/>
        <w:jc w:val="both"/>
        <w:rPr>
          <w:rFonts w:ascii="Times New Roman" w:hAnsi="Times New Roman"/>
          <w:b/>
          <w:bCs/>
        </w:rPr>
      </w:pPr>
    </w:p>
    <w:p w14:paraId="1A7EB284" w14:textId="11F03AC4" w:rsidR="007B05B6" w:rsidRPr="00355C26" w:rsidRDefault="007B05B6" w:rsidP="007B05B6">
      <w:pPr>
        <w:ind w:right="-766"/>
        <w:jc w:val="both"/>
        <w:rPr>
          <w:rFonts w:ascii="Arial" w:hAnsi="Arial" w:cs="Arial"/>
          <w:b/>
          <w:bCs/>
        </w:rPr>
      </w:pPr>
      <w:r w:rsidRPr="00355C26">
        <w:rPr>
          <w:rFonts w:ascii="Arial" w:hAnsi="Arial" w:cs="Arial"/>
          <w:b/>
          <w:bCs/>
        </w:rPr>
        <w:t xml:space="preserve">Table </w:t>
      </w:r>
      <w:r w:rsidR="00740428" w:rsidRPr="00355C26">
        <w:rPr>
          <w:rFonts w:ascii="Arial" w:hAnsi="Arial" w:cs="Arial"/>
          <w:b/>
          <w:bCs/>
        </w:rPr>
        <w:t>1</w:t>
      </w:r>
      <w:r w:rsidR="00355C26" w:rsidRPr="00355C26">
        <w:rPr>
          <w:rFonts w:ascii="Arial" w:hAnsi="Arial" w:cs="Arial"/>
          <w:b/>
          <w:bCs/>
        </w:rPr>
        <w:t xml:space="preserve">. </w:t>
      </w:r>
      <w:r w:rsidRPr="00355C26">
        <w:rPr>
          <w:rFonts w:ascii="Arial" w:hAnsi="Arial" w:cs="Arial"/>
          <w:b/>
          <w:bCs/>
        </w:rPr>
        <w:t>Yield of crude extracts</w:t>
      </w:r>
    </w:p>
    <w:p w14:paraId="769B0046" w14:textId="77777777" w:rsidR="007B05B6" w:rsidRPr="0073290D" w:rsidRDefault="007B05B6" w:rsidP="007B05B6">
      <w:pPr>
        <w:ind w:right="-766"/>
        <w:jc w:val="both"/>
        <w:rPr>
          <w:rFonts w:ascii="Times New Roman" w:hAnsi="Times New Roman"/>
        </w:rPr>
      </w:pPr>
    </w:p>
    <w:tbl>
      <w:tblPr>
        <w:tblStyle w:val="PlainTable2"/>
        <w:tblW w:w="8534" w:type="dxa"/>
        <w:tblLook w:val="04A0" w:firstRow="1" w:lastRow="0" w:firstColumn="1" w:lastColumn="0" w:noHBand="0" w:noVBand="1"/>
      </w:tblPr>
      <w:tblGrid>
        <w:gridCol w:w="2268"/>
        <w:gridCol w:w="2127"/>
        <w:gridCol w:w="2268"/>
        <w:gridCol w:w="1871"/>
      </w:tblGrid>
      <w:tr w:rsidR="007B05B6" w:rsidRPr="0073290D" w14:paraId="0B4FF8B8" w14:textId="77777777" w:rsidTr="0017551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268" w:type="dxa"/>
          </w:tcPr>
          <w:p w14:paraId="3AEAC665" w14:textId="77777777" w:rsidR="007B05B6" w:rsidRPr="00355C26" w:rsidRDefault="007B05B6" w:rsidP="00175510">
            <w:pPr>
              <w:ind w:right="-766"/>
              <w:rPr>
                <w:rFonts w:ascii="Times New Roman" w:hAnsi="Times New Roman" w:cs="Times New Roman"/>
                <w:lang w:val="en-CA"/>
              </w:rPr>
            </w:pPr>
          </w:p>
        </w:tc>
        <w:tc>
          <w:tcPr>
            <w:tcW w:w="2127" w:type="dxa"/>
          </w:tcPr>
          <w:p w14:paraId="5BC9DBEB" w14:textId="77777777" w:rsidR="007B05B6" w:rsidRPr="006B241D" w:rsidRDefault="007B05B6" w:rsidP="00175510">
            <w:pPr>
              <w:ind w:right="-7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241D">
              <w:rPr>
                <w:rFonts w:ascii="Times New Roman" w:hAnsi="Times New Roman" w:cs="Times New Roman"/>
              </w:rPr>
              <w:t>TE</w:t>
            </w:r>
          </w:p>
        </w:tc>
        <w:tc>
          <w:tcPr>
            <w:tcW w:w="2268" w:type="dxa"/>
          </w:tcPr>
          <w:p w14:paraId="6A06AE4B" w14:textId="77777777" w:rsidR="007B05B6" w:rsidRPr="006B241D" w:rsidRDefault="007B05B6" w:rsidP="00175510">
            <w:pPr>
              <w:ind w:right="-7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241D">
              <w:rPr>
                <w:rFonts w:ascii="Times New Roman" w:hAnsi="Times New Roman" w:cs="Times New Roman"/>
              </w:rPr>
              <w:t>LE</w:t>
            </w:r>
          </w:p>
        </w:tc>
        <w:tc>
          <w:tcPr>
            <w:tcW w:w="1871" w:type="dxa"/>
          </w:tcPr>
          <w:p w14:paraId="1D5970FA" w14:textId="77777777" w:rsidR="007B05B6" w:rsidRPr="0073290D" w:rsidRDefault="007B05B6" w:rsidP="00175510">
            <w:pPr>
              <w:ind w:right="-76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241D">
              <w:rPr>
                <w:rFonts w:ascii="Times New Roman" w:hAnsi="Times New Roman" w:cs="Times New Roman"/>
              </w:rPr>
              <w:t>SE</w:t>
            </w:r>
          </w:p>
        </w:tc>
      </w:tr>
      <w:tr w:rsidR="007B05B6" w:rsidRPr="0073290D" w14:paraId="786EF960" w14:textId="77777777" w:rsidTr="00175510">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68" w:type="dxa"/>
          </w:tcPr>
          <w:p w14:paraId="160572C7" w14:textId="77777777" w:rsidR="007B05B6" w:rsidRPr="0073290D" w:rsidRDefault="007B05B6" w:rsidP="00175510">
            <w:pPr>
              <w:ind w:right="-766"/>
              <w:rPr>
                <w:rFonts w:ascii="Times New Roman" w:hAnsi="Times New Roman" w:cs="Times New Roman"/>
              </w:rPr>
            </w:pPr>
            <w:proofErr w:type="spellStart"/>
            <w:r>
              <w:rPr>
                <w:rFonts w:ascii="Times New Roman" w:hAnsi="Times New Roman" w:cs="Times New Roman"/>
              </w:rPr>
              <w:t>Yield</w:t>
            </w:r>
            <w:proofErr w:type="spellEnd"/>
            <w:r w:rsidRPr="0073290D">
              <w:rPr>
                <w:rFonts w:ascii="Times New Roman" w:hAnsi="Times New Roman" w:cs="Times New Roman"/>
              </w:rPr>
              <w:t xml:space="preserve"> (%)</w:t>
            </w:r>
          </w:p>
        </w:tc>
        <w:tc>
          <w:tcPr>
            <w:tcW w:w="2127" w:type="dxa"/>
          </w:tcPr>
          <w:p w14:paraId="6A10FE27" w14:textId="77777777" w:rsidR="007B05B6" w:rsidRPr="0073290D" w:rsidRDefault="007B05B6" w:rsidP="00175510">
            <w:pPr>
              <w:ind w:right="-7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3290D">
              <w:rPr>
                <w:rFonts w:ascii="Times New Roman" w:hAnsi="Times New Roman" w:cs="Times New Roman"/>
              </w:rPr>
              <w:t>37,67 ± 1,45</w:t>
            </w:r>
          </w:p>
        </w:tc>
        <w:tc>
          <w:tcPr>
            <w:tcW w:w="2268" w:type="dxa"/>
          </w:tcPr>
          <w:p w14:paraId="28F31169" w14:textId="77777777" w:rsidR="007B05B6" w:rsidRPr="0073290D" w:rsidRDefault="007B05B6" w:rsidP="00175510">
            <w:pPr>
              <w:ind w:right="-7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3290D">
              <w:rPr>
                <w:rFonts w:ascii="Times New Roman" w:hAnsi="Times New Roman" w:cs="Times New Roman"/>
              </w:rPr>
              <w:t>17,75</w:t>
            </w:r>
            <w:r w:rsidRPr="0073290D">
              <w:t xml:space="preserve"> </w:t>
            </w:r>
            <w:r w:rsidRPr="0073290D">
              <w:rPr>
                <w:rFonts w:ascii="Times New Roman" w:hAnsi="Times New Roman" w:cs="Times New Roman"/>
              </w:rPr>
              <w:t>±1,52</w:t>
            </w:r>
          </w:p>
        </w:tc>
        <w:tc>
          <w:tcPr>
            <w:tcW w:w="1871" w:type="dxa"/>
          </w:tcPr>
          <w:p w14:paraId="0FEFAA8F" w14:textId="77777777" w:rsidR="007B05B6" w:rsidRPr="0073290D" w:rsidRDefault="007B05B6" w:rsidP="00175510">
            <w:pPr>
              <w:ind w:right="-7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3290D">
              <w:rPr>
                <w:rFonts w:ascii="Times New Roman" w:hAnsi="Times New Roman" w:cs="Times New Roman"/>
              </w:rPr>
              <w:t>9 ± 0,76</w:t>
            </w:r>
          </w:p>
        </w:tc>
      </w:tr>
    </w:tbl>
    <w:p w14:paraId="5442F27A" w14:textId="77777777" w:rsidR="007B05B6" w:rsidRPr="0073290D" w:rsidRDefault="007B05B6" w:rsidP="007B05B6">
      <w:pPr>
        <w:ind w:right="-766"/>
        <w:rPr>
          <w:rFonts w:ascii="Times New Roman" w:hAnsi="Times New Roman"/>
        </w:rPr>
      </w:pPr>
      <w:r w:rsidRPr="006B241D">
        <w:rPr>
          <w:rFonts w:ascii="Times New Roman" w:hAnsi="Times New Roman"/>
          <w:b/>
          <w:bCs/>
        </w:rPr>
        <w:t>(TE</w:t>
      </w:r>
      <w:proofErr w:type="gramStart"/>
      <w:r w:rsidRPr="006B241D">
        <w:rPr>
          <w:rFonts w:ascii="Times New Roman" w:hAnsi="Times New Roman"/>
          <w:b/>
          <w:bCs/>
        </w:rPr>
        <w:t>)</w:t>
      </w:r>
      <w:r w:rsidRPr="006B241D">
        <w:rPr>
          <w:rFonts w:ascii="Times New Roman" w:hAnsi="Times New Roman"/>
        </w:rPr>
        <w:t> :</w:t>
      </w:r>
      <w:proofErr w:type="gramEnd"/>
      <w:r w:rsidRPr="006B241D">
        <w:rPr>
          <w:rFonts w:ascii="Times New Roman" w:hAnsi="Times New Roman"/>
        </w:rPr>
        <w:t xml:space="preserve"> Trunk bark Extract, </w:t>
      </w:r>
      <w:r w:rsidRPr="006B241D">
        <w:rPr>
          <w:rFonts w:ascii="Times New Roman" w:hAnsi="Times New Roman"/>
          <w:b/>
          <w:bCs/>
        </w:rPr>
        <w:t>(LE)</w:t>
      </w:r>
      <w:r w:rsidRPr="006B241D">
        <w:rPr>
          <w:rFonts w:ascii="Times New Roman" w:hAnsi="Times New Roman"/>
        </w:rPr>
        <w:t xml:space="preserve"> : Leaf Extract, </w:t>
      </w:r>
      <w:r w:rsidRPr="006B241D">
        <w:rPr>
          <w:rFonts w:ascii="Times New Roman" w:hAnsi="Times New Roman"/>
          <w:b/>
          <w:bCs/>
        </w:rPr>
        <w:t>(SE)</w:t>
      </w:r>
      <w:r w:rsidRPr="006B241D">
        <w:rPr>
          <w:rFonts w:ascii="Times New Roman" w:hAnsi="Times New Roman"/>
        </w:rPr>
        <w:t> : Seed Extract</w:t>
      </w:r>
    </w:p>
    <w:p w14:paraId="2F5D751A" w14:textId="77777777" w:rsidR="00790ADA" w:rsidRPr="00FB3A86" w:rsidRDefault="00790ADA" w:rsidP="00441B6F">
      <w:pPr>
        <w:pStyle w:val="Head1"/>
        <w:spacing w:after="0"/>
        <w:jc w:val="both"/>
        <w:rPr>
          <w:rFonts w:ascii="Arial" w:hAnsi="Arial" w:cs="Arial"/>
        </w:rPr>
      </w:pPr>
    </w:p>
    <w:p w14:paraId="0757CEBF" w14:textId="069D6064" w:rsidR="007B05B6" w:rsidRDefault="007B05B6" w:rsidP="00441B6F">
      <w:pPr>
        <w:pStyle w:val="Body"/>
        <w:spacing w:after="0"/>
        <w:rPr>
          <w:rFonts w:ascii="Arial" w:hAnsi="Arial" w:cs="Arial"/>
          <w:lang w:val="en-GB"/>
        </w:rPr>
      </w:pPr>
      <w:r w:rsidRPr="007B05B6">
        <w:rPr>
          <w:rFonts w:ascii="Arial" w:hAnsi="Arial" w:cs="Arial"/>
          <w:lang w:val="en-GB"/>
        </w:rPr>
        <w:t>A statistical analysis (P &lt; 0.0001) confirmed that the yield of TE was significantly higher than that of the leaves (LE, 17.75 ± 1.52%) and seeds (SE). The low standard deviation values attest to good reproducibility of the extractions. The high content of extractable compounds in the bark can be explained by its biological role, making it a tissue rich in secondary metabolites such as polyphenols and alkaloids. The low yield of the seeds suggests that their main components (lipids, proteins) are less soluble in the hydroethanolic solvent used.</w:t>
      </w:r>
    </w:p>
    <w:p w14:paraId="512FC918" w14:textId="77777777" w:rsidR="00740428" w:rsidRPr="007B05B6" w:rsidRDefault="00740428" w:rsidP="00441B6F">
      <w:pPr>
        <w:pStyle w:val="Body"/>
        <w:spacing w:after="0"/>
        <w:rPr>
          <w:rFonts w:ascii="Arial" w:hAnsi="Arial" w:cs="Arial"/>
          <w:lang w:val="en-GB"/>
        </w:rPr>
      </w:pPr>
    </w:p>
    <w:p w14:paraId="61B6D6B2" w14:textId="7AA1FB0F" w:rsidR="00740428" w:rsidRDefault="00740428" w:rsidP="00740428">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0016357D">
        <w:rPr>
          <w:rFonts w:ascii="Arial" w:hAnsi="Arial" w:cs="Arial"/>
          <w:b/>
          <w:caps/>
          <w:sz w:val="22"/>
        </w:rPr>
        <w:t xml:space="preserve"> </w:t>
      </w:r>
      <w:r w:rsidR="00522E00">
        <w:rPr>
          <w:rFonts w:ascii="Arial" w:hAnsi="Arial" w:cs="Arial"/>
          <w:b/>
          <w:caps/>
          <w:sz w:val="22"/>
        </w:rPr>
        <w:t>P</w:t>
      </w:r>
      <w:r w:rsidR="00522E00">
        <w:rPr>
          <w:rFonts w:ascii="Arial" w:hAnsi="Arial" w:cs="Arial"/>
          <w:b/>
          <w:sz w:val="22"/>
        </w:rPr>
        <w:t>hytochemical screening using colorimetric tests</w:t>
      </w:r>
    </w:p>
    <w:p w14:paraId="293D50F1" w14:textId="77777777" w:rsidR="0016357D" w:rsidRDefault="0016357D" w:rsidP="00740428">
      <w:pPr>
        <w:pStyle w:val="Body"/>
        <w:spacing w:after="0"/>
        <w:rPr>
          <w:rFonts w:ascii="Arial" w:hAnsi="Arial" w:cs="Arial"/>
          <w:b/>
          <w:caps/>
          <w:sz w:val="22"/>
        </w:rPr>
      </w:pPr>
    </w:p>
    <w:p w14:paraId="79C23EA4" w14:textId="563F4647" w:rsidR="0016357D" w:rsidRDefault="00E063BB" w:rsidP="00740428">
      <w:pPr>
        <w:pStyle w:val="Body"/>
        <w:spacing w:after="0"/>
        <w:rPr>
          <w:rFonts w:ascii="Arial" w:hAnsi="Arial" w:cs="Arial"/>
          <w:bCs/>
        </w:rPr>
      </w:pPr>
      <w:r w:rsidRPr="00E063BB">
        <w:rPr>
          <w:rFonts w:ascii="Arial" w:hAnsi="Arial" w:cs="Arial"/>
          <w:bCs/>
        </w:rPr>
        <w:t xml:space="preserve">Phytochemical screening using colorimetric tests revealed the presence of several secondary metabolites in different organs </w:t>
      </w:r>
      <w:r w:rsidRPr="00CE2E69">
        <w:rPr>
          <w:rFonts w:ascii="Arial" w:hAnsi="Arial" w:cs="Arial"/>
          <w:bCs/>
          <w:i/>
          <w:iCs/>
        </w:rPr>
        <w:t xml:space="preserve">of </w:t>
      </w:r>
      <w:proofErr w:type="spellStart"/>
      <w:r w:rsidRPr="00CE2E69">
        <w:rPr>
          <w:rFonts w:ascii="Arial" w:hAnsi="Arial" w:cs="Arial"/>
          <w:bCs/>
          <w:i/>
          <w:iCs/>
        </w:rPr>
        <w:t>adenanthera</w:t>
      </w:r>
      <w:proofErr w:type="spellEnd"/>
      <w:r w:rsidRPr="00CE2E69">
        <w:rPr>
          <w:rFonts w:ascii="Arial" w:hAnsi="Arial" w:cs="Arial"/>
          <w:bCs/>
          <w:i/>
          <w:iCs/>
        </w:rPr>
        <w:t xml:space="preserve"> </w:t>
      </w:r>
      <w:proofErr w:type="spellStart"/>
      <w:r w:rsidRPr="00CE2E69">
        <w:rPr>
          <w:rFonts w:ascii="Arial" w:hAnsi="Arial" w:cs="Arial"/>
          <w:bCs/>
          <w:i/>
          <w:iCs/>
        </w:rPr>
        <w:t>pavonina</w:t>
      </w:r>
      <w:proofErr w:type="spellEnd"/>
      <w:r w:rsidRPr="00E063BB">
        <w:rPr>
          <w:rFonts w:ascii="Arial" w:hAnsi="Arial" w:cs="Arial"/>
          <w:bCs/>
        </w:rPr>
        <w:t xml:space="preserve"> (table 2). the total phenol analysis with </w:t>
      </w:r>
      <w:proofErr w:type="spellStart"/>
      <w:r w:rsidRPr="00E063BB">
        <w:rPr>
          <w:rFonts w:ascii="Arial" w:hAnsi="Arial" w:cs="Arial"/>
          <w:bCs/>
        </w:rPr>
        <w:t>fecl</w:t>
      </w:r>
      <w:proofErr w:type="spellEnd"/>
      <w:r w:rsidRPr="00E063BB">
        <w:rPr>
          <w:rFonts w:ascii="Cambria Math" w:hAnsi="Cambria Math" w:cs="Cambria Math"/>
          <w:bCs/>
        </w:rPr>
        <w:t>₃</w:t>
      </w:r>
      <w:r w:rsidRPr="00E063BB">
        <w:rPr>
          <w:rFonts w:ascii="Arial" w:hAnsi="Arial" w:cs="Arial"/>
          <w:bCs/>
        </w:rPr>
        <w:t xml:space="preserve"> was positive in all organs, with an intense blue-black coloration observed in the trunk bark, while the leaves and seeds showed a green-black hue, indicating a notable content of phenolic compounds but potentially distinct chemical profiles, with the bark standing out for its particular balance between </w:t>
      </w:r>
      <w:proofErr w:type="spellStart"/>
      <w:r w:rsidRPr="00E063BB">
        <w:rPr>
          <w:rFonts w:ascii="Arial" w:hAnsi="Arial" w:cs="Arial"/>
          <w:bCs/>
        </w:rPr>
        <w:t>hydrolyzable</w:t>
      </w:r>
      <w:proofErr w:type="spellEnd"/>
      <w:r w:rsidRPr="00E063BB">
        <w:rPr>
          <w:rFonts w:ascii="Arial" w:hAnsi="Arial" w:cs="Arial"/>
          <w:bCs/>
        </w:rPr>
        <w:t xml:space="preserve"> and condensed tannins.</w:t>
      </w:r>
    </w:p>
    <w:p w14:paraId="3638EBBC" w14:textId="77777777" w:rsidR="00E46908" w:rsidRPr="00E063BB" w:rsidRDefault="00E46908" w:rsidP="00740428">
      <w:pPr>
        <w:pStyle w:val="Body"/>
        <w:spacing w:after="0"/>
        <w:rPr>
          <w:rFonts w:ascii="Arial" w:hAnsi="Arial" w:cs="Arial"/>
          <w:bCs/>
          <w:caps/>
        </w:rPr>
      </w:pPr>
    </w:p>
    <w:p w14:paraId="0495A7FF" w14:textId="3F284872" w:rsidR="0016357D" w:rsidRDefault="00E063BB" w:rsidP="00740428">
      <w:pPr>
        <w:pStyle w:val="Body"/>
        <w:spacing w:after="0"/>
        <w:rPr>
          <w:rFonts w:ascii="Arial" w:hAnsi="Arial" w:cs="Arial"/>
          <w:bCs/>
        </w:rPr>
      </w:pPr>
      <w:r w:rsidRPr="00E063BB">
        <w:rPr>
          <w:rFonts w:ascii="Arial" w:hAnsi="Arial" w:cs="Arial"/>
          <w:bCs/>
        </w:rPr>
        <w:t xml:space="preserve">Different classes of flavonoids were identified in the three organs using lead acetate, ammonia, and sulfuric vanillin tests. The first two confirmed a widespread presence, with the ammonia test specifically indicating the presence of flavones, </w:t>
      </w:r>
      <w:proofErr w:type="spellStart"/>
      <w:r w:rsidRPr="00E063BB">
        <w:rPr>
          <w:rFonts w:ascii="Arial" w:hAnsi="Arial" w:cs="Arial"/>
          <w:bCs/>
        </w:rPr>
        <w:t>flavonols</w:t>
      </w:r>
      <w:proofErr w:type="spellEnd"/>
      <w:r w:rsidRPr="00E063BB">
        <w:rPr>
          <w:rFonts w:ascii="Arial" w:hAnsi="Arial" w:cs="Arial"/>
          <w:bCs/>
        </w:rPr>
        <w:t>, chalcones, and aurones in the bark. The sulfuric vanillin test, positive only for the seeds, suggests a specific presence of flavanols, such as catechin, and condensed tannins. These flavonoids, recognized for their role in combating free radicals and regulating cellular activity, contribute to oxidative stress prevention and support effective metabolism [24, 27].</w:t>
      </w:r>
    </w:p>
    <w:p w14:paraId="04040089" w14:textId="77777777" w:rsidR="00E46908" w:rsidRPr="00E063BB" w:rsidRDefault="00E46908" w:rsidP="00740428">
      <w:pPr>
        <w:pStyle w:val="Body"/>
        <w:spacing w:after="0"/>
        <w:rPr>
          <w:rFonts w:ascii="Arial" w:hAnsi="Arial" w:cs="Arial"/>
          <w:bCs/>
        </w:rPr>
      </w:pPr>
    </w:p>
    <w:p w14:paraId="67541258" w14:textId="77777777" w:rsidR="00413F1A" w:rsidRDefault="00E46908" w:rsidP="00413F1A">
      <w:pPr>
        <w:pStyle w:val="Body"/>
      </w:pPr>
      <w:r w:rsidRPr="00E46908">
        <w:rPr>
          <w:rFonts w:ascii="Arial" w:hAnsi="Arial" w:cs="Arial"/>
        </w:rPr>
        <w:t xml:space="preserve">Tannins and coumarins were also identified in all organs. The positive reaction to the </w:t>
      </w:r>
      <w:proofErr w:type="spellStart"/>
      <w:r w:rsidRPr="00E46908">
        <w:rPr>
          <w:rFonts w:ascii="Arial" w:hAnsi="Arial" w:cs="Arial"/>
        </w:rPr>
        <w:t>Folin-Ciocalteu</w:t>
      </w:r>
      <w:proofErr w:type="spellEnd"/>
      <w:r w:rsidRPr="00E46908">
        <w:rPr>
          <w:rFonts w:ascii="Arial" w:hAnsi="Arial" w:cs="Arial"/>
        </w:rPr>
        <w:t xml:space="preserve"> reagent and </w:t>
      </w:r>
      <w:proofErr w:type="spellStart"/>
      <w:r w:rsidRPr="00E46908">
        <w:rPr>
          <w:rFonts w:ascii="Arial" w:hAnsi="Arial" w:cs="Arial"/>
        </w:rPr>
        <w:t>FeCl</w:t>
      </w:r>
      <w:proofErr w:type="spellEnd"/>
      <w:r w:rsidRPr="00E46908">
        <w:rPr>
          <w:rFonts w:ascii="Cambria Math" w:hAnsi="Cambria Math" w:cs="Cambria Math"/>
        </w:rPr>
        <w:t>₃</w:t>
      </w:r>
      <w:r w:rsidRPr="00E46908">
        <w:rPr>
          <w:rFonts w:ascii="Arial" w:hAnsi="Arial" w:cs="Arial"/>
        </w:rPr>
        <w:t>, the latter being characteristic of condensed tannins confirms a notable presence of phenolic compounds throughout the plant. Although the salted gelatin test, which detects tannins with strong protein affinity, was negative for the seeds, these metabolites are well-known for their potent antioxidant and antimicrobial activities, explaining the interest they generate [28, 29]. Moreover, the positive reaction to KOH in all extracts attests to the ubiquitous presence of coumarins, compounds known for their anticoagulant and antibacterial potential [30].</w:t>
      </w:r>
      <w:r w:rsidR="00413F1A" w:rsidRPr="00413F1A">
        <w:t xml:space="preserve"> </w:t>
      </w:r>
    </w:p>
    <w:p w14:paraId="7B25B317" w14:textId="77777777" w:rsidR="00413F1A" w:rsidRDefault="00413F1A" w:rsidP="00413F1A">
      <w:pPr>
        <w:pStyle w:val="Body"/>
        <w:rPr>
          <w:rFonts w:ascii="Arial" w:hAnsi="Arial" w:cs="Arial"/>
        </w:rPr>
      </w:pPr>
      <w:r w:rsidRPr="00413F1A">
        <w:rPr>
          <w:rFonts w:ascii="Arial" w:hAnsi="Arial" w:cs="Arial"/>
        </w:rPr>
        <w:t>Sterols and terpenes were detected in the leaves and seeds. Finally, saponins were found only in the bark, with a foam index of 1000, indicating a particularly high concentration in this organ.</w:t>
      </w:r>
    </w:p>
    <w:p w14:paraId="00C65043" w14:textId="6C079D2D" w:rsidR="007B05B6" w:rsidRPr="00413F1A" w:rsidRDefault="00413F1A" w:rsidP="00413F1A">
      <w:pPr>
        <w:pStyle w:val="Body"/>
        <w:rPr>
          <w:rFonts w:ascii="Arial" w:hAnsi="Arial" w:cs="Arial"/>
        </w:rPr>
      </w:pPr>
      <w:r w:rsidRPr="00413F1A">
        <w:rPr>
          <w:rFonts w:ascii="Arial" w:hAnsi="Arial" w:cs="Arial"/>
        </w:rPr>
        <w:lastRenderedPageBreak/>
        <w:t xml:space="preserve">In conclusion, the leaves, seeds, and trunk bark of </w:t>
      </w:r>
      <w:proofErr w:type="spellStart"/>
      <w:r w:rsidRPr="00CE2E69">
        <w:rPr>
          <w:rFonts w:ascii="Arial" w:hAnsi="Arial" w:cs="Arial"/>
          <w:i/>
          <w:iCs/>
        </w:rPr>
        <w:t>Adenanthera</w:t>
      </w:r>
      <w:proofErr w:type="spellEnd"/>
      <w:r w:rsidRPr="00CE2E69">
        <w:rPr>
          <w:rFonts w:ascii="Arial" w:hAnsi="Arial" w:cs="Arial"/>
          <w:i/>
          <w:iCs/>
        </w:rPr>
        <w:t xml:space="preserve"> </w:t>
      </w:r>
      <w:proofErr w:type="spellStart"/>
      <w:r w:rsidRPr="00CE2E69">
        <w:rPr>
          <w:rFonts w:ascii="Arial" w:hAnsi="Arial" w:cs="Arial"/>
          <w:i/>
          <w:iCs/>
        </w:rPr>
        <w:t>pavonina</w:t>
      </w:r>
      <w:proofErr w:type="spellEnd"/>
      <w:r w:rsidRPr="00413F1A">
        <w:rPr>
          <w:rFonts w:ascii="Arial" w:hAnsi="Arial" w:cs="Arial"/>
        </w:rPr>
        <w:t xml:space="preserve"> exhibit distinct yet complementary phytochemical profiles, rich in secondary metabolites with promising biological properties. These results corroborate previous studies by </w:t>
      </w:r>
      <w:proofErr w:type="spellStart"/>
      <w:r w:rsidRPr="00413F1A">
        <w:rPr>
          <w:rFonts w:ascii="Arial" w:hAnsi="Arial" w:cs="Arial"/>
        </w:rPr>
        <w:t>Yumita</w:t>
      </w:r>
      <w:proofErr w:type="spellEnd"/>
      <w:r w:rsidRPr="00413F1A">
        <w:rPr>
          <w:rFonts w:ascii="Arial" w:hAnsi="Arial" w:cs="Arial"/>
        </w:rPr>
        <w:t xml:space="preserve"> et al. [31] and fully justify the therapeutic interest in this species.</w:t>
      </w:r>
    </w:p>
    <w:p w14:paraId="07A97A67" w14:textId="58D815EF" w:rsidR="00DA75F6" w:rsidRDefault="00413F1A" w:rsidP="00C076CE">
      <w:pPr>
        <w:tabs>
          <w:tab w:val="num" w:pos="720"/>
        </w:tabs>
        <w:ind w:right="-766"/>
        <w:jc w:val="both"/>
        <w:rPr>
          <w:rFonts w:ascii="Arial" w:hAnsi="Arial" w:cs="Arial"/>
          <w:lang w:val="en-GB"/>
        </w:rPr>
      </w:pPr>
      <w:r w:rsidRPr="00413F1A">
        <w:rPr>
          <w:rFonts w:ascii="Arial" w:hAnsi="Arial" w:cs="Arial"/>
          <w:b/>
          <w:bCs/>
          <w:lang w:val="en-GB"/>
        </w:rPr>
        <w:t xml:space="preserve">Table </w:t>
      </w:r>
      <w:r w:rsidRPr="00355C26">
        <w:rPr>
          <w:rFonts w:ascii="Arial" w:hAnsi="Arial" w:cs="Arial"/>
          <w:b/>
          <w:bCs/>
          <w:lang w:val="en-GB"/>
        </w:rPr>
        <w:t>2</w:t>
      </w:r>
      <w:r w:rsidR="00355C26" w:rsidRPr="00355C26">
        <w:rPr>
          <w:rFonts w:ascii="Arial" w:hAnsi="Arial" w:cs="Arial"/>
          <w:b/>
          <w:bCs/>
          <w:lang w:val="en-GB"/>
        </w:rPr>
        <w:t xml:space="preserve">. </w:t>
      </w:r>
      <w:r w:rsidRPr="00355C26">
        <w:rPr>
          <w:rFonts w:ascii="Arial" w:hAnsi="Arial" w:cs="Arial"/>
          <w:b/>
          <w:bCs/>
          <w:lang w:val="en-GB"/>
        </w:rPr>
        <w:t>Compounds detected in the different plant organs studied</w:t>
      </w:r>
    </w:p>
    <w:p w14:paraId="14CA0F97" w14:textId="77777777" w:rsidR="00DA75F6" w:rsidRDefault="00DA75F6" w:rsidP="00413F1A">
      <w:pPr>
        <w:pStyle w:val="Body"/>
        <w:rPr>
          <w:rFonts w:ascii="Arial" w:hAnsi="Arial" w:cs="Arial"/>
          <w:lang w:val="en-GB"/>
        </w:rPr>
      </w:pPr>
    </w:p>
    <w:tbl>
      <w:tblPr>
        <w:tblStyle w:val="TableGrid"/>
        <w:tblW w:w="8642" w:type="dxa"/>
        <w:tblLook w:val="04A0" w:firstRow="1" w:lastRow="0" w:firstColumn="1" w:lastColumn="0" w:noHBand="0" w:noVBand="1"/>
      </w:tblPr>
      <w:tblGrid>
        <w:gridCol w:w="1366"/>
        <w:gridCol w:w="1890"/>
        <w:gridCol w:w="1842"/>
        <w:gridCol w:w="1843"/>
        <w:gridCol w:w="1701"/>
      </w:tblGrid>
      <w:tr w:rsidR="00DA75F6" w:rsidRPr="00CE2E69" w14:paraId="489E590C" w14:textId="77777777" w:rsidTr="00DA75F6">
        <w:tc>
          <w:tcPr>
            <w:tcW w:w="1366" w:type="dxa"/>
          </w:tcPr>
          <w:p w14:paraId="4F0F1BF9" w14:textId="77777777" w:rsidR="00DA75F6" w:rsidRPr="00CE2E69" w:rsidRDefault="00DA75F6" w:rsidP="00175510">
            <w:pPr>
              <w:tabs>
                <w:tab w:val="num" w:pos="0"/>
              </w:tabs>
              <w:ind w:right="-113" w:hanging="120"/>
              <w:jc w:val="center"/>
              <w:rPr>
                <w:rFonts w:ascii="Arial" w:hAnsi="Arial" w:cs="Arial"/>
                <w:b/>
                <w:bCs/>
                <w:sz w:val="20"/>
                <w:szCs w:val="20"/>
              </w:rPr>
            </w:pPr>
            <w:bookmarkStart w:id="1" w:name="_Hlk212996792"/>
            <w:r w:rsidRPr="00CE2E69">
              <w:rPr>
                <w:rFonts w:ascii="Arial" w:hAnsi="Arial" w:cs="Arial"/>
                <w:b/>
                <w:bCs/>
                <w:sz w:val="20"/>
                <w:szCs w:val="20"/>
              </w:rPr>
              <w:t>Detected Compounds</w:t>
            </w:r>
          </w:p>
        </w:tc>
        <w:tc>
          <w:tcPr>
            <w:tcW w:w="1890" w:type="dxa"/>
          </w:tcPr>
          <w:p w14:paraId="11B0F0D5" w14:textId="77777777" w:rsidR="00DA75F6" w:rsidRPr="00CE2E69" w:rsidRDefault="00DA75F6" w:rsidP="00175510">
            <w:pPr>
              <w:ind w:left="-66" w:right="-109"/>
              <w:jc w:val="center"/>
              <w:rPr>
                <w:rFonts w:ascii="Arial" w:hAnsi="Arial" w:cs="Arial"/>
                <w:b/>
                <w:bCs/>
                <w:sz w:val="20"/>
                <w:szCs w:val="20"/>
              </w:rPr>
            </w:pPr>
            <w:r w:rsidRPr="00CE2E69">
              <w:rPr>
                <w:rFonts w:ascii="Arial" w:hAnsi="Arial" w:cs="Arial"/>
                <w:b/>
                <w:bCs/>
                <w:sz w:val="20"/>
                <w:szCs w:val="20"/>
              </w:rPr>
              <w:t>Reagent / Test</w:t>
            </w:r>
          </w:p>
        </w:tc>
        <w:tc>
          <w:tcPr>
            <w:tcW w:w="1842" w:type="dxa"/>
          </w:tcPr>
          <w:p w14:paraId="4C13D8E5" w14:textId="77777777" w:rsidR="00DA75F6" w:rsidRPr="00CE2E69" w:rsidRDefault="00DA75F6" w:rsidP="00175510">
            <w:pPr>
              <w:tabs>
                <w:tab w:val="num" w:pos="720"/>
              </w:tabs>
              <w:ind w:left="-113" w:right="-107"/>
              <w:jc w:val="center"/>
              <w:rPr>
                <w:rFonts w:ascii="Arial" w:hAnsi="Arial" w:cs="Arial"/>
                <w:b/>
                <w:bCs/>
                <w:sz w:val="20"/>
                <w:szCs w:val="20"/>
              </w:rPr>
            </w:pPr>
            <w:r w:rsidRPr="00CE2E69">
              <w:rPr>
                <w:rFonts w:ascii="Arial" w:hAnsi="Arial" w:cs="Arial"/>
                <w:sz w:val="20"/>
                <w:szCs w:val="20"/>
              </w:rPr>
              <w:t xml:space="preserve"> TE </w:t>
            </w:r>
            <w:r w:rsidRPr="00CE2E69">
              <w:rPr>
                <w:rFonts w:ascii="Arial" w:hAnsi="Arial" w:cs="Arial"/>
                <w:b/>
                <w:bCs/>
                <w:sz w:val="20"/>
                <w:szCs w:val="20"/>
              </w:rPr>
              <w:t>(observation)</w:t>
            </w:r>
          </w:p>
        </w:tc>
        <w:tc>
          <w:tcPr>
            <w:tcW w:w="1843" w:type="dxa"/>
          </w:tcPr>
          <w:p w14:paraId="3074A7E7" w14:textId="77777777" w:rsidR="00DA75F6" w:rsidRPr="00CE2E69" w:rsidRDefault="00DA75F6" w:rsidP="00175510">
            <w:pPr>
              <w:ind w:right="-106"/>
              <w:jc w:val="center"/>
              <w:rPr>
                <w:rFonts w:ascii="Arial" w:hAnsi="Arial" w:cs="Arial"/>
                <w:b/>
                <w:bCs/>
                <w:sz w:val="20"/>
                <w:szCs w:val="20"/>
              </w:rPr>
            </w:pPr>
            <w:r w:rsidRPr="00CE2E69">
              <w:rPr>
                <w:rFonts w:ascii="Arial" w:hAnsi="Arial" w:cs="Arial"/>
                <w:sz w:val="20"/>
                <w:szCs w:val="20"/>
              </w:rPr>
              <w:t xml:space="preserve">LE </w:t>
            </w:r>
            <w:r w:rsidRPr="00CE2E69">
              <w:rPr>
                <w:rFonts w:ascii="Arial" w:hAnsi="Arial" w:cs="Arial"/>
                <w:b/>
                <w:bCs/>
                <w:sz w:val="20"/>
                <w:szCs w:val="20"/>
              </w:rPr>
              <w:t>(observation)</w:t>
            </w:r>
          </w:p>
        </w:tc>
        <w:tc>
          <w:tcPr>
            <w:tcW w:w="1701" w:type="dxa"/>
          </w:tcPr>
          <w:p w14:paraId="065A132D" w14:textId="77777777" w:rsidR="00DA75F6" w:rsidRPr="00CE2E69" w:rsidRDefault="00DA75F6" w:rsidP="00175510">
            <w:pPr>
              <w:ind w:left="-103" w:right="-103"/>
              <w:jc w:val="center"/>
              <w:rPr>
                <w:rFonts w:ascii="Arial" w:hAnsi="Arial" w:cs="Arial"/>
                <w:b/>
                <w:bCs/>
                <w:sz w:val="20"/>
                <w:szCs w:val="20"/>
              </w:rPr>
            </w:pPr>
            <w:r w:rsidRPr="00CE2E69">
              <w:rPr>
                <w:rFonts w:ascii="Arial" w:hAnsi="Arial" w:cs="Arial"/>
                <w:sz w:val="20"/>
                <w:szCs w:val="20"/>
              </w:rPr>
              <w:t xml:space="preserve">SE </w:t>
            </w:r>
            <w:r w:rsidRPr="00CE2E69">
              <w:rPr>
                <w:rFonts w:ascii="Arial" w:hAnsi="Arial" w:cs="Arial"/>
                <w:b/>
                <w:bCs/>
                <w:sz w:val="20"/>
                <w:szCs w:val="20"/>
              </w:rPr>
              <w:t>(observation)</w:t>
            </w:r>
          </w:p>
        </w:tc>
      </w:tr>
      <w:tr w:rsidR="00DA75F6" w:rsidRPr="00CE2E69" w14:paraId="1498CF5C" w14:textId="77777777" w:rsidTr="00DA75F6">
        <w:tc>
          <w:tcPr>
            <w:tcW w:w="1366" w:type="dxa"/>
          </w:tcPr>
          <w:p w14:paraId="7DCB07EF"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Polyphenols</w:t>
            </w:r>
          </w:p>
        </w:tc>
        <w:tc>
          <w:tcPr>
            <w:tcW w:w="1890" w:type="dxa"/>
          </w:tcPr>
          <w:p w14:paraId="70FC4F36" w14:textId="77777777" w:rsidR="00DA75F6" w:rsidRPr="00CE2E69" w:rsidRDefault="00DA75F6" w:rsidP="00175510">
            <w:pPr>
              <w:ind w:left="-66" w:right="-109"/>
              <w:jc w:val="center"/>
              <w:rPr>
                <w:rFonts w:ascii="Arial" w:hAnsi="Arial" w:cs="Arial"/>
                <w:sz w:val="20"/>
                <w:szCs w:val="20"/>
              </w:rPr>
            </w:pPr>
            <w:proofErr w:type="spellStart"/>
            <w:r w:rsidRPr="00CE2E69">
              <w:rPr>
                <w:rFonts w:ascii="Arial" w:hAnsi="Arial" w:cs="Arial"/>
                <w:sz w:val="20"/>
                <w:szCs w:val="20"/>
              </w:rPr>
              <w:t>FeCl</w:t>
            </w:r>
            <w:proofErr w:type="spellEnd"/>
            <w:r w:rsidRPr="00CE2E69">
              <w:rPr>
                <w:rFonts w:ascii="Cambria Math" w:hAnsi="Cambria Math" w:cs="Cambria Math"/>
                <w:sz w:val="20"/>
                <w:szCs w:val="20"/>
              </w:rPr>
              <w:t>₃</w:t>
            </w:r>
            <w:r w:rsidRPr="00CE2E69">
              <w:rPr>
                <w:rFonts w:ascii="Arial" w:hAnsi="Arial" w:cs="Arial"/>
                <w:sz w:val="20"/>
                <w:szCs w:val="20"/>
              </w:rPr>
              <w:t xml:space="preserve"> (2%)</w:t>
            </w:r>
          </w:p>
        </w:tc>
        <w:tc>
          <w:tcPr>
            <w:tcW w:w="1842" w:type="dxa"/>
          </w:tcPr>
          <w:p w14:paraId="1A77C055"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 dark blue</w:t>
            </w:r>
          </w:p>
        </w:tc>
        <w:tc>
          <w:tcPr>
            <w:tcW w:w="1843" w:type="dxa"/>
          </w:tcPr>
          <w:p w14:paraId="7F1A3E23"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xml:space="preserve">(+) </w:t>
            </w:r>
            <w:r w:rsidRPr="00CE2E69">
              <w:rPr>
                <w:rFonts w:ascii="Arial" w:eastAsia="Times New Roman" w:hAnsi="Arial" w:cs="Arial"/>
                <w:sz w:val="20"/>
                <w:szCs w:val="20"/>
                <w:lang w:eastAsia="zh-CN"/>
              </w:rPr>
              <w:t>dark green</w:t>
            </w:r>
          </w:p>
        </w:tc>
        <w:tc>
          <w:tcPr>
            <w:tcW w:w="1701" w:type="dxa"/>
          </w:tcPr>
          <w:p w14:paraId="2CCECCF0"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xml:space="preserve">(+) </w:t>
            </w:r>
            <w:r w:rsidRPr="00CE2E69">
              <w:rPr>
                <w:rFonts w:ascii="Arial" w:eastAsia="Times New Roman" w:hAnsi="Arial" w:cs="Arial"/>
                <w:sz w:val="20"/>
                <w:szCs w:val="20"/>
                <w:lang w:eastAsia="zh-CN"/>
              </w:rPr>
              <w:t>dark green</w:t>
            </w:r>
          </w:p>
        </w:tc>
      </w:tr>
      <w:tr w:rsidR="00DA75F6" w:rsidRPr="00CE2E69" w14:paraId="1512ECD6" w14:textId="77777777" w:rsidTr="00DA75F6">
        <w:tc>
          <w:tcPr>
            <w:tcW w:w="1366" w:type="dxa"/>
            <w:vMerge w:val="restart"/>
          </w:tcPr>
          <w:p w14:paraId="4557AA6E"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Flavonoids</w:t>
            </w:r>
          </w:p>
        </w:tc>
        <w:tc>
          <w:tcPr>
            <w:tcW w:w="1890" w:type="dxa"/>
          </w:tcPr>
          <w:p w14:paraId="4F3205AB"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with ammonia</w:t>
            </w:r>
          </w:p>
        </w:tc>
        <w:tc>
          <w:tcPr>
            <w:tcW w:w="1842" w:type="dxa"/>
          </w:tcPr>
          <w:p w14:paraId="4D104471" w14:textId="77777777" w:rsidR="00DA75F6" w:rsidRPr="00CE2E69" w:rsidRDefault="00DA75F6" w:rsidP="00175510">
            <w:pPr>
              <w:tabs>
                <w:tab w:val="num" w:pos="720"/>
              </w:tabs>
              <w:ind w:left="-113" w:right="-107"/>
              <w:jc w:val="center"/>
              <w:rPr>
                <w:rFonts w:ascii="Arial" w:hAnsi="Arial" w:cs="Arial"/>
                <w:sz w:val="20"/>
                <w:szCs w:val="20"/>
                <w:lang w:val="en-GB"/>
              </w:rPr>
            </w:pPr>
            <w:r w:rsidRPr="00CE2E69">
              <w:rPr>
                <w:rFonts w:ascii="Arial" w:hAnsi="Arial" w:cs="Arial"/>
                <w:sz w:val="20"/>
                <w:szCs w:val="20"/>
                <w:lang w:val="en-GB"/>
              </w:rPr>
              <w:t xml:space="preserve">(+) yellow and red  </w:t>
            </w:r>
          </w:p>
          <w:p w14:paraId="041E7C4B" w14:textId="77777777" w:rsidR="00DA75F6" w:rsidRPr="00CE2E69" w:rsidRDefault="00DA75F6" w:rsidP="00175510">
            <w:pPr>
              <w:tabs>
                <w:tab w:val="num" w:pos="720"/>
              </w:tabs>
              <w:ind w:left="-113" w:right="-107"/>
              <w:jc w:val="center"/>
              <w:rPr>
                <w:rFonts w:ascii="Arial" w:hAnsi="Arial" w:cs="Arial"/>
                <w:sz w:val="20"/>
                <w:szCs w:val="20"/>
                <w:lang w:val="en-GB"/>
              </w:rPr>
            </w:pPr>
            <w:r w:rsidRPr="00CE2E69">
              <w:rPr>
                <w:rFonts w:ascii="Arial" w:hAnsi="Arial" w:cs="Arial"/>
                <w:sz w:val="20"/>
                <w:szCs w:val="20"/>
                <w:lang w:val="en-GB"/>
              </w:rPr>
              <w:t>cold conditions</w:t>
            </w:r>
          </w:p>
        </w:tc>
        <w:tc>
          <w:tcPr>
            <w:tcW w:w="1843" w:type="dxa"/>
          </w:tcPr>
          <w:p w14:paraId="20930989" w14:textId="77777777" w:rsidR="00DA75F6" w:rsidRPr="00CE2E69" w:rsidRDefault="00DA75F6" w:rsidP="00175510">
            <w:pPr>
              <w:ind w:right="-106"/>
              <w:jc w:val="center"/>
              <w:rPr>
                <w:rFonts w:ascii="Arial" w:hAnsi="Arial" w:cs="Arial"/>
                <w:sz w:val="20"/>
                <w:szCs w:val="20"/>
                <w:lang w:val="en-GB"/>
              </w:rPr>
            </w:pPr>
            <w:r w:rsidRPr="00CE2E69">
              <w:rPr>
                <w:rFonts w:ascii="Arial" w:hAnsi="Arial" w:cs="Arial"/>
                <w:sz w:val="20"/>
                <w:szCs w:val="20"/>
                <w:lang w:val="en-GB"/>
              </w:rPr>
              <w:t xml:space="preserve">(+) yellow and red  </w:t>
            </w:r>
          </w:p>
          <w:p w14:paraId="43E1A0C4" w14:textId="77777777" w:rsidR="00DA75F6" w:rsidRPr="00CE2E69" w:rsidRDefault="00DA75F6" w:rsidP="00175510">
            <w:pPr>
              <w:ind w:right="-106"/>
              <w:jc w:val="center"/>
              <w:rPr>
                <w:rFonts w:ascii="Arial" w:hAnsi="Arial" w:cs="Arial"/>
                <w:sz w:val="20"/>
                <w:szCs w:val="20"/>
                <w:lang w:val="en-GB"/>
              </w:rPr>
            </w:pPr>
            <w:r w:rsidRPr="00CE2E69">
              <w:rPr>
                <w:rFonts w:ascii="Arial" w:hAnsi="Arial" w:cs="Arial"/>
                <w:sz w:val="20"/>
                <w:szCs w:val="20"/>
                <w:lang w:val="en-GB"/>
              </w:rPr>
              <w:t>cold conditions</w:t>
            </w:r>
          </w:p>
        </w:tc>
        <w:tc>
          <w:tcPr>
            <w:tcW w:w="1701" w:type="dxa"/>
          </w:tcPr>
          <w:p w14:paraId="41E14A6E" w14:textId="77777777" w:rsidR="00DA75F6" w:rsidRPr="00CE2E69" w:rsidRDefault="00DA75F6" w:rsidP="00175510">
            <w:pPr>
              <w:ind w:left="-103" w:right="-103"/>
              <w:jc w:val="center"/>
              <w:rPr>
                <w:rFonts w:ascii="Arial" w:hAnsi="Arial" w:cs="Arial"/>
                <w:sz w:val="20"/>
                <w:szCs w:val="20"/>
                <w:lang w:val="en-GB"/>
              </w:rPr>
            </w:pPr>
            <w:r w:rsidRPr="00CE2E69">
              <w:rPr>
                <w:rFonts w:ascii="Arial" w:hAnsi="Arial" w:cs="Arial"/>
                <w:sz w:val="20"/>
                <w:szCs w:val="20"/>
                <w:lang w:val="en-GB"/>
              </w:rPr>
              <w:t xml:space="preserve">(+) yellow and red  </w:t>
            </w:r>
          </w:p>
          <w:p w14:paraId="7AF145E2" w14:textId="77777777" w:rsidR="00DA75F6" w:rsidRPr="00CE2E69" w:rsidRDefault="00DA75F6" w:rsidP="00175510">
            <w:pPr>
              <w:ind w:left="-103" w:right="-103"/>
              <w:jc w:val="center"/>
              <w:rPr>
                <w:rFonts w:ascii="Arial" w:hAnsi="Arial" w:cs="Arial"/>
                <w:sz w:val="20"/>
                <w:szCs w:val="20"/>
                <w:lang w:val="en-GB"/>
              </w:rPr>
            </w:pPr>
            <w:r w:rsidRPr="00CE2E69">
              <w:rPr>
                <w:rFonts w:ascii="Arial" w:hAnsi="Arial" w:cs="Arial"/>
                <w:sz w:val="20"/>
                <w:szCs w:val="20"/>
                <w:lang w:val="en-GB"/>
              </w:rPr>
              <w:t>cold conditions</w:t>
            </w:r>
          </w:p>
        </w:tc>
      </w:tr>
      <w:tr w:rsidR="00DA75F6" w:rsidRPr="00CE2E69" w14:paraId="4BC187A7" w14:textId="77777777" w:rsidTr="00DA75F6">
        <w:tc>
          <w:tcPr>
            <w:tcW w:w="1366" w:type="dxa"/>
            <w:vMerge/>
          </w:tcPr>
          <w:p w14:paraId="1214796E" w14:textId="77777777" w:rsidR="00DA75F6" w:rsidRPr="00CE2E69" w:rsidRDefault="00DA75F6" w:rsidP="00175510">
            <w:pPr>
              <w:tabs>
                <w:tab w:val="num" w:pos="0"/>
              </w:tabs>
              <w:ind w:right="-113" w:hanging="120"/>
              <w:jc w:val="center"/>
              <w:rPr>
                <w:rFonts w:ascii="Arial" w:hAnsi="Arial" w:cs="Arial"/>
                <w:b/>
                <w:bCs/>
                <w:sz w:val="20"/>
                <w:szCs w:val="20"/>
                <w:lang w:val="en-GB"/>
              </w:rPr>
            </w:pPr>
          </w:p>
        </w:tc>
        <w:tc>
          <w:tcPr>
            <w:tcW w:w="1890" w:type="dxa"/>
          </w:tcPr>
          <w:p w14:paraId="36832077"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with vanillin-sulfuric reagent</w:t>
            </w:r>
          </w:p>
        </w:tc>
        <w:tc>
          <w:tcPr>
            <w:tcW w:w="1842" w:type="dxa"/>
          </w:tcPr>
          <w:p w14:paraId="5F815536" w14:textId="77777777" w:rsidR="00DA75F6" w:rsidRPr="00CE2E69" w:rsidRDefault="00DA75F6" w:rsidP="00175510">
            <w:pPr>
              <w:tabs>
                <w:tab w:val="num" w:pos="-3644"/>
              </w:tabs>
              <w:ind w:left="-113" w:right="-107"/>
              <w:jc w:val="center"/>
              <w:rPr>
                <w:rFonts w:ascii="Arial" w:hAnsi="Arial" w:cs="Arial"/>
                <w:sz w:val="20"/>
                <w:szCs w:val="20"/>
              </w:rPr>
            </w:pPr>
            <w:r w:rsidRPr="00CE2E69">
              <w:rPr>
                <w:rFonts w:ascii="Arial" w:hAnsi="Arial" w:cs="Arial"/>
                <w:sz w:val="20"/>
                <w:szCs w:val="20"/>
              </w:rPr>
              <w:t>(-)</w:t>
            </w:r>
          </w:p>
        </w:tc>
        <w:tc>
          <w:tcPr>
            <w:tcW w:w="1843" w:type="dxa"/>
          </w:tcPr>
          <w:p w14:paraId="7FAEEC9A"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w:t>
            </w:r>
          </w:p>
        </w:tc>
        <w:tc>
          <w:tcPr>
            <w:tcW w:w="1701" w:type="dxa"/>
          </w:tcPr>
          <w:p w14:paraId="74B7D70A"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strawberry red</w:t>
            </w:r>
          </w:p>
        </w:tc>
      </w:tr>
      <w:tr w:rsidR="00DA75F6" w:rsidRPr="00CE2E69" w14:paraId="0C5D2283" w14:textId="77777777" w:rsidTr="00DA75F6">
        <w:tc>
          <w:tcPr>
            <w:tcW w:w="1366" w:type="dxa"/>
            <w:vMerge/>
          </w:tcPr>
          <w:p w14:paraId="5A7DF698" w14:textId="77777777" w:rsidR="00DA75F6" w:rsidRPr="00CE2E69" w:rsidRDefault="00DA75F6" w:rsidP="00175510">
            <w:pPr>
              <w:tabs>
                <w:tab w:val="num" w:pos="0"/>
              </w:tabs>
              <w:ind w:right="-113" w:hanging="120"/>
              <w:jc w:val="center"/>
              <w:rPr>
                <w:rFonts w:ascii="Arial" w:hAnsi="Arial" w:cs="Arial"/>
                <w:b/>
                <w:bCs/>
                <w:sz w:val="20"/>
                <w:szCs w:val="20"/>
              </w:rPr>
            </w:pPr>
          </w:p>
        </w:tc>
        <w:tc>
          <w:tcPr>
            <w:tcW w:w="1890" w:type="dxa"/>
          </w:tcPr>
          <w:p w14:paraId="2D6A18C2"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 xml:space="preserve">with </w:t>
            </w:r>
            <w:proofErr w:type="gramStart"/>
            <w:r w:rsidRPr="00CE2E69">
              <w:rPr>
                <w:rFonts w:ascii="Arial" w:hAnsi="Arial" w:cs="Arial"/>
                <w:sz w:val="20"/>
                <w:szCs w:val="20"/>
              </w:rPr>
              <w:t>Pb(</w:t>
            </w:r>
            <w:proofErr w:type="gramEnd"/>
            <w:r w:rsidRPr="00CE2E69">
              <w:rPr>
                <w:rFonts w:ascii="Arial" w:hAnsi="Arial" w:cs="Arial"/>
                <w:sz w:val="20"/>
                <w:szCs w:val="20"/>
              </w:rPr>
              <w:t>CH</w:t>
            </w:r>
            <w:r w:rsidRPr="00CE2E69">
              <w:rPr>
                <w:rFonts w:ascii="Cambria Math" w:hAnsi="Cambria Math" w:cs="Cambria Math"/>
                <w:sz w:val="20"/>
                <w:szCs w:val="20"/>
              </w:rPr>
              <w:t>₃</w:t>
            </w:r>
            <w:r w:rsidRPr="00CE2E69">
              <w:rPr>
                <w:rFonts w:ascii="Arial" w:hAnsi="Arial" w:cs="Arial"/>
                <w:sz w:val="20"/>
                <w:szCs w:val="20"/>
              </w:rPr>
              <w:t>COO)</w:t>
            </w:r>
            <w:r w:rsidRPr="00CE2E69">
              <w:rPr>
                <w:rFonts w:ascii="Cambria Math" w:hAnsi="Cambria Math" w:cs="Cambria Math"/>
                <w:sz w:val="20"/>
                <w:szCs w:val="20"/>
              </w:rPr>
              <w:t>₂</w:t>
            </w:r>
          </w:p>
        </w:tc>
        <w:tc>
          <w:tcPr>
            <w:tcW w:w="1842" w:type="dxa"/>
          </w:tcPr>
          <w:p w14:paraId="5A44A7C3"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 xml:space="preserve">(+) </w:t>
            </w:r>
            <w:proofErr w:type="spellStart"/>
            <w:r w:rsidRPr="00CE2E69">
              <w:rPr>
                <w:rFonts w:ascii="Arial" w:hAnsi="Arial" w:cs="Arial"/>
                <w:sz w:val="20"/>
                <w:szCs w:val="20"/>
              </w:rPr>
              <w:t>précipitate</w:t>
            </w:r>
            <w:proofErr w:type="spellEnd"/>
          </w:p>
        </w:tc>
        <w:tc>
          <w:tcPr>
            <w:tcW w:w="1843" w:type="dxa"/>
          </w:tcPr>
          <w:p w14:paraId="16E4C327"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xml:space="preserve">(+) </w:t>
            </w:r>
            <w:proofErr w:type="spellStart"/>
            <w:r w:rsidRPr="00CE2E69">
              <w:rPr>
                <w:rFonts w:ascii="Arial" w:hAnsi="Arial" w:cs="Arial"/>
                <w:sz w:val="20"/>
                <w:szCs w:val="20"/>
              </w:rPr>
              <w:t>précipitate</w:t>
            </w:r>
            <w:proofErr w:type="spellEnd"/>
          </w:p>
        </w:tc>
        <w:tc>
          <w:tcPr>
            <w:tcW w:w="1701" w:type="dxa"/>
          </w:tcPr>
          <w:p w14:paraId="611F6471"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xml:space="preserve">(+) </w:t>
            </w:r>
            <w:proofErr w:type="spellStart"/>
            <w:r w:rsidRPr="00CE2E69">
              <w:rPr>
                <w:rFonts w:ascii="Arial" w:hAnsi="Arial" w:cs="Arial"/>
                <w:sz w:val="20"/>
                <w:szCs w:val="20"/>
              </w:rPr>
              <w:t>précipitate</w:t>
            </w:r>
            <w:proofErr w:type="spellEnd"/>
          </w:p>
        </w:tc>
      </w:tr>
      <w:tr w:rsidR="00DA75F6" w:rsidRPr="00CE2E69" w14:paraId="49EC6618" w14:textId="77777777" w:rsidTr="00DA75F6">
        <w:tc>
          <w:tcPr>
            <w:tcW w:w="1366" w:type="dxa"/>
            <w:vMerge w:val="restart"/>
          </w:tcPr>
          <w:p w14:paraId="6C01BECC"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Tannins</w:t>
            </w:r>
          </w:p>
        </w:tc>
        <w:tc>
          <w:tcPr>
            <w:tcW w:w="1890" w:type="dxa"/>
          </w:tcPr>
          <w:p w14:paraId="1A0195B1"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 xml:space="preserve">with </w:t>
            </w:r>
            <w:proofErr w:type="spellStart"/>
            <w:r w:rsidRPr="00CE2E69">
              <w:rPr>
                <w:rFonts w:ascii="Arial" w:hAnsi="Arial" w:cs="Arial"/>
                <w:sz w:val="20"/>
                <w:szCs w:val="20"/>
              </w:rPr>
              <w:t>Folin-Ciocalteu</w:t>
            </w:r>
            <w:proofErr w:type="spellEnd"/>
            <w:r w:rsidRPr="00CE2E69">
              <w:rPr>
                <w:rFonts w:ascii="Arial" w:hAnsi="Arial" w:cs="Arial"/>
                <w:sz w:val="20"/>
                <w:szCs w:val="20"/>
              </w:rPr>
              <w:t xml:space="preserve"> reagent</w:t>
            </w:r>
          </w:p>
        </w:tc>
        <w:tc>
          <w:tcPr>
            <w:tcW w:w="1842" w:type="dxa"/>
          </w:tcPr>
          <w:p w14:paraId="49D86B43" w14:textId="77777777" w:rsidR="00DA75F6" w:rsidRPr="00CE2E69" w:rsidRDefault="00DA75F6" w:rsidP="00175510">
            <w:pPr>
              <w:tabs>
                <w:tab w:val="num" w:pos="720"/>
              </w:tabs>
              <w:ind w:left="-113" w:right="-107"/>
              <w:jc w:val="center"/>
              <w:rPr>
                <w:rFonts w:ascii="Arial" w:hAnsi="Arial" w:cs="Arial"/>
                <w:b/>
                <w:bCs/>
                <w:sz w:val="20"/>
                <w:szCs w:val="20"/>
              </w:rPr>
            </w:pPr>
            <w:r w:rsidRPr="00CE2E69">
              <w:rPr>
                <w:rFonts w:ascii="Arial" w:hAnsi="Arial" w:cs="Arial"/>
                <w:sz w:val="20"/>
                <w:szCs w:val="20"/>
              </w:rPr>
              <w:t xml:space="preserve">(+) </w:t>
            </w:r>
            <w:r w:rsidRPr="00CE2E69">
              <w:rPr>
                <w:rStyle w:val="Strong"/>
                <w:rFonts w:ascii="Arial" w:hAnsi="Arial" w:cs="Arial"/>
                <w:sz w:val="20"/>
                <w:szCs w:val="20"/>
              </w:rPr>
              <w:t>blue</w:t>
            </w:r>
          </w:p>
        </w:tc>
        <w:tc>
          <w:tcPr>
            <w:tcW w:w="1843" w:type="dxa"/>
          </w:tcPr>
          <w:p w14:paraId="0E97B984"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xml:space="preserve">(+) </w:t>
            </w:r>
            <w:r w:rsidRPr="00CE2E69">
              <w:rPr>
                <w:rStyle w:val="Strong"/>
                <w:rFonts w:ascii="Arial" w:hAnsi="Arial" w:cs="Arial"/>
                <w:sz w:val="20"/>
                <w:szCs w:val="20"/>
              </w:rPr>
              <w:t>blue</w:t>
            </w:r>
          </w:p>
        </w:tc>
        <w:tc>
          <w:tcPr>
            <w:tcW w:w="1701" w:type="dxa"/>
          </w:tcPr>
          <w:p w14:paraId="6DB4BE10"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xml:space="preserve">(+) </w:t>
            </w:r>
            <w:r w:rsidRPr="00CE2E69">
              <w:rPr>
                <w:rStyle w:val="Strong"/>
                <w:rFonts w:ascii="Arial" w:hAnsi="Arial" w:cs="Arial"/>
                <w:sz w:val="20"/>
                <w:szCs w:val="20"/>
              </w:rPr>
              <w:t>blue</w:t>
            </w:r>
          </w:p>
        </w:tc>
      </w:tr>
      <w:tr w:rsidR="00DA75F6" w:rsidRPr="00CE2E69" w14:paraId="4E598882" w14:textId="77777777" w:rsidTr="00DA75F6">
        <w:tc>
          <w:tcPr>
            <w:tcW w:w="1366" w:type="dxa"/>
            <w:vMerge/>
          </w:tcPr>
          <w:p w14:paraId="0D159158" w14:textId="77777777" w:rsidR="00DA75F6" w:rsidRPr="00CE2E69" w:rsidRDefault="00DA75F6" w:rsidP="00175510">
            <w:pPr>
              <w:tabs>
                <w:tab w:val="num" w:pos="0"/>
              </w:tabs>
              <w:ind w:right="-113" w:hanging="120"/>
              <w:jc w:val="center"/>
              <w:rPr>
                <w:rFonts w:ascii="Arial" w:hAnsi="Arial" w:cs="Arial"/>
                <w:b/>
                <w:bCs/>
                <w:sz w:val="20"/>
                <w:szCs w:val="20"/>
              </w:rPr>
            </w:pPr>
          </w:p>
        </w:tc>
        <w:tc>
          <w:tcPr>
            <w:tcW w:w="1890" w:type="dxa"/>
          </w:tcPr>
          <w:p w14:paraId="0F75A2A8"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with salted gelatin</w:t>
            </w:r>
          </w:p>
        </w:tc>
        <w:tc>
          <w:tcPr>
            <w:tcW w:w="1842" w:type="dxa"/>
          </w:tcPr>
          <w:p w14:paraId="2EEDB7A9"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 white precipitate</w:t>
            </w:r>
          </w:p>
        </w:tc>
        <w:tc>
          <w:tcPr>
            <w:tcW w:w="1843" w:type="dxa"/>
          </w:tcPr>
          <w:p w14:paraId="70ABA3CF"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white precipitate</w:t>
            </w:r>
          </w:p>
        </w:tc>
        <w:tc>
          <w:tcPr>
            <w:tcW w:w="1701" w:type="dxa"/>
          </w:tcPr>
          <w:p w14:paraId="03B83F1A"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w:t>
            </w:r>
          </w:p>
        </w:tc>
      </w:tr>
      <w:tr w:rsidR="00DA75F6" w:rsidRPr="00CE2E69" w14:paraId="3E79FC3E" w14:textId="77777777" w:rsidTr="00DA75F6">
        <w:tc>
          <w:tcPr>
            <w:tcW w:w="1366" w:type="dxa"/>
            <w:vMerge/>
          </w:tcPr>
          <w:p w14:paraId="5BD6C8AE" w14:textId="77777777" w:rsidR="00DA75F6" w:rsidRPr="00CE2E69" w:rsidRDefault="00DA75F6" w:rsidP="00175510">
            <w:pPr>
              <w:tabs>
                <w:tab w:val="num" w:pos="0"/>
              </w:tabs>
              <w:ind w:right="-113" w:hanging="120"/>
              <w:jc w:val="center"/>
              <w:rPr>
                <w:rFonts w:ascii="Arial" w:hAnsi="Arial" w:cs="Arial"/>
                <w:b/>
                <w:bCs/>
                <w:sz w:val="20"/>
                <w:szCs w:val="20"/>
              </w:rPr>
            </w:pPr>
          </w:p>
        </w:tc>
        <w:tc>
          <w:tcPr>
            <w:tcW w:w="1890" w:type="dxa"/>
          </w:tcPr>
          <w:p w14:paraId="59DD92CD"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FeCl</w:t>
            </w:r>
            <w:r w:rsidRPr="00CE2E69">
              <w:rPr>
                <w:rFonts w:ascii="Arial" w:hAnsi="Arial" w:cs="Arial"/>
                <w:sz w:val="20"/>
                <w:szCs w:val="20"/>
                <w:vertAlign w:val="subscript"/>
              </w:rPr>
              <w:t>3</w:t>
            </w:r>
            <w:r w:rsidRPr="00CE2E69">
              <w:rPr>
                <w:rFonts w:ascii="Arial" w:hAnsi="Arial" w:cs="Arial"/>
                <w:sz w:val="20"/>
                <w:szCs w:val="20"/>
              </w:rPr>
              <w:t xml:space="preserve"> (2%)</w:t>
            </w:r>
          </w:p>
        </w:tc>
        <w:tc>
          <w:tcPr>
            <w:tcW w:w="1842" w:type="dxa"/>
          </w:tcPr>
          <w:p w14:paraId="2455A947"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 bottle green</w:t>
            </w:r>
          </w:p>
        </w:tc>
        <w:tc>
          <w:tcPr>
            <w:tcW w:w="1843" w:type="dxa"/>
          </w:tcPr>
          <w:p w14:paraId="054BC45D"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bottle green</w:t>
            </w:r>
          </w:p>
        </w:tc>
        <w:tc>
          <w:tcPr>
            <w:tcW w:w="1701" w:type="dxa"/>
          </w:tcPr>
          <w:p w14:paraId="46B8E6C5"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bottle green</w:t>
            </w:r>
          </w:p>
        </w:tc>
      </w:tr>
      <w:tr w:rsidR="00DA75F6" w:rsidRPr="00CE2E69" w14:paraId="04537DB8" w14:textId="77777777" w:rsidTr="00DA75F6">
        <w:tc>
          <w:tcPr>
            <w:tcW w:w="1366" w:type="dxa"/>
          </w:tcPr>
          <w:p w14:paraId="68CEA6D8"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Sterols &amp; Terpenes</w:t>
            </w:r>
          </w:p>
        </w:tc>
        <w:tc>
          <w:tcPr>
            <w:tcW w:w="1890" w:type="dxa"/>
          </w:tcPr>
          <w:p w14:paraId="5AE3A1E1"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With Liebermann-</w:t>
            </w:r>
          </w:p>
          <w:p w14:paraId="69C626C7"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Burchard reagent</w:t>
            </w:r>
          </w:p>
        </w:tc>
        <w:tc>
          <w:tcPr>
            <w:tcW w:w="1842" w:type="dxa"/>
          </w:tcPr>
          <w:p w14:paraId="71CA8BAA"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w:t>
            </w:r>
          </w:p>
        </w:tc>
        <w:tc>
          <w:tcPr>
            <w:tcW w:w="1843" w:type="dxa"/>
          </w:tcPr>
          <w:p w14:paraId="025CDDC4"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blue-green</w:t>
            </w:r>
          </w:p>
        </w:tc>
        <w:tc>
          <w:tcPr>
            <w:tcW w:w="1701" w:type="dxa"/>
          </w:tcPr>
          <w:p w14:paraId="3FB455FC"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blue-green</w:t>
            </w:r>
          </w:p>
        </w:tc>
      </w:tr>
      <w:tr w:rsidR="00DA75F6" w:rsidRPr="00CE2E69" w14:paraId="7B014ACC" w14:textId="77777777" w:rsidTr="00DA75F6">
        <w:tc>
          <w:tcPr>
            <w:tcW w:w="1366" w:type="dxa"/>
          </w:tcPr>
          <w:p w14:paraId="120AA5CF"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Coumarins</w:t>
            </w:r>
          </w:p>
        </w:tc>
        <w:tc>
          <w:tcPr>
            <w:tcW w:w="1890" w:type="dxa"/>
          </w:tcPr>
          <w:p w14:paraId="3D879EE3" w14:textId="77777777" w:rsidR="00DA75F6" w:rsidRPr="00CE2E69" w:rsidRDefault="00DA75F6" w:rsidP="00175510">
            <w:pPr>
              <w:ind w:left="-66" w:right="-109"/>
              <w:jc w:val="center"/>
              <w:rPr>
                <w:rFonts w:ascii="Arial" w:hAnsi="Arial" w:cs="Arial"/>
                <w:sz w:val="20"/>
                <w:szCs w:val="20"/>
              </w:rPr>
            </w:pPr>
            <w:r w:rsidRPr="00CE2E69">
              <w:rPr>
                <w:rFonts w:ascii="Arial" w:hAnsi="Arial" w:cs="Arial"/>
                <w:sz w:val="20"/>
                <w:szCs w:val="20"/>
              </w:rPr>
              <w:t>with 5% KOH</w:t>
            </w:r>
          </w:p>
        </w:tc>
        <w:tc>
          <w:tcPr>
            <w:tcW w:w="1842" w:type="dxa"/>
          </w:tcPr>
          <w:p w14:paraId="16E73625" w14:textId="77777777" w:rsidR="00DA75F6" w:rsidRPr="00CE2E69" w:rsidRDefault="00DA75F6" w:rsidP="00175510">
            <w:pPr>
              <w:tabs>
                <w:tab w:val="num" w:pos="720"/>
              </w:tabs>
              <w:ind w:left="-113" w:right="-107"/>
              <w:jc w:val="center"/>
              <w:rPr>
                <w:rFonts w:ascii="Arial" w:hAnsi="Arial" w:cs="Arial"/>
                <w:sz w:val="20"/>
                <w:szCs w:val="20"/>
              </w:rPr>
            </w:pPr>
            <w:r w:rsidRPr="00CE2E69">
              <w:rPr>
                <w:rFonts w:ascii="Arial" w:hAnsi="Arial" w:cs="Arial"/>
                <w:sz w:val="20"/>
                <w:szCs w:val="20"/>
              </w:rPr>
              <w:t>(+) bright yellow, yellow-orange</w:t>
            </w:r>
          </w:p>
        </w:tc>
        <w:tc>
          <w:tcPr>
            <w:tcW w:w="1843" w:type="dxa"/>
          </w:tcPr>
          <w:p w14:paraId="3F14EE73"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 bright yellow, yellow-orange</w:t>
            </w:r>
          </w:p>
        </w:tc>
        <w:tc>
          <w:tcPr>
            <w:tcW w:w="1701" w:type="dxa"/>
          </w:tcPr>
          <w:p w14:paraId="210C96C8"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 bright yellow, yellow-orange</w:t>
            </w:r>
          </w:p>
        </w:tc>
      </w:tr>
      <w:tr w:rsidR="00DA75F6" w:rsidRPr="00CE2E69" w14:paraId="4CBB07D9" w14:textId="77777777" w:rsidTr="00DA75F6">
        <w:tc>
          <w:tcPr>
            <w:tcW w:w="1366" w:type="dxa"/>
          </w:tcPr>
          <w:p w14:paraId="7B9F73A2" w14:textId="77777777" w:rsidR="00DA75F6" w:rsidRPr="00CE2E69" w:rsidRDefault="00DA75F6" w:rsidP="00175510">
            <w:pPr>
              <w:tabs>
                <w:tab w:val="num" w:pos="0"/>
              </w:tabs>
              <w:ind w:right="-113" w:hanging="120"/>
              <w:jc w:val="center"/>
              <w:rPr>
                <w:rFonts w:ascii="Arial" w:hAnsi="Arial" w:cs="Arial"/>
                <w:b/>
                <w:bCs/>
                <w:sz w:val="20"/>
                <w:szCs w:val="20"/>
              </w:rPr>
            </w:pPr>
            <w:r w:rsidRPr="00CE2E69">
              <w:rPr>
                <w:rFonts w:ascii="Arial" w:hAnsi="Arial" w:cs="Arial"/>
                <w:b/>
                <w:bCs/>
                <w:sz w:val="20"/>
                <w:szCs w:val="20"/>
              </w:rPr>
              <w:t>Saponins</w:t>
            </w:r>
          </w:p>
        </w:tc>
        <w:tc>
          <w:tcPr>
            <w:tcW w:w="1890" w:type="dxa"/>
          </w:tcPr>
          <w:p w14:paraId="2F24140D" w14:textId="77777777" w:rsidR="00DA75F6" w:rsidRPr="00CE2E69" w:rsidRDefault="00DA75F6" w:rsidP="00175510">
            <w:pPr>
              <w:ind w:left="-66" w:right="-109"/>
              <w:jc w:val="center"/>
              <w:rPr>
                <w:rFonts w:ascii="Arial" w:hAnsi="Arial" w:cs="Arial"/>
                <w:sz w:val="20"/>
                <w:szCs w:val="20"/>
              </w:rPr>
            </w:pPr>
            <w:r w:rsidRPr="00CE2E69">
              <w:rPr>
                <w:rFonts w:ascii="Arial" w:hAnsi="Arial" w:cs="Arial"/>
                <w:bCs/>
                <w:sz w:val="20"/>
                <w:szCs w:val="20"/>
              </w:rPr>
              <w:t>foam index</w:t>
            </w:r>
          </w:p>
        </w:tc>
        <w:tc>
          <w:tcPr>
            <w:tcW w:w="1842" w:type="dxa"/>
          </w:tcPr>
          <w:p w14:paraId="1621F67D" w14:textId="77777777" w:rsidR="00DA75F6" w:rsidRPr="00CE2E69" w:rsidRDefault="00DA75F6" w:rsidP="00175510">
            <w:pPr>
              <w:ind w:left="-113" w:right="-107"/>
              <w:jc w:val="center"/>
              <w:rPr>
                <w:rFonts w:ascii="Arial" w:hAnsi="Arial" w:cs="Arial"/>
                <w:sz w:val="20"/>
                <w:szCs w:val="20"/>
              </w:rPr>
            </w:pPr>
            <w:r w:rsidRPr="00CE2E69">
              <w:rPr>
                <w:rFonts w:ascii="Arial" w:hAnsi="Arial" w:cs="Arial"/>
                <w:sz w:val="20"/>
                <w:szCs w:val="20"/>
              </w:rPr>
              <w:t xml:space="preserve">(+) </w:t>
            </w:r>
            <w:proofErr w:type="spellStart"/>
            <w:r w:rsidRPr="00CE2E69">
              <w:rPr>
                <w:rFonts w:ascii="Arial" w:hAnsi="Arial" w:cs="Arial"/>
                <w:sz w:val="20"/>
                <w:szCs w:val="20"/>
              </w:rPr>
              <w:t>Im</w:t>
            </w:r>
            <w:proofErr w:type="spellEnd"/>
            <w:r w:rsidRPr="00CE2E69">
              <w:rPr>
                <w:rFonts w:ascii="Arial" w:hAnsi="Arial" w:cs="Arial"/>
                <w:sz w:val="20"/>
                <w:szCs w:val="20"/>
              </w:rPr>
              <w:t xml:space="preserve"> = 1000</w:t>
            </w:r>
          </w:p>
        </w:tc>
        <w:tc>
          <w:tcPr>
            <w:tcW w:w="1843" w:type="dxa"/>
          </w:tcPr>
          <w:p w14:paraId="2FF9E2FE" w14:textId="77777777" w:rsidR="00DA75F6" w:rsidRPr="00CE2E69" w:rsidRDefault="00DA75F6" w:rsidP="00175510">
            <w:pPr>
              <w:ind w:right="-106"/>
              <w:jc w:val="center"/>
              <w:rPr>
                <w:rFonts w:ascii="Arial" w:hAnsi="Arial" w:cs="Arial"/>
                <w:sz w:val="20"/>
                <w:szCs w:val="20"/>
              </w:rPr>
            </w:pPr>
            <w:r w:rsidRPr="00CE2E69">
              <w:rPr>
                <w:rFonts w:ascii="Arial" w:hAnsi="Arial" w:cs="Arial"/>
                <w:sz w:val="20"/>
                <w:szCs w:val="20"/>
              </w:rPr>
              <w:t>(-)</w:t>
            </w:r>
          </w:p>
        </w:tc>
        <w:tc>
          <w:tcPr>
            <w:tcW w:w="1701" w:type="dxa"/>
          </w:tcPr>
          <w:p w14:paraId="2085EBFD" w14:textId="77777777" w:rsidR="00DA75F6" w:rsidRPr="00CE2E69" w:rsidRDefault="00DA75F6" w:rsidP="00175510">
            <w:pPr>
              <w:ind w:left="-103" w:right="-103"/>
              <w:jc w:val="center"/>
              <w:rPr>
                <w:rFonts w:ascii="Arial" w:hAnsi="Arial" w:cs="Arial"/>
                <w:sz w:val="20"/>
                <w:szCs w:val="20"/>
              </w:rPr>
            </w:pPr>
            <w:r w:rsidRPr="00CE2E69">
              <w:rPr>
                <w:rFonts w:ascii="Arial" w:hAnsi="Arial" w:cs="Arial"/>
                <w:sz w:val="20"/>
                <w:szCs w:val="20"/>
              </w:rPr>
              <w:t>(-)</w:t>
            </w:r>
          </w:p>
        </w:tc>
      </w:tr>
    </w:tbl>
    <w:bookmarkEnd w:id="1"/>
    <w:p w14:paraId="512D675C" w14:textId="1AA7C5EC" w:rsidR="00DA75F6" w:rsidRPr="00413F1A" w:rsidRDefault="00DA75F6" w:rsidP="00413F1A">
      <w:pPr>
        <w:pStyle w:val="Body"/>
        <w:rPr>
          <w:rFonts w:ascii="Arial" w:hAnsi="Arial" w:cs="Arial"/>
          <w:lang w:val="en-GB"/>
        </w:rPr>
      </w:pPr>
      <w:r w:rsidRPr="00B96057">
        <w:rPr>
          <w:rFonts w:ascii="Times New Roman" w:hAnsi="Times New Roman"/>
          <w:b/>
          <w:bCs/>
          <w:lang w:val="en-GB"/>
        </w:rPr>
        <w:t>TE</w:t>
      </w:r>
      <w:r w:rsidRPr="00B96057">
        <w:rPr>
          <w:rFonts w:ascii="Times New Roman" w:hAnsi="Times New Roman"/>
          <w:lang w:val="en-GB"/>
        </w:rPr>
        <w:t xml:space="preserve">: Trunk bark Extract, </w:t>
      </w:r>
      <w:r w:rsidRPr="00B96057">
        <w:rPr>
          <w:rFonts w:ascii="Times New Roman" w:hAnsi="Times New Roman"/>
          <w:b/>
          <w:bCs/>
          <w:lang w:val="en-GB"/>
        </w:rPr>
        <w:t>LE</w:t>
      </w:r>
      <w:r w:rsidRPr="00B96057">
        <w:rPr>
          <w:rFonts w:ascii="Times New Roman" w:hAnsi="Times New Roman"/>
          <w:lang w:val="en-GB"/>
        </w:rPr>
        <w:t xml:space="preserve">: Leaf Extract, </w:t>
      </w:r>
      <w:r w:rsidRPr="00B96057">
        <w:rPr>
          <w:rFonts w:ascii="Times New Roman" w:hAnsi="Times New Roman"/>
          <w:b/>
          <w:bCs/>
          <w:lang w:val="en-GB"/>
        </w:rPr>
        <w:t>SE</w:t>
      </w:r>
      <w:r w:rsidRPr="00B96057">
        <w:rPr>
          <w:rFonts w:ascii="Times New Roman" w:hAnsi="Times New Roman"/>
          <w:lang w:val="en-GB"/>
        </w:rPr>
        <w:t>: Seed </w:t>
      </w:r>
      <w:proofErr w:type="gramStart"/>
      <w:r w:rsidRPr="00B96057">
        <w:rPr>
          <w:rFonts w:ascii="Times New Roman" w:hAnsi="Times New Roman"/>
          <w:lang w:val="en-GB"/>
        </w:rPr>
        <w:t>Extract</w:t>
      </w:r>
      <w:r w:rsidRPr="001019B6">
        <w:rPr>
          <w:rFonts w:ascii="Times New Roman" w:hAnsi="Times New Roman"/>
          <w:lang w:val="en-GB"/>
        </w:rPr>
        <w:t xml:space="preserve"> </w:t>
      </w:r>
      <w:r>
        <w:rPr>
          <w:rFonts w:ascii="Times New Roman" w:hAnsi="Times New Roman"/>
          <w:lang w:val="en-GB"/>
        </w:rPr>
        <w:t>,</w:t>
      </w:r>
      <w:proofErr w:type="gramEnd"/>
      <w:r w:rsidRPr="001019B6">
        <w:rPr>
          <w:rFonts w:ascii="Times New Roman" w:hAnsi="Times New Roman"/>
          <w:lang w:val="en-GB"/>
        </w:rPr>
        <w:t xml:space="preserve">  (</w:t>
      </w:r>
      <w:r w:rsidRPr="001019B6">
        <w:rPr>
          <w:rFonts w:ascii="Times New Roman" w:hAnsi="Times New Roman"/>
          <w:b/>
          <w:bCs/>
          <w:lang w:val="en-GB"/>
        </w:rPr>
        <w:t>+) : Positive test ;  (-) : Negative test</w:t>
      </w:r>
    </w:p>
    <w:p w14:paraId="0F23227A" w14:textId="1A697502" w:rsidR="00FE79AB" w:rsidRDefault="00FE79AB" w:rsidP="00FE79AB">
      <w:pPr>
        <w:pStyle w:val="Body"/>
        <w:spacing w:after="0"/>
        <w:rPr>
          <w:rFonts w:ascii="Arial" w:hAnsi="Arial" w:cs="Arial"/>
          <w:b/>
          <w:caps/>
          <w:sz w:val="22"/>
        </w:rPr>
      </w:pPr>
      <w:bookmarkStart w:id="2" w:name="_Hlk215136169"/>
      <w:r>
        <w:rPr>
          <w:rFonts w:ascii="Arial" w:hAnsi="Arial" w:cs="Arial"/>
          <w:b/>
          <w:sz w:val="22"/>
        </w:rPr>
        <w:t>3</w:t>
      </w:r>
      <w:r w:rsidRPr="00C30A0F">
        <w:rPr>
          <w:rFonts w:ascii="Arial" w:hAnsi="Arial" w:cs="Arial"/>
          <w:b/>
          <w:sz w:val="22"/>
        </w:rPr>
        <w:t>.</w:t>
      </w:r>
      <w:r w:rsidR="00A83972">
        <w:rPr>
          <w:rFonts w:ascii="Arial" w:hAnsi="Arial" w:cs="Arial"/>
          <w:b/>
          <w:sz w:val="22"/>
        </w:rPr>
        <w:t>3</w:t>
      </w:r>
      <w:r>
        <w:rPr>
          <w:rFonts w:ascii="Arial" w:hAnsi="Arial" w:cs="Arial"/>
          <w:b/>
          <w:sz w:val="22"/>
        </w:rPr>
        <w:t xml:space="preserve"> Total phenolic, flavonoid, and condensed tannin content</w:t>
      </w:r>
    </w:p>
    <w:bookmarkEnd w:id="2"/>
    <w:p w14:paraId="5090E9B3" w14:textId="77777777" w:rsidR="00413F1A" w:rsidRDefault="00413F1A" w:rsidP="00441B6F">
      <w:pPr>
        <w:pStyle w:val="Body"/>
        <w:spacing w:after="0"/>
        <w:rPr>
          <w:rFonts w:ascii="Arial" w:hAnsi="Arial" w:cs="Arial"/>
        </w:rPr>
      </w:pPr>
    </w:p>
    <w:p w14:paraId="4D358FD3" w14:textId="1AC0FF5D" w:rsidR="00FE79AB" w:rsidRDefault="00FE79AB" w:rsidP="00441B6F">
      <w:pPr>
        <w:pStyle w:val="Body"/>
        <w:spacing w:after="0"/>
        <w:rPr>
          <w:rFonts w:ascii="Arial" w:hAnsi="Arial" w:cs="Arial"/>
          <w:lang w:val="en-GB"/>
        </w:rPr>
      </w:pPr>
      <w:r w:rsidRPr="00FE79AB">
        <w:rPr>
          <w:rFonts w:ascii="Arial" w:hAnsi="Arial" w:cs="Arial"/>
          <w:lang w:val="en-GB"/>
        </w:rPr>
        <w:t xml:space="preserve">The quantification of phenolic compounds in different parts of </w:t>
      </w:r>
      <w:proofErr w:type="spellStart"/>
      <w:r w:rsidRPr="00CE2E69">
        <w:rPr>
          <w:rFonts w:ascii="Arial" w:hAnsi="Arial" w:cs="Arial"/>
          <w:i/>
          <w:iCs/>
          <w:lang w:val="en-GB"/>
        </w:rPr>
        <w:t>Adenanthera</w:t>
      </w:r>
      <w:proofErr w:type="spellEnd"/>
      <w:r w:rsidRPr="00CE2E69">
        <w:rPr>
          <w:rFonts w:ascii="Arial" w:hAnsi="Arial" w:cs="Arial"/>
          <w:i/>
          <w:iCs/>
          <w:lang w:val="en-GB"/>
        </w:rPr>
        <w:t xml:space="preserve"> </w:t>
      </w:r>
      <w:proofErr w:type="spellStart"/>
      <w:r w:rsidRPr="00CE2E69">
        <w:rPr>
          <w:rFonts w:ascii="Arial" w:hAnsi="Arial" w:cs="Arial"/>
          <w:i/>
          <w:iCs/>
          <w:lang w:val="en-GB"/>
        </w:rPr>
        <w:t>pavonina</w:t>
      </w:r>
      <w:proofErr w:type="spellEnd"/>
      <w:r w:rsidRPr="00FE79AB">
        <w:rPr>
          <w:rFonts w:ascii="Arial" w:hAnsi="Arial" w:cs="Arial"/>
          <w:lang w:val="en-GB"/>
        </w:rPr>
        <w:t xml:space="preserve"> was performed using spectrophotometric methods calibrated with appropriate reference standards. Total phenols were quantified using gallic acid as the standard (y = 15.796x + 0.0408), total flavonoids with quercetin (y = 21.6x + 0.0054), and condensed tannins with catechin (y = 0.9364x + 0.0013).</w:t>
      </w:r>
    </w:p>
    <w:p w14:paraId="6CFF33F9" w14:textId="7E6F1962" w:rsidR="00FE79AB" w:rsidRDefault="00FE79AB" w:rsidP="00441B6F">
      <w:pPr>
        <w:pStyle w:val="Body"/>
        <w:spacing w:after="0"/>
        <w:rPr>
          <w:rFonts w:ascii="Arial" w:hAnsi="Arial" w:cs="Arial"/>
          <w:lang w:val="en-GB"/>
        </w:rPr>
      </w:pPr>
      <w:r w:rsidRPr="00FE79AB">
        <w:rPr>
          <w:rFonts w:ascii="Arial" w:hAnsi="Arial" w:cs="Arial"/>
          <w:lang w:val="en-GB"/>
        </w:rPr>
        <w:t>The results reveal distinct quantitative profiles depending on the plant organ (Table 3). The trunk bark extract exhibited the highest total phenolic content, with 463.676 ± 0.985 mg GAE/g dry weight (DW), followed by the leaves (60.479 ± 0.360 mg GAE/g DW) and seeds (12.368 ± 0.053 mg GAE/g DW). These values differ from those reported in the literature, where phenolic contents between leaves (81.379 ± 0.53 mg GAE/g) and bark (80.630 ± 1.83 mg GAE/g) are closer, possibly due to variations in geographical origin, growth conditions, extraction solvents, or analytical protocols [31].</w:t>
      </w:r>
    </w:p>
    <w:p w14:paraId="40659A16" w14:textId="77777777" w:rsidR="00FE79AB" w:rsidRPr="00FE79AB" w:rsidRDefault="00FE79AB" w:rsidP="00441B6F">
      <w:pPr>
        <w:pStyle w:val="Body"/>
        <w:spacing w:after="0"/>
        <w:rPr>
          <w:rFonts w:ascii="Arial" w:hAnsi="Arial" w:cs="Arial"/>
          <w:lang w:val="en-GB"/>
        </w:rPr>
      </w:pPr>
    </w:p>
    <w:p w14:paraId="7BB34C4A" w14:textId="03D4CB2C" w:rsidR="007B05B6" w:rsidRDefault="00FE79AB" w:rsidP="00441B6F">
      <w:pPr>
        <w:pStyle w:val="Body"/>
        <w:spacing w:after="0"/>
        <w:rPr>
          <w:rFonts w:ascii="Arial" w:hAnsi="Arial" w:cs="Arial"/>
        </w:rPr>
      </w:pPr>
      <w:r w:rsidRPr="00FE79AB">
        <w:rPr>
          <w:rFonts w:ascii="Arial" w:hAnsi="Arial" w:cs="Arial"/>
        </w:rPr>
        <w:t>The total flavonoid concentration is significantly higher in the leaves (12.368 ± 0.053 mg QE/g DW) compared to the trunk bark (4.472 ± 0.027 mg QE/g DW) and seeds (3.598 ± 0.022 mg QE/g DW). This foliar accumulation may be attributed to the plant's exposure to sunlight, which promotes the photosynthesis of phenolic compounds, including flavonoids [32, 33].</w:t>
      </w:r>
    </w:p>
    <w:p w14:paraId="5AEAC397" w14:textId="77777777" w:rsidR="00FE79AB" w:rsidRDefault="00FE79AB" w:rsidP="00441B6F">
      <w:pPr>
        <w:pStyle w:val="Body"/>
        <w:spacing w:after="0"/>
        <w:rPr>
          <w:rFonts w:ascii="Arial" w:hAnsi="Arial" w:cs="Arial"/>
        </w:rPr>
      </w:pPr>
    </w:p>
    <w:p w14:paraId="3B9E3035" w14:textId="46719ADB" w:rsidR="00FE79AB" w:rsidRDefault="00FE79AB" w:rsidP="00441B6F">
      <w:pPr>
        <w:pStyle w:val="Body"/>
        <w:spacing w:after="0"/>
        <w:rPr>
          <w:rFonts w:ascii="Arial" w:hAnsi="Arial" w:cs="Arial"/>
        </w:rPr>
      </w:pPr>
      <w:r w:rsidRPr="00FE79AB">
        <w:rPr>
          <w:rFonts w:ascii="Arial" w:hAnsi="Arial" w:cs="Arial"/>
        </w:rPr>
        <w:t xml:space="preserve">Regarding condensed tannins, the trunk bark again stands out with the highest content (59.364 ± 0.721 mg CE/g DW), approximately twice that of the leaves (30.649 ± 0.205 mg CE/g DW) and nearly eight times higher than that of the seeds (7.630 ± 0.475 mg CE/g DW). This accumulation in the outer tissues of the plant is consistent with the ecological role of tannins in defense against external threats such as mechanical stress, insect attacks, pathogens, and fungi. Indeed, tannins are well known for their antimicrobial, antifungal, and repellent properties [34; 35].  </w:t>
      </w:r>
    </w:p>
    <w:p w14:paraId="19AB3CAC" w14:textId="77777777" w:rsidR="00FE79AB" w:rsidRDefault="00FE79AB" w:rsidP="00441B6F">
      <w:pPr>
        <w:pStyle w:val="Body"/>
        <w:spacing w:after="0"/>
        <w:rPr>
          <w:rFonts w:ascii="Arial" w:hAnsi="Arial" w:cs="Arial"/>
        </w:rPr>
      </w:pPr>
    </w:p>
    <w:p w14:paraId="0030C0FB" w14:textId="3BD17DA9" w:rsidR="00FE79AB" w:rsidRDefault="00FE79AB" w:rsidP="00441B6F">
      <w:pPr>
        <w:pStyle w:val="Body"/>
        <w:spacing w:after="0"/>
        <w:rPr>
          <w:rFonts w:ascii="Arial" w:hAnsi="Arial" w:cs="Arial"/>
        </w:rPr>
      </w:pPr>
      <w:r w:rsidRPr="00FE79AB">
        <w:rPr>
          <w:rFonts w:ascii="Arial" w:hAnsi="Arial" w:cs="Arial"/>
        </w:rPr>
        <w:lastRenderedPageBreak/>
        <w:t xml:space="preserve">In summary, the leaves, seeds, and trunk bark of </w:t>
      </w:r>
      <w:proofErr w:type="spellStart"/>
      <w:r w:rsidRPr="00CE2E69">
        <w:rPr>
          <w:rFonts w:ascii="Arial" w:hAnsi="Arial" w:cs="Arial"/>
          <w:i/>
          <w:iCs/>
        </w:rPr>
        <w:t>Adenanthera</w:t>
      </w:r>
      <w:proofErr w:type="spellEnd"/>
      <w:r w:rsidRPr="00CE2E69">
        <w:rPr>
          <w:rFonts w:ascii="Arial" w:hAnsi="Arial" w:cs="Arial"/>
          <w:i/>
          <w:iCs/>
        </w:rPr>
        <w:t xml:space="preserve"> </w:t>
      </w:r>
      <w:proofErr w:type="spellStart"/>
      <w:r w:rsidRPr="00CE2E69">
        <w:rPr>
          <w:rFonts w:ascii="Arial" w:hAnsi="Arial" w:cs="Arial"/>
          <w:i/>
          <w:iCs/>
        </w:rPr>
        <w:t>pavonina</w:t>
      </w:r>
      <w:proofErr w:type="spellEnd"/>
      <w:r w:rsidRPr="00FE79AB">
        <w:rPr>
          <w:rFonts w:ascii="Arial" w:hAnsi="Arial" w:cs="Arial"/>
        </w:rPr>
        <w:t xml:space="preserve"> represent valuable sources of phenolic compounds that may offer health benefits to humans.</w:t>
      </w:r>
    </w:p>
    <w:p w14:paraId="1E43E465" w14:textId="77777777" w:rsidR="00CE2E69" w:rsidRDefault="00CE2E69" w:rsidP="00441B6F">
      <w:pPr>
        <w:pStyle w:val="Body"/>
        <w:spacing w:after="0"/>
        <w:rPr>
          <w:rFonts w:ascii="Arial" w:hAnsi="Arial" w:cs="Arial"/>
        </w:rPr>
      </w:pPr>
    </w:p>
    <w:p w14:paraId="08EF7259" w14:textId="292AEA56" w:rsidR="00FE79AB" w:rsidRPr="00355C26" w:rsidRDefault="00FE79AB" w:rsidP="00441B6F">
      <w:pPr>
        <w:pStyle w:val="Body"/>
        <w:spacing w:after="0"/>
        <w:rPr>
          <w:rFonts w:ascii="Arial" w:hAnsi="Arial" w:cs="Arial"/>
          <w:b/>
          <w:bCs/>
        </w:rPr>
      </w:pPr>
      <w:r w:rsidRPr="00355C26">
        <w:rPr>
          <w:rFonts w:ascii="Arial" w:hAnsi="Arial" w:cs="Arial"/>
          <w:b/>
          <w:bCs/>
        </w:rPr>
        <w:t>Table 3</w:t>
      </w:r>
      <w:r w:rsidR="00355C26" w:rsidRPr="00355C26">
        <w:rPr>
          <w:rFonts w:ascii="Arial" w:hAnsi="Arial" w:cs="Arial"/>
          <w:b/>
          <w:bCs/>
        </w:rPr>
        <w:t xml:space="preserve">. </w:t>
      </w:r>
      <w:r w:rsidRPr="00355C26">
        <w:rPr>
          <w:rFonts w:ascii="Arial" w:hAnsi="Arial" w:cs="Arial"/>
          <w:b/>
          <w:bCs/>
        </w:rPr>
        <w:t xml:space="preserve">Contents of Phenolic Compounds </w:t>
      </w:r>
    </w:p>
    <w:p w14:paraId="2F17514D" w14:textId="77777777" w:rsidR="00FE79AB" w:rsidRDefault="00FE79AB" w:rsidP="00441B6F">
      <w:pPr>
        <w:pStyle w:val="Body"/>
        <w:spacing w:after="0"/>
        <w:rPr>
          <w:rFonts w:ascii="Arial" w:hAnsi="Arial" w:cs="Arial"/>
        </w:rPr>
      </w:pPr>
    </w:p>
    <w:tbl>
      <w:tblPr>
        <w:tblStyle w:val="PlainTable2"/>
        <w:tblW w:w="7797" w:type="dxa"/>
        <w:tblLook w:val="04A0" w:firstRow="1" w:lastRow="0" w:firstColumn="1" w:lastColumn="0" w:noHBand="0" w:noVBand="1"/>
      </w:tblPr>
      <w:tblGrid>
        <w:gridCol w:w="884"/>
        <w:gridCol w:w="2535"/>
        <w:gridCol w:w="2536"/>
        <w:gridCol w:w="1842"/>
      </w:tblGrid>
      <w:tr w:rsidR="00FE79AB" w:rsidRPr="00CC0AB4" w14:paraId="780DCC1F" w14:textId="77777777" w:rsidTr="00175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bottom w:val="single" w:sz="4" w:space="0" w:color="auto"/>
            </w:tcBorders>
          </w:tcPr>
          <w:p w14:paraId="7BC09F55" w14:textId="77777777" w:rsidR="00FE79AB" w:rsidRPr="00CE2E69" w:rsidRDefault="00FE79AB" w:rsidP="00175510">
            <w:pPr>
              <w:ind w:left="-105" w:right="-114"/>
              <w:rPr>
                <w:rFonts w:ascii="Arial" w:hAnsi="Arial" w:cs="Arial"/>
                <w:sz w:val="20"/>
                <w:szCs w:val="20"/>
              </w:rPr>
            </w:pPr>
            <w:proofErr w:type="spellStart"/>
            <w:r w:rsidRPr="00CE2E69">
              <w:rPr>
                <w:rFonts w:ascii="Arial" w:hAnsi="Arial" w:cs="Arial"/>
                <w:sz w:val="20"/>
                <w:szCs w:val="20"/>
              </w:rPr>
              <w:t>Extract</w:t>
            </w:r>
            <w:proofErr w:type="spellEnd"/>
          </w:p>
        </w:tc>
        <w:tc>
          <w:tcPr>
            <w:tcW w:w="2535" w:type="dxa"/>
            <w:tcBorders>
              <w:bottom w:val="single" w:sz="4" w:space="0" w:color="auto"/>
            </w:tcBorders>
          </w:tcPr>
          <w:p w14:paraId="27AD766B" w14:textId="77777777" w:rsidR="00FE79AB" w:rsidRPr="00CE2E69" w:rsidRDefault="00FE79AB" w:rsidP="00175510">
            <w:pPr>
              <w:ind w:right="-51"/>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lang w:val="en-GB"/>
              </w:rPr>
            </w:pPr>
            <w:r w:rsidRPr="00CE2E69">
              <w:rPr>
                <w:rFonts w:ascii="Arial" w:hAnsi="Arial" w:cs="Arial"/>
                <w:iCs/>
                <w:sz w:val="20"/>
                <w:szCs w:val="20"/>
                <w:lang w:val="en-GB"/>
              </w:rPr>
              <w:t xml:space="preserve">Total Phenols </w:t>
            </w:r>
          </w:p>
          <w:p w14:paraId="44A4A822" w14:textId="77777777" w:rsidR="00FE79AB" w:rsidRPr="00CE2E69" w:rsidRDefault="00FE79AB" w:rsidP="00175510">
            <w:pPr>
              <w:ind w:right="-51"/>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CE2E69">
              <w:rPr>
                <w:rFonts w:ascii="Arial" w:hAnsi="Arial" w:cs="Arial"/>
                <w:iCs/>
                <w:sz w:val="20"/>
                <w:szCs w:val="20"/>
                <w:lang w:val="en-GB"/>
              </w:rPr>
              <w:t>(</w:t>
            </w:r>
            <w:r w:rsidRPr="00CE2E69">
              <w:rPr>
                <w:rFonts w:ascii="Arial" w:hAnsi="Arial" w:cs="Arial"/>
                <w:sz w:val="20"/>
                <w:szCs w:val="20"/>
                <w:lang w:val="en-GB"/>
              </w:rPr>
              <w:t>mg GAE/g DW)</w:t>
            </w:r>
          </w:p>
        </w:tc>
        <w:tc>
          <w:tcPr>
            <w:tcW w:w="2536" w:type="dxa"/>
            <w:tcBorders>
              <w:bottom w:val="single" w:sz="4" w:space="0" w:color="auto"/>
            </w:tcBorders>
          </w:tcPr>
          <w:p w14:paraId="7BD30234" w14:textId="77777777" w:rsidR="00FE79AB" w:rsidRPr="00CE2E69" w:rsidRDefault="00FE79AB" w:rsidP="00175510">
            <w:pPr>
              <w:ind w:left="-18" w:right="-107"/>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lang w:val="en-GB"/>
              </w:rPr>
            </w:pPr>
            <w:r w:rsidRPr="00CE2E69">
              <w:rPr>
                <w:rFonts w:ascii="Arial" w:hAnsi="Arial" w:cs="Arial"/>
                <w:iCs/>
                <w:sz w:val="20"/>
                <w:szCs w:val="20"/>
                <w:lang w:val="en-GB"/>
              </w:rPr>
              <w:t>Total Flavonoids</w:t>
            </w:r>
          </w:p>
          <w:p w14:paraId="69088DA2" w14:textId="77777777" w:rsidR="00FE79AB" w:rsidRPr="00CE2E69" w:rsidRDefault="00FE79AB" w:rsidP="00175510">
            <w:pPr>
              <w:ind w:left="-18" w:right="-107"/>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CE2E69">
              <w:rPr>
                <w:rFonts w:ascii="Arial" w:hAnsi="Arial" w:cs="Arial"/>
                <w:iCs/>
                <w:sz w:val="20"/>
                <w:szCs w:val="20"/>
                <w:lang w:val="en-GB"/>
              </w:rPr>
              <w:t>(</w:t>
            </w:r>
            <w:r w:rsidRPr="00CE2E69">
              <w:rPr>
                <w:rFonts w:ascii="Arial" w:hAnsi="Arial" w:cs="Arial"/>
                <w:sz w:val="20"/>
                <w:szCs w:val="20"/>
                <w:lang w:val="en-GB"/>
              </w:rPr>
              <w:t>mg QE/g DW)</w:t>
            </w:r>
          </w:p>
        </w:tc>
        <w:tc>
          <w:tcPr>
            <w:tcW w:w="1842" w:type="dxa"/>
            <w:tcBorders>
              <w:bottom w:val="single" w:sz="4" w:space="0" w:color="auto"/>
            </w:tcBorders>
          </w:tcPr>
          <w:p w14:paraId="082E6CBA" w14:textId="77777777" w:rsidR="00FE79AB" w:rsidRPr="00CE2E69" w:rsidRDefault="00FE79AB" w:rsidP="00175510">
            <w:pPr>
              <w:ind w:right="-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E2E69">
              <w:rPr>
                <w:rFonts w:ascii="Arial" w:hAnsi="Arial" w:cs="Arial"/>
                <w:iCs/>
                <w:sz w:val="20"/>
                <w:szCs w:val="20"/>
              </w:rPr>
              <w:t>Condensed Tannins (</w:t>
            </w:r>
            <w:r w:rsidRPr="00CE2E69">
              <w:rPr>
                <w:rFonts w:ascii="Arial" w:hAnsi="Arial" w:cs="Arial"/>
                <w:sz w:val="20"/>
                <w:szCs w:val="20"/>
              </w:rPr>
              <w:t>mg CE/g DW)</w:t>
            </w:r>
          </w:p>
        </w:tc>
      </w:tr>
      <w:tr w:rsidR="00FE79AB" w:rsidRPr="00CE2E69" w14:paraId="40F9C84C" w14:textId="77777777" w:rsidTr="0017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bottom w:val="nil"/>
            </w:tcBorders>
          </w:tcPr>
          <w:p w14:paraId="445CB613" w14:textId="77777777" w:rsidR="00FE79AB" w:rsidRPr="00CE2E69" w:rsidRDefault="00FE79AB" w:rsidP="00175510">
            <w:pPr>
              <w:ind w:right="-766"/>
              <w:rPr>
                <w:rFonts w:ascii="Arial" w:hAnsi="Arial" w:cs="Arial"/>
                <w:sz w:val="20"/>
                <w:szCs w:val="20"/>
              </w:rPr>
            </w:pPr>
            <w:r w:rsidRPr="00CE2E69">
              <w:rPr>
                <w:rFonts w:ascii="Arial" w:hAnsi="Arial" w:cs="Arial"/>
                <w:sz w:val="20"/>
                <w:szCs w:val="20"/>
              </w:rPr>
              <w:t>SE</w:t>
            </w:r>
          </w:p>
        </w:tc>
        <w:tc>
          <w:tcPr>
            <w:tcW w:w="2535" w:type="dxa"/>
            <w:tcBorders>
              <w:top w:val="single" w:sz="4" w:space="0" w:color="auto"/>
              <w:bottom w:val="nil"/>
            </w:tcBorders>
          </w:tcPr>
          <w:p w14:paraId="33C1D7A3" w14:textId="77777777" w:rsidR="00FE79AB" w:rsidRPr="00CE2E69" w:rsidRDefault="00FE79AB" w:rsidP="00175510">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60,479 ± 0,360 </w:t>
            </w:r>
          </w:p>
          <w:p w14:paraId="2E7A4ECC" w14:textId="77777777" w:rsidR="00FE79AB" w:rsidRPr="00CE2E69" w:rsidRDefault="00FE79AB" w:rsidP="00175510">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proofErr w:type="gramStart"/>
            <w:r w:rsidRPr="00CE2E69">
              <w:rPr>
                <w:rFonts w:ascii="Arial" w:hAnsi="Arial" w:cs="Arial"/>
                <w:sz w:val="20"/>
                <w:szCs w:val="20"/>
              </w:rPr>
              <w:t>a</w:t>
            </w:r>
            <w:proofErr w:type="gramEnd"/>
            <w:r w:rsidRPr="00CE2E69">
              <w:rPr>
                <w:rFonts w:ascii="Arial" w:hAnsi="Arial" w:cs="Arial"/>
                <w:sz w:val="20"/>
                <w:szCs w:val="20"/>
              </w:rPr>
              <w:t>****c****</w:t>
            </w:r>
          </w:p>
        </w:tc>
        <w:tc>
          <w:tcPr>
            <w:tcW w:w="2536" w:type="dxa"/>
            <w:tcBorders>
              <w:top w:val="single" w:sz="4" w:space="0" w:color="auto"/>
              <w:bottom w:val="nil"/>
            </w:tcBorders>
          </w:tcPr>
          <w:p w14:paraId="252DC5FF" w14:textId="77777777" w:rsidR="00FE79AB" w:rsidRPr="00CE2E69" w:rsidRDefault="00FE79AB" w:rsidP="00175510">
            <w:pPr>
              <w:ind w:left="-104" w:right="-17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3,598 ± 0,022 </w:t>
            </w:r>
          </w:p>
          <w:p w14:paraId="681191F7" w14:textId="77777777" w:rsidR="00FE79AB" w:rsidRPr="00CE2E69" w:rsidRDefault="00FE79AB" w:rsidP="00175510">
            <w:pPr>
              <w:ind w:left="-104" w:right="-17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CE2E69">
              <w:rPr>
                <w:rFonts w:ascii="Arial" w:hAnsi="Arial" w:cs="Arial"/>
                <w:sz w:val="20"/>
                <w:szCs w:val="20"/>
              </w:rPr>
              <w:t>a</w:t>
            </w:r>
            <w:proofErr w:type="gramEnd"/>
            <w:r w:rsidRPr="00CE2E69">
              <w:rPr>
                <w:rFonts w:ascii="Arial" w:hAnsi="Arial" w:cs="Arial"/>
                <w:sz w:val="20"/>
                <w:szCs w:val="20"/>
              </w:rPr>
              <w:t>****c****</w:t>
            </w:r>
          </w:p>
        </w:tc>
        <w:tc>
          <w:tcPr>
            <w:tcW w:w="1842" w:type="dxa"/>
            <w:tcBorders>
              <w:top w:val="single" w:sz="4" w:space="0" w:color="auto"/>
              <w:bottom w:val="nil"/>
            </w:tcBorders>
          </w:tcPr>
          <w:p w14:paraId="051991C4" w14:textId="77777777" w:rsidR="00FE79AB" w:rsidRPr="00CE2E69" w:rsidRDefault="00FE79AB"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7,630 ± 0,475 a****c****</w:t>
            </w:r>
          </w:p>
        </w:tc>
      </w:tr>
      <w:tr w:rsidR="00FE79AB" w:rsidRPr="00CE2E69" w14:paraId="2D9E46D6" w14:textId="77777777" w:rsidTr="00175510">
        <w:tc>
          <w:tcPr>
            <w:cnfStyle w:val="001000000000" w:firstRow="0" w:lastRow="0" w:firstColumn="1" w:lastColumn="0" w:oddVBand="0" w:evenVBand="0" w:oddHBand="0" w:evenHBand="0" w:firstRowFirstColumn="0" w:firstRowLastColumn="0" w:lastRowFirstColumn="0" w:lastRowLastColumn="0"/>
            <w:tcW w:w="884" w:type="dxa"/>
            <w:tcBorders>
              <w:top w:val="nil"/>
              <w:bottom w:val="nil"/>
            </w:tcBorders>
          </w:tcPr>
          <w:p w14:paraId="4985D903" w14:textId="77777777" w:rsidR="00FE79AB" w:rsidRPr="00CE2E69" w:rsidRDefault="00FE79AB" w:rsidP="00175510">
            <w:pPr>
              <w:ind w:right="-766"/>
              <w:rPr>
                <w:rFonts w:ascii="Arial" w:hAnsi="Arial" w:cs="Arial"/>
                <w:sz w:val="20"/>
                <w:szCs w:val="20"/>
              </w:rPr>
            </w:pPr>
            <w:r w:rsidRPr="00CE2E69">
              <w:rPr>
                <w:rFonts w:ascii="Arial" w:hAnsi="Arial" w:cs="Arial"/>
                <w:sz w:val="20"/>
                <w:szCs w:val="20"/>
              </w:rPr>
              <w:t>LE</w:t>
            </w:r>
          </w:p>
        </w:tc>
        <w:tc>
          <w:tcPr>
            <w:tcW w:w="2535" w:type="dxa"/>
            <w:tcBorders>
              <w:top w:val="nil"/>
              <w:bottom w:val="nil"/>
            </w:tcBorders>
          </w:tcPr>
          <w:p w14:paraId="2EE313EB" w14:textId="77777777" w:rsidR="00FE79AB" w:rsidRPr="00CE2E69" w:rsidRDefault="00FE79AB" w:rsidP="00175510">
            <w:pPr>
              <w:ind w:right="-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108,452 ± 0,612 </w:t>
            </w:r>
          </w:p>
          <w:p w14:paraId="587FF151" w14:textId="77777777" w:rsidR="00FE79AB" w:rsidRPr="00CE2E69" w:rsidRDefault="00FE79AB" w:rsidP="00175510">
            <w:pPr>
              <w:ind w:right="-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CE2E69">
              <w:rPr>
                <w:rFonts w:ascii="Arial" w:hAnsi="Arial" w:cs="Arial"/>
                <w:sz w:val="20"/>
                <w:szCs w:val="20"/>
              </w:rPr>
              <w:t>a</w:t>
            </w:r>
            <w:proofErr w:type="gramEnd"/>
            <w:r w:rsidRPr="00CE2E69">
              <w:rPr>
                <w:rFonts w:ascii="Arial" w:hAnsi="Arial" w:cs="Arial"/>
                <w:sz w:val="20"/>
                <w:szCs w:val="20"/>
              </w:rPr>
              <w:t xml:space="preserve">**** b**** </w:t>
            </w:r>
          </w:p>
        </w:tc>
        <w:tc>
          <w:tcPr>
            <w:tcW w:w="2536" w:type="dxa"/>
            <w:tcBorders>
              <w:top w:val="nil"/>
              <w:bottom w:val="nil"/>
            </w:tcBorders>
          </w:tcPr>
          <w:p w14:paraId="3F598D30" w14:textId="77777777" w:rsidR="00FE79AB" w:rsidRPr="00CE2E69" w:rsidRDefault="00FE79AB" w:rsidP="00175510">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12,368 ± 0,053 </w:t>
            </w:r>
          </w:p>
          <w:p w14:paraId="698A3F54" w14:textId="77777777" w:rsidR="00FE79AB" w:rsidRPr="00CE2E69" w:rsidRDefault="00FE79AB" w:rsidP="00175510">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CE2E69">
              <w:rPr>
                <w:rFonts w:ascii="Arial" w:hAnsi="Arial" w:cs="Arial"/>
                <w:sz w:val="20"/>
                <w:szCs w:val="20"/>
              </w:rPr>
              <w:t>a</w:t>
            </w:r>
            <w:proofErr w:type="gramEnd"/>
            <w:r w:rsidRPr="00CE2E69">
              <w:rPr>
                <w:rFonts w:ascii="Arial" w:hAnsi="Arial" w:cs="Arial"/>
                <w:sz w:val="20"/>
                <w:szCs w:val="20"/>
              </w:rPr>
              <w:t>**** b****</w:t>
            </w:r>
          </w:p>
        </w:tc>
        <w:tc>
          <w:tcPr>
            <w:tcW w:w="1842" w:type="dxa"/>
            <w:tcBorders>
              <w:top w:val="nil"/>
              <w:bottom w:val="nil"/>
            </w:tcBorders>
          </w:tcPr>
          <w:p w14:paraId="77AC71FF" w14:textId="77777777" w:rsidR="00FE79AB" w:rsidRPr="00CE2E69" w:rsidRDefault="00FE79AB" w:rsidP="00175510">
            <w:pPr>
              <w:ind w:right="-76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2E69">
              <w:rPr>
                <w:rFonts w:ascii="Arial" w:hAnsi="Arial" w:cs="Arial"/>
                <w:sz w:val="20"/>
                <w:szCs w:val="20"/>
              </w:rPr>
              <w:t>30,649 ± 0,205 a****c****</w:t>
            </w:r>
          </w:p>
        </w:tc>
      </w:tr>
      <w:tr w:rsidR="00FE79AB" w:rsidRPr="00CE2E69" w14:paraId="7EE2DC1E" w14:textId="77777777" w:rsidTr="0017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top w:val="nil"/>
              <w:bottom w:val="single" w:sz="4" w:space="0" w:color="auto"/>
            </w:tcBorders>
          </w:tcPr>
          <w:p w14:paraId="2C105BAE" w14:textId="77777777" w:rsidR="00FE79AB" w:rsidRPr="00CE2E69" w:rsidRDefault="00FE79AB" w:rsidP="00175510">
            <w:pPr>
              <w:ind w:right="-766"/>
              <w:rPr>
                <w:rFonts w:ascii="Arial" w:hAnsi="Arial" w:cs="Arial"/>
                <w:sz w:val="20"/>
                <w:szCs w:val="20"/>
              </w:rPr>
            </w:pPr>
            <w:r w:rsidRPr="00CE2E69">
              <w:rPr>
                <w:rFonts w:ascii="Arial" w:hAnsi="Arial" w:cs="Arial"/>
                <w:sz w:val="20"/>
                <w:szCs w:val="20"/>
              </w:rPr>
              <w:t>TE</w:t>
            </w:r>
          </w:p>
        </w:tc>
        <w:tc>
          <w:tcPr>
            <w:tcW w:w="2535" w:type="dxa"/>
            <w:tcBorders>
              <w:top w:val="nil"/>
              <w:bottom w:val="single" w:sz="4" w:space="0" w:color="auto"/>
            </w:tcBorders>
          </w:tcPr>
          <w:p w14:paraId="0A99F72F" w14:textId="77777777" w:rsidR="00FE79AB" w:rsidRPr="00CE2E69" w:rsidRDefault="00FE79AB" w:rsidP="00175510">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463,676 ± 0,985</w:t>
            </w:r>
          </w:p>
          <w:p w14:paraId="4FAC78CD" w14:textId="77777777" w:rsidR="00FE79AB" w:rsidRPr="00CE2E69" w:rsidRDefault="00FE79AB" w:rsidP="00175510">
            <w:pPr>
              <w:ind w:right="-5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 </w:t>
            </w:r>
            <w:proofErr w:type="gramStart"/>
            <w:r w:rsidRPr="00CE2E69">
              <w:rPr>
                <w:rFonts w:ascii="Arial" w:hAnsi="Arial" w:cs="Arial"/>
                <w:sz w:val="20"/>
                <w:szCs w:val="20"/>
              </w:rPr>
              <w:t>b</w:t>
            </w:r>
            <w:proofErr w:type="gramEnd"/>
            <w:r w:rsidRPr="00CE2E69">
              <w:rPr>
                <w:rFonts w:ascii="Arial" w:hAnsi="Arial" w:cs="Arial"/>
                <w:sz w:val="20"/>
                <w:szCs w:val="20"/>
              </w:rPr>
              <w:t>**** c****</w:t>
            </w:r>
          </w:p>
        </w:tc>
        <w:tc>
          <w:tcPr>
            <w:tcW w:w="2536" w:type="dxa"/>
            <w:tcBorders>
              <w:top w:val="nil"/>
              <w:bottom w:val="single" w:sz="4" w:space="0" w:color="auto"/>
            </w:tcBorders>
          </w:tcPr>
          <w:p w14:paraId="26A32931" w14:textId="77777777" w:rsidR="00FE79AB" w:rsidRPr="00CE2E69" w:rsidRDefault="00FE79AB"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4,472 ± 0,027</w:t>
            </w:r>
          </w:p>
          <w:p w14:paraId="5C6FF2AC" w14:textId="77777777" w:rsidR="00FE79AB" w:rsidRPr="00CE2E69" w:rsidRDefault="00FE79AB"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 xml:space="preserve"> </w:t>
            </w:r>
            <w:proofErr w:type="gramStart"/>
            <w:r w:rsidRPr="00CE2E69">
              <w:rPr>
                <w:rFonts w:ascii="Arial" w:hAnsi="Arial" w:cs="Arial"/>
                <w:sz w:val="20"/>
                <w:szCs w:val="20"/>
              </w:rPr>
              <w:t>b</w:t>
            </w:r>
            <w:proofErr w:type="gramEnd"/>
            <w:r w:rsidRPr="00CE2E69">
              <w:rPr>
                <w:rFonts w:ascii="Arial" w:hAnsi="Arial" w:cs="Arial"/>
                <w:sz w:val="20"/>
                <w:szCs w:val="20"/>
              </w:rPr>
              <w:t>**** c***</w:t>
            </w:r>
          </w:p>
        </w:tc>
        <w:tc>
          <w:tcPr>
            <w:tcW w:w="1842" w:type="dxa"/>
            <w:tcBorders>
              <w:top w:val="nil"/>
              <w:bottom w:val="single" w:sz="4" w:space="0" w:color="auto"/>
            </w:tcBorders>
          </w:tcPr>
          <w:p w14:paraId="4DBDA153" w14:textId="77777777" w:rsidR="00FE79AB" w:rsidRPr="00CE2E69" w:rsidRDefault="00FE79AB"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2E69">
              <w:rPr>
                <w:rFonts w:ascii="Arial" w:hAnsi="Arial" w:cs="Arial"/>
                <w:sz w:val="20"/>
                <w:szCs w:val="20"/>
              </w:rPr>
              <w:t>59,364 ± 0,721 a****c****</w:t>
            </w:r>
          </w:p>
        </w:tc>
      </w:tr>
    </w:tbl>
    <w:p w14:paraId="2FDE68D5" w14:textId="1326E9F3" w:rsidR="00CE2E69" w:rsidRPr="00CE2E69" w:rsidRDefault="00CE2E69" w:rsidP="00CE2E69">
      <w:pPr>
        <w:ind w:right="-766"/>
        <w:jc w:val="center"/>
        <w:rPr>
          <w:rFonts w:ascii="Arial" w:hAnsi="Arial" w:cs="Arial"/>
        </w:rPr>
      </w:pPr>
      <w:r w:rsidRPr="00CE2E69">
        <w:rPr>
          <w:rFonts w:ascii="Arial" w:hAnsi="Arial" w:cs="Arial"/>
          <w:b/>
          <w:bCs/>
        </w:rPr>
        <w:t>TE</w:t>
      </w:r>
      <w:r w:rsidRPr="00CE2E69">
        <w:rPr>
          <w:rFonts w:ascii="Arial" w:hAnsi="Arial" w:cs="Arial"/>
        </w:rPr>
        <w:t xml:space="preserve">: Trunk bark Extract, </w:t>
      </w:r>
      <w:r w:rsidRPr="00CE2E69">
        <w:rPr>
          <w:rFonts w:ascii="Arial" w:hAnsi="Arial" w:cs="Arial"/>
          <w:b/>
          <w:bCs/>
        </w:rPr>
        <w:t>LE</w:t>
      </w:r>
      <w:r w:rsidRPr="00CE2E69">
        <w:rPr>
          <w:rFonts w:ascii="Arial" w:hAnsi="Arial" w:cs="Arial"/>
        </w:rPr>
        <w:t xml:space="preserve">: Leaf Extract, </w:t>
      </w:r>
      <w:r w:rsidRPr="00CE2E69">
        <w:rPr>
          <w:rFonts w:ascii="Arial" w:hAnsi="Arial" w:cs="Arial"/>
          <w:b/>
          <w:bCs/>
        </w:rPr>
        <w:t>SE</w:t>
      </w:r>
      <w:r w:rsidRPr="00CE2E69">
        <w:rPr>
          <w:rFonts w:ascii="Arial" w:hAnsi="Arial" w:cs="Arial"/>
        </w:rPr>
        <w:t>: Seed Extract</w:t>
      </w:r>
    </w:p>
    <w:p w14:paraId="2E1C7CC4" w14:textId="595C1241" w:rsidR="00FE79AB" w:rsidRPr="00CE2E69" w:rsidRDefault="00CE2E69" w:rsidP="00CE2E69">
      <w:pPr>
        <w:pStyle w:val="Body"/>
        <w:spacing w:after="0"/>
        <w:rPr>
          <w:rFonts w:ascii="Arial" w:hAnsi="Arial" w:cs="Arial"/>
          <w:lang w:val="en-CA"/>
        </w:rPr>
      </w:pPr>
      <w:r w:rsidRPr="00CE2E69">
        <w:rPr>
          <w:rFonts w:ascii="Arial" w:hAnsi="Arial" w:cs="Arial"/>
          <w:lang w:val="en-CA"/>
        </w:rPr>
        <w:t>a**** p ˂ 0,0001: Significant difference between SE and LE; b**** p ˂ 0,0001: Significant difference between LE and TE; c**** p ˂ 0,0001; c*** p ˂ 0,0007: Significant difference between SE and</w:t>
      </w:r>
    </w:p>
    <w:p w14:paraId="234514FE" w14:textId="77777777" w:rsidR="00FE79AB" w:rsidRDefault="00FE79AB" w:rsidP="00441B6F">
      <w:pPr>
        <w:pStyle w:val="Body"/>
        <w:spacing w:after="0"/>
        <w:rPr>
          <w:rFonts w:ascii="Arial" w:hAnsi="Arial" w:cs="Arial"/>
        </w:rPr>
      </w:pPr>
    </w:p>
    <w:p w14:paraId="1D1EA56B" w14:textId="11F9980F" w:rsidR="00FE79AB" w:rsidRPr="00A83972" w:rsidRDefault="00A83972" w:rsidP="00441B6F">
      <w:pPr>
        <w:pStyle w:val="Body"/>
        <w:spacing w:after="0"/>
        <w:rPr>
          <w:rFonts w:ascii="Arial" w:hAnsi="Arial" w:cs="Arial"/>
          <w:b/>
          <w:bCs/>
          <w:sz w:val="22"/>
          <w:szCs w:val="22"/>
        </w:rPr>
      </w:pPr>
      <w:r w:rsidRPr="00A83972">
        <w:rPr>
          <w:rFonts w:ascii="Arial" w:hAnsi="Arial" w:cs="Arial"/>
          <w:b/>
          <w:bCs/>
          <w:sz w:val="22"/>
          <w:szCs w:val="22"/>
        </w:rPr>
        <w:t>3.</w:t>
      </w:r>
      <w:r>
        <w:rPr>
          <w:rFonts w:ascii="Arial" w:hAnsi="Arial" w:cs="Arial"/>
          <w:b/>
          <w:bCs/>
          <w:sz w:val="22"/>
          <w:szCs w:val="22"/>
        </w:rPr>
        <w:t>4 Antioxidant activity</w:t>
      </w:r>
    </w:p>
    <w:p w14:paraId="52F40C37" w14:textId="77777777" w:rsidR="00FE79AB" w:rsidRDefault="00FE79AB" w:rsidP="00441B6F">
      <w:pPr>
        <w:pStyle w:val="Body"/>
        <w:spacing w:after="0"/>
        <w:rPr>
          <w:rFonts w:ascii="Arial" w:hAnsi="Arial" w:cs="Arial"/>
        </w:rPr>
      </w:pPr>
    </w:p>
    <w:p w14:paraId="54B18192" w14:textId="66B0C47E" w:rsidR="00A83972" w:rsidRPr="00A83972" w:rsidRDefault="008F3C98" w:rsidP="00A83972">
      <w:pPr>
        <w:ind w:right="-766"/>
        <w:jc w:val="both"/>
        <w:rPr>
          <w:rFonts w:ascii="Arial" w:hAnsi="Arial" w:cs="Arial"/>
          <w:b/>
          <w:bCs/>
          <w:lang w:val="en-GB"/>
        </w:rPr>
      </w:pPr>
      <w:r w:rsidRPr="008F3C98">
        <w:rPr>
          <w:rFonts w:ascii="Arial" w:hAnsi="Arial" w:cs="Arial"/>
          <w:b/>
          <w:bCs/>
          <w:u w:val="single"/>
          <w:lang w:val="en-GB"/>
        </w:rPr>
        <w:t xml:space="preserve">3.4.1 </w:t>
      </w:r>
      <w:r w:rsidR="00A83972" w:rsidRPr="008F3C98">
        <w:rPr>
          <w:rFonts w:ascii="Arial" w:hAnsi="Arial" w:cs="Arial"/>
          <w:b/>
          <w:bCs/>
          <w:u w:val="single"/>
          <w:lang w:val="en-GB"/>
        </w:rPr>
        <w:t>Evaluation of antioxidant potential by DPPH radical scavenging assay</w:t>
      </w:r>
    </w:p>
    <w:p w14:paraId="0403F257" w14:textId="77777777" w:rsidR="00A83972" w:rsidRPr="00A83972" w:rsidRDefault="00A83972" w:rsidP="00441B6F">
      <w:pPr>
        <w:pStyle w:val="Body"/>
        <w:spacing w:after="0"/>
        <w:rPr>
          <w:rFonts w:ascii="Arial" w:hAnsi="Arial" w:cs="Arial"/>
          <w:lang w:val="en-GB"/>
        </w:rPr>
      </w:pPr>
    </w:p>
    <w:p w14:paraId="36BF4FA3" w14:textId="7EC0DA27" w:rsidR="00FE79AB" w:rsidRDefault="008F3C98" w:rsidP="00441B6F">
      <w:pPr>
        <w:pStyle w:val="Body"/>
        <w:spacing w:after="0"/>
        <w:rPr>
          <w:rFonts w:ascii="Arial" w:hAnsi="Arial" w:cs="Arial"/>
        </w:rPr>
      </w:pPr>
      <w:r w:rsidRPr="008F3C98">
        <w:rPr>
          <w:rFonts w:ascii="Arial" w:hAnsi="Arial" w:cs="Arial"/>
        </w:rPr>
        <w:t xml:space="preserve">The evaluation of antioxidant potential using the DPPH radical scavenging method revealed significant antiradical activity for all extracts of </w:t>
      </w:r>
      <w:proofErr w:type="spellStart"/>
      <w:r w:rsidRPr="008F3C98">
        <w:rPr>
          <w:rFonts w:ascii="Arial" w:hAnsi="Arial" w:cs="Arial"/>
          <w:i/>
          <w:iCs/>
        </w:rPr>
        <w:t>Adenanthera</w:t>
      </w:r>
      <w:proofErr w:type="spellEnd"/>
      <w:r w:rsidRPr="008F3C98">
        <w:rPr>
          <w:rFonts w:ascii="Arial" w:hAnsi="Arial" w:cs="Arial"/>
          <w:i/>
          <w:iCs/>
        </w:rPr>
        <w:t xml:space="preserve"> </w:t>
      </w:r>
      <w:proofErr w:type="spellStart"/>
      <w:r w:rsidRPr="008F3C98">
        <w:rPr>
          <w:rFonts w:ascii="Arial" w:hAnsi="Arial" w:cs="Arial"/>
          <w:i/>
          <w:iCs/>
        </w:rPr>
        <w:t>pavonina</w:t>
      </w:r>
      <w:proofErr w:type="spellEnd"/>
      <w:r w:rsidRPr="008F3C98">
        <w:rPr>
          <w:rFonts w:ascii="Arial" w:hAnsi="Arial" w:cs="Arial"/>
        </w:rPr>
        <w:t xml:space="preserve">, with the trunk bark extract showing particularly remarkable performance (Figure </w:t>
      </w:r>
      <w:r w:rsidR="00F2284F">
        <w:rPr>
          <w:rFonts w:ascii="Arial" w:hAnsi="Arial" w:cs="Arial"/>
        </w:rPr>
        <w:t>1</w:t>
      </w:r>
      <w:r w:rsidRPr="008F3C98">
        <w:rPr>
          <w:rFonts w:ascii="Arial" w:hAnsi="Arial" w:cs="Arial"/>
        </w:rPr>
        <w:t>). Analysis of the percentage reduction (PR) indicated that the bark extract-maintained values above 50% over a concentration range of 0.003125 to 0.025 mg/mL, reaching 92.206% at the highest tested concentration (0.025 mg/mL).</w:t>
      </w:r>
    </w:p>
    <w:p w14:paraId="3AD6D53C" w14:textId="5623ADBF" w:rsidR="008F3C98" w:rsidRDefault="008F3C98" w:rsidP="00441B6F">
      <w:pPr>
        <w:pStyle w:val="Body"/>
        <w:spacing w:after="0"/>
        <w:rPr>
          <w:rFonts w:ascii="Arial" w:hAnsi="Arial" w:cs="Arial"/>
        </w:rPr>
      </w:pPr>
      <w:r w:rsidRPr="008F3C98">
        <w:rPr>
          <w:rFonts w:ascii="Arial" w:hAnsi="Arial" w:cs="Arial"/>
        </w:rPr>
        <w:t>Although vitamin C, used as a reference, exhibited slightly higher PR values (99.958% at 0.025 mg/mL), the analysis of effective concentrations (IC</w:t>
      </w:r>
      <w:r w:rsidRPr="008F3C98">
        <w:rPr>
          <w:rFonts w:ascii="Arial" w:hAnsi="Arial" w:cs="Arial"/>
          <w:vertAlign w:val="subscript"/>
        </w:rPr>
        <w:t>50</w:t>
      </w:r>
      <w:r w:rsidRPr="008F3C98">
        <w:rPr>
          <w:rFonts w:ascii="Arial" w:hAnsi="Arial" w:cs="Arial"/>
        </w:rPr>
        <w:t>) provides more definitive insight. The IC</w:t>
      </w:r>
      <w:r w:rsidRPr="00A60159">
        <w:rPr>
          <w:rFonts w:ascii="Arial" w:hAnsi="Arial" w:cs="Arial"/>
          <w:vertAlign w:val="subscript"/>
        </w:rPr>
        <w:t>50</w:t>
      </w:r>
      <w:r w:rsidRPr="008F3C98">
        <w:rPr>
          <w:rFonts w:ascii="Arial" w:hAnsi="Arial" w:cs="Arial"/>
        </w:rPr>
        <w:t xml:space="preserve"> value, which corresponds to the concentration required to reduce the DPPH radical activity by half [36], was lower for the bark extract (0.00268 mg/mL) than for vitamin C (0.0045 mg/mL). This result indicates that the bark extract possesses intrinsically stronger antioxidant activity [37], confirming its superiority over the other plant organs tested (Table 4).</w:t>
      </w:r>
    </w:p>
    <w:p w14:paraId="3E5B3285" w14:textId="4C16A6E9" w:rsidR="00C076CE" w:rsidRDefault="009059AE" w:rsidP="00441B6F">
      <w:pPr>
        <w:pStyle w:val="Body"/>
        <w:spacing w:after="0"/>
        <w:rPr>
          <w:rFonts w:ascii="Arial" w:hAnsi="Arial" w:cs="Arial"/>
        </w:rPr>
      </w:pPr>
      <w:r w:rsidRPr="009059AE">
        <w:rPr>
          <w:rFonts w:ascii="Arial" w:hAnsi="Arial" w:cs="Arial"/>
        </w:rPr>
        <w:t xml:space="preserve">The correlation between this remarkable antioxidant activity and the exceptionally high content of polyphenols and condensed tannins previously identified in the bark strongly suggests that these phenolic compounds are the main contributors. The bark of </w:t>
      </w:r>
      <w:proofErr w:type="spellStart"/>
      <w:r w:rsidRPr="009059AE">
        <w:rPr>
          <w:rFonts w:ascii="Arial" w:hAnsi="Arial" w:cs="Arial"/>
          <w:i/>
          <w:iCs/>
        </w:rPr>
        <w:t>Adenanthera</w:t>
      </w:r>
      <w:proofErr w:type="spellEnd"/>
      <w:r w:rsidRPr="009059AE">
        <w:rPr>
          <w:rFonts w:ascii="Arial" w:hAnsi="Arial" w:cs="Arial"/>
          <w:i/>
          <w:iCs/>
        </w:rPr>
        <w:t xml:space="preserve"> </w:t>
      </w:r>
      <w:proofErr w:type="spellStart"/>
      <w:r w:rsidRPr="009059AE">
        <w:rPr>
          <w:rFonts w:ascii="Arial" w:hAnsi="Arial" w:cs="Arial"/>
          <w:i/>
          <w:iCs/>
        </w:rPr>
        <w:t>pavonina</w:t>
      </w:r>
      <w:proofErr w:type="spellEnd"/>
      <w:r w:rsidRPr="009059AE">
        <w:rPr>
          <w:rFonts w:ascii="Arial" w:hAnsi="Arial" w:cs="Arial"/>
        </w:rPr>
        <w:t xml:space="preserve"> thus emerges as a promising natural source of antioxidants, warranting further investigation into its pharmacological potential.</w:t>
      </w:r>
    </w:p>
    <w:p w14:paraId="1C0E1269" w14:textId="62E510D9" w:rsidR="000B4CEC" w:rsidRDefault="000B4CEC" w:rsidP="00441B6F">
      <w:pPr>
        <w:pStyle w:val="Body"/>
        <w:spacing w:after="0"/>
        <w:rPr>
          <w:rFonts w:ascii="Arial" w:hAnsi="Arial" w:cs="Arial"/>
        </w:rPr>
      </w:pPr>
    </w:p>
    <w:p w14:paraId="08C43259" w14:textId="69CC27D1" w:rsidR="000B4CEC" w:rsidRDefault="000B4CEC" w:rsidP="00441B6F">
      <w:pPr>
        <w:pStyle w:val="Body"/>
        <w:spacing w:after="0"/>
        <w:rPr>
          <w:rFonts w:ascii="Arial" w:hAnsi="Arial" w:cs="Arial"/>
        </w:rPr>
      </w:pPr>
    </w:p>
    <w:p w14:paraId="58207290" w14:textId="6FD7DEE4" w:rsidR="000B4CEC" w:rsidRDefault="000B4CEC" w:rsidP="00441B6F">
      <w:pPr>
        <w:pStyle w:val="Body"/>
        <w:spacing w:after="0"/>
        <w:rPr>
          <w:rFonts w:ascii="Arial" w:hAnsi="Arial" w:cs="Arial"/>
        </w:rPr>
      </w:pPr>
    </w:p>
    <w:p w14:paraId="478ED633" w14:textId="4DBC48A7" w:rsidR="000B4CEC" w:rsidRDefault="000B4CEC" w:rsidP="00441B6F">
      <w:pPr>
        <w:pStyle w:val="Body"/>
        <w:spacing w:after="0"/>
        <w:rPr>
          <w:rFonts w:ascii="Arial" w:hAnsi="Arial" w:cs="Arial"/>
        </w:rPr>
      </w:pPr>
    </w:p>
    <w:p w14:paraId="4B3C1E9C" w14:textId="5C6F2EBF" w:rsidR="000B4CEC" w:rsidRDefault="000B4CEC" w:rsidP="00441B6F">
      <w:pPr>
        <w:pStyle w:val="Body"/>
        <w:spacing w:after="0"/>
        <w:rPr>
          <w:rFonts w:ascii="Arial" w:hAnsi="Arial" w:cs="Arial"/>
        </w:rPr>
      </w:pPr>
    </w:p>
    <w:p w14:paraId="30613AB1" w14:textId="1D1561F5" w:rsidR="000B4CEC" w:rsidRDefault="000B4CEC" w:rsidP="00441B6F">
      <w:pPr>
        <w:pStyle w:val="Body"/>
        <w:spacing w:after="0"/>
        <w:rPr>
          <w:rFonts w:ascii="Arial" w:hAnsi="Arial" w:cs="Arial"/>
        </w:rPr>
      </w:pPr>
    </w:p>
    <w:p w14:paraId="585BBCAF" w14:textId="77777777" w:rsidR="000B4CEC" w:rsidRDefault="000B4CEC" w:rsidP="00441B6F">
      <w:pPr>
        <w:pStyle w:val="Body"/>
        <w:spacing w:after="0"/>
        <w:rPr>
          <w:rFonts w:ascii="Arial" w:hAnsi="Arial" w:cs="Arial"/>
        </w:rPr>
      </w:pPr>
      <w:bookmarkStart w:id="3" w:name="_GoBack"/>
      <w:bookmarkEnd w:id="3"/>
    </w:p>
    <w:p w14:paraId="6A342937" w14:textId="77777777" w:rsidR="009059AE" w:rsidRDefault="009059AE" w:rsidP="00441B6F">
      <w:pPr>
        <w:pStyle w:val="Body"/>
        <w:spacing w:after="0"/>
        <w:rPr>
          <w:rFonts w:ascii="Arial" w:hAnsi="Arial" w:cs="Arial"/>
        </w:rPr>
      </w:pPr>
    </w:p>
    <w:p w14:paraId="2D32733E" w14:textId="36D8AE15" w:rsidR="009059AE" w:rsidRPr="00F2284F" w:rsidRDefault="001F3BF5" w:rsidP="00441B6F">
      <w:pPr>
        <w:pStyle w:val="Body"/>
        <w:spacing w:after="0"/>
        <w:rPr>
          <w:rFonts w:ascii="Arial" w:hAnsi="Arial" w:cs="Arial"/>
          <w:b/>
          <w:bCs/>
        </w:rPr>
      </w:pPr>
      <w:r w:rsidRPr="00F2284F">
        <w:rPr>
          <w:rFonts w:ascii="Arial" w:hAnsi="Arial" w:cs="Arial"/>
          <w:b/>
          <w:bCs/>
        </w:rPr>
        <w:t>Table 4</w:t>
      </w:r>
      <w:r w:rsidR="00F2284F" w:rsidRPr="00F2284F">
        <w:rPr>
          <w:rFonts w:ascii="Arial" w:hAnsi="Arial" w:cs="Arial"/>
          <w:b/>
          <w:bCs/>
        </w:rPr>
        <w:t xml:space="preserve">. </w:t>
      </w:r>
      <w:r w:rsidRPr="00F2284F">
        <w:rPr>
          <w:rFonts w:ascii="Arial" w:hAnsi="Arial" w:cs="Arial"/>
          <w:b/>
          <w:bCs/>
        </w:rPr>
        <w:t>IC</w:t>
      </w:r>
      <w:r w:rsidRPr="00F2284F">
        <w:rPr>
          <w:rFonts w:ascii="Arial" w:hAnsi="Arial" w:cs="Arial"/>
          <w:b/>
          <w:bCs/>
          <w:vertAlign w:val="subscript"/>
        </w:rPr>
        <w:t>50</w:t>
      </w:r>
      <w:r w:rsidRPr="00F2284F">
        <w:rPr>
          <w:rFonts w:ascii="Arial" w:hAnsi="Arial" w:cs="Arial"/>
          <w:b/>
          <w:bCs/>
        </w:rPr>
        <w:t xml:space="preserve"> (mg/mL) of Hydroethanolic Crude Extracts of </w:t>
      </w:r>
      <w:proofErr w:type="spellStart"/>
      <w:r w:rsidRPr="00F2284F">
        <w:rPr>
          <w:rFonts w:ascii="Arial" w:hAnsi="Arial" w:cs="Arial"/>
          <w:b/>
          <w:bCs/>
          <w:i/>
          <w:iCs/>
        </w:rPr>
        <w:t>Adenanthera</w:t>
      </w:r>
      <w:proofErr w:type="spellEnd"/>
      <w:r w:rsidRPr="00F2284F">
        <w:rPr>
          <w:rFonts w:ascii="Arial" w:hAnsi="Arial" w:cs="Arial"/>
          <w:b/>
          <w:bCs/>
          <w:i/>
          <w:iCs/>
        </w:rPr>
        <w:t xml:space="preserve"> </w:t>
      </w:r>
      <w:proofErr w:type="spellStart"/>
      <w:r w:rsidRPr="00F2284F">
        <w:rPr>
          <w:rFonts w:ascii="Arial" w:hAnsi="Arial" w:cs="Arial"/>
          <w:b/>
          <w:bCs/>
          <w:i/>
          <w:iCs/>
        </w:rPr>
        <w:t>pavonina</w:t>
      </w:r>
      <w:proofErr w:type="spellEnd"/>
      <w:r w:rsidRPr="00F2284F">
        <w:rPr>
          <w:rFonts w:ascii="Arial" w:hAnsi="Arial" w:cs="Arial"/>
          <w:b/>
          <w:bCs/>
        </w:rPr>
        <w:t xml:space="preserve"> and Vitamin C</w:t>
      </w:r>
    </w:p>
    <w:p w14:paraId="6E5D8F6A" w14:textId="77777777" w:rsidR="009059AE" w:rsidRDefault="009059A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1659"/>
        <w:gridCol w:w="1659"/>
        <w:gridCol w:w="1659"/>
        <w:gridCol w:w="1659"/>
        <w:gridCol w:w="1660"/>
      </w:tblGrid>
      <w:tr w:rsidR="004027B5" w:rsidRPr="0073290D" w14:paraId="4BB8124C" w14:textId="77777777" w:rsidTr="00175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6EB0AAF5" w14:textId="77777777" w:rsidR="004027B5" w:rsidRPr="004027B5" w:rsidRDefault="004027B5" w:rsidP="00175510">
            <w:pPr>
              <w:ind w:right="-766"/>
              <w:rPr>
                <w:rFonts w:ascii="Arial" w:hAnsi="Arial" w:cs="Arial"/>
                <w:sz w:val="20"/>
                <w:szCs w:val="20"/>
                <w:lang w:val="en-GB"/>
              </w:rPr>
            </w:pPr>
          </w:p>
        </w:tc>
        <w:tc>
          <w:tcPr>
            <w:tcW w:w="1659" w:type="dxa"/>
          </w:tcPr>
          <w:p w14:paraId="0A9B6E45" w14:textId="77777777" w:rsidR="004027B5" w:rsidRPr="004027B5" w:rsidRDefault="004027B5" w:rsidP="00175510">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27B5">
              <w:rPr>
                <w:rFonts w:ascii="Arial" w:hAnsi="Arial" w:cs="Arial"/>
                <w:sz w:val="20"/>
                <w:szCs w:val="20"/>
              </w:rPr>
              <w:t>SE</w:t>
            </w:r>
          </w:p>
        </w:tc>
        <w:tc>
          <w:tcPr>
            <w:tcW w:w="1659" w:type="dxa"/>
          </w:tcPr>
          <w:p w14:paraId="07E20AE3" w14:textId="77777777" w:rsidR="004027B5" w:rsidRPr="004027B5" w:rsidRDefault="004027B5" w:rsidP="00175510">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27B5">
              <w:rPr>
                <w:rFonts w:ascii="Arial" w:hAnsi="Arial" w:cs="Arial"/>
                <w:sz w:val="20"/>
                <w:szCs w:val="20"/>
              </w:rPr>
              <w:t>TE</w:t>
            </w:r>
          </w:p>
        </w:tc>
        <w:tc>
          <w:tcPr>
            <w:tcW w:w="1659" w:type="dxa"/>
          </w:tcPr>
          <w:p w14:paraId="05C85453" w14:textId="77777777" w:rsidR="004027B5" w:rsidRPr="004027B5" w:rsidRDefault="004027B5" w:rsidP="00175510">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27B5">
              <w:rPr>
                <w:rFonts w:ascii="Arial" w:hAnsi="Arial" w:cs="Arial"/>
                <w:sz w:val="20"/>
                <w:szCs w:val="20"/>
              </w:rPr>
              <w:t>LE</w:t>
            </w:r>
          </w:p>
        </w:tc>
        <w:tc>
          <w:tcPr>
            <w:tcW w:w="1660" w:type="dxa"/>
          </w:tcPr>
          <w:p w14:paraId="7157ADEB" w14:textId="77777777" w:rsidR="004027B5" w:rsidRPr="004027B5" w:rsidRDefault="004027B5" w:rsidP="00175510">
            <w:pPr>
              <w:ind w:right="-76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27B5">
              <w:rPr>
                <w:rFonts w:ascii="Arial" w:hAnsi="Arial" w:cs="Arial"/>
                <w:sz w:val="20"/>
                <w:szCs w:val="20"/>
              </w:rPr>
              <w:t>VC</w:t>
            </w:r>
          </w:p>
        </w:tc>
      </w:tr>
      <w:tr w:rsidR="004027B5" w:rsidRPr="0073290D" w14:paraId="04E58060" w14:textId="77777777" w:rsidTr="0017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6FA2C63F" w14:textId="65F9637F" w:rsidR="004027B5" w:rsidRPr="004027B5" w:rsidRDefault="004027B5" w:rsidP="00175510">
            <w:pPr>
              <w:ind w:right="-766"/>
              <w:rPr>
                <w:rFonts w:ascii="Arial" w:hAnsi="Arial" w:cs="Arial"/>
                <w:sz w:val="20"/>
                <w:szCs w:val="20"/>
              </w:rPr>
            </w:pPr>
            <w:r w:rsidRPr="008F3C98">
              <w:rPr>
                <w:rFonts w:ascii="Arial" w:hAnsi="Arial" w:cs="Arial"/>
              </w:rPr>
              <w:t>IC</w:t>
            </w:r>
            <w:r w:rsidRPr="00A60159">
              <w:rPr>
                <w:rFonts w:ascii="Arial" w:hAnsi="Arial" w:cs="Arial"/>
                <w:vertAlign w:val="subscript"/>
              </w:rPr>
              <w:t>50</w:t>
            </w:r>
          </w:p>
        </w:tc>
        <w:tc>
          <w:tcPr>
            <w:tcW w:w="1659" w:type="dxa"/>
          </w:tcPr>
          <w:p w14:paraId="529C5A85" w14:textId="77777777" w:rsidR="004027B5" w:rsidRPr="004027B5" w:rsidRDefault="004027B5"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27B5">
              <w:rPr>
                <w:rFonts w:ascii="Arial" w:hAnsi="Arial" w:cs="Arial"/>
                <w:sz w:val="20"/>
                <w:szCs w:val="20"/>
              </w:rPr>
              <w:t>0,468</w:t>
            </w:r>
          </w:p>
        </w:tc>
        <w:tc>
          <w:tcPr>
            <w:tcW w:w="1659" w:type="dxa"/>
          </w:tcPr>
          <w:p w14:paraId="53496F11" w14:textId="77777777" w:rsidR="004027B5" w:rsidRPr="004027B5" w:rsidRDefault="004027B5"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27B5">
              <w:rPr>
                <w:rFonts w:ascii="Arial" w:hAnsi="Arial" w:cs="Arial"/>
                <w:sz w:val="20"/>
                <w:szCs w:val="20"/>
              </w:rPr>
              <w:t>0,478</w:t>
            </w:r>
          </w:p>
        </w:tc>
        <w:tc>
          <w:tcPr>
            <w:tcW w:w="1659" w:type="dxa"/>
          </w:tcPr>
          <w:p w14:paraId="4336B558" w14:textId="77777777" w:rsidR="004027B5" w:rsidRPr="004027B5" w:rsidRDefault="004027B5"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27B5">
              <w:rPr>
                <w:rFonts w:ascii="Arial" w:hAnsi="Arial" w:cs="Arial"/>
                <w:sz w:val="20"/>
                <w:szCs w:val="20"/>
              </w:rPr>
              <w:t>0,00268</w:t>
            </w:r>
          </w:p>
        </w:tc>
        <w:tc>
          <w:tcPr>
            <w:tcW w:w="1660" w:type="dxa"/>
          </w:tcPr>
          <w:p w14:paraId="24D7C677" w14:textId="77777777" w:rsidR="004027B5" w:rsidRPr="004027B5" w:rsidRDefault="004027B5" w:rsidP="00175510">
            <w:pPr>
              <w:ind w:right="-76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27B5">
              <w:rPr>
                <w:rFonts w:ascii="Arial" w:hAnsi="Arial" w:cs="Arial"/>
                <w:sz w:val="20"/>
                <w:szCs w:val="20"/>
              </w:rPr>
              <w:t>0,0045</w:t>
            </w:r>
          </w:p>
        </w:tc>
      </w:tr>
    </w:tbl>
    <w:p w14:paraId="337660EC" w14:textId="77777777" w:rsidR="004027B5" w:rsidRPr="004027B5" w:rsidRDefault="004027B5" w:rsidP="004027B5">
      <w:pPr>
        <w:ind w:right="-766"/>
        <w:jc w:val="center"/>
        <w:rPr>
          <w:rFonts w:ascii="Arial" w:hAnsi="Arial" w:cs="Arial"/>
          <w:lang w:val="en-GB"/>
        </w:rPr>
      </w:pPr>
      <w:r w:rsidRPr="004027B5">
        <w:rPr>
          <w:rFonts w:ascii="Arial" w:hAnsi="Arial" w:cs="Arial"/>
          <w:b/>
          <w:bCs/>
          <w:lang w:val="en-GB"/>
        </w:rPr>
        <w:t>TE</w:t>
      </w:r>
      <w:r w:rsidRPr="004027B5">
        <w:rPr>
          <w:rFonts w:ascii="Arial" w:hAnsi="Arial" w:cs="Arial"/>
          <w:lang w:val="en-GB"/>
        </w:rPr>
        <w:t>: Trunk Bark Extract, L</w:t>
      </w:r>
      <w:r w:rsidRPr="004027B5">
        <w:rPr>
          <w:rFonts w:ascii="Arial" w:hAnsi="Arial" w:cs="Arial"/>
          <w:b/>
          <w:bCs/>
          <w:lang w:val="en-GB"/>
        </w:rPr>
        <w:t>E</w:t>
      </w:r>
      <w:r w:rsidRPr="004027B5">
        <w:rPr>
          <w:rFonts w:ascii="Arial" w:hAnsi="Arial" w:cs="Arial"/>
          <w:lang w:val="en-GB"/>
        </w:rPr>
        <w:t>: Leaf Extract, S</w:t>
      </w:r>
      <w:r w:rsidRPr="004027B5">
        <w:rPr>
          <w:rFonts w:ascii="Arial" w:hAnsi="Arial" w:cs="Arial"/>
          <w:b/>
          <w:bCs/>
          <w:lang w:val="en-GB"/>
        </w:rPr>
        <w:t>E</w:t>
      </w:r>
      <w:r w:rsidRPr="004027B5">
        <w:rPr>
          <w:rFonts w:ascii="Arial" w:hAnsi="Arial" w:cs="Arial"/>
          <w:lang w:val="en-GB"/>
        </w:rPr>
        <w:t xml:space="preserve">: Seed Extract, </w:t>
      </w:r>
      <w:r w:rsidRPr="004027B5">
        <w:rPr>
          <w:rFonts w:ascii="Arial" w:hAnsi="Arial" w:cs="Arial"/>
          <w:b/>
          <w:bCs/>
          <w:lang w:val="en-GB"/>
        </w:rPr>
        <w:t>VC</w:t>
      </w:r>
      <w:r w:rsidRPr="004027B5">
        <w:rPr>
          <w:rFonts w:ascii="Arial" w:hAnsi="Arial" w:cs="Arial"/>
          <w:lang w:val="en-GB"/>
        </w:rPr>
        <w:t>: Vitamin C</w:t>
      </w:r>
    </w:p>
    <w:p w14:paraId="58CB83B7" w14:textId="77777777" w:rsidR="009059AE" w:rsidRDefault="009059AE" w:rsidP="00441B6F">
      <w:pPr>
        <w:pStyle w:val="Body"/>
        <w:spacing w:after="0"/>
        <w:rPr>
          <w:rFonts w:ascii="Arial" w:hAnsi="Arial" w:cs="Arial"/>
        </w:rPr>
      </w:pPr>
    </w:p>
    <w:p w14:paraId="1002DD8B" w14:textId="77777777" w:rsidR="008F3C98" w:rsidRDefault="008F3C98" w:rsidP="00441B6F">
      <w:pPr>
        <w:pStyle w:val="Body"/>
        <w:spacing w:after="0"/>
        <w:rPr>
          <w:rFonts w:ascii="Arial" w:hAnsi="Arial" w:cs="Arial"/>
        </w:rPr>
      </w:pPr>
    </w:p>
    <w:p w14:paraId="38BC1DC2" w14:textId="2A08F91C" w:rsidR="001F3BF5" w:rsidRDefault="001F3BF5" w:rsidP="00441B6F">
      <w:pPr>
        <w:pStyle w:val="Body"/>
        <w:spacing w:after="0"/>
        <w:rPr>
          <w:rFonts w:ascii="Arial" w:hAnsi="Arial" w:cs="Arial"/>
        </w:rPr>
      </w:pPr>
    </w:p>
    <w:p w14:paraId="158068C5" w14:textId="18440353" w:rsidR="001F3BF5" w:rsidRDefault="00DA5BB1" w:rsidP="00441B6F">
      <w:pPr>
        <w:pStyle w:val="Body"/>
        <w:spacing w:after="0"/>
        <w:rPr>
          <w:rFonts w:ascii="Arial" w:hAnsi="Arial" w:cs="Arial"/>
        </w:rPr>
      </w:pPr>
      <w:r>
        <w:rPr>
          <w:noProof/>
        </w:rPr>
        <w:pict w14:anchorId="4E092870">
          <v:shapetype id="_x0000_t202" coordsize="21600,21600" o:spt="202" path="m,l,21600r21600,l21600,xe">
            <v:stroke joinstyle="miter"/>
            <v:path gradientshapeok="t" o:connecttype="rect"/>
          </v:shapetype>
          <v:shape id="Zone de texte 1" o:spid="_x0000_s1028" type="#_x0000_t202" style="position:absolute;left:0;text-align:left;margin-left:31.5pt;margin-top:2.15pt;width:404.25pt;height:453.4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2OAIAAH0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" fillcolor="white [3201]" strokeweight=".5pt">
            <v:textbox>
              <w:txbxContent>
                <w:p w14:paraId="7CD1564C" w14:textId="77777777" w:rsidR="004027B5" w:rsidRDefault="004027B5" w:rsidP="004027B5">
                  <w:pPr>
                    <w:rPr>
                      <w:noProof/>
                    </w:rPr>
                  </w:pPr>
                  <w:r>
                    <w:rPr>
                      <w:noProof/>
                    </w:rPr>
                    <w:drawing>
                      <wp:inline distT="0" distB="0" distL="0" distR="0" wp14:anchorId="4A82E411" wp14:editId="1A742E41">
                        <wp:extent cx="2144188" cy="2890838"/>
                        <wp:effectExtent l="0" t="0" r="8890" b="5080"/>
                        <wp:docPr id="8552535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3735" cy="2903709"/>
                                </a:xfrm>
                                <a:prstGeom prst="rect">
                                  <a:avLst/>
                                </a:prstGeom>
                                <a:noFill/>
                                <a:ln>
                                  <a:noFill/>
                                </a:ln>
                              </pic:spPr>
                            </pic:pic>
                          </a:graphicData>
                        </a:graphic>
                      </wp:inline>
                    </w:drawing>
                  </w:r>
                  <w:r>
                    <w:rPr>
                      <w:noProof/>
                    </w:rPr>
                    <w:drawing>
                      <wp:inline distT="0" distB="0" distL="0" distR="0" wp14:anchorId="761F316D" wp14:editId="25B81D2F">
                        <wp:extent cx="2276219" cy="2928938"/>
                        <wp:effectExtent l="0" t="0" r="0" b="5080"/>
                        <wp:docPr id="303277199" name="Image 2" descr="Une image contenant texte, Polic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82837" name="Image 2" descr="Une image contenant texte, Police, capture d’écran, diagramm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3481" cy="2951150"/>
                                </a:xfrm>
                                <a:prstGeom prst="rect">
                                  <a:avLst/>
                                </a:prstGeom>
                                <a:noFill/>
                                <a:ln>
                                  <a:noFill/>
                                </a:ln>
                              </pic:spPr>
                            </pic:pic>
                          </a:graphicData>
                        </a:graphic>
                      </wp:inline>
                    </w:drawing>
                  </w:r>
                </w:p>
                <w:p w14:paraId="05E8AEB4" w14:textId="77777777" w:rsidR="004027B5" w:rsidRDefault="004027B5" w:rsidP="004027B5">
                  <w:r>
                    <w:rPr>
                      <w:noProof/>
                    </w:rPr>
                    <w:drawing>
                      <wp:inline distT="0" distB="0" distL="0" distR="0" wp14:anchorId="23444DD9" wp14:editId="0E6B3309">
                        <wp:extent cx="2471738" cy="2490298"/>
                        <wp:effectExtent l="0" t="0" r="5080" b="5715"/>
                        <wp:docPr id="208013264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4965" cy="2503624"/>
                                </a:xfrm>
                                <a:prstGeom prst="rect">
                                  <a:avLst/>
                                </a:prstGeom>
                                <a:noFill/>
                                <a:ln>
                                  <a:noFill/>
                                </a:ln>
                              </pic:spPr>
                            </pic:pic>
                          </a:graphicData>
                        </a:graphic>
                      </wp:inline>
                    </w:drawing>
                  </w:r>
                  <w:r>
                    <w:rPr>
                      <w:noProof/>
                    </w:rPr>
                    <w:drawing>
                      <wp:inline distT="0" distB="0" distL="0" distR="0" wp14:anchorId="41919266" wp14:editId="08AA1A64">
                        <wp:extent cx="2409825" cy="2512361"/>
                        <wp:effectExtent l="0" t="0" r="0" b="2540"/>
                        <wp:docPr id="143791577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4495" cy="2517230"/>
                                </a:xfrm>
                                <a:prstGeom prst="rect">
                                  <a:avLst/>
                                </a:prstGeom>
                                <a:noFill/>
                                <a:ln>
                                  <a:noFill/>
                                </a:ln>
                              </pic:spPr>
                            </pic:pic>
                          </a:graphicData>
                        </a:graphic>
                      </wp:inline>
                    </w:drawing>
                  </w:r>
                </w:p>
              </w:txbxContent>
            </v:textbox>
            <w10:wrap anchorx="margin"/>
          </v:shape>
        </w:pict>
      </w:r>
    </w:p>
    <w:p w14:paraId="474E60C5" w14:textId="77777777" w:rsidR="004027B5" w:rsidRDefault="004027B5" w:rsidP="00441B6F">
      <w:pPr>
        <w:pStyle w:val="Body"/>
        <w:spacing w:after="0"/>
        <w:rPr>
          <w:rFonts w:ascii="Arial" w:hAnsi="Arial" w:cs="Arial"/>
        </w:rPr>
      </w:pPr>
    </w:p>
    <w:p w14:paraId="36A88C4C" w14:textId="77777777" w:rsidR="004027B5" w:rsidRDefault="004027B5" w:rsidP="00441B6F">
      <w:pPr>
        <w:pStyle w:val="Body"/>
        <w:spacing w:after="0"/>
        <w:rPr>
          <w:rFonts w:ascii="Arial" w:hAnsi="Arial" w:cs="Arial"/>
        </w:rPr>
      </w:pPr>
    </w:p>
    <w:p w14:paraId="108460EC" w14:textId="77777777" w:rsidR="004027B5" w:rsidRDefault="004027B5" w:rsidP="00441B6F">
      <w:pPr>
        <w:pStyle w:val="Body"/>
        <w:spacing w:after="0"/>
        <w:rPr>
          <w:rFonts w:ascii="Arial" w:hAnsi="Arial" w:cs="Arial"/>
        </w:rPr>
      </w:pPr>
    </w:p>
    <w:p w14:paraId="5DCD107F" w14:textId="77777777" w:rsidR="004027B5" w:rsidRDefault="004027B5" w:rsidP="00441B6F">
      <w:pPr>
        <w:pStyle w:val="Body"/>
        <w:spacing w:after="0"/>
        <w:rPr>
          <w:rFonts w:ascii="Arial" w:hAnsi="Arial" w:cs="Arial"/>
        </w:rPr>
      </w:pPr>
    </w:p>
    <w:p w14:paraId="4CB5AE0D" w14:textId="77777777" w:rsidR="004027B5" w:rsidRDefault="004027B5" w:rsidP="00441B6F">
      <w:pPr>
        <w:pStyle w:val="Body"/>
        <w:spacing w:after="0"/>
        <w:rPr>
          <w:rFonts w:ascii="Arial" w:hAnsi="Arial" w:cs="Arial"/>
        </w:rPr>
      </w:pPr>
    </w:p>
    <w:p w14:paraId="16666BEA" w14:textId="0B10A2D9" w:rsidR="004027B5" w:rsidRDefault="004027B5" w:rsidP="00441B6F">
      <w:pPr>
        <w:pStyle w:val="Body"/>
        <w:spacing w:after="0"/>
        <w:rPr>
          <w:rFonts w:ascii="Arial" w:hAnsi="Arial" w:cs="Arial"/>
        </w:rPr>
      </w:pPr>
    </w:p>
    <w:p w14:paraId="32BF848E" w14:textId="77777777" w:rsidR="004027B5" w:rsidRDefault="004027B5" w:rsidP="00441B6F">
      <w:pPr>
        <w:pStyle w:val="Body"/>
        <w:spacing w:after="0"/>
        <w:rPr>
          <w:rFonts w:ascii="Arial" w:hAnsi="Arial" w:cs="Arial"/>
        </w:rPr>
      </w:pPr>
    </w:p>
    <w:p w14:paraId="00BB52F4" w14:textId="77777777" w:rsidR="004027B5" w:rsidRDefault="004027B5" w:rsidP="00441B6F">
      <w:pPr>
        <w:pStyle w:val="Body"/>
        <w:spacing w:after="0"/>
        <w:rPr>
          <w:rFonts w:ascii="Arial" w:hAnsi="Arial" w:cs="Arial"/>
        </w:rPr>
      </w:pPr>
    </w:p>
    <w:p w14:paraId="16EE8F12" w14:textId="77777777" w:rsidR="004027B5" w:rsidRDefault="004027B5" w:rsidP="00441B6F">
      <w:pPr>
        <w:pStyle w:val="Body"/>
        <w:spacing w:after="0"/>
        <w:rPr>
          <w:rFonts w:ascii="Arial" w:hAnsi="Arial" w:cs="Arial"/>
        </w:rPr>
      </w:pPr>
    </w:p>
    <w:p w14:paraId="6D158B36" w14:textId="77777777" w:rsidR="004027B5" w:rsidRDefault="004027B5" w:rsidP="00441B6F">
      <w:pPr>
        <w:pStyle w:val="Body"/>
        <w:spacing w:after="0"/>
        <w:rPr>
          <w:rFonts w:ascii="Arial" w:hAnsi="Arial" w:cs="Arial"/>
        </w:rPr>
      </w:pPr>
    </w:p>
    <w:p w14:paraId="3ABA002B" w14:textId="77777777" w:rsidR="004027B5" w:rsidRDefault="004027B5" w:rsidP="00441B6F">
      <w:pPr>
        <w:pStyle w:val="Body"/>
        <w:spacing w:after="0"/>
        <w:rPr>
          <w:rFonts w:ascii="Arial" w:hAnsi="Arial" w:cs="Arial"/>
        </w:rPr>
      </w:pPr>
    </w:p>
    <w:p w14:paraId="38DD00A1" w14:textId="77777777" w:rsidR="004027B5" w:rsidRDefault="004027B5" w:rsidP="00441B6F">
      <w:pPr>
        <w:pStyle w:val="Body"/>
        <w:spacing w:after="0"/>
        <w:rPr>
          <w:rFonts w:ascii="Arial" w:hAnsi="Arial" w:cs="Arial"/>
        </w:rPr>
      </w:pPr>
    </w:p>
    <w:p w14:paraId="12ACF108" w14:textId="77777777" w:rsidR="004027B5" w:rsidRDefault="004027B5" w:rsidP="00441B6F">
      <w:pPr>
        <w:pStyle w:val="Body"/>
        <w:spacing w:after="0"/>
        <w:rPr>
          <w:rFonts w:ascii="Arial" w:hAnsi="Arial" w:cs="Arial"/>
        </w:rPr>
      </w:pPr>
    </w:p>
    <w:p w14:paraId="3088E1FC" w14:textId="77777777" w:rsidR="004027B5" w:rsidRDefault="004027B5" w:rsidP="00441B6F">
      <w:pPr>
        <w:pStyle w:val="Body"/>
        <w:spacing w:after="0"/>
        <w:rPr>
          <w:rFonts w:ascii="Arial" w:hAnsi="Arial" w:cs="Arial"/>
        </w:rPr>
      </w:pPr>
    </w:p>
    <w:p w14:paraId="591CE57F" w14:textId="77777777" w:rsidR="004027B5" w:rsidRDefault="004027B5" w:rsidP="00441B6F">
      <w:pPr>
        <w:pStyle w:val="Body"/>
        <w:spacing w:after="0"/>
        <w:rPr>
          <w:rFonts w:ascii="Arial" w:hAnsi="Arial" w:cs="Arial"/>
        </w:rPr>
      </w:pPr>
    </w:p>
    <w:p w14:paraId="26AEF5C5" w14:textId="77777777" w:rsidR="004027B5" w:rsidRDefault="004027B5" w:rsidP="00441B6F">
      <w:pPr>
        <w:pStyle w:val="Body"/>
        <w:spacing w:after="0"/>
        <w:rPr>
          <w:rFonts w:ascii="Arial" w:hAnsi="Arial" w:cs="Arial"/>
        </w:rPr>
      </w:pPr>
    </w:p>
    <w:p w14:paraId="2E35DBEE" w14:textId="77777777" w:rsidR="004027B5" w:rsidRDefault="004027B5" w:rsidP="00441B6F">
      <w:pPr>
        <w:pStyle w:val="Body"/>
        <w:spacing w:after="0"/>
        <w:rPr>
          <w:rFonts w:ascii="Arial" w:hAnsi="Arial" w:cs="Arial"/>
        </w:rPr>
      </w:pPr>
    </w:p>
    <w:p w14:paraId="560C39B5" w14:textId="77777777" w:rsidR="004027B5" w:rsidRDefault="004027B5" w:rsidP="00441B6F">
      <w:pPr>
        <w:pStyle w:val="Body"/>
        <w:spacing w:after="0"/>
        <w:rPr>
          <w:rFonts w:ascii="Arial" w:hAnsi="Arial" w:cs="Arial"/>
        </w:rPr>
      </w:pPr>
    </w:p>
    <w:p w14:paraId="54F277EA" w14:textId="77777777" w:rsidR="004027B5" w:rsidRDefault="004027B5" w:rsidP="00441B6F">
      <w:pPr>
        <w:pStyle w:val="Body"/>
        <w:spacing w:after="0"/>
        <w:rPr>
          <w:rFonts w:ascii="Arial" w:hAnsi="Arial" w:cs="Arial"/>
        </w:rPr>
      </w:pPr>
    </w:p>
    <w:p w14:paraId="1771CCA4" w14:textId="77777777" w:rsidR="004027B5" w:rsidRDefault="004027B5" w:rsidP="00441B6F">
      <w:pPr>
        <w:pStyle w:val="Body"/>
        <w:spacing w:after="0"/>
        <w:rPr>
          <w:rFonts w:ascii="Arial" w:hAnsi="Arial" w:cs="Arial"/>
        </w:rPr>
      </w:pPr>
    </w:p>
    <w:p w14:paraId="16420428" w14:textId="77777777" w:rsidR="004027B5" w:rsidRDefault="004027B5" w:rsidP="00441B6F">
      <w:pPr>
        <w:pStyle w:val="Body"/>
        <w:spacing w:after="0"/>
        <w:rPr>
          <w:rFonts w:ascii="Arial" w:hAnsi="Arial" w:cs="Arial"/>
        </w:rPr>
      </w:pPr>
    </w:p>
    <w:p w14:paraId="7CE0E02E" w14:textId="77777777" w:rsidR="004027B5" w:rsidRDefault="004027B5" w:rsidP="00441B6F">
      <w:pPr>
        <w:pStyle w:val="Body"/>
        <w:spacing w:after="0"/>
        <w:rPr>
          <w:rFonts w:ascii="Arial" w:hAnsi="Arial" w:cs="Arial"/>
        </w:rPr>
      </w:pPr>
    </w:p>
    <w:p w14:paraId="333C742E" w14:textId="77777777" w:rsidR="004027B5" w:rsidRDefault="004027B5" w:rsidP="00441B6F">
      <w:pPr>
        <w:pStyle w:val="Body"/>
        <w:spacing w:after="0"/>
        <w:rPr>
          <w:rFonts w:ascii="Arial" w:hAnsi="Arial" w:cs="Arial"/>
        </w:rPr>
      </w:pPr>
    </w:p>
    <w:p w14:paraId="4454C64F" w14:textId="77777777" w:rsidR="004027B5" w:rsidRDefault="004027B5" w:rsidP="00441B6F">
      <w:pPr>
        <w:pStyle w:val="Body"/>
        <w:spacing w:after="0"/>
        <w:rPr>
          <w:rFonts w:ascii="Arial" w:hAnsi="Arial" w:cs="Arial"/>
        </w:rPr>
      </w:pPr>
    </w:p>
    <w:p w14:paraId="152AACC0" w14:textId="77777777" w:rsidR="004027B5" w:rsidRDefault="004027B5" w:rsidP="00441B6F">
      <w:pPr>
        <w:pStyle w:val="Body"/>
        <w:spacing w:after="0"/>
        <w:rPr>
          <w:rFonts w:ascii="Arial" w:hAnsi="Arial" w:cs="Arial"/>
        </w:rPr>
      </w:pPr>
    </w:p>
    <w:p w14:paraId="0A213B96" w14:textId="77777777" w:rsidR="004027B5" w:rsidRDefault="004027B5" w:rsidP="00441B6F">
      <w:pPr>
        <w:pStyle w:val="Body"/>
        <w:spacing w:after="0"/>
        <w:rPr>
          <w:rFonts w:ascii="Arial" w:hAnsi="Arial" w:cs="Arial"/>
        </w:rPr>
      </w:pPr>
    </w:p>
    <w:p w14:paraId="48B606A2" w14:textId="77777777" w:rsidR="004027B5" w:rsidRDefault="004027B5" w:rsidP="00441B6F">
      <w:pPr>
        <w:pStyle w:val="Body"/>
        <w:spacing w:after="0"/>
        <w:rPr>
          <w:rFonts w:ascii="Arial" w:hAnsi="Arial" w:cs="Arial"/>
        </w:rPr>
      </w:pPr>
    </w:p>
    <w:p w14:paraId="172A0714" w14:textId="77777777" w:rsidR="004027B5" w:rsidRDefault="004027B5" w:rsidP="00441B6F">
      <w:pPr>
        <w:pStyle w:val="Body"/>
        <w:spacing w:after="0"/>
        <w:rPr>
          <w:rFonts w:ascii="Arial" w:hAnsi="Arial" w:cs="Arial"/>
        </w:rPr>
      </w:pPr>
    </w:p>
    <w:p w14:paraId="71EF91ED" w14:textId="77777777" w:rsidR="004027B5" w:rsidRDefault="004027B5" w:rsidP="00441B6F">
      <w:pPr>
        <w:pStyle w:val="Body"/>
        <w:spacing w:after="0"/>
        <w:rPr>
          <w:rFonts w:ascii="Arial" w:hAnsi="Arial" w:cs="Arial"/>
        </w:rPr>
      </w:pPr>
    </w:p>
    <w:p w14:paraId="46CA84C1" w14:textId="77777777" w:rsidR="004027B5" w:rsidRDefault="004027B5" w:rsidP="00441B6F">
      <w:pPr>
        <w:pStyle w:val="Body"/>
        <w:spacing w:after="0"/>
        <w:rPr>
          <w:rFonts w:ascii="Arial" w:hAnsi="Arial" w:cs="Arial"/>
        </w:rPr>
      </w:pPr>
    </w:p>
    <w:p w14:paraId="3776AF8E" w14:textId="77777777" w:rsidR="00820DB4" w:rsidRDefault="00820DB4" w:rsidP="00441B6F">
      <w:pPr>
        <w:pStyle w:val="Body"/>
        <w:spacing w:after="0"/>
        <w:rPr>
          <w:rFonts w:ascii="Arial" w:hAnsi="Arial" w:cs="Arial"/>
        </w:rPr>
      </w:pPr>
    </w:p>
    <w:p w14:paraId="3D28F46E" w14:textId="77777777" w:rsidR="00820DB4" w:rsidRDefault="00820DB4" w:rsidP="00441B6F">
      <w:pPr>
        <w:pStyle w:val="Body"/>
        <w:spacing w:after="0"/>
        <w:rPr>
          <w:rFonts w:ascii="Arial" w:hAnsi="Arial" w:cs="Arial"/>
        </w:rPr>
      </w:pPr>
    </w:p>
    <w:p w14:paraId="0F8EEA44" w14:textId="77777777" w:rsidR="00820DB4" w:rsidRDefault="00820DB4" w:rsidP="00441B6F">
      <w:pPr>
        <w:pStyle w:val="Body"/>
        <w:spacing w:after="0"/>
        <w:rPr>
          <w:rFonts w:ascii="Arial" w:hAnsi="Arial" w:cs="Arial"/>
        </w:rPr>
      </w:pPr>
    </w:p>
    <w:p w14:paraId="3948E400" w14:textId="77777777" w:rsidR="00820DB4" w:rsidRDefault="00820DB4" w:rsidP="00441B6F">
      <w:pPr>
        <w:pStyle w:val="Body"/>
        <w:spacing w:after="0"/>
        <w:rPr>
          <w:rFonts w:ascii="Arial" w:hAnsi="Arial" w:cs="Arial"/>
        </w:rPr>
      </w:pPr>
    </w:p>
    <w:p w14:paraId="37856278" w14:textId="77777777" w:rsidR="00820DB4" w:rsidRDefault="00820DB4" w:rsidP="00441B6F">
      <w:pPr>
        <w:pStyle w:val="Body"/>
        <w:spacing w:after="0"/>
        <w:rPr>
          <w:rFonts w:ascii="Arial" w:hAnsi="Arial" w:cs="Arial"/>
        </w:rPr>
      </w:pPr>
    </w:p>
    <w:p w14:paraId="086226FD" w14:textId="77777777" w:rsidR="00820DB4" w:rsidRDefault="00820DB4" w:rsidP="00441B6F">
      <w:pPr>
        <w:pStyle w:val="Body"/>
        <w:spacing w:after="0"/>
        <w:rPr>
          <w:rFonts w:ascii="Arial" w:hAnsi="Arial" w:cs="Arial"/>
        </w:rPr>
      </w:pPr>
    </w:p>
    <w:p w14:paraId="3E324700" w14:textId="77777777" w:rsidR="00820DB4" w:rsidRDefault="00820DB4" w:rsidP="00441B6F">
      <w:pPr>
        <w:pStyle w:val="Body"/>
        <w:spacing w:after="0"/>
        <w:rPr>
          <w:rFonts w:ascii="Arial" w:hAnsi="Arial" w:cs="Arial"/>
        </w:rPr>
      </w:pPr>
    </w:p>
    <w:p w14:paraId="14B656F3" w14:textId="77777777" w:rsidR="00820DB4" w:rsidRDefault="00820DB4" w:rsidP="00441B6F">
      <w:pPr>
        <w:pStyle w:val="Body"/>
        <w:spacing w:after="0"/>
        <w:rPr>
          <w:rFonts w:ascii="Arial" w:hAnsi="Arial" w:cs="Arial"/>
        </w:rPr>
      </w:pPr>
    </w:p>
    <w:p w14:paraId="6E87B62A" w14:textId="77777777" w:rsidR="00820DB4" w:rsidRDefault="00820DB4" w:rsidP="00441B6F">
      <w:pPr>
        <w:pStyle w:val="Body"/>
        <w:spacing w:after="0"/>
        <w:rPr>
          <w:rFonts w:ascii="Arial" w:hAnsi="Arial" w:cs="Arial"/>
        </w:rPr>
      </w:pPr>
    </w:p>
    <w:p w14:paraId="2DFFE1E2" w14:textId="301BF793" w:rsidR="00820DB4" w:rsidRPr="00820DB4" w:rsidRDefault="00820DB4" w:rsidP="00A20399">
      <w:pPr>
        <w:ind w:right="-766"/>
        <w:jc w:val="center"/>
        <w:rPr>
          <w:rFonts w:ascii="Arial" w:hAnsi="Arial" w:cs="Arial"/>
          <w:b/>
          <w:bCs/>
          <w:lang w:val="en-GB"/>
        </w:rPr>
      </w:pPr>
      <w:r w:rsidRPr="00820DB4">
        <w:rPr>
          <w:rFonts w:ascii="Arial" w:hAnsi="Arial" w:cs="Arial"/>
          <w:b/>
          <w:bCs/>
          <w:lang w:val="en-GB"/>
        </w:rPr>
        <w:t>Fig</w:t>
      </w:r>
      <w:r w:rsidR="005F6119">
        <w:rPr>
          <w:rFonts w:ascii="Arial" w:hAnsi="Arial" w:cs="Arial"/>
          <w:b/>
          <w:bCs/>
          <w:lang w:val="en-GB"/>
        </w:rPr>
        <w:t xml:space="preserve">.1. </w:t>
      </w:r>
      <w:r w:rsidRPr="00820DB4">
        <w:rPr>
          <w:rFonts w:ascii="Arial" w:hAnsi="Arial" w:cs="Arial"/>
          <w:b/>
          <w:bCs/>
          <w:lang w:val="en-GB"/>
        </w:rPr>
        <w:t>Percentage of DPPH Radical Reduction by the Study Extracts and Vitamin C</w:t>
      </w:r>
    </w:p>
    <w:p w14:paraId="6F34B0D6" w14:textId="77777777" w:rsidR="00820DB4" w:rsidRPr="00820DB4" w:rsidRDefault="00820DB4" w:rsidP="00441B6F">
      <w:pPr>
        <w:pStyle w:val="Body"/>
        <w:spacing w:after="0"/>
        <w:rPr>
          <w:rFonts w:ascii="Arial" w:hAnsi="Arial" w:cs="Arial"/>
          <w:lang w:val="en-GB"/>
        </w:rPr>
      </w:pPr>
    </w:p>
    <w:p w14:paraId="29A1F02F" w14:textId="3E81D1FF" w:rsidR="00A20399" w:rsidRPr="00A20399" w:rsidRDefault="00A20399" w:rsidP="00A20399">
      <w:pPr>
        <w:ind w:right="-766"/>
        <w:jc w:val="both"/>
        <w:rPr>
          <w:rFonts w:ascii="Arial" w:hAnsi="Arial" w:cs="Arial"/>
          <w:b/>
          <w:bCs/>
          <w:u w:val="single"/>
          <w:lang w:val="en-GB"/>
        </w:rPr>
      </w:pPr>
      <w:r w:rsidRPr="00A20399">
        <w:rPr>
          <w:rFonts w:ascii="Arial" w:hAnsi="Arial" w:cs="Arial"/>
          <w:b/>
          <w:bCs/>
          <w:u w:val="single"/>
          <w:lang w:val="en-GB"/>
        </w:rPr>
        <w:t xml:space="preserve">3.4.2 Determination of </w:t>
      </w:r>
      <w:r>
        <w:rPr>
          <w:rFonts w:ascii="Arial" w:hAnsi="Arial" w:cs="Arial"/>
          <w:b/>
          <w:bCs/>
          <w:u w:val="single"/>
          <w:lang w:val="en-GB"/>
        </w:rPr>
        <w:t>a</w:t>
      </w:r>
      <w:r w:rsidRPr="00A20399">
        <w:rPr>
          <w:rFonts w:ascii="Arial" w:hAnsi="Arial" w:cs="Arial"/>
          <w:b/>
          <w:bCs/>
          <w:u w:val="single"/>
          <w:lang w:val="en-GB"/>
        </w:rPr>
        <w:t>ntioxidant Power by Ferric Reducing Ability (FRAP)</w:t>
      </w:r>
    </w:p>
    <w:p w14:paraId="118DC5FF" w14:textId="4487FFC9" w:rsidR="00A20399" w:rsidRPr="00A83972" w:rsidRDefault="00A20399" w:rsidP="00A20399">
      <w:pPr>
        <w:ind w:right="-766"/>
        <w:jc w:val="both"/>
        <w:rPr>
          <w:rFonts w:ascii="Arial" w:hAnsi="Arial" w:cs="Arial"/>
          <w:b/>
          <w:bCs/>
          <w:lang w:val="en-GB"/>
        </w:rPr>
      </w:pPr>
    </w:p>
    <w:p w14:paraId="008BEA99" w14:textId="77777777" w:rsidR="00820DB4" w:rsidRPr="00A20399" w:rsidRDefault="00820DB4" w:rsidP="00441B6F">
      <w:pPr>
        <w:pStyle w:val="Body"/>
        <w:spacing w:after="0"/>
        <w:rPr>
          <w:rFonts w:ascii="Arial" w:hAnsi="Arial" w:cs="Arial"/>
          <w:lang w:val="en-GB"/>
        </w:rPr>
      </w:pPr>
    </w:p>
    <w:p w14:paraId="776D59FD" w14:textId="05048455" w:rsidR="00820DB4" w:rsidRDefault="00C4570B" w:rsidP="00441B6F">
      <w:pPr>
        <w:pStyle w:val="Body"/>
        <w:spacing w:after="0"/>
        <w:rPr>
          <w:rFonts w:ascii="Arial" w:hAnsi="Arial" w:cs="Arial"/>
        </w:rPr>
      </w:pPr>
      <w:r w:rsidRPr="00C4570B">
        <w:rPr>
          <w:rFonts w:ascii="Arial" w:hAnsi="Arial" w:cs="Arial"/>
        </w:rPr>
        <w:t>The antioxidant power of the different plant parts, evaluated by their ability to reduce ferric ion (Fe³</w:t>
      </w:r>
      <w:r w:rsidRPr="00C4570B">
        <w:rPr>
          <w:rFonts w:ascii="Cambria Math" w:hAnsi="Cambria Math" w:cs="Cambria Math"/>
        </w:rPr>
        <w:t>⁺</w:t>
      </w:r>
      <w:r w:rsidRPr="00C4570B">
        <w:rPr>
          <w:rFonts w:ascii="Arial" w:hAnsi="Arial" w:cs="Arial"/>
        </w:rPr>
        <w:t xml:space="preserve">), was determined using a Trolox calibration curve (equation: y = 0.6905x + 0.0007; R² = 0.9987). Among the samples analyzed, the bark extract showed a significantly higher reducing power (p &lt; 0.05) (78.877 ± 0.959 </w:t>
      </w:r>
      <w:proofErr w:type="spellStart"/>
      <w:r w:rsidRPr="00C4570B">
        <w:rPr>
          <w:rFonts w:ascii="Arial" w:hAnsi="Arial" w:cs="Arial"/>
        </w:rPr>
        <w:t>μmol</w:t>
      </w:r>
      <w:proofErr w:type="spellEnd"/>
      <w:r w:rsidRPr="00C4570B">
        <w:rPr>
          <w:rFonts w:ascii="Arial" w:hAnsi="Arial" w:cs="Arial"/>
        </w:rPr>
        <w:t xml:space="preserve"> TE/g extract) compared to the leaves (3.390 ± 0.045 </w:t>
      </w:r>
      <w:proofErr w:type="spellStart"/>
      <w:r w:rsidRPr="00C4570B">
        <w:rPr>
          <w:rFonts w:ascii="Arial" w:hAnsi="Arial" w:cs="Arial"/>
        </w:rPr>
        <w:t>μmol</w:t>
      </w:r>
      <w:proofErr w:type="spellEnd"/>
      <w:r w:rsidRPr="00C4570B">
        <w:rPr>
          <w:rFonts w:ascii="Arial" w:hAnsi="Arial" w:cs="Arial"/>
        </w:rPr>
        <w:t xml:space="preserve"> TE/</w:t>
      </w:r>
      <w:proofErr w:type="spellStart"/>
      <w:r w:rsidRPr="00C4570B">
        <w:rPr>
          <w:rFonts w:ascii="Arial" w:hAnsi="Arial" w:cs="Arial"/>
        </w:rPr>
        <w:t>gE</w:t>
      </w:r>
      <w:proofErr w:type="spellEnd"/>
      <w:r w:rsidRPr="00C4570B">
        <w:rPr>
          <w:rFonts w:ascii="Arial" w:hAnsi="Arial" w:cs="Arial"/>
        </w:rPr>
        <w:t xml:space="preserve">) and seeds (3.071 ± 0.055 </w:t>
      </w:r>
      <w:proofErr w:type="spellStart"/>
      <w:r w:rsidRPr="00C4570B">
        <w:rPr>
          <w:rFonts w:ascii="Arial" w:hAnsi="Arial" w:cs="Arial"/>
        </w:rPr>
        <w:t>μmol</w:t>
      </w:r>
      <w:proofErr w:type="spellEnd"/>
      <w:r w:rsidRPr="00C4570B">
        <w:rPr>
          <w:rFonts w:ascii="Arial" w:hAnsi="Arial" w:cs="Arial"/>
        </w:rPr>
        <w:t xml:space="preserve"> TE/</w:t>
      </w:r>
      <w:proofErr w:type="spellStart"/>
      <w:r w:rsidRPr="00C4570B">
        <w:rPr>
          <w:rFonts w:ascii="Arial" w:hAnsi="Arial" w:cs="Arial"/>
        </w:rPr>
        <w:t>gE</w:t>
      </w:r>
      <w:proofErr w:type="spellEnd"/>
      <w:r w:rsidRPr="00C4570B">
        <w:rPr>
          <w:rFonts w:ascii="Arial" w:hAnsi="Arial" w:cs="Arial"/>
        </w:rPr>
        <w:t xml:space="preserve">) (Figure </w:t>
      </w:r>
      <w:r>
        <w:rPr>
          <w:rFonts w:ascii="Arial" w:hAnsi="Arial" w:cs="Arial"/>
        </w:rPr>
        <w:t>2</w:t>
      </w:r>
      <w:r w:rsidRPr="00C4570B">
        <w:rPr>
          <w:rFonts w:ascii="Arial" w:hAnsi="Arial" w:cs="Arial"/>
        </w:rPr>
        <w:t xml:space="preserve">), the latter two displaying similar values.  </w:t>
      </w:r>
    </w:p>
    <w:p w14:paraId="6ECD539D" w14:textId="5ABD0AE8" w:rsidR="00820DB4" w:rsidRDefault="00C4570B" w:rsidP="00441B6F">
      <w:pPr>
        <w:pStyle w:val="Body"/>
        <w:spacing w:after="0"/>
        <w:rPr>
          <w:rFonts w:ascii="Arial" w:hAnsi="Arial" w:cs="Arial"/>
        </w:rPr>
      </w:pPr>
      <w:r w:rsidRPr="00C4570B">
        <w:rPr>
          <w:rFonts w:ascii="Arial" w:hAnsi="Arial" w:cs="Arial"/>
        </w:rPr>
        <w:t xml:space="preserve">This high antioxidant capacity of the bark may be attributed to its richness in phenolic compounds. This assumption is supported by a strong positive correlation (r = 0.994) between the FRAP results and the total phenolic content, which reached 463.676 ± 0.985 mg GAE/g of dry matter (DM) (Table </w:t>
      </w:r>
      <w:r w:rsidR="009279B8">
        <w:rPr>
          <w:rFonts w:ascii="Arial" w:hAnsi="Arial" w:cs="Arial"/>
        </w:rPr>
        <w:t>3</w:t>
      </w:r>
      <w:r w:rsidRPr="00C4570B">
        <w:rPr>
          <w:rFonts w:ascii="Arial" w:hAnsi="Arial" w:cs="Arial"/>
        </w:rPr>
        <w:t>). Indeed, phenolic compounds are well known for their ability to donate electrons and thereby reduce ferric ions (Fe³</w:t>
      </w:r>
      <w:r w:rsidRPr="00C4570B">
        <w:rPr>
          <w:rFonts w:ascii="Cambria Math" w:hAnsi="Cambria Math" w:cs="Cambria Math"/>
        </w:rPr>
        <w:t>⁺</w:t>
      </w:r>
      <w:r w:rsidRPr="00C4570B">
        <w:rPr>
          <w:rFonts w:ascii="Arial" w:hAnsi="Arial" w:cs="Arial"/>
        </w:rPr>
        <w:t>) [32].</w:t>
      </w:r>
    </w:p>
    <w:p w14:paraId="6CAB6128" w14:textId="77777777" w:rsidR="00C4570B" w:rsidRDefault="00C4570B" w:rsidP="00441B6F">
      <w:pPr>
        <w:pStyle w:val="Body"/>
        <w:spacing w:after="0"/>
        <w:rPr>
          <w:rFonts w:ascii="Arial" w:hAnsi="Arial" w:cs="Arial"/>
        </w:rPr>
      </w:pPr>
    </w:p>
    <w:p w14:paraId="1C88C5DD" w14:textId="77777777" w:rsidR="00C4570B" w:rsidRDefault="00C4570B" w:rsidP="00441B6F">
      <w:pPr>
        <w:pStyle w:val="Body"/>
        <w:spacing w:after="0"/>
        <w:rPr>
          <w:rFonts w:ascii="Arial" w:hAnsi="Arial" w:cs="Arial"/>
        </w:rPr>
      </w:pPr>
    </w:p>
    <w:p w14:paraId="767F5E73" w14:textId="098E5CB5" w:rsidR="00C4570B" w:rsidRDefault="00C4570B" w:rsidP="00C4570B">
      <w:pPr>
        <w:pStyle w:val="Body"/>
        <w:spacing w:after="0"/>
        <w:jc w:val="center"/>
        <w:rPr>
          <w:rFonts w:ascii="Arial" w:hAnsi="Arial" w:cs="Arial"/>
        </w:rPr>
      </w:pPr>
      <w:r>
        <w:rPr>
          <w:noProof/>
        </w:rPr>
        <w:drawing>
          <wp:inline distT="0" distB="0" distL="0" distR="0" wp14:anchorId="35873856" wp14:editId="33CC201E">
            <wp:extent cx="2171700" cy="2564274"/>
            <wp:effectExtent l="0" t="0" r="0" b="0"/>
            <wp:docPr id="26149294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5474" cy="2568730"/>
                    </a:xfrm>
                    <a:prstGeom prst="rect">
                      <a:avLst/>
                    </a:prstGeom>
                    <a:noFill/>
                    <a:ln>
                      <a:noFill/>
                    </a:ln>
                  </pic:spPr>
                </pic:pic>
              </a:graphicData>
            </a:graphic>
          </wp:inline>
        </w:drawing>
      </w:r>
    </w:p>
    <w:p w14:paraId="0FC287A0" w14:textId="3C013920" w:rsidR="009279B8" w:rsidRPr="009279B8" w:rsidRDefault="009279B8" w:rsidP="009279B8">
      <w:pPr>
        <w:ind w:right="-766"/>
        <w:jc w:val="center"/>
        <w:rPr>
          <w:rFonts w:ascii="Arial" w:hAnsi="Arial" w:cs="Arial"/>
          <w:b/>
          <w:lang w:val="en-GB"/>
        </w:rPr>
      </w:pPr>
      <w:r w:rsidRPr="009279B8">
        <w:rPr>
          <w:rFonts w:ascii="Arial" w:hAnsi="Arial" w:cs="Arial"/>
          <w:b/>
          <w:lang w:val="en-GB"/>
        </w:rPr>
        <w:t>Fig</w:t>
      </w:r>
      <w:r w:rsidR="005F6119">
        <w:rPr>
          <w:rFonts w:ascii="Arial" w:hAnsi="Arial" w:cs="Arial"/>
          <w:b/>
          <w:lang w:val="en-GB"/>
        </w:rPr>
        <w:t xml:space="preserve">. </w:t>
      </w:r>
      <w:r>
        <w:rPr>
          <w:rFonts w:ascii="Arial" w:hAnsi="Arial" w:cs="Arial"/>
          <w:b/>
          <w:lang w:val="en-GB"/>
        </w:rPr>
        <w:t>2</w:t>
      </w:r>
      <w:r w:rsidR="005F6119">
        <w:rPr>
          <w:rFonts w:ascii="Arial" w:hAnsi="Arial" w:cs="Arial"/>
          <w:b/>
          <w:lang w:val="en-GB"/>
        </w:rPr>
        <w:t xml:space="preserve">. </w:t>
      </w:r>
      <w:r w:rsidRPr="009279B8">
        <w:rPr>
          <w:rFonts w:ascii="Arial" w:hAnsi="Arial" w:cs="Arial"/>
          <w:b/>
          <w:lang w:val="en-GB"/>
        </w:rPr>
        <w:t>Ferric Ion (Fe³</w:t>
      </w:r>
      <w:r w:rsidRPr="009279B8">
        <w:rPr>
          <w:rFonts w:ascii="Cambria Math" w:hAnsi="Cambria Math" w:cs="Cambria Math"/>
          <w:b/>
          <w:lang w:val="en-GB"/>
        </w:rPr>
        <w:t>⁺</w:t>
      </w:r>
      <w:r w:rsidRPr="009279B8">
        <w:rPr>
          <w:rFonts w:ascii="Arial" w:hAnsi="Arial" w:cs="Arial"/>
          <w:b/>
          <w:lang w:val="en-GB"/>
        </w:rPr>
        <w:t>) reduction concentrations in the FRAP Assay</w:t>
      </w:r>
    </w:p>
    <w:p w14:paraId="18C754BC" w14:textId="77777777" w:rsidR="00820DB4" w:rsidRPr="009279B8" w:rsidRDefault="00820DB4" w:rsidP="00441B6F">
      <w:pPr>
        <w:pStyle w:val="Body"/>
        <w:spacing w:after="0"/>
        <w:rPr>
          <w:rFonts w:ascii="Arial" w:hAnsi="Arial" w:cs="Arial"/>
          <w:lang w:val="en-GB"/>
        </w:rPr>
      </w:pPr>
    </w:p>
    <w:p w14:paraId="24CAD537" w14:textId="77777777" w:rsidR="00820DB4" w:rsidRDefault="00820DB4" w:rsidP="00441B6F">
      <w:pPr>
        <w:pStyle w:val="Body"/>
        <w:spacing w:after="0"/>
        <w:rPr>
          <w:rFonts w:ascii="Arial" w:hAnsi="Arial" w:cs="Arial"/>
        </w:rPr>
      </w:pPr>
    </w:p>
    <w:p w14:paraId="56D1D949" w14:textId="7E199C5D" w:rsidR="00C4570B" w:rsidRDefault="009279B8" w:rsidP="00441B6F">
      <w:pPr>
        <w:pStyle w:val="Body"/>
        <w:spacing w:after="0"/>
        <w:rPr>
          <w:rFonts w:ascii="Arial" w:hAnsi="Arial" w:cs="Arial"/>
        </w:rPr>
      </w:pPr>
      <w:r w:rsidRPr="009279B8">
        <w:rPr>
          <w:rFonts w:ascii="Arial" w:hAnsi="Arial" w:cs="Arial"/>
        </w:rPr>
        <w:t xml:space="preserve">In summary, both the DPPH and FRAP assays clearly demonstrate that the hydroethanolic extract of </w:t>
      </w:r>
      <w:proofErr w:type="spellStart"/>
      <w:r w:rsidRPr="009279B8">
        <w:rPr>
          <w:rFonts w:ascii="Arial" w:hAnsi="Arial" w:cs="Arial"/>
          <w:i/>
          <w:iCs/>
        </w:rPr>
        <w:t>Adenanthera</w:t>
      </w:r>
      <w:proofErr w:type="spellEnd"/>
      <w:r w:rsidRPr="009279B8">
        <w:rPr>
          <w:rFonts w:ascii="Arial" w:hAnsi="Arial" w:cs="Arial"/>
          <w:i/>
          <w:iCs/>
        </w:rPr>
        <w:t xml:space="preserve"> </w:t>
      </w:r>
      <w:proofErr w:type="spellStart"/>
      <w:r w:rsidRPr="009279B8">
        <w:rPr>
          <w:rFonts w:ascii="Arial" w:hAnsi="Arial" w:cs="Arial"/>
          <w:i/>
          <w:iCs/>
        </w:rPr>
        <w:t>pavonina</w:t>
      </w:r>
      <w:proofErr w:type="spellEnd"/>
      <w:r w:rsidRPr="009279B8">
        <w:rPr>
          <w:rFonts w:ascii="Arial" w:hAnsi="Arial" w:cs="Arial"/>
        </w:rPr>
        <w:t xml:space="preserve"> stem bark possesses a significantly higher antioxidant potential compared to the leaf and seed extracts. This strong activity is highly correlated with the phenolic content, as evidenced by the high Pearson correlation coefficients (DPPH: r = -0.992; FRA: r = 0.994) with total phenols.</w:t>
      </w:r>
    </w:p>
    <w:p w14:paraId="1FBE83DE" w14:textId="77777777" w:rsidR="00C4570B" w:rsidRDefault="00C4570B" w:rsidP="00441B6F">
      <w:pPr>
        <w:pStyle w:val="Body"/>
        <w:spacing w:after="0"/>
        <w:rPr>
          <w:rFonts w:ascii="Arial" w:hAnsi="Arial" w:cs="Arial"/>
        </w:rPr>
      </w:pPr>
    </w:p>
    <w:p w14:paraId="201AFCF2" w14:textId="50FE7868" w:rsidR="009279B8" w:rsidRPr="00A83972" w:rsidRDefault="009279B8" w:rsidP="009279B8">
      <w:pPr>
        <w:pStyle w:val="Body"/>
        <w:spacing w:after="0"/>
        <w:rPr>
          <w:rFonts w:ascii="Arial" w:hAnsi="Arial" w:cs="Arial"/>
          <w:b/>
          <w:bCs/>
          <w:sz w:val="22"/>
          <w:szCs w:val="22"/>
        </w:rPr>
      </w:pPr>
      <w:r w:rsidRPr="00A83972">
        <w:rPr>
          <w:rFonts w:ascii="Arial" w:hAnsi="Arial" w:cs="Arial"/>
          <w:b/>
          <w:bCs/>
          <w:sz w:val="22"/>
          <w:szCs w:val="22"/>
        </w:rPr>
        <w:t>3.</w:t>
      </w:r>
      <w:r>
        <w:rPr>
          <w:rFonts w:ascii="Arial" w:hAnsi="Arial" w:cs="Arial"/>
          <w:b/>
          <w:bCs/>
          <w:sz w:val="22"/>
          <w:szCs w:val="22"/>
        </w:rPr>
        <w:t xml:space="preserve">5 </w:t>
      </w:r>
      <w:r w:rsidR="00001C52">
        <w:rPr>
          <w:rFonts w:ascii="Arial" w:hAnsi="Arial" w:cs="Arial"/>
          <w:b/>
          <w:bCs/>
          <w:sz w:val="22"/>
          <w:szCs w:val="22"/>
        </w:rPr>
        <w:t>Antibacterial activity</w:t>
      </w:r>
    </w:p>
    <w:p w14:paraId="0DECAF31" w14:textId="77777777" w:rsidR="009279B8" w:rsidRDefault="009279B8" w:rsidP="00441B6F">
      <w:pPr>
        <w:pStyle w:val="Body"/>
        <w:spacing w:after="0"/>
        <w:rPr>
          <w:rFonts w:ascii="Arial" w:hAnsi="Arial" w:cs="Arial"/>
        </w:rPr>
      </w:pPr>
    </w:p>
    <w:p w14:paraId="62404B03" w14:textId="11D54EF3" w:rsidR="00001C52" w:rsidRPr="00A83972" w:rsidRDefault="00001C52" w:rsidP="00001C52">
      <w:pPr>
        <w:ind w:right="-766"/>
        <w:jc w:val="both"/>
        <w:rPr>
          <w:rFonts w:ascii="Arial" w:hAnsi="Arial" w:cs="Arial"/>
          <w:b/>
          <w:bCs/>
          <w:lang w:val="en-GB"/>
        </w:rPr>
      </w:pPr>
      <w:r w:rsidRPr="008F3C98">
        <w:rPr>
          <w:rFonts w:ascii="Arial" w:hAnsi="Arial" w:cs="Arial"/>
          <w:b/>
          <w:bCs/>
          <w:u w:val="single"/>
          <w:lang w:val="en-GB"/>
        </w:rPr>
        <w:t>3.</w:t>
      </w:r>
      <w:r>
        <w:rPr>
          <w:rFonts w:ascii="Arial" w:hAnsi="Arial" w:cs="Arial"/>
          <w:b/>
          <w:bCs/>
          <w:u w:val="single"/>
          <w:lang w:val="en-GB"/>
        </w:rPr>
        <w:t>5</w:t>
      </w:r>
      <w:r w:rsidRPr="008F3C98">
        <w:rPr>
          <w:rFonts w:ascii="Arial" w:hAnsi="Arial" w:cs="Arial"/>
          <w:b/>
          <w:bCs/>
          <w:u w:val="single"/>
          <w:lang w:val="en-GB"/>
        </w:rPr>
        <w:t>.1</w:t>
      </w:r>
      <w:r>
        <w:rPr>
          <w:rFonts w:ascii="Arial" w:hAnsi="Arial" w:cs="Arial"/>
          <w:b/>
          <w:bCs/>
          <w:u w:val="single"/>
          <w:lang w:val="en-GB"/>
        </w:rPr>
        <w:t xml:space="preserve"> Bacterial sensitivity and inhibitory power</w:t>
      </w:r>
    </w:p>
    <w:p w14:paraId="264FB4F5" w14:textId="7D3DA3CA" w:rsidR="00001C52" w:rsidRPr="00001C52" w:rsidRDefault="00001C52" w:rsidP="00001C52">
      <w:pPr>
        <w:ind w:right="-766"/>
        <w:rPr>
          <w:rFonts w:ascii="Times New Roman" w:hAnsi="Times New Roman"/>
          <w:b/>
          <w:bCs/>
          <w:lang w:val="en-GB"/>
        </w:rPr>
      </w:pPr>
    </w:p>
    <w:p w14:paraId="2C68800E" w14:textId="5DA97209" w:rsidR="00001C52" w:rsidRDefault="00001C52" w:rsidP="00441B6F">
      <w:pPr>
        <w:pStyle w:val="Body"/>
        <w:spacing w:after="0"/>
        <w:rPr>
          <w:rFonts w:ascii="Arial" w:hAnsi="Arial" w:cs="Arial"/>
        </w:rPr>
      </w:pPr>
      <w:r w:rsidRPr="00001C52">
        <w:rPr>
          <w:rFonts w:ascii="Arial" w:hAnsi="Arial" w:cs="Arial"/>
        </w:rPr>
        <w:t xml:space="preserve">The preliminary sterility test confirmed the absence of microbial contamination in all crude hydroalcoholic extracts of </w:t>
      </w:r>
      <w:r w:rsidRPr="00001C52">
        <w:rPr>
          <w:rFonts w:ascii="Arial" w:hAnsi="Arial" w:cs="Arial"/>
          <w:i/>
          <w:iCs/>
        </w:rPr>
        <w:t xml:space="preserve">A. </w:t>
      </w:r>
      <w:proofErr w:type="spellStart"/>
      <w:r w:rsidRPr="00001C52">
        <w:rPr>
          <w:rFonts w:ascii="Arial" w:hAnsi="Arial" w:cs="Arial"/>
          <w:i/>
          <w:iCs/>
        </w:rPr>
        <w:t>pavonina</w:t>
      </w:r>
      <w:proofErr w:type="spellEnd"/>
      <w:r w:rsidRPr="00001C52">
        <w:rPr>
          <w:rFonts w:ascii="Arial" w:hAnsi="Arial" w:cs="Arial"/>
        </w:rPr>
        <w:t xml:space="preserve">. Among the tested extracts, only the trunk bark extract (TE) showed antibacterial activity at 100 mg/mL, with inhibition zone diameters ranging from 15 ± 1 mm to 22 ± 1 mm, while the negative control (sterile distilled water) was inactive (Table </w:t>
      </w:r>
      <w:r>
        <w:rPr>
          <w:rFonts w:ascii="Arial" w:hAnsi="Arial" w:cs="Arial"/>
        </w:rPr>
        <w:t>5</w:t>
      </w:r>
      <w:r w:rsidRPr="00001C52">
        <w:rPr>
          <w:rFonts w:ascii="Arial" w:hAnsi="Arial" w:cs="Arial"/>
        </w:rPr>
        <w:t>). The reference antibiotics (Cefepime/FEP, Cefoxitin/FOX) exhibited varying levels of sensitivity against the bacterial strains, with inhibition zone diameters ranging from 15 to 30 mm.</w:t>
      </w:r>
    </w:p>
    <w:p w14:paraId="0DAF8AA9" w14:textId="77777777" w:rsidR="00001C52" w:rsidRDefault="00001C52" w:rsidP="00441B6F">
      <w:pPr>
        <w:pStyle w:val="Body"/>
        <w:spacing w:after="0"/>
        <w:rPr>
          <w:rFonts w:ascii="Arial" w:hAnsi="Arial" w:cs="Arial"/>
        </w:rPr>
      </w:pPr>
    </w:p>
    <w:p w14:paraId="7E23E35C" w14:textId="6E495B71" w:rsidR="00001C52" w:rsidRPr="00001C52" w:rsidRDefault="00001C52" w:rsidP="00001C52">
      <w:pPr>
        <w:ind w:right="-766"/>
        <w:jc w:val="both"/>
        <w:rPr>
          <w:rFonts w:ascii="Arial" w:hAnsi="Arial" w:cs="Arial"/>
          <w:lang w:val="en-GB"/>
        </w:rPr>
      </w:pPr>
      <w:r w:rsidRPr="00001C52">
        <w:rPr>
          <w:rFonts w:ascii="Arial" w:hAnsi="Arial" w:cs="Arial"/>
          <w:b/>
          <w:bCs/>
          <w:lang w:val="en-GB"/>
        </w:rPr>
        <w:t>Table </w:t>
      </w:r>
      <w:r>
        <w:rPr>
          <w:rFonts w:ascii="Arial" w:hAnsi="Arial" w:cs="Arial"/>
          <w:b/>
          <w:bCs/>
          <w:lang w:val="en-GB"/>
        </w:rPr>
        <w:t>5</w:t>
      </w:r>
      <w:r w:rsidRPr="00001C52">
        <w:rPr>
          <w:rFonts w:ascii="Arial" w:hAnsi="Arial" w:cs="Arial"/>
          <w:b/>
          <w:bCs/>
          <w:lang w:val="en-GB"/>
        </w:rPr>
        <w:t xml:space="preserve">: </w:t>
      </w:r>
      <w:r w:rsidRPr="00001C52">
        <w:rPr>
          <w:rFonts w:ascii="Arial" w:hAnsi="Arial" w:cs="Arial"/>
          <w:iCs/>
          <w:color w:val="000000" w:themeColor="text1"/>
          <w:lang w:val="en-GB"/>
        </w:rPr>
        <w:t>Inhibition diameters of extracts and reference antibiotics</w:t>
      </w:r>
    </w:p>
    <w:tbl>
      <w:tblPr>
        <w:tblStyle w:val="PlainTable2"/>
        <w:tblpPr w:leftFromText="141" w:rightFromText="141" w:vertAnchor="text" w:horzAnchor="margin" w:tblpXSpec="right" w:tblpY="348"/>
        <w:tblW w:w="9208" w:type="dxa"/>
        <w:tblLayout w:type="fixed"/>
        <w:tblLook w:val="04A0" w:firstRow="1" w:lastRow="0" w:firstColumn="1" w:lastColumn="0" w:noHBand="0" w:noVBand="1"/>
      </w:tblPr>
      <w:tblGrid>
        <w:gridCol w:w="2693"/>
        <w:gridCol w:w="1276"/>
        <w:gridCol w:w="993"/>
        <w:gridCol w:w="1134"/>
        <w:gridCol w:w="992"/>
        <w:gridCol w:w="1134"/>
        <w:gridCol w:w="86"/>
        <w:gridCol w:w="900"/>
      </w:tblGrid>
      <w:tr w:rsidR="009B44BB" w:rsidRPr="009B44BB" w14:paraId="6ACA687C" w14:textId="77777777" w:rsidTr="009B44BB">
        <w:trPr>
          <w:gridAfter w:val="1"/>
          <w:cnfStyle w:val="100000000000" w:firstRow="1" w:lastRow="0" w:firstColumn="0" w:lastColumn="0" w:oddVBand="0" w:evenVBand="0" w:oddHBand="0" w:evenHBand="0" w:firstRowFirstColumn="0" w:firstRowLastColumn="0" w:lastRowFirstColumn="0" w:lastRowLastColumn="0"/>
          <w:wAfter w:w="900" w:type="dxa"/>
          <w:trHeight w:val="397"/>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nil"/>
              <w:right w:val="nil"/>
            </w:tcBorders>
          </w:tcPr>
          <w:p w14:paraId="7F7F4691" w14:textId="77777777" w:rsidR="009B44BB" w:rsidRPr="009B44BB" w:rsidRDefault="009B44BB" w:rsidP="009B44BB">
            <w:pPr>
              <w:pStyle w:val="NoSpacing"/>
              <w:spacing w:line="240" w:lineRule="auto"/>
              <w:ind w:right="-766"/>
              <w:contextualSpacing/>
              <w:jc w:val="left"/>
              <w:rPr>
                <w:rFonts w:cs="Arial"/>
                <w:b w:val="0"/>
                <w:bCs w:val="0"/>
                <w:sz w:val="20"/>
                <w:szCs w:val="20"/>
                <w:lang w:val="en-GB"/>
              </w:rPr>
            </w:pPr>
            <w:bookmarkStart w:id="4" w:name="_Hlk215139505"/>
          </w:p>
        </w:tc>
        <w:tc>
          <w:tcPr>
            <w:tcW w:w="5615" w:type="dxa"/>
            <w:gridSpan w:val="6"/>
            <w:tcBorders>
              <w:top w:val="single" w:sz="4" w:space="0" w:color="auto"/>
              <w:left w:val="nil"/>
              <w:bottom w:val="nil"/>
              <w:right w:val="nil"/>
            </w:tcBorders>
          </w:tcPr>
          <w:p w14:paraId="50C32E0C" w14:textId="77777777" w:rsidR="009B44BB" w:rsidRPr="009B44BB" w:rsidRDefault="009B44BB" w:rsidP="009B44BB">
            <w:pPr>
              <w:pStyle w:val="NoSpacing"/>
              <w:spacing w:line="240" w:lineRule="auto"/>
              <w:ind w:right="-766"/>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 xml:space="preserve">Inhibition zone </w:t>
            </w:r>
            <w:proofErr w:type="spellStart"/>
            <w:r w:rsidRPr="009B44BB">
              <w:rPr>
                <w:rFonts w:cs="Arial"/>
                <w:sz w:val="20"/>
                <w:szCs w:val="20"/>
              </w:rPr>
              <w:t>diameters</w:t>
            </w:r>
            <w:proofErr w:type="spellEnd"/>
            <w:r w:rsidRPr="009B44BB">
              <w:rPr>
                <w:rFonts w:cs="Arial"/>
                <w:sz w:val="20"/>
                <w:szCs w:val="20"/>
              </w:rPr>
              <w:t xml:space="preserve"> (mm)</w:t>
            </w:r>
          </w:p>
        </w:tc>
      </w:tr>
      <w:tr w:rsidR="009B44BB" w:rsidRPr="0048296F" w14:paraId="6189F7F0"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tcBorders>
          </w:tcPr>
          <w:p w14:paraId="72174CFD" w14:textId="77777777" w:rsidR="009B44BB" w:rsidRPr="009B44BB" w:rsidRDefault="009B44BB" w:rsidP="009B44BB">
            <w:pPr>
              <w:pStyle w:val="NoSpacing"/>
              <w:spacing w:line="240" w:lineRule="auto"/>
              <w:ind w:right="-766"/>
              <w:contextualSpacing/>
              <w:jc w:val="left"/>
              <w:rPr>
                <w:rFonts w:cs="Arial"/>
                <w:b w:val="0"/>
                <w:bCs w:val="0"/>
                <w:sz w:val="20"/>
                <w:szCs w:val="20"/>
              </w:rPr>
            </w:pPr>
            <w:proofErr w:type="spellStart"/>
            <w:r w:rsidRPr="009B44BB">
              <w:rPr>
                <w:rFonts w:cs="Arial"/>
                <w:sz w:val="20"/>
                <w:szCs w:val="20"/>
              </w:rPr>
              <w:t>Bacterial</w:t>
            </w:r>
            <w:proofErr w:type="spellEnd"/>
            <w:r w:rsidRPr="009B44BB">
              <w:rPr>
                <w:rFonts w:cs="Arial"/>
                <w:sz w:val="20"/>
                <w:szCs w:val="20"/>
              </w:rPr>
              <w:t xml:space="preserve"> </w:t>
            </w:r>
            <w:proofErr w:type="spellStart"/>
            <w:r w:rsidRPr="009B44BB">
              <w:rPr>
                <w:rFonts w:cs="Arial"/>
                <w:sz w:val="20"/>
                <w:szCs w:val="20"/>
              </w:rPr>
              <w:t>strains</w:t>
            </w:r>
            <w:proofErr w:type="spellEnd"/>
          </w:p>
        </w:tc>
        <w:tc>
          <w:tcPr>
            <w:tcW w:w="1276" w:type="dxa"/>
            <w:tcBorders>
              <w:top w:val="single" w:sz="4" w:space="0" w:color="auto"/>
            </w:tcBorders>
          </w:tcPr>
          <w:p w14:paraId="02F16E24" w14:textId="77777777" w:rsidR="009B44BB" w:rsidRPr="009B44BB" w:rsidRDefault="009B44BB" w:rsidP="009B44BB">
            <w:pPr>
              <w:pStyle w:val="NoSpacing"/>
              <w:spacing w:line="240" w:lineRule="auto"/>
              <w:ind w:left="-111"/>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TE</w:t>
            </w:r>
          </w:p>
        </w:tc>
        <w:tc>
          <w:tcPr>
            <w:tcW w:w="993" w:type="dxa"/>
            <w:tcBorders>
              <w:top w:val="single" w:sz="4" w:space="0" w:color="auto"/>
            </w:tcBorders>
          </w:tcPr>
          <w:p w14:paraId="031B01AC"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LE</w:t>
            </w:r>
          </w:p>
        </w:tc>
        <w:tc>
          <w:tcPr>
            <w:tcW w:w="1134" w:type="dxa"/>
            <w:tcBorders>
              <w:top w:val="single" w:sz="4" w:space="0" w:color="auto"/>
            </w:tcBorders>
          </w:tcPr>
          <w:p w14:paraId="3E1BC581"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SE</w:t>
            </w:r>
          </w:p>
        </w:tc>
        <w:tc>
          <w:tcPr>
            <w:tcW w:w="992" w:type="dxa"/>
            <w:tcBorders>
              <w:top w:val="single" w:sz="4" w:space="0" w:color="auto"/>
            </w:tcBorders>
          </w:tcPr>
          <w:p w14:paraId="4A74C22C"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EDS</w:t>
            </w:r>
          </w:p>
        </w:tc>
        <w:tc>
          <w:tcPr>
            <w:tcW w:w="1134" w:type="dxa"/>
            <w:tcBorders>
              <w:top w:val="single" w:sz="4" w:space="0" w:color="auto"/>
            </w:tcBorders>
          </w:tcPr>
          <w:p w14:paraId="7C49DBC9"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FEP</w:t>
            </w:r>
          </w:p>
        </w:tc>
        <w:tc>
          <w:tcPr>
            <w:tcW w:w="986" w:type="dxa"/>
            <w:gridSpan w:val="2"/>
            <w:tcBorders>
              <w:top w:val="single" w:sz="4" w:space="0" w:color="auto"/>
            </w:tcBorders>
          </w:tcPr>
          <w:p w14:paraId="3881AB00"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B44BB">
              <w:rPr>
                <w:rFonts w:cs="Arial"/>
                <w:b/>
                <w:bCs/>
                <w:sz w:val="20"/>
                <w:szCs w:val="20"/>
              </w:rPr>
              <w:t>FOX</w:t>
            </w:r>
          </w:p>
        </w:tc>
      </w:tr>
      <w:tr w:rsidR="009B44BB" w:rsidRPr="0048296F" w14:paraId="1729E611"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04F9A355" w14:textId="77777777" w:rsidR="009B44BB" w:rsidRPr="009B44BB" w:rsidRDefault="009B44BB" w:rsidP="009B44BB">
            <w:pPr>
              <w:pStyle w:val="NoSpacing"/>
              <w:spacing w:line="240" w:lineRule="auto"/>
              <w:ind w:right="-766"/>
              <w:contextualSpacing/>
              <w:jc w:val="left"/>
              <w:rPr>
                <w:rFonts w:cs="Arial"/>
                <w:iCs/>
                <w:sz w:val="20"/>
                <w:szCs w:val="20"/>
              </w:rPr>
            </w:pPr>
            <w:r w:rsidRPr="009B44BB">
              <w:rPr>
                <w:rFonts w:cs="Arial"/>
                <w:i/>
                <w:sz w:val="20"/>
                <w:szCs w:val="20"/>
              </w:rPr>
              <w:t xml:space="preserve">E. coli </w:t>
            </w:r>
            <w:r w:rsidRPr="009B44BB">
              <w:rPr>
                <w:rFonts w:cs="Arial"/>
                <w:sz w:val="20"/>
                <w:szCs w:val="20"/>
              </w:rPr>
              <w:t>2473C/25</w:t>
            </w:r>
          </w:p>
        </w:tc>
        <w:tc>
          <w:tcPr>
            <w:tcW w:w="1276" w:type="dxa"/>
          </w:tcPr>
          <w:p w14:paraId="77FBB1FE"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20 ± 0.50</w:t>
            </w:r>
          </w:p>
        </w:tc>
        <w:tc>
          <w:tcPr>
            <w:tcW w:w="993" w:type="dxa"/>
          </w:tcPr>
          <w:p w14:paraId="0DE84D5F" w14:textId="77777777" w:rsidR="009B44BB" w:rsidRPr="009B44BB" w:rsidRDefault="009B44BB" w:rsidP="009B44BB">
            <w:pPr>
              <w:pStyle w:val="NoSpacing"/>
              <w:spacing w:line="240" w:lineRule="auto"/>
              <w:ind w:left="-102"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23ECDECD"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512C152B"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23350364"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16 (R)</w:t>
            </w:r>
          </w:p>
        </w:tc>
        <w:tc>
          <w:tcPr>
            <w:tcW w:w="986" w:type="dxa"/>
            <w:gridSpan w:val="2"/>
          </w:tcPr>
          <w:p w14:paraId="43CFD4F7"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B44BB" w:rsidRPr="0048296F" w14:paraId="253F8CFD"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Pr>
          <w:p w14:paraId="3D6BE7F4"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E. coli </w:t>
            </w:r>
            <w:r w:rsidRPr="009B44BB">
              <w:rPr>
                <w:rFonts w:cs="Arial"/>
                <w:sz w:val="20"/>
                <w:szCs w:val="20"/>
              </w:rPr>
              <w:t>2411C/25</w:t>
            </w:r>
          </w:p>
        </w:tc>
        <w:tc>
          <w:tcPr>
            <w:tcW w:w="1276" w:type="dxa"/>
          </w:tcPr>
          <w:p w14:paraId="6FAE43F2" w14:textId="77777777" w:rsidR="009B44BB" w:rsidRPr="009B44BB" w:rsidRDefault="009B44BB" w:rsidP="009B44BB">
            <w:pPr>
              <w:pStyle w:val="NoSpacing"/>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15± 1</w:t>
            </w:r>
          </w:p>
        </w:tc>
        <w:tc>
          <w:tcPr>
            <w:tcW w:w="993" w:type="dxa"/>
          </w:tcPr>
          <w:p w14:paraId="0B717F9F"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1C39AF09"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6BFCAF8E"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57E7B8C5"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30 (S)</w:t>
            </w:r>
          </w:p>
        </w:tc>
        <w:tc>
          <w:tcPr>
            <w:tcW w:w="986" w:type="dxa"/>
            <w:gridSpan w:val="2"/>
          </w:tcPr>
          <w:p w14:paraId="6FA843D7"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B44BB" w:rsidRPr="0048296F" w14:paraId="6C25B973"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12107F62"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S. aureus </w:t>
            </w:r>
            <w:r w:rsidRPr="009B44BB">
              <w:rPr>
                <w:rFonts w:cs="Arial"/>
                <w:sz w:val="20"/>
                <w:szCs w:val="20"/>
              </w:rPr>
              <w:t>2459C/25</w:t>
            </w:r>
          </w:p>
        </w:tc>
        <w:tc>
          <w:tcPr>
            <w:tcW w:w="1276" w:type="dxa"/>
          </w:tcPr>
          <w:p w14:paraId="1DF3924B"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22 ± 1</w:t>
            </w:r>
          </w:p>
        </w:tc>
        <w:tc>
          <w:tcPr>
            <w:tcW w:w="993" w:type="dxa"/>
          </w:tcPr>
          <w:p w14:paraId="244009DC" w14:textId="77777777" w:rsidR="009B44BB" w:rsidRPr="009B44BB" w:rsidRDefault="009B44BB" w:rsidP="009B44BB">
            <w:pPr>
              <w:pStyle w:val="NoSpacing"/>
              <w:spacing w:line="240" w:lineRule="auto"/>
              <w:ind w:left="-102"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7C702C1"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38C18B0B"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73FFF22B"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6" w:type="dxa"/>
            <w:gridSpan w:val="2"/>
          </w:tcPr>
          <w:p w14:paraId="3CFA5F45"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16 (R)</w:t>
            </w:r>
          </w:p>
        </w:tc>
      </w:tr>
      <w:tr w:rsidR="009B44BB" w:rsidRPr="0048296F" w14:paraId="38755947" w14:textId="77777777" w:rsidTr="009B44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3" w:type="dxa"/>
          </w:tcPr>
          <w:p w14:paraId="7E485361"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S. aureus </w:t>
            </w:r>
            <w:r w:rsidRPr="009B44BB">
              <w:rPr>
                <w:rFonts w:cs="Arial"/>
                <w:sz w:val="20"/>
                <w:szCs w:val="20"/>
              </w:rPr>
              <w:t>2404C/25</w:t>
            </w:r>
          </w:p>
        </w:tc>
        <w:tc>
          <w:tcPr>
            <w:tcW w:w="1276" w:type="dxa"/>
          </w:tcPr>
          <w:p w14:paraId="37B3B1F1" w14:textId="77777777" w:rsidR="009B44BB" w:rsidRPr="009B44BB" w:rsidRDefault="009B44BB" w:rsidP="009B44BB">
            <w:pPr>
              <w:pStyle w:val="NoSpacing"/>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18 ± 0.2</w:t>
            </w:r>
          </w:p>
        </w:tc>
        <w:tc>
          <w:tcPr>
            <w:tcW w:w="993" w:type="dxa"/>
          </w:tcPr>
          <w:p w14:paraId="03BE2E37" w14:textId="77777777" w:rsidR="009B44BB" w:rsidRPr="009B44BB" w:rsidRDefault="009B44BB" w:rsidP="009B44BB">
            <w:pPr>
              <w:pStyle w:val="NoSpacing"/>
              <w:spacing w:line="240" w:lineRule="auto"/>
              <w:ind w:left="-102" w:right="-118"/>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31FFA848" w14:textId="77777777" w:rsidR="009B44BB" w:rsidRPr="009B44BB" w:rsidRDefault="009B44BB" w:rsidP="009B44BB">
            <w:pPr>
              <w:pStyle w:val="NoSpacing"/>
              <w:spacing w:line="240" w:lineRule="auto"/>
              <w:ind w:left="-107" w:right="-114"/>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37E7A3C1" w14:textId="77777777" w:rsidR="009B44BB" w:rsidRPr="009B44BB" w:rsidRDefault="009B44BB" w:rsidP="009B44BB">
            <w:pPr>
              <w:pStyle w:val="NoSpacing"/>
              <w:spacing w:line="240" w:lineRule="auto"/>
              <w:ind w:left="-111" w:right="-109"/>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C81F589" w14:textId="77777777" w:rsidR="009B44BB" w:rsidRPr="009B44BB" w:rsidRDefault="009B44BB" w:rsidP="009B44BB">
            <w:pPr>
              <w:pStyle w:val="NoSpacing"/>
              <w:spacing w:line="240" w:lineRule="auto"/>
              <w:ind w:left="-101" w:right="-105"/>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6" w:type="dxa"/>
            <w:gridSpan w:val="2"/>
          </w:tcPr>
          <w:p w14:paraId="30B55B1E" w14:textId="77777777" w:rsidR="009B44BB" w:rsidRPr="009B44BB" w:rsidRDefault="009B44BB" w:rsidP="009B44BB">
            <w:pPr>
              <w:pStyle w:val="NoSpacing"/>
              <w:spacing w:line="240" w:lineRule="auto"/>
              <w:ind w:left="-105" w:right="-122"/>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B44BB">
              <w:rPr>
                <w:rFonts w:cs="Arial"/>
                <w:sz w:val="20"/>
                <w:szCs w:val="20"/>
              </w:rPr>
              <w:t>25 (S)</w:t>
            </w:r>
          </w:p>
        </w:tc>
      </w:tr>
      <w:tr w:rsidR="009B44BB" w:rsidRPr="0048296F" w14:paraId="15143B4F" w14:textId="77777777" w:rsidTr="009B44BB">
        <w:trPr>
          <w:trHeight w:val="397"/>
        </w:trPr>
        <w:tc>
          <w:tcPr>
            <w:cnfStyle w:val="001000000000" w:firstRow="0" w:lastRow="0" w:firstColumn="1" w:lastColumn="0" w:oddVBand="0" w:evenVBand="0" w:oddHBand="0" w:evenHBand="0" w:firstRowFirstColumn="0" w:firstRowLastColumn="0" w:lastRowFirstColumn="0" w:lastRowLastColumn="0"/>
            <w:tcW w:w="2693" w:type="dxa"/>
          </w:tcPr>
          <w:p w14:paraId="08EEC84C" w14:textId="77777777" w:rsidR="009B44BB" w:rsidRPr="009B44BB" w:rsidRDefault="009B44BB" w:rsidP="009B44BB">
            <w:pPr>
              <w:pStyle w:val="NoSpacing"/>
              <w:spacing w:line="240" w:lineRule="auto"/>
              <w:ind w:right="-766"/>
              <w:contextualSpacing/>
              <w:jc w:val="left"/>
              <w:rPr>
                <w:rFonts w:cs="Arial"/>
                <w:sz w:val="20"/>
                <w:szCs w:val="20"/>
              </w:rPr>
            </w:pPr>
            <w:r w:rsidRPr="009B44BB">
              <w:rPr>
                <w:rFonts w:cs="Arial"/>
                <w:i/>
                <w:sz w:val="20"/>
                <w:szCs w:val="20"/>
              </w:rPr>
              <w:t xml:space="preserve">P. </w:t>
            </w:r>
            <w:proofErr w:type="spellStart"/>
            <w:r w:rsidRPr="009B44BB">
              <w:rPr>
                <w:rFonts w:cs="Arial"/>
                <w:i/>
                <w:sz w:val="20"/>
                <w:szCs w:val="20"/>
              </w:rPr>
              <w:t>aeruginosa</w:t>
            </w:r>
            <w:proofErr w:type="spellEnd"/>
            <w:r w:rsidRPr="009B44BB">
              <w:rPr>
                <w:rFonts w:cs="Arial"/>
                <w:i/>
                <w:sz w:val="20"/>
                <w:szCs w:val="20"/>
              </w:rPr>
              <w:t xml:space="preserve"> </w:t>
            </w:r>
            <w:r w:rsidRPr="009B44BB">
              <w:rPr>
                <w:rFonts w:cs="Arial"/>
                <w:sz w:val="20"/>
                <w:szCs w:val="20"/>
              </w:rPr>
              <w:t>2472C/25</w:t>
            </w:r>
          </w:p>
        </w:tc>
        <w:tc>
          <w:tcPr>
            <w:tcW w:w="1276" w:type="dxa"/>
          </w:tcPr>
          <w:p w14:paraId="4B86B45F" w14:textId="77777777" w:rsidR="009B44BB" w:rsidRPr="009B44BB" w:rsidRDefault="009B44BB" w:rsidP="009B44BB">
            <w:pPr>
              <w:pStyle w:val="NoSpacing"/>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15 ± 1</w:t>
            </w:r>
          </w:p>
        </w:tc>
        <w:tc>
          <w:tcPr>
            <w:tcW w:w="993" w:type="dxa"/>
          </w:tcPr>
          <w:p w14:paraId="09C27329" w14:textId="77777777" w:rsidR="009B44BB" w:rsidRPr="009B44BB" w:rsidRDefault="009B44BB" w:rsidP="009B44BB">
            <w:pPr>
              <w:pStyle w:val="NoSpacing"/>
              <w:spacing w:line="240" w:lineRule="auto"/>
              <w:ind w:right="-118"/>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03C8ACC9" w14:textId="77777777" w:rsidR="009B44BB" w:rsidRPr="009B44BB" w:rsidRDefault="009B44BB" w:rsidP="009B44BB">
            <w:pPr>
              <w:pStyle w:val="NoSpacing"/>
              <w:spacing w:line="240" w:lineRule="auto"/>
              <w:ind w:left="-107" w:right="-114"/>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992" w:type="dxa"/>
          </w:tcPr>
          <w:p w14:paraId="44995A09" w14:textId="77777777" w:rsidR="009B44BB" w:rsidRPr="009B44BB" w:rsidRDefault="009B44BB" w:rsidP="009B44BB">
            <w:pPr>
              <w:pStyle w:val="NoSpacing"/>
              <w:spacing w:line="240" w:lineRule="auto"/>
              <w:ind w:left="-111" w:right="-109"/>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06 ± 1</w:t>
            </w:r>
          </w:p>
        </w:tc>
        <w:tc>
          <w:tcPr>
            <w:tcW w:w="1134" w:type="dxa"/>
          </w:tcPr>
          <w:p w14:paraId="4A1FDBE4" w14:textId="77777777" w:rsidR="009B44BB" w:rsidRPr="009B44BB" w:rsidRDefault="009B44BB" w:rsidP="009B44BB">
            <w:pPr>
              <w:pStyle w:val="NoSpacing"/>
              <w:spacing w:line="240" w:lineRule="auto"/>
              <w:ind w:left="-101" w:right="-105"/>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B44BB">
              <w:rPr>
                <w:rFonts w:cs="Arial"/>
                <w:sz w:val="20"/>
                <w:szCs w:val="20"/>
              </w:rPr>
              <w:t>15 (R)</w:t>
            </w:r>
          </w:p>
        </w:tc>
        <w:tc>
          <w:tcPr>
            <w:tcW w:w="986" w:type="dxa"/>
            <w:gridSpan w:val="2"/>
          </w:tcPr>
          <w:p w14:paraId="4343A4C0" w14:textId="77777777" w:rsidR="009B44BB" w:rsidRPr="009B44BB" w:rsidRDefault="009B44BB" w:rsidP="009B44BB">
            <w:pPr>
              <w:pStyle w:val="NoSpacing"/>
              <w:spacing w:line="240" w:lineRule="auto"/>
              <w:ind w:left="-105" w:right="-122"/>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bookmarkEnd w:id="4"/>
    </w:tbl>
    <w:p w14:paraId="2578ADB4" w14:textId="77777777" w:rsidR="00001C52" w:rsidRDefault="00001C52" w:rsidP="00441B6F">
      <w:pPr>
        <w:pStyle w:val="Body"/>
        <w:spacing w:after="0"/>
        <w:rPr>
          <w:rFonts w:ascii="Arial" w:hAnsi="Arial" w:cs="Arial"/>
        </w:rPr>
      </w:pPr>
    </w:p>
    <w:p w14:paraId="6DBCEF68" w14:textId="77777777" w:rsidR="009B44BB" w:rsidRPr="009B44BB" w:rsidRDefault="009B44BB" w:rsidP="009B44BB">
      <w:pPr>
        <w:pStyle w:val="NoSpacing"/>
        <w:spacing w:line="240" w:lineRule="auto"/>
        <w:ind w:right="-766"/>
        <w:contextualSpacing/>
        <w:rPr>
          <w:rFonts w:cs="Arial"/>
          <w:i/>
          <w:iCs/>
          <w:color w:val="E50000"/>
          <w:sz w:val="20"/>
          <w:szCs w:val="20"/>
          <w:lang w:val="en-GB"/>
        </w:rPr>
      </w:pPr>
      <w:bookmarkStart w:id="5" w:name="_Hlk215139602"/>
      <w:r w:rsidRPr="009B44BB">
        <w:rPr>
          <w:rFonts w:cs="Arial"/>
          <w:sz w:val="20"/>
          <w:szCs w:val="20"/>
          <w:lang w:val="en-GB"/>
        </w:rPr>
        <w:t xml:space="preserve">* </w:t>
      </w:r>
      <w:proofErr w:type="gramStart"/>
      <w:r w:rsidRPr="009B44BB">
        <w:rPr>
          <w:rFonts w:cs="Arial"/>
          <w:sz w:val="20"/>
          <w:szCs w:val="20"/>
          <w:lang w:val="en-GB"/>
        </w:rPr>
        <w:t>EDS :</w:t>
      </w:r>
      <w:proofErr w:type="gramEnd"/>
      <w:r w:rsidRPr="009B44BB">
        <w:rPr>
          <w:rFonts w:cs="Arial"/>
          <w:sz w:val="20"/>
          <w:szCs w:val="20"/>
          <w:lang w:val="en-GB"/>
        </w:rPr>
        <w:t xml:space="preserve"> Sterile distilled water, Cefepime (FEP), Cefoxitin (FOX) ; (S): Sensitive ; (R): Resistant.</w:t>
      </w:r>
    </w:p>
    <w:bookmarkEnd w:id="5"/>
    <w:p w14:paraId="4B61D4BF" w14:textId="77777777" w:rsidR="00C076CE" w:rsidRDefault="00C076CE" w:rsidP="00441B6F">
      <w:pPr>
        <w:pStyle w:val="Body"/>
        <w:spacing w:after="0"/>
        <w:rPr>
          <w:rFonts w:ascii="Arial" w:hAnsi="Arial" w:cs="Arial"/>
        </w:rPr>
      </w:pPr>
    </w:p>
    <w:p w14:paraId="4A8C673F" w14:textId="52F12CD2" w:rsidR="00D14BC6" w:rsidRPr="00A83972" w:rsidRDefault="00D14BC6" w:rsidP="00D14BC6">
      <w:pPr>
        <w:ind w:right="-766"/>
        <w:jc w:val="both"/>
        <w:rPr>
          <w:rFonts w:ascii="Arial" w:hAnsi="Arial" w:cs="Arial"/>
          <w:b/>
          <w:bCs/>
          <w:lang w:val="en-GB"/>
        </w:rPr>
      </w:pPr>
      <w:r w:rsidRPr="008F3C98">
        <w:rPr>
          <w:rFonts w:ascii="Arial" w:hAnsi="Arial" w:cs="Arial"/>
          <w:b/>
          <w:bCs/>
          <w:u w:val="single"/>
          <w:lang w:val="en-GB"/>
        </w:rPr>
        <w:t>3.</w:t>
      </w:r>
      <w:r>
        <w:rPr>
          <w:rFonts w:ascii="Arial" w:hAnsi="Arial" w:cs="Arial"/>
          <w:b/>
          <w:bCs/>
          <w:u w:val="single"/>
          <w:lang w:val="en-GB"/>
        </w:rPr>
        <w:t>5</w:t>
      </w:r>
      <w:r w:rsidRPr="008F3C98">
        <w:rPr>
          <w:rFonts w:ascii="Arial" w:hAnsi="Arial" w:cs="Arial"/>
          <w:b/>
          <w:bCs/>
          <w:u w:val="single"/>
          <w:lang w:val="en-GB"/>
        </w:rPr>
        <w:t>.</w:t>
      </w:r>
      <w:r>
        <w:rPr>
          <w:rFonts w:ascii="Arial" w:hAnsi="Arial" w:cs="Arial"/>
          <w:b/>
          <w:bCs/>
          <w:u w:val="single"/>
          <w:lang w:val="en-GB"/>
        </w:rPr>
        <w:t>2 Antibacterial parameters and interpretation</w:t>
      </w:r>
    </w:p>
    <w:p w14:paraId="01305F9C" w14:textId="77777777" w:rsidR="00C80CB1" w:rsidRDefault="00C80CB1" w:rsidP="00441B6F">
      <w:pPr>
        <w:pStyle w:val="Body"/>
        <w:spacing w:after="0"/>
        <w:rPr>
          <w:rFonts w:ascii="Arial" w:hAnsi="Arial" w:cs="Arial"/>
        </w:rPr>
      </w:pPr>
    </w:p>
    <w:p w14:paraId="45FC8703" w14:textId="2760D7A4" w:rsidR="00D14BC6" w:rsidRDefault="00D14BC6" w:rsidP="00441B6F">
      <w:pPr>
        <w:pStyle w:val="Body"/>
        <w:spacing w:after="0"/>
        <w:rPr>
          <w:rFonts w:ascii="Arial" w:hAnsi="Arial" w:cs="Arial"/>
        </w:rPr>
      </w:pPr>
      <w:r w:rsidRPr="00D14BC6">
        <w:rPr>
          <w:rFonts w:ascii="Arial" w:hAnsi="Arial" w:cs="Arial"/>
        </w:rPr>
        <w:t xml:space="preserve">The antibacterial parameters of the active extract (TE) were determined and are presented in Table </w:t>
      </w:r>
      <w:r>
        <w:rPr>
          <w:rFonts w:ascii="Arial" w:hAnsi="Arial" w:cs="Arial"/>
        </w:rPr>
        <w:t>6</w:t>
      </w:r>
      <w:r w:rsidRPr="00D14BC6">
        <w:rPr>
          <w:rFonts w:ascii="Arial" w:hAnsi="Arial" w:cs="Arial"/>
        </w:rPr>
        <w:t xml:space="preserve">. Interpretation of the MBC/MIC ratio indicates that the trunk bark extract has a bactericidal effect against </w:t>
      </w:r>
      <w:r w:rsidRPr="00D14BC6">
        <w:rPr>
          <w:rFonts w:ascii="Arial" w:hAnsi="Arial" w:cs="Arial"/>
          <w:i/>
          <w:iCs/>
        </w:rPr>
        <w:t>E. coli</w:t>
      </w:r>
      <w:r w:rsidRPr="00D14BC6">
        <w:rPr>
          <w:rFonts w:ascii="Arial" w:hAnsi="Arial" w:cs="Arial"/>
        </w:rPr>
        <w:t xml:space="preserve"> 2473C/25, </w:t>
      </w:r>
      <w:r w:rsidRPr="00D14BC6">
        <w:rPr>
          <w:rFonts w:ascii="Arial" w:hAnsi="Arial" w:cs="Arial"/>
          <w:i/>
          <w:iCs/>
        </w:rPr>
        <w:t>E. coli</w:t>
      </w:r>
      <w:r w:rsidRPr="00D14BC6">
        <w:rPr>
          <w:rFonts w:ascii="Arial" w:hAnsi="Arial" w:cs="Arial"/>
        </w:rPr>
        <w:t xml:space="preserve"> 2411C/25, and </w:t>
      </w:r>
      <w:r w:rsidRPr="00D14BC6">
        <w:rPr>
          <w:rFonts w:ascii="Arial" w:hAnsi="Arial" w:cs="Arial"/>
          <w:i/>
          <w:iCs/>
        </w:rPr>
        <w:t>P. aeruginosa</w:t>
      </w:r>
      <w:r w:rsidRPr="00D14BC6">
        <w:rPr>
          <w:rFonts w:ascii="Arial" w:hAnsi="Arial" w:cs="Arial"/>
        </w:rPr>
        <w:t xml:space="preserve"> 2472C/25, and a bacteriostatic effect against the two tested </w:t>
      </w:r>
      <w:r w:rsidRPr="00D14BC6">
        <w:rPr>
          <w:rFonts w:ascii="Arial" w:hAnsi="Arial" w:cs="Arial"/>
          <w:i/>
          <w:iCs/>
        </w:rPr>
        <w:t>Staphylococcus aureus</w:t>
      </w:r>
      <w:r w:rsidRPr="00D14BC6">
        <w:rPr>
          <w:rFonts w:ascii="Arial" w:hAnsi="Arial" w:cs="Arial"/>
        </w:rPr>
        <w:t xml:space="preserve"> strains.</w:t>
      </w:r>
    </w:p>
    <w:p w14:paraId="0E775728" w14:textId="77777777" w:rsidR="00D14BC6" w:rsidRDefault="00D14BC6" w:rsidP="00441B6F">
      <w:pPr>
        <w:pStyle w:val="Body"/>
        <w:spacing w:after="0"/>
        <w:rPr>
          <w:rFonts w:ascii="Arial" w:hAnsi="Arial" w:cs="Arial"/>
        </w:rPr>
      </w:pPr>
    </w:p>
    <w:p w14:paraId="46E06C14" w14:textId="172160EF" w:rsidR="00D14BC6" w:rsidRPr="00D14BC6" w:rsidRDefault="00D14BC6" w:rsidP="00D14BC6">
      <w:pPr>
        <w:ind w:right="-766"/>
        <w:rPr>
          <w:rFonts w:ascii="Arial" w:hAnsi="Arial" w:cs="Arial"/>
          <w:b/>
          <w:bCs/>
          <w:lang w:val="en-GB"/>
        </w:rPr>
      </w:pPr>
      <w:r w:rsidRPr="00D14BC6">
        <w:rPr>
          <w:rFonts w:ascii="Arial" w:hAnsi="Arial" w:cs="Arial"/>
          <w:b/>
          <w:bCs/>
          <w:lang w:val="en-GB"/>
        </w:rPr>
        <w:t xml:space="preserve">Table 6: </w:t>
      </w:r>
      <w:r w:rsidRPr="00854331">
        <w:rPr>
          <w:rFonts w:ascii="Arial" w:hAnsi="Arial" w:cs="Arial"/>
          <w:bCs/>
          <w:iCs/>
          <w:color w:val="000000" w:themeColor="text1"/>
          <w:lang w:val="en-GB"/>
        </w:rPr>
        <w:t>Antibacterial parameters of the trunk bark extract (TE) of </w:t>
      </w:r>
      <w:r w:rsidRPr="00854331">
        <w:rPr>
          <w:rFonts w:ascii="Arial" w:hAnsi="Arial" w:cs="Arial"/>
          <w:bCs/>
          <w:i/>
          <w:iCs/>
          <w:color w:val="000000" w:themeColor="text1"/>
          <w:lang w:val="en-GB"/>
        </w:rPr>
        <w:t>A. </w:t>
      </w:r>
      <w:proofErr w:type="spellStart"/>
      <w:r w:rsidRPr="00854331">
        <w:rPr>
          <w:rFonts w:ascii="Arial" w:hAnsi="Arial" w:cs="Arial"/>
          <w:bCs/>
          <w:i/>
          <w:iCs/>
          <w:color w:val="000000" w:themeColor="text1"/>
          <w:lang w:val="en-GB"/>
        </w:rPr>
        <w:t>pavonina</w:t>
      </w:r>
      <w:proofErr w:type="spellEnd"/>
    </w:p>
    <w:p w14:paraId="2C33A50B" w14:textId="77777777" w:rsidR="00D14BC6" w:rsidRPr="00D14BC6" w:rsidRDefault="00D14BC6" w:rsidP="00441B6F">
      <w:pPr>
        <w:pStyle w:val="Body"/>
        <w:spacing w:after="0"/>
        <w:rPr>
          <w:rFonts w:ascii="Arial" w:hAnsi="Arial" w:cs="Arial"/>
          <w:lang w:val="en-GB"/>
        </w:rPr>
      </w:pPr>
    </w:p>
    <w:tbl>
      <w:tblPr>
        <w:tblStyle w:val="PlainTable2"/>
        <w:tblW w:w="9283" w:type="dxa"/>
        <w:tblInd w:w="-531" w:type="dxa"/>
        <w:tblLook w:val="04A0" w:firstRow="1" w:lastRow="0" w:firstColumn="1" w:lastColumn="0" w:noHBand="0" w:noVBand="1"/>
      </w:tblPr>
      <w:tblGrid>
        <w:gridCol w:w="2582"/>
        <w:gridCol w:w="1808"/>
        <w:gridCol w:w="1701"/>
        <w:gridCol w:w="1356"/>
        <w:gridCol w:w="1836"/>
      </w:tblGrid>
      <w:tr w:rsidR="00854331" w:rsidRPr="00854331" w14:paraId="25C6FF09" w14:textId="77777777" w:rsidTr="00854331">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82" w:type="dxa"/>
          </w:tcPr>
          <w:p w14:paraId="0D508B0F" w14:textId="77777777" w:rsidR="00854331" w:rsidRPr="00854331" w:rsidRDefault="00854331" w:rsidP="00175510">
            <w:pPr>
              <w:ind w:right="-766"/>
              <w:jc w:val="both"/>
              <w:rPr>
                <w:rFonts w:ascii="Arial" w:hAnsi="Arial" w:cs="Arial"/>
                <w:b w:val="0"/>
                <w:bCs w:val="0"/>
                <w:sz w:val="20"/>
                <w:szCs w:val="20"/>
                <w:lang w:val="en-GB"/>
              </w:rPr>
            </w:pPr>
          </w:p>
        </w:tc>
        <w:tc>
          <w:tcPr>
            <w:tcW w:w="1808" w:type="dxa"/>
          </w:tcPr>
          <w:p w14:paraId="65F37525" w14:textId="77777777" w:rsidR="00854331" w:rsidRPr="00854331" w:rsidRDefault="00854331" w:rsidP="00175510">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 xml:space="preserve">CMI </w:t>
            </w:r>
          </w:p>
          <w:p w14:paraId="47E1FD35" w14:textId="77777777" w:rsidR="00854331" w:rsidRPr="00854331" w:rsidRDefault="00854331" w:rsidP="00175510">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w:t>
            </w:r>
            <w:proofErr w:type="gramStart"/>
            <w:r w:rsidRPr="00854331">
              <w:rPr>
                <w:rFonts w:ascii="Arial" w:hAnsi="Arial" w:cs="Arial"/>
                <w:b w:val="0"/>
                <w:bCs w:val="0"/>
                <w:sz w:val="20"/>
                <w:szCs w:val="20"/>
              </w:rPr>
              <w:t>mg</w:t>
            </w:r>
            <w:proofErr w:type="gramEnd"/>
            <w:r w:rsidRPr="00854331">
              <w:rPr>
                <w:rFonts w:ascii="Arial" w:hAnsi="Arial" w:cs="Arial"/>
                <w:b w:val="0"/>
                <w:bCs w:val="0"/>
                <w:sz w:val="20"/>
                <w:szCs w:val="20"/>
              </w:rPr>
              <w:t>/</w:t>
            </w:r>
            <w:proofErr w:type="spellStart"/>
            <w:r w:rsidRPr="00854331">
              <w:rPr>
                <w:rFonts w:ascii="Arial" w:hAnsi="Arial" w:cs="Arial"/>
                <w:b w:val="0"/>
                <w:bCs w:val="0"/>
                <w:sz w:val="20"/>
                <w:szCs w:val="20"/>
              </w:rPr>
              <w:t>mL</w:t>
            </w:r>
            <w:proofErr w:type="spellEnd"/>
            <w:r w:rsidRPr="00854331">
              <w:rPr>
                <w:rFonts w:ascii="Arial" w:hAnsi="Arial" w:cs="Arial"/>
                <w:b w:val="0"/>
                <w:bCs w:val="0"/>
                <w:sz w:val="20"/>
                <w:szCs w:val="20"/>
              </w:rPr>
              <w:t>)</w:t>
            </w:r>
          </w:p>
        </w:tc>
        <w:tc>
          <w:tcPr>
            <w:tcW w:w="1701" w:type="dxa"/>
          </w:tcPr>
          <w:p w14:paraId="43BBC241" w14:textId="77777777" w:rsidR="00854331" w:rsidRPr="00854331" w:rsidRDefault="00854331" w:rsidP="00175510">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CMB</w:t>
            </w:r>
          </w:p>
          <w:p w14:paraId="151815F3" w14:textId="77777777" w:rsidR="00854331" w:rsidRPr="00854331" w:rsidRDefault="00854331" w:rsidP="00175510">
            <w:pPr>
              <w:ind w:right="-76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w:t>
            </w:r>
            <w:proofErr w:type="gramStart"/>
            <w:r w:rsidRPr="00854331">
              <w:rPr>
                <w:rFonts w:ascii="Arial" w:hAnsi="Arial" w:cs="Arial"/>
                <w:b w:val="0"/>
                <w:bCs w:val="0"/>
                <w:sz w:val="20"/>
                <w:szCs w:val="20"/>
              </w:rPr>
              <w:t>mg</w:t>
            </w:r>
            <w:proofErr w:type="gramEnd"/>
            <w:r w:rsidRPr="00854331">
              <w:rPr>
                <w:rFonts w:ascii="Arial" w:hAnsi="Arial" w:cs="Arial"/>
                <w:b w:val="0"/>
                <w:bCs w:val="0"/>
                <w:sz w:val="20"/>
                <w:szCs w:val="20"/>
              </w:rPr>
              <w:t>/</w:t>
            </w:r>
            <w:proofErr w:type="spellStart"/>
            <w:r w:rsidRPr="00854331">
              <w:rPr>
                <w:rFonts w:ascii="Arial" w:hAnsi="Arial" w:cs="Arial"/>
                <w:b w:val="0"/>
                <w:bCs w:val="0"/>
                <w:sz w:val="20"/>
                <w:szCs w:val="20"/>
              </w:rPr>
              <w:t>mL</w:t>
            </w:r>
            <w:proofErr w:type="spellEnd"/>
            <w:r w:rsidRPr="00854331">
              <w:rPr>
                <w:rFonts w:ascii="Arial" w:hAnsi="Arial" w:cs="Arial"/>
                <w:b w:val="0"/>
                <w:bCs w:val="0"/>
                <w:sz w:val="20"/>
                <w:szCs w:val="20"/>
              </w:rPr>
              <w:t>)</w:t>
            </w:r>
          </w:p>
        </w:tc>
        <w:tc>
          <w:tcPr>
            <w:tcW w:w="1356" w:type="dxa"/>
          </w:tcPr>
          <w:p w14:paraId="580ED90D" w14:textId="77777777" w:rsidR="00854331" w:rsidRPr="00854331" w:rsidRDefault="00854331" w:rsidP="00175510">
            <w:pPr>
              <w:ind w:right="-766"/>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54331">
              <w:rPr>
                <w:rFonts w:ascii="Arial" w:hAnsi="Arial" w:cs="Arial"/>
                <w:b w:val="0"/>
                <w:bCs w:val="0"/>
                <w:sz w:val="20"/>
                <w:szCs w:val="20"/>
              </w:rPr>
              <w:t>CMB/CMI</w:t>
            </w:r>
          </w:p>
        </w:tc>
        <w:tc>
          <w:tcPr>
            <w:tcW w:w="1836" w:type="dxa"/>
          </w:tcPr>
          <w:p w14:paraId="4CA9B664" w14:textId="77777777" w:rsidR="00854331" w:rsidRPr="00854331" w:rsidRDefault="00854331" w:rsidP="00175510">
            <w:pPr>
              <w:ind w:right="-766"/>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854331">
              <w:rPr>
                <w:rFonts w:ascii="Arial" w:hAnsi="Arial" w:cs="Arial"/>
                <w:b w:val="0"/>
                <w:bCs w:val="0"/>
                <w:sz w:val="20"/>
                <w:szCs w:val="20"/>
              </w:rPr>
              <w:t>Interpretation</w:t>
            </w:r>
            <w:proofErr w:type="spellEnd"/>
          </w:p>
        </w:tc>
      </w:tr>
      <w:tr w:rsidR="00854331" w:rsidRPr="00854331" w14:paraId="57BBA6D7"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5E32B48A" w14:textId="77777777" w:rsidR="00854331" w:rsidRPr="00854331" w:rsidRDefault="00854331" w:rsidP="00175510">
            <w:pPr>
              <w:ind w:right="-766"/>
              <w:jc w:val="both"/>
              <w:rPr>
                <w:rFonts w:ascii="Arial" w:hAnsi="Arial" w:cs="Arial"/>
                <w:sz w:val="20"/>
                <w:szCs w:val="20"/>
              </w:rPr>
            </w:pPr>
            <w:r w:rsidRPr="00854331">
              <w:rPr>
                <w:rFonts w:ascii="Arial" w:hAnsi="Arial" w:cs="Arial"/>
                <w:i/>
                <w:sz w:val="20"/>
                <w:szCs w:val="20"/>
              </w:rPr>
              <w:t xml:space="preserve">E. coli </w:t>
            </w:r>
            <w:r w:rsidRPr="00854331">
              <w:rPr>
                <w:rFonts w:ascii="Arial" w:hAnsi="Arial" w:cs="Arial"/>
                <w:sz w:val="20"/>
                <w:szCs w:val="20"/>
              </w:rPr>
              <w:t>2473C/25</w:t>
            </w:r>
          </w:p>
        </w:tc>
        <w:tc>
          <w:tcPr>
            <w:tcW w:w="1808" w:type="dxa"/>
          </w:tcPr>
          <w:p w14:paraId="5A44FBC8"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25</w:t>
            </w:r>
          </w:p>
        </w:tc>
        <w:tc>
          <w:tcPr>
            <w:tcW w:w="1701" w:type="dxa"/>
          </w:tcPr>
          <w:p w14:paraId="237C05D8"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50</w:t>
            </w:r>
          </w:p>
        </w:tc>
        <w:tc>
          <w:tcPr>
            <w:tcW w:w="1356" w:type="dxa"/>
          </w:tcPr>
          <w:p w14:paraId="67F8EF4E"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2</w:t>
            </w:r>
          </w:p>
        </w:tc>
        <w:tc>
          <w:tcPr>
            <w:tcW w:w="1836" w:type="dxa"/>
          </w:tcPr>
          <w:p w14:paraId="54017A3F" w14:textId="77777777" w:rsidR="00854331" w:rsidRPr="00854331" w:rsidRDefault="00854331" w:rsidP="00175510">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r w:rsidR="00854331" w:rsidRPr="00854331" w14:paraId="27563527" w14:textId="77777777" w:rsidTr="00854331">
        <w:tc>
          <w:tcPr>
            <w:cnfStyle w:val="001000000000" w:firstRow="0" w:lastRow="0" w:firstColumn="1" w:lastColumn="0" w:oddVBand="0" w:evenVBand="0" w:oddHBand="0" w:evenHBand="0" w:firstRowFirstColumn="0" w:firstRowLastColumn="0" w:lastRowFirstColumn="0" w:lastRowLastColumn="0"/>
            <w:tcW w:w="2582" w:type="dxa"/>
          </w:tcPr>
          <w:p w14:paraId="54FC6BC8" w14:textId="77777777" w:rsidR="00854331" w:rsidRPr="00854331" w:rsidRDefault="00854331" w:rsidP="00175510">
            <w:pPr>
              <w:ind w:right="-766"/>
              <w:jc w:val="both"/>
              <w:rPr>
                <w:rFonts w:ascii="Arial" w:hAnsi="Arial" w:cs="Arial"/>
                <w:sz w:val="20"/>
                <w:szCs w:val="20"/>
              </w:rPr>
            </w:pPr>
            <w:r w:rsidRPr="00854331">
              <w:rPr>
                <w:rFonts w:ascii="Arial" w:hAnsi="Arial" w:cs="Arial"/>
                <w:i/>
                <w:sz w:val="20"/>
                <w:szCs w:val="20"/>
              </w:rPr>
              <w:t xml:space="preserve">E. coli </w:t>
            </w:r>
            <w:r w:rsidRPr="00854331">
              <w:rPr>
                <w:rFonts w:ascii="Arial" w:hAnsi="Arial" w:cs="Arial"/>
                <w:sz w:val="20"/>
                <w:szCs w:val="20"/>
              </w:rPr>
              <w:t>2411C/25</w:t>
            </w:r>
          </w:p>
        </w:tc>
        <w:tc>
          <w:tcPr>
            <w:tcW w:w="1808" w:type="dxa"/>
          </w:tcPr>
          <w:p w14:paraId="72BFC426"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12.5</w:t>
            </w:r>
          </w:p>
        </w:tc>
        <w:tc>
          <w:tcPr>
            <w:tcW w:w="1701" w:type="dxa"/>
          </w:tcPr>
          <w:p w14:paraId="41D4E69B"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25</w:t>
            </w:r>
          </w:p>
        </w:tc>
        <w:tc>
          <w:tcPr>
            <w:tcW w:w="1356" w:type="dxa"/>
          </w:tcPr>
          <w:p w14:paraId="1F9FAB71"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2</w:t>
            </w:r>
          </w:p>
        </w:tc>
        <w:tc>
          <w:tcPr>
            <w:tcW w:w="1836" w:type="dxa"/>
          </w:tcPr>
          <w:p w14:paraId="4B80CD71" w14:textId="77777777" w:rsidR="00854331" w:rsidRPr="00854331" w:rsidRDefault="00854331" w:rsidP="00175510">
            <w:pPr>
              <w:ind w:right="-76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r w:rsidR="00854331" w:rsidRPr="00854331" w14:paraId="48751D41"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3141EF7D" w14:textId="77777777" w:rsidR="00854331" w:rsidRPr="00854331" w:rsidRDefault="00854331" w:rsidP="00175510">
            <w:pPr>
              <w:ind w:right="-766"/>
              <w:jc w:val="both"/>
              <w:rPr>
                <w:rFonts w:ascii="Arial" w:hAnsi="Arial" w:cs="Arial"/>
                <w:sz w:val="20"/>
                <w:szCs w:val="20"/>
              </w:rPr>
            </w:pPr>
            <w:r w:rsidRPr="00854331">
              <w:rPr>
                <w:rFonts w:ascii="Arial" w:hAnsi="Arial" w:cs="Arial"/>
                <w:i/>
                <w:sz w:val="20"/>
                <w:szCs w:val="20"/>
              </w:rPr>
              <w:t xml:space="preserve">S. aureus </w:t>
            </w:r>
            <w:r w:rsidRPr="00854331">
              <w:rPr>
                <w:rFonts w:ascii="Arial" w:hAnsi="Arial" w:cs="Arial"/>
                <w:sz w:val="20"/>
                <w:szCs w:val="20"/>
              </w:rPr>
              <w:t>2459C/25</w:t>
            </w:r>
          </w:p>
        </w:tc>
        <w:tc>
          <w:tcPr>
            <w:tcW w:w="1808" w:type="dxa"/>
          </w:tcPr>
          <w:p w14:paraId="498D4B7A"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4C956295"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&gt; 6,25</w:t>
            </w:r>
          </w:p>
        </w:tc>
        <w:tc>
          <w:tcPr>
            <w:tcW w:w="1356" w:type="dxa"/>
          </w:tcPr>
          <w:p w14:paraId="19F3D11D"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w:t>
            </w:r>
          </w:p>
        </w:tc>
        <w:tc>
          <w:tcPr>
            <w:tcW w:w="1836" w:type="dxa"/>
          </w:tcPr>
          <w:p w14:paraId="39A9F6FD" w14:textId="77777777" w:rsidR="00854331" w:rsidRPr="00854331" w:rsidRDefault="00854331" w:rsidP="00175510">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Bacteriostatic</w:t>
            </w:r>
            <w:proofErr w:type="spellEnd"/>
          </w:p>
        </w:tc>
      </w:tr>
      <w:tr w:rsidR="00854331" w:rsidRPr="00854331" w14:paraId="1A924AE1" w14:textId="77777777" w:rsidTr="00854331">
        <w:tc>
          <w:tcPr>
            <w:cnfStyle w:val="001000000000" w:firstRow="0" w:lastRow="0" w:firstColumn="1" w:lastColumn="0" w:oddVBand="0" w:evenVBand="0" w:oddHBand="0" w:evenHBand="0" w:firstRowFirstColumn="0" w:firstRowLastColumn="0" w:lastRowFirstColumn="0" w:lastRowLastColumn="0"/>
            <w:tcW w:w="2582" w:type="dxa"/>
          </w:tcPr>
          <w:p w14:paraId="4FF01C2E" w14:textId="77777777" w:rsidR="00854331" w:rsidRPr="00854331" w:rsidRDefault="00854331" w:rsidP="00175510">
            <w:pPr>
              <w:ind w:right="-766"/>
              <w:jc w:val="both"/>
              <w:rPr>
                <w:rFonts w:ascii="Arial" w:hAnsi="Arial" w:cs="Arial"/>
                <w:sz w:val="20"/>
                <w:szCs w:val="20"/>
              </w:rPr>
            </w:pPr>
            <w:r w:rsidRPr="00854331">
              <w:rPr>
                <w:rFonts w:ascii="Arial" w:hAnsi="Arial" w:cs="Arial"/>
                <w:i/>
                <w:sz w:val="20"/>
                <w:szCs w:val="20"/>
              </w:rPr>
              <w:t xml:space="preserve">S. aureus </w:t>
            </w:r>
            <w:r w:rsidRPr="00854331">
              <w:rPr>
                <w:rFonts w:ascii="Arial" w:hAnsi="Arial" w:cs="Arial"/>
                <w:sz w:val="20"/>
                <w:szCs w:val="20"/>
              </w:rPr>
              <w:t>2404C/25</w:t>
            </w:r>
          </w:p>
        </w:tc>
        <w:tc>
          <w:tcPr>
            <w:tcW w:w="1808" w:type="dxa"/>
          </w:tcPr>
          <w:p w14:paraId="4975FB2F"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4E32182F"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&gt; 6,25</w:t>
            </w:r>
          </w:p>
        </w:tc>
        <w:tc>
          <w:tcPr>
            <w:tcW w:w="1356" w:type="dxa"/>
          </w:tcPr>
          <w:p w14:paraId="72D6A24E" w14:textId="77777777" w:rsidR="00854331" w:rsidRPr="00854331" w:rsidRDefault="00854331" w:rsidP="00175510">
            <w:pPr>
              <w:ind w:right="-76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331">
              <w:rPr>
                <w:rFonts w:ascii="Arial" w:hAnsi="Arial" w:cs="Arial"/>
                <w:sz w:val="20"/>
                <w:szCs w:val="20"/>
              </w:rPr>
              <w:t>-</w:t>
            </w:r>
          </w:p>
        </w:tc>
        <w:tc>
          <w:tcPr>
            <w:tcW w:w="1836" w:type="dxa"/>
          </w:tcPr>
          <w:p w14:paraId="2F1D855F" w14:textId="77777777" w:rsidR="00854331" w:rsidRPr="00854331" w:rsidRDefault="00854331" w:rsidP="00175510">
            <w:pPr>
              <w:ind w:right="-76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Bacteriostatic</w:t>
            </w:r>
            <w:proofErr w:type="spellEnd"/>
          </w:p>
        </w:tc>
      </w:tr>
      <w:tr w:rsidR="00854331" w:rsidRPr="00854331" w14:paraId="609FBF6F" w14:textId="77777777" w:rsidTr="0085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tcPr>
          <w:p w14:paraId="794F6A82" w14:textId="77777777" w:rsidR="00854331" w:rsidRPr="00854331" w:rsidRDefault="00854331" w:rsidP="00175510">
            <w:pPr>
              <w:ind w:right="-766"/>
              <w:jc w:val="both"/>
              <w:rPr>
                <w:rFonts w:ascii="Arial" w:hAnsi="Arial" w:cs="Arial"/>
                <w:sz w:val="20"/>
                <w:szCs w:val="20"/>
              </w:rPr>
            </w:pPr>
            <w:r w:rsidRPr="00854331">
              <w:rPr>
                <w:rFonts w:ascii="Arial" w:hAnsi="Arial" w:cs="Arial"/>
                <w:i/>
                <w:sz w:val="20"/>
                <w:szCs w:val="20"/>
              </w:rPr>
              <w:t xml:space="preserve">P. </w:t>
            </w:r>
            <w:proofErr w:type="spellStart"/>
            <w:r w:rsidRPr="00854331">
              <w:rPr>
                <w:rFonts w:ascii="Arial" w:hAnsi="Arial" w:cs="Arial"/>
                <w:i/>
                <w:sz w:val="20"/>
                <w:szCs w:val="20"/>
              </w:rPr>
              <w:t>aeruginosa</w:t>
            </w:r>
            <w:proofErr w:type="spellEnd"/>
            <w:r w:rsidRPr="00854331">
              <w:rPr>
                <w:rFonts w:ascii="Arial" w:hAnsi="Arial" w:cs="Arial"/>
                <w:i/>
                <w:sz w:val="20"/>
                <w:szCs w:val="20"/>
              </w:rPr>
              <w:t xml:space="preserve"> </w:t>
            </w:r>
            <w:r w:rsidRPr="00854331">
              <w:rPr>
                <w:rFonts w:ascii="Arial" w:hAnsi="Arial" w:cs="Arial"/>
                <w:sz w:val="20"/>
                <w:szCs w:val="20"/>
              </w:rPr>
              <w:t>2472C/25</w:t>
            </w:r>
          </w:p>
        </w:tc>
        <w:tc>
          <w:tcPr>
            <w:tcW w:w="1808" w:type="dxa"/>
          </w:tcPr>
          <w:p w14:paraId="76B5F615"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6.25</w:t>
            </w:r>
          </w:p>
        </w:tc>
        <w:tc>
          <w:tcPr>
            <w:tcW w:w="1701" w:type="dxa"/>
          </w:tcPr>
          <w:p w14:paraId="3DAE8362"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12.5</w:t>
            </w:r>
          </w:p>
        </w:tc>
        <w:tc>
          <w:tcPr>
            <w:tcW w:w="1356" w:type="dxa"/>
          </w:tcPr>
          <w:p w14:paraId="6AF314E6" w14:textId="77777777" w:rsidR="00854331" w:rsidRPr="00854331" w:rsidRDefault="00854331" w:rsidP="00175510">
            <w:pPr>
              <w:ind w:right="-766"/>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331">
              <w:rPr>
                <w:rFonts w:ascii="Arial" w:hAnsi="Arial" w:cs="Arial"/>
                <w:sz w:val="20"/>
                <w:szCs w:val="20"/>
              </w:rPr>
              <w:t>0.5</w:t>
            </w:r>
          </w:p>
        </w:tc>
        <w:tc>
          <w:tcPr>
            <w:tcW w:w="1836" w:type="dxa"/>
          </w:tcPr>
          <w:p w14:paraId="0A75B4A4" w14:textId="77777777" w:rsidR="00854331" w:rsidRPr="00854331" w:rsidRDefault="00854331" w:rsidP="00175510">
            <w:pPr>
              <w:ind w:right="-76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54331">
              <w:rPr>
                <w:rFonts w:ascii="Arial" w:hAnsi="Arial" w:cs="Arial"/>
                <w:sz w:val="20"/>
                <w:szCs w:val="20"/>
              </w:rPr>
              <w:t>Bactericidal</w:t>
            </w:r>
            <w:proofErr w:type="spellEnd"/>
          </w:p>
        </w:tc>
      </w:tr>
    </w:tbl>
    <w:p w14:paraId="385E5401" w14:textId="77777777" w:rsidR="00D14BC6" w:rsidRDefault="00D14BC6" w:rsidP="00441B6F">
      <w:pPr>
        <w:pStyle w:val="Body"/>
        <w:spacing w:after="0"/>
        <w:rPr>
          <w:rFonts w:ascii="Arial" w:hAnsi="Arial" w:cs="Arial"/>
        </w:rPr>
      </w:pPr>
    </w:p>
    <w:p w14:paraId="641792DE" w14:textId="77777777" w:rsidR="00D14BC6" w:rsidRDefault="00D14BC6" w:rsidP="00441B6F">
      <w:pPr>
        <w:pStyle w:val="Body"/>
        <w:spacing w:after="0"/>
        <w:rPr>
          <w:rFonts w:ascii="Arial" w:hAnsi="Arial" w:cs="Arial"/>
        </w:rPr>
      </w:pPr>
    </w:p>
    <w:p w14:paraId="03C0B898" w14:textId="7F326179" w:rsidR="00790ADA" w:rsidRDefault="00854331" w:rsidP="00441B6F">
      <w:pPr>
        <w:pStyle w:val="Body"/>
        <w:spacing w:after="0"/>
        <w:rPr>
          <w:rFonts w:ascii="Arial" w:hAnsi="Arial" w:cs="Arial"/>
        </w:rPr>
      </w:pPr>
      <w:r w:rsidRPr="00854331">
        <w:rPr>
          <w:rFonts w:ascii="Arial" w:hAnsi="Arial" w:cs="Arial"/>
        </w:rPr>
        <w:t xml:space="preserve">The liquid medium tests revealed a clear concentration-effect relationship: bacterial density decreased proportionally with increasing extract concentration. The observed antibacterial activity could be attributed to the action of phenolic compounds present in the trunk bark. These results provide preliminary scientific support for the traditional use of </w:t>
      </w:r>
      <w:r w:rsidRPr="00854331">
        <w:rPr>
          <w:rFonts w:ascii="Arial" w:hAnsi="Arial" w:cs="Arial"/>
          <w:i/>
          <w:iCs/>
        </w:rPr>
        <w:t xml:space="preserve">A. </w:t>
      </w:r>
      <w:proofErr w:type="spellStart"/>
      <w:r w:rsidRPr="00854331">
        <w:rPr>
          <w:rFonts w:ascii="Arial" w:hAnsi="Arial" w:cs="Arial"/>
          <w:i/>
          <w:iCs/>
        </w:rPr>
        <w:t>pavonina</w:t>
      </w:r>
      <w:proofErr w:type="spellEnd"/>
      <w:r w:rsidRPr="00854331">
        <w:rPr>
          <w:rFonts w:ascii="Arial" w:hAnsi="Arial" w:cs="Arial"/>
        </w:rPr>
        <w:t xml:space="preserve"> in treating conditions such as hematuria and diarrhea (often associated with </w:t>
      </w:r>
      <w:r w:rsidRPr="00854331">
        <w:rPr>
          <w:rFonts w:ascii="Arial" w:hAnsi="Arial" w:cs="Arial"/>
          <w:i/>
          <w:iCs/>
        </w:rPr>
        <w:t>E. coli</w:t>
      </w:r>
      <w:r w:rsidRPr="00854331">
        <w:rPr>
          <w:rFonts w:ascii="Arial" w:hAnsi="Arial" w:cs="Arial"/>
        </w:rPr>
        <w:t xml:space="preserve">), as well as in managing convulsions, where strains of </w:t>
      </w:r>
      <w:r w:rsidRPr="00854331">
        <w:rPr>
          <w:rFonts w:ascii="Arial" w:hAnsi="Arial" w:cs="Arial"/>
          <w:i/>
          <w:iCs/>
        </w:rPr>
        <w:t>Pseudomonas aeruginosa</w:t>
      </w:r>
      <w:r w:rsidRPr="00854331">
        <w:rPr>
          <w:rFonts w:ascii="Arial" w:hAnsi="Arial" w:cs="Arial"/>
        </w:rPr>
        <w:t xml:space="preserve"> may be involved.</w:t>
      </w:r>
    </w:p>
    <w:p w14:paraId="189EFE77" w14:textId="77777777" w:rsidR="00E053D0" w:rsidRDefault="00E053D0" w:rsidP="00441B6F">
      <w:pPr>
        <w:pStyle w:val="Body"/>
        <w:spacing w:after="0"/>
        <w:rPr>
          <w:rFonts w:ascii="Arial" w:hAnsi="Arial" w:cs="Arial"/>
        </w:rPr>
      </w:pPr>
    </w:p>
    <w:p w14:paraId="2694DDFE" w14:textId="77777777" w:rsidR="00790ADA" w:rsidRPr="00FB3A86" w:rsidRDefault="00790ADA" w:rsidP="00441B6F">
      <w:pPr>
        <w:pStyle w:val="Body"/>
        <w:spacing w:after="0"/>
        <w:rPr>
          <w:rFonts w:ascii="Arial" w:hAnsi="Arial" w:cs="Arial"/>
        </w:rPr>
      </w:pPr>
    </w:p>
    <w:p w14:paraId="38152D0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DDBAF" w14:textId="77777777" w:rsidR="00790ADA" w:rsidRPr="00FB3A86" w:rsidRDefault="00790ADA" w:rsidP="00441B6F">
      <w:pPr>
        <w:pStyle w:val="ConcHead"/>
        <w:spacing w:after="0"/>
        <w:jc w:val="both"/>
        <w:rPr>
          <w:rFonts w:ascii="Arial" w:hAnsi="Arial" w:cs="Arial"/>
        </w:rPr>
      </w:pPr>
    </w:p>
    <w:p w14:paraId="704782BD" w14:textId="2CC8F5E7" w:rsidR="00790ADA" w:rsidRDefault="005F6119" w:rsidP="00441B6F">
      <w:pPr>
        <w:pStyle w:val="Body"/>
        <w:spacing w:after="0"/>
        <w:rPr>
          <w:rFonts w:ascii="Arial" w:hAnsi="Arial" w:cs="Arial"/>
        </w:rPr>
      </w:pPr>
      <w:r w:rsidRPr="005F6119">
        <w:rPr>
          <w:rFonts w:ascii="Arial" w:hAnsi="Arial" w:cs="Arial"/>
        </w:rPr>
        <w:t xml:space="preserve">This study characterized the phytochemical composition and evaluated the antioxidant and antibacterial potential of hydroalcoholic extracts from the leaves, seeds, and trunk bark of </w:t>
      </w:r>
      <w:proofErr w:type="spellStart"/>
      <w:r w:rsidRPr="005F6119">
        <w:rPr>
          <w:rFonts w:ascii="Arial" w:hAnsi="Arial" w:cs="Arial"/>
          <w:i/>
          <w:iCs/>
        </w:rPr>
        <w:t>Adenanthera</w:t>
      </w:r>
      <w:proofErr w:type="spellEnd"/>
      <w:r w:rsidRPr="005F6119">
        <w:rPr>
          <w:rFonts w:ascii="Arial" w:hAnsi="Arial" w:cs="Arial"/>
          <w:i/>
          <w:iCs/>
        </w:rPr>
        <w:t xml:space="preserve"> </w:t>
      </w:r>
      <w:proofErr w:type="spellStart"/>
      <w:r w:rsidRPr="005F6119">
        <w:rPr>
          <w:rFonts w:ascii="Arial" w:hAnsi="Arial" w:cs="Arial"/>
          <w:i/>
          <w:iCs/>
        </w:rPr>
        <w:t>pavonina</w:t>
      </w:r>
      <w:proofErr w:type="spellEnd"/>
      <w:r w:rsidRPr="005F6119">
        <w:rPr>
          <w:rFonts w:ascii="Arial" w:hAnsi="Arial" w:cs="Arial"/>
        </w:rPr>
        <w:t xml:space="preserve">.  </w:t>
      </w:r>
    </w:p>
    <w:p w14:paraId="508932CB" w14:textId="7A1CDA08" w:rsidR="005F6119" w:rsidRDefault="005F6119" w:rsidP="00441B6F">
      <w:pPr>
        <w:pStyle w:val="Body"/>
        <w:spacing w:after="0"/>
        <w:rPr>
          <w:rFonts w:ascii="Arial" w:hAnsi="Arial" w:cs="Arial"/>
        </w:rPr>
      </w:pPr>
      <w:r w:rsidRPr="005F6119">
        <w:rPr>
          <w:rFonts w:ascii="Arial" w:hAnsi="Arial" w:cs="Arial"/>
        </w:rPr>
        <w:t xml:space="preserve">Qualitative analyses revealed the presence of biologically active secondary metabolites, notably phenolic compounds, flavonoids, tannins, and coumarins, in all three extracts. However, the trunk bark stood out for its remarkable antioxidant activity, exhibiting </w:t>
      </w:r>
      <w:proofErr w:type="gramStart"/>
      <w:r w:rsidRPr="005F6119">
        <w:rPr>
          <w:rFonts w:ascii="Arial" w:hAnsi="Arial" w:cs="Arial"/>
        </w:rPr>
        <w:t>a</w:t>
      </w:r>
      <w:proofErr w:type="gramEnd"/>
      <w:r w:rsidRPr="005F6119">
        <w:rPr>
          <w:rFonts w:ascii="Arial" w:hAnsi="Arial" w:cs="Arial"/>
        </w:rPr>
        <w:t xml:space="preserve"> IC</w:t>
      </w:r>
      <w:r w:rsidRPr="005F6119">
        <w:rPr>
          <w:rFonts w:ascii="Arial" w:hAnsi="Arial" w:cs="Arial"/>
          <w:vertAlign w:val="subscript"/>
        </w:rPr>
        <w:t>50</w:t>
      </w:r>
      <w:r w:rsidRPr="005F6119">
        <w:rPr>
          <w:rFonts w:ascii="Arial" w:hAnsi="Arial" w:cs="Arial"/>
        </w:rPr>
        <w:t xml:space="preserve"> of 0.00268 mg/mL—approximately 175 times more potent than the leaves and seeds. This exceptional activity is strongly correlated with its high total polyphenol content (463.676 ± 0.985 mg GAE/g dry matter), as evidenced by significant correlation coefficients (r = -0.992 for the DPPH test and r = 0.994 for the FRAP test).  </w:t>
      </w:r>
    </w:p>
    <w:p w14:paraId="15CCBADB" w14:textId="77777777" w:rsidR="005F6119" w:rsidRDefault="005F6119" w:rsidP="00441B6F">
      <w:pPr>
        <w:pStyle w:val="Body"/>
        <w:spacing w:after="0"/>
      </w:pPr>
      <w:r w:rsidRPr="005F6119">
        <w:rPr>
          <w:rFonts w:ascii="Arial" w:hAnsi="Arial" w:cs="Arial"/>
          <w:lang w:val="en-GB"/>
        </w:rPr>
        <w:t xml:space="preserve">Regarding antibacterial activity, only the trunk bark extract demonstrated significant inhibitory effects, with a bactericidal action against Staphylococcus aureus and </w:t>
      </w:r>
      <w:r w:rsidRPr="005F6119">
        <w:rPr>
          <w:rFonts w:ascii="Arial" w:hAnsi="Arial" w:cs="Arial"/>
          <w:i/>
          <w:iCs/>
          <w:lang w:val="en-GB"/>
        </w:rPr>
        <w:t>Pseudomonas aeruginosa</w:t>
      </w:r>
      <w:r w:rsidRPr="005F6119">
        <w:rPr>
          <w:rFonts w:ascii="Arial" w:hAnsi="Arial" w:cs="Arial"/>
          <w:lang w:val="en-GB"/>
        </w:rPr>
        <w:t>.</w:t>
      </w:r>
      <w:r w:rsidRPr="005F6119">
        <w:t xml:space="preserve"> </w:t>
      </w:r>
    </w:p>
    <w:p w14:paraId="3270FE92" w14:textId="1645FB77" w:rsidR="005F6119" w:rsidRDefault="005F6119" w:rsidP="00441B6F">
      <w:pPr>
        <w:pStyle w:val="Body"/>
        <w:spacing w:after="0"/>
        <w:rPr>
          <w:rFonts w:ascii="Arial" w:hAnsi="Arial" w:cs="Arial"/>
          <w:lang w:val="en-GB"/>
        </w:rPr>
      </w:pPr>
      <w:r w:rsidRPr="005F6119">
        <w:rPr>
          <w:rFonts w:ascii="Arial" w:hAnsi="Arial" w:cs="Arial"/>
          <w:lang w:val="en-GB"/>
        </w:rPr>
        <w:t xml:space="preserve">In summary, these results scientifically validate the pharmacological potential of </w:t>
      </w:r>
      <w:proofErr w:type="spellStart"/>
      <w:r w:rsidRPr="005F6119">
        <w:rPr>
          <w:rFonts w:ascii="Arial" w:hAnsi="Arial" w:cs="Arial"/>
          <w:i/>
          <w:iCs/>
          <w:lang w:val="en-GB"/>
        </w:rPr>
        <w:t>Adenanthera</w:t>
      </w:r>
      <w:proofErr w:type="spellEnd"/>
      <w:r w:rsidRPr="005F6119">
        <w:rPr>
          <w:rFonts w:ascii="Arial" w:hAnsi="Arial" w:cs="Arial"/>
          <w:i/>
          <w:iCs/>
          <w:lang w:val="en-GB"/>
        </w:rPr>
        <w:t xml:space="preserve"> </w:t>
      </w:r>
      <w:proofErr w:type="spellStart"/>
      <w:r w:rsidRPr="005F6119">
        <w:rPr>
          <w:rFonts w:ascii="Arial" w:hAnsi="Arial" w:cs="Arial"/>
          <w:i/>
          <w:iCs/>
          <w:lang w:val="en-GB"/>
        </w:rPr>
        <w:t>pavonina</w:t>
      </w:r>
      <w:proofErr w:type="spellEnd"/>
      <w:r w:rsidRPr="005F6119">
        <w:rPr>
          <w:rFonts w:ascii="Arial" w:hAnsi="Arial" w:cs="Arial"/>
          <w:lang w:val="en-GB"/>
        </w:rPr>
        <w:t xml:space="preserve"> and identify the trunk bark as the most promising organ. They contribute to enhancing the value of this Ivorian ornamental species as a potential source of antioxidant and antibacterial active principles, paving the way for further investigations aimed at isolating and characterizing the molecules responsible for these biological effects.</w:t>
      </w:r>
    </w:p>
    <w:p w14:paraId="3C27C6BA" w14:textId="77777777" w:rsidR="005F6119" w:rsidRDefault="005F6119" w:rsidP="00441B6F">
      <w:pPr>
        <w:pStyle w:val="Body"/>
        <w:spacing w:after="0"/>
        <w:rPr>
          <w:rFonts w:ascii="Arial" w:hAnsi="Arial" w:cs="Arial"/>
          <w:lang w:val="en-GB"/>
        </w:rPr>
      </w:pPr>
    </w:p>
    <w:p w14:paraId="4E639DDB" w14:textId="77777777" w:rsidR="005F6119" w:rsidRDefault="005F6119" w:rsidP="00441B6F">
      <w:pPr>
        <w:pStyle w:val="Body"/>
        <w:spacing w:after="0"/>
        <w:rPr>
          <w:rFonts w:ascii="Arial" w:hAnsi="Arial" w:cs="Arial"/>
          <w:lang w:val="en-GB"/>
        </w:rPr>
      </w:pPr>
    </w:p>
    <w:p w14:paraId="4E8A85CA" w14:textId="77777777" w:rsidR="00315186" w:rsidRPr="00315186" w:rsidRDefault="00315186" w:rsidP="00441B6F"/>
    <w:p w14:paraId="1AA4A1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D409B5" w14:textId="77777777" w:rsidR="00790ADA" w:rsidRPr="00FB3A86" w:rsidRDefault="00790ADA" w:rsidP="00441B6F">
      <w:pPr>
        <w:pStyle w:val="ReferHead"/>
        <w:spacing w:after="0"/>
        <w:jc w:val="both"/>
        <w:rPr>
          <w:rFonts w:ascii="Arial" w:hAnsi="Arial" w:cs="Arial"/>
        </w:rPr>
      </w:pPr>
    </w:p>
    <w:p w14:paraId="70CAB12D" w14:textId="7CAA2399" w:rsidR="00441B6F" w:rsidRDefault="008D328B" w:rsidP="008D328B">
      <w:pPr>
        <w:pStyle w:val="Body"/>
        <w:spacing w:after="0"/>
        <w:rPr>
          <w:rFonts w:ascii="Arial" w:hAnsi="Arial" w:cs="Arial"/>
        </w:rPr>
      </w:pPr>
      <w:r w:rsidRPr="008D328B">
        <w:rPr>
          <w:rFonts w:ascii="Arial" w:hAnsi="Arial" w:cs="Arial"/>
        </w:rPr>
        <w:t xml:space="preserve">[1] </w:t>
      </w:r>
      <w:proofErr w:type="spellStart"/>
      <w:r w:rsidRPr="008D328B">
        <w:rPr>
          <w:rFonts w:ascii="Arial" w:hAnsi="Arial" w:cs="Arial"/>
        </w:rPr>
        <w:t>Geronco</w:t>
      </w:r>
      <w:proofErr w:type="spellEnd"/>
      <w:r w:rsidRPr="008D328B">
        <w:rPr>
          <w:rFonts w:ascii="Arial" w:hAnsi="Arial" w:cs="Arial"/>
        </w:rPr>
        <w:t xml:space="preserve">, M. S., Melo, R. C., Hugo Barros, L. M., Aquino, S. R., de Oliveira, F., De, C. E., Islam, M. T., do </w:t>
      </w:r>
      <w:proofErr w:type="spellStart"/>
      <w:proofErr w:type="gramStart"/>
      <w:r w:rsidRPr="008D328B">
        <w:rPr>
          <w:rFonts w:ascii="Arial" w:hAnsi="Arial" w:cs="Arial"/>
        </w:rPr>
        <w:t>A“</w:t>
      </w:r>
      <w:proofErr w:type="gramEnd"/>
      <w:r w:rsidRPr="008D328B">
        <w:rPr>
          <w:rFonts w:ascii="Arial" w:hAnsi="Arial" w:cs="Arial"/>
        </w:rPr>
        <w:t>Pessoa</w:t>
      </w:r>
      <w:proofErr w:type="spellEnd"/>
      <w:r w:rsidRPr="008D328B">
        <w:rPr>
          <w:rFonts w:ascii="Arial" w:hAnsi="Arial" w:cs="Arial"/>
        </w:rPr>
        <w:t xml:space="preserve">, C., Rizzo, D. S., &amp; da Costa, M. P. (2020). Advances in the research </w:t>
      </w:r>
      <w:r w:rsidRPr="008D328B">
        <w:rPr>
          <w:rFonts w:ascii="Arial" w:hAnsi="Arial" w:cs="Arial"/>
        </w:rPr>
        <w:lastRenderedPageBreak/>
        <w:t xml:space="preserve">of </w:t>
      </w:r>
      <w:proofErr w:type="spellStart"/>
      <w:r w:rsidRPr="008D328B">
        <w:rPr>
          <w:rFonts w:ascii="Arial" w:hAnsi="Arial" w:cs="Arial"/>
          <w:i/>
          <w:iCs/>
        </w:rPr>
        <w:t>Adenanthera</w:t>
      </w:r>
      <w:proofErr w:type="spellEnd"/>
      <w:r w:rsidRPr="008D328B">
        <w:rPr>
          <w:rFonts w:ascii="Arial" w:hAnsi="Arial" w:cs="Arial"/>
        </w:rPr>
        <w:t>: From traditional use to intellectual property. Journal of Medicinal Plants Research, 14, 24–53</w:t>
      </w:r>
    </w:p>
    <w:p w14:paraId="344F5D43" w14:textId="30389AC0" w:rsidR="008D328B" w:rsidRDefault="008D328B" w:rsidP="00441B6F">
      <w:pPr>
        <w:pStyle w:val="Reference"/>
        <w:numPr>
          <w:ilvl w:val="0"/>
          <w:numId w:val="0"/>
        </w:numPr>
        <w:spacing w:line="240" w:lineRule="auto"/>
        <w:rPr>
          <w:rFonts w:ascii="Arial" w:hAnsi="Arial" w:cs="Arial"/>
        </w:rPr>
      </w:pPr>
      <w:r w:rsidRPr="008D328B">
        <w:rPr>
          <w:rFonts w:ascii="Arial" w:hAnsi="Arial" w:cs="Arial"/>
        </w:rPr>
        <w:t xml:space="preserve">[2] </w:t>
      </w:r>
      <w:r w:rsidR="003316D1" w:rsidRPr="003316D1">
        <w:rPr>
          <w:rFonts w:ascii="Arial" w:hAnsi="Arial" w:cs="Arial"/>
        </w:rPr>
        <w:t xml:space="preserve">Ara, A., Saleh-E-In, M. M., Hashem, M. A., Ahmad, M., &amp; Hasan, C. M. (2019). Phytoconstituents of </w:t>
      </w:r>
      <w:proofErr w:type="spellStart"/>
      <w:r w:rsidR="003316D1" w:rsidRPr="003316D1">
        <w:rPr>
          <w:rFonts w:ascii="Arial" w:hAnsi="Arial" w:cs="Arial"/>
        </w:rPr>
        <w:t>Adenanthera</w:t>
      </w:r>
      <w:proofErr w:type="spellEnd"/>
      <w:r w:rsidR="003316D1" w:rsidRPr="003316D1">
        <w:rPr>
          <w:rFonts w:ascii="Arial" w:hAnsi="Arial" w:cs="Arial"/>
        </w:rPr>
        <w:t xml:space="preserve"> </w:t>
      </w:r>
      <w:proofErr w:type="spellStart"/>
      <w:r w:rsidR="003316D1" w:rsidRPr="003316D1">
        <w:rPr>
          <w:rFonts w:ascii="Arial" w:hAnsi="Arial" w:cs="Arial"/>
        </w:rPr>
        <w:t>pavonina</w:t>
      </w:r>
      <w:proofErr w:type="spellEnd"/>
      <w:r w:rsidR="003316D1" w:rsidRPr="003316D1">
        <w:rPr>
          <w:rFonts w:ascii="Arial" w:hAnsi="Arial" w:cs="Arial"/>
        </w:rPr>
        <w:t xml:space="preserve"> Linn from the bark extracts. Beni-</w:t>
      </w:r>
      <w:proofErr w:type="spellStart"/>
      <w:r w:rsidR="003316D1" w:rsidRPr="003316D1">
        <w:rPr>
          <w:rFonts w:ascii="Arial" w:hAnsi="Arial" w:cs="Arial"/>
        </w:rPr>
        <w:t>Suef</w:t>
      </w:r>
      <w:proofErr w:type="spellEnd"/>
      <w:r w:rsidR="003316D1" w:rsidRPr="003316D1">
        <w:rPr>
          <w:rFonts w:ascii="Arial" w:hAnsi="Arial" w:cs="Arial"/>
        </w:rPr>
        <w:t xml:space="preserve"> University Journal of Basic and Applied Sciences, 8(1), Article 13. </w:t>
      </w:r>
      <w:hyperlink r:id="rId19" w:history="1">
        <w:r w:rsidR="003316D1" w:rsidRPr="00842C41">
          <w:rPr>
            <w:rStyle w:val="Hyperlink"/>
            <w:rFonts w:ascii="Arial" w:hAnsi="Arial" w:cs="Arial"/>
          </w:rPr>
          <w:t>https://doi.org/10.1186/s43088-019-0013-0</w:t>
        </w:r>
      </w:hyperlink>
      <w:r w:rsidR="003316D1">
        <w:rPr>
          <w:rFonts w:ascii="Arial" w:hAnsi="Arial" w:cs="Arial"/>
        </w:rPr>
        <w:t xml:space="preserve"> </w:t>
      </w:r>
    </w:p>
    <w:p w14:paraId="247AE510" w14:textId="21479918" w:rsidR="00B01FCD" w:rsidRDefault="00482BF2" w:rsidP="00441B6F">
      <w:pPr>
        <w:pStyle w:val="Appendix"/>
        <w:spacing w:after="0"/>
        <w:jc w:val="both"/>
        <w:rPr>
          <w:rFonts w:ascii="Arial" w:hAnsi="Arial" w:cs="Arial"/>
          <w:b w:val="0"/>
          <w:caps w:val="0"/>
          <w:sz w:val="20"/>
        </w:rPr>
      </w:pPr>
      <w:r w:rsidRPr="00941AE3">
        <w:rPr>
          <w:rFonts w:ascii="Arial" w:hAnsi="Arial" w:cs="Arial"/>
          <w:b w:val="0"/>
          <w:caps w:val="0"/>
          <w:sz w:val="20"/>
        </w:rPr>
        <w:t xml:space="preserve">[3] </w:t>
      </w:r>
      <w:proofErr w:type="spellStart"/>
      <w:r>
        <w:rPr>
          <w:rFonts w:ascii="Arial" w:hAnsi="Arial" w:cs="Arial"/>
          <w:b w:val="0"/>
          <w:caps w:val="0"/>
          <w:sz w:val="20"/>
        </w:rPr>
        <w:t>K</w:t>
      </w:r>
      <w:r w:rsidRPr="00941AE3">
        <w:rPr>
          <w:rFonts w:ascii="Arial" w:hAnsi="Arial" w:cs="Arial"/>
          <w:b w:val="0"/>
          <w:caps w:val="0"/>
          <w:sz w:val="20"/>
        </w:rPr>
        <w:t>irtikar</w:t>
      </w:r>
      <w:proofErr w:type="spellEnd"/>
      <w:r w:rsidRPr="00941AE3">
        <w:rPr>
          <w:rFonts w:ascii="Arial" w:hAnsi="Arial" w:cs="Arial"/>
          <w:b w:val="0"/>
          <w:caps w:val="0"/>
          <w:sz w:val="20"/>
        </w:rPr>
        <w:t xml:space="preserve"> </w:t>
      </w:r>
      <w:r>
        <w:rPr>
          <w:rFonts w:ascii="Arial" w:hAnsi="Arial" w:cs="Arial"/>
          <w:b w:val="0"/>
          <w:caps w:val="0"/>
          <w:sz w:val="20"/>
        </w:rPr>
        <w:t>K</w:t>
      </w:r>
      <w:r w:rsidRPr="00941AE3">
        <w:rPr>
          <w:rFonts w:ascii="Arial" w:hAnsi="Arial" w:cs="Arial"/>
          <w:b w:val="0"/>
          <w:caps w:val="0"/>
          <w:sz w:val="20"/>
        </w:rPr>
        <w:t xml:space="preserve">. </w:t>
      </w:r>
      <w:r>
        <w:rPr>
          <w:rFonts w:ascii="Arial" w:hAnsi="Arial" w:cs="Arial"/>
          <w:b w:val="0"/>
          <w:caps w:val="0"/>
          <w:sz w:val="20"/>
        </w:rPr>
        <w:t>R</w:t>
      </w:r>
      <w:r w:rsidRPr="00941AE3">
        <w:rPr>
          <w:rFonts w:ascii="Arial" w:hAnsi="Arial" w:cs="Arial"/>
          <w:b w:val="0"/>
          <w:caps w:val="0"/>
          <w:sz w:val="20"/>
        </w:rPr>
        <w:t xml:space="preserve">., </w:t>
      </w:r>
      <w:proofErr w:type="spellStart"/>
      <w:r>
        <w:rPr>
          <w:rFonts w:ascii="Arial" w:hAnsi="Arial" w:cs="Arial"/>
          <w:b w:val="0"/>
          <w:caps w:val="0"/>
          <w:sz w:val="20"/>
        </w:rPr>
        <w:t>B</w:t>
      </w:r>
      <w:r w:rsidRPr="00941AE3">
        <w:rPr>
          <w:rFonts w:ascii="Arial" w:hAnsi="Arial" w:cs="Arial"/>
          <w:b w:val="0"/>
          <w:caps w:val="0"/>
          <w:sz w:val="20"/>
        </w:rPr>
        <w:t>asu</w:t>
      </w:r>
      <w:proofErr w:type="spellEnd"/>
      <w:r w:rsidRPr="00941AE3">
        <w:rPr>
          <w:rFonts w:ascii="Arial" w:hAnsi="Arial" w:cs="Arial"/>
          <w:b w:val="0"/>
          <w:caps w:val="0"/>
          <w:sz w:val="20"/>
        </w:rPr>
        <w:t xml:space="preserve"> </w:t>
      </w:r>
      <w:r>
        <w:rPr>
          <w:rFonts w:ascii="Arial" w:hAnsi="Arial" w:cs="Arial"/>
          <w:b w:val="0"/>
          <w:caps w:val="0"/>
          <w:sz w:val="20"/>
        </w:rPr>
        <w:t>B</w:t>
      </w:r>
      <w:r w:rsidRPr="00941AE3">
        <w:rPr>
          <w:rFonts w:ascii="Arial" w:hAnsi="Arial" w:cs="Arial"/>
          <w:b w:val="0"/>
          <w:caps w:val="0"/>
          <w:sz w:val="20"/>
        </w:rPr>
        <w:t xml:space="preserve">. </w:t>
      </w:r>
      <w:r>
        <w:rPr>
          <w:rFonts w:ascii="Arial" w:hAnsi="Arial" w:cs="Arial"/>
          <w:b w:val="0"/>
          <w:caps w:val="0"/>
          <w:sz w:val="20"/>
        </w:rPr>
        <w:t>D</w:t>
      </w:r>
      <w:r w:rsidRPr="00941AE3">
        <w:rPr>
          <w:rFonts w:ascii="Arial" w:hAnsi="Arial" w:cs="Arial"/>
          <w:b w:val="0"/>
          <w:caps w:val="0"/>
          <w:sz w:val="20"/>
        </w:rPr>
        <w:t xml:space="preserve">. (1981). </w:t>
      </w:r>
      <w:r>
        <w:rPr>
          <w:rFonts w:ascii="Arial" w:hAnsi="Arial" w:cs="Arial"/>
          <w:b w:val="0"/>
          <w:caps w:val="0"/>
          <w:sz w:val="20"/>
        </w:rPr>
        <w:t>I</w:t>
      </w:r>
      <w:r w:rsidRPr="00941AE3">
        <w:rPr>
          <w:rFonts w:ascii="Arial" w:hAnsi="Arial" w:cs="Arial"/>
          <w:b w:val="0"/>
          <w:caps w:val="0"/>
          <w:sz w:val="20"/>
        </w:rPr>
        <w:t xml:space="preserve">ndian medicinal plants, 2nd </w:t>
      </w:r>
      <w:proofErr w:type="spellStart"/>
      <w:r w:rsidRPr="00941AE3">
        <w:rPr>
          <w:rFonts w:ascii="Arial" w:hAnsi="Arial" w:cs="Arial"/>
          <w:b w:val="0"/>
          <w:caps w:val="0"/>
          <w:sz w:val="20"/>
        </w:rPr>
        <w:t>edn</w:t>
      </w:r>
      <w:proofErr w:type="spellEnd"/>
      <w:r w:rsidRPr="00941AE3">
        <w:rPr>
          <w:rFonts w:ascii="Arial" w:hAnsi="Arial" w:cs="Arial"/>
          <w:b w:val="0"/>
          <w:caps w:val="0"/>
          <w:sz w:val="20"/>
        </w:rPr>
        <w:t xml:space="preserve">. </w:t>
      </w:r>
      <w:r>
        <w:rPr>
          <w:rFonts w:ascii="Arial" w:hAnsi="Arial" w:cs="Arial"/>
          <w:b w:val="0"/>
          <w:caps w:val="0"/>
          <w:sz w:val="20"/>
        </w:rPr>
        <w:t>I</w:t>
      </w:r>
      <w:r w:rsidRPr="00941AE3">
        <w:rPr>
          <w:rFonts w:ascii="Arial" w:hAnsi="Arial" w:cs="Arial"/>
          <w:b w:val="0"/>
          <w:caps w:val="0"/>
          <w:sz w:val="20"/>
        </w:rPr>
        <w:t xml:space="preserve">nternational </w:t>
      </w:r>
      <w:r>
        <w:rPr>
          <w:rFonts w:ascii="Arial" w:hAnsi="Arial" w:cs="Arial"/>
          <w:b w:val="0"/>
          <w:caps w:val="0"/>
          <w:sz w:val="20"/>
        </w:rPr>
        <w:t>B</w:t>
      </w:r>
      <w:r w:rsidRPr="00941AE3">
        <w:rPr>
          <w:rFonts w:ascii="Arial" w:hAnsi="Arial" w:cs="Arial"/>
          <w:b w:val="0"/>
          <w:caps w:val="0"/>
          <w:sz w:val="20"/>
        </w:rPr>
        <w:t xml:space="preserve">ook distributors, </w:t>
      </w:r>
      <w:r>
        <w:rPr>
          <w:rFonts w:ascii="Arial" w:hAnsi="Arial" w:cs="Arial"/>
          <w:b w:val="0"/>
          <w:caps w:val="0"/>
          <w:sz w:val="20"/>
        </w:rPr>
        <w:t>I</w:t>
      </w:r>
      <w:r w:rsidRPr="00941AE3">
        <w:rPr>
          <w:rFonts w:ascii="Arial" w:hAnsi="Arial" w:cs="Arial"/>
          <w:b w:val="0"/>
          <w:caps w:val="0"/>
          <w:sz w:val="20"/>
        </w:rPr>
        <w:t>ndia, p 1710.</w:t>
      </w:r>
    </w:p>
    <w:p w14:paraId="177E2B33" w14:textId="27B1AA65" w:rsidR="00482BF2" w:rsidRDefault="00482BF2" w:rsidP="00441B6F">
      <w:pPr>
        <w:pStyle w:val="Appendix"/>
        <w:spacing w:after="0"/>
        <w:jc w:val="both"/>
        <w:rPr>
          <w:rFonts w:ascii="Arial" w:hAnsi="Arial" w:cs="Arial"/>
          <w:b w:val="0"/>
          <w:caps w:val="0"/>
          <w:sz w:val="20"/>
        </w:rPr>
      </w:pPr>
      <w:r w:rsidRPr="00482BF2">
        <w:rPr>
          <w:rFonts w:ascii="Arial" w:hAnsi="Arial" w:cs="Arial"/>
          <w:b w:val="0"/>
          <w:caps w:val="0"/>
          <w:sz w:val="20"/>
        </w:rPr>
        <w:t xml:space="preserve">[4] </w:t>
      </w:r>
      <w:r w:rsidR="002548EE" w:rsidRPr="002548EE">
        <w:rPr>
          <w:rFonts w:ascii="Arial" w:hAnsi="Arial" w:cs="Arial"/>
          <w:b w:val="0"/>
          <w:caps w:val="0"/>
          <w:sz w:val="20"/>
        </w:rPr>
        <w:t xml:space="preserve">Ghani, A. (2003). Medicinal plants of Bangladesh with chemical constituents and uses (2nd ed.). Asiatic Society of Bangladesh. </w:t>
      </w:r>
      <w:hyperlink r:id="rId20" w:history="1">
        <w:r w:rsidR="002548EE" w:rsidRPr="00842C41">
          <w:rPr>
            <w:rStyle w:val="Hyperlink"/>
            <w:rFonts w:ascii="Arial" w:hAnsi="Arial" w:cs="Arial"/>
            <w:b w:val="0"/>
            <w:caps w:val="0"/>
            <w:sz w:val="20"/>
          </w:rPr>
          <w:t>https://www.ncbi.nlm.nih.gov/nlmcatalog/101257000</w:t>
        </w:r>
      </w:hyperlink>
      <w:r w:rsidR="002548EE">
        <w:rPr>
          <w:rFonts w:ascii="Arial" w:hAnsi="Arial" w:cs="Arial"/>
          <w:b w:val="0"/>
          <w:caps w:val="0"/>
          <w:sz w:val="20"/>
        </w:rPr>
        <w:t xml:space="preserve"> </w:t>
      </w:r>
    </w:p>
    <w:p w14:paraId="1874D13F" w14:textId="2D8A266D" w:rsidR="00C26FDA" w:rsidRDefault="00C26FDA" w:rsidP="00C26FDA">
      <w:pPr>
        <w:jc w:val="both"/>
        <w:rPr>
          <w:rFonts w:ascii="Arial" w:eastAsia="Aptos" w:hAnsi="Arial" w:cs="Arial"/>
          <w:kern w:val="2"/>
          <w:lang w:val="en-CA"/>
        </w:rPr>
      </w:pPr>
      <w:r w:rsidRPr="00C26FDA">
        <w:rPr>
          <w:rFonts w:ascii="Arial" w:eastAsia="Aptos" w:hAnsi="Arial" w:cs="Arial"/>
          <w:bCs/>
          <w:kern w:val="2"/>
          <w:lang w:val="en-CA"/>
        </w:rPr>
        <w:t xml:space="preserve">[5] </w:t>
      </w:r>
      <w:r w:rsidRPr="00C26FDA">
        <w:rPr>
          <w:rFonts w:ascii="Arial" w:eastAsia="Aptos" w:hAnsi="Arial" w:cs="Arial"/>
          <w:kern w:val="2"/>
          <w:lang w:val="en-CA"/>
        </w:rPr>
        <w:t xml:space="preserve">Rodrigo, S.K., </w:t>
      </w:r>
      <w:proofErr w:type="spellStart"/>
      <w:r w:rsidRPr="00C26FDA">
        <w:rPr>
          <w:rFonts w:ascii="Arial" w:eastAsia="Aptos" w:hAnsi="Arial" w:cs="Arial"/>
          <w:kern w:val="2"/>
          <w:lang w:val="en-CA"/>
        </w:rPr>
        <w:t>Jayasingha</w:t>
      </w:r>
      <w:proofErr w:type="spellEnd"/>
      <w:r w:rsidRPr="00C26FDA">
        <w:rPr>
          <w:rFonts w:ascii="Arial" w:eastAsia="Aptos" w:hAnsi="Arial" w:cs="Arial"/>
          <w:kern w:val="2"/>
          <w:lang w:val="en-CA"/>
        </w:rPr>
        <w:t xml:space="preserve">, U.L.B., </w:t>
      </w:r>
      <w:proofErr w:type="spellStart"/>
      <w:r w:rsidRPr="00C26FDA">
        <w:rPr>
          <w:rFonts w:ascii="Arial" w:eastAsia="Aptos" w:hAnsi="Arial" w:cs="Arial"/>
          <w:kern w:val="2"/>
          <w:lang w:val="en-CA"/>
        </w:rPr>
        <w:t>Bandara</w:t>
      </w:r>
      <w:proofErr w:type="spellEnd"/>
      <w:r w:rsidRPr="00C26FDA">
        <w:rPr>
          <w:rFonts w:ascii="Arial" w:eastAsia="Aptos" w:hAnsi="Arial" w:cs="Arial"/>
          <w:kern w:val="2"/>
          <w:lang w:val="en-CA"/>
        </w:rPr>
        <w:t xml:space="preserve">, B.M.R. (2007).  Antifungal, antioxidant and cytotoxic activity of </w:t>
      </w:r>
      <w:proofErr w:type="spellStart"/>
      <w:r w:rsidRPr="00C26FDA">
        <w:rPr>
          <w:rFonts w:ascii="Arial" w:eastAsia="Aptos" w:hAnsi="Arial" w:cs="Arial"/>
          <w:i/>
          <w:iCs/>
          <w:kern w:val="2"/>
          <w:lang w:val="en-CA"/>
        </w:rPr>
        <w:t>Acronychia</w:t>
      </w:r>
      <w:proofErr w:type="spellEnd"/>
      <w:r w:rsidRPr="00C26FDA">
        <w:rPr>
          <w:rFonts w:ascii="Arial" w:eastAsia="Aptos" w:hAnsi="Arial" w:cs="Arial"/>
          <w:i/>
          <w:iCs/>
          <w:kern w:val="2"/>
          <w:lang w:val="en-CA"/>
        </w:rPr>
        <w:t xml:space="preserve"> pedunculata</w:t>
      </w:r>
      <w:r w:rsidRPr="00C26FDA">
        <w:rPr>
          <w:rFonts w:ascii="Arial" w:eastAsia="Aptos" w:hAnsi="Arial" w:cs="Arial"/>
          <w:kern w:val="2"/>
          <w:lang w:val="en-CA"/>
        </w:rPr>
        <w:t xml:space="preserve"> and </w:t>
      </w:r>
      <w:proofErr w:type="spellStart"/>
      <w:r w:rsidRPr="00C26FDA">
        <w:rPr>
          <w:rFonts w:ascii="Arial" w:eastAsia="Aptos" w:hAnsi="Arial" w:cs="Arial"/>
          <w:i/>
          <w:iCs/>
          <w:kern w:val="2"/>
          <w:lang w:val="en-CA"/>
        </w:rPr>
        <w:t>Adenanthera</w:t>
      </w:r>
      <w:proofErr w:type="spellEnd"/>
      <w:r w:rsidRPr="00C26FDA">
        <w:rPr>
          <w:rFonts w:ascii="Arial" w:eastAsia="Aptos" w:hAnsi="Arial" w:cs="Arial"/>
          <w:i/>
          <w:iCs/>
          <w:kern w:val="2"/>
          <w:lang w:val="en-CA"/>
        </w:rPr>
        <w:t xml:space="preserve"> </w:t>
      </w:r>
      <w:proofErr w:type="spellStart"/>
      <w:r w:rsidRPr="00C26FDA">
        <w:rPr>
          <w:rFonts w:ascii="Arial" w:eastAsia="Aptos" w:hAnsi="Arial" w:cs="Arial"/>
          <w:i/>
          <w:iCs/>
          <w:kern w:val="2"/>
          <w:lang w:val="en-CA"/>
        </w:rPr>
        <w:t>pavonina</w:t>
      </w:r>
      <w:proofErr w:type="spellEnd"/>
      <w:r w:rsidRPr="00C26FDA">
        <w:rPr>
          <w:rFonts w:ascii="Arial" w:eastAsia="Aptos" w:hAnsi="Arial" w:cs="Arial"/>
          <w:i/>
          <w:iCs/>
          <w:kern w:val="2"/>
          <w:lang w:val="en-CA"/>
        </w:rPr>
        <w:t>.</w:t>
      </w:r>
      <w:r w:rsidRPr="00C26FDA">
        <w:rPr>
          <w:rFonts w:ascii="Arial" w:eastAsia="Aptos" w:hAnsi="Arial" w:cs="Arial"/>
          <w:kern w:val="2"/>
          <w:lang w:val="en-CA"/>
        </w:rPr>
        <w:t xml:space="preserve"> Proceedings of the Peradeniya University Research Sessions, Sri Lanka, 12</w:t>
      </w:r>
      <w:r w:rsidR="00DC04F4">
        <w:rPr>
          <w:rFonts w:ascii="Arial" w:eastAsia="Aptos" w:hAnsi="Arial" w:cs="Arial"/>
          <w:kern w:val="2"/>
          <w:lang w:val="en-CA"/>
        </w:rPr>
        <w:t xml:space="preserve">, </w:t>
      </w:r>
      <w:r w:rsidRPr="00C26FDA">
        <w:rPr>
          <w:rFonts w:ascii="Arial" w:eastAsia="Aptos" w:hAnsi="Arial" w:cs="Arial"/>
          <w:kern w:val="2"/>
          <w:lang w:val="en-CA"/>
        </w:rPr>
        <w:t>94–95</w:t>
      </w:r>
    </w:p>
    <w:p w14:paraId="5AF7BD0C" w14:textId="3D5EA323" w:rsidR="00C26FDA" w:rsidRDefault="00C26FDA" w:rsidP="00C26FDA">
      <w:pPr>
        <w:jc w:val="both"/>
        <w:rPr>
          <w:rFonts w:ascii="Arial" w:hAnsi="Arial" w:cs="Arial"/>
          <w:lang w:val="en-CA"/>
        </w:rPr>
      </w:pPr>
      <w:bookmarkStart w:id="6" w:name="_Hlk215476945"/>
      <w:r w:rsidRPr="00C26FDA">
        <w:rPr>
          <w:rFonts w:ascii="Arial" w:hAnsi="Arial" w:cs="Arial"/>
          <w:bCs/>
          <w:lang w:val="en-CA"/>
        </w:rPr>
        <w:t xml:space="preserve">[6] </w:t>
      </w:r>
      <w:r w:rsidR="00EE60D2" w:rsidRPr="00EE60D2">
        <w:rPr>
          <w:rFonts w:ascii="Arial" w:hAnsi="Arial" w:cs="Arial"/>
          <w:lang w:val="en-CA"/>
        </w:rPr>
        <w:t xml:space="preserve">Ara, A., Saleh-e-In, M. M., Ahmed, N. U., Ahmed, M. U., Hashem, M. A., &amp; </w:t>
      </w:r>
      <w:proofErr w:type="spellStart"/>
      <w:r w:rsidR="00EE60D2" w:rsidRPr="00EE60D2">
        <w:rPr>
          <w:rFonts w:ascii="Arial" w:hAnsi="Arial" w:cs="Arial"/>
          <w:lang w:val="en-CA"/>
        </w:rPr>
        <w:t>Bachar</w:t>
      </w:r>
      <w:proofErr w:type="spellEnd"/>
      <w:r w:rsidR="00EE60D2" w:rsidRPr="00EE60D2">
        <w:rPr>
          <w:rFonts w:ascii="Arial" w:hAnsi="Arial" w:cs="Arial"/>
          <w:lang w:val="en-CA"/>
        </w:rPr>
        <w:t xml:space="preserve">, S. C. (2010). Phytochemical screening, analgesic, antimicrobial and anti-oxidant activities of bark extracts of </w:t>
      </w:r>
      <w:proofErr w:type="spellStart"/>
      <w:r w:rsidR="00EE60D2" w:rsidRPr="00EE60D2">
        <w:rPr>
          <w:rFonts w:ascii="Arial" w:hAnsi="Arial" w:cs="Arial"/>
          <w:lang w:val="en-CA"/>
        </w:rPr>
        <w:t>Adenanthera</w:t>
      </w:r>
      <w:proofErr w:type="spellEnd"/>
      <w:r w:rsidR="00EE60D2" w:rsidRPr="00EE60D2">
        <w:rPr>
          <w:rFonts w:ascii="Arial" w:hAnsi="Arial" w:cs="Arial"/>
          <w:lang w:val="en-CA"/>
        </w:rPr>
        <w:t xml:space="preserve"> </w:t>
      </w:r>
      <w:proofErr w:type="spellStart"/>
      <w:r w:rsidR="00EE60D2" w:rsidRPr="00EE60D2">
        <w:rPr>
          <w:rFonts w:ascii="Arial" w:hAnsi="Arial" w:cs="Arial"/>
          <w:lang w:val="en-CA"/>
        </w:rPr>
        <w:t>pavonina</w:t>
      </w:r>
      <w:proofErr w:type="spellEnd"/>
      <w:r w:rsidR="00EE60D2" w:rsidRPr="00EE60D2">
        <w:rPr>
          <w:rFonts w:ascii="Arial" w:hAnsi="Arial" w:cs="Arial"/>
          <w:lang w:val="en-CA"/>
        </w:rPr>
        <w:t xml:space="preserve"> L. (Fabaceae). *Advances in Natural and Applied Sciences*, *4*(3), 352–360. </w:t>
      </w:r>
      <w:hyperlink r:id="rId21" w:history="1">
        <w:r w:rsidR="00EE60D2" w:rsidRPr="00842C41">
          <w:rPr>
            <w:rStyle w:val="Hyperlink"/>
            <w:rFonts w:ascii="Arial" w:hAnsi="Arial" w:cs="Arial"/>
            <w:lang w:val="en-CA"/>
          </w:rPr>
          <w:t>http://www.aensiweb.com/anas/2010/352-360.pdf</w:t>
        </w:r>
      </w:hyperlink>
      <w:r w:rsidR="00EE60D2">
        <w:rPr>
          <w:rFonts w:ascii="Arial" w:hAnsi="Arial" w:cs="Arial"/>
          <w:lang w:val="en-CA"/>
        </w:rPr>
        <w:t xml:space="preserve"> </w:t>
      </w:r>
    </w:p>
    <w:bookmarkEnd w:id="6"/>
    <w:p w14:paraId="6D1C660D" w14:textId="4E489DC5" w:rsidR="00C26FDA" w:rsidRPr="00C26FDA" w:rsidRDefault="00C26FDA" w:rsidP="00721616">
      <w:pPr>
        <w:jc w:val="both"/>
        <w:rPr>
          <w:rFonts w:ascii="Arial" w:hAnsi="Arial" w:cs="Arial"/>
          <w:lang w:val="en-CA"/>
        </w:rPr>
      </w:pPr>
      <w:r w:rsidRPr="00C26FDA">
        <w:rPr>
          <w:rFonts w:ascii="Arial" w:hAnsi="Arial" w:cs="Arial"/>
          <w:bCs/>
          <w:lang w:val="en-CA"/>
        </w:rPr>
        <w:t xml:space="preserve">[7] </w:t>
      </w:r>
      <w:r w:rsidR="004078EB" w:rsidRPr="004078EB">
        <w:rPr>
          <w:rFonts w:ascii="Arial" w:hAnsi="Arial" w:cs="Arial"/>
          <w:lang w:val="en-CA"/>
        </w:rPr>
        <w:t xml:space="preserve">Ara, A., Saleh-e-In, M. M., Ahmed, N. U., Hashem, M. A., &amp; </w:t>
      </w:r>
      <w:proofErr w:type="spellStart"/>
      <w:r w:rsidR="004078EB" w:rsidRPr="004078EB">
        <w:rPr>
          <w:rFonts w:ascii="Arial" w:hAnsi="Arial" w:cs="Arial"/>
          <w:lang w:val="en-CA"/>
        </w:rPr>
        <w:t>Bachar</w:t>
      </w:r>
      <w:proofErr w:type="spellEnd"/>
      <w:r w:rsidR="004078EB" w:rsidRPr="004078EB">
        <w:rPr>
          <w:rFonts w:ascii="Arial" w:hAnsi="Arial" w:cs="Arial"/>
          <w:lang w:val="en-CA"/>
        </w:rPr>
        <w:t xml:space="preserve">, S. C. (2013). Anti-diarrheal activity and acute toxicity of methanolic bark extract of </w:t>
      </w:r>
      <w:proofErr w:type="spellStart"/>
      <w:r w:rsidR="004078EB" w:rsidRPr="004078EB">
        <w:rPr>
          <w:rFonts w:ascii="Arial" w:hAnsi="Arial" w:cs="Arial"/>
          <w:lang w:val="en-CA"/>
        </w:rPr>
        <w:t>Adenanthera</w:t>
      </w:r>
      <w:proofErr w:type="spellEnd"/>
      <w:r w:rsidR="004078EB" w:rsidRPr="004078EB">
        <w:rPr>
          <w:rFonts w:ascii="Arial" w:hAnsi="Arial" w:cs="Arial"/>
          <w:lang w:val="en-CA"/>
        </w:rPr>
        <w:t xml:space="preserve"> </w:t>
      </w:r>
      <w:proofErr w:type="spellStart"/>
      <w:r w:rsidR="004078EB" w:rsidRPr="004078EB">
        <w:rPr>
          <w:rFonts w:ascii="Arial" w:hAnsi="Arial" w:cs="Arial"/>
          <w:lang w:val="en-CA"/>
        </w:rPr>
        <w:t>pavonina</w:t>
      </w:r>
      <w:proofErr w:type="spellEnd"/>
      <w:r w:rsidR="004078EB" w:rsidRPr="004078EB">
        <w:rPr>
          <w:rFonts w:ascii="Arial" w:hAnsi="Arial" w:cs="Arial"/>
          <w:lang w:val="en-CA"/>
        </w:rPr>
        <w:t xml:space="preserve"> Linn (Fabaceae) and its elemental composition. Turkish Journal of Pharmaceutical Sciences, 10(2), 263–272. </w:t>
      </w:r>
      <w:hyperlink r:id="rId22" w:history="1">
        <w:r w:rsidR="004078EB" w:rsidRPr="00842C41">
          <w:rPr>
            <w:rStyle w:val="Hyperlink"/>
            <w:rFonts w:ascii="Arial" w:hAnsi="Arial" w:cs="Arial"/>
            <w:lang w:val="en-CA"/>
          </w:rPr>
          <w:t>https://cms.galenos.com.tr/Uploads/Article_12394/263-272.pdf</w:t>
        </w:r>
      </w:hyperlink>
      <w:r w:rsidR="004078EB">
        <w:rPr>
          <w:rFonts w:ascii="Arial" w:hAnsi="Arial" w:cs="Arial"/>
          <w:lang w:val="en-CA"/>
        </w:rPr>
        <w:t xml:space="preserve"> </w:t>
      </w:r>
    </w:p>
    <w:p w14:paraId="407F326B" w14:textId="7C66E7EB" w:rsidR="00721616" w:rsidRPr="00721616" w:rsidRDefault="00721616" w:rsidP="00721616">
      <w:pPr>
        <w:jc w:val="both"/>
        <w:rPr>
          <w:rFonts w:ascii="Arial" w:hAnsi="Arial" w:cs="Arial"/>
          <w:lang w:val="en-CA"/>
        </w:rPr>
      </w:pPr>
      <w:r w:rsidRPr="00721616">
        <w:rPr>
          <w:rFonts w:ascii="Arial" w:hAnsi="Arial" w:cs="Arial"/>
          <w:bCs/>
          <w:lang w:val="en-CA"/>
        </w:rPr>
        <w:t xml:space="preserve">[8] </w:t>
      </w:r>
      <w:proofErr w:type="spellStart"/>
      <w:r w:rsidR="00DB28E0" w:rsidRPr="00DB28E0">
        <w:rPr>
          <w:rFonts w:ascii="Arial" w:hAnsi="Arial" w:cs="Arial"/>
          <w:lang w:val="en-CA"/>
        </w:rPr>
        <w:t>Adedapo</w:t>
      </w:r>
      <w:proofErr w:type="spellEnd"/>
      <w:r w:rsidR="00DB28E0" w:rsidRPr="00DB28E0">
        <w:rPr>
          <w:rFonts w:ascii="Arial" w:hAnsi="Arial" w:cs="Arial"/>
          <w:lang w:val="en-CA"/>
        </w:rPr>
        <w:t xml:space="preserve">, A. D. A., </w:t>
      </w:r>
      <w:proofErr w:type="spellStart"/>
      <w:r w:rsidR="00DB28E0" w:rsidRPr="00DB28E0">
        <w:rPr>
          <w:rFonts w:ascii="Arial" w:hAnsi="Arial" w:cs="Arial"/>
          <w:lang w:val="en-CA"/>
        </w:rPr>
        <w:t>Osude</w:t>
      </w:r>
      <w:proofErr w:type="spellEnd"/>
      <w:r w:rsidR="00DB28E0" w:rsidRPr="00DB28E0">
        <w:rPr>
          <w:rFonts w:ascii="Arial" w:hAnsi="Arial" w:cs="Arial"/>
          <w:lang w:val="en-CA"/>
        </w:rPr>
        <w:t xml:space="preserve">, Y. O., </w:t>
      </w:r>
      <w:proofErr w:type="spellStart"/>
      <w:r w:rsidR="00DB28E0" w:rsidRPr="00DB28E0">
        <w:rPr>
          <w:rFonts w:ascii="Arial" w:hAnsi="Arial" w:cs="Arial"/>
          <w:lang w:val="en-CA"/>
        </w:rPr>
        <w:t>Adedapo</w:t>
      </w:r>
      <w:proofErr w:type="spellEnd"/>
      <w:r w:rsidR="00DB28E0" w:rsidRPr="00DB28E0">
        <w:rPr>
          <w:rFonts w:ascii="Arial" w:hAnsi="Arial" w:cs="Arial"/>
          <w:lang w:val="en-CA"/>
        </w:rPr>
        <w:t xml:space="preserve">, A. A., Moody, J. O., </w:t>
      </w:r>
      <w:proofErr w:type="spellStart"/>
      <w:r w:rsidR="00DB28E0" w:rsidRPr="00DB28E0">
        <w:rPr>
          <w:rFonts w:ascii="Arial" w:hAnsi="Arial" w:cs="Arial"/>
          <w:lang w:val="en-CA"/>
        </w:rPr>
        <w:t>Adeagbo</w:t>
      </w:r>
      <w:proofErr w:type="spellEnd"/>
      <w:r w:rsidR="00DB28E0" w:rsidRPr="00DB28E0">
        <w:rPr>
          <w:rFonts w:ascii="Arial" w:hAnsi="Arial" w:cs="Arial"/>
          <w:lang w:val="en-CA"/>
        </w:rPr>
        <w:t xml:space="preserve">, A. S., Olajide, O. A., &amp; </w:t>
      </w:r>
      <w:proofErr w:type="spellStart"/>
      <w:r w:rsidR="00DB28E0" w:rsidRPr="00DB28E0">
        <w:rPr>
          <w:rFonts w:ascii="Arial" w:hAnsi="Arial" w:cs="Arial"/>
          <w:lang w:val="en-CA"/>
        </w:rPr>
        <w:t>Makinde</w:t>
      </w:r>
      <w:proofErr w:type="spellEnd"/>
      <w:r w:rsidR="00DB28E0" w:rsidRPr="00DB28E0">
        <w:rPr>
          <w:rFonts w:ascii="Arial" w:hAnsi="Arial" w:cs="Arial"/>
          <w:lang w:val="en-CA"/>
        </w:rPr>
        <w:t xml:space="preserve">, J. M. (2009). Blood pressure lowering effect of </w:t>
      </w:r>
      <w:proofErr w:type="spellStart"/>
      <w:r w:rsidR="00DB28E0" w:rsidRPr="00DB28E0">
        <w:rPr>
          <w:rFonts w:ascii="Arial" w:hAnsi="Arial" w:cs="Arial"/>
          <w:lang w:val="en-CA"/>
        </w:rPr>
        <w:t>Adenanthera</w:t>
      </w:r>
      <w:proofErr w:type="spellEnd"/>
      <w:r w:rsidR="00DB28E0" w:rsidRPr="00DB28E0">
        <w:rPr>
          <w:rFonts w:ascii="Arial" w:hAnsi="Arial" w:cs="Arial"/>
          <w:lang w:val="en-CA"/>
        </w:rPr>
        <w:t xml:space="preserve"> </w:t>
      </w:r>
      <w:proofErr w:type="spellStart"/>
      <w:r w:rsidR="00DB28E0" w:rsidRPr="00DB28E0">
        <w:rPr>
          <w:rFonts w:ascii="Arial" w:hAnsi="Arial" w:cs="Arial"/>
          <w:lang w:val="en-CA"/>
        </w:rPr>
        <w:t>pavonina</w:t>
      </w:r>
      <w:proofErr w:type="spellEnd"/>
      <w:r w:rsidR="00DB28E0" w:rsidRPr="00DB28E0">
        <w:rPr>
          <w:rFonts w:ascii="Arial" w:hAnsi="Arial" w:cs="Arial"/>
          <w:lang w:val="en-CA"/>
        </w:rPr>
        <w:t xml:space="preserve"> seed extract on normotensive rats. *Records of Natural Products*, *3*(2), 82–89. </w:t>
      </w:r>
      <w:hyperlink r:id="rId23" w:history="1">
        <w:r w:rsidR="00DB28E0" w:rsidRPr="00842C41">
          <w:rPr>
            <w:rStyle w:val="Hyperlink"/>
            <w:rFonts w:ascii="Arial" w:hAnsi="Arial" w:cs="Arial"/>
            <w:lang w:val="en-CA"/>
          </w:rPr>
          <w:t>https://www.acgpubs.org/journal/records-of-natural-products/volumes?year=2009&amp;volume=3&amp;issue=2</w:t>
        </w:r>
      </w:hyperlink>
      <w:r w:rsidR="00DB28E0">
        <w:rPr>
          <w:rFonts w:ascii="Arial" w:hAnsi="Arial" w:cs="Arial"/>
          <w:lang w:val="en-CA"/>
        </w:rPr>
        <w:t xml:space="preserve"> </w:t>
      </w:r>
    </w:p>
    <w:p w14:paraId="6ABE0C8F" w14:textId="77777777" w:rsidR="00721616" w:rsidRPr="00721616" w:rsidRDefault="00721616" w:rsidP="00721616">
      <w:pPr>
        <w:jc w:val="both"/>
        <w:rPr>
          <w:rFonts w:ascii="Arial" w:hAnsi="Arial" w:cs="Arial"/>
          <w:lang w:val="en-CA"/>
        </w:rPr>
      </w:pPr>
      <w:r w:rsidRPr="00721616">
        <w:rPr>
          <w:rFonts w:ascii="Arial" w:hAnsi="Arial" w:cs="Arial"/>
          <w:bCs/>
          <w:lang w:val="en-CA"/>
        </w:rPr>
        <w:t xml:space="preserve">[9] </w:t>
      </w:r>
      <w:proofErr w:type="spellStart"/>
      <w:r w:rsidRPr="00721616">
        <w:rPr>
          <w:rFonts w:ascii="Arial" w:hAnsi="Arial" w:cs="Arial"/>
          <w:lang w:val="en-CA"/>
        </w:rPr>
        <w:t>Ladyguina</w:t>
      </w:r>
      <w:proofErr w:type="spellEnd"/>
      <w:r w:rsidRPr="00721616">
        <w:rPr>
          <w:rFonts w:ascii="Arial" w:hAnsi="Arial" w:cs="Arial"/>
          <w:lang w:val="en-CA"/>
        </w:rPr>
        <w:t xml:space="preserve"> E, </w:t>
      </w:r>
      <w:proofErr w:type="spellStart"/>
      <w:r w:rsidRPr="00721616">
        <w:rPr>
          <w:rFonts w:ascii="Arial" w:hAnsi="Arial" w:cs="Arial"/>
          <w:lang w:val="en-CA"/>
        </w:rPr>
        <w:t>Safronitch</w:t>
      </w:r>
      <w:proofErr w:type="spellEnd"/>
      <w:r w:rsidRPr="00721616">
        <w:rPr>
          <w:rFonts w:ascii="Arial" w:hAnsi="Arial" w:cs="Arial"/>
          <w:lang w:val="en-CA"/>
        </w:rPr>
        <w:t xml:space="preserve"> L, </w:t>
      </w:r>
      <w:proofErr w:type="spellStart"/>
      <w:r w:rsidRPr="00721616">
        <w:rPr>
          <w:rFonts w:ascii="Arial" w:hAnsi="Arial" w:cs="Arial"/>
          <w:lang w:val="en-CA"/>
        </w:rPr>
        <w:t>Otriachenkova</w:t>
      </w:r>
      <w:proofErr w:type="spellEnd"/>
      <w:r w:rsidRPr="00721616">
        <w:rPr>
          <w:rFonts w:ascii="Arial" w:hAnsi="Arial" w:cs="Arial"/>
          <w:lang w:val="en-CA"/>
        </w:rPr>
        <w:t xml:space="preserve"> V, </w:t>
      </w:r>
      <w:proofErr w:type="spellStart"/>
      <w:r w:rsidRPr="00721616">
        <w:rPr>
          <w:rFonts w:ascii="Arial" w:hAnsi="Arial" w:cs="Arial"/>
          <w:lang w:val="en-CA"/>
        </w:rPr>
        <w:t>Bolandina</w:t>
      </w:r>
      <w:proofErr w:type="spellEnd"/>
      <w:r w:rsidRPr="00721616">
        <w:rPr>
          <w:rFonts w:ascii="Arial" w:hAnsi="Arial" w:cs="Arial"/>
          <w:lang w:val="en-CA"/>
        </w:rPr>
        <w:t xml:space="preserve"> I, </w:t>
      </w:r>
      <w:proofErr w:type="spellStart"/>
      <w:r w:rsidRPr="00721616">
        <w:rPr>
          <w:rFonts w:ascii="Arial" w:hAnsi="Arial" w:cs="Arial"/>
          <w:lang w:val="en-CA"/>
        </w:rPr>
        <w:t>Grinkevitch</w:t>
      </w:r>
      <w:proofErr w:type="spellEnd"/>
      <w:r w:rsidRPr="00721616">
        <w:rPr>
          <w:rFonts w:ascii="Arial" w:hAnsi="Arial" w:cs="Arial"/>
          <w:lang w:val="en-CA"/>
        </w:rPr>
        <w:t xml:space="preserve"> N. (1983). Chemical analysis of medicinal plants. Edition </w:t>
      </w:r>
      <w:proofErr w:type="spellStart"/>
      <w:r w:rsidRPr="00721616">
        <w:rPr>
          <w:rFonts w:ascii="Arial" w:hAnsi="Arial" w:cs="Arial"/>
          <w:lang w:val="en-CA"/>
        </w:rPr>
        <w:t>Moska</w:t>
      </w:r>
      <w:proofErr w:type="spellEnd"/>
      <w:r w:rsidRPr="00721616">
        <w:rPr>
          <w:rFonts w:ascii="Arial" w:hAnsi="Arial" w:cs="Arial"/>
          <w:lang w:val="en-CA"/>
        </w:rPr>
        <w:t xml:space="preserve">, </w:t>
      </w:r>
      <w:proofErr w:type="spellStart"/>
      <w:r w:rsidRPr="00721616">
        <w:rPr>
          <w:rFonts w:ascii="Arial" w:hAnsi="Arial" w:cs="Arial"/>
          <w:lang w:val="en-CA"/>
        </w:rPr>
        <w:t>Vischaya</w:t>
      </w:r>
      <w:proofErr w:type="spellEnd"/>
      <w:r w:rsidRPr="00721616">
        <w:rPr>
          <w:rFonts w:ascii="Arial" w:hAnsi="Arial" w:cs="Arial"/>
          <w:lang w:val="en-CA"/>
        </w:rPr>
        <w:t xml:space="preserve"> </w:t>
      </w:r>
      <w:proofErr w:type="spellStart"/>
      <w:r w:rsidRPr="00721616">
        <w:rPr>
          <w:rFonts w:ascii="Arial" w:hAnsi="Arial" w:cs="Arial"/>
          <w:lang w:val="en-CA"/>
        </w:rPr>
        <w:t>Chkola</w:t>
      </w:r>
      <w:proofErr w:type="spellEnd"/>
      <w:r w:rsidRPr="00721616">
        <w:rPr>
          <w:rFonts w:ascii="Arial" w:hAnsi="Arial" w:cs="Arial"/>
          <w:lang w:val="en-CA"/>
        </w:rPr>
        <w:t xml:space="preserve">, 347 p. </w:t>
      </w:r>
    </w:p>
    <w:p w14:paraId="17F4B40D" w14:textId="7A6BC5F5" w:rsidR="00721616" w:rsidRPr="00721616" w:rsidRDefault="00721616" w:rsidP="00721616">
      <w:pPr>
        <w:jc w:val="both"/>
        <w:rPr>
          <w:rFonts w:ascii="Arial" w:hAnsi="Arial" w:cs="Arial"/>
          <w:lang w:val="en-CA"/>
        </w:rPr>
      </w:pPr>
      <w:r w:rsidRPr="00721616">
        <w:rPr>
          <w:rFonts w:ascii="Arial" w:hAnsi="Arial" w:cs="Arial"/>
          <w:bCs/>
          <w:lang w:val="it-IT"/>
        </w:rPr>
        <w:t xml:space="preserve">[10] </w:t>
      </w:r>
      <w:r w:rsidR="00831940" w:rsidRPr="00831940">
        <w:rPr>
          <w:rFonts w:ascii="Arial" w:hAnsi="Arial" w:cs="Arial"/>
          <w:lang w:val="it-IT"/>
        </w:rPr>
        <w:t xml:space="preserve">Békro, Y. A., Békro, J. A. M., Boua, B. B., Tra, B. F. H., &amp; Ehilé, E. E. (2007). Étude ethnobotanique et screening phytochimique de Caesalpinia benthamiana (Baill.) Herend. et Zarucchi (Caesalpiniaceae). Sciences &amp; Nature, 4(2), 217-225. </w:t>
      </w:r>
      <w:r w:rsidR="00DA5BB1">
        <w:fldChar w:fldCharType="begin"/>
      </w:r>
      <w:r w:rsidR="00DA5BB1">
        <w:instrText xml:space="preserve"> HYPERLINK "https://doi.org/10.4314/SCINAT.V4I2.42146" </w:instrText>
      </w:r>
      <w:r w:rsidR="00DA5BB1">
        <w:fldChar w:fldCharType="separate"/>
      </w:r>
      <w:r w:rsidR="00831940" w:rsidRPr="00842C41">
        <w:rPr>
          <w:rStyle w:val="Hyperlink"/>
          <w:rFonts w:ascii="Arial" w:hAnsi="Arial" w:cs="Arial"/>
          <w:lang w:val="it-IT"/>
        </w:rPr>
        <w:t>https://doi.org/10.4314/SCINAT.V4I2.42146</w:t>
      </w:r>
      <w:r w:rsidR="00DA5BB1">
        <w:rPr>
          <w:rStyle w:val="Hyperlink"/>
          <w:rFonts w:ascii="Arial" w:hAnsi="Arial" w:cs="Arial"/>
          <w:lang w:val="it-IT"/>
        </w:rPr>
        <w:fldChar w:fldCharType="end"/>
      </w:r>
      <w:r w:rsidR="00831940">
        <w:rPr>
          <w:rFonts w:ascii="Arial" w:hAnsi="Arial" w:cs="Arial"/>
          <w:lang w:val="it-IT"/>
        </w:rPr>
        <w:t xml:space="preserve"> </w:t>
      </w:r>
    </w:p>
    <w:p w14:paraId="21AC11FE" w14:textId="77777777" w:rsidR="00721616" w:rsidRPr="00721616" w:rsidRDefault="00721616" w:rsidP="00721616">
      <w:pPr>
        <w:jc w:val="both"/>
        <w:rPr>
          <w:rFonts w:ascii="Arial" w:hAnsi="Arial" w:cs="Arial"/>
          <w:lang w:val="en-CA"/>
        </w:rPr>
      </w:pPr>
      <w:r w:rsidRPr="00721616">
        <w:rPr>
          <w:rFonts w:ascii="Arial" w:hAnsi="Arial" w:cs="Arial"/>
          <w:lang w:val="en-CA"/>
        </w:rPr>
        <w:t xml:space="preserve"> </w:t>
      </w:r>
      <w:r w:rsidRPr="00721616">
        <w:rPr>
          <w:rFonts w:ascii="Arial" w:hAnsi="Arial" w:cs="Arial"/>
          <w:bCs/>
          <w:lang w:val="en-CA"/>
        </w:rPr>
        <w:t xml:space="preserve">[11] </w:t>
      </w:r>
      <w:proofErr w:type="spellStart"/>
      <w:r w:rsidRPr="00721616">
        <w:rPr>
          <w:rFonts w:ascii="Arial" w:hAnsi="Arial" w:cs="Arial"/>
          <w:lang w:val="en-CA"/>
        </w:rPr>
        <w:t>Boua</w:t>
      </w:r>
      <w:proofErr w:type="spellEnd"/>
      <w:r w:rsidRPr="00721616">
        <w:rPr>
          <w:rFonts w:ascii="Arial" w:hAnsi="Arial" w:cs="Arial"/>
          <w:lang w:val="en-CA"/>
        </w:rPr>
        <w:t xml:space="preserve"> B. B, </w:t>
      </w:r>
      <w:proofErr w:type="spellStart"/>
      <w:r w:rsidRPr="00721616">
        <w:rPr>
          <w:rFonts w:ascii="Arial" w:hAnsi="Arial" w:cs="Arial"/>
          <w:lang w:val="en-CA"/>
        </w:rPr>
        <w:t>Békro</w:t>
      </w:r>
      <w:proofErr w:type="spellEnd"/>
      <w:r w:rsidRPr="00721616">
        <w:rPr>
          <w:rFonts w:ascii="Arial" w:hAnsi="Arial" w:cs="Arial"/>
          <w:lang w:val="en-CA"/>
        </w:rPr>
        <w:t xml:space="preserve"> Y. A., </w:t>
      </w:r>
      <w:proofErr w:type="spellStart"/>
      <w:r w:rsidRPr="00721616">
        <w:rPr>
          <w:rFonts w:ascii="Arial" w:hAnsi="Arial" w:cs="Arial"/>
          <w:lang w:val="en-CA"/>
        </w:rPr>
        <w:t>Mamyrbékova-Békro</w:t>
      </w:r>
      <w:proofErr w:type="spellEnd"/>
      <w:r w:rsidRPr="00721616">
        <w:rPr>
          <w:rFonts w:ascii="Arial" w:hAnsi="Arial" w:cs="Arial"/>
          <w:lang w:val="en-CA"/>
        </w:rPr>
        <w:t xml:space="preserve"> J. A., </w:t>
      </w:r>
      <w:proofErr w:type="spellStart"/>
      <w:r w:rsidRPr="00721616">
        <w:rPr>
          <w:rFonts w:ascii="Arial" w:hAnsi="Arial" w:cs="Arial"/>
          <w:lang w:val="en-CA"/>
        </w:rPr>
        <w:t>Wacothon</w:t>
      </w:r>
      <w:proofErr w:type="spellEnd"/>
      <w:r w:rsidRPr="00721616">
        <w:rPr>
          <w:rFonts w:ascii="Arial" w:hAnsi="Arial" w:cs="Arial"/>
          <w:lang w:val="en-CA"/>
        </w:rPr>
        <w:t xml:space="preserve"> K. C., </w:t>
      </w:r>
      <w:proofErr w:type="spellStart"/>
      <w:r w:rsidRPr="00721616">
        <w:rPr>
          <w:rFonts w:ascii="Arial" w:hAnsi="Arial" w:cs="Arial"/>
          <w:lang w:val="en-CA"/>
        </w:rPr>
        <w:t>Ehilé</w:t>
      </w:r>
      <w:proofErr w:type="spellEnd"/>
      <w:r w:rsidRPr="00721616">
        <w:rPr>
          <w:rFonts w:ascii="Arial" w:hAnsi="Arial" w:cs="Arial"/>
          <w:lang w:val="en-CA"/>
        </w:rPr>
        <w:t xml:space="preserve"> E. E. (2008). Evaluation of the sexual stimulant potential of total flavonoids extracted from the leaves of </w:t>
      </w:r>
      <w:proofErr w:type="spellStart"/>
      <w:r w:rsidRPr="00721616">
        <w:rPr>
          <w:rFonts w:ascii="Arial" w:hAnsi="Arial" w:cs="Arial"/>
          <w:i/>
          <w:iCs/>
          <w:lang w:val="en-CA"/>
        </w:rPr>
        <w:t>Palisota</w:t>
      </w:r>
      <w:proofErr w:type="spellEnd"/>
      <w:r w:rsidRPr="00721616">
        <w:rPr>
          <w:rFonts w:ascii="Arial" w:hAnsi="Arial" w:cs="Arial"/>
          <w:i/>
          <w:iCs/>
          <w:lang w:val="en-CA"/>
        </w:rPr>
        <w:t xml:space="preserve"> </w:t>
      </w:r>
      <w:proofErr w:type="spellStart"/>
      <w:r w:rsidRPr="00721616">
        <w:rPr>
          <w:rFonts w:ascii="Arial" w:hAnsi="Arial" w:cs="Arial"/>
          <w:i/>
          <w:iCs/>
          <w:lang w:val="en-CA"/>
        </w:rPr>
        <w:t>hirsuta</w:t>
      </w:r>
      <w:proofErr w:type="spellEnd"/>
      <w:r w:rsidRPr="00721616">
        <w:rPr>
          <w:rFonts w:ascii="Arial" w:hAnsi="Arial" w:cs="Arial"/>
          <w:lang w:val="en-CA"/>
        </w:rPr>
        <w:t xml:space="preserve"> Thumb. K. Schum (</w:t>
      </w:r>
      <w:proofErr w:type="spellStart"/>
      <w:r w:rsidRPr="00721616">
        <w:rPr>
          <w:rFonts w:ascii="Arial" w:hAnsi="Arial" w:cs="Arial"/>
          <w:lang w:val="en-CA"/>
        </w:rPr>
        <w:t>Commelinaceae</w:t>
      </w:r>
      <w:proofErr w:type="spellEnd"/>
      <w:r w:rsidRPr="00721616">
        <w:rPr>
          <w:rFonts w:ascii="Arial" w:hAnsi="Arial" w:cs="Arial"/>
          <w:lang w:val="en-CA"/>
        </w:rPr>
        <w:t xml:space="preserve">). European Journal of Scientific Research, 22(4), 533-538. </w:t>
      </w:r>
    </w:p>
    <w:p w14:paraId="613B0ABF" w14:textId="77777777" w:rsidR="00721616" w:rsidRPr="00721616" w:rsidRDefault="00721616" w:rsidP="00721616">
      <w:pPr>
        <w:jc w:val="both"/>
        <w:rPr>
          <w:rFonts w:ascii="Arial" w:hAnsi="Arial" w:cs="Arial"/>
          <w:lang w:val="en-CA"/>
        </w:rPr>
      </w:pPr>
      <w:r w:rsidRPr="00721616">
        <w:rPr>
          <w:rFonts w:ascii="Arial" w:hAnsi="Arial" w:cs="Arial"/>
          <w:bCs/>
          <w:lang w:val="en-CA"/>
        </w:rPr>
        <w:t xml:space="preserve">[12] </w:t>
      </w:r>
      <w:r w:rsidRPr="00721616">
        <w:rPr>
          <w:rFonts w:ascii="Arial" w:hAnsi="Arial" w:cs="Arial"/>
          <w:lang w:val="en-CA"/>
        </w:rPr>
        <w:t xml:space="preserve">Konan K. (2010). Chemical study and evaluation of the antioxidant activity of four medicinal plants from Côte d'Ivoire. Single doctoral thesis, University of </w:t>
      </w:r>
      <w:proofErr w:type="spellStart"/>
      <w:r w:rsidRPr="00721616">
        <w:rPr>
          <w:rFonts w:ascii="Arial" w:hAnsi="Arial" w:cs="Arial"/>
          <w:lang w:val="en-CA"/>
        </w:rPr>
        <w:t>Abobo-Adjamé</w:t>
      </w:r>
      <w:proofErr w:type="spellEnd"/>
      <w:r w:rsidRPr="00721616">
        <w:rPr>
          <w:rFonts w:ascii="Arial" w:hAnsi="Arial" w:cs="Arial"/>
          <w:lang w:val="en-CA"/>
        </w:rPr>
        <w:t xml:space="preserve"> (Abidjan / Côte d’Ivoire), 112p.</w:t>
      </w:r>
    </w:p>
    <w:p w14:paraId="1510F3D1" w14:textId="67FC06A0" w:rsidR="00721616" w:rsidRPr="00721616" w:rsidRDefault="00721616" w:rsidP="00721616">
      <w:pPr>
        <w:jc w:val="both"/>
        <w:rPr>
          <w:rFonts w:ascii="Arial" w:hAnsi="Arial" w:cs="Arial"/>
          <w:lang w:val="en-CA"/>
        </w:rPr>
      </w:pPr>
      <w:r w:rsidRPr="00721616">
        <w:rPr>
          <w:rFonts w:ascii="Arial" w:hAnsi="Arial" w:cs="Arial"/>
          <w:bCs/>
          <w:lang w:val="en-CA"/>
        </w:rPr>
        <w:t xml:space="preserve">[13] </w:t>
      </w:r>
      <w:proofErr w:type="spellStart"/>
      <w:r w:rsidR="00B045C1" w:rsidRPr="00B045C1">
        <w:rPr>
          <w:rFonts w:ascii="Arial" w:hAnsi="Arial" w:cs="Arial"/>
          <w:lang w:val="en-CA"/>
        </w:rPr>
        <w:t>N'Guessan</w:t>
      </w:r>
      <w:proofErr w:type="spellEnd"/>
      <w:r w:rsidR="00B045C1" w:rsidRPr="00B045C1">
        <w:rPr>
          <w:rFonts w:ascii="Arial" w:hAnsi="Arial" w:cs="Arial"/>
          <w:lang w:val="en-CA"/>
        </w:rPr>
        <w:t xml:space="preserve">, H. A., Dago, D. C. E., </w:t>
      </w:r>
      <w:proofErr w:type="spellStart"/>
      <w:r w:rsidR="00B045C1" w:rsidRPr="00B045C1">
        <w:rPr>
          <w:rFonts w:ascii="Arial" w:hAnsi="Arial" w:cs="Arial"/>
          <w:lang w:val="en-CA"/>
        </w:rPr>
        <w:t>Mamyrbékova-Békro</w:t>
      </w:r>
      <w:proofErr w:type="spellEnd"/>
      <w:r w:rsidR="00B045C1" w:rsidRPr="00B045C1">
        <w:rPr>
          <w:rFonts w:ascii="Arial" w:hAnsi="Arial" w:cs="Arial"/>
          <w:lang w:val="en-CA"/>
        </w:rPr>
        <w:t xml:space="preserve">, J. A., &amp; </w:t>
      </w:r>
      <w:proofErr w:type="spellStart"/>
      <w:r w:rsidR="00B045C1" w:rsidRPr="00B045C1">
        <w:rPr>
          <w:rFonts w:ascii="Arial" w:hAnsi="Arial" w:cs="Arial"/>
          <w:lang w:val="en-CA"/>
        </w:rPr>
        <w:t>Békro</w:t>
      </w:r>
      <w:proofErr w:type="spellEnd"/>
      <w:r w:rsidR="00B045C1" w:rsidRPr="00B045C1">
        <w:rPr>
          <w:rFonts w:ascii="Arial" w:hAnsi="Arial" w:cs="Arial"/>
          <w:lang w:val="en-CA"/>
        </w:rPr>
        <w:t xml:space="preserve">, Y. A. (2011). CCM </w:t>
      </w:r>
      <w:proofErr w:type="spellStart"/>
      <w:r w:rsidR="00B045C1" w:rsidRPr="00B045C1">
        <w:rPr>
          <w:rFonts w:ascii="Arial" w:hAnsi="Arial" w:cs="Arial"/>
          <w:lang w:val="en-CA"/>
        </w:rPr>
        <w:t>d'extraits</w:t>
      </w:r>
      <w:proofErr w:type="spellEnd"/>
      <w:r w:rsidR="00B045C1" w:rsidRPr="00B045C1">
        <w:rPr>
          <w:rFonts w:ascii="Arial" w:hAnsi="Arial" w:cs="Arial"/>
          <w:lang w:val="en-CA"/>
        </w:rPr>
        <w:t xml:space="preserve"> </w:t>
      </w:r>
      <w:proofErr w:type="spellStart"/>
      <w:r w:rsidR="00B045C1" w:rsidRPr="00B045C1">
        <w:rPr>
          <w:rFonts w:ascii="Arial" w:hAnsi="Arial" w:cs="Arial"/>
          <w:lang w:val="en-CA"/>
        </w:rPr>
        <w:t>sélectifs</w:t>
      </w:r>
      <w:proofErr w:type="spellEnd"/>
      <w:r w:rsidR="00B045C1" w:rsidRPr="00B045C1">
        <w:rPr>
          <w:rFonts w:ascii="Arial" w:hAnsi="Arial" w:cs="Arial"/>
          <w:lang w:val="en-CA"/>
        </w:rPr>
        <w:t xml:space="preserve"> de 10 </w:t>
      </w:r>
      <w:proofErr w:type="spellStart"/>
      <w:r w:rsidR="00B045C1" w:rsidRPr="00B045C1">
        <w:rPr>
          <w:rFonts w:ascii="Arial" w:hAnsi="Arial" w:cs="Arial"/>
          <w:lang w:val="en-CA"/>
        </w:rPr>
        <w:t>plantes</w:t>
      </w:r>
      <w:proofErr w:type="spellEnd"/>
      <w:r w:rsidR="00B045C1" w:rsidRPr="00B045C1">
        <w:rPr>
          <w:rFonts w:ascii="Arial" w:hAnsi="Arial" w:cs="Arial"/>
          <w:lang w:val="en-CA"/>
        </w:rPr>
        <w:t xml:space="preserve"> </w:t>
      </w:r>
      <w:proofErr w:type="spellStart"/>
      <w:r w:rsidR="00B045C1" w:rsidRPr="00B045C1">
        <w:rPr>
          <w:rFonts w:ascii="Arial" w:hAnsi="Arial" w:cs="Arial"/>
          <w:lang w:val="en-CA"/>
        </w:rPr>
        <w:t>utilisées</w:t>
      </w:r>
      <w:proofErr w:type="spellEnd"/>
      <w:r w:rsidR="00B045C1" w:rsidRPr="00B045C1">
        <w:rPr>
          <w:rFonts w:ascii="Arial" w:hAnsi="Arial" w:cs="Arial"/>
          <w:lang w:val="en-CA"/>
        </w:rPr>
        <w:t xml:space="preserve"> dans le </w:t>
      </w:r>
      <w:proofErr w:type="spellStart"/>
      <w:r w:rsidR="00B045C1" w:rsidRPr="00B045C1">
        <w:rPr>
          <w:rFonts w:ascii="Arial" w:hAnsi="Arial" w:cs="Arial"/>
          <w:lang w:val="en-CA"/>
        </w:rPr>
        <w:t>traitement</w:t>
      </w:r>
      <w:proofErr w:type="spellEnd"/>
      <w:r w:rsidR="00B045C1" w:rsidRPr="00B045C1">
        <w:rPr>
          <w:rFonts w:ascii="Arial" w:hAnsi="Arial" w:cs="Arial"/>
          <w:lang w:val="en-CA"/>
        </w:rPr>
        <w:t xml:space="preserve"> </w:t>
      </w:r>
      <w:proofErr w:type="spellStart"/>
      <w:r w:rsidR="00B045C1" w:rsidRPr="00B045C1">
        <w:rPr>
          <w:rFonts w:ascii="Arial" w:hAnsi="Arial" w:cs="Arial"/>
          <w:lang w:val="en-CA"/>
        </w:rPr>
        <w:t>traditionnel</w:t>
      </w:r>
      <w:proofErr w:type="spellEnd"/>
      <w:r w:rsidR="00B045C1" w:rsidRPr="00B045C1">
        <w:rPr>
          <w:rFonts w:ascii="Arial" w:hAnsi="Arial" w:cs="Arial"/>
          <w:lang w:val="en-CA"/>
        </w:rPr>
        <w:t xml:space="preserve"> de </w:t>
      </w:r>
      <w:proofErr w:type="spellStart"/>
      <w:r w:rsidR="00B045C1" w:rsidRPr="00B045C1">
        <w:rPr>
          <w:rFonts w:ascii="Arial" w:hAnsi="Arial" w:cs="Arial"/>
          <w:lang w:val="en-CA"/>
        </w:rPr>
        <w:t>l'hypertension</w:t>
      </w:r>
      <w:proofErr w:type="spellEnd"/>
      <w:r w:rsidR="00B045C1" w:rsidRPr="00B045C1">
        <w:rPr>
          <w:rFonts w:ascii="Arial" w:hAnsi="Arial" w:cs="Arial"/>
          <w:lang w:val="en-CA"/>
        </w:rPr>
        <w:t xml:space="preserve"> </w:t>
      </w:r>
      <w:proofErr w:type="spellStart"/>
      <w:r w:rsidR="00B045C1" w:rsidRPr="00B045C1">
        <w:rPr>
          <w:rFonts w:ascii="Arial" w:hAnsi="Arial" w:cs="Arial"/>
          <w:lang w:val="en-CA"/>
        </w:rPr>
        <w:t>artérielle</w:t>
      </w:r>
      <w:proofErr w:type="spellEnd"/>
      <w:r w:rsidR="00B045C1" w:rsidRPr="00B045C1">
        <w:rPr>
          <w:rFonts w:ascii="Arial" w:hAnsi="Arial" w:cs="Arial"/>
          <w:lang w:val="en-CA"/>
        </w:rPr>
        <w:t xml:space="preserve"> </w:t>
      </w:r>
      <w:proofErr w:type="spellStart"/>
      <w:r w:rsidR="00B045C1" w:rsidRPr="00B045C1">
        <w:rPr>
          <w:rFonts w:ascii="Arial" w:hAnsi="Arial" w:cs="Arial"/>
          <w:lang w:val="en-CA"/>
        </w:rPr>
        <w:t>en</w:t>
      </w:r>
      <w:proofErr w:type="spellEnd"/>
      <w:r w:rsidR="00B045C1" w:rsidRPr="00B045C1">
        <w:rPr>
          <w:rFonts w:ascii="Arial" w:hAnsi="Arial" w:cs="Arial"/>
          <w:lang w:val="en-CA"/>
        </w:rPr>
        <w:t xml:space="preserve"> Côte d'Ivoire. *European Journal of Scientific Research*, *66*(4), 575-585. </w:t>
      </w:r>
      <w:hyperlink r:id="rId24" w:history="1">
        <w:r w:rsidR="00B045C1" w:rsidRPr="00842C41">
          <w:rPr>
            <w:rStyle w:val="Hyperlink"/>
            <w:rFonts w:ascii="Arial" w:hAnsi="Arial" w:cs="Arial"/>
            <w:lang w:val="en-CA"/>
          </w:rPr>
          <w:t>https://hal.science/hal-01447284</w:t>
        </w:r>
      </w:hyperlink>
      <w:r w:rsidR="00B045C1">
        <w:rPr>
          <w:rFonts w:ascii="Arial" w:hAnsi="Arial" w:cs="Arial"/>
          <w:lang w:val="en-CA"/>
        </w:rPr>
        <w:t xml:space="preserve"> </w:t>
      </w:r>
      <w:r w:rsidRPr="00721616">
        <w:rPr>
          <w:rFonts w:ascii="Arial" w:hAnsi="Arial" w:cs="Arial"/>
          <w:lang w:val="en-CA"/>
        </w:rPr>
        <w:t xml:space="preserve"> </w:t>
      </w:r>
    </w:p>
    <w:p w14:paraId="46664535" w14:textId="179221CB" w:rsidR="00721616" w:rsidRPr="00721616" w:rsidRDefault="00721616" w:rsidP="00721616">
      <w:pPr>
        <w:jc w:val="both"/>
        <w:rPr>
          <w:rFonts w:ascii="Arial" w:hAnsi="Arial" w:cs="Arial"/>
          <w:lang w:val="en-CA"/>
        </w:rPr>
      </w:pPr>
      <w:r w:rsidRPr="00721616">
        <w:rPr>
          <w:rFonts w:ascii="Arial" w:hAnsi="Arial" w:cs="Arial"/>
          <w:bCs/>
          <w:lang w:val="en-CA"/>
        </w:rPr>
        <w:t xml:space="preserve">[14] </w:t>
      </w:r>
      <w:proofErr w:type="spellStart"/>
      <w:r w:rsidR="00F47A10" w:rsidRPr="00F47A10">
        <w:rPr>
          <w:rFonts w:ascii="Arial" w:hAnsi="Arial" w:cs="Arial"/>
          <w:lang w:val="en-CA"/>
        </w:rPr>
        <w:t>Kabran</w:t>
      </w:r>
      <w:proofErr w:type="spellEnd"/>
      <w:r w:rsidR="00F47A10" w:rsidRPr="00F47A10">
        <w:rPr>
          <w:rFonts w:ascii="Arial" w:hAnsi="Arial" w:cs="Arial"/>
          <w:lang w:val="en-CA"/>
        </w:rPr>
        <w:t xml:space="preserve">, G. R. M., </w:t>
      </w:r>
      <w:proofErr w:type="spellStart"/>
      <w:r w:rsidR="00F47A10" w:rsidRPr="00F47A10">
        <w:rPr>
          <w:rFonts w:ascii="Arial" w:hAnsi="Arial" w:cs="Arial"/>
          <w:lang w:val="en-CA"/>
        </w:rPr>
        <w:t>Ambeu</w:t>
      </w:r>
      <w:proofErr w:type="spellEnd"/>
      <w:r w:rsidR="00F47A10" w:rsidRPr="00F47A10">
        <w:rPr>
          <w:rFonts w:ascii="Arial" w:hAnsi="Arial" w:cs="Arial"/>
          <w:lang w:val="en-CA"/>
        </w:rPr>
        <w:t xml:space="preserve">, N. C., </w:t>
      </w:r>
      <w:proofErr w:type="spellStart"/>
      <w:r w:rsidR="00F47A10" w:rsidRPr="00F47A10">
        <w:rPr>
          <w:rFonts w:ascii="Arial" w:hAnsi="Arial" w:cs="Arial"/>
          <w:lang w:val="en-CA"/>
        </w:rPr>
        <w:t>Mamyrbékova</w:t>
      </w:r>
      <w:proofErr w:type="spellEnd"/>
      <w:r w:rsidR="00F47A10" w:rsidRPr="00F47A10">
        <w:rPr>
          <w:rFonts w:ascii="Arial" w:hAnsi="Arial" w:cs="Arial"/>
          <w:lang w:val="en-CA"/>
        </w:rPr>
        <w:t xml:space="preserve"> </w:t>
      </w:r>
      <w:proofErr w:type="spellStart"/>
      <w:r w:rsidR="00F47A10" w:rsidRPr="00F47A10">
        <w:rPr>
          <w:rFonts w:ascii="Arial" w:hAnsi="Arial" w:cs="Arial"/>
          <w:lang w:val="en-CA"/>
        </w:rPr>
        <w:t>Békro</w:t>
      </w:r>
      <w:proofErr w:type="spellEnd"/>
      <w:r w:rsidR="00F47A10" w:rsidRPr="00F47A10">
        <w:rPr>
          <w:rFonts w:ascii="Arial" w:hAnsi="Arial" w:cs="Arial"/>
          <w:lang w:val="en-CA"/>
        </w:rPr>
        <w:t xml:space="preserve">, J. A., &amp; </w:t>
      </w:r>
      <w:proofErr w:type="spellStart"/>
      <w:r w:rsidR="00F47A10" w:rsidRPr="00F47A10">
        <w:rPr>
          <w:rFonts w:ascii="Arial" w:hAnsi="Arial" w:cs="Arial"/>
          <w:lang w:val="en-CA"/>
        </w:rPr>
        <w:t>Békro</w:t>
      </w:r>
      <w:proofErr w:type="spellEnd"/>
      <w:r w:rsidR="00F47A10" w:rsidRPr="00F47A10">
        <w:rPr>
          <w:rFonts w:ascii="Arial" w:hAnsi="Arial" w:cs="Arial"/>
          <w:lang w:val="en-CA"/>
        </w:rPr>
        <w:t xml:space="preserve">, Y. A. (2011). CCM </w:t>
      </w:r>
      <w:proofErr w:type="spellStart"/>
      <w:r w:rsidR="00F47A10" w:rsidRPr="00F47A10">
        <w:rPr>
          <w:rFonts w:ascii="Arial" w:hAnsi="Arial" w:cs="Arial"/>
          <w:lang w:val="en-CA"/>
        </w:rPr>
        <w:t>D'extraits</w:t>
      </w:r>
      <w:proofErr w:type="spellEnd"/>
      <w:r w:rsidR="00F47A10" w:rsidRPr="00F47A10">
        <w:rPr>
          <w:rFonts w:ascii="Arial" w:hAnsi="Arial" w:cs="Arial"/>
          <w:lang w:val="en-CA"/>
        </w:rPr>
        <w:t xml:space="preserve"> </w:t>
      </w:r>
      <w:proofErr w:type="spellStart"/>
      <w:r w:rsidR="00F47A10" w:rsidRPr="00F47A10">
        <w:rPr>
          <w:rFonts w:ascii="Arial" w:hAnsi="Arial" w:cs="Arial"/>
          <w:lang w:val="en-CA"/>
        </w:rPr>
        <w:t>Selectifs</w:t>
      </w:r>
      <w:proofErr w:type="spellEnd"/>
      <w:r w:rsidR="00F47A10" w:rsidRPr="00F47A10">
        <w:rPr>
          <w:rFonts w:ascii="Arial" w:hAnsi="Arial" w:cs="Arial"/>
          <w:lang w:val="en-CA"/>
        </w:rPr>
        <w:t xml:space="preserve"> de 10 </w:t>
      </w:r>
      <w:proofErr w:type="spellStart"/>
      <w:r w:rsidR="00F47A10" w:rsidRPr="00F47A10">
        <w:rPr>
          <w:rFonts w:ascii="Arial" w:hAnsi="Arial" w:cs="Arial"/>
          <w:lang w:val="en-CA"/>
        </w:rPr>
        <w:t>Plantes</w:t>
      </w:r>
      <w:proofErr w:type="spellEnd"/>
      <w:r w:rsidR="00F47A10" w:rsidRPr="00F47A10">
        <w:rPr>
          <w:rFonts w:ascii="Arial" w:hAnsi="Arial" w:cs="Arial"/>
          <w:lang w:val="en-CA"/>
        </w:rPr>
        <w:t xml:space="preserve"> </w:t>
      </w:r>
      <w:proofErr w:type="spellStart"/>
      <w:r w:rsidR="00F47A10" w:rsidRPr="00F47A10">
        <w:rPr>
          <w:rFonts w:ascii="Arial" w:hAnsi="Arial" w:cs="Arial"/>
          <w:lang w:val="en-CA"/>
        </w:rPr>
        <w:t>Utilisees</w:t>
      </w:r>
      <w:proofErr w:type="spellEnd"/>
      <w:r w:rsidR="00F47A10" w:rsidRPr="00F47A10">
        <w:rPr>
          <w:rFonts w:ascii="Arial" w:hAnsi="Arial" w:cs="Arial"/>
          <w:lang w:val="en-CA"/>
        </w:rPr>
        <w:t xml:space="preserve"> Dans le </w:t>
      </w:r>
      <w:proofErr w:type="spellStart"/>
      <w:r w:rsidR="00F47A10" w:rsidRPr="00F47A10">
        <w:rPr>
          <w:rFonts w:ascii="Arial" w:hAnsi="Arial" w:cs="Arial"/>
          <w:lang w:val="en-CA"/>
        </w:rPr>
        <w:t>Traitement</w:t>
      </w:r>
      <w:proofErr w:type="spellEnd"/>
      <w:r w:rsidR="00F47A10" w:rsidRPr="00F47A10">
        <w:rPr>
          <w:rFonts w:ascii="Arial" w:hAnsi="Arial" w:cs="Arial"/>
          <w:lang w:val="en-CA"/>
        </w:rPr>
        <w:t xml:space="preserve"> </w:t>
      </w:r>
      <w:proofErr w:type="spellStart"/>
      <w:r w:rsidR="00F47A10" w:rsidRPr="00F47A10">
        <w:rPr>
          <w:rFonts w:ascii="Arial" w:hAnsi="Arial" w:cs="Arial"/>
          <w:lang w:val="en-CA"/>
        </w:rPr>
        <w:t>Traditionnel</w:t>
      </w:r>
      <w:proofErr w:type="spellEnd"/>
      <w:r w:rsidR="00F47A10" w:rsidRPr="00F47A10">
        <w:rPr>
          <w:rFonts w:ascii="Arial" w:hAnsi="Arial" w:cs="Arial"/>
          <w:lang w:val="en-CA"/>
        </w:rPr>
        <w:t xml:space="preserve"> du Cancer du Sein </w:t>
      </w:r>
      <w:proofErr w:type="spellStart"/>
      <w:r w:rsidR="00F47A10" w:rsidRPr="00F47A10">
        <w:rPr>
          <w:rFonts w:ascii="Arial" w:hAnsi="Arial" w:cs="Arial"/>
          <w:lang w:val="en-CA"/>
        </w:rPr>
        <w:t>en</w:t>
      </w:r>
      <w:proofErr w:type="spellEnd"/>
      <w:r w:rsidR="00F47A10" w:rsidRPr="00F47A10">
        <w:rPr>
          <w:rFonts w:ascii="Arial" w:hAnsi="Arial" w:cs="Arial"/>
          <w:lang w:val="en-CA"/>
        </w:rPr>
        <w:t xml:space="preserve"> Côte d'Ivoire. *European Journal of Scientific Research*, *63*(4), 592-603. </w:t>
      </w:r>
      <w:hyperlink r:id="rId25" w:history="1">
        <w:r w:rsidR="00F47A10" w:rsidRPr="00842C41">
          <w:rPr>
            <w:rStyle w:val="Hyperlink"/>
            <w:rFonts w:ascii="Arial" w:hAnsi="Arial" w:cs="Arial"/>
            <w:lang w:val="en-CA"/>
          </w:rPr>
          <w:t>http://www.europeanjournalofscientificresearch.com/vol63no4/EJSR_63_4_09.pdf</w:t>
        </w:r>
      </w:hyperlink>
      <w:r w:rsidR="00F47A10">
        <w:rPr>
          <w:rFonts w:ascii="Arial" w:hAnsi="Arial" w:cs="Arial"/>
          <w:lang w:val="en-CA"/>
        </w:rPr>
        <w:t xml:space="preserve"> </w:t>
      </w:r>
    </w:p>
    <w:p w14:paraId="5C79E981" w14:textId="77777777" w:rsidR="00721616" w:rsidRPr="00721616" w:rsidRDefault="00721616" w:rsidP="00721616">
      <w:pPr>
        <w:jc w:val="both"/>
        <w:rPr>
          <w:rFonts w:ascii="Arial" w:hAnsi="Arial" w:cs="Arial"/>
          <w:lang w:val="en-CA"/>
        </w:rPr>
      </w:pPr>
      <w:r w:rsidRPr="00721616">
        <w:rPr>
          <w:rFonts w:ascii="Arial" w:hAnsi="Arial" w:cs="Arial"/>
          <w:bCs/>
          <w:lang w:val="en-CA"/>
        </w:rPr>
        <w:t xml:space="preserve">[15] </w:t>
      </w:r>
      <w:proofErr w:type="spellStart"/>
      <w:r w:rsidRPr="00721616">
        <w:rPr>
          <w:rFonts w:ascii="Arial" w:hAnsi="Arial" w:cs="Arial"/>
          <w:lang w:val="en-CA"/>
        </w:rPr>
        <w:t>N'Gaman</w:t>
      </w:r>
      <w:proofErr w:type="spellEnd"/>
      <w:r w:rsidRPr="00721616">
        <w:rPr>
          <w:rFonts w:ascii="Arial" w:hAnsi="Arial" w:cs="Arial"/>
          <w:lang w:val="en-CA"/>
        </w:rPr>
        <w:t xml:space="preserve"> K. C. C. (2013). Phytochemical study and effect of extracts of </w:t>
      </w:r>
      <w:r w:rsidRPr="00721616">
        <w:rPr>
          <w:rFonts w:ascii="Arial" w:hAnsi="Arial" w:cs="Arial"/>
          <w:i/>
          <w:iCs/>
          <w:lang w:val="en-CA"/>
        </w:rPr>
        <w:t xml:space="preserve">Gmelina </w:t>
      </w:r>
      <w:proofErr w:type="spellStart"/>
      <w:r w:rsidRPr="00721616">
        <w:rPr>
          <w:rFonts w:ascii="Arial" w:hAnsi="Arial" w:cs="Arial"/>
          <w:i/>
          <w:iCs/>
          <w:lang w:val="en-CA"/>
        </w:rPr>
        <w:t>arborea</w:t>
      </w:r>
      <w:proofErr w:type="spellEnd"/>
      <w:r w:rsidRPr="00721616">
        <w:rPr>
          <w:rFonts w:ascii="Arial" w:hAnsi="Arial" w:cs="Arial"/>
          <w:lang w:val="en-CA"/>
        </w:rPr>
        <w:t xml:space="preserve"> </w:t>
      </w:r>
      <w:proofErr w:type="spellStart"/>
      <w:r w:rsidRPr="00721616">
        <w:rPr>
          <w:rFonts w:ascii="Arial" w:hAnsi="Arial" w:cs="Arial"/>
          <w:lang w:val="en-CA"/>
        </w:rPr>
        <w:t>Roxb</w:t>
      </w:r>
      <w:proofErr w:type="spellEnd"/>
      <w:r w:rsidRPr="00721616">
        <w:rPr>
          <w:rFonts w:ascii="Arial" w:hAnsi="Arial" w:cs="Arial"/>
          <w:lang w:val="en-CA"/>
        </w:rPr>
        <w:t>. (</w:t>
      </w:r>
      <w:proofErr w:type="spellStart"/>
      <w:r w:rsidRPr="00721616">
        <w:rPr>
          <w:rFonts w:ascii="Arial" w:hAnsi="Arial" w:cs="Arial"/>
          <w:lang w:val="en-CA"/>
        </w:rPr>
        <w:t>Verbenaceae</w:t>
      </w:r>
      <w:proofErr w:type="spellEnd"/>
      <w:r w:rsidRPr="00721616">
        <w:rPr>
          <w:rFonts w:ascii="Arial" w:hAnsi="Arial" w:cs="Arial"/>
          <w:lang w:val="en-CA"/>
        </w:rPr>
        <w:t xml:space="preserve">) from Côte d’Ivoire on the osmotic stability of erythrocytes. PhD thesis. University </w:t>
      </w:r>
      <w:proofErr w:type="spellStart"/>
      <w:r w:rsidRPr="00721616">
        <w:rPr>
          <w:rFonts w:ascii="Arial" w:hAnsi="Arial" w:cs="Arial"/>
          <w:lang w:val="en-CA"/>
        </w:rPr>
        <w:t>Nangui</w:t>
      </w:r>
      <w:proofErr w:type="spellEnd"/>
      <w:r w:rsidRPr="00721616">
        <w:rPr>
          <w:rFonts w:ascii="Arial" w:hAnsi="Arial" w:cs="Arial"/>
          <w:lang w:val="en-CA"/>
        </w:rPr>
        <w:t xml:space="preserve"> </w:t>
      </w:r>
      <w:proofErr w:type="spellStart"/>
      <w:r w:rsidRPr="00721616">
        <w:rPr>
          <w:rFonts w:ascii="Arial" w:hAnsi="Arial" w:cs="Arial"/>
          <w:lang w:val="en-CA"/>
        </w:rPr>
        <w:t>Abrogoua</w:t>
      </w:r>
      <w:proofErr w:type="spellEnd"/>
      <w:r w:rsidRPr="00721616">
        <w:rPr>
          <w:rFonts w:ascii="Arial" w:hAnsi="Arial" w:cs="Arial"/>
          <w:lang w:val="en-CA"/>
        </w:rPr>
        <w:t>, Abidjan (Côte d'Ivoire), 112 p.</w:t>
      </w:r>
    </w:p>
    <w:p w14:paraId="4BFFDF3E" w14:textId="71EC0738" w:rsidR="00721616" w:rsidRPr="00721616" w:rsidRDefault="00721616" w:rsidP="00721616">
      <w:pPr>
        <w:jc w:val="both"/>
        <w:rPr>
          <w:rFonts w:ascii="Arial" w:hAnsi="Arial" w:cs="Arial"/>
          <w:lang w:val="it-IT"/>
        </w:rPr>
      </w:pPr>
      <w:r w:rsidRPr="00721616">
        <w:rPr>
          <w:rFonts w:ascii="Arial" w:hAnsi="Arial" w:cs="Arial"/>
          <w:lang w:val="en-CA"/>
        </w:rPr>
        <w:t xml:space="preserve"> </w:t>
      </w:r>
      <w:r w:rsidRPr="00721616">
        <w:rPr>
          <w:rFonts w:ascii="Arial" w:hAnsi="Arial" w:cs="Arial"/>
          <w:bCs/>
          <w:lang w:val="en-CA"/>
        </w:rPr>
        <w:t xml:space="preserve">[16] </w:t>
      </w:r>
      <w:proofErr w:type="spellStart"/>
      <w:r w:rsidR="005C4B15" w:rsidRPr="005C4B15">
        <w:rPr>
          <w:rFonts w:ascii="Arial" w:hAnsi="Arial" w:cs="Arial"/>
          <w:lang w:val="en-CA"/>
        </w:rPr>
        <w:t>Bruneton</w:t>
      </w:r>
      <w:proofErr w:type="spellEnd"/>
      <w:r w:rsidR="005C4B15" w:rsidRPr="005C4B15">
        <w:rPr>
          <w:rFonts w:ascii="Arial" w:hAnsi="Arial" w:cs="Arial"/>
          <w:lang w:val="en-CA"/>
        </w:rPr>
        <w:t xml:space="preserve">, J. (2016). Pharmacognosy, phytochemistry, medicinal plants. Lavoisier Tec &amp; Doc. </w:t>
      </w:r>
      <w:hyperlink r:id="rId26" w:history="1">
        <w:r w:rsidR="005C4B15" w:rsidRPr="00842C41">
          <w:rPr>
            <w:rStyle w:val="Hyperlink"/>
            <w:rFonts w:ascii="Arial" w:hAnsi="Arial" w:cs="Arial"/>
            <w:lang w:val="en-CA"/>
          </w:rPr>
          <w:t>https://www.e-lavoisier.fr/fr/ebook/pharmacognosy-phytochemistry-medicinal-plants/bruneton/ean13-9782743018726</w:t>
        </w:r>
      </w:hyperlink>
      <w:r w:rsidR="005C4B15">
        <w:rPr>
          <w:rFonts w:ascii="Arial" w:hAnsi="Arial" w:cs="Arial"/>
          <w:lang w:val="en-CA"/>
        </w:rPr>
        <w:t xml:space="preserve"> </w:t>
      </w:r>
    </w:p>
    <w:p w14:paraId="32241E26" w14:textId="35A90CF8" w:rsidR="00721616" w:rsidRPr="00721616" w:rsidRDefault="00721616" w:rsidP="00721616">
      <w:pPr>
        <w:jc w:val="both"/>
        <w:rPr>
          <w:rFonts w:ascii="Arial" w:hAnsi="Arial" w:cs="Arial"/>
          <w:lang w:val="en-CA"/>
        </w:rPr>
      </w:pPr>
      <w:r w:rsidRPr="00721616">
        <w:rPr>
          <w:rFonts w:ascii="Arial" w:hAnsi="Arial" w:cs="Arial"/>
          <w:bCs/>
          <w:lang w:val="it-IT"/>
        </w:rPr>
        <w:t xml:space="preserve">[17] </w:t>
      </w:r>
      <w:r w:rsidR="00EB2BD8" w:rsidRPr="00EB2BD8">
        <w:rPr>
          <w:rFonts w:ascii="Arial" w:hAnsi="Arial" w:cs="Arial"/>
          <w:bCs/>
          <w:lang w:val="it-IT"/>
        </w:rPr>
        <w:t xml:space="preserve">Debnath, B., Uddin, M. J., Patari, P., Das, M., Maiti, D., &amp; Manna, K. (2015). Estimation of alkaloids and phenolics of five edible cucurbitaceous plants and their antibacterial activity. </w:t>
      </w:r>
      <w:r w:rsidR="00EB2BD8" w:rsidRPr="00EB2BD8">
        <w:rPr>
          <w:rFonts w:ascii="Arial" w:hAnsi="Arial" w:cs="Arial"/>
          <w:bCs/>
          <w:lang w:val="it-IT"/>
        </w:rPr>
        <w:lastRenderedPageBreak/>
        <w:t xml:space="preserve">International Journal of Pharmacy and Pharmaceutical Sciences, 7(12), 223-227. </w:t>
      </w:r>
      <w:r w:rsidR="00DA5BB1">
        <w:fldChar w:fldCharType="begin"/>
      </w:r>
      <w:r w:rsidR="00DA5BB1">
        <w:instrText xml:space="preserve"> HYPERLINK "https://innovareacademics.in/journals/index.php/ijpps/article/view/8992" </w:instrText>
      </w:r>
      <w:r w:rsidR="00DA5BB1">
        <w:fldChar w:fldCharType="separate"/>
      </w:r>
      <w:r w:rsidR="00EB2BD8" w:rsidRPr="00842C41">
        <w:rPr>
          <w:rStyle w:val="Hyperlink"/>
          <w:rFonts w:ascii="Arial" w:hAnsi="Arial" w:cs="Arial"/>
          <w:bCs/>
          <w:lang w:val="it-IT"/>
        </w:rPr>
        <w:t>https://innovareacademics.in/journals/index.php/ijpps/article/view/8992</w:t>
      </w:r>
      <w:r w:rsidR="00DA5BB1">
        <w:rPr>
          <w:rStyle w:val="Hyperlink"/>
          <w:rFonts w:ascii="Arial" w:hAnsi="Arial" w:cs="Arial"/>
          <w:bCs/>
          <w:lang w:val="it-IT"/>
        </w:rPr>
        <w:fldChar w:fldCharType="end"/>
      </w:r>
      <w:r w:rsidR="00EB2BD8">
        <w:rPr>
          <w:rFonts w:ascii="Arial" w:hAnsi="Arial" w:cs="Arial"/>
          <w:bCs/>
          <w:lang w:val="it-IT"/>
        </w:rPr>
        <w:t xml:space="preserve"> </w:t>
      </w:r>
    </w:p>
    <w:p w14:paraId="2EA55C5E" w14:textId="53B82E5F" w:rsidR="00721616" w:rsidRPr="00721616" w:rsidRDefault="00721616" w:rsidP="00721616">
      <w:pPr>
        <w:jc w:val="both"/>
        <w:rPr>
          <w:rFonts w:ascii="Arial" w:hAnsi="Arial" w:cs="Arial"/>
          <w:lang w:val="en-CA"/>
        </w:rPr>
      </w:pPr>
      <w:r w:rsidRPr="00721616">
        <w:rPr>
          <w:rFonts w:ascii="Arial" w:hAnsi="Arial" w:cs="Arial"/>
          <w:bCs/>
          <w:lang w:val="en-CA"/>
        </w:rPr>
        <w:t xml:space="preserve">[18] </w:t>
      </w:r>
      <w:r w:rsidR="00026966" w:rsidRPr="00026966">
        <w:rPr>
          <w:rFonts w:ascii="Arial" w:hAnsi="Arial" w:cs="Arial"/>
          <w:bCs/>
          <w:lang w:val="en-CA"/>
        </w:rPr>
        <w:t xml:space="preserve">Singleton, V. L., </w:t>
      </w:r>
      <w:proofErr w:type="spellStart"/>
      <w:r w:rsidR="00026966" w:rsidRPr="00026966">
        <w:rPr>
          <w:rFonts w:ascii="Arial" w:hAnsi="Arial" w:cs="Arial"/>
          <w:bCs/>
          <w:lang w:val="en-CA"/>
        </w:rPr>
        <w:t>Orthofer</w:t>
      </w:r>
      <w:proofErr w:type="spellEnd"/>
      <w:r w:rsidR="00026966" w:rsidRPr="00026966">
        <w:rPr>
          <w:rFonts w:ascii="Arial" w:hAnsi="Arial" w:cs="Arial"/>
          <w:bCs/>
          <w:lang w:val="en-CA"/>
        </w:rPr>
        <w:t xml:space="preserve">, R., &amp; </w:t>
      </w:r>
      <w:proofErr w:type="spellStart"/>
      <w:r w:rsidR="00026966" w:rsidRPr="00026966">
        <w:rPr>
          <w:rFonts w:ascii="Arial" w:hAnsi="Arial" w:cs="Arial"/>
          <w:bCs/>
          <w:lang w:val="en-CA"/>
        </w:rPr>
        <w:t>Lamuela-Raventós</w:t>
      </w:r>
      <w:proofErr w:type="spellEnd"/>
      <w:r w:rsidR="00026966" w:rsidRPr="00026966">
        <w:rPr>
          <w:rFonts w:ascii="Arial" w:hAnsi="Arial" w:cs="Arial"/>
          <w:bCs/>
          <w:lang w:val="en-CA"/>
        </w:rPr>
        <w:t xml:space="preserve">, R. M. (1999). Analysis of total phenols and other oxidation substrates and antioxidants by means of </w:t>
      </w:r>
      <w:proofErr w:type="spellStart"/>
      <w:r w:rsidR="00026966" w:rsidRPr="00026966">
        <w:rPr>
          <w:rFonts w:ascii="Arial" w:hAnsi="Arial" w:cs="Arial"/>
          <w:bCs/>
          <w:lang w:val="en-CA"/>
        </w:rPr>
        <w:t>Folin-Ciocalteu</w:t>
      </w:r>
      <w:proofErr w:type="spellEnd"/>
      <w:r w:rsidR="00026966" w:rsidRPr="00026966">
        <w:rPr>
          <w:rFonts w:ascii="Arial" w:hAnsi="Arial" w:cs="Arial"/>
          <w:bCs/>
          <w:lang w:val="en-CA"/>
        </w:rPr>
        <w:t xml:space="preserve"> reagent. Methods in Enzymology, 299, 152-178. </w:t>
      </w:r>
      <w:hyperlink r:id="rId27" w:history="1">
        <w:r w:rsidR="00026966" w:rsidRPr="00842C41">
          <w:rPr>
            <w:rStyle w:val="Hyperlink"/>
            <w:rFonts w:ascii="Arial" w:hAnsi="Arial" w:cs="Arial"/>
            <w:bCs/>
            <w:lang w:val="en-CA"/>
          </w:rPr>
          <w:t>https://doi.org/10.1016/S0076-6879(99)99017-1</w:t>
        </w:r>
      </w:hyperlink>
      <w:r w:rsidR="00026966">
        <w:rPr>
          <w:rFonts w:ascii="Arial" w:hAnsi="Arial" w:cs="Arial"/>
          <w:bCs/>
          <w:lang w:val="en-CA"/>
        </w:rPr>
        <w:t xml:space="preserve"> </w:t>
      </w:r>
    </w:p>
    <w:p w14:paraId="18D53D58" w14:textId="16C4403E" w:rsidR="00721616" w:rsidRPr="00721616" w:rsidRDefault="00721616" w:rsidP="00721616">
      <w:pPr>
        <w:jc w:val="both"/>
        <w:rPr>
          <w:rFonts w:ascii="Arial" w:hAnsi="Arial" w:cs="Arial"/>
          <w:lang w:val="fr-FR"/>
        </w:rPr>
      </w:pPr>
      <w:r w:rsidRPr="00721616">
        <w:rPr>
          <w:rFonts w:ascii="Arial" w:hAnsi="Arial" w:cs="Arial"/>
          <w:bCs/>
          <w:lang w:val="en-CA"/>
        </w:rPr>
        <w:t>[19]</w:t>
      </w:r>
      <w:r w:rsidRPr="00721616">
        <w:rPr>
          <w:rFonts w:ascii="Arial" w:hAnsi="Arial" w:cs="Arial"/>
          <w:b/>
          <w:lang w:val="en-CA"/>
        </w:rPr>
        <w:t xml:space="preserve"> </w:t>
      </w:r>
      <w:proofErr w:type="spellStart"/>
      <w:r w:rsidR="0010089A" w:rsidRPr="0010089A">
        <w:rPr>
          <w:rFonts w:ascii="Arial" w:hAnsi="Arial" w:cs="Arial"/>
          <w:bCs/>
          <w:lang w:val="en-CA"/>
        </w:rPr>
        <w:t>Arvouet</w:t>
      </w:r>
      <w:proofErr w:type="spellEnd"/>
      <w:r w:rsidR="0010089A" w:rsidRPr="0010089A">
        <w:rPr>
          <w:rFonts w:ascii="Arial" w:hAnsi="Arial" w:cs="Arial"/>
          <w:bCs/>
          <w:lang w:val="en-CA"/>
        </w:rPr>
        <w:t xml:space="preserve">-Grand, A., </w:t>
      </w:r>
      <w:proofErr w:type="spellStart"/>
      <w:r w:rsidR="0010089A" w:rsidRPr="0010089A">
        <w:rPr>
          <w:rFonts w:ascii="Arial" w:hAnsi="Arial" w:cs="Arial"/>
          <w:bCs/>
          <w:lang w:val="en-CA"/>
        </w:rPr>
        <w:t>Vennat</w:t>
      </w:r>
      <w:proofErr w:type="spellEnd"/>
      <w:r w:rsidR="0010089A" w:rsidRPr="0010089A">
        <w:rPr>
          <w:rFonts w:ascii="Arial" w:hAnsi="Arial" w:cs="Arial"/>
          <w:bCs/>
          <w:lang w:val="en-CA"/>
        </w:rPr>
        <w:t xml:space="preserve">, B., </w:t>
      </w:r>
      <w:proofErr w:type="spellStart"/>
      <w:r w:rsidR="0010089A" w:rsidRPr="0010089A">
        <w:rPr>
          <w:rFonts w:ascii="Arial" w:hAnsi="Arial" w:cs="Arial"/>
          <w:bCs/>
          <w:lang w:val="en-CA"/>
        </w:rPr>
        <w:t>Pourrat</w:t>
      </w:r>
      <w:proofErr w:type="spellEnd"/>
      <w:r w:rsidR="0010089A" w:rsidRPr="0010089A">
        <w:rPr>
          <w:rFonts w:ascii="Arial" w:hAnsi="Arial" w:cs="Arial"/>
          <w:bCs/>
          <w:lang w:val="en-CA"/>
        </w:rPr>
        <w:t xml:space="preserve">, A., &amp; </w:t>
      </w:r>
      <w:proofErr w:type="spellStart"/>
      <w:r w:rsidR="0010089A" w:rsidRPr="0010089A">
        <w:rPr>
          <w:rFonts w:ascii="Arial" w:hAnsi="Arial" w:cs="Arial"/>
          <w:bCs/>
          <w:lang w:val="en-CA"/>
        </w:rPr>
        <w:t>Legret</w:t>
      </w:r>
      <w:proofErr w:type="spellEnd"/>
      <w:r w:rsidR="0010089A" w:rsidRPr="0010089A">
        <w:rPr>
          <w:rFonts w:ascii="Arial" w:hAnsi="Arial" w:cs="Arial"/>
          <w:bCs/>
          <w:lang w:val="en-CA"/>
        </w:rPr>
        <w:t xml:space="preserve">, P. (1994). Standardisation d’un </w:t>
      </w:r>
      <w:proofErr w:type="spellStart"/>
      <w:r w:rsidR="0010089A" w:rsidRPr="0010089A">
        <w:rPr>
          <w:rFonts w:ascii="Arial" w:hAnsi="Arial" w:cs="Arial"/>
          <w:bCs/>
          <w:lang w:val="en-CA"/>
        </w:rPr>
        <w:t>extrait</w:t>
      </w:r>
      <w:proofErr w:type="spellEnd"/>
      <w:r w:rsidR="0010089A" w:rsidRPr="0010089A">
        <w:rPr>
          <w:rFonts w:ascii="Arial" w:hAnsi="Arial" w:cs="Arial"/>
          <w:bCs/>
          <w:lang w:val="en-CA"/>
        </w:rPr>
        <w:t xml:space="preserve"> de propolis et identification des </w:t>
      </w:r>
      <w:proofErr w:type="spellStart"/>
      <w:r w:rsidR="0010089A" w:rsidRPr="0010089A">
        <w:rPr>
          <w:rFonts w:ascii="Arial" w:hAnsi="Arial" w:cs="Arial"/>
          <w:bCs/>
          <w:lang w:val="en-CA"/>
        </w:rPr>
        <w:t>principaux</w:t>
      </w:r>
      <w:proofErr w:type="spellEnd"/>
      <w:r w:rsidR="0010089A" w:rsidRPr="0010089A">
        <w:rPr>
          <w:rFonts w:ascii="Arial" w:hAnsi="Arial" w:cs="Arial"/>
          <w:bCs/>
          <w:lang w:val="en-CA"/>
        </w:rPr>
        <w:t xml:space="preserve"> </w:t>
      </w:r>
      <w:proofErr w:type="spellStart"/>
      <w:r w:rsidR="0010089A" w:rsidRPr="0010089A">
        <w:rPr>
          <w:rFonts w:ascii="Arial" w:hAnsi="Arial" w:cs="Arial"/>
          <w:bCs/>
          <w:lang w:val="en-CA"/>
        </w:rPr>
        <w:t>constituants</w:t>
      </w:r>
      <w:proofErr w:type="spellEnd"/>
      <w:r w:rsidR="0010089A" w:rsidRPr="0010089A">
        <w:rPr>
          <w:rFonts w:ascii="Arial" w:hAnsi="Arial" w:cs="Arial"/>
          <w:bCs/>
          <w:lang w:val="en-CA"/>
        </w:rPr>
        <w:t xml:space="preserve">. Journal de </w:t>
      </w:r>
      <w:proofErr w:type="spellStart"/>
      <w:r w:rsidR="0010089A" w:rsidRPr="0010089A">
        <w:rPr>
          <w:rFonts w:ascii="Arial" w:hAnsi="Arial" w:cs="Arial"/>
          <w:bCs/>
          <w:lang w:val="en-CA"/>
        </w:rPr>
        <w:t>pharmacie</w:t>
      </w:r>
      <w:proofErr w:type="spellEnd"/>
      <w:r w:rsidR="0010089A" w:rsidRPr="0010089A">
        <w:rPr>
          <w:rFonts w:ascii="Arial" w:hAnsi="Arial" w:cs="Arial"/>
          <w:bCs/>
          <w:lang w:val="en-CA"/>
        </w:rPr>
        <w:t xml:space="preserve"> de </w:t>
      </w:r>
      <w:proofErr w:type="spellStart"/>
      <w:r w:rsidR="0010089A" w:rsidRPr="0010089A">
        <w:rPr>
          <w:rFonts w:ascii="Arial" w:hAnsi="Arial" w:cs="Arial"/>
          <w:bCs/>
          <w:lang w:val="en-CA"/>
        </w:rPr>
        <w:t>Belgique</w:t>
      </w:r>
      <w:proofErr w:type="spellEnd"/>
      <w:r w:rsidR="0010089A" w:rsidRPr="0010089A">
        <w:rPr>
          <w:rFonts w:ascii="Arial" w:hAnsi="Arial" w:cs="Arial"/>
          <w:bCs/>
          <w:lang w:val="en-CA"/>
        </w:rPr>
        <w:t xml:space="preserve">, 49(6), 462-468. </w:t>
      </w:r>
      <w:hyperlink r:id="rId28" w:history="1">
        <w:r w:rsidR="0010089A" w:rsidRPr="00842C41">
          <w:rPr>
            <w:rStyle w:val="Hyperlink"/>
            <w:rFonts w:ascii="Arial" w:hAnsi="Arial" w:cs="Arial"/>
            <w:bCs/>
            <w:lang w:val="en-CA"/>
          </w:rPr>
          <w:t>https://pubmed.ncbi.nlm.nih.gov/7884635/</w:t>
        </w:r>
      </w:hyperlink>
      <w:r w:rsidR="0010089A">
        <w:rPr>
          <w:rFonts w:ascii="Arial" w:hAnsi="Arial" w:cs="Arial"/>
          <w:bCs/>
          <w:lang w:val="en-CA"/>
        </w:rPr>
        <w:t xml:space="preserve"> </w:t>
      </w:r>
    </w:p>
    <w:p w14:paraId="30290EA8" w14:textId="215D0C77" w:rsidR="00721616" w:rsidRPr="00721616" w:rsidRDefault="00721616" w:rsidP="00721616">
      <w:pPr>
        <w:jc w:val="both"/>
        <w:rPr>
          <w:rFonts w:ascii="Arial" w:hAnsi="Arial" w:cs="Arial"/>
          <w:lang w:val="en-CA"/>
        </w:rPr>
      </w:pPr>
      <w:r w:rsidRPr="00721616">
        <w:rPr>
          <w:rFonts w:ascii="Arial" w:hAnsi="Arial" w:cs="Arial"/>
          <w:bCs/>
          <w:lang w:val="fr-FR"/>
        </w:rPr>
        <w:t xml:space="preserve">[20] </w:t>
      </w:r>
      <w:proofErr w:type="spellStart"/>
      <w:r w:rsidR="00300580" w:rsidRPr="00300580">
        <w:rPr>
          <w:rFonts w:ascii="Arial" w:hAnsi="Arial" w:cs="Arial"/>
          <w:bCs/>
          <w:lang w:val="fr-FR"/>
        </w:rPr>
        <w:t>Heimler</w:t>
      </w:r>
      <w:proofErr w:type="spellEnd"/>
      <w:r w:rsidR="00300580" w:rsidRPr="00300580">
        <w:rPr>
          <w:rFonts w:ascii="Arial" w:hAnsi="Arial" w:cs="Arial"/>
          <w:bCs/>
          <w:lang w:val="fr-FR"/>
        </w:rPr>
        <w:t xml:space="preserve">, D., </w:t>
      </w:r>
      <w:proofErr w:type="spellStart"/>
      <w:r w:rsidR="00300580" w:rsidRPr="00300580">
        <w:rPr>
          <w:rFonts w:ascii="Arial" w:hAnsi="Arial" w:cs="Arial"/>
          <w:bCs/>
          <w:lang w:val="fr-FR"/>
        </w:rPr>
        <w:t>Vignolini</w:t>
      </w:r>
      <w:proofErr w:type="spellEnd"/>
      <w:r w:rsidR="00300580" w:rsidRPr="00300580">
        <w:rPr>
          <w:rFonts w:ascii="Arial" w:hAnsi="Arial" w:cs="Arial"/>
          <w:bCs/>
          <w:lang w:val="fr-FR"/>
        </w:rPr>
        <w:t xml:space="preserve">, P., Dini, M. G., </w:t>
      </w:r>
      <w:proofErr w:type="spellStart"/>
      <w:r w:rsidR="00300580" w:rsidRPr="00300580">
        <w:rPr>
          <w:rFonts w:ascii="Arial" w:hAnsi="Arial" w:cs="Arial"/>
          <w:bCs/>
          <w:lang w:val="fr-FR"/>
        </w:rPr>
        <w:t>Vincieri</w:t>
      </w:r>
      <w:proofErr w:type="spellEnd"/>
      <w:r w:rsidR="00300580" w:rsidRPr="00300580">
        <w:rPr>
          <w:rFonts w:ascii="Arial" w:hAnsi="Arial" w:cs="Arial"/>
          <w:bCs/>
          <w:lang w:val="fr-FR"/>
        </w:rPr>
        <w:t xml:space="preserve">, F. F., &amp; Romani, A. (2006). </w:t>
      </w:r>
      <w:proofErr w:type="spellStart"/>
      <w:r w:rsidR="00300580" w:rsidRPr="00300580">
        <w:rPr>
          <w:rFonts w:ascii="Arial" w:hAnsi="Arial" w:cs="Arial"/>
          <w:bCs/>
          <w:lang w:val="fr-FR"/>
        </w:rPr>
        <w:t>Antiradical</w:t>
      </w:r>
      <w:proofErr w:type="spellEnd"/>
      <w:r w:rsidR="00300580" w:rsidRPr="00300580">
        <w:rPr>
          <w:rFonts w:ascii="Arial" w:hAnsi="Arial" w:cs="Arial"/>
          <w:bCs/>
          <w:lang w:val="fr-FR"/>
        </w:rPr>
        <w:t xml:space="preserve"> </w:t>
      </w:r>
      <w:proofErr w:type="spellStart"/>
      <w:r w:rsidR="00300580" w:rsidRPr="00300580">
        <w:rPr>
          <w:rFonts w:ascii="Arial" w:hAnsi="Arial" w:cs="Arial"/>
          <w:bCs/>
          <w:lang w:val="fr-FR"/>
        </w:rPr>
        <w:t>activity</w:t>
      </w:r>
      <w:proofErr w:type="spellEnd"/>
      <w:r w:rsidR="00300580" w:rsidRPr="00300580">
        <w:rPr>
          <w:rFonts w:ascii="Arial" w:hAnsi="Arial" w:cs="Arial"/>
          <w:bCs/>
          <w:lang w:val="fr-FR"/>
        </w:rPr>
        <w:t xml:space="preserve"> and </w:t>
      </w:r>
      <w:proofErr w:type="spellStart"/>
      <w:r w:rsidR="00300580" w:rsidRPr="00300580">
        <w:rPr>
          <w:rFonts w:ascii="Arial" w:hAnsi="Arial" w:cs="Arial"/>
          <w:bCs/>
          <w:lang w:val="fr-FR"/>
        </w:rPr>
        <w:t>polyphenol</w:t>
      </w:r>
      <w:proofErr w:type="spellEnd"/>
      <w:r w:rsidR="00300580" w:rsidRPr="00300580">
        <w:rPr>
          <w:rFonts w:ascii="Arial" w:hAnsi="Arial" w:cs="Arial"/>
          <w:bCs/>
          <w:lang w:val="fr-FR"/>
        </w:rPr>
        <w:t xml:space="preserve"> composition of local </w:t>
      </w:r>
      <w:proofErr w:type="spellStart"/>
      <w:r w:rsidR="00300580" w:rsidRPr="00300580">
        <w:rPr>
          <w:rFonts w:ascii="Arial" w:hAnsi="Arial" w:cs="Arial"/>
          <w:bCs/>
          <w:lang w:val="fr-FR"/>
        </w:rPr>
        <w:t>Brassicaceae</w:t>
      </w:r>
      <w:proofErr w:type="spellEnd"/>
      <w:r w:rsidR="00300580" w:rsidRPr="00300580">
        <w:rPr>
          <w:rFonts w:ascii="Arial" w:hAnsi="Arial" w:cs="Arial"/>
          <w:bCs/>
          <w:lang w:val="fr-FR"/>
        </w:rPr>
        <w:t xml:space="preserve"> </w:t>
      </w:r>
      <w:proofErr w:type="spellStart"/>
      <w:r w:rsidR="00300580" w:rsidRPr="00300580">
        <w:rPr>
          <w:rFonts w:ascii="Arial" w:hAnsi="Arial" w:cs="Arial"/>
          <w:bCs/>
          <w:lang w:val="fr-FR"/>
        </w:rPr>
        <w:t>edible</w:t>
      </w:r>
      <w:proofErr w:type="spellEnd"/>
      <w:r w:rsidR="00300580" w:rsidRPr="00300580">
        <w:rPr>
          <w:rFonts w:ascii="Arial" w:hAnsi="Arial" w:cs="Arial"/>
          <w:bCs/>
          <w:lang w:val="fr-FR"/>
        </w:rPr>
        <w:t xml:space="preserve"> </w:t>
      </w:r>
      <w:proofErr w:type="spellStart"/>
      <w:r w:rsidR="00300580" w:rsidRPr="00300580">
        <w:rPr>
          <w:rFonts w:ascii="Arial" w:hAnsi="Arial" w:cs="Arial"/>
          <w:bCs/>
          <w:lang w:val="fr-FR"/>
        </w:rPr>
        <w:t>varieties</w:t>
      </w:r>
      <w:proofErr w:type="spellEnd"/>
      <w:r w:rsidR="00300580" w:rsidRPr="00300580">
        <w:rPr>
          <w:rFonts w:ascii="Arial" w:hAnsi="Arial" w:cs="Arial"/>
          <w:bCs/>
          <w:lang w:val="fr-FR"/>
        </w:rPr>
        <w:t xml:space="preserve">. Food Chemistry, 99(3), 464-469. </w:t>
      </w:r>
      <w:hyperlink r:id="rId29" w:history="1">
        <w:r w:rsidR="00300580" w:rsidRPr="00842C41">
          <w:rPr>
            <w:rStyle w:val="Hyperlink"/>
            <w:rFonts w:ascii="Arial" w:hAnsi="Arial" w:cs="Arial"/>
            <w:bCs/>
            <w:lang w:val="fr-FR"/>
          </w:rPr>
          <w:t>https://doi.org/10.1016/j.foodchem.2005.07.057</w:t>
        </w:r>
      </w:hyperlink>
      <w:r w:rsidR="00300580">
        <w:rPr>
          <w:rFonts w:ascii="Arial" w:hAnsi="Arial" w:cs="Arial"/>
          <w:bCs/>
          <w:lang w:val="fr-FR"/>
        </w:rPr>
        <w:t xml:space="preserve"> </w:t>
      </w:r>
    </w:p>
    <w:p w14:paraId="3224093D" w14:textId="60746C09" w:rsidR="00721616" w:rsidRPr="00721616" w:rsidRDefault="00721616" w:rsidP="00721616">
      <w:pPr>
        <w:jc w:val="both"/>
        <w:rPr>
          <w:rFonts w:ascii="Arial" w:hAnsi="Arial" w:cs="Arial"/>
          <w:lang w:val="en-CA"/>
        </w:rPr>
      </w:pPr>
      <w:r w:rsidRPr="00721616">
        <w:rPr>
          <w:rFonts w:ascii="Arial" w:hAnsi="Arial" w:cs="Arial"/>
          <w:bCs/>
          <w:lang w:val="en-CA"/>
        </w:rPr>
        <w:t xml:space="preserve">[21] </w:t>
      </w:r>
      <w:r w:rsidR="00C07C22" w:rsidRPr="00C07C22">
        <w:rPr>
          <w:rFonts w:ascii="Arial" w:hAnsi="Arial" w:cs="Arial"/>
          <w:lang w:val="en-CA"/>
        </w:rPr>
        <w:t xml:space="preserve">Brand-Williams, W., </w:t>
      </w:r>
      <w:proofErr w:type="spellStart"/>
      <w:r w:rsidR="00C07C22" w:rsidRPr="00C07C22">
        <w:rPr>
          <w:rFonts w:ascii="Arial" w:hAnsi="Arial" w:cs="Arial"/>
          <w:lang w:val="en-CA"/>
        </w:rPr>
        <w:t>Cuvelier</w:t>
      </w:r>
      <w:proofErr w:type="spellEnd"/>
      <w:r w:rsidR="00C07C22" w:rsidRPr="00C07C22">
        <w:rPr>
          <w:rFonts w:ascii="Arial" w:hAnsi="Arial" w:cs="Arial"/>
          <w:lang w:val="en-CA"/>
        </w:rPr>
        <w:t xml:space="preserve">, M. E., &amp; </w:t>
      </w:r>
      <w:proofErr w:type="spellStart"/>
      <w:r w:rsidR="00C07C22" w:rsidRPr="00C07C22">
        <w:rPr>
          <w:rFonts w:ascii="Arial" w:hAnsi="Arial" w:cs="Arial"/>
          <w:lang w:val="en-CA"/>
        </w:rPr>
        <w:t>Berset</w:t>
      </w:r>
      <w:proofErr w:type="spellEnd"/>
      <w:r w:rsidR="00C07C22" w:rsidRPr="00C07C22">
        <w:rPr>
          <w:rFonts w:ascii="Arial" w:hAnsi="Arial" w:cs="Arial"/>
          <w:lang w:val="en-CA"/>
        </w:rPr>
        <w:t xml:space="preserve">, C. (1995). Use of free radical method to evaluate antioxidant activity. </w:t>
      </w:r>
      <w:proofErr w:type="spellStart"/>
      <w:r w:rsidR="00C07C22" w:rsidRPr="00C07C22">
        <w:rPr>
          <w:rFonts w:ascii="Arial" w:hAnsi="Arial" w:cs="Arial"/>
          <w:lang w:val="en-CA"/>
        </w:rPr>
        <w:t>Lebensmittel-Wissenschaft</w:t>
      </w:r>
      <w:proofErr w:type="spellEnd"/>
      <w:r w:rsidR="00C07C22" w:rsidRPr="00C07C22">
        <w:rPr>
          <w:rFonts w:ascii="Arial" w:hAnsi="Arial" w:cs="Arial"/>
          <w:lang w:val="en-CA"/>
        </w:rPr>
        <w:t xml:space="preserve"> und </w:t>
      </w:r>
      <w:proofErr w:type="spellStart"/>
      <w:r w:rsidR="00C07C22" w:rsidRPr="00C07C22">
        <w:rPr>
          <w:rFonts w:ascii="Arial" w:hAnsi="Arial" w:cs="Arial"/>
          <w:lang w:val="en-CA"/>
        </w:rPr>
        <w:t>Technologie</w:t>
      </w:r>
      <w:proofErr w:type="spellEnd"/>
      <w:r w:rsidR="00C07C22" w:rsidRPr="00C07C22">
        <w:rPr>
          <w:rFonts w:ascii="Arial" w:hAnsi="Arial" w:cs="Arial"/>
          <w:lang w:val="en-CA"/>
        </w:rPr>
        <w:t xml:space="preserve">, 28(1), 25-30. </w:t>
      </w:r>
      <w:hyperlink r:id="rId30" w:history="1">
        <w:r w:rsidR="00C07C22" w:rsidRPr="00842C41">
          <w:rPr>
            <w:rStyle w:val="Hyperlink"/>
            <w:rFonts w:ascii="Arial" w:hAnsi="Arial" w:cs="Arial"/>
            <w:lang w:val="en-CA"/>
          </w:rPr>
          <w:t>https://doi.org/10.1016/S0023-6438(95)80008-5</w:t>
        </w:r>
      </w:hyperlink>
      <w:r w:rsidR="00C07C22">
        <w:rPr>
          <w:rFonts w:ascii="Arial" w:hAnsi="Arial" w:cs="Arial"/>
          <w:lang w:val="en-CA"/>
        </w:rPr>
        <w:t xml:space="preserve"> </w:t>
      </w:r>
    </w:p>
    <w:p w14:paraId="2B834A92" w14:textId="214B4013" w:rsidR="00721616" w:rsidRPr="00721616" w:rsidRDefault="00721616" w:rsidP="00721616">
      <w:pPr>
        <w:jc w:val="both"/>
        <w:rPr>
          <w:rFonts w:ascii="Arial" w:hAnsi="Arial" w:cs="Arial"/>
          <w:lang w:val="en-CA"/>
        </w:rPr>
      </w:pPr>
      <w:r w:rsidRPr="00721616">
        <w:rPr>
          <w:rFonts w:ascii="Arial" w:hAnsi="Arial" w:cs="Arial"/>
          <w:bCs/>
          <w:lang w:val="en-CA"/>
        </w:rPr>
        <w:t xml:space="preserve">[22] </w:t>
      </w:r>
      <w:proofErr w:type="spellStart"/>
      <w:r w:rsidR="008E5E42" w:rsidRPr="008E5E42">
        <w:rPr>
          <w:rFonts w:ascii="Arial" w:hAnsi="Arial" w:cs="Arial"/>
          <w:lang w:val="en-CA"/>
        </w:rPr>
        <w:t>Benzie</w:t>
      </w:r>
      <w:proofErr w:type="spellEnd"/>
      <w:r w:rsidR="008E5E42" w:rsidRPr="008E5E42">
        <w:rPr>
          <w:rFonts w:ascii="Arial" w:hAnsi="Arial" w:cs="Arial"/>
          <w:lang w:val="en-CA"/>
        </w:rPr>
        <w:t xml:space="preserve">, I. F., &amp; Strain, J. J. (1996). The ferric reducing ability of plasma (FRAP) as a measure of "antioxidant power": The FRAP assay. Analytical Biochemistry, 239, 70-76. </w:t>
      </w:r>
      <w:hyperlink r:id="rId31" w:history="1">
        <w:r w:rsidR="008E5E42" w:rsidRPr="00842C41">
          <w:rPr>
            <w:rStyle w:val="Hyperlink"/>
            <w:rFonts w:ascii="Arial" w:hAnsi="Arial" w:cs="Arial"/>
            <w:lang w:val="en-CA"/>
          </w:rPr>
          <w:t>https://doi.org/10.1006/abio.1996.0292</w:t>
        </w:r>
      </w:hyperlink>
      <w:r w:rsidR="008E5E42">
        <w:rPr>
          <w:rFonts w:ascii="Arial" w:hAnsi="Arial" w:cs="Arial"/>
          <w:lang w:val="en-CA"/>
        </w:rPr>
        <w:t xml:space="preserve"> </w:t>
      </w:r>
    </w:p>
    <w:p w14:paraId="66D07B9C" w14:textId="4D65684C" w:rsidR="00721616" w:rsidRPr="00721616" w:rsidRDefault="00721616" w:rsidP="00721616">
      <w:pPr>
        <w:jc w:val="both"/>
        <w:rPr>
          <w:rFonts w:ascii="Arial" w:hAnsi="Arial" w:cs="Arial"/>
          <w:lang w:val="en-CA"/>
        </w:rPr>
      </w:pPr>
      <w:r w:rsidRPr="00721616">
        <w:rPr>
          <w:rFonts w:ascii="Arial" w:hAnsi="Arial" w:cs="Arial"/>
          <w:bCs/>
          <w:lang w:val="en-CA"/>
        </w:rPr>
        <w:t xml:space="preserve">[23] </w:t>
      </w:r>
      <w:r w:rsidR="00D71D90" w:rsidRPr="00D71D90">
        <w:rPr>
          <w:rFonts w:ascii="Arial" w:hAnsi="Arial" w:cs="Arial"/>
          <w:lang w:val="en-CA"/>
        </w:rPr>
        <w:t xml:space="preserve">Gong, J., Huang, J., Xiao, G., Chen, F., Lee, B., Ge, Q., You, Y., Liu, S., &amp; Zhang, Y. (2016). Antioxidant capacities of fractions of bamboo shaving extract and their antioxidant components. Molecules, 21(8), 996. </w:t>
      </w:r>
      <w:hyperlink r:id="rId32" w:history="1">
        <w:r w:rsidR="00D71D90" w:rsidRPr="00842C41">
          <w:rPr>
            <w:rStyle w:val="Hyperlink"/>
            <w:rFonts w:ascii="Arial" w:hAnsi="Arial" w:cs="Arial"/>
            <w:lang w:val="en-CA"/>
          </w:rPr>
          <w:t>https://doi.org/10.3390/molecules21080996</w:t>
        </w:r>
      </w:hyperlink>
      <w:r w:rsidR="00D71D90">
        <w:rPr>
          <w:rFonts w:ascii="Arial" w:hAnsi="Arial" w:cs="Arial"/>
          <w:lang w:val="en-CA"/>
        </w:rPr>
        <w:t xml:space="preserve"> </w:t>
      </w:r>
    </w:p>
    <w:p w14:paraId="6722EED4" w14:textId="2A540A4B" w:rsidR="00721616" w:rsidRPr="00721616" w:rsidRDefault="00721616" w:rsidP="00721616">
      <w:pPr>
        <w:jc w:val="both"/>
        <w:rPr>
          <w:rFonts w:ascii="Arial" w:hAnsi="Arial" w:cs="Arial"/>
          <w:lang w:val="en-CA"/>
        </w:rPr>
      </w:pPr>
      <w:r w:rsidRPr="00721616">
        <w:rPr>
          <w:rFonts w:ascii="Arial" w:hAnsi="Arial" w:cs="Arial"/>
          <w:lang w:val="en-CA"/>
        </w:rPr>
        <w:t>[24]</w:t>
      </w:r>
      <w:r w:rsidRPr="00721616">
        <w:rPr>
          <w:rFonts w:ascii="Arial" w:hAnsi="Arial" w:cs="Arial"/>
          <w:b/>
          <w:bCs/>
          <w:lang w:val="en-CA"/>
        </w:rPr>
        <w:t xml:space="preserve"> </w:t>
      </w:r>
      <w:proofErr w:type="spellStart"/>
      <w:r w:rsidR="00D437C7" w:rsidRPr="00D437C7">
        <w:rPr>
          <w:rFonts w:ascii="Arial" w:hAnsi="Arial" w:cs="Arial"/>
          <w:lang w:val="en-CA"/>
        </w:rPr>
        <w:t>Comité</w:t>
      </w:r>
      <w:proofErr w:type="spellEnd"/>
      <w:r w:rsidR="00D437C7" w:rsidRPr="00D437C7">
        <w:rPr>
          <w:rFonts w:ascii="Arial" w:hAnsi="Arial" w:cs="Arial"/>
          <w:lang w:val="en-CA"/>
        </w:rPr>
        <w:t xml:space="preserve"> de </w:t>
      </w:r>
      <w:proofErr w:type="spellStart"/>
      <w:r w:rsidR="00D437C7" w:rsidRPr="00D437C7">
        <w:rPr>
          <w:rFonts w:ascii="Arial" w:hAnsi="Arial" w:cs="Arial"/>
          <w:lang w:val="en-CA"/>
        </w:rPr>
        <w:t>l'antibiogramme</w:t>
      </w:r>
      <w:proofErr w:type="spellEnd"/>
      <w:r w:rsidR="00D437C7" w:rsidRPr="00D437C7">
        <w:rPr>
          <w:rFonts w:ascii="Arial" w:hAnsi="Arial" w:cs="Arial"/>
          <w:lang w:val="en-CA"/>
        </w:rPr>
        <w:t xml:space="preserve"> de la Société </w:t>
      </w:r>
      <w:proofErr w:type="spellStart"/>
      <w:r w:rsidR="00D437C7" w:rsidRPr="00D437C7">
        <w:rPr>
          <w:rFonts w:ascii="Arial" w:hAnsi="Arial" w:cs="Arial"/>
          <w:lang w:val="en-CA"/>
        </w:rPr>
        <w:t>Française</w:t>
      </w:r>
      <w:proofErr w:type="spellEnd"/>
      <w:r w:rsidR="00D437C7" w:rsidRPr="00D437C7">
        <w:rPr>
          <w:rFonts w:ascii="Arial" w:hAnsi="Arial" w:cs="Arial"/>
          <w:lang w:val="en-CA"/>
        </w:rPr>
        <w:t xml:space="preserve"> de </w:t>
      </w:r>
      <w:proofErr w:type="spellStart"/>
      <w:r w:rsidR="00D437C7" w:rsidRPr="00D437C7">
        <w:rPr>
          <w:rFonts w:ascii="Arial" w:hAnsi="Arial" w:cs="Arial"/>
          <w:lang w:val="en-CA"/>
        </w:rPr>
        <w:t>Microbiologie</w:t>
      </w:r>
      <w:proofErr w:type="spellEnd"/>
      <w:r w:rsidR="00D437C7" w:rsidRPr="00D437C7">
        <w:rPr>
          <w:rFonts w:ascii="Arial" w:hAnsi="Arial" w:cs="Arial"/>
          <w:lang w:val="en-CA"/>
        </w:rPr>
        <w:t xml:space="preserve"> (CA-SFM) &amp; European Committee on Antimicrobial Susceptibility Testing (EUCAST). (2024). *CA-SFM / EUCAST 2024 V1.0*. Société </w:t>
      </w:r>
      <w:proofErr w:type="spellStart"/>
      <w:r w:rsidR="00D437C7" w:rsidRPr="00D437C7">
        <w:rPr>
          <w:rFonts w:ascii="Arial" w:hAnsi="Arial" w:cs="Arial"/>
          <w:lang w:val="en-CA"/>
        </w:rPr>
        <w:t>Française</w:t>
      </w:r>
      <w:proofErr w:type="spellEnd"/>
      <w:r w:rsidR="00D437C7" w:rsidRPr="00D437C7">
        <w:rPr>
          <w:rFonts w:ascii="Arial" w:hAnsi="Arial" w:cs="Arial"/>
          <w:lang w:val="en-CA"/>
        </w:rPr>
        <w:t xml:space="preserve"> de </w:t>
      </w:r>
      <w:proofErr w:type="spellStart"/>
      <w:r w:rsidR="00D437C7" w:rsidRPr="00D437C7">
        <w:rPr>
          <w:rFonts w:ascii="Arial" w:hAnsi="Arial" w:cs="Arial"/>
          <w:lang w:val="en-CA"/>
        </w:rPr>
        <w:t>Microbiologie</w:t>
      </w:r>
      <w:proofErr w:type="spellEnd"/>
      <w:r w:rsidR="00D437C7" w:rsidRPr="00D437C7">
        <w:rPr>
          <w:rFonts w:ascii="Arial" w:hAnsi="Arial" w:cs="Arial"/>
          <w:lang w:val="en-CA"/>
        </w:rPr>
        <w:t xml:space="preserve">. </w:t>
      </w:r>
      <w:hyperlink r:id="rId33" w:history="1">
        <w:r w:rsidR="00D437C7" w:rsidRPr="00842C41">
          <w:rPr>
            <w:rStyle w:val="Hyperlink"/>
            <w:rFonts w:ascii="Arial" w:hAnsi="Arial" w:cs="Arial"/>
            <w:lang w:val="en-CA"/>
          </w:rPr>
          <w:t>https://www.sfm-microbiologie.org/wp-content/uploads/2024/06/CA-SFM-EUCAST-2024-V1.0.pdf</w:t>
        </w:r>
      </w:hyperlink>
      <w:r w:rsidR="00D437C7">
        <w:rPr>
          <w:rFonts w:ascii="Arial" w:hAnsi="Arial" w:cs="Arial"/>
          <w:lang w:val="en-CA"/>
        </w:rPr>
        <w:t xml:space="preserve"> </w:t>
      </w:r>
    </w:p>
    <w:p w14:paraId="42312F14" w14:textId="606DC837" w:rsidR="00721616" w:rsidRPr="00721616" w:rsidRDefault="00721616" w:rsidP="00721616">
      <w:pPr>
        <w:jc w:val="both"/>
        <w:rPr>
          <w:rFonts w:ascii="Arial" w:hAnsi="Arial" w:cs="Arial"/>
          <w:lang w:val="fr-CI"/>
        </w:rPr>
      </w:pPr>
      <w:r w:rsidRPr="00721616">
        <w:rPr>
          <w:rFonts w:ascii="Arial" w:hAnsi="Arial" w:cs="Arial"/>
          <w:lang w:val="it-IT"/>
        </w:rPr>
        <w:t xml:space="preserve">[25] </w:t>
      </w:r>
      <w:r w:rsidR="00721920" w:rsidRPr="00721920">
        <w:rPr>
          <w:rFonts w:ascii="Arial" w:hAnsi="Arial" w:cs="Arial"/>
          <w:lang w:val="it-IT"/>
        </w:rPr>
        <w:t xml:space="preserve">Ponce, A. G., Fritz, R., del Valle, C. E., &amp; Roura, S. I. (2003). Antimicrobial activity of essential oils on the native microflora of organic Swiss chard. LWT - Food Science and Technology, 36, 679-684. </w:t>
      </w:r>
      <w:r w:rsidR="00DA5BB1">
        <w:fldChar w:fldCharType="begin"/>
      </w:r>
      <w:r w:rsidR="00DA5BB1">
        <w:instrText xml:space="preserve"> HYPERLINK "https://doi.org/10.1016/S0023-6438(03)</w:instrText>
      </w:r>
      <w:r w:rsidR="00DA5BB1">
        <w:instrText xml:space="preserve">00088-4" </w:instrText>
      </w:r>
      <w:r w:rsidR="00DA5BB1">
        <w:fldChar w:fldCharType="separate"/>
      </w:r>
      <w:r w:rsidR="00721920" w:rsidRPr="00842C41">
        <w:rPr>
          <w:rStyle w:val="Hyperlink"/>
          <w:rFonts w:ascii="Arial" w:hAnsi="Arial" w:cs="Arial"/>
          <w:lang w:val="it-IT"/>
        </w:rPr>
        <w:t>https://doi.org/10.1016/S0023-6438(03)00088-4</w:t>
      </w:r>
      <w:r w:rsidR="00DA5BB1">
        <w:rPr>
          <w:rStyle w:val="Hyperlink"/>
          <w:rFonts w:ascii="Arial" w:hAnsi="Arial" w:cs="Arial"/>
          <w:lang w:val="it-IT"/>
        </w:rPr>
        <w:fldChar w:fldCharType="end"/>
      </w:r>
      <w:r w:rsidR="00721920">
        <w:rPr>
          <w:rFonts w:ascii="Arial" w:hAnsi="Arial" w:cs="Arial"/>
          <w:lang w:val="it-IT"/>
        </w:rPr>
        <w:t xml:space="preserve"> </w:t>
      </w:r>
    </w:p>
    <w:p w14:paraId="73E7F9F7" w14:textId="00388D31" w:rsidR="00721616" w:rsidRPr="00721616" w:rsidRDefault="00721616" w:rsidP="00721616">
      <w:pPr>
        <w:jc w:val="both"/>
        <w:rPr>
          <w:rFonts w:ascii="Arial" w:hAnsi="Arial" w:cs="Arial"/>
          <w:lang w:val="en-CA"/>
        </w:rPr>
      </w:pPr>
      <w:r w:rsidRPr="00721616">
        <w:rPr>
          <w:rFonts w:ascii="Arial" w:hAnsi="Arial" w:cs="Arial"/>
          <w:lang w:val="fr-CI"/>
        </w:rPr>
        <w:t>[26]</w:t>
      </w:r>
      <w:r w:rsidRPr="00721616">
        <w:rPr>
          <w:rFonts w:ascii="Arial" w:hAnsi="Arial" w:cs="Arial"/>
          <w:lang w:val="fr-FR"/>
        </w:rPr>
        <w:t xml:space="preserve"> </w:t>
      </w:r>
      <w:r w:rsidR="009F75DB" w:rsidRPr="009F75DB">
        <w:rPr>
          <w:rFonts w:ascii="Arial" w:hAnsi="Arial" w:cs="Arial"/>
          <w:lang w:val="fr-FR"/>
        </w:rPr>
        <w:t xml:space="preserve">Fauchère, J.-L., &amp; Avril, J.-L. (2002). *Bactériologie générale et médicale*. Editions Ellipses. </w:t>
      </w:r>
      <w:hyperlink r:id="rId34" w:history="1">
        <w:r w:rsidR="009F75DB" w:rsidRPr="00842C41">
          <w:rPr>
            <w:rStyle w:val="Hyperlink"/>
            <w:rFonts w:ascii="Arial" w:hAnsi="Arial" w:cs="Arial"/>
            <w:lang w:val="fr-FR"/>
          </w:rPr>
          <w:t>https://www.editions-ellipses.fr/produit/bacteriologie-generale-et-medicale/</w:t>
        </w:r>
      </w:hyperlink>
      <w:r w:rsidR="009F75DB">
        <w:rPr>
          <w:rFonts w:ascii="Arial" w:hAnsi="Arial" w:cs="Arial"/>
          <w:lang w:val="fr-FR"/>
        </w:rPr>
        <w:t xml:space="preserve"> </w:t>
      </w:r>
    </w:p>
    <w:p w14:paraId="4CF7C5A7" w14:textId="5E41F5F5" w:rsidR="00917099" w:rsidRPr="00917099" w:rsidRDefault="00917099" w:rsidP="00917099">
      <w:pPr>
        <w:jc w:val="both"/>
        <w:rPr>
          <w:rFonts w:ascii="Arial" w:hAnsi="Arial" w:cs="Arial"/>
          <w:lang w:val="en-CA"/>
        </w:rPr>
      </w:pPr>
      <w:r w:rsidRPr="00917099">
        <w:rPr>
          <w:rFonts w:ascii="Arial" w:hAnsi="Arial" w:cs="Arial"/>
          <w:lang w:val="en-CA"/>
        </w:rPr>
        <w:t>[27]</w:t>
      </w:r>
      <w:r w:rsidRPr="00917099">
        <w:rPr>
          <w:rFonts w:ascii="Arial" w:hAnsi="Arial" w:cs="Arial"/>
          <w:b/>
          <w:bCs/>
          <w:lang w:val="en-CA"/>
        </w:rPr>
        <w:t xml:space="preserve"> </w:t>
      </w:r>
      <w:r w:rsidR="0061634E" w:rsidRPr="0061634E">
        <w:rPr>
          <w:rFonts w:ascii="Arial" w:hAnsi="Arial" w:cs="Arial"/>
          <w:lang w:val="en-CA"/>
        </w:rPr>
        <w:t xml:space="preserve">Ullah, A., Munir, S., Badshah, S. L., Khan, N., Ghani, L., Poulson, B. G., </w:t>
      </w:r>
      <w:proofErr w:type="spellStart"/>
      <w:r w:rsidR="0061634E" w:rsidRPr="0061634E">
        <w:rPr>
          <w:rFonts w:ascii="Arial" w:hAnsi="Arial" w:cs="Arial"/>
          <w:lang w:val="en-CA"/>
        </w:rPr>
        <w:t>Emwas</w:t>
      </w:r>
      <w:proofErr w:type="spellEnd"/>
      <w:r w:rsidR="0061634E" w:rsidRPr="0061634E">
        <w:rPr>
          <w:rFonts w:ascii="Arial" w:hAnsi="Arial" w:cs="Arial"/>
          <w:lang w:val="en-CA"/>
        </w:rPr>
        <w:t xml:space="preserve">, A.-H., &amp; </w:t>
      </w:r>
      <w:proofErr w:type="spellStart"/>
      <w:r w:rsidR="0061634E" w:rsidRPr="0061634E">
        <w:rPr>
          <w:rFonts w:ascii="Arial" w:hAnsi="Arial" w:cs="Arial"/>
          <w:lang w:val="en-CA"/>
        </w:rPr>
        <w:t>Jaremko</w:t>
      </w:r>
      <w:proofErr w:type="spellEnd"/>
      <w:r w:rsidR="0061634E" w:rsidRPr="0061634E">
        <w:rPr>
          <w:rFonts w:ascii="Arial" w:hAnsi="Arial" w:cs="Arial"/>
          <w:lang w:val="en-CA"/>
        </w:rPr>
        <w:t xml:space="preserve">, M. (2020). Important flavonoids and their role as a therapeutic agent. Molecules, 25(22), 5243. </w:t>
      </w:r>
      <w:hyperlink r:id="rId35" w:history="1">
        <w:r w:rsidR="0061634E" w:rsidRPr="00842C41">
          <w:rPr>
            <w:rStyle w:val="Hyperlink"/>
            <w:rFonts w:ascii="Arial" w:hAnsi="Arial" w:cs="Arial"/>
            <w:lang w:val="en-CA"/>
          </w:rPr>
          <w:t>https://doi.org/10.3390/molecules25225243</w:t>
        </w:r>
      </w:hyperlink>
      <w:r w:rsidR="0061634E">
        <w:rPr>
          <w:rFonts w:ascii="Arial" w:hAnsi="Arial" w:cs="Arial"/>
          <w:lang w:val="en-CA"/>
        </w:rPr>
        <w:t xml:space="preserve"> </w:t>
      </w:r>
    </w:p>
    <w:p w14:paraId="58667481" w14:textId="20EFF100" w:rsidR="00917099" w:rsidRPr="00917099" w:rsidRDefault="00917099" w:rsidP="00917099">
      <w:pPr>
        <w:jc w:val="both"/>
        <w:rPr>
          <w:rFonts w:ascii="Arial" w:hAnsi="Arial" w:cs="Arial"/>
          <w:lang w:val="en-CA"/>
        </w:rPr>
      </w:pPr>
      <w:r w:rsidRPr="00917099">
        <w:rPr>
          <w:rFonts w:ascii="Arial" w:hAnsi="Arial" w:cs="Arial"/>
          <w:lang w:val="en-CA"/>
        </w:rPr>
        <w:t>[28]</w:t>
      </w:r>
      <w:r w:rsidRPr="00917099">
        <w:rPr>
          <w:rFonts w:ascii="Arial" w:hAnsi="Arial" w:cs="Arial"/>
          <w:b/>
          <w:bCs/>
          <w:lang w:val="en-CA"/>
        </w:rPr>
        <w:t xml:space="preserve"> </w:t>
      </w:r>
      <w:r w:rsidR="00E961CE" w:rsidRPr="00E961CE">
        <w:rPr>
          <w:rFonts w:ascii="Arial" w:hAnsi="Arial" w:cs="Arial"/>
          <w:lang w:val="en-CA"/>
        </w:rPr>
        <w:t xml:space="preserve">Chung, K. T., Wong, T. Y., Wei, C. I., Huang, Y. W., &amp; Lin, Y. (1998). Tannins and human health: A review. Critical Reviews in Food Science and Nutrition, 38(6), 421–464. </w:t>
      </w:r>
      <w:hyperlink r:id="rId36" w:history="1">
        <w:r w:rsidR="00E961CE" w:rsidRPr="00842C41">
          <w:rPr>
            <w:rStyle w:val="Hyperlink"/>
            <w:rFonts w:ascii="Arial" w:hAnsi="Arial" w:cs="Arial"/>
            <w:lang w:val="en-CA"/>
          </w:rPr>
          <w:t>https://doi.org/10.1080/10408699891274273</w:t>
        </w:r>
      </w:hyperlink>
      <w:r w:rsidR="00E961CE">
        <w:rPr>
          <w:rFonts w:ascii="Arial" w:hAnsi="Arial" w:cs="Arial"/>
          <w:lang w:val="en-CA"/>
        </w:rPr>
        <w:t xml:space="preserve"> </w:t>
      </w:r>
    </w:p>
    <w:p w14:paraId="6D9054B9" w14:textId="2A8EA1BD" w:rsidR="00917099" w:rsidRPr="00917099" w:rsidRDefault="00917099" w:rsidP="00917099">
      <w:pPr>
        <w:jc w:val="both"/>
        <w:rPr>
          <w:rFonts w:ascii="Arial" w:hAnsi="Arial" w:cs="Arial"/>
          <w:lang w:val="en-CA"/>
        </w:rPr>
      </w:pPr>
      <w:r w:rsidRPr="00917099">
        <w:rPr>
          <w:rFonts w:ascii="Arial" w:hAnsi="Arial" w:cs="Arial"/>
          <w:lang w:val="en-CA"/>
        </w:rPr>
        <w:t>[29]</w:t>
      </w:r>
      <w:r w:rsidRPr="00917099">
        <w:rPr>
          <w:rFonts w:ascii="Arial" w:hAnsi="Arial" w:cs="Arial"/>
          <w:b/>
          <w:bCs/>
          <w:lang w:val="en-CA"/>
        </w:rPr>
        <w:t xml:space="preserve"> </w:t>
      </w:r>
      <w:r w:rsidR="004243F7" w:rsidRPr="004243F7">
        <w:rPr>
          <w:rFonts w:ascii="Arial" w:hAnsi="Arial" w:cs="Arial"/>
          <w:lang w:val="en-CA"/>
        </w:rPr>
        <w:t xml:space="preserve">Flores-Morales, V., </w:t>
      </w:r>
      <w:proofErr w:type="spellStart"/>
      <w:r w:rsidR="004243F7" w:rsidRPr="004243F7">
        <w:rPr>
          <w:rFonts w:ascii="Arial" w:hAnsi="Arial" w:cs="Arial"/>
          <w:lang w:val="en-CA"/>
        </w:rPr>
        <w:t>Villasana-Ruíz</w:t>
      </w:r>
      <w:proofErr w:type="spellEnd"/>
      <w:r w:rsidR="004243F7" w:rsidRPr="004243F7">
        <w:rPr>
          <w:rFonts w:ascii="Arial" w:hAnsi="Arial" w:cs="Arial"/>
          <w:lang w:val="en-CA"/>
        </w:rPr>
        <w:t>, A. P., Garza-</w:t>
      </w:r>
      <w:proofErr w:type="spellStart"/>
      <w:r w:rsidR="004243F7" w:rsidRPr="004243F7">
        <w:rPr>
          <w:rFonts w:ascii="Arial" w:hAnsi="Arial" w:cs="Arial"/>
          <w:lang w:val="en-CA"/>
        </w:rPr>
        <w:t>Veloz</w:t>
      </w:r>
      <w:proofErr w:type="spellEnd"/>
      <w:r w:rsidR="004243F7" w:rsidRPr="004243F7">
        <w:rPr>
          <w:rFonts w:ascii="Arial" w:hAnsi="Arial" w:cs="Arial"/>
          <w:lang w:val="en-CA"/>
        </w:rPr>
        <w:t xml:space="preserve">, I., González-Delgado, S., &amp; Martinez-Fierro, M. L. (2023). Therapeutic effects of coumarins with different substitution patterns. Molecules, 28(5), 2413. </w:t>
      </w:r>
      <w:hyperlink r:id="rId37" w:history="1">
        <w:r w:rsidR="004243F7" w:rsidRPr="00842C41">
          <w:rPr>
            <w:rStyle w:val="Hyperlink"/>
            <w:rFonts w:ascii="Arial" w:hAnsi="Arial" w:cs="Arial"/>
            <w:lang w:val="en-CA"/>
          </w:rPr>
          <w:t>https://doi.org/10.3390/molecules28052413</w:t>
        </w:r>
      </w:hyperlink>
      <w:r w:rsidR="004243F7">
        <w:rPr>
          <w:rFonts w:ascii="Arial" w:hAnsi="Arial" w:cs="Arial"/>
          <w:lang w:val="en-CA"/>
        </w:rPr>
        <w:t xml:space="preserve"> </w:t>
      </w:r>
    </w:p>
    <w:p w14:paraId="550F3192" w14:textId="24654FFB" w:rsidR="00917099" w:rsidRPr="00917099" w:rsidRDefault="00917099" w:rsidP="00917099">
      <w:pPr>
        <w:jc w:val="both"/>
        <w:rPr>
          <w:rFonts w:ascii="Arial" w:hAnsi="Arial" w:cs="Arial"/>
          <w:lang w:val="en-GB"/>
        </w:rPr>
      </w:pPr>
      <w:r w:rsidRPr="00917099">
        <w:rPr>
          <w:rFonts w:ascii="Arial" w:hAnsi="Arial" w:cs="Arial"/>
          <w:lang w:val="en-CA"/>
        </w:rPr>
        <w:t xml:space="preserve">[30] </w:t>
      </w:r>
      <w:proofErr w:type="spellStart"/>
      <w:r w:rsidR="003432DE" w:rsidRPr="003432DE">
        <w:rPr>
          <w:rFonts w:ascii="Arial" w:hAnsi="Arial" w:cs="Arial"/>
          <w:lang w:val="en-CA"/>
        </w:rPr>
        <w:t>Anywar</w:t>
      </w:r>
      <w:proofErr w:type="spellEnd"/>
      <w:r w:rsidR="003432DE" w:rsidRPr="003432DE">
        <w:rPr>
          <w:rFonts w:ascii="Arial" w:hAnsi="Arial" w:cs="Arial"/>
          <w:lang w:val="en-CA"/>
        </w:rPr>
        <w:t xml:space="preserve">, G., &amp; </w:t>
      </w:r>
      <w:proofErr w:type="spellStart"/>
      <w:r w:rsidR="003432DE" w:rsidRPr="003432DE">
        <w:rPr>
          <w:rFonts w:ascii="Arial" w:hAnsi="Arial" w:cs="Arial"/>
          <w:lang w:val="en-CA"/>
        </w:rPr>
        <w:t>Muhumuza</w:t>
      </w:r>
      <w:proofErr w:type="spellEnd"/>
      <w:r w:rsidR="003432DE" w:rsidRPr="003432DE">
        <w:rPr>
          <w:rFonts w:ascii="Arial" w:hAnsi="Arial" w:cs="Arial"/>
          <w:lang w:val="en-CA"/>
        </w:rPr>
        <w:t xml:space="preserve">, E. (2024). Bioactivity and toxicity of coumarins from African medicinal plants. Frontiers in Pharmacology, 14, 1231006. </w:t>
      </w:r>
      <w:hyperlink r:id="rId38" w:history="1">
        <w:r w:rsidR="003432DE" w:rsidRPr="00842C41">
          <w:rPr>
            <w:rStyle w:val="Hyperlink"/>
            <w:rFonts w:ascii="Arial" w:hAnsi="Arial" w:cs="Arial"/>
            <w:lang w:val="en-CA"/>
          </w:rPr>
          <w:t>https://doi.org/10.3389/fphar.2023.1231006</w:t>
        </w:r>
      </w:hyperlink>
      <w:r w:rsidR="003432DE">
        <w:rPr>
          <w:rFonts w:ascii="Arial" w:hAnsi="Arial" w:cs="Arial"/>
          <w:lang w:val="en-CA"/>
        </w:rPr>
        <w:t xml:space="preserve"> </w:t>
      </w:r>
    </w:p>
    <w:p w14:paraId="42ED8B53" w14:textId="1F1522EB" w:rsidR="00917099" w:rsidRPr="00917099" w:rsidRDefault="00917099" w:rsidP="00917099">
      <w:pPr>
        <w:jc w:val="both"/>
        <w:rPr>
          <w:rFonts w:ascii="Arial" w:hAnsi="Arial" w:cs="Arial"/>
          <w:lang w:val="en-CA"/>
        </w:rPr>
      </w:pPr>
      <w:r w:rsidRPr="00917099">
        <w:rPr>
          <w:rFonts w:ascii="Arial" w:hAnsi="Arial" w:cs="Arial"/>
          <w:lang w:val="en-CA"/>
        </w:rPr>
        <w:t xml:space="preserve">[31] </w:t>
      </w:r>
      <w:proofErr w:type="spellStart"/>
      <w:r w:rsidR="006E19FD" w:rsidRPr="006E19FD">
        <w:rPr>
          <w:rFonts w:ascii="Arial" w:hAnsi="Arial" w:cs="Arial"/>
          <w:lang w:val="en-CA"/>
        </w:rPr>
        <w:t>Yumita</w:t>
      </w:r>
      <w:proofErr w:type="spellEnd"/>
      <w:r w:rsidR="006E19FD" w:rsidRPr="006E19FD">
        <w:rPr>
          <w:rFonts w:ascii="Arial" w:hAnsi="Arial" w:cs="Arial"/>
          <w:lang w:val="en-CA"/>
        </w:rPr>
        <w:t xml:space="preserve">, A., </w:t>
      </w:r>
      <w:proofErr w:type="spellStart"/>
      <w:r w:rsidR="006E19FD" w:rsidRPr="006E19FD">
        <w:rPr>
          <w:rFonts w:ascii="Arial" w:hAnsi="Arial" w:cs="Arial"/>
          <w:lang w:val="en-CA"/>
        </w:rPr>
        <w:t>Hanani</w:t>
      </w:r>
      <w:proofErr w:type="spellEnd"/>
      <w:r w:rsidR="006E19FD" w:rsidRPr="006E19FD">
        <w:rPr>
          <w:rFonts w:ascii="Arial" w:hAnsi="Arial" w:cs="Arial"/>
          <w:lang w:val="en-CA"/>
        </w:rPr>
        <w:t xml:space="preserve">, E., Agustina, A., Damayanti, F., </w:t>
      </w:r>
      <w:proofErr w:type="spellStart"/>
      <w:r w:rsidR="006E19FD" w:rsidRPr="006E19FD">
        <w:rPr>
          <w:rFonts w:ascii="Arial" w:hAnsi="Arial" w:cs="Arial"/>
          <w:lang w:val="en-CA"/>
        </w:rPr>
        <w:t>Priani</w:t>
      </w:r>
      <w:proofErr w:type="spellEnd"/>
      <w:r w:rsidR="006E19FD" w:rsidRPr="006E19FD">
        <w:rPr>
          <w:rFonts w:ascii="Arial" w:hAnsi="Arial" w:cs="Arial"/>
          <w:lang w:val="en-CA"/>
        </w:rPr>
        <w:t xml:space="preserve">, K. N., &amp; </w:t>
      </w:r>
      <w:proofErr w:type="spellStart"/>
      <w:r w:rsidR="006E19FD" w:rsidRPr="006E19FD">
        <w:rPr>
          <w:rFonts w:ascii="Arial" w:hAnsi="Arial" w:cs="Arial"/>
          <w:lang w:val="en-CA"/>
        </w:rPr>
        <w:t>Fadila</w:t>
      </w:r>
      <w:proofErr w:type="spellEnd"/>
      <w:r w:rsidR="006E19FD" w:rsidRPr="006E19FD">
        <w:rPr>
          <w:rFonts w:ascii="Arial" w:hAnsi="Arial" w:cs="Arial"/>
          <w:lang w:val="en-CA"/>
        </w:rPr>
        <w:t xml:space="preserve">, S. N. (2023). Total Phenolic Content and Antioxidant Activities of Leaves and Bark Extract of </w:t>
      </w:r>
      <w:proofErr w:type="spellStart"/>
      <w:r w:rsidR="006E19FD" w:rsidRPr="006E19FD">
        <w:rPr>
          <w:rFonts w:ascii="Arial" w:hAnsi="Arial" w:cs="Arial"/>
          <w:lang w:val="en-CA"/>
        </w:rPr>
        <w:t>Adenanthera</w:t>
      </w:r>
      <w:proofErr w:type="spellEnd"/>
      <w:r w:rsidR="006E19FD" w:rsidRPr="006E19FD">
        <w:rPr>
          <w:rFonts w:ascii="Arial" w:hAnsi="Arial" w:cs="Arial"/>
          <w:lang w:val="en-CA"/>
        </w:rPr>
        <w:t xml:space="preserve"> </w:t>
      </w:r>
      <w:proofErr w:type="spellStart"/>
      <w:r w:rsidR="006E19FD" w:rsidRPr="006E19FD">
        <w:rPr>
          <w:rFonts w:ascii="Arial" w:hAnsi="Arial" w:cs="Arial"/>
          <w:lang w:val="en-CA"/>
        </w:rPr>
        <w:t>pavonina</w:t>
      </w:r>
      <w:proofErr w:type="spellEnd"/>
      <w:r w:rsidR="006E19FD" w:rsidRPr="006E19FD">
        <w:rPr>
          <w:rFonts w:ascii="Arial" w:hAnsi="Arial" w:cs="Arial"/>
          <w:lang w:val="en-CA"/>
        </w:rPr>
        <w:t xml:space="preserve"> L. Natural Product Sciences, 29(1), 24-30. </w:t>
      </w:r>
      <w:hyperlink r:id="rId39" w:history="1">
        <w:r w:rsidR="006E19FD" w:rsidRPr="00842C41">
          <w:rPr>
            <w:rStyle w:val="Hyperlink"/>
            <w:rFonts w:ascii="Arial" w:hAnsi="Arial" w:cs="Arial"/>
            <w:lang w:val="en-CA"/>
          </w:rPr>
          <w:t>https://doi.org/10.20307/nps.2023.29.1.24</w:t>
        </w:r>
      </w:hyperlink>
      <w:r w:rsidR="006E19FD">
        <w:rPr>
          <w:rFonts w:ascii="Arial" w:hAnsi="Arial" w:cs="Arial"/>
          <w:lang w:val="en-CA"/>
        </w:rPr>
        <w:t xml:space="preserve"> </w:t>
      </w:r>
    </w:p>
    <w:p w14:paraId="2E06CE76" w14:textId="0A46AECB" w:rsidR="00917099" w:rsidRPr="00917099" w:rsidRDefault="00917099" w:rsidP="00917099">
      <w:pPr>
        <w:jc w:val="both"/>
        <w:rPr>
          <w:rFonts w:ascii="Arial" w:hAnsi="Arial" w:cs="Arial"/>
          <w:lang w:val="en-CA"/>
        </w:rPr>
      </w:pPr>
      <w:r w:rsidRPr="00917099">
        <w:rPr>
          <w:rFonts w:ascii="Arial" w:hAnsi="Arial" w:cs="Arial"/>
          <w:lang w:val="it-IT"/>
        </w:rPr>
        <w:t xml:space="preserve">[32] </w:t>
      </w:r>
      <w:r w:rsidR="00394EAA" w:rsidRPr="00394EAA">
        <w:rPr>
          <w:rFonts w:ascii="Arial" w:hAnsi="Arial" w:cs="Arial"/>
          <w:lang w:val="it-IT"/>
        </w:rPr>
        <w:t xml:space="preserve">Dai, J., &amp; Mumper, R. J. (2010). Plant Phenolics: Extraction, Analysis and Their Antioxidant and Anticancer Properties. Molecules, 15(10), 7313–7352. </w:t>
      </w:r>
      <w:r w:rsidR="00DA5BB1">
        <w:fldChar w:fldCharType="begin"/>
      </w:r>
      <w:r w:rsidR="00DA5BB1">
        <w:instrText xml:space="preserve"> HYPERLINK "https://doi.org/10.3390/molecules15107313" </w:instrText>
      </w:r>
      <w:r w:rsidR="00DA5BB1">
        <w:fldChar w:fldCharType="separate"/>
      </w:r>
      <w:r w:rsidR="00394EAA" w:rsidRPr="00842C41">
        <w:rPr>
          <w:rStyle w:val="Hyperlink"/>
          <w:rFonts w:ascii="Arial" w:hAnsi="Arial" w:cs="Arial"/>
          <w:lang w:val="it-IT"/>
        </w:rPr>
        <w:t>https://doi.org/10.3390/molecules15107313</w:t>
      </w:r>
      <w:r w:rsidR="00DA5BB1">
        <w:rPr>
          <w:rStyle w:val="Hyperlink"/>
          <w:rFonts w:ascii="Arial" w:hAnsi="Arial" w:cs="Arial"/>
          <w:lang w:val="it-IT"/>
        </w:rPr>
        <w:fldChar w:fldCharType="end"/>
      </w:r>
      <w:r w:rsidR="00394EAA">
        <w:rPr>
          <w:rFonts w:ascii="Arial" w:hAnsi="Arial" w:cs="Arial"/>
          <w:lang w:val="it-IT"/>
        </w:rPr>
        <w:t xml:space="preserve"> </w:t>
      </w:r>
    </w:p>
    <w:p w14:paraId="562B6081" w14:textId="7154C4A3" w:rsidR="00917099" w:rsidRPr="00917099" w:rsidRDefault="00917099" w:rsidP="00917099">
      <w:pPr>
        <w:jc w:val="both"/>
        <w:rPr>
          <w:rFonts w:ascii="Arial" w:hAnsi="Arial" w:cs="Arial"/>
          <w:lang w:val="fr-FR"/>
        </w:rPr>
      </w:pPr>
      <w:r w:rsidRPr="00917099">
        <w:rPr>
          <w:rFonts w:ascii="Arial" w:hAnsi="Arial" w:cs="Arial"/>
          <w:lang w:val="en-CA"/>
        </w:rPr>
        <w:t xml:space="preserve">[33] </w:t>
      </w:r>
      <w:proofErr w:type="spellStart"/>
      <w:r w:rsidR="00FA0FFF" w:rsidRPr="00FA0FFF">
        <w:rPr>
          <w:rFonts w:ascii="Arial" w:hAnsi="Arial" w:cs="Arial"/>
          <w:lang w:val="en-CA"/>
        </w:rPr>
        <w:t>Kouassi</w:t>
      </w:r>
      <w:proofErr w:type="spellEnd"/>
      <w:r w:rsidR="00FA0FFF" w:rsidRPr="00FA0FFF">
        <w:rPr>
          <w:rFonts w:ascii="Arial" w:hAnsi="Arial" w:cs="Arial"/>
          <w:lang w:val="en-CA"/>
        </w:rPr>
        <w:t xml:space="preserve">, K. A., </w:t>
      </w:r>
      <w:proofErr w:type="spellStart"/>
      <w:r w:rsidR="00FA0FFF" w:rsidRPr="00FA0FFF">
        <w:rPr>
          <w:rFonts w:ascii="Arial" w:hAnsi="Arial" w:cs="Arial"/>
          <w:lang w:val="en-CA"/>
        </w:rPr>
        <w:t>Kouadio</w:t>
      </w:r>
      <w:proofErr w:type="spellEnd"/>
      <w:r w:rsidR="00FA0FFF" w:rsidRPr="00FA0FFF">
        <w:rPr>
          <w:rFonts w:ascii="Arial" w:hAnsi="Arial" w:cs="Arial"/>
          <w:lang w:val="en-CA"/>
        </w:rPr>
        <w:t xml:space="preserve">, N. J., </w:t>
      </w:r>
      <w:proofErr w:type="spellStart"/>
      <w:r w:rsidR="00FA0FFF" w:rsidRPr="00FA0FFF">
        <w:rPr>
          <w:rFonts w:ascii="Arial" w:hAnsi="Arial" w:cs="Arial"/>
          <w:lang w:val="en-CA"/>
        </w:rPr>
        <w:t>Ahoua</w:t>
      </w:r>
      <w:proofErr w:type="spellEnd"/>
      <w:r w:rsidR="00FA0FFF" w:rsidRPr="00FA0FFF">
        <w:rPr>
          <w:rFonts w:ascii="Arial" w:hAnsi="Arial" w:cs="Arial"/>
          <w:lang w:val="en-CA"/>
        </w:rPr>
        <w:t xml:space="preserve">, A. R. C., Yao, K., Kanga, Y., Moya, B. G., &amp; </w:t>
      </w:r>
      <w:proofErr w:type="spellStart"/>
      <w:r w:rsidR="00FA0FFF" w:rsidRPr="00FA0FFF">
        <w:rPr>
          <w:rFonts w:ascii="Arial" w:hAnsi="Arial" w:cs="Arial"/>
          <w:lang w:val="en-CA"/>
        </w:rPr>
        <w:t>Koné</w:t>
      </w:r>
      <w:proofErr w:type="spellEnd"/>
      <w:r w:rsidR="00FA0FFF" w:rsidRPr="00FA0FFF">
        <w:rPr>
          <w:rFonts w:ascii="Arial" w:hAnsi="Arial" w:cs="Arial"/>
          <w:lang w:val="en-CA"/>
        </w:rPr>
        <w:t xml:space="preserve">, M. W. (2020). </w:t>
      </w:r>
      <w:proofErr w:type="spellStart"/>
      <w:r w:rsidR="00FA0FFF" w:rsidRPr="00FA0FFF">
        <w:rPr>
          <w:rFonts w:ascii="Arial" w:hAnsi="Arial" w:cs="Arial"/>
          <w:lang w:val="en-CA"/>
        </w:rPr>
        <w:t>Activité</w:t>
      </w:r>
      <w:proofErr w:type="spellEnd"/>
      <w:r w:rsidR="00FA0FFF" w:rsidRPr="00FA0FFF">
        <w:rPr>
          <w:rFonts w:ascii="Arial" w:hAnsi="Arial" w:cs="Arial"/>
          <w:lang w:val="en-CA"/>
        </w:rPr>
        <w:t xml:space="preserve"> </w:t>
      </w:r>
      <w:proofErr w:type="spellStart"/>
      <w:r w:rsidR="00FA0FFF" w:rsidRPr="00FA0FFF">
        <w:rPr>
          <w:rFonts w:ascii="Arial" w:hAnsi="Arial" w:cs="Arial"/>
          <w:lang w:val="en-CA"/>
        </w:rPr>
        <w:t>Antioxydante</w:t>
      </w:r>
      <w:proofErr w:type="spellEnd"/>
      <w:r w:rsidR="00FA0FFF" w:rsidRPr="00FA0FFF">
        <w:rPr>
          <w:rFonts w:ascii="Arial" w:hAnsi="Arial" w:cs="Arial"/>
          <w:lang w:val="en-CA"/>
        </w:rPr>
        <w:t xml:space="preserve"> Et </w:t>
      </w:r>
      <w:proofErr w:type="spellStart"/>
      <w:r w:rsidR="00FA0FFF" w:rsidRPr="00FA0FFF">
        <w:rPr>
          <w:rFonts w:ascii="Arial" w:hAnsi="Arial" w:cs="Arial"/>
          <w:lang w:val="en-CA"/>
        </w:rPr>
        <w:t>Teneur</w:t>
      </w:r>
      <w:proofErr w:type="spellEnd"/>
      <w:r w:rsidR="00FA0FFF" w:rsidRPr="00FA0FFF">
        <w:rPr>
          <w:rFonts w:ascii="Arial" w:hAnsi="Arial" w:cs="Arial"/>
          <w:lang w:val="en-CA"/>
        </w:rPr>
        <w:t xml:space="preserve"> </w:t>
      </w:r>
      <w:proofErr w:type="spellStart"/>
      <w:r w:rsidR="00FA0FFF" w:rsidRPr="00FA0FFF">
        <w:rPr>
          <w:rFonts w:ascii="Arial" w:hAnsi="Arial" w:cs="Arial"/>
          <w:lang w:val="en-CA"/>
        </w:rPr>
        <w:t>En</w:t>
      </w:r>
      <w:proofErr w:type="spellEnd"/>
      <w:r w:rsidR="00FA0FFF" w:rsidRPr="00FA0FFF">
        <w:rPr>
          <w:rFonts w:ascii="Arial" w:hAnsi="Arial" w:cs="Arial"/>
          <w:lang w:val="en-CA"/>
        </w:rPr>
        <w:t xml:space="preserve"> </w:t>
      </w:r>
      <w:proofErr w:type="spellStart"/>
      <w:r w:rsidR="00FA0FFF" w:rsidRPr="00FA0FFF">
        <w:rPr>
          <w:rFonts w:ascii="Arial" w:hAnsi="Arial" w:cs="Arial"/>
          <w:lang w:val="en-CA"/>
        </w:rPr>
        <w:t>Flavonoïdes</w:t>
      </w:r>
      <w:proofErr w:type="spellEnd"/>
      <w:r w:rsidR="00FA0FFF" w:rsidRPr="00FA0FFF">
        <w:rPr>
          <w:rFonts w:ascii="Arial" w:hAnsi="Arial" w:cs="Arial"/>
          <w:lang w:val="en-CA"/>
        </w:rPr>
        <w:t xml:space="preserve"> De Cinq </w:t>
      </w:r>
      <w:proofErr w:type="spellStart"/>
      <w:r w:rsidR="00FA0FFF" w:rsidRPr="00FA0FFF">
        <w:rPr>
          <w:rFonts w:ascii="Arial" w:hAnsi="Arial" w:cs="Arial"/>
          <w:lang w:val="en-CA"/>
        </w:rPr>
        <w:t>Plantes</w:t>
      </w:r>
      <w:proofErr w:type="spellEnd"/>
      <w:r w:rsidR="00FA0FFF" w:rsidRPr="00FA0FFF">
        <w:rPr>
          <w:rFonts w:ascii="Arial" w:hAnsi="Arial" w:cs="Arial"/>
          <w:lang w:val="en-CA"/>
        </w:rPr>
        <w:t xml:space="preserve"> De La </w:t>
      </w:r>
      <w:proofErr w:type="spellStart"/>
      <w:r w:rsidR="00FA0FFF" w:rsidRPr="00FA0FFF">
        <w:rPr>
          <w:rFonts w:ascii="Arial" w:hAnsi="Arial" w:cs="Arial"/>
          <w:lang w:val="en-CA"/>
        </w:rPr>
        <w:t>Famille</w:t>
      </w:r>
      <w:proofErr w:type="spellEnd"/>
      <w:r w:rsidR="00FA0FFF" w:rsidRPr="00FA0FFF">
        <w:rPr>
          <w:rFonts w:ascii="Arial" w:hAnsi="Arial" w:cs="Arial"/>
          <w:lang w:val="en-CA"/>
        </w:rPr>
        <w:t xml:space="preserve"> </w:t>
      </w:r>
      <w:proofErr w:type="gramStart"/>
      <w:r w:rsidR="00FA0FFF" w:rsidRPr="00FA0FFF">
        <w:rPr>
          <w:rFonts w:ascii="Arial" w:hAnsi="Arial" w:cs="Arial"/>
          <w:lang w:val="en-CA"/>
        </w:rPr>
        <w:t>Des</w:t>
      </w:r>
      <w:proofErr w:type="gramEnd"/>
      <w:r w:rsidR="00FA0FFF" w:rsidRPr="00FA0FFF">
        <w:rPr>
          <w:rFonts w:ascii="Arial" w:hAnsi="Arial" w:cs="Arial"/>
          <w:lang w:val="en-CA"/>
        </w:rPr>
        <w:t xml:space="preserve"> Fabaceae </w:t>
      </w:r>
      <w:proofErr w:type="spellStart"/>
      <w:r w:rsidR="00FA0FFF" w:rsidRPr="00FA0FFF">
        <w:rPr>
          <w:rFonts w:ascii="Arial" w:hAnsi="Arial" w:cs="Arial"/>
          <w:lang w:val="en-CA"/>
        </w:rPr>
        <w:t>Utilisées</w:t>
      </w:r>
      <w:proofErr w:type="spellEnd"/>
      <w:r w:rsidR="00FA0FFF" w:rsidRPr="00FA0FFF">
        <w:rPr>
          <w:rFonts w:ascii="Arial" w:hAnsi="Arial" w:cs="Arial"/>
          <w:lang w:val="en-CA"/>
        </w:rPr>
        <w:t xml:space="preserve"> </w:t>
      </w:r>
      <w:proofErr w:type="spellStart"/>
      <w:r w:rsidR="00FA0FFF" w:rsidRPr="00FA0FFF">
        <w:rPr>
          <w:rFonts w:ascii="Arial" w:hAnsi="Arial" w:cs="Arial"/>
          <w:lang w:val="en-CA"/>
        </w:rPr>
        <w:t>Contre</w:t>
      </w:r>
      <w:proofErr w:type="spellEnd"/>
      <w:r w:rsidR="00FA0FFF" w:rsidRPr="00FA0FFF">
        <w:rPr>
          <w:rFonts w:ascii="Arial" w:hAnsi="Arial" w:cs="Arial"/>
          <w:lang w:val="en-CA"/>
        </w:rPr>
        <w:t xml:space="preserve"> De </w:t>
      </w:r>
      <w:proofErr w:type="spellStart"/>
      <w:r w:rsidR="00FA0FFF" w:rsidRPr="00FA0FFF">
        <w:rPr>
          <w:rFonts w:ascii="Arial" w:hAnsi="Arial" w:cs="Arial"/>
          <w:lang w:val="en-CA"/>
        </w:rPr>
        <w:t>l'Ostéoporose</w:t>
      </w:r>
      <w:proofErr w:type="spellEnd"/>
      <w:r w:rsidR="00FA0FFF" w:rsidRPr="00FA0FFF">
        <w:rPr>
          <w:rFonts w:ascii="Arial" w:hAnsi="Arial" w:cs="Arial"/>
          <w:lang w:val="en-CA"/>
        </w:rPr>
        <w:t xml:space="preserve"> Au Centre De La Côte d'Ivoire. European Scientific Journal, ESJ, 16(3), 84-100. </w:t>
      </w:r>
      <w:hyperlink r:id="rId40" w:history="1">
        <w:r w:rsidR="00FA0FFF" w:rsidRPr="00842C41">
          <w:rPr>
            <w:rStyle w:val="Hyperlink"/>
            <w:rFonts w:ascii="Arial" w:hAnsi="Arial" w:cs="Arial"/>
            <w:lang w:val="en-CA"/>
          </w:rPr>
          <w:t>https://doi.org/10.19044/esj.2020.v16n3p84</w:t>
        </w:r>
      </w:hyperlink>
      <w:r w:rsidR="00FA0FFF">
        <w:rPr>
          <w:rFonts w:ascii="Arial" w:hAnsi="Arial" w:cs="Arial"/>
          <w:lang w:val="en-CA"/>
        </w:rPr>
        <w:t xml:space="preserve"> </w:t>
      </w:r>
    </w:p>
    <w:p w14:paraId="59221452" w14:textId="70CEC7E3" w:rsidR="00917099" w:rsidRPr="00917099" w:rsidRDefault="00917099" w:rsidP="00917099">
      <w:pPr>
        <w:jc w:val="both"/>
        <w:rPr>
          <w:rFonts w:ascii="Arial" w:hAnsi="Arial" w:cs="Arial"/>
          <w:lang w:val="en-CA"/>
        </w:rPr>
      </w:pPr>
      <w:r w:rsidRPr="00917099">
        <w:rPr>
          <w:rFonts w:ascii="Arial" w:hAnsi="Arial" w:cs="Arial"/>
          <w:lang w:val="fr-FR"/>
        </w:rPr>
        <w:t xml:space="preserve">[34] </w:t>
      </w:r>
      <w:r w:rsidR="00755175" w:rsidRPr="00755175">
        <w:rPr>
          <w:rFonts w:ascii="Arial" w:hAnsi="Arial" w:cs="Arial"/>
          <w:lang w:val="fr-FR"/>
        </w:rPr>
        <w:t xml:space="preserve">Huang, J., </w:t>
      </w:r>
      <w:proofErr w:type="spellStart"/>
      <w:r w:rsidR="00755175" w:rsidRPr="00755175">
        <w:rPr>
          <w:rFonts w:ascii="Arial" w:hAnsi="Arial" w:cs="Arial"/>
          <w:lang w:val="fr-FR"/>
        </w:rPr>
        <w:t>Zaynab</w:t>
      </w:r>
      <w:proofErr w:type="spellEnd"/>
      <w:r w:rsidR="00755175" w:rsidRPr="00755175">
        <w:rPr>
          <w:rFonts w:ascii="Arial" w:hAnsi="Arial" w:cs="Arial"/>
          <w:lang w:val="fr-FR"/>
        </w:rPr>
        <w:t>, M., Sharif, Y., Khan, J., Al-</w:t>
      </w:r>
      <w:proofErr w:type="spellStart"/>
      <w:r w:rsidR="00755175" w:rsidRPr="00755175">
        <w:rPr>
          <w:rFonts w:ascii="Arial" w:hAnsi="Arial" w:cs="Arial"/>
          <w:lang w:val="fr-FR"/>
        </w:rPr>
        <w:t>Yahyai</w:t>
      </w:r>
      <w:proofErr w:type="spellEnd"/>
      <w:r w:rsidR="00755175" w:rsidRPr="00755175">
        <w:rPr>
          <w:rFonts w:ascii="Arial" w:hAnsi="Arial" w:cs="Arial"/>
          <w:lang w:val="fr-FR"/>
        </w:rPr>
        <w:t xml:space="preserve">, R., Sadder, M., Ali, M., </w:t>
      </w:r>
      <w:proofErr w:type="spellStart"/>
      <w:r w:rsidR="00755175" w:rsidRPr="00755175">
        <w:rPr>
          <w:rFonts w:ascii="Arial" w:hAnsi="Arial" w:cs="Arial"/>
          <w:lang w:val="fr-FR"/>
        </w:rPr>
        <w:t>Alarab</w:t>
      </w:r>
      <w:proofErr w:type="spellEnd"/>
      <w:r w:rsidR="00755175" w:rsidRPr="00755175">
        <w:rPr>
          <w:rFonts w:ascii="Arial" w:hAnsi="Arial" w:cs="Arial"/>
          <w:lang w:val="fr-FR"/>
        </w:rPr>
        <w:t xml:space="preserve">, S. R., &amp; Li, S. (2024). Tannins as </w:t>
      </w:r>
      <w:proofErr w:type="spellStart"/>
      <w:r w:rsidR="00755175" w:rsidRPr="00755175">
        <w:rPr>
          <w:rFonts w:ascii="Arial" w:hAnsi="Arial" w:cs="Arial"/>
          <w:lang w:val="fr-FR"/>
        </w:rPr>
        <w:t>antimicrobial</w:t>
      </w:r>
      <w:proofErr w:type="spellEnd"/>
      <w:r w:rsidR="00755175" w:rsidRPr="00755175">
        <w:rPr>
          <w:rFonts w:ascii="Arial" w:hAnsi="Arial" w:cs="Arial"/>
          <w:lang w:val="fr-FR"/>
        </w:rPr>
        <w:t xml:space="preserve"> </w:t>
      </w:r>
      <w:proofErr w:type="gramStart"/>
      <w:r w:rsidR="00755175" w:rsidRPr="00755175">
        <w:rPr>
          <w:rFonts w:ascii="Arial" w:hAnsi="Arial" w:cs="Arial"/>
          <w:lang w:val="fr-FR"/>
        </w:rPr>
        <w:t>agents:</w:t>
      </w:r>
      <w:proofErr w:type="gramEnd"/>
      <w:r w:rsidR="00755175" w:rsidRPr="00755175">
        <w:rPr>
          <w:rFonts w:ascii="Arial" w:hAnsi="Arial" w:cs="Arial"/>
          <w:lang w:val="fr-FR"/>
        </w:rPr>
        <w:t xml:space="preserve"> </w:t>
      </w:r>
      <w:proofErr w:type="spellStart"/>
      <w:r w:rsidR="00755175" w:rsidRPr="00755175">
        <w:rPr>
          <w:rFonts w:ascii="Arial" w:hAnsi="Arial" w:cs="Arial"/>
          <w:lang w:val="fr-FR"/>
        </w:rPr>
        <w:t>Understanding</w:t>
      </w:r>
      <w:proofErr w:type="spellEnd"/>
      <w:r w:rsidR="00755175" w:rsidRPr="00755175">
        <w:rPr>
          <w:rFonts w:ascii="Arial" w:hAnsi="Arial" w:cs="Arial"/>
          <w:lang w:val="fr-FR"/>
        </w:rPr>
        <w:t xml:space="preserve"> </w:t>
      </w:r>
      <w:proofErr w:type="spellStart"/>
      <w:r w:rsidR="00755175" w:rsidRPr="00755175">
        <w:rPr>
          <w:rFonts w:ascii="Arial" w:hAnsi="Arial" w:cs="Arial"/>
          <w:lang w:val="fr-FR"/>
        </w:rPr>
        <w:t>toxic</w:t>
      </w:r>
      <w:proofErr w:type="spellEnd"/>
      <w:r w:rsidR="00755175" w:rsidRPr="00755175">
        <w:rPr>
          <w:rFonts w:ascii="Arial" w:hAnsi="Arial" w:cs="Arial"/>
          <w:lang w:val="fr-FR"/>
        </w:rPr>
        <w:t xml:space="preserve"> </w:t>
      </w:r>
      <w:proofErr w:type="spellStart"/>
      <w:r w:rsidR="00755175" w:rsidRPr="00755175">
        <w:rPr>
          <w:rFonts w:ascii="Arial" w:hAnsi="Arial" w:cs="Arial"/>
          <w:lang w:val="fr-FR"/>
        </w:rPr>
        <w:t>effects</w:t>
      </w:r>
      <w:proofErr w:type="spellEnd"/>
      <w:r w:rsidR="00755175" w:rsidRPr="00755175">
        <w:rPr>
          <w:rFonts w:ascii="Arial" w:hAnsi="Arial" w:cs="Arial"/>
          <w:lang w:val="fr-FR"/>
        </w:rPr>
        <w:t xml:space="preserve"> on </w:t>
      </w:r>
      <w:proofErr w:type="spellStart"/>
      <w:r w:rsidR="00755175" w:rsidRPr="00755175">
        <w:rPr>
          <w:rFonts w:ascii="Arial" w:hAnsi="Arial" w:cs="Arial"/>
          <w:lang w:val="fr-FR"/>
        </w:rPr>
        <w:t>pathogens</w:t>
      </w:r>
      <w:proofErr w:type="spellEnd"/>
      <w:r w:rsidR="00755175" w:rsidRPr="00755175">
        <w:rPr>
          <w:rFonts w:ascii="Arial" w:hAnsi="Arial" w:cs="Arial"/>
          <w:lang w:val="fr-FR"/>
        </w:rPr>
        <w:t xml:space="preserve">. </w:t>
      </w:r>
      <w:proofErr w:type="spellStart"/>
      <w:r w:rsidR="00755175" w:rsidRPr="00755175">
        <w:rPr>
          <w:rFonts w:ascii="Arial" w:hAnsi="Arial" w:cs="Arial"/>
          <w:lang w:val="fr-FR"/>
        </w:rPr>
        <w:t>Toxicon</w:t>
      </w:r>
      <w:proofErr w:type="spellEnd"/>
      <w:r w:rsidR="00755175" w:rsidRPr="00755175">
        <w:rPr>
          <w:rFonts w:ascii="Arial" w:hAnsi="Arial" w:cs="Arial"/>
          <w:lang w:val="fr-FR"/>
        </w:rPr>
        <w:t xml:space="preserve">. </w:t>
      </w:r>
      <w:hyperlink r:id="rId41" w:history="1">
        <w:r w:rsidR="00755175" w:rsidRPr="00842C41">
          <w:rPr>
            <w:rStyle w:val="Hyperlink"/>
            <w:rFonts w:ascii="Arial" w:hAnsi="Arial" w:cs="Arial"/>
            <w:lang w:val="fr-FR"/>
          </w:rPr>
          <w:t>https://doi.org/10.1016/j.toxicon.2024.107812</w:t>
        </w:r>
      </w:hyperlink>
      <w:r w:rsidR="00755175">
        <w:rPr>
          <w:rFonts w:ascii="Arial" w:hAnsi="Arial" w:cs="Arial"/>
          <w:lang w:val="fr-FR"/>
        </w:rPr>
        <w:t xml:space="preserve"> </w:t>
      </w:r>
    </w:p>
    <w:p w14:paraId="0CAF9346" w14:textId="2227E544" w:rsidR="00917099" w:rsidRPr="00917099" w:rsidRDefault="00917099" w:rsidP="00917099">
      <w:pPr>
        <w:jc w:val="both"/>
        <w:rPr>
          <w:rFonts w:ascii="Arial" w:hAnsi="Arial" w:cs="Arial"/>
          <w:lang w:val="en-CA"/>
        </w:rPr>
      </w:pPr>
      <w:r w:rsidRPr="00917099">
        <w:rPr>
          <w:rFonts w:ascii="Arial" w:hAnsi="Arial" w:cs="Arial"/>
          <w:lang w:val="da-DK"/>
        </w:rPr>
        <w:lastRenderedPageBreak/>
        <w:t xml:space="preserve">[35] </w:t>
      </w:r>
      <w:r w:rsidR="000D5E4F" w:rsidRPr="000D5E4F">
        <w:rPr>
          <w:rFonts w:ascii="Arial" w:hAnsi="Arial" w:cs="Arial"/>
          <w:lang w:val="da-DK"/>
        </w:rPr>
        <w:t xml:space="preserve">Usman, W. A., Jada, M. S., &amp; Jideofor, R. M. (2014). In vitro Antimicrobial Activity of Crude Tannins Isolated from the Stem Bark of Annona senegalensis. British Biotechnology Journal, 4(11), 1175-1181. </w:t>
      </w:r>
      <w:r w:rsidR="00DA5BB1">
        <w:fldChar w:fldCharType="begin"/>
      </w:r>
      <w:r w:rsidR="00DA5BB1">
        <w:instrText xml:space="preserve"> HYPERLINK "https://doi.org/10.9734/BBJ/2014/11885"</w:instrText>
      </w:r>
      <w:r w:rsidR="00DA5BB1">
        <w:instrText xml:space="preserve"> </w:instrText>
      </w:r>
      <w:r w:rsidR="00DA5BB1">
        <w:fldChar w:fldCharType="separate"/>
      </w:r>
      <w:r w:rsidR="000D5E4F" w:rsidRPr="00842C41">
        <w:rPr>
          <w:rStyle w:val="Hyperlink"/>
          <w:rFonts w:ascii="Arial" w:hAnsi="Arial" w:cs="Arial"/>
          <w:lang w:val="da-DK"/>
        </w:rPr>
        <w:t>https://doi.org/10.9734/BBJ/2014/11885</w:t>
      </w:r>
      <w:r w:rsidR="00DA5BB1">
        <w:rPr>
          <w:rStyle w:val="Hyperlink"/>
          <w:rFonts w:ascii="Arial" w:hAnsi="Arial" w:cs="Arial"/>
          <w:lang w:val="da-DK"/>
        </w:rPr>
        <w:fldChar w:fldCharType="end"/>
      </w:r>
      <w:r w:rsidR="000D5E4F">
        <w:rPr>
          <w:rFonts w:ascii="Arial" w:hAnsi="Arial" w:cs="Arial"/>
          <w:lang w:val="da-DK"/>
        </w:rPr>
        <w:t xml:space="preserve"> </w:t>
      </w:r>
    </w:p>
    <w:p w14:paraId="46B18F4A" w14:textId="0594EAA3" w:rsidR="00917099" w:rsidRPr="00917099" w:rsidRDefault="00917099" w:rsidP="00917099">
      <w:pPr>
        <w:jc w:val="both"/>
        <w:rPr>
          <w:rFonts w:ascii="Arial" w:hAnsi="Arial" w:cs="Arial"/>
          <w:lang w:val="en-CA"/>
        </w:rPr>
      </w:pPr>
      <w:r w:rsidRPr="00917099">
        <w:rPr>
          <w:rFonts w:ascii="Arial" w:hAnsi="Arial" w:cs="Arial"/>
          <w:lang w:val="en-CA"/>
        </w:rPr>
        <w:t xml:space="preserve">[36] </w:t>
      </w:r>
      <w:proofErr w:type="spellStart"/>
      <w:r w:rsidR="0043183C" w:rsidRPr="0043183C">
        <w:rPr>
          <w:rFonts w:ascii="Arial" w:hAnsi="Arial" w:cs="Arial"/>
          <w:lang w:val="en-CA"/>
        </w:rPr>
        <w:t>Bekro</w:t>
      </w:r>
      <w:proofErr w:type="spellEnd"/>
      <w:r w:rsidR="0043183C" w:rsidRPr="0043183C">
        <w:rPr>
          <w:rFonts w:ascii="Arial" w:hAnsi="Arial" w:cs="Arial"/>
          <w:lang w:val="en-CA"/>
        </w:rPr>
        <w:t xml:space="preserve">, Y. A., </w:t>
      </w:r>
      <w:proofErr w:type="spellStart"/>
      <w:r w:rsidR="0043183C" w:rsidRPr="0043183C">
        <w:rPr>
          <w:rFonts w:ascii="Arial" w:hAnsi="Arial" w:cs="Arial"/>
          <w:lang w:val="en-CA"/>
        </w:rPr>
        <w:t>Tanoh</w:t>
      </w:r>
      <w:proofErr w:type="spellEnd"/>
      <w:r w:rsidR="0043183C" w:rsidRPr="0043183C">
        <w:rPr>
          <w:rFonts w:ascii="Arial" w:hAnsi="Arial" w:cs="Arial"/>
          <w:lang w:val="en-CA"/>
        </w:rPr>
        <w:t xml:space="preserve">, S. K., </w:t>
      </w:r>
      <w:proofErr w:type="spellStart"/>
      <w:r w:rsidR="0043183C" w:rsidRPr="0043183C">
        <w:rPr>
          <w:rFonts w:ascii="Arial" w:hAnsi="Arial" w:cs="Arial"/>
          <w:lang w:val="en-CA"/>
        </w:rPr>
        <w:t>N'gaman-Kouassi</w:t>
      </w:r>
      <w:proofErr w:type="spellEnd"/>
      <w:r w:rsidR="0043183C" w:rsidRPr="0043183C">
        <w:rPr>
          <w:rFonts w:ascii="Arial" w:hAnsi="Arial" w:cs="Arial"/>
          <w:lang w:val="en-CA"/>
        </w:rPr>
        <w:t xml:space="preserve">, C. C., Boa, D., &amp; </w:t>
      </w:r>
      <w:proofErr w:type="spellStart"/>
      <w:r w:rsidR="0043183C" w:rsidRPr="0043183C">
        <w:rPr>
          <w:rFonts w:ascii="Arial" w:hAnsi="Arial" w:cs="Arial"/>
          <w:lang w:val="en-CA"/>
        </w:rPr>
        <w:t>Mamyrbekova-Békro</w:t>
      </w:r>
      <w:proofErr w:type="spellEnd"/>
      <w:r w:rsidR="0043183C" w:rsidRPr="0043183C">
        <w:rPr>
          <w:rFonts w:ascii="Arial" w:hAnsi="Arial" w:cs="Arial"/>
          <w:lang w:val="en-CA"/>
        </w:rPr>
        <w:t xml:space="preserve">, J. A. (2019). </w:t>
      </w:r>
      <w:proofErr w:type="spellStart"/>
      <w:r w:rsidR="0043183C" w:rsidRPr="0043183C">
        <w:rPr>
          <w:rFonts w:ascii="Arial" w:hAnsi="Arial" w:cs="Arial"/>
          <w:lang w:val="en-CA"/>
        </w:rPr>
        <w:t>Activité</w:t>
      </w:r>
      <w:proofErr w:type="spellEnd"/>
      <w:r w:rsidR="0043183C" w:rsidRPr="0043183C">
        <w:rPr>
          <w:rFonts w:ascii="Arial" w:hAnsi="Arial" w:cs="Arial"/>
          <w:lang w:val="en-CA"/>
        </w:rPr>
        <w:t xml:space="preserve"> </w:t>
      </w:r>
      <w:proofErr w:type="spellStart"/>
      <w:r w:rsidR="0043183C" w:rsidRPr="0043183C">
        <w:rPr>
          <w:rFonts w:ascii="Arial" w:hAnsi="Arial" w:cs="Arial"/>
          <w:lang w:val="en-CA"/>
        </w:rPr>
        <w:t>antioxydante</w:t>
      </w:r>
      <w:proofErr w:type="spellEnd"/>
      <w:r w:rsidR="0043183C" w:rsidRPr="0043183C">
        <w:rPr>
          <w:rFonts w:ascii="Arial" w:hAnsi="Arial" w:cs="Arial"/>
          <w:lang w:val="en-CA"/>
        </w:rPr>
        <w:t xml:space="preserve"> des </w:t>
      </w:r>
      <w:proofErr w:type="spellStart"/>
      <w:r w:rsidR="0043183C" w:rsidRPr="0043183C">
        <w:rPr>
          <w:rFonts w:ascii="Arial" w:hAnsi="Arial" w:cs="Arial"/>
          <w:lang w:val="en-CA"/>
        </w:rPr>
        <w:t>extraits</w:t>
      </w:r>
      <w:proofErr w:type="spellEnd"/>
      <w:r w:rsidR="0043183C" w:rsidRPr="0043183C">
        <w:rPr>
          <w:rFonts w:ascii="Arial" w:hAnsi="Arial" w:cs="Arial"/>
          <w:lang w:val="en-CA"/>
        </w:rPr>
        <w:t xml:space="preserve"> </w:t>
      </w:r>
      <w:proofErr w:type="spellStart"/>
      <w:r w:rsidR="0043183C" w:rsidRPr="0043183C">
        <w:rPr>
          <w:rFonts w:ascii="Arial" w:hAnsi="Arial" w:cs="Arial"/>
          <w:lang w:val="en-CA"/>
        </w:rPr>
        <w:t>bruts</w:t>
      </w:r>
      <w:proofErr w:type="spellEnd"/>
      <w:r w:rsidR="0043183C" w:rsidRPr="0043183C">
        <w:rPr>
          <w:rFonts w:ascii="Arial" w:hAnsi="Arial" w:cs="Arial"/>
          <w:lang w:val="en-CA"/>
        </w:rPr>
        <w:t xml:space="preserve"> </w:t>
      </w:r>
      <w:proofErr w:type="spellStart"/>
      <w:r w:rsidR="0043183C" w:rsidRPr="0043183C">
        <w:rPr>
          <w:rFonts w:ascii="Arial" w:hAnsi="Arial" w:cs="Arial"/>
          <w:lang w:val="en-CA"/>
        </w:rPr>
        <w:t>hydroéthanoliques</w:t>
      </w:r>
      <w:proofErr w:type="spellEnd"/>
      <w:r w:rsidR="0043183C" w:rsidRPr="0043183C">
        <w:rPr>
          <w:rFonts w:ascii="Arial" w:hAnsi="Arial" w:cs="Arial"/>
          <w:lang w:val="en-CA"/>
        </w:rPr>
        <w:t xml:space="preserve"> et </w:t>
      </w:r>
      <w:proofErr w:type="spellStart"/>
      <w:r w:rsidR="0043183C" w:rsidRPr="0043183C">
        <w:rPr>
          <w:rFonts w:ascii="Arial" w:hAnsi="Arial" w:cs="Arial"/>
          <w:lang w:val="en-CA"/>
        </w:rPr>
        <w:t>hydroacétoniques</w:t>
      </w:r>
      <w:proofErr w:type="spellEnd"/>
      <w:r w:rsidR="0043183C" w:rsidRPr="0043183C">
        <w:rPr>
          <w:rFonts w:ascii="Arial" w:hAnsi="Arial" w:cs="Arial"/>
          <w:lang w:val="en-CA"/>
        </w:rPr>
        <w:t xml:space="preserve"> des </w:t>
      </w:r>
      <w:proofErr w:type="spellStart"/>
      <w:r w:rsidR="0043183C" w:rsidRPr="0043183C">
        <w:rPr>
          <w:rFonts w:ascii="Arial" w:hAnsi="Arial" w:cs="Arial"/>
          <w:lang w:val="en-CA"/>
        </w:rPr>
        <w:t>organes</w:t>
      </w:r>
      <w:proofErr w:type="spellEnd"/>
      <w:r w:rsidR="0043183C" w:rsidRPr="0043183C">
        <w:rPr>
          <w:rFonts w:ascii="Arial" w:hAnsi="Arial" w:cs="Arial"/>
          <w:lang w:val="en-CA"/>
        </w:rPr>
        <w:t xml:space="preserve"> de </w:t>
      </w:r>
      <w:proofErr w:type="spellStart"/>
      <w:r w:rsidR="0043183C" w:rsidRPr="0043183C">
        <w:rPr>
          <w:rFonts w:ascii="Arial" w:hAnsi="Arial" w:cs="Arial"/>
          <w:lang w:val="en-CA"/>
        </w:rPr>
        <w:t>quatre</w:t>
      </w:r>
      <w:proofErr w:type="spellEnd"/>
      <w:r w:rsidR="0043183C" w:rsidRPr="0043183C">
        <w:rPr>
          <w:rFonts w:ascii="Arial" w:hAnsi="Arial" w:cs="Arial"/>
          <w:lang w:val="en-CA"/>
        </w:rPr>
        <w:t xml:space="preserve"> </w:t>
      </w:r>
      <w:proofErr w:type="spellStart"/>
      <w:r w:rsidR="0043183C" w:rsidRPr="0043183C">
        <w:rPr>
          <w:rFonts w:ascii="Arial" w:hAnsi="Arial" w:cs="Arial"/>
          <w:lang w:val="en-CA"/>
        </w:rPr>
        <w:t>plantes</w:t>
      </w:r>
      <w:proofErr w:type="spellEnd"/>
      <w:r w:rsidR="0043183C" w:rsidRPr="0043183C">
        <w:rPr>
          <w:rFonts w:ascii="Arial" w:hAnsi="Arial" w:cs="Arial"/>
          <w:lang w:val="en-CA"/>
        </w:rPr>
        <w:t xml:space="preserve"> </w:t>
      </w:r>
      <w:proofErr w:type="spellStart"/>
      <w:r w:rsidR="0043183C" w:rsidRPr="0043183C">
        <w:rPr>
          <w:rFonts w:ascii="Arial" w:hAnsi="Arial" w:cs="Arial"/>
          <w:lang w:val="en-CA"/>
        </w:rPr>
        <w:t>médicinales</w:t>
      </w:r>
      <w:proofErr w:type="spellEnd"/>
      <w:r w:rsidR="0043183C" w:rsidRPr="0043183C">
        <w:rPr>
          <w:rFonts w:ascii="Arial" w:hAnsi="Arial" w:cs="Arial"/>
          <w:lang w:val="en-CA"/>
        </w:rPr>
        <w:t xml:space="preserve"> de Côte d'Ivoire. *Revue Nature et </w:t>
      </w:r>
      <w:proofErr w:type="spellStart"/>
      <w:r w:rsidR="0043183C" w:rsidRPr="0043183C">
        <w:rPr>
          <w:rFonts w:ascii="Arial" w:hAnsi="Arial" w:cs="Arial"/>
          <w:lang w:val="en-CA"/>
        </w:rPr>
        <w:t>Technologie</w:t>
      </w:r>
      <w:proofErr w:type="spellEnd"/>
      <w:r w:rsidR="0043183C" w:rsidRPr="0043183C">
        <w:rPr>
          <w:rFonts w:ascii="Arial" w:hAnsi="Arial" w:cs="Arial"/>
          <w:lang w:val="en-CA"/>
        </w:rPr>
        <w:t xml:space="preserve">*, *11*(2), 28-34. </w:t>
      </w:r>
      <w:hyperlink r:id="rId42" w:history="1">
        <w:r w:rsidR="0043183C" w:rsidRPr="00842C41">
          <w:rPr>
            <w:rStyle w:val="Hyperlink"/>
            <w:rFonts w:ascii="Arial" w:hAnsi="Arial" w:cs="Arial"/>
            <w:lang w:val="en-CA"/>
          </w:rPr>
          <w:t>https://www.asjp.cerist.dz/en/article/89900</w:t>
        </w:r>
      </w:hyperlink>
      <w:r w:rsidR="0043183C">
        <w:rPr>
          <w:rFonts w:ascii="Arial" w:hAnsi="Arial" w:cs="Arial"/>
          <w:lang w:val="en-CA"/>
        </w:rPr>
        <w:t xml:space="preserve"> </w:t>
      </w:r>
      <w:r w:rsidRPr="00917099">
        <w:rPr>
          <w:rFonts w:ascii="Arial" w:hAnsi="Arial" w:cs="Arial"/>
          <w:lang w:val="en-CA"/>
        </w:rPr>
        <w:t xml:space="preserve"> </w:t>
      </w:r>
    </w:p>
    <w:p w14:paraId="24D2DFD4" w14:textId="2F194CDF" w:rsidR="00917099" w:rsidRPr="00917099" w:rsidRDefault="00917099" w:rsidP="00917099">
      <w:pPr>
        <w:jc w:val="both"/>
        <w:rPr>
          <w:rFonts w:ascii="Arial" w:hAnsi="Arial" w:cs="Arial"/>
          <w:lang w:val="en-CA"/>
        </w:rPr>
      </w:pPr>
      <w:r w:rsidRPr="00917099">
        <w:rPr>
          <w:rFonts w:ascii="Arial" w:hAnsi="Arial" w:cs="Arial"/>
          <w:lang w:val="en-CA"/>
        </w:rPr>
        <w:t xml:space="preserve">[37] </w:t>
      </w:r>
      <w:proofErr w:type="spellStart"/>
      <w:r w:rsidR="00042BD9" w:rsidRPr="00042BD9">
        <w:rPr>
          <w:rFonts w:ascii="Arial" w:hAnsi="Arial" w:cs="Arial"/>
          <w:lang w:val="en-CA"/>
        </w:rPr>
        <w:t>Etekpo</w:t>
      </w:r>
      <w:proofErr w:type="spellEnd"/>
      <w:r w:rsidR="00042BD9" w:rsidRPr="00042BD9">
        <w:rPr>
          <w:rFonts w:ascii="Arial" w:hAnsi="Arial" w:cs="Arial"/>
          <w:lang w:val="en-CA"/>
        </w:rPr>
        <w:t xml:space="preserve">, D. S., </w:t>
      </w:r>
      <w:proofErr w:type="spellStart"/>
      <w:r w:rsidR="00042BD9" w:rsidRPr="00042BD9">
        <w:rPr>
          <w:rFonts w:ascii="Arial" w:hAnsi="Arial" w:cs="Arial"/>
          <w:lang w:val="en-CA"/>
        </w:rPr>
        <w:t>N'Gaman-Kouassi</w:t>
      </w:r>
      <w:proofErr w:type="spellEnd"/>
      <w:r w:rsidR="00042BD9" w:rsidRPr="00042BD9">
        <w:rPr>
          <w:rFonts w:ascii="Arial" w:hAnsi="Arial" w:cs="Arial"/>
          <w:lang w:val="en-CA"/>
        </w:rPr>
        <w:t xml:space="preserve">, C. C., </w:t>
      </w:r>
      <w:proofErr w:type="spellStart"/>
      <w:r w:rsidR="00042BD9" w:rsidRPr="00042BD9">
        <w:rPr>
          <w:rFonts w:ascii="Arial" w:hAnsi="Arial" w:cs="Arial"/>
          <w:lang w:val="en-CA"/>
        </w:rPr>
        <w:t>Mamyrbekova-Békro</w:t>
      </w:r>
      <w:proofErr w:type="spellEnd"/>
      <w:r w:rsidR="00042BD9" w:rsidRPr="00042BD9">
        <w:rPr>
          <w:rFonts w:ascii="Arial" w:hAnsi="Arial" w:cs="Arial"/>
          <w:lang w:val="en-CA"/>
        </w:rPr>
        <w:t xml:space="preserve">, J. A., &amp; </w:t>
      </w:r>
      <w:proofErr w:type="spellStart"/>
      <w:r w:rsidR="00042BD9" w:rsidRPr="00042BD9">
        <w:rPr>
          <w:rFonts w:ascii="Arial" w:hAnsi="Arial" w:cs="Arial"/>
          <w:lang w:val="en-CA"/>
        </w:rPr>
        <w:t>Békro</w:t>
      </w:r>
      <w:proofErr w:type="spellEnd"/>
      <w:r w:rsidR="00042BD9" w:rsidRPr="00042BD9">
        <w:rPr>
          <w:rFonts w:ascii="Arial" w:hAnsi="Arial" w:cs="Arial"/>
          <w:lang w:val="en-CA"/>
        </w:rPr>
        <w:t xml:space="preserve">, Y. A. (2022). Antioxidant profiles of alcoholic tinctures from </w:t>
      </w:r>
      <w:proofErr w:type="spellStart"/>
      <w:r w:rsidR="00042BD9" w:rsidRPr="00042BD9">
        <w:rPr>
          <w:rFonts w:ascii="Arial" w:hAnsi="Arial" w:cs="Arial"/>
          <w:lang w:val="en-CA"/>
        </w:rPr>
        <w:t>Heterotis</w:t>
      </w:r>
      <w:proofErr w:type="spellEnd"/>
      <w:r w:rsidR="00042BD9" w:rsidRPr="00042BD9">
        <w:rPr>
          <w:rFonts w:ascii="Arial" w:hAnsi="Arial" w:cs="Arial"/>
          <w:lang w:val="en-CA"/>
        </w:rPr>
        <w:t xml:space="preserve"> </w:t>
      </w:r>
      <w:proofErr w:type="spellStart"/>
      <w:r w:rsidR="00042BD9" w:rsidRPr="00042BD9">
        <w:rPr>
          <w:rFonts w:ascii="Arial" w:hAnsi="Arial" w:cs="Arial"/>
          <w:lang w:val="en-CA"/>
        </w:rPr>
        <w:t>rodundifolia</w:t>
      </w:r>
      <w:proofErr w:type="spellEnd"/>
      <w:r w:rsidR="00042BD9" w:rsidRPr="00042BD9">
        <w:rPr>
          <w:rFonts w:ascii="Arial" w:hAnsi="Arial" w:cs="Arial"/>
          <w:lang w:val="en-CA"/>
        </w:rPr>
        <w:t xml:space="preserve"> (SM.) Jacq. </w:t>
      </w:r>
      <w:proofErr w:type="spellStart"/>
      <w:r w:rsidR="00042BD9" w:rsidRPr="00042BD9">
        <w:rPr>
          <w:rFonts w:ascii="Arial" w:hAnsi="Arial" w:cs="Arial"/>
          <w:lang w:val="en-CA"/>
        </w:rPr>
        <w:t>Fel</w:t>
      </w:r>
      <w:proofErr w:type="spellEnd"/>
      <w:r w:rsidR="00042BD9" w:rsidRPr="00042BD9">
        <w:rPr>
          <w:rFonts w:ascii="Arial" w:hAnsi="Arial" w:cs="Arial"/>
          <w:lang w:val="en-CA"/>
        </w:rPr>
        <w:t>. (</w:t>
      </w:r>
      <w:proofErr w:type="spellStart"/>
      <w:r w:rsidR="00042BD9" w:rsidRPr="00042BD9">
        <w:rPr>
          <w:rFonts w:ascii="Arial" w:hAnsi="Arial" w:cs="Arial"/>
          <w:lang w:val="en-CA"/>
        </w:rPr>
        <w:t>Melastomacacea</w:t>
      </w:r>
      <w:proofErr w:type="spellEnd"/>
      <w:r w:rsidR="00042BD9" w:rsidRPr="00042BD9">
        <w:rPr>
          <w:rFonts w:ascii="Arial" w:hAnsi="Arial" w:cs="Arial"/>
          <w:lang w:val="en-CA"/>
        </w:rPr>
        <w:t>) by DPPH radical trapping. European Journal of Biomedical and Pharmaceutical Sciences, 10(5), 39-45.</w:t>
      </w:r>
      <w:r w:rsidR="00042BD9">
        <w:rPr>
          <w:rFonts w:ascii="Arial" w:hAnsi="Arial" w:cs="Arial"/>
          <w:lang w:val="en-CA"/>
        </w:rPr>
        <w:t xml:space="preserve"> </w:t>
      </w:r>
      <w:r w:rsidRPr="00917099">
        <w:rPr>
          <w:rFonts w:ascii="Arial" w:hAnsi="Arial" w:cs="Arial"/>
          <w:lang w:val="en-CA"/>
        </w:rPr>
        <w:t xml:space="preserve"> </w:t>
      </w:r>
    </w:p>
    <w:sectPr w:rsidR="00917099" w:rsidRPr="00917099" w:rsidSect="004C47F4">
      <w:headerReference w:type="even" r:id="rId43"/>
      <w:headerReference w:type="default" r:id="rId44"/>
      <w:footerReference w:type="default" r:id="rId45"/>
      <w:headerReference w:type="first" r:id="rId4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1DE9" w14:textId="77777777" w:rsidR="00DA5BB1" w:rsidRDefault="00DA5BB1" w:rsidP="00C37E61">
      <w:r>
        <w:separator/>
      </w:r>
    </w:p>
  </w:endnote>
  <w:endnote w:type="continuationSeparator" w:id="0">
    <w:p w14:paraId="23FD2E44" w14:textId="77777777" w:rsidR="00DA5BB1" w:rsidRDefault="00DA5B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D709" w14:textId="77777777" w:rsidR="004C47F4" w:rsidRDefault="004C4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3AB1" w14:textId="4264FB58" w:rsidR="00C37E61" w:rsidRPr="00B7658B" w:rsidRDefault="00C37E61" w:rsidP="00B76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53FF" w14:textId="77777777" w:rsidR="009E048A" w:rsidRDefault="009E048A">
    <w:pPr>
      <w:pStyle w:val="Footer"/>
      <w:rPr>
        <w:rFonts w:ascii="Arial" w:hAnsi="Arial" w:cs="Arial"/>
        <w:sz w:val="16"/>
      </w:rPr>
    </w:pPr>
  </w:p>
  <w:p w14:paraId="399124D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3E5533" w14:textId="77777777" w:rsidR="009E048A" w:rsidRDefault="009E048A">
    <w:pPr>
      <w:pStyle w:val="Footer"/>
      <w:rPr>
        <w:rFonts w:ascii="Arial" w:hAnsi="Arial" w:cs="Arial"/>
        <w:sz w:val="16"/>
      </w:rPr>
    </w:pPr>
  </w:p>
  <w:p w14:paraId="42572EE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34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08BC" w14:textId="77777777" w:rsidR="00DA5BB1" w:rsidRDefault="00DA5BB1" w:rsidP="00C37E61">
      <w:r>
        <w:separator/>
      </w:r>
    </w:p>
  </w:footnote>
  <w:footnote w:type="continuationSeparator" w:id="0">
    <w:p w14:paraId="13D42E47" w14:textId="77777777" w:rsidR="00DA5BB1" w:rsidRDefault="00DA5B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3CE5E" w14:textId="5BDE7D54" w:rsidR="004C47F4" w:rsidRDefault="004C47F4">
    <w:pPr>
      <w:pStyle w:val="Header"/>
    </w:pPr>
    <w:r>
      <w:rPr>
        <w:noProof/>
      </w:rPr>
      <w:pict w14:anchorId="051D9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7"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B89D" w14:textId="66FC289A" w:rsidR="004C47F4" w:rsidRDefault="004C47F4">
    <w:pPr>
      <w:pStyle w:val="Header"/>
    </w:pPr>
    <w:r>
      <w:rPr>
        <w:noProof/>
      </w:rPr>
      <w:pict w14:anchorId="67A95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8"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0CA2" w14:textId="6E478B86" w:rsidR="00296529" w:rsidRPr="00296529" w:rsidRDefault="004C47F4" w:rsidP="00296529">
    <w:pPr>
      <w:ind w:left="2160"/>
      <w:jc w:val="center"/>
      <w:rPr>
        <w:rFonts w:ascii="Times New Roman" w:eastAsia="Calibri" w:hAnsi="Times New Roman"/>
        <w:i/>
        <w:sz w:val="18"/>
        <w:szCs w:val="22"/>
      </w:rPr>
    </w:pPr>
    <w:r>
      <w:rPr>
        <w:noProof/>
      </w:rPr>
      <w:pict w14:anchorId="0E40F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6"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D371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A5D80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D03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6763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65EC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1BDE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3FBE" w14:textId="17407FEC" w:rsidR="004C47F4" w:rsidRDefault="004C47F4">
    <w:pPr>
      <w:pStyle w:val="Header"/>
    </w:pPr>
    <w:r>
      <w:rPr>
        <w:noProof/>
      </w:rPr>
      <w:pict w14:anchorId="2AD06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800" o:spid="_x0000_s2053"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30C8" w14:textId="54D99530" w:rsidR="004C47F4" w:rsidRDefault="004C47F4">
    <w:pPr>
      <w:pStyle w:val="Header"/>
    </w:pPr>
    <w:r>
      <w:rPr>
        <w:noProof/>
      </w:rPr>
      <w:pict w14:anchorId="6B4BC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801" o:spid="_x0000_s2054"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6EA5" w14:textId="2B5D51A8" w:rsidR="004C47F4" w:rsidRDefault="004C47F4">
    <w:pPr>
      <w:pStyle w:val="Header"/>
    </w:pPr>
    <w:r>
      <w:rPr>
        <w:noProof/>
      </w:rPr>
      <w:pict w14:anchorId="50717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8799" o:spid="_x0000_s2052"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7159"/>
    <w:multiLevelType w:val="multilevel"/>
    <w:tmpl w:val="778EF7D4"/>
    <w:lvl w:ilvl="0">
      <w:start w:val="3"/>
      <w:numFmt w:val="decimal"/>
      <w:lvlText w:val="%1."/>
      <w:lvlJc w:val="left"/>
      <w:pPr>
        <w:ind w:left="540" w:hanging="540"/>
      </w:pPr>
      <w:rPr>
        <w:rFonts w:eastAsiaTheme="majorEastAsia" w:hint="default"/>
      </w:rPr>
    </w:lvl>
    <w:lvl w:ilvl="1">
      <w:start w:val="5"/>
      <w:numFmt w:val="decimal"/>
      <w:lvlText w:val="%1.%2."/>
      <w:lvlJc w:val="left"/>
      <w:pPr>
        <w:ind w:left="900" w:hanging="54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C4FE3"/>
    <w:multiLevelType w:val="multilevel"/>
    <w:tmpl w:val="02889D0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C52"/>
    <w:rsid w:val="00026966"/>
    <w:rsid w:val="00030174"/>
    <w:rsid w:val="0003432C"/>
    <w:rsid w:val="00037EDD"/>
    <w:rsid w:val="0004125E"/>
    <w:rsid w:val="00042BD9"/>
    <w:rsid w:val="0004579C"/>
    <w:rsid w:val="0008567D"/>
    <w:rsid w:val="00092B52"/>
    <w:rsid w:val="000A47FA"/>
    <w:rsid w:val="000A65D3"/>
    <w:rsid w:val="000A7099"/>
    <w:rsid w:val="000B1E33"/>
    <w:rsid w:val="000B2B21"/>
    <w:rsid w:val="000B3E2E"/>
    <w:rsid w:val="000B4CEC"/>
    <w:rsid w:val="000D5E4F"/>
    <w:rsid w:val="000D689F"/>
    <w:rsid w:val="000E326F"/>
    <w:rsid w:val="000E7B7B"/>
    <w:rsid w:val="000E7D62"/>
    <w:rsid w:val="0010089A"/>
    <w:rsid w:val="00103357"/>
    <w:rsid w:val="00123C9F"/>
    <w:rsid w:val="00126190"/>
    <w:rsid w:val="00130F17"/>
    <w:rsid w:val="001320BF"/>
    <w:rsid w:val="00136AFE"/>
    <w:rsid w:val="00155FAF"/>
    <w:rsid w:val="00162D5D"/>
    <w:rsid w:val="0016357D"/>
    <w:rsid w:val="00163BC4"/>
    <w:rsid w:val="00172DBB"/>
    <w:rsid w:val="00191062"/>
    <w:rsid w:val="00192B72"/>
    <w:rsid w:val="001A29D8"/>
    <w:rsid w:val="001A5CAA"/>
    <w:rsid w:val="001B0427"/>
    <w:rsid w:val="001D3A51"/>
    <w:rsid w:val="001D70CE"/>
    <w:rsid w:val="001E10D2"/>
    <w:rsid w:val="001E25B4"/>
    <w:rsid w:val="001E44FE"/>
    <w:rsid w:val="001F3BF5"/>
    <w:rsid w:val="00200595"/>
    <w:rsid w:val="002022AC"/>
    <w:rsid w:val="0020397E"/>
    <w:rsid w:val="00204835"/>
    <w:rsid w:val="00231920"/>
    <w:rsid w:val="0023195C"/>
    <w:rsid w:val="0024282C"/>
    <w:rsid w:val="00244DE8"/>
    <w:rsid w:val="002460DC"/>
    <w:rsid w:val="00250985"/>
    <w:rsid w:val="0025266D"/>
    <w:rsid w:val="002531CD"/>
    <w:rsid w:val="002548EE"/>
    <w:rsid w:val="002556F6"/>
    <w:rsid w:val="00256E49"/>
    <w:rsid w:val="00283105"/>
    <w:rsid w:val="00284C4C"/>
    <w:rsid w:val="00287E68"/>
    <w:rsid w:val="00296529"/>
    <w:rsid w:val="002B27FB"/>
    <w:rsid w:val="002B685A"/>
    <w:rsid w:val="002C57D2"/>
    <w:rsid w:val="002D6CF1"/>
    <w:rsid w:val="002E0D56"/>
    <w:rsid w:val="00300580"/>
    <w:rsid w:val="00315186"/>
    <w:rsid w:val="0031753E"/>
    <w:rsid w:val="003316D1"/>
    <w:rsid w:val="0033343E"/>
    <w:rsid w:val="003432DE"/>
    <w:rsid w:val="003512C2"/>
    <w:rsid w:val="003536E4"/>
    <w:rsid w:val="00355C26"/>
    <w:rsid w:val="00371FB6"/>
    <w:rsid w:val="003763C1"/>
    <w:rsid w:val="00376BBE"/>
    <w:rsid w:val="0039224F"/>
    <w:rsid w:val="00394EAA"/>
    <w:rsid w:val="003A43A4"/>
    <w:rsid w:val="003A7E18"/>
    <w:rsid w:val="003C4C86"/>
    <w:rsid w:val="003C6258"/>
    <w:rsid w:val="003E2904"/>
    <w:rsid w:val="003F5048"/>
    <w:rsid w:val="00401927"/>
    <w:rsid w:val="004027B5"/>
    <w:rsid w:val="004078EB"/>
    <w:rsid w:val="00407FA4"/>
    <w:rsid w:val="0041027F"/>
    <w:rsid w:val="00412475"/>
    <w:rsid w:val="00413F1A"/>
    <w:rsid w:val="00423789"/>
    <w:rsid w:val="004243F7"/>
    <w:rsid w:val="00427C22"/>
    <w:rsid w:val="0043183C"/>
    <w:rsid w:val="00437F5D"/>
    <w:rsid w:val="00440F43"/>
    <w:rsid w:val="00441B6F"/>
    <w:rsid w:val="00446127"/>
    <w:rsid w:val="00446221"/>
    <w:rsid w:val="00450E62"/>
    <w:rsid w:val="004539DB"/>
    <w:rsid w:val="00471A80"/>
    <w:rsid w:val="00482BF2"/>
    <w:rsid w:val="004B7887"/>
    <w:rsid w:val="004C0FBD"/>
    <w:rsid w:val="004C47F4"/>
    <w:rsid w:val="004C51AA"/>
    <w:rsid w:val="004D305E"/>
    <w:rsid w:val="004D4277"/>
    <w:rsid w:val="004E4351"/>
    <w:rsid w:val="004F584D"/>
    <w:rsid w:val="00502516"/>
    <w:rsid w:val="00505F06"/>
    <w:rsid w:val="00506828"/>
    <w:rsid w:val="00522E00"/>
    <w:rsid w:val="005240E8"/>
    <w:rsid w:val="0053056E"/>
    <w:rsid w:val="005548B2"/>
    <w:rsid w:val="00554FDA"/>
    <w:rsid w:val="00576485"/>
    <w:rsid w:val="00583112"/>
    <w:rsid w:val="005B0DF5"/>
    <w:rsid w:val="005C4B15"/>
    <w:rsid w:val="005C784C"/>
    <w:rsid w:val="005D17F6"/>
    <w:rsid w:val="005E5539"/>
    <w:rsid w:val="005F6119"/>
    <w:rsid w:val="00602BF5"/>
    <w:rsid w:val="006109E4"/>
    <w:rsid w:val="0061634E"/>
    <w:rsid w:val="00617FDD"/>
    <w:rsid w:val="00633614"/>
    <w:rsid w:val="00633F68"/>
    <w:rsid w:val="00636EB2"/>
    <w:rsid w:val="006375B8"/>
    <w:rsid w:val="00656F7C"/>
    <w:rsid w:val="0066510A"/>
    <w:rsid w:val="00673F9F"/>
    <w:rsid w:val="00686953"/>
    <w:rsid w:val="00687DEA"/>
    <w:rsid w:val="00687E67"/>
    <w:rsid w:val="006967F7"/>
    <w:rsid w:val="006A250C"/>
    <w:rsid w:val="006B21D3"/>
    <w:rsid w:val="006B57D0"/>
    <w:rsid w:val="006D30FF"/>
    <w:rsid w:val="006D6940"/>
    <w:rsid w:val="006E19FD"/>
    <w:rsid w:val="006F11EC"/>
    <w:rsid w:val="0070082C"/>
    <w:rsid w:val="0070547A"/>
    <w:rsid w:val="00721616"/>
    <w:rsid w:val="00721920"/>
    <w:rsid w:val="00730176"/>
    <w:rsid w:val="007369E6"/>
    <w:rsid w:val="00740428"/>
    <w:rsid w:val="00746E59"/>
    <w:rsid w:val="00754C9A"/>
    <w:rsid w:val="00755175"/>
    <w:rsid w:val="0075599A"/>
    <w:rsid w:val="00761D52"/>
    <w:rsid w:val="0077749E"/>
    <w:rsid w:val="00790ADA"/>
    <w:rsid w:val="007B05B6"/>
    <w:rsid w:val="007D1C94"/>
    <w:rsid w:val="007D2288"/>
    <w:rsid w:val="007E088F"/>
    <w:rsid w:val="007F7B32"/>
    <w:rsid w:val="00804BC2"/>
    <w:rsid w:val="0081431A"/>
    <w:rsid w:val="00820DB4"/>
    <w:rsid w:val="00826016"/>
    <w:rsid w:val="00831940"/>
    <w:rsid w:val="0083216F"/>
    <w:rsid w:val="00834ACB"/>
    <w:rsid w:val="00851942"/>
    <w:rsid w:val="00854331"/>
    <w:rsid w:val="00860000"/>
    <w:rsid w:val="00863BD3"/>
    <w:rsid w:val="008641ED"/>
    <w:rsid w:val="00866D66"/>
    <w:rsid w:val="008671C6"/>
    <w:rsid w:val="00875803"/>
    <w:rsid w:val="00892A81"/>
    <w:rsid w:val="008B459E"/>
    <w:rsid w:val="008D28DC"/>
    <w:rsid w:val="008D328B"/>
    <w:rsid w:val="008E13AE"/>
    <w:rsid w:val="008E1506"/>
    <w:rsid w:val="008E588F"/>
    <w:rsid w:val="008E5E42"/>
    <w:rsid w:val="008E710C"/>
    <w:rsid w:val="008F3C98"/>
    <w:rsid w:val="008F69D6"/>
    <w:rsid w:val="00902823"/>
    <w:rsid w:val="009059AE"/>
    <w:rsid w:val="00906FBE"/>
    <w:rsid w:val="00915CA6"/>
    <w:rsid w:val="00917099"/>
    <w:rsid w:val="00927834"/>
    <w:rsid w:val="009279B8"/>
    <w:rsid w:val="00941AE3"/>
    <w:rsid w:val="009500A6"/>
    <w:rsid w:val="00957C18"/>
    <w:rsid w:val="009659BA"/>
    <w:rsid w:val="00965D35"/>
    <w:rsid w:val="00983040"/>
    <w:rsid w:val="009A7799"/>
    <w:rsid w:val="009B3FB9"/>
    <w:rsid w:val="009B44BB"/>
    <w:rsid w:val="009C2465"/>
    <w:rsid w:val="009D35A0"/>
    <w:rsid w:val="009D7EB7"/>
    <w:rsid w:val="009E048A"/>
    <w:rsid w:val="009E08E9"/>
    <w:rsid w:val="009E3DB9"/>
    <w:rsid w:val="009E6E35"/>
    <w:rsid w:val="009F0EDA"/>
    <w:rsid w:val="009F3910"/>
    <w:rsid w:val="009F75DB"/>
    <w:rsid w:val="00A03B96"/>
    <w:rsid w:val="00A05B19"/>
    <w:rsid w:val="00A1134E"/>
    <w:rsid w:val="00A20399"/>
    <w:rsid w:val="00A24E7E"/>
    <w:rsid w:val="00A258C3"/>
    <w:rsid w:val="00A26EBF"/>
    <w:rsid w:val="00A347C0"/>
    <w:rsid w:val="00A46DB0"/>
    <w:rsid w:val="00A51431"/>
    <w:rsid w:val="00A539AD"/>
    <w:rsid w:val="00A54788"/>
    <w:rsid w:val="00A57725"/>
    <w:rsid w:val="00A57B8D"/>
    <w:rsid w:val="00A60159"/>
    <w:rsid w:val="00A70F72"/>
    <w:rsid w:val="00A83972"/>
    <w:rsid w:val="00A94063"/>
    <w:rsid w:val="00AA6219"/>
    <w:rsid w:val="00AA74E0"/>
    <w:rsid w:val="00AB703F"/>
    <w:rsid w:val="00AC2C6A"/>
    <w:rsid w:val="00AC6BB8"/>
    <w:rsid w:val="00AE008F"/>
    <w:rsid w:val="00B01FCD"/>
    <w:rsid w:val="00B045C1"/>
    <w:rsid w:val="00B076A5"/>
    <w:rsid w:val="00B1776C"/>
    <w:rsid w:val="00B52583"/>
    <w:rsid w:val="00B52896"/>
    <w:rsid w:val="00B7658B"/>
    <w:rsid w:val="00B95236"/>
    <w:rsid w:val="00B96BD9"/>
    <w:rsid w:val="00BA1B01"/>
    <w:rsid w:val="00BA2641"/>
    <w:rsid w:val="00BA747F"/>
    <w:rsid w:val="00BB37AA"/>
    <w:rsid w:val="00BC53A0"/>
    <w:rsid w:val="00BD7656"/>
    <w:rsid w:val="00BE62AD"/>
    <w:rsid w:val="00BE724F"/>
    <w:rsid w:val="00BE7943"/>
    <w:rsid w:val="00BF121F"/>
    <w:rsid w:val="00BF1F80"/>
    <w:rsid w:val="00C076CE"/>
    <w:rsid w:val="00C07C22"/>
    <w:rsid w:val="00C11498"/>
    <w:rsid w:val="00C166EF"/>
    <w:rsid w:val="00C17EB0"/>
    <w:rsid w:val="00C23160"/>
    <w:rsid w:val="00C26FDA"/>
    <w:rsid w:val="00C27F5F"/>
    <w:rsid w:val="00C30A0F"/>
    <w:rsid w:val="00C3466B"/>
    <w:rsid w:val="00C37E61"/>
    <w:rsid w:val="00C41E53"/>
    <w:rsid w:val="00C4570B"/>
    <w:rsid w:val="00C5014B"/>
    <w:rsid w:val="00C56BF3"/>
    <w:rsid w:val="00C70F1B"/>
    <w:rsid w:val="00C71A47"/>
    <w:rsid w:val="00C7464C"/>
    <w:rsid w:val="00C80CB1"/>
    <w:rsid w:val="00C85230"/>
    <w:rsid w:val="00C85588"/>
    <w:rsid w:val="00CB0B1C"/>
    <w:rsid w:val="00CC0AB4"/>
    <w:rsid w:val="00CD6755"/>
    <w:rsid w:val="00CD6856"/>
    <w:rsid w:val="00CE0089"/>
    <w:rsid w:val="00CE28D1"/>
    <w:rsid w:val="00CE2E69"/>
    <w:rsid w:val="00CE793C"/>
    <w:rsid w:val="00CF193C"/>
    <w:rsid w:val="00D03F74"/>
    <w:rsid w:val="00D1118C"/>
    <w:rsid w:val="00D14BC6"/>
    <w:rsid w:val="00D173F1"/>
    <w:rsid w:val="00D32E8E"/>
    <w:rsid w:val="00D437C7"/>
    <w:rsid w:val="00D71D90"/>
    <w:rsid w:val="00D74CB0"/>
    <w:rsid w:val="00D8295D"/>
    <w:rsid w:val="00DA52D5"/>
    <w:rsid w:val="00DA5BB1"/>
    <w:rsid w:val="00DA75F6"/>
    <w:rsid w:val="00DB28E0"/>
    <w:rsid w:val="00DB3794"/>
    <w:rsid w:val="00DC04F4"/>
    <w:rsid w:val="00DC2A65"/>
    <w:rsid w:val="00DD64C9"/>
    <w:rsid w:val="00DE15F0"/>
    <w:rsid w:val="00DE5663"/>
    <w:rsid w:val="00DE78AA"/>
    <w:rsid w:val="00E053D0"/>
    <w:rsid w:val="00E063BB"/>
    <w:rsid w:val="00E1247C"/>
    <w:rsid w:val="00E15994"/>
    <w:rsid w:val="00E3114E"/>
    <w:rsid w:val="00E31A70"/>
    <w:rsid w:val="00E35B02"/>
    <w:rsid w:val="00E46908"/>
    <w:rsid w:val="00E66496"/>
    <w:rsid w:val="00E66B35"/>
    <w:rsid w:val="00E66E10"/>
    <w:rsid w:val="00E769F6"/>
    <w:rsid w:val="00E83A1C"/>
    <w:rsid w:val="00E8407C"/>
    <w:rsid w:val="00E84F3C"/>
    <w:rsid w:val="00E961CE"/>
    <w:rsid w:val="00EA012C"/>
    <w:rsid w:val="00EA5531"/>
    <w:rsid w:val="00EA58DB"/>
    <w:rsid w:val="00EB2BD8"/>
    <w:rsid w:val="00EC6A55"/>
    <w:rsid w:val="00ED0288"/>
    <w:rsid w:val="00EE52CB"/>
    <w:rsid w:val="00EE60D2"/>
    <w:rsid w:val="00EF581D"/>
    <w:rsid w:val="00EF7FD8"/>
    <w:rsid w:val="00F06F59"/>
    <w:rsid w:val="00F17988"/>
    <w:rsid w:val="00F2284F"/>
    <w:rsid w:val="00F245E5"/>
    <w:rsid w:val="00F44AAF"/>
    <w:rsid w:val="00F469F0"/>
    <w:rsid w:val="00F47A10"/>
    <w:rsid w:val="00F53273"/>
    <w:rsid w:val="00F755E4"/>
    <w:rsid w:val="00F77D02"/>
    <w:rsid w:val="00F83105"/>
    <w:rsid w:val="00FA0FFF"/>
    <w:rsid w:val="00FB3A86"/>
    <w:rsid w:val="00FB7D2E"/>
    <w:rsid w:val="00FD1C38"/>
    <w:rsid w:val="00FD36C8"/>
    <w:rsid w:val="00FE3738"/>
    <w:rsid w:val="00FE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063C14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E2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7B05B6"/>
    <w:rPr>
      <w:rFonts w:asciiTheme="minorHAnsi" w:eastAsiaTheme="minorHAnsi" w:hAnsiTheme="minorHAnsi" w:cstheme="minorBidi"/>
      <w:kern w:val="2"/>
      <w:sz w:val="24"/>
      <w:szCs w:val="24"/>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40428"/>
    <w:pPr>
      <w:spacing w:after="160" w:line="278" w:lineRule="auto"/>
      <w:ind w:left="720"/>
      <w:contextualSpacing/>
    </w:pPr>
    <w:rPr>
      <w:rFonts w:asciiTheme="minorHAnsi" w:eastAsiaTheme="minorHAnsi" w:hAnsiTheme="minorHAnsi" w:cstheme="minorBidi"/>
      <w:kern w:val="2"/>
      <w:sz w:val="24"/>
      <w:szCs w:val="24"/>
      <w:lang w:val="fr-FR"/>
    </w:rPr>
  </w:style>
  <w:style w:type="character" w:styleId="Strong">
    <w:name w:val="Strong"/>
    <w:basedOn w:val="DefaultParagraphFont"/>
    <w:uiPriority w:val="22"/>
    <w:qFormat/>
    <w:rsid w:val="00DA75F6"/>
    <w:rPr>
      <w:b/>
      <w:bCs/>
    </w:rPr>
  </w:style>
  <w:style w:type="character" w:customStyle="1" w:styleId="Heading3Char">
    <w:name w:val="Heading 3 Char"/>
    <w:basedOn w:val="DefaultParagraphFont"/>
    <w:link w:val="Heading3"/>
    <w:uiPriority w:val="9"/>
    <w:semiHidden/>
    <w:rsid w:val="00CE2E6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01C52"/>
    <w:pPr>
      <w:spacing w:line="360" w:lineRule="auto"/>
      <w:jc w:val="both"/>
    </w:pPr>
    <w:rPr>
      <w:rFonts w:ascii="Arial" w:eastAsiaTheme="minorHAnsi" w:hAnsi="Arial" w:cstheme="minorBidi"/>
      <w:sz w:val="26"/>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www.e-lavoisier.fr/fr/ebook/pharmacognosy-phytochemistry-medicinal-plants/bruneton/ean13-9782743018726" TargetMode="External"/><Relationship Id="rId39" Type="http://schemas.openxmlformats.org/officeDocument/2006/relationships/hyperlink" Target="https://doi.org/10.20307/nps.2023.29.1.24" TargetMode="External"/><Relationship Id="rId21" Type="http://schemas.openxmlformats.org/officeDocument/2006/relationships/hyperlink" Target="http://www.aensiweb.com/anas/2010/352-360.pdf" TargetMode="External"/><Relationship Id="rId34" Type="http://schemas.openxmlformats.org/officeDocument/2006/relationships/hyperlink" Target="https://www.editions-ellipses.fr/produit/bacteriologie-generale-et-medicale/" TargetMode="External"/><Relationship Id="rId42" Type="http://schemas.openxmlformats.org/officeDocument/2006/relationships/hyperlink" Target="https://www.asjp.cerist.dz/en/article/8990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foodchem.2005.07.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al.science/hal-01447284" TargetMode="External"/><Relationship Id="rId32" Type="http://schemas.openxmlformats.org/officeDocument/2006/relationships/hyperlink" Target="https://doi.org/10.3390/molecules21080996" TargetMode="External"/><Relationship Id="rId37" Type="http://schemas.openxmlformats.org/officeDocument/2006/relationships/hyperlink" Target="https://doi.org/10.3390/molecules28052413" TargetMode="External"/><Relationship Id="rId40" Type="http://schemas.openxmlformats.org/officeDocument/2006/relationships/hyperlink" Target="https://doi.org/10.19044/esj.2020.v16n3p84"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acgpubs.org/journal/records-of-natural-products/volumes?year=2009&amp;volume=3&amp;issue=2" TargetMode="External"/><Relationship Id="rId28" Type="http://schemas.openxmlformats.org/officeDocument/2006/relationships/hyperlink" Target="https://pubmed.ncbi.nlm.nih.gov/7884635/" TargetMode="External"/><Relationship Id="rId36" Type="http://schemas.openxmlformats.org/officeDocument/2006/relationships/hyperlink" Target="https://doi.org/10.1080/10408699891274273" TargetMode="External"/><Relationship Id="rId10" Type="http://schemas.openxmlformats.org/officeDocument/2006/relationships/footer" Target="footer1.xml"/><Relationship Id="rId19" Type="http://schemas.openxmlformats.org/officeDocument/2006/relationships/hyperlink" Target="https://doi.org/10.1186/s43088-019-0013-0" TargetMode="External"/><Relationship Id="rId31" Type="http://schemas.openxmlformats.org/officeDocument/2006/relationships/hyperlink" Target="https://doi.org/10.1006/abio.1996.0292"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cms.galenos.com.tr/Uploads/Article_12394/263-272.pdf" TargetMode="External"/><Relationship Id="rId27" Type="http://schemas.openxmlformats.org/officeDocument/2006/relationships/hyperlink" Target="https://doi.org/10.1016/S0076-6879(99)99017-1" TargetMode="External"/><Relationship Id="rId30" Type="http://schemas.openxmlformats.org/officeDocument/2006/relationships/hyperlink" Target="https://doi.org/10.1016/S0023-6438(95)80008-5" TargetMode="External"/><Relationship Id="rId35" Type="http://schemas.openxmlformats.org/officeDocument/2006/relationships/hyperlink" Target="https://doi.org/10.3390/molecules25225243"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www.europeanjournalofscientificresearch.com/vol63no4/EJSR_63_4_09.pdf" TargetMode="External"/><Relationship Id="rId33" Type="http://schemas.openxmlformats.org/officeDocument/2006/relationships/hyperlink" Target="https://www.sfm-microbiologie.org/wp-content/uploads/2024/06/CA-SFM-EUCAST-2024-V1.0.pdf" TargetMode="External"/><Relationship Id="rId38" Type="http://schemas.openxmlformats.org/officeDocument/2006/relationships/hyperlink" Target="https://doi.org/10.3389/fphar.2023.1231006" TargetMode="External"/><Relationship Id="rId46" Type="http://schemas.openxmlformats.org/officeDocument/2006/relationships/header" Target="header6.xml"/><Relationship Id="rId20" Type="http://schemas.openxmlformats.org/officeDocument/2006/relationships/hyperlink" Target="https://www.ncbi.nlm.nih.gov/nlmcatalog/101257000" TargetMode="External"/><Relationship Id="rId41" Type="http://schemas.openxmlformats.org/officeDocument/2006/relationships/hyperlink" Target="https://doi.org/10.1016/j.toxicon.2024.1078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E1AA-5181-4707-95F5-D842B8CA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686</TotalTime>
  <Pages>13</Pages>
  <Words>5809</Words>
  <Characters>33116</Characters>
  <Application>Microsoft Office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38848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113</cp:revision>
  <cp:lastPrinted>1999-07-06T11:00:00Z</cp:lastPrinted>
  <dcterms:created xsi:type="dcterms:W3CDTF">2014-10-25T14:34:00Z</dcterms:created>
  <dcterms:modified xsi:type="dcterms:W3CDTF">2025-12-13T08:31:00Z</dcterms:modified>
</cp:coreProperties>
</file>