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70F56" w14:textId="77777777" w:rsidR="008D01DF" w:rsidRDefault="008D01DF" w:rsidP="00EC0B4C">
      <w:pPr>
        <w:spacing w:line="276" w:lineRule="auto"/>
        <w:jc w:val="right"/>
        <w:rPr>
          <w:rFonts w:ascii="Arial" w:hAnsi="Arial" w:cs="Arial"/>
          <w:b/>
          <w:bCs/>
          <w:sz w:val="32"/>
          <w:szCs w:val="32"/>
        </w:rPr>
      </w:pPr>
      <w:r w:rsidRPr="008D01DF">
        <w:rPr>
          <w:rFonts w:ascii="Arial" w:hAnsi="Arial" w:cs="Arial"/>
          <w:b/>
          <w:bCs/>
          <w:sz w:val="32"/>
          <w:szCs w:val="32"/>
        </w:rPr>
        <w:t>Original Research Article</w:t>
      </w:r>
    </w:p>
    <w:p w14:paraId="52E4D195" w14:textId="722C04F5" w:rsidR="0095262B" w:rsidRPr="0095262B" w:rsidRDefault="0095262B" w:rsidP="00EC0B4C">
      <w:pPr>
        <w:spacing w:line="276" w:lineRule="auto"/>
        <w:jc w:val="right"/>
        <w:rPr>
          <w:rFonts w:ascii="Arial" w:hAnsi="Arial" w:cs="Arial"/>
          <w:b/>
          <w:sz w:val="32"/>
          <w:szCs w:val="32"/>
        </w:rPr>
      </w:pPr>
      <w:r w:rsidRPr="0095262B">
        <w:rPr>
          <w:rFonts w:ascii="Arial" w:hAnsi="Arial" w:cs="Arial"/>
          <w:b/>
          <w:bCs/>
          <w:sz w:val="32"/>
          <w:szCs w:val="32"/>
        </w:rPr>
        <w:t>Isolation and Partial Purification</w:t>
      </w:r>
      <w:r w:rsidRPr="0095262B">
        <w:rPr>
          <w:rFonts w:ascii="Arial" w:hAnsi="Arial" w:cs="Arial"/>
          <w:b/>
          <w:sz w:val="32"/>
          <w:szCs w:val="32"/>
        </w:rPr>
        <w:t xml:space="preserve"> of </w:t>
      </w:r>
      <w:r w:rsidRPr="0095262B">
        <w:rPr>
          <w:rFonts w:ascii="Arial" w:hAnsi="Arial" w:cs="Arial"/>
          <w:b/>
          <w:bCs/>
          <w:sz w:val="32"/>
          <w:szCs w:val="32"/>
        </w:rPr>
        <w:t>Phospholipase A</w:t>
      </w:r>
      <w:r w:rsidRPr="0095262B">
        <w:rPr>
          <w:rFonts w:ascii="Arial" w:hAnsi="Arial" w:cs="Arial"/>
          <w:b/>
          <w:bCs/>
          <w:sz w:val="32"/>
          <w:szCs w:val="32"/>
          <w:vertAlign w:val="subscript"/>
        </w:rPr>
        <w:t>2</w:t>
      </w:r>
      <w:r w:rsidRPr="0095262B">
        <w:rPr>
          <w:rFonts w:ascii="Arial" w:hAnsi="Arial" w:cs="Arial"/>
          <w:b/>
          <w:bCs/>
          <w:sz w:val="32"/>
          <w:szCs w:val="32"/>
        </w:rPr>
        <w:t xml:space="preserve"> from </w:t>
      </w:r>
      <w:r w:rsidRPr="0095262B">
        <w:rPr>
          <w:rFonts w:ascii="Arial" w:hAnsi="Arial" w:cs="Arial"/>
          <w:b/>
          <w:sz w:val="32"/>
          <w:szCs w:val="32"/>
        </w:rPr>
        <w:t>Nigerian</w:t>
      </w:r>
      <w:r w:rsidRPr="0095262B">
        <w:rPr>
          <w:rFonts w:ascii="Arial" w:hAnsi="Arial" w:cs="Arial"/>
          <w:b/>
          <w:i/>
          <w:iCs/>
          <w:sz w:val="32"/>
          <w:szCs w:val="32"/>
        </w:rPr>
        <w:t xml:space="preserve"> </w:t>
      </w:r>
      <w:proofErr w:type="spellStart"/>
      <w:r w:rsidRPr="0095262B">
        <w:rPr>
          <w:rFonts w:ascii="Arial" w:hAnsi="Arial" w:cs="Arial"/>
          <w:b/>
          <w:i/>
          <w:iCs/>
          <w:sz w:val="32"/>
          <w:szCs w:val="32"/>
        </w:rPr>
        <w:t>Naja</w:t>
      </w:r>
      <w:proofErr w:type="spellEnd"/>
      <w:r w:rsidRPr="0095262B">
        <w:rPr>
          <w:rFonts w:ascii="Arial" w:hAnsi="Arial" w:cs="Arial"/>
          <w:b/>
          <w:i/>
          <w:iCs/>
          <w:sz w:val="32"/>
          <w:szCs w:val="32"/>
        </w:rPr>
        <w:t xml:space="preserve"> </w:t>
      </w:r>
      <w:proofErr w:type="spellStart"/>
      <w:r w:rsidRPr="0095262B">
        <w:rPr>
          <w:rFonts w:ascii="Arial" w:hAnsi="Arial" w:cs="Arial"/>
          <w:b/>
          <w:i/>
          <w:iCs/>
          <w:sz w:val="32"/>
          <w:szCs w:val="32"/>
        </w:rPr>
        <w:t>melanoleuca</w:t>
      </w:r>
      <w:proofErr w:type="spellEnd"/>
      <w:r w:rsidRPr="0095262B">
        <w:rPr>
          <w:rFonts w:ascii="Arial" w:hAnsi="Arial" w:cs="Arial"/>
          <w:b/>
          <w:sz w:val="32"/>
          <w:szCs w:val="32"/>
        </w:rPr>
        <w:t xml:space="preserve"> Venom and Determination of its Characteristics and Kinetic Parameters</w:t>
      </w:r>
    </w:p>
    <w:p w14:paraId="23972C34" w14:textId="5FD31234" w:rsidR="009D3F28" w:rsidRDefault="009D3F28" w:rsidP="00A05967">
      <w:pPr>
        <w:spacing w:line="360" w:lineRule="auto"/>
        <w:jc w:val="center"/>
        <w:rPr>
          <w:rFonts w:ascii="Arial" w:hAnsi="Arial" w:cs="Arial"/>
          <w:b/>
          <w:bCs/>
          <w:sz w:val="24"/>
          <w:szCs w:val="24"/>
        </w:rPr>
      </w:pPr>
    </w:p>
    <w:p w14:paraId="3F6E4A01" w14:textId="77777777" w:rsidR="0029778B" w:rsidRPr="0095262B" w:rsidRDefault="0029778B" w:rsidP="00A05967">
      <w:pPr>
        <w:spacing w:line="360" w:lineRule="auto"/>
        <w:jc w:val="center"/>
        <w:rPr>
          <w:rFonts w:ascii="Arial" w:hAnsi="Arial" w:cs="Arial"/>
          <w:b/>
          <w:bCs/>
          <w:sz w:val="24"/>
          <w:szCs w:val="24"/>
        </w:rPr>
      </w:pPr>
      <w:bookmarkStart w:id="0" w:name="_GoBack"/>
      <w:bookmarkEnd w:id="0"/>
    </w:p>
    <w:p w14:paraId="73F75C93" w14:textId="77777777" w:rsidR="0095262B" w:rsidRPr="0095262B" w:rsidRDefault="0095262B" w:rsidP="0095262B">
      <w:pPr>
        <w:spacing w:line="360" w:lineRule="auto"/>
        <w:rPr>
          <w:rFonts w:ascii="Arial" w:hAnsi="Arial" w:cs="Arial"/>
          <w:b/>
        </w:rPr>
      </w:pPr>
      <w:r w:rsidRPr="0095262B">
        <w:rPr>
          <w:rFonts w:ascii="Arial" w:hAnsi="Arial" w:cs="Arial"/>
          <w:b/>
        </w:rPr>
        <w:t>ABSTRACT</w:t>
      </w:r>
    </w:p>
    <w:p w14:paraId="73A75FAC" w14:textId="77777777" w:rsidR="0095262B" w:rsidRPr="0095262B" w:rsidRDefault="0095262B" w:rsidP="0095262B">
      <w:pPr>
        <w:pBdr>
          <w:top w:val="single" w:sz="4" w:space="1" w:color="auto"/>
          <w:left w:val="single" w:sz="4" w:space="4" w:color="auto"/>
          <w:bottom w:val="single" w:sz="4" w:space="1" w:color="auto"/>
          <w:right w:val="single" w:sz="4" w:space="4" w:color="auto"/>
        </w:pBdr>
        <w:spacing w:line="240" w:lineRule="auto"/>
        <w:jc w:val="both"/>
        <w:rPr>
          <w:rFonts w:ascii="Arial" w:hAnsi="Arial" w:cs="Arial"/>
        </w:rPr>
      </w:pPr>
      <w:r w:rsidRPr="0095262B">
        <w:rPr>
          <w:rFonts w:ascii="Arial" w:hAnsi="Arial" w:cs="Arial"/>
        </w:rPr>
        <w:t>This study aimed to isolate and partially purify the major basic phospholipase A</w:t>
      </w:r>
      <w:r w:rsidRPr="0095262B">
        <w:rPr>
          <w:rFonts w:ascii="Cambria Math" w:hAnsi="Cambria Math" w:cs="Cambria Math"/>
        </w:rPr>
        <w:t>₂</w:t>
      </w:r>
      <w:r w:rsidRPr="0095262B">
        <w:rPr>
          <w:rFonts w:ascii="Arial" w:hAnsi="Arial" w:cs="Arial"/>
        </w:rPr>
        <w:t xml:space="preserve"> (PLA</w:t>
      </w:r>
      <w:r w:rsidRPr="0095262B">
        <w:rPr>
          <w:rFonts w:ascii="Cambria Math" w:hAnsi="Cambria Math" w:cs="Cambria Math"/>
        </w:rPr>
        <w:t>₂</w:t>
      </w:r>
      <w:r w:rsidRPr="0095262B">
        <w:rPr>
          <w:rFonts w:ascii="Arial" w:hAnsi="Arial" w:cs="Arial"/>
        </w:rPr>
        <w:t xml:space="preserve">) from the venom of </w:t>
      </w:r>
      <w:proofErr w:type="spellStart"/>
      <w:r w:rsidRPr="0095262B">
        <w:rPr>
          <w:rFonts w:ascii="Arial" w:hAnsi="Arial" w:cs="Arial"/>
          <w:i/>
        </w:rPr>
        <w:t>Naja</w:t>
      </w:r>
      <w:proofErr w:type="spellEnd"/>
      <w:r w:rsidRPr="0095262B">
        <w:rPr>
          <w:rFonts w:ascii="Arial" w:hAnsi="Arial" w:cs="Arial"/>
          <w:i/>
        </w:rPr>
        <w:t xml:space="preserve"> </w:t>
      </w:r>
      <w:proofErr w:type="spellStart"/>
      <w:r w:rsidRPr="0095262B">
        <w:rPr>
          <w:rFonts w:ascii="Arial" w:hAnsi="Arial" w:cs="Arial"/>
          <w:i/>
        </w:rPr>
        <w:t>melanoleuca</w:t>
      </w:r>
      <w:proofErr w:type="spellEnd"/>
      <w:r w:rsidRPr="0095262B">
        <w:rPr>
          <w:rFonts w:ascii="Arial" w:hAnsi="Arial" w:cs="Arial"/>
        </w:rPr>
        <w:t xml:space="preserve"> using Resource™ S cation-exchange chromatography and sodium dodecyl </w:t>
      </w:r>
      <w:proofErr w:type="spellStart"/>
      <w:r w:rsidRPr="0095262B">
        <w:rPr>
          <w:rFonts w:ascii="Arial" w:hAnsi="Arial" w:cs="Arial"/>
        </w:rPr>
        <w:t>sulfate</w:t>
      </w:r>
      <w:proofErr w:type="spellEnd"/>
      <w:r w:rsidRPr="0095262B">
        <w:rPr>
          <w:rFonts w:ascii="Arial" w:hAnsi="Arial" w:cs="Arial"/>
        </w:rPr>
        <w:t>-polyacrylamide gel electrophoresis (SDS-PAGE) as well as the determination of its characteristics and kinetic parameters. The venom was reconstituted in 0.02 M Tris-HCl (pH 8.7) and subjected to chromatography. PLA</w:t>
      </w:r>
      <w:r w:rsidRPr="0095262B">
        <w:rPr>
          <w:rFonts w:ascii="Cambria Math" w:hAnsi="Cambria Math" w:cs="Cambria Math"/>
        </w:rPr>
        <w:t>₂</w:t>
      </w:r>
      <w:r w:rsidRPr="0095262B">
        <w:rPr>
          <w:rFonts w:ascii="Arial" w:hAnsi="Arial" w:cs="Arial"/>
        </w:rPr>
        <w:t xml:space="preserve">-containing fractions were eluted between 27-30 minutes and collected. SDS-PAGE analysis revealed a heterogeneous mixture of proteins with molecular weights of approximately 35, 26, 20, 13, and 7 </w:t>
      </w:r>
      <w:proofErr w:type="spellStart"/>
      <w:r w:rsidRPr="0095262B">
        <w:rPr>
          <w:rFonts w:ascii="Arial" w:hAnsi="Arial" w:cs="Arial"/>
        </w:rPr>
        <w:t>kDa</w:t>
      </w:r>
      <w:proofErr w:type="spellEnd"/>
      <w:r w:rsidRPr="0095262B">
        <w:rPr>
          <w:rFonts w:ascii="Arial" w:hAnsi="Arial" w:cs="Arial"/>
        </w:rPr>
        <w:t>. The kinetic properties assessments revealed optimal activity at pH 8.0 and temperature 60</w:t>
      </w:r>
      <w:r w:rsidRPr="0095262B">
        <w:rPr>
          <w:rFonts w:ascii="Cambria Math" w:hAnsi="Cambria Math" w:cs="Cambria Math"/>
        </w:rPr>
        <w:t>℃</w:t>
      </w:r>
      <w:r w:rsidRPr="0095262B">
        <w:rPr>
          <w:rFonts w:ascii="Arial" w:hAnsi="Arial" w:cs="Arial"/>
        </w:rPr>
        <w:t xml:space="preserve"> with 2.2mM and 0.00017µmol/min respectively for Km and Vmax. The relatively low intensity of the PLA</w:t>
      </w:r>
      <w:r w:rsidRPr="0095262B">
        <w:rPr>
          <w:rFonts w:ascii="Cambria Math" w:hAnsi="Cambria Math" w:cs="Cambria Math"/>
        </w:rPr>
        <w:t>₂</w:t>
      </w:r>
      <w:r w:rsidRPr="0095262B">
        <w:rPr>
          <w:rFonts w:ascii="Arial" w:hAnsi="Arial" w:cs="Arial"/>
        </w:rPr>
        <w:t xml:space="preserve"> bands suggested a low yield, indicating the need for further optimization using reverse-phase HPLC. The results provide key insights into the composition of </w:t>
      </w:r>
      <w:proofErr w:type="spellStart"/>
      <w:r w:rsidRPr="0095262B">
        <w:rPr>
          <w:rFonts w:ascii="Arial" w:hAnsi="Arial" w:cs="Arial"/>
          <w:i/>
        </w:rPr>
        <w:t>Naja</w:t>
      </w:r>
      <w:proofErr w:type="spellEnd"/>
      <w:r w:rsidRPr="0095262B">
        <w:rPr>
          <w:rFonts w:ascii="Arial" w:hAnsi="Arial" w:cs="Arial"/>
          <w:i/>
        </w:rPr>
        <w:t xml:space="preserve"> </w:t>
      </w:r>
      <w:proofErr w:type="spellStart"/>
      <w:r w:rsidRPr="0095262B">
        <w:rPr>
          <w:rFonts w:ascii="Arial" w:hAnsi="Arial" w:cs="Arial"/>
          <w:i/>
        </w:rPr>
        <w:t>melanoleuca</w:t>
      </w:r>
      <w:proofErr w:type="spellEnd"/>
      <w:r w:rsidRPr="0095262B">
        <w:rPr>
          <w:rFonts w:ascii="Arial" w:hAnsi="Arial" w:cs="Arial"/>
        </w:rPr>
        <w:t xml:space="preserve"> venom and lay the groundwork for future venom research and therapeutic applications. The research work was conducted between February 2024 to June 2024 at the Department of Biochemistry, Faculty of Life Science, University of Maiduguri, </w:t>
      </w:r>
      <w:proofErr w:type="spellStart"/>
      <w:r w:rsidRPr="0095262B">
        <w:rPr>
          <w:rFonts w:ascii="Arial" w:hAnsi="Arial" w:cs="Arial"/>
        </w:rPr>
        <w:t>Borno</w:t>
      </w:r>
      <w:proofErr w:type="spellEnd"/>
      <w:r w:rsidRPr="0095262B">
        <w:rPr>
          <w:rFonts w:ascii="Arial" w:hAnsi="Arial" w:cs="Arial"/>
        </w:rPr>
        <w:t xml:space="preserve"> State, Nigeria.</w:t>
      </w:r>
    </w:p>
    <w:p w14:paraId="770E3574" w14:textId="77777777" w:rsidR="0095262B" w:rsidRPr="0095262B" w:rsidRDefault="0095262B" w:rsidP="0095262B">
      <w:pPr>
        <w:spacing w:line="360" w:lineRule="auto"/>
        <w:jc w:val="both"/>
        <w:rPr>
          <w:rFonts w:ascii="Arial" w:hAnsi="Arial" w:cs="Arial"/>
        </w:rPr>
      </w:pPr>
      <w:r w:rsidRPr="0095262B">
        <w:rPr>
          <w:rFonts w:ascii="Arial" w:hAnsi="Arial" w:cs="Arial"/>
        </w:rPr>
        <w:t xml:space="preserve">Keywords: </w:t>
      </w:r>
      <w:proofErr w:type="spellStart"/>
      <w:r w:rsidRPr="0095262B">
        <w:rPr>
          <w:rFonts w:ascii="Arial" w:hAnsi="Arial" w:cs="Arial"/>
          <w:i/>
        </w:rPr>
        <w:t>Naja</w:t>
      </w:r>
      <w:proofErr w:type="spellEnd"/>
      <w:r w:rsidRPr="0095262B">
        <w:rPr>
          <w:rFonts w:ascii="Arial" w:hAnsi="Arial" w:cs="Arial"/>
          <w:i/>
        </w:rPr>
        <w:t xml:space="preserve"> </w:t>
      </w:r>
      <w:proofErr w:type="spellStart"/>
      <w:r w:rsidRPr="0095262B">
        <w:rPr>
          <w:rFonts w:ascii="Arial" w:hAnsi="Arial" w:cs="Arial"/>
          <w:i/>
        </w:rPr>
        <w:t>melanoleuca</w:t>
      </w:r>
      <w:proofErr w:type="spellEnd"/>
      <w:r w:rsidRPr="0095262B">
        <w:rPr>
          <w:rFonts w:ascii="Arial" w:hAnsi="Arial" w:cs="Arial"/>
          <w:i/>
        </w:rPr>
        <w:t>,</w:t>
      </w:r>
      <w:r w:rsidRPr="0095262B">
        <w:rPr>
          <w:rFonts w:ascii="Arial" w:hAnsi="Arial" w:cs="Arial"/>
        </w:rPr>
        <w:t xml:space="preserve"> chromatography, phospholipase A</w:t>
      </w:r>
      <w:r w:rsidRPr="0095262B">
        <w:rPr>
          <w:rFonts w:ascii="Arial" w:hAnsi="Arial" w:cs="Arial"/>
          <w:vertAlign w:val="subscript"/>
        </w:rPr>
        <w:t>2</w:t>
      </w:r>
      <w:r w:rsidRPr="0095262B">
        <w:rPr>
          <w:rFonts w:ascii="Arial" w:hAnsi="Arial" w:cs="Arial"/>
        </w:rPr>
        <w:t>, neurotoxins, cytotoxins</w:t>
      </w:r>
    </w:p>
    <w:p w14:paraId="77259999" w14:textId="77777777" w:rsidR="0095262B" w:rsidRPr="00EC0B4C" w:rsidRDefault="0095262B" w:rsidP="0095262B">
      <w:pPr>
        <w:pStyle w:val="ListParagraph"/>
        <w:numPr>
          <w:ilvl w:val="0"/>
          <w:numId w:val="1"/>
        </w:numPr>
        <w:spacing w:after="0" w:line="360" w:lineRule="auto"/>
        <w:ind w:left="270" w:hanging="270"/>
        <w:jc w:val="both"/>
        <w:rPr>
          <w:rFonts w:ascii="Arial" w:hAnsi="Arial" w:cs="Arial"/>
          <w:b/>
          <w:bCs/>
        </w:rPr>
      </w:pPr>
      <w:r w:rsidRPr="00EC0B4C">
        <w:rPr>
          <w:rFonts w:ascii="Arial" w:hAnsi="Arial" w:cs="Arial"/>
          <w:b/>
          <w:bCs/>
        </w:rPr>
        <w:t>INTRODUCTION</w:t>
      </w:r>
    </w:p>
    <w:p w14:paraId="78828986" w14:textId="77777777" w:rsidR="0095262B" w:rsidRPr="0095262B" w:rsidRDefault="0095262B" w:rsidP="0095262B">
      <w:pPr>
        <w:spacing w:after="0" w:line="360" w:lineRule="auto"/>
        <w:jc w:val="both"/>
        <w:rPr>
          <w:rFonts w:ascii="Arial" w:hAnsi="Arial" w:cs="Arial"/>
          <w:sz w:val="20"/>
          <w:szCs w:val="20"/>
        </w:rPr>
      </w:pPr>
      <w:r w:rsidRPr="0095262B">
        <w:rPr>
          <w:rFonts w:ascii="Arial" w:hAnsi="Arial" w:cs="Arial"/>
          <w:sz w:val="20"/>
          <w:szCs w:val="20"/>
        </w:rPr>
        <w:t xml:space="preserve">The most potent snake venom toxins responsible for severe pathophysiological effects post-envenomation include α-neurotoxins, non-enzymatic </w:t>
      </w:r>
      <w:proofErr w:type="spellStart"/>
      <w:r w:rsidRPr="0095262B">
        <w:rPr>
          <w:rFonts w:ascii="Arial" w:hAnsi="Arial" w:cs="Arial"/>
          <w:sz w:val="20"/>
          <w:szCs w:val="20"/>
        </w:rPr>
        <w:t>nAChRs</w:t>
      </w:r>
      <w:proofErr w:type="spellEnd"/>
      <w:r w:rsidRPr="0095262B">
        <w:rPr>
          <w:rFonts w:ascii="Arial" w:hAnsi="Arial" w:cs="Arial"/>
          <w:sz w:val="20"/>
          <w:szCs w:val="20"/>
        </w:rPr>
        <w:t xml:space="preserve"> binding proteins, β-neurotoxins, and cytotoxins </w:t>
      </w:r>
      <w:r w:rsidRPr="0095262B">
        <w:rPr>
          <w:rStyle w:val="Emphasis"/>
          <w:rFonts w:ascii="Arial" w:hAnsi="Arial" w:cs="Arial"/>
          <w:sz w:val="20"/>
          <w:szCs w:val="20"/>
        </w:rPr>
        <w:t>PLA</w:t>
      </w:r>
      <w:r w:rsidRPr="0095262B">
        <w:rPr>
          <w:rStyle w:val="Emphasis"/>
          <w:rFonts w:ascii="Arial" w:hAnsi="Arial" w:cs="Arial"/>
          <w:sz w:val="20"/>
          <w:szCs w:val="20"/>
          <w:vertAlign w:val="subscript"/>
        </w:rPr>
        <w:t>2</w:t>
      </w:r>
      <w:r w:rsidRPr="0095262B">
        <w:rPr>
          <w:rFonts w:ascii="Arial" w:hAnsi="Arial" w:cs="Arial"/>
          <w:sz w:val="20"/>
          <w:szCs w:val="20"/>
        </w:rPr>
        <w:t xml:space="preserve"> (</w:t>
      </w:r>
      <w:proofErr w:type="spellStart"/>
      <w:r w:rsidRPr="0095262B">
        <w:rPr>
          <w:rFonts w:ascii="Arial" w:hAnsi="Arial" w:cs="Arial"/>
          <w:sz w:val="20"/>
          <w:szCs w:val="20"/>
        </w:rPr>
        <w:t>Rigoni</w:t>
      </w:r>
      <w:proofErr w:type="spellEnd"/>
      <w:r w:rsidRPr="0095262B">
        <w:rPr>
          <w:rFonts w:ascii="Arial" w:hAnsi="Arial" w:cs="Arial"/>
          <w:sz w:val="20"/>
          <w:szCs w:val="20"/>
        </w:rPr>
        <w:t xml:space="preserve"> </w:t>
      </w:r>
      <w:r w:rsidRPr="0095262B">
        <w:rPr>
          <w:rFonts w:ascii="Arial" w:hAnsi="Arial" w:cs="Arial"/>
          <w:i/>
          <w:iCs/>
          <w:sz w:val="20"/>
          <w:szCs w:val="20"/>
        </w:rPr>
        <w:t>et al</w:t>
      </w:r>
      <w:r w:rsidRPr="0095262B">
        <w:rPr>
          <w:rFonts w:ascii="Arial" w:hAnsi="Arial" w:cs="Arial"/>
          <w:sz w:val="20"/>
          <w:szCs w:val="20"/>
        </w:rPr>
        <w:t xml:space="preserve">., 2007). In Nigeria, snake bites are prevalent among the rural population in the savannah region where farming and animal husbandry are major occupations. The worldwide incidence of snake bites is challenging to be accurately estimated due to factors like limited healthcare access, traditional beliefs, practices, and poverty. Annually, approximately 5.4 million snake bites occur, leading to 1.8 to 2.7 million cases of envenoming, with 81,410 to 137,880 deaths and three times as many amputations and permanent disabilities (WHO, 2008). In Northern Nigeria, snakebite cases caused by specific snake species are increasing, posing a significant occupational and public health hazard. The major species responsible for bites in North-Eastern Nigeria include the carpet viper, </w:t>
      </w:r>
      <w:proofErr w:type="spellStart"/>
      <w:r w:rsidRPr="0095262B">
        <w:rPr>
          <w:rStyle w:val="Emphasis"/>
          <w:rFonts w:ascii="Arial" w:hAnsi="Arial" w:cs="Arial"/>
          <w:sz w:val="20"/>
          <w:szCs w:val="20"/>
        </w:rPr>
        <w:t>Echis</w:t>
      </w:r>
      <w:proofErr w:type="spellEnd"/>
      <w:r w:rsidRPr="0095262B">
        <w:rPr>
          <w:rStyle w:val="Emphasis"/>
          <w:rFonts w:ascii="Arial" w:hAnsi="Arial" w:cs="Arial"/>
          <w:sz w:val="20"/>
          <w:szCs w:val="20"/>
        </w:rPr>
        <w:t xml:space="preserve"> </w:t>
      </w:r>
      <w:proofErr w:type="spellStart"/>
      <w:r w:rsidRPr="0095262B">
        <w:rPr>
          <w:rStyle w:val="Emphasis"/>
          <w:rFonts w:ascii="Arial" w:hAnsi="Arial" w:cs="Arial"/>
          <w:sz w:val="20"/>
          <w:szCs w:val="20"/>
        </w:rPr>
        <w:t>ocellatus</w:t>
      </w:r>
      <w:proofErr w:type="spellEnd"/>
      <w:r w:rsidRPr="0095262B">
        <w:rPr>
          <w:rFonts w:ascii="Arial" w:hAnsi="Arial" w:cs="Arial"/>
          <w:sz w:val="20"/>
          <w:szCs w:val="20"/>
        </w:rPr>
        <w:t xml:space="preserve"> (Abubakar </w:t>
      </w:r>
      <w:r w:rsidRPr="0095262B">
        <w:rPr>
          <w:rFonts w:ascii="Arial" w:hAnsi="Arial" w:cs="Arial"/>
          <w:i/>
          <w:iCs/>
          <w:sz w:val="20"/>
          <w:szCs w:val="20"/>
        </w:rPr>
        <w:t>et al</w:t>
      </w:r>
      <w:r w:rsidRPr="0095262B">
        <w:rPr>
          <w:rFonts w:ascii="Arial" w:hAnsi="Arial" w:cs="Arial"/>
          <w:sz w:val="20"/>
          <w:szCs w:val="20"/>
        </w:rPr>
        <w:t xml:space="preserve">., 2010), alongside with other species like </w:t>
      </w:r>
      <w:proofErr w:type="spellStart"/>
      <w:r w:rsidRPr="0095262B">
        <w:rPr>
          <w:rStyle w:val="Emphasis"/>
          <w:rFonts w:ascii="Arial" w:hAnsi="Arial" w:cs="Arial"/>
          <w:sz w:val="20"/>
          <w:szCs w:val="20"/>
        </w:rPr>
        <w:t>Naja</w:t>
      </w:r>
      <w:proofErr w:type="spellEnd"/>
      <w:r w:rsidRPr="0095262B">
        <w:rPr>
          <w:rStyle w:val="Emphasis"/>
          <w:rFonts w:ascii="Arial" w:hAnsi="Arial" w:cs="Arial"/>
          <w:sz w:val="20"/>
          <w:szCs w:val="20"/>
        </w:rPr>
        <w:t xml:space="preserve"> </w:t>
      </w:r>
      <w:proofErr w:type="spellStart"/>
      <w:r w:rsidRPr="0095262B">
        <w:rPr>
          <w:rStyle w:val="Emphasis"/>
          <w:rFonts w:ascii="Arial" w:hAnsi="Arial" w:cs="Arial"/>
          <w:sz w:val="20"/>
          <w:szCs w:val="20"/>
        </w:rPr>
        <w:t>melanoleuca</w:t>
      </w:r>
      <w:proofErr w:type="spellEnd"/>
      <w:r w:rsidRPr="0095262B">
        <w:rPr>
          <w:rFonts w:ascii="Arial" w:hAnsi="Arial" w:cs="Arial"/>
          <w:sz w:val="20"/>
          <w:szCs w:val="20"/>
        </w:rPr>
        <w:t xml:space="preserve">, </w:t>
      </w:r>
      <w:proofErr w:type="spellStart"/>
      <w:r w:rsidRPr="0095262B">
        <w:rPr>
          <w:rStyle w:val="Emphasis"/>
          <w:rFonts w:ascii="Arial" w:hAnsi="Arial" w:cs="Arial"/>
          <w:sz w:val="20"/>
          <w:szCs w:val="20"/>
        </w:rPr>
        <w:t>Naja</w:t>
      </w:r>
      <w:proofErr w:type="spellEnd"/>
      <w:r w:rsidRPr="0095262B">
        <w:rPr>
          <w:rStyle w:val="Emphasis"/>
          <w:rFonts w:ascii="Arial" w:hAnsi="Arial" w:cs="Arial"/>
          <w:sz w:val="20"/>
          <w:szCs w:val="20"/>
        </w:rPr>
        <w:t xml:space="preserve"> </w:t>
      </w:r>
      <w:proofErr w:type="spellStart"/>
      <w:r w:rsidRPr="0095262B">
        <w:rPr>
          <w:rStyle w:val="Emphasis"/>
          <w:rFonts w:ascii="Arial" w:hAnsi="Arial" w:cs="Arial"/>
          <w:sz w:val="20"/>
          <w:szCs w:val="20"/>
        </w:rPr>
        <w:t>nigricollis</w:t>
      </w:r>
      <w:proofErr w:type="spellEnd"/>
      <w:r w:rsidRPr="0095262B">
        <w:rPr>
          <w:rFonts w:ascii="Arial" w:hAnsi="Arial" w:cs="Arial"/>
          <w:sz w:val="20"/>
          <w:szCs w:val="20"/>
        </w:rPr>
        <w:t xml:space="preserve">, </w:t>
      </w:r>
      <w:proofErr w:type="spellStart"/>
      <w:r w:rsidRPr="0095262B">
        <w:rPr>
          <w:rStyle w:val="Emphasis"/>
          <w:rFonts w:ascii="Arial" w:hAnsi="Arial" w:cs="Arial"/>
          <w:sz w:val="20"/>
          <w:szCs w:val="20"/>
        </w:rPr>
        <w:t>Bitis</w:t>
      </w:r>
      <w:proofErr w:type="spellEnd"/>
      <w:r w:rsidRPr="0095262B">
        <w:rPr>
          <w:rStyle w:val="Emphasis"/>
          <w:rFonts w:ascii="Arial" w:hAnsi="Arial" w:cs="Arial"/>
          <w:sz w:val="20"/>
          <w:szCs w:val="20"/>
        </w:rPr>
        <w:t xml:space="preserve"> </w:t>
      </w:r>
      <w:proofErr w:type="spellStart"/>
      <w:r w:rsidRPr="0095262B">
        <w:rPr>
          <w:rStyle w:val="Emphasis"/>
          <w:rFonts w:ascii="Arial" w:hAnsi="Arial" w:cs="Arial"/>
          <w:sz w:val="20"/>
          <w:szCs w:val="20"/>
        </w:rPr>
        <w:t>arietans</w:t>
      </w:r>
      <w:proofErr w:type="spellEnd"/>
      <w:r w:rsidRPr="0095262B">
        <w:rPr>
          <w:rFonts w:ascii="Arial" w:hAnsi="Arial" w:cs="Arial"/>
          <w:sz w:val="20"/>
          <w:szCs w:val="20"/>
        </w:rPr>
        <w:t xml:space="preserve">, and to a lesser extent, </w:t>
      </w:r>
      <w:proofErr w:type="spellStart"/>
      <w:r w:rsidRPr="0095262B">
        <w:rPr>
          <w:rStyle w:val="Emphasis"/>
          <w:rFonts w:ascii="Arial" w:hAnsi="Arial" w:cs="Arial"/>
          <w:sz w:val="20"/>
          <w:szCs w:val="20"/>
        </w:rPr>
        <w:t>Causus</w:t>
      </w:r>
      <w:proofErr w:type="spellEnd"/>
      <w:r w:rsidRPr="0095262B">
        <w:rPr>
          <w:rStyle w:val="Emphasis"/>
          <w:rFonts w:ascii="Arial" w:hAnsi="Arial" w:cs="Arial"/>
          <w:sz w:val="20"/>
          <w:szCs w:val="20"/>
        </w:rPr>
        <w:t xml:space="preserve"> maculatus</w:t>
      </w:r>
      <w:r w:rsidRPr="0095262B">
        <w:rPr>
          <w:rFonts w:ascii="Arial" w:hAnsi="Arial" w:cs="Arial"/>
          <w:sz w:val="20"/>
          <w:szCs w:val="20"/>
        </w:rPr>
        <w:t xml:space="preserve">, </w:t>
      </w:r>
      <w:proofErr w:type="spellStart"/>
      <w:r w:rsidRPr="0095262B">
        <w:rPr>
          <w:rStyle w:val="Emphasis"/>
          <w:rFonts w:ascii="Arial" w:hAnsi="Arial" w:cs="Arial"/>
          <w:sz w:val="20"/>
          <w:szCs w:val="20"/>
        </w:rPr>
        <w:t>Naja</w:t>
      </w:r>
      <w:proofErr w:type="spellEnd"/>
      <w:r w:rsidRPr="0095262B">
        <w:rPr>
          <w:rStyle w:val="Emphasis"/>
          <w:rFonts w:ascii="Arial" w:hAnsi="Arial" w:cs="Arial"/>
          <w:sz w:val="20"/>
          <w:szCs w:val="20"/>
        </w:rPr>
        <w:t xml:space="preserve"> </w:t>
      </w:r>
      <w:proofErr w:type="spellStart"/>
      <w:r w:rsidRPr="0095262B">
        <w:rPr>
          <w:rStyle w:val="Emphasis"/>
          <w:rFonts w:ascii="Arial" w:hAnsi="Arial" w:cs="Arial"/>
          <w:sz w:val="20"/>
          <w:szCs w:val="20"/>
        </w:rPr>
        <w:t>katiensis</w:t>
      </w:r>
      <w:proofErr w:type="spellEnd"/>
      <w:r w:rsidRPr="0095262B">
        <w:rPr>
          <w:rFonts w:ascii="Arial" w:hAnsi="Arial" w:cs="Arial"/>
          <w:sz w:val="20"/>
          <w:szCs w:val="20"/>
        </w:rPr>
        <w:t xml:space="preserve">, </w:t>
      </w:r>
      <w:proofErr w:type="spellStart"/>
      <w:r w:rsidRPr="0095262B">
        <w:rPr>
          <w:rStyle w:val="Emphasis"/>
          <w:rFonts w:ascii="Arial" w:hAnsi="Arial" w:cs="Arial"/>
          <w:sz w:val="20"/>
          <w:szCs w:val="20"/>
        </w:rPr>
        <w:t>Naja</w:t>
      </w:r>
      <w:proofErr w:type="spellEnd"/>
      <w:r w:rsidRPr="0095262B">
        <w:rPr>
          <w:rStyle w:val="Emphasis"/>
          <w:rFonts w:ascii="Arial" w:hAnsi="Arial" w:cs="Arial"/>
          <w:sz w:val="20"/>
          <w:szCs w:val="20"/>
        </w:rPr>
        <w:t xml:space="preserve"> </w:t>
      </w:r>
      <w:proofErr w:type="spellStart"/>
      <w:r w:rsidRPr="0095262B">
        <w:rPr>
          <w:rStyle w:val="Emphasis"/>
          <w:rFonts w:ascii="Arial" w:hAnsi="Arial" w:cs="Arial"/>
          <w:sz w:val="20"/>
          <w:szCs w:val="20"/>
        </w:rPr>
        <w:t>haje</w:t>
      </w:r>
      <w:proofErr w:type="spellEnd"/>
      <w:r w:rsidRPr="0095262B">
        <w:rPr>
          <w:rFonts w:ascii="Arial" w:hAnsi="Arial" w:cs="Arial"/>
          <w:sz w:val="20"/>
          <w:szCs w:val="20"/>
        </w:rPr>
        <w:t xml:space="preserve">, </w:t>
      </w:r>
      <w:proofErr w:type="spellStart"/>
      <w:r w:rsidRPr="0095262B">
        <w:rPr>
          <w:rStyle w:val="Emphasis"/>
          <w:rFonts w:ascii="Arial" w:hAnsi="Arial" w:cs="Arial"/>
          <w:sz w:val="20"/>
          <w:szCs w:val="20"/>
        </w:rPr>
        <w:t>Atractaspis</w:t>
      </w:r>
      <w:proofErr w:type="spellEnd"/>
      <w:r w:rsidRPr="0095262B">
        <w:rPr>
          <w:rStyle w:val="Emphasis"/>
          <w:rFonts w:ascii="Arial" w:hAnsi="Arial" w:cs="Arial"/>
          <w:sz w:val="20"/>
          <w:szCs w:val="20"/>
        </w:rPr>
        <w:t xml:space="preserve"> </w:t>
      </w:r>
      <w:proofErr w:type="spellStart"/>
      <w:r w:rsidRPr="0095262B">
        <w:rPr>
          <w:rStyle w:val="Emphasis"/>
          <w:rFonts w:ascii="Arial" w:hAnsi="Arial" w:cs="Arial"/>
          <w:sz w:val="20"/>
          <w:szCs w:val="20"/>
        </w:rPr>
        <w:t>microlepidota</w:t>
      </w:r>
      <w:proofErr w:type="spellEnd"/>
      <w:r w:rsidRPr="0095262B">
        <w:rPr>
          <w:rFonts w:ascii="Arial" w:hAnsi="Arial" w:cs="Arial"/>
          <w:sz w:val="20"/>
          <w:szCs w:val="20"/>
        </w:rPr>
        <w:t xml:space="preserve">, </w:t>
      </w:r>
      <w:proofErr w:type="spellStart"/>
      <w:r w:rsidRPr="0095262B">
        <w:rPr>
          <w:rStyle w:val="Emphasis"/>
          <w:rFonts w:ascii="Arial" w:hAnsi="Arial" w:cs="Arial"/>
          <w:sz w:val="20"/>
          <w:szCs w:val="20"/>
        </w:rPr>
        <w:t>Telescopus</w:t>
      </w:r>
      <w:proofErr w:type="spellEnd"/>
      <w:r w:rsidRPr="0095262B">
        <w:rPr>
          <w:rStyle w:val="Emphasis"/>
          <w:rFonts w:ascii="Arial" w:hAnsi="Arial" w:cs="Arial"/>
          <w:sz w:val="20"/>
          <w:szCs w:val="20"/>
        </w:rPr>
        <w:t xml:space="preserve"> variegatus</w:t>
      </w:r>
      <w:r w:rsidRPr="0095262B">
        <w:rPr>
          <w:rFonts w:ascii="Arial" w:hAnsi="Arial" w:cs="Arial"/>
          <w:sz w:val="20"/>
          <w:szCs w:val="20"/>
        </w:rPr>
        <w:t xml:space="preserve">, and several species of rat snakes, sand snakes, and </w:t>
      </w:r>
      <w:proofErr w:type="spellStart"/>
      <w:r w:rsidRPr="0095262B">
        <w:rPr>
          <w:rStyle w:val="Emphasis"/>
          <w:rFonts w:ascii="Arial" w:hAnsi="Arial" w:cs="Arial"/>
          <w:sz w:val="20"/>
          <w:szCs w:val="20"/>
        </w:rPr>
        <w:t>Lycophidion</w:t>
      </w:r>
      <w:proofErr w:type="spellEnd"/>
      <w:r w:rsidRPr="0095262B">
        <w:rPr>
          <w:rStyle w:val="Emphasis"/>
          <w:rFonts w:ascii="Arial" w:hAnsi="Arial" w:cs="Arial"/>
          <w:sz w:val="20"/>
          <w:szCs w:val="20"/>
        </w:rPr>
        <w:t xml:space="preserve"> </w:t>
      </w:r>
      <w:proofErr w:type="spellStart"/>
      <w:r w:rsidRPr="0095262B">
        <w:rPr>
          <w:rStyle w:val="Emphasis"/>
          <w:rFonts w:ascii="Arial" w:hAnsi="Arial" w:cs="Arial"/>
          <w:sz w:val="20"/>
          <w:szCs w:val="20"/>
        </w:rPr>
        <w:t>semicinctum</w:t>
      </w:r>
      <w:proofErr w:type="spellEnd"/>
      <w:r w:rsidRPr="0095262B">
        <w:rPr>
          <w:rFonts w:ascii="Arial" w:hAnsi="Arial" w:cs="Arial"/>
          <w:sz w:val="20"/>
          <w:szCs w:val="20"/>
        </w:rPr>
        <w:t xml:space="preserve"> (Abubakar </w:t>
      </w:r>
      <w:r w:rsidRPr="0095262B">
        <w:rPr>
          <w:rFonts w:ascii="Arial" w:hAnsi="Arial" w:cs="Arial"/>
          <w:i/>
          <w:iCs/>
          <w:sz w:val="20"/>
          <w:szCs w:val="20"/>
        </w:rPr>
        <w:t>et al</w:t>
      </w:r>
      <w:r w:rsidRPr="0095262B">
        <w:rPr>
          <w:rFonts w:ascii="Arial" w:hAnsi="Arial" w:cs="Arial"/>
          <w:sz w:val="20"/>
          <w:szCs w:val="20"/>
        </w:rPr>
        <w:t xml:space="preserve">., 2010). </w:t>
      </w:r>
    </w:p>
    <w:p w14:paraId="42E2DF21" w14:textId="77777777" w:rsidR="0095262B" w:rsidRPr="0095262B" w:rsidRDefault="0095262B" w:rsidP="0095262B">
      <w:pPr>
        <w:spacing w:line="360" w:lineRule="auto"/>
        <w:jc w:val="both"/>
        <w:rPr>
          <w:rFonts w:ascii="Arial" w:hAnsi="Arial" w:cs="Arial"/>
          <w:sz w:val="20"/>
          <w:szCs w:val="20"/>
        </w:rPr>
      </w:pPr>
      <w:r w:rsidRPr="0095262B">
        <w:rPr>
          <w:rFonts w:ascii="Arial" w:hAnsi="Arial" w:cs="Arial"/>
          <w:sz w:val="20"/>
          <w:szCs w:val="20"/>
        </w:rPr>
        <w:t>The Isolation, purification and determination of the characteristics and kinetic properties of the major basic PLA</w:t>
      </w:r>
      <w:r w:rsidRPr="0095262B">
        <w:rPr>
          <w:rFonts w:ascii="Arial" w:hAnsi="Arial" w:cs="Arial"/>
          <w:sz w:val="20"/>
          <w:szCs w:val="20"/>
          <w:vertAlign w:val="subscript"/>
        </w:rPr>
        <w:t>2</w:t>
      </w:r>
      <w:r w:rsidRPr="0095262B">
        <w:rPr>
          <w:rFonts w:ascii="Arial" w:hAnsi="Arial" w:cs="Arial"/>
          <w:sz w:val="20"/>
          <w:szCs w:val="20"/>
        </w:rPr>
        <w:t xml:space="preserve"> from </w:t>
      </w:r>
      <w:proofErr w:type="spellStart"/>
      <w:r w:rsidRPr="0095262B">
        <w:rPr>
          <w:rFonts w:ascii="Arial" w:hAnsi="Arial" w:cs="Arial"/>
          <w:i/>
          <w:iCs/>
          <w:sz w:val="20"/>
          <w:szCs w:val="20"/>
        </w:rPr>
        <w:t>Naja</w:t>
      </w:r>
      <w:proofErr w:type="spellEnd"/>
      <w:r w:rsidRPr="0095262B">
        <w:rPr>
          <w:rFonts w:ascii="Arial" w:hAnsi="Arial" w:cs="Arial"/>
          <w:i/>
          <w:iCs/>
          <w:sz w:val="20"/>
          <w:szCs w:val="20"/>
        </w:rPr>
        <w:t xml:space="preserve"> </w:t>
      </w:r>
      <w:proofErr w:type="spellStart"/>
      <w:r w:rsidRPr="0095262B">
        <w:rPr>
          <w:rFonts w:ascii="Arial" w:hAnsi="Arial" w:cs="Arial"/>
          <w:i/>
          <w:iCs/>
          <w:sz w:val="20"/>
          <w:szCs w:val="20"/>
        </w:rPr>
        <w:t>melanoleuca</w:t>
      </w:r>
      <w:proofErr w:type="spellEnd"/>
      <w:r w:rsidRPr="0095262B">
        <w:rPr>
          <w:rFonts w:ascii="Arial" w:hAnsi="Arial" w:cs="Arial"/>
          <w:sz w:val="20"/>
          <w:szCs w:val="20"/>
        </w:rPr>
        <w:t xml:space="preserve"> venom is a critical step in understanding its biochemical and pharmacological properties. The complexity of the venom's composition necessitates the use of </w:t>
      </w:r>
      <w:r w:rsidRPr="0095262B">
        <w:rPr>
          <w:rFonts w:ascii="Arial" w:hAnsi="Arial" w:cs="Arial"/>
          <w:sz w:val="20"/>
          <w:szCs w:val="20"/>
        </w:rPr>
        <w:lastRenderedPageBreak/>
        <w:t>sophisticated techniques to separate and identify specific proteins of interest. In this context, chromatography, gel electrophoresis and phospholipase A</w:t>
      </w:r>
      <w:r w:rsidRPr="0095262B">
        <w:rPr>
          <w:rFonts w:ascii="Arial" w:hAnsi="Arial" w:cs="Arial"/>
          <w:sz w:val="20"/>
          <w:szCs w:val="20"/>
          <w:vertAlign w:val="subscript"/>
        </w:rPr>
        <w:t xml:space="preserve">2 </w:t>
      </w:r>
      <w:r w:rsidRPr="0095262B">
        <w:rPr>
          <w:rFonts w:ascii="Arial" w:hAnsi="Arial" w:cs="Arial"/>
          <w:sz w:val="20"/>
          <w:szCs w:val="20"/>
        </w:rPr>
        <w:t>assay protocol are the essential methodologies employed to achieve this goal. Combination of chromatography and gel electrophoresis offers a comprehensive approach to isolating and characterizing the major basic PLA</w:t>
      </w:r>
      <w:r w:rsidRPr="0095262B">
        <w:rPr>
          <w:rFonts w:ascii="Arial" w:hAnsi="Arial" w:cs="Arial"/>
          <w:sz w:val="20"/>
          <w:szCs w:val="20"/>
          <w:vertAlign w:val="subscript"/>
        </w:rPr>
        <w:t>2</w:t>
      </w:r>
      <w:r w:rsidRPr="0095262B">
        <w:rPr>
          <w:rFonts w:ascii="Arial" w:hAnsi="Arial" w:cs="Arial"/>
          <w:sz w:val="20"/>
          <w:szCs w:val="20"/>
        </w:rPr>
        <w:t xml:space="preserve"> from </w:t>
      </w:r>
      <w:proofErr w:type="spellStart"/>
      <w:r w:rsidRPr="0095262B">
        <w:rPr>
          <w:rFonts w:ascii="Arial" w:hAnsi="Arial" w:cs="Arial"/>
          <w:i/>
          <w:iCs/>
          <w:sz w:val="20"/>
          <w:szCs w:val="20"/>
        </w:rPr>
        <w:t>Naja</w:t>
      </w:r>
      <w:proofErr w:type="spellEnd"/>
      <w:r w:rsidRPr="0095262B">
        <w:rPr>
          <w:rFonts w:ascii="Arial" w:hAnsi="Arial" w:cs="Arial"/>
          <w:i/>
          <w:iCs/>
          <w:sz w:val="20"/>
          <w:szCs w:val="20"/>
        </w:rPr>
        <w:t xml:space="preserve"> </w:t>
      </w:r>
      <w:proofErr w:type="spellStart"/>
      <w:r w:rsidRPr="0095262B">
        <w:rPr>
          <w:rFonts w:ascii="Arial" w:hAnsi="Arial" w:cs="Arial"/>
          <w:i/>
          <w:iCs/>
          <w:sz w:val="20"/>
          <w:szCs w:val="20"/>
        </w:rPr>
        <w:t>melanoleuca</w:t>
      </w:r>
      <w:proofErr w:type="spellEnd"/>
      <w:r w:rsidRPr="0095262B">
        <w:rPr>
          <w:rFonts w:ascii="Arial" w:hAnsi="Arial" w:cs="Arial"/>
          <w:sz w:val="20"/>
          <w:szCs w:val="20"/>
        </w:rPr>
        <w:t xml:space="preserve"> venom. Chromatographic techniques facilitate the initial separation and enrichment of the enzyme, while gel electrophoresis allows for further purification and detailed analysis.</w:t>
      </w:r>
    </w:p>
    <w:p w14:paraId="1496BBCC" w14:textId="77777777" w:rsidR="0095262B" w:rsidRPr="0095262B" w:rsidRDefault="0095262B" w:rsidP="0095262B">
      <w:pPr>
        <w:pStyle w:val="ListParagraph"/>
        <w:numPr>
          <w:ilvl w:val="0"/>
          <w:numId w:val="1"/>
        </w:numPr>
        <w:spacing w:line="360" w:lineRule="auto"/>
        <w:ind w:left="270" w:hanging="270"/>
        <w:jc w:val="both"/>
        <w:rPr>
          <w:rFonts w:ascii="Arial" w:hAnsi="Arial" w:cs="Arial"/>
          <w:b/>
          <w:bCs/>
        </w:rPr>
      </w:pPr>
      <w:r w:rsidRPr="0095262B">
        <w:rPr>
          <w:rFonts w:ascii="Arial" w:hAnsi="Arial" w:cs="Arial"/>
          <w:b/>
          <w:bCs/>
        </w:rPr>
        <w:t>MATERIALS AND METHODOLOGY</w:t>
      </w:r>
    </w:p>
    <w:p w14:paraId="75AF4D89" w14:textId="77777777" w:rsidR="0095262B" w:rsidRPr="0095262B" w:rsidRDefault="0095262B" w:rsidP="0095262B">
      <w:pPr>
        <w:spacing w:line="360" w:lineRule="auto"/>
        <w:jc w:val="both"/>
        <w:rPr>
          <w:rFonts w:ascii="Arial" w:hAnsi="Arial" w:cs="Arial"/>
          <w:b/>
          <w:bCs/>
        </w:rPr>
      </w:pPr>
      <w:r w:rsidRPr="0095262B">
        <w:rPr>
          <w:rFonts w:ascii="Arial" w:hAnsi="Arial" w:cs="Arial"/>
          <w:b/>
          <w:bCs/>
        </w:rPr>
        <w:t xml:space="preserve">2.1 Chemicals and Reagents </w:t>
      </w:r>
    </w:p>
    <w:p w14:paraId="613E6519" w14:textId="77777777" w:rsidR="0095262B" w:rsidRPr="0095262B" w:rsidRDefault="0095262B" w:rsidP="0095262B">
      <w:pPr>
        <w:spacing w:line="360" w:lineRule="auto"/>
        <w:jc w:val="both"/>
        <w:rPr>
          <w:rFonts w:ascii="Arial" w:hAnsi="Arial" w:cs="Arial"/>
          <w:bCs/>
          <w:sz w:val="20"/>
          <w:szCs w:val="20"/>
        </w:rPr>
      </w:pPr>
      <w:r w:rsidRPr="0095262B">
        <w:rPr>
          <w:rFonts w:ascii="Arial" w:hAnsi="Arial" w:cs="Arial"/>
          <w:bCs/>
          <w:sz w:val="20"/>
          <w:szCs w:val="20"/>
        </w:rPr>
        <w:t>All chemicals and reagents used in this study were of analytical grade and were bought from different sources.</w:t>
      </w:r>
    </w:p>
    <w:p w14:paraId="31B95250" w14:textId="77777777" w:rsidR="0095262B" w:rsidRPr="0095262B" w:rsidRDefault="0095262B" w:rsidP="0095262B">
      <w:pPr>
        <w:spacing w:line="360" w:lineRule="auto"/>
        <w:jc w:val="both"/>
        <w:rPr>
          <w:rFonts w:ascii="Arial" w:hAnsi="Arial" w:cs="Arial"/>
          <w:b/>
          <w:bCs/>
        </w:rPr>
      </w:pPr>
      <w:r w:rsidRPr="0095262B">
        <w:rPr>
          <w:rFonts w:ascii="Arial" w:hAnsi="Arial" w:cs="Arial"/>
          <w:b/>
          <w:bCs/>
        </w:rPr>
        <w:t xml:space="preserve">2.2 Venom Source </w:t>
      </w:r>
    </w:p>
    <w:p w14:paraId="2D97A5EC" w14:textId="77777777" w:rsidR="0095262B" w:rsidRPr="0095262B" w:rsidRDefault="0095262B" w:rsidP="0095262B">
      <w:pPr>
        <w:spacing w:before="120" w:after="120" w:line="360" w:lineRule="auto"/>
        <w:jc w:val="both"/>
        <w:rPr>
          <w:rFonts w:ascii="Arial" w:hAnsi="Arial" w:cs="Arial"/>
          <w:sz w:val="20"/>
          <w:szCs w:val="20"/>
        </w:rPr>
      </w:pPr>
      <w:r w:rsidRPr="0095262B">
        <w:rPr>
          <w:rFonts w:ascii="Arial" w:eastAsia="Calibri" w:hAnsi="Arial" w:cs="Arial"/>
          <w:sz w:val="20"/>
          <w:szCs w:val="20"/>
        </w:rPr>
        <w:t>Lyophilized</w:t>
      </w:r>
      <w:r w:rsidRPr="0095262B">
        <w:rPr>
          <w:rFonts w:ascii="Arial" w:eastAsia="Calibri" w:hAnsi="Arial" w:cs="Arial"/>
          <w:i/>
          <w:sz w:val="20"/>
          <w:szCs w:val="20"/>
        </w:rPr>
        <w:t xml:space="preserve"> </w:t>
      </w:r>
      <w:proofErr w:type="spellStart"/>
      <w:r w:rsidRPr="0095262B">
        <w:rPr>
          <w:rFonts w:ascii="Arial" w:eastAsia="Calibri" w:hAnsi="Arial" w:cs="Arial"/>
          <w:i/>
          <w:sz w:val="20"/>
          <w:szCs w:val="20"/>
        </w:rPr>
        <w:t>Naja</w:t>
      </w:r>
      <w:proofErr w:type="spellEnd"/>
      <w:r w:rsidRPr="0095262B">
        <w:rPr>
          <w:rFonts w:ascii="Arial" w:eastAsia="Calibri" w:hAnsi="Arial" w:cs="Arial"/>
          <w:i/>
          <w:sz w:val="20"/>
          <w:szCs w:val="20"/>
        </w:rPr>
        <w:t xml:space="preserve"> </w:t>
      </w:r>
      <w:proofErr w:type="spellStart"/>
      <w:r w:rsidRPr="0095262B">
        <w:rPr>
          <w:rFonts w:ascii="Arial" w:eastAsia="Calibri" w:hAnsi="Arial" w:cs="Arial"/>
          <w:i/>
          <w:sz w:val="20"/>
          <w:szCs w:val="20"/>
        </w:rPr>
        <w:t>melanoleuca</w:t>
      </w:r>
      <w:proofErr w:type="spellEnd"/>
      <w:r w:rsidRPr="0095262B">
        <w:rPr>
          <w:rFonts w:ascii="Arial" w:eastAsia="Calibri" w:hAnsi="Arial" w:cs="Arial"/>
          <w:i/>
          <w:sz w:val="20"/>
          <w:szCs w:val="20"/>
        </w:rPr>
        <w:t xml:space="preserve"> </w:t>
      </w:r>
      <w:r w:rsidRPr="0095262B">
        <w:rPr>
          <w:rFonts w:ascii="Arial" w:eastAsia="Calibri" w:hAnsi="Arial" w:cs="Arial"/>
          <w:sz w:val="20"/>
          <w:szCs w:val="20"/>
        </w:rPr>
        <w:t>venom was purchased from Department of Biochemistry, Ahmadu Bello University, and</w:t>
      </w:r>
      <w:r w:rsidRPr="0095262B">
        <w:rPr>
          <w:rFonts w:ascii="Arial" w:hAnsi="Arial" w:cs="Arial"/>
          <w:sz w:val="20"/>
          <w:szCs w:val="20"/>
        </w:rPr>
        <w:t xml:space="preserve"> stored at -4</w:t>
      </w:r>
      <w:r w:rsidRPr="0095262B">
        <w:rPr>
          <w:rFonts w:ascii="Cambria Math" w:hAnsi="Cambria Math" w:cs="Cambria Math"/>
          <w:sz w:val="20"/>
          <w:szCs w:val="20"/>
        </w:rPr>
        <w:t>℃</w:t>
      </w:r>
      <w:r w:rsidRPr="0095262B">
        <w:rPr>
          <w:rFonts w:ascii="Arial" w:hAnsi="Arial" w:cs="Arial"/>
          <w:sz w:val="20"/>
          <w:szCs w:val="20"/>
        </w:rPr>
        <w:t xml:space="preserve"> until use.</w:t>
      </w:r>
    </w:p>
    <w:p w14:paraId="2DC526ED" w14:textId="77777777" w:rsidR="0095262B" w:rsidRPr="0095262B" w:rsidRDefault="0095262B" w:rsidP="0095262B">
      <w:pPr>
        <w:spacing w:line="360" w:lineRule="auto"/>
        <w:jc w:val="both"/>
        <w:rPr>
          <w:rFonts w:ascii="Arial" w:hAnsi="Arial" w:cs="Arial"/>
        </w:rPr>
      </w:pPr>
      <w:r w:rsidRPr="0095262B">
        <w:rPr>
          <w:rFonts w:ascii="Arial" w:hAnsi="Arial" w:cs="Arial"/>
          <w:b/>
          <w:bCs/>
        </w:rPr>
        <w:t>2.3 Isolation and Partial Purification of Basic Phospholipase A</w:t>
      </w:r>
      <w:r w:rsidRPr="0095262B">
        <w:rPr>
          <w:rFonts w:ascii="Arial" w:hAnsi="Arial" w:cs="Arial"/>
          <w:b/>
          <w:bCs/>
          <w:vertAlign w:val="subscript"/>
        </w:rPr>
        <w:t>2</w:t>
      </w:r>
      <w:r w:rsidRPr="0095262B">
        <w:rPr>
          <w:rFonts w:ascii="Arial" w:hAnsi="Arial" w:cs="Arial"/>
          <w:b/>
          <w:bCs/>
        </w:rPr>
        <w:t xml:space="preserve"> from the </w:t>
      </w:r>
      <w:r w:rsidRPr="0095262B">
        <w:rPr>
          <w:rFonts w:ascii="Arial" w:hAnsi="Arial" w:cs="Arial"/>
          <w:b/>
        </w:rPr>
        <w:t xml:space="preserve">Nigerian </w:t>
      </w:r>
      <w:proofErr w:type="spellStart"/>
      <w:r w:rsidRPr="0095262B">
        <w:rPr>
          <w:rFonts w:ascii="Arial" w:hAnsi="Arial" w:cs="Arial"/>
          <w:b/>
          <w:i/>
          <w:iCs/>
        </w:rPr>
        <w:t>Naja</w:t>
      </w:r>
      <w:proofErr w:type="spellEnd"/>
      <w:r w:rsidRPr="0095262B">
        <w:rPr>
          <w:rFonts w:ascii="Arial" w:hAnsi="Arial" w:cs="Arial"/>
          <w:b/>
          <w:i/>
          <w:iCs/>
        </w:rPr>
        <w:t xml:space="preserve"> </w:t>
      </w:r>
      <w:proofErr w:type="spellStart"/>
      <w:r w:rsidRPr="0095262B">
        <w:rPr>
          <w:rFonts w:ascii="Arial" w:hAnsi="Arial" w:cs="Arial"/>
          <w:b/>
          <w:i/>
          <w:iCs/>
        </w:rPr>
        <w:t>melanoleuca</w:t>
      </w:r>
      <w:proofErr w:type="spellEnd"/>
      <w:r w:rsidRPr="0095262B">
        <w:rPr>
          <w:rFonts w:ascii="Arial" w:hAnsi="Arial" w:cs="Arial"/>
        </w:rPr>
        <w:t xml:space="preserve"> </w:t>
      </w:r>
    </w:p>
    <w:p w14:paraId="7F7323EA" w14:textId="77777777" w:rsidR="0095262B" w:rsidRPr="0095262B" w:rsidRDefault="0095262B" w:rsidP="0095262B">
      <w:pPr>
        <w:spacing w:line="360" w:lineRule="auto"/>
        <w:jc w:val="both"/>
        <w:rPr>
          <w:rFonts w:ascii="Arial" w:hAnsi="Arial" w:cs="Arial"/>
          <w:b/>
          <w:sz w:val="20"/>
          <w:szCs w:val="20"/>
        </w:rPr>
      </w:pPr>
      <w:r w:rsidRPr="0095262B">
        <w:rPr>
          <w:rFonts w:ascii="Arial" w:hAnsi="Arial" w:cs="Arial"/>
          <w:b/>
          <w:sz w:val="20"/>
          <w:szCs w:val="20"/>
        </w:rPr>
        <w:t>2.3.1 Resource™ S Cation-exchange Chromatography</w:t>
      </w:r>
    </w:p>
    <w:p w14:paraId="7F35D5B2" w14:textId="77777777" w:rsidR="0095262B" w:rsidRPr="0095262B" w:rsidRDefault="0095262B" w:rsidP="0095262B">
      <w:pPr>
        <w:spacing w:line="360" w:lineRule="auto"/>
        <w:jc w:val="both"/>
        <w:rPr>
          <w:rFonts w:ascii="Arial" w:hAnsi="Arial" w:cs="Arial"/>
          <w:sz w:val="20"/>
          <w:szCs w:val="20"/>
        </w:rPr>
      </w:pPr>
      <w:r w:rsidRPr="0095262B">
        <w:rPr>
          <w:rFonts w:ascii="Arial" w:hAnsi="Arial" w:cs="Arial"/>
          <w:sz w:val="20"/>
          <w:szCs w:val="20"/>
        </w:rPr>
        <w:t xml:space="preserve">Exactly 100 mg of the venom of Nigerian </w:t>
      </w:r>
      <w:proofErr w:type="spellStart"/>
      <w:r w:rsidRPr="0095262B">
        <w:rPr>
          <w:rFonts w:ascii="Arial" w:hAnsi="Arial" w:cs="Arial"/>
          <w:i/>
          <w:iCs/>
          <w:sz w:val="20"/>
          <w:szCs w:val="20"/>
        </w:rPr>
        <w:t>Naja</w:t>
      </w:r>
      <w:proofErr w:type="spellEnd"/>
      <w:r w:rsidRPr="0095262B">
        <w:rPr>
          <w:rFonts w:ascii="Arial" w:hAnsi="Arial" w:cs="Arial"/>
          <w:i/>
          <w:iCs/>
          <w:sz w:val="20"/>
          <w:szCs w:val="20"/>
        </w:rPr>
        <w:t xml:space="preserve"> </w:t>
      </w:r>
      <w:proofErr w:type="spellStart"/>
      <w:r w:rsidRPr="0095262B">
        <w:rPr>
          <w:rFonts w:ascii="Arial" w:hAnsi="Arial" w:cs="Arial"/>
          <w:i/>
          <w:iCs/>
          <w:sz w:val="20"/>
          <w:szCs w:val="20"/>
        </w:rPr>
        <w:t>melanoleoca</w:t>
      </w:r>
      <w:proofErr w:type="spellEnd"/>
      <w:r w:rsidRPr="0095262B">
        <w:rPr>
          <w:rFonts w:ascii="Arial" w:hAnsi="Arial" w:cs="Arial"/>
          <w:sz w:val="20"/>
          <w:szCs w:val="20"/>
        </w:rPr>
        <w:t xml:space="preserve"> was reconstituted in 0.02 M Tris-HCl at pH 8.7 and centrifuged. The supernatant was extracted, and protein concentration was estimated by Nano-drop. A total of 10 mg aliquot was subjected to separation using Shimadzu LC-20AD High-Performance Liquid Chromatography system (Kyoto, Japan). The Resource</w:t>
      </w:r>
      <w:r w:rsidRPr="0095262B">
        <w:rPr>
          <w:rFonts w:ascii="Arial" w:hAnsi="Arial" w:cs="Arial"/>
          <w:sz w:val="20"/>
          <w:szCs w:val="20"/>
          <w:vertAlign w:val="superscript"/>
        </w:rPr>
        <w:t xml:space="preserve">™ </w:t>
      </w:r>
      <w:r w:rsidRPr="0095262B">
        <w:rPr>
          <w:rFonts w:ascii="Arial" w:hAnsi="Arial" w:cs="Arial"/>
          <w:sz w:val="20"/>
          <w:szCs w:val="20"/>
        </w:rPr>
        <w:t>S cation-exchange column was first pre-equilibrated with eluent A (20 mM 2-(N-</w:t>
      </w:r>
      <w:proofErr w:type="gramStart"/>
      <w:r w:rsidRPr="0095262B">
        <w:rPr>
          <w:rFonts w:ascii="Arial" w:hAnsi="Arial" w:cs="Arial"/>
          <w:sz w:val="20"/>
          <w:szCs w:val="20"/>
        </w:rPr>
        <w:t>Morpholino)</w:t>
      </w:r>
      <w:proofErr w:type="spellStart"/>
      <w:r w:rsidRPr="0095262B">
        <w:rPr>
          <w:rFonts w:ascii="Arial" w:hAnsi="Arial" w:cs="Arial"/>
          <w:sz w:val="20"/>
          <w:szCs w:val="20"/>
        </w:rPr>
        <w:t>ethanesulfonic</w:t>
      </w:r>
      <w:proofErr w:type="spellEnd"/>
      <w:proofErr w:type="gramEnd"/>
      <w:r w:rsidRPr="0095262B">
        <w:rPr>
          <w:rFonts w:ascii="Arial" w:hAnsi="Arial" w:cs="Arial"/>
          <w:sz w:val="20"/>
          <w:szCs w:val="20"/>
        </w:rPr>
        <w:t xml:space="preserve"> acid (MES), pH 6), followed by elution with eluent B (0.8 M sodium chloride in 20 mM MES, pH 6) using a linear gradient flow rate of 0-30% B from 5 to 40 minutes, 30-100 % from 40 to 55 minutes. The flow rate was kept constant at 1 mL/minute, and the protein elution was monitored at 215 nm absorbance. PLA</w:t>
      </w:r>
      <w:r w:rsidRPr="0095262B">
        <w:rPr>
          <w:rFonts w:ascii="Arial" w:hAnsi="Arial" w:cs="Arial"/>
          <w:sz w:val="20"/>
          <w:szCs w:val="20"/>
          <w:vertAlign w:val="subscript"/>
        </w:rPr>
        <w:t>2</w:t>
      </w:r>
      <w:r w:rsidRPr="0095262B">
        <w:rPr>
          <w:rFonts w:ascii="Arial" w:hAnsi="Arial" w:cs="Arial"/>
          <w:sz w:val="20"/>
          <w:szCs w:val="20"/>
        </w:rPr>
        <w:t>-containing fractions were collected. The PLA</w:t>
      </w:r>
      <w:r w:rsidRPr="0095262B">
        <w:rPr>
          <w:rFonts w:ascii="Arial" w:hAnsi="Arial" w:cs="Arial"/>
          <w:sz w:val="20"/>
          <w:szCs w:val="20"/>
          <w:vertAlign w:val="subscript"/>
        </w:rPr>
        <w:t>2</w:t>
      </w:r>
      <w:r w:rsidRPr="0095262B">
        <w:rPr>
          <w:rFonts w:ascii="Arial" w:hAnsi="Arial" w:cs="Arial"/>
          <w:sz w:val="20"/>
          <w:szCs w:val="20"/>
        </w:rPr>
        <w:t xml:space="preserve">-containing peak was pooled and subjected to buffer-exchange with water, and concentrated using </w:t>
      </w:r>
      <w:proofErr w:type="spellStart"/>
      <w:r w:rsidRPr="0095262B">
        <w:rPr>
          <w:rFonts w:ascii="Arial" w:hAnsi="Arial" w:cs="Arial"/>
          <w:sz w:val="20"/>
          <w:szCs w:val="20"/>
        </w:rPr>
        <w:t>Vivaspin</w:t>
      </w:r>
      <w:proofErr w:type="spellEnd"/>
      <w:r w:rsidRPr="0095262B">
        <w:rPr>
          <w:rFonts w:ascii="Arial" w:hAnsi="Arial" w:cs="Arial"/>
          <w:sz w:val="20"/>
          <w:szCs w:val="20"/>
        </w:rPr>
        <w:t xml:space="preserve"> with a cut-off of MWCO 5,000. The protein was lyophilized in preparation for subsequent gel electrophoresis.</w:t>
      </w:r>
    </w:p>
    <w:p w14:paraId="4F53FA16" w14:textId="77777777" w:rsidR="0095262B" w:rsidRPr="0095262B" w:rsidRDefault="0095262B" w:rsidP="0095262B">
      <w:pPr>
        <w:spacing w:line="360" w:lineRule="auto"/>
        <w:jc w:val="both"/>
        <w:rPr>
          <w:rFonts w:ascii="Arial" w:hAnsi="Arial" w:cs="Arial"/>
          <w:b/>
          <w:sz w:val="20"/>
          <w:szCs w:val="20"/>
        </w:rPr>
      </w:pPr>
      <w:r w:rsidRPr="0095262B">
        <w:rPr>
          <w:rFonts w:ascii="Arial" w:hAnsi="Arial" w:cs="Arial"/>
          <w:b/>
          <w:sz w:val="20"/>
          <w:szCs w:val="20"/>
        </w:rPr>
        <w:t>2.3.2 Sodium dodecyl-</w:t>
      </w:r>
      <w:proofErr w:type="spellStart"/>
      <w:r w:rsidRPr="0095262B">
        <w:rPr>
          <w:rFonts w:ascii="Arial" w:hAnsi="Arial" w:cs="Arial"/>
          <w:b/>
          <w:sz w:val="20"/>
          <w:szCs w:val="20"/>
        </w:rPr>
        <w:t>sulfate</w:t>
      </w:r>
      <w:proofErr w:type="spellEnd"/>
      <w:r w:rsidRPr="0095262B">
        <w:rPr>
          <w:rFonts w:ascii="Arial" w:hAnsi="Arial" w:cs="Arial"/>
          <w:b/>
          <w:sz w:val="20"/>
          <w:szCs w:val="20"/>
        </w:rPr>
        <w:t xml:space="preserve"> polyacrylamide gel electrophoresis (SDS-PAGE) </w:t>
      </w:r>
    </w:p>
    <w:p w14:paraId="63ADF189" w14:textId="77777777" w:rsidR="0095262B" w:rsidRPr="0095262B" w:rsidRDefault="0095262B" w:rsidP="0095262B">
      <w:pPr>
        <w:spacing w:before="100" w:beforeAutospacing="1" w:after="100" w:afterAutospacing="1" w:line="360" w:lineRule="auto"/>
        <w:jc w:val="both"/>
        <w:rPr>
          <w:rFonts w:ascii="Arial" w:eastAsia="Times New Roman" w:hAnsi="Arial" w:cs="Arial"/>
          <w:sz w:val="20"/>
          <w:szCs w:val="20"/>
        </w:rPr>
      </w:pPr>
      <w:r w:rsidRPr="0095262B">
        <w:rPr>
          <w:rFonts w:ascii="Arial" w:eastAsia="Times New Roman" w:hAnsi="Arial" w:cs="Arial"/>
          <w:sz w:val="20"/>
          <w:szCs w:val="20"/>
        </w:rPr>
        <w:t>The PLA</w:t>
      </w:r>
      <w:r w:rsidRPr="0095262B">
        <w:rPr>
          <w:rFonts w:ascii="Arial" w:eastAsia="Times New Roman" w:hAnsi="Arial" w:cs="Arial"/>
          <w:sz w:val="20"/>
          <w:szCs w:val="20"/>
          <w:vertAlign w:val="subscript"/>
        </w:rPr>
        <w:t xml:space="preserve">2 </w:t>
      </w:r>
      <w:r w:rsidRPr="0095262B">
        <w:rPr>
          <w:rFonts w:ascii="Arial" w:eastAsia="Times New Roman" w:hAnsi="Arial" w:cs="Arial"/>
          <w:sz w:val="20"/>
          <w:szCs w:val="20"/>
        </w:rPr>
        <w:t xml:space="preserve">containing peak was subjected to 15% sodium dodecyl sulphate-polyacrylamide gel electrophoresis (SDS-PAGE) under reducing conditions to assess purity. Molecular weights of the proteins were calibrated with the standard Broad Range Protein Marker, and electrophoresis was carried out at 90V for one and half hours. Visualization of proteins was eventually achieved through </w:t>
      </w:r>
      <w:proofErr w:type="spellStart"/>
      <w:r w:rsidRPr="0095262B">
        <w:rPr>
          <w:rFonts w:ascii="Arial" w:eastAsia="Times New Roman" w:hAnsi="Arial" w:cs="Arial"/>
          <w:sz w:val="20"/>
          <w:szCs w:val="20"/>
        </w:rPr>
        <w:t>Comassie</w:t>
      </w:r>
      <w:proofErr w:type="spellEnd"/>
      <w:r w:rsidRPr="0095262B">
        <w:rPr>
          <w:rFonts w:ascii="Arial" w:eastAsia="Times New Roman" w:hAnsi="Arial" w:cs="Arial"/>
          <w:sz w:val="20"/>
          <w:szCs w:val="20"/>
        </w:rPr>
        <w:t xml:space="preserve"> Brilliant Blue R-250 staining.</w:t>
      </w:r>
    </w:p>
    <w:p w14:paraId="231802EB" w14:textId="77777777" w:rsidR="0095262B" w:rsidRPr="0095262B" w:rsidRDefault="0095262B" w:rsidP="0095262B">
      <w:pPr>
        <w:spacing w:before="100" w:beforeAutospacing="1" w:after="100" w:afterAutospacing="1" w:line="360" w:lineRule="auto"/>
        <w:jc w:val="both"/>
        <w:rPr>
          <w:rFonts w:ascii="Arial" w:eastAsia="Times New Roman" w:hAnsi="Arial" w:cs="Arial"/>
        </w:rPr>
      </w:pPr>
      <w:r w:rsidRPr="0095262B">
        <w:rPr>
          <w:rFonts w:ascii="Arial" w:eastAsia="Times New Roman" w:hAnsi="Arial" w:cs="Arial"/>
          <w:b/>
          <w:bCs/>
        </w:rPr>
        <w:lastRenderedPageBreak/>
        <w:t>2.4 Determination of Characteristics and Kinetic Parameters of Phospholipase A</w:t>
      </w:r>
      <w:r w:rsidRPr="0095262B">
        <w:rPr>
          <w:rFonts w:ascii="Arial" w:eastAsia="Times New Roman" w:hAnsi="Arial" w:cs="Arial"/>
          <w:b/>
          <w:bCs/>
          <w:vertAlign w:val="subscript"/>
        </w:rPr>
        <w:t>2</w:t>
      </w:r>
      <w:r w:rsidRPr="0095262B">
        <w:rPr>
          <w:rFonts w:ascii="Arial" w:eastAsia="Times New Roman" w:hAnsi="Arial" w:cs="Arial"/>
          <w:b/>
          <w:bCs/>
        </w:rPr>
        <w:t xml:space="preserve"> using PLA</w:t>
      </w:r>
      <w:r w:rsidRPr="0095262B">
        <w:rPr>
          <w:rFonts w:ascii="Arial" w:eastAsia="Times New Roman" w:hAnsi="Arial" w:cs="Arial"/>
          <w:b/>
          <w:bCs/>
          <w:vertAlign w:val="subscript"/>
        </w:rPr>
        <w:t>2</w:t>
      </w:r>
      <w:r w:rsidRPr="0095262B">
        <w:rPr>
          <w:rFonts w:ascii="Arial" w:eastAsia="Times New Roman" w:hAnsi="Arial" w:cs="Arial"/>
          <w:b/>
          <w:bCs/>
        </w:rPr>
        <w:t xml:space="preserve"> Assay</w:t>
      </w:r>
      <w:r w:rsidRPr="0095262B">
        <w:rPr>
          <w:rFonts w:ascii="Arial" w:eastAsia="Times New Roman" w:hAnsi="Arial" w:cs="Arial"/>
        </w:rPr>
        <w:t xml:space="preserve"> </w:t>
      </w:r>
    </w:p>
    <w:p w14:paraId="6B34A54B" w14:textId="77777777" w:rsidR="0095262B" w:rsidRPr="0095262B" w:rsidRDefault="0095262B" w:rsidP="0095262B">
      <w:pPr>
        <w:spacing w:before="100" w:beforeAutospacing="1" w:after="100" w:afterAutospacing="1" w:line="360" w:lineRule="auto"/>
        <w:jc w:val="both"/>
        <w:rPr>
          <w:rFonts w:ascii="Arial" w:hAnsi="Arial" w:cs="Arial"/>
          <w:sz w:val="20"/>
          <w:szCs w:val="20"/>
        </w:rPr>
      </w:pPr>
      <w:r w:rsidRPr="0095262B">
        <w:rPr>
          <w:rFonts w:ascii="Arial" w:hAnsi="Arial" w:cs="Arial"/>
          <w:sz w:val="20"/>
          <w:szCs w:val="20"/>
        </w:rPr>
        <w:t xml:space="preserve">The assessment of </w:t>
      </w:r>
      <w:proofErr w:type="spellStart"/>
      <w:r w:rsidRPr="0095262B">
        <w:rPr>
          <w:rStyle w:val="Emphasis"/>
          <w:rFonts w:ascii="Arial" w:hAnsi="Arial" w:cs="Arial"/>
          <w:sz w:val="20"/>
          <w:szCs w:val="20"/>
        </w:rPr>
        <w:t>Naja</w:t>
      </w:r>
      <w:proofErr w:type="spellEnd"/>
      <w:r w:rsidRPr="0095262B">
        <w:rPr>
          <w:rStyle w:val="Emphasis"/>
          <w:rFonts w:ascii="Arial" w:hAnsi="Arial" w:cs="Arial"/>
          <w:sz w:val="20"/>
          <w:szCs w:val="20"/>
        </w:rPr>
        <w:t xml:space="preserve"> </w:t>
      </w:r>
      <w:proofErr w:type="spellStart"/>
      <w:r w:rsidRPr="0095262B">
        <w:rPr>
          <w:rStyle w:val="Emphasis"/>
          <w:rFonts w:ascii="Arial" w:hAnsi="Arial" w:cs="Arial"/>
          <w:sz w:val="20"/>
          <w:szCs w:val="20"/>
        </w:rPr>
        <w:t>melanoleuca</w:t>
      </w:r>
      <w:proofErr w:type="spellEnd"/>
      <w:r w:rsidRPr="0095262B">
        <w:rPr>
          <w:rFonts w:ascii="Arial" w:hAnsi="Arial" w:cs="Arial"/>
          <w:sz w:val="20"/>
          <w:szCs w:val="20"/>
        </w:rPr>
        <w:t xml:space="preserve"> venom </w:t>
      </w:r>
      <w:bookmarkStart w:id="1" w:name="_Hlk187664040"/>
      <w:r w:rsidRPr="0095262B">
        <w:rPr>
          <w:rFonts w:ascii="Arial" w:hAnsi="Arial" w:cs="Arial"/>
          <w:sz w:val="20"/>
          <w:szCs w:val="20"/>
        </w:rPr>
        <w:t>PLA</w:t>
      </w:r>
      <w:r w:rsidRPr="0095262B">
        <w:rPr>
          <w:rFonts w:ascii="Arial" w:hAnsi="Arial" w:cs="Arial"/>
          <w:sz w:val="20"/>
          <w:szCs w:val="20"/>
          <w:vertAlign w:val="subscript"/>
        </w:rPr>
        <w:t>2</w:t>
      </w:r>
      <w:bookmarkEnd w:id="1"/>
      <w:r w:rsidRPr="0095262B">
        <w:rPr>
          <w:rFonts w:ascii="Arial" w:hAnsi="Arial" w:cs="Arial"/>
          <w:sz w:val="20"/>
          <w:szCs w:val="20"/>
        </w:rPr>
        <w:t xml:space="preserve"> activity followed the procedure outlined by Bhat and Gowda (1989). A total of twenty-five microliters (25 µL) of 0.5 M L-α-lecithin was subjected to incubation with 10 µL of the venom sample (100 µg) for a duration of 10 minutes at 37 </w:t>
      </w:r>
      <w:r w:rsidRPr="0095262B">
        <w:rPr>
          <w:rFonts w:ascii="Cambria Math" w:hAnsi="Cambria Math" w:cs="Cambria Math"/>
          <w:sz w:val="20"/>
          <w:szCs w:val="20"/>
        </w:rPr>
        <w:t>℃</w:t>
      </w:r>
      <w:r w:rsidRPr="0095262B">
        <w:rPr>
          <w:rFonts w:ascii="Arial" w:hAnsi="Arial" w:cs="Arial"/>
          <w:sz w:val="20"/>
          <w:szCs w:val="20"/>
        </w:rPr>
        <w:t>. Subsequently, the tube was placed in a boiling water bath for 2 minutes to halt the reaction. The liberated fatty acids were titrated against 20 mM NaOH using phenolphthalein as an indicator at pH 8.0. Ultimately, the PLA</w:t>
      </w:r>
      <w:r w:rsidRPr="0095262B">
        <w:rPr>
          <w:rFonts w:ascii="Arial" w:hAnsi="Arial" w:cs="Arial"/>
          <w:sz w:val="20"/>
          <w:szCs w:val="20"/>
          <w:vertAlign w:val="subscript"/>
        </w:rPr>
        <w:t>2</w:t>
      </w:r>
      <w:r w:rsidRPr="0095262B">
        <w:rPr>
          <w:rFonts w:ascii="Arial" w:hAnsi="Arial" w:cs="Arial"/>
          <w:sz w:val="20"/>
          <w:szCs w:val="20"/>
        </w:rPr>
        <w:t xml:space="preserve"> activity was calculated. The PLA</w:t>
      </w:r>
      <w:r w:rsidRPr="0095262B">
        <w:rPr>
          <w:rFonts w:ascii="Arial" w:hAnsi="Arial" w:cs="Arial"/>
          <w:sz w:val="20"/>
          <w:szCs w:val="20"/>
          <w:vertAlign w:val="subscript"/>
        </w:rPr>
        <w:t>2</w:t>
      </w:r>
      <w:r w:rsidRPr="0095262B">
        <w:rPr>
          <w:rFonts w:ascii="Arial" w:hAnsi="Arial" w:cs="Arial"/>
          <w:sz w:val="20"/>
          <w:szCs w:val="20"/>
        </w:rPr>
        <w:t xml:space="preserve"> activity is defined as the quantity of enzyme capable of </w:t>
      </w:r>
      <w:proofErr w:type="spellStart"/>
      <w:r w:rsidRPr="0095262B">
        <w:rPr>
          <w:rFonts w:ascii="Arial" w:hAnsi="Arial" w:cs="Arial"/>
          <w:sz w:val="20"/>
          <w:szCs w:val="20"/>
        </w:rPr>
        <w:t>hydrolyzing</w:t>
      </w:r>
      <w:proofErr w:type="spellEnd"/>
      <w:r w:rsidRPr="0095262B">
        <w:rPr>
          <w:rFonts w:ascii="Arial" w:hAnsi="Arial" w:cs="Arial"/>
          <w:sz w:val="20"/>
          <w:szCs w:val="20"/>
        </w:rPr>
        <w:t xml:space="preserve"> one micromole of fatty acids from L-α-lecithin per minute under standard conditions.</w:t>
      </w:r>
    </w:p>
    <w:p w14:paraId="5DB629BA" w14:textId="77777777" w:rsidR="0095262B" w:rsidRPr="0095262B" w:rsidRDefault="0095262B" w:rsidP="0095262B">
      <w:pPr>
        <w:spacing w:before="120" w:after="120" w:line="360" w:lineRule="auto"/>
        <w:jc w:val="both"/>
        <w:rPr>
          <w:rFonts w:ascii="Arial" w:hAnsi="Arial" w:cs="Arial"/>
        </w:rPr>
      </w:pPr>
      <w:r w:rsidRPr="0095262B">
        <w:rPr>
          <w:rFonts w:ascii="Arial" w:hAnsi="Arial" w:cs="Arial"/>
          <w:b/>
        </w:rPr>
        <w:t>2.5 Determination of pH</w:t>
      </w:r>
    </w:p>
    <w:p w14:paraId="306BAB99" w14:textId="77777777" w:rsidR="0095262B" w:rsidRPr="0095262B" w:rsidRDefault="0095262B" w:rsidP="0095262B">
      <w:pPr>
        <w:spacing w:before="120" w:after="120" w:line="360" w:lineRule="auto"/>
        <w:jc w:val="both"/>
        <w:rPr>
          <w:rFonts w:ascii="Arial" w:hAnsi="Arial" w:cs="Arial"/>
          <w:sz w:val="20"/>
          <w:szCs w:val="20"/>
        </w:rPr>
      </w:pPr>
      <w:r w:rsidRPr="0095262B">
        <w:rPr>
          <w:rFonts w:ascii="Arial" w:hAnsi="Arial" w:cs="Arial"/>
          <w:sz w:val="20"/>
          <w:szCs w:val="20"/>
        </w:rPr>
        <w:t>The optimum pH of PLA</w:t>
      </w:r>
      <w:r w:rsidRPr="0095262B">
        <w:rPr>
          <w:rFonts w:ascii="Arial" w:hAnsi="Arial" w:cs="Arial"/>
          <w:sz w:val="20"/>
          <w:szCs w:val="20"/>
          <w:vertAlign w:val="subscript"/>
        </w:rPr>
        <w:t>2</w:t>
      </w:r>
      <w:r w:rsidRPr="0095262B">
        <w:rPr>
          <w:rFonts w:ascii="Arial" w:hAnsi="Arial" w:cs="Arial"/>
          <w:sz w:val="20"/>
          <w:szCs w:val="20"/>
        </w:rPr>
        <w:t xml:space="preserve"> was determined using the same procedure as in the PLA</w:t>
      </w:r>
      <w:r w:rsidRPr="0095262B">
        <w:rPr>
          <w:rFonts w:ascii="Arial" w:hAnsi="Arial" w:cs="Arial"/>
          <w:sz w:val="20"/>
          <w:szCs w:val="20"/>
          <w:vertAlign w:val="subscript"/>
        </w:rPr>
        <w:t xml:space="preserve">2 </w:t>
      </w:r>
      <w:r w:rsidRPr="0095262B">
        <w:rPr>
          <w:rFonts w:ascii="Arial" w:hAnsi="Arial" w:cs="Arial"/>
          <w:sz w:val="20"/>
          <w:szCs w:val="20"/>
        </w:rPr>
        <w:t xml:space="preserve">assay stated by Bhat and Gowda (1989). A total of twenty-five microliters (25 µL) of 0.5 M L-α-lecithin was subjected to incubation with 10 µL of the venom sample (100 µg) for a duration of 10 minutes at 37 </w:t>
      </w:r>
      <w:r w:rsidRPr="0095262B">
        <w:rPr>
          <w:rFonts w:ascii="Cambria Math" w:hAnsi="Cambria Math" w:cs="Cambria Math"/>
          <w:sz w:val="20"/>
          <w:szCs w:val="20"/>
        </w:rPr>
        <w:t>℃</w:t>
      </w:r>
      <w:r w:rsidRPr="0095262B">
        <w:rPr>
          <w:rFonts w:ascii="Arial" w:hAnsi="Arial" w:cs="Arial"/>
          <w:sz w:val="20"/>
          <w:szCs w:val="20"/>
        </w:rPr>
        <w:t>. Subsequently, the tube was placed in a boiling water bath for 2 minutes to halt the reaction. The liberated fatty acids were titrated against 20 mM NaOH using phenolphthalein as an indicator with the L-α-lecithin in the presence of 100mM acetate buffer pH 4 and 5, 100mM phosphate buffer pH 6 and 7 and Tris-HCl buffer (100mM) pH 8 and 9 at a normal room temperature.</w:t>
      </w:r>
    </w:p>
    <w:p w14:paraId="2DA2DD0E" w14:textId="77777777" w:rsidR="0095262B" w:rsidRPr="0095262B" w:rsidRDefault="0095262B" w:rsidP="0095262B">
      <w:pPr>
        <w:spacing w:before="120" w:after="120" w:line="360" w:lineRule="auto"/>
        <w:jc w:val="both"/>
        <w:rPr>
          <w:rFonts w:ascii="Arial" w:hAnsi="Arial" w:cs="Arial"/>
          <w:b/>
        </w:rPr>
      </w:pPr>
      <w:r w:rsidRPr="0095262B">
        <w:rPr>
          <w:rFonts w:ascii="Arial" w:hAnsi="Arial" w:cs="Arial"/>
          <w:b/>
        </w:rPr>
        <w:t>2.6 Determination of Optimum Temperature</w:t>
      </w:r>
    </w:p>
    <w:p w14:paraId="5C073F12" w14:textId="77777777" w:rsidR="0095262B" w:rsidRPr="0095262B" w:rsidRDefault="0095262B" w:rsidP="0095262B">
      <w:pPr>
        <w:spacing w:before="120" w:after="120" w:line="360" w:lineRule="auto"/>
        <w:jc w:val="both"/>
        <w:rPr>
          <w:rFonts w:ascii="Arial" w:hAnsi="Arial" w:cs="Arial"/>
          <w:sz w:val="20"/>
          <w:szCs w:val="20"/>
        </w:rPr>
      </w:pPr>
      <w:r w:rsidRPr="0095262B">
        <w:rPr>
          <w:rFonts w:ascii="Arial" w:hAnsi="Arial" w:cs="Arial"/>
          <w:sz w:val="20"/>
          <w:szCs w:val="20"/>
        </w:rPr>
        <w:t>The effect of temperature on crude phospholipase A</w:t>
      </w:r>
      <w:r w:rsidRPr="0095262B">
        <w:rPr>
          <w:rFonts w:ascii="Arial" w:hAnsi="Arial" w:cs="Arial"/>
          <w:sz w:val="20"/>
          <w:szCs w:val="20"/>
          <w:vertAlign w:val="subscript"/>
        </w:rPr>
        <w:t>2</w:t>
      </w:r>
      <w:r w:rsidRPr="0095262B">
        <w:rPr>
          <w:rFonts w:ascii="Arial" w:hAnsi="Arial" w:cs="Arial"/>
          <w:sz w:val="20"/>
          <w:szCs w:val="20"/>
        </w:rPr>
        <w:t xml:space="preserve"> activity was determined also using the same procedure as in the PLA</w:t>
      </w:r>
      <w:r w:rsidRPr="0095262B">
        <w:rPr>
          <w:rFonts w:ascii="Arial" w:hAnsi="Arial" w:cs="Arial"/>
          <w:sz w:val="20"/>
          <w:szCs w:val="20"/>
          <w:vertAlign w:val="subscript"/>
        </w:rPr>
        <w:t>2</w:t>
      </w:r>
      <w:r w:rsidRPr="0095262B">
        <w:rPr>
          <w:rFonts w:ascii="Arial" w:hAnsi="Arial" w:cs="Arial"/>
          <w:sz w:val="20"/>
          <w:szCs w:val="20"/>
        </w:rPr>
        <w:t xml:space="preserve"> assay as stated by Bhat and Gowda (1989). A total of twenty-five microliters (25 µL) of 0.5 M L-α-lecithin was subjected to incubation with 10 µL of the venom sample (100 µg) for a duration of 10 minutes at varying temperature i.e. 40</w:t>
      </w:r>
      <w:r w:rsidRPr="0095262B">
        <w:rPr>
          <w:rFonts w:ascii="Cambria Math" w:hAnsi="Cambria Math" w:cs="Cambria Math"/>
          <w:sz w:val="20"/>
          <w:szCs w:val="20"/>
        </w:rPr>
        <w:t>℃</w:t>
      </w:r>
      <w:r w:rsidRPr="0095262B">
        <w:rPr>
          <w:rFonts w:ascii="Arial" w:hAnsi="Arial" w:cs="Arial"/>
          <w:sz w:val="20"/>
          <w:szCs w:val="20"/>
        </w:rPr>
        <w:t>, 50</w:t>
      </w:r>
      <w:r w:rsidRPr="0095262B">
        <w:rPr>
          <w:rFonts w:ascii="Cambria Math" w:hAnsi="Cambria Math" w:cs="Cambria Math"/>
          <w:sz w:val="20"/>
          <w:szCs w:val="20"/>
        </w:rPr>
        <w:t>℃</w:t>
      </w:r>
      <w:r w:rsidRPr="0095262B">
        <w:rPr>
          <w:rFonts w:ascii="Arial" w:hAnsi="Arial" w:cs="Arial"/>
          <w:sz w:val="20"/>
          <w:szCs w:val="20"/>
        </w:rPr>
        <w:t>, 60</w:t>
      </w:r>
      <w:r w:rsidRPr="0095262B">
        <w:rPr>
          <w:rFonts w:ascii="Cambria Math" w:hAnsi="Cambria Math" w:cs="Cambria Math"/>
          <w:sz w:val="20"/>
          <w:szCs w:val="20"/>
        </w:rPr>
        <w:t>℃</w:t>
      </w:r>
      <w:r w:rsidRPr="0095262B">
        <w:rPr>
          <w:rFonts w:ascii="Arial" w:hAnsi="Arial" w:cs="Arial"/>
          <w:sz w:val="20"/>
          <w:szCs w:val="20"/>
        </w:rPr>
        <w:t>, 70</w:t>
      </w:r>
      <w:r w:rsidRPr="0095262B">
        <w:rPr>
          <w:rFonts w:ascii="Cambria Math" w:hAnsi="Cambria Math" w:cs="Cambria Math"/>
          <w:sz w:val="20"/>
          <w:szCs w:val="20"/>
        </w:rPr>
        <w:t>℃</w:t>
      </w:r>
      <w:r w:rsidRPr="0095262B">
        <w:rPr>
          <w:rFonts w:ascii="Arial" w:hAnsi="Arial" w:cs="Arial"/>
          <w:sz w:val="20"/>
          <w:szCs w:val="20"/>
        </w:rPr>
        <w:t>, 80</w:t>
      </w:r>
      <w:r w:rsidRPr="0095262B">
        <w:rPr>
          <w:rFonts w:ascii="Cambria Math" w:hAnsi="Cambria Math" w:cs="Cambria Math"/>
          <w:sz w:val="20"/>
          <w:szCs w:val="20"/>
        </w:rPr>
        <w:t>℃</w:t>
      </w:r>
      <w:r w:rsidRPr="0095262B">
        <w:rPr>
          <w:rFonts w:ascii="Arial" w:hAnsi="Arial" w:cs="Arial"/>
          <w:sz w:val="20"/>
          <w:szCs w:val="20"/>
        </w:rPr>
        <w:t xml:space="preserve"> and 90</w:t>
      </w:r>
      <w:r w:rsidRPr="0095262B">
        <w:rPr>
          <w:rFonts w:ascii="Cambria Math" w:hAnsi="Cambria Math" w:cs="Cambria Math"/>
          <w:sz w:val="20"/>
          <w:szCs w:val="20"/>
        </w:rPr>
        <w:t>℃</w:t>
      </w:r>
      <w:r w:rsidRPr="0095262B">
        <w:rPr>
          <w:rFonts w:ascii="Arial" w:hAnsi="Arial" w:cs="Arial"/>
          <w:sz w:val="20"/>
          <w:szCs w:val="20"/>
        </w:rPr>
        <w:t>. Subsequently, the tube was placed in a boiling water bath for 2 minutes to halt the reaction. The liberated fatty acids were titrated against 20 mM NaOH using phenolphthalein as an indicator with the L-α-lecithin.</w:t>
      </w:r>
    </w:p>
    <w:p w14:paraId="1D0B7F57" w14:textId="77777777" w:rsidR="0095262B" w:rsidRPr="0095262B" w:rsidRDefault="0095262B" w:rsidP="0095262B">
      <w:pPr>
        <w:spacing w:before="120" w:after="120" w:line="360" w:lineRule="auto"/>
        <w:jc w:val="both"/>
        <w:rPr>
          <w:rFonts w:ascii="Arial" w:hAnsi="Arial" w:cs="Arial"/>
          <w:b/>
        </w:rPr>
      </w:pPr>
      <w:r w:rsidRPr="0095262B">
        <w:rPr>
          <w:rFonts w:ascii="Arial" w:hAnsi="Arial" w:cs="Arial"/>
          <w:b/>
        </w:rPr>
        <w:t>2.7 Determination of Activation Energy</w:t>
      </w:r>
    </w:p>
    <w:p w14:paraId="5D20F25D" w14:textId="77777777" w:rsidR="0095262B" w:rsidRPr="0095262B" w:rsidRDefault="0095262B" w:rsidP="0095262B">
      <w:pPr>
        <w:spacing w:before="120" w:after="120" w:line="360" w:lineRule="auto"/>
        <w:jc w:val="both"/>
        <w:rPr>
          <w:rFonts w:ascii="Arial" w:hAnsi="Arial" w:cs="Arial"/>
          <w:sz w:val="20"/>
          <w:szCs w:val="20"/>
        </w:rPr>
      </w:pPr>
      <w:r w:rsidRPr="0095262B">
        <w:rPr>
          <w:rFonts w:ascii="Arial" w:hAnsi="Arial" w:cs="Arial"/>
          <w:bCs/>
          <w:sz w:val="20"/>
          <w:szCs w:val="20"/>
        </w:rPr>
        <w:t>T</w:t>
      </w:r>
      <w:r w:rsidRPr="0095262B">
        <w:rPr>
          <w:rFonts w:ascii="Arial" w:hAnsi="Arial" w:cs="Arial"/>
          <w:sz w:val="20"/>
          <w:szCs w:val="20"/>
        </w:rPr>
        <w:t>he activation energy was determined from Arrhenius plot of Log 1/Vo (log of inverse of the enzyme activity) against the reciprocal of temperature (1/T) in Kelvin. Activation energy (</w:t>
      </w:r>
      <w:proofErr w:type="spellStart"/>
      <w:r w:rsidRPr="0095262B">
        <w:rPr>
          <w:rFonts w:ascii="Arial" w:hAnsi="Arial" w:cs="Arial"/>
          <w:sz w:val="20"/>
          <w:szCs w:val="20"/>
        </w:rPr>
        <w:t>Ea</w:t>
      </w:r>
      <w:proofErr w:type="spellEnd"/>
      <w:r w:rsidRPr="0095262B">
        <w:rPr>
          <w:rFonts w:ascii="Arial" w:hAnsi="Arial" w:cs="Arial"/>
          <w:sz w:val="20"/>
          <w:szCs w:val="20"/>
        </w:rPr>
        <w:t>) = -slope x R where R is gas constant.</w:t>
      </w:r>
    </w:p>
    <w:p w14:paraId="53FEB7BF" w14:textId="77777777" w:rsidR="0095262B" w:rsidRPr="0095262B" w:rsidRDefault="0095262B" w:rsidP="0095262B">
      <w:pPr>
        <w:spacing w:before="120" w:after="120" w:line="360" w:lineRule="auto"/>
        <w:jc w:val="both"/>
        <w:rPr>
          <w:rFonts w:ascii="Arial" w:hAnsi="Arial" w:cs="Arial"/>
          <w:b/>
        </w:rPr>
      </w:pPr>
      <w:r w:rsidRPr="0095262B">
        <w:rPr>
          <w:rFonts w:ascii="Arial" w:hAnsi="Arial" w:cs="Arial"/>
          <w:b/>
        </w:rPr>
        <w:t>2.8 Determination of Km and Vmax of PLA</w:t>
      </w:r>
      <w:r w:rsidRPr="0095262B">
        <w:rPr>
          <w:rFonts w:ascii="Arial" w:hAnsi="Arial" w:cs="Arial"/>
          <w:b/>
          <w:vertAlign w:val="subscript"/>
        </w:rPr>
        <w:t>2</w:t>
      </w:r>
    </w:p>
    <w:p w14:paraId="6DDBEBAE" w14:textId="77777777" w:rsidR="0095262B" w:rsidRPr="0095262B" w:rsidRDefault="0095262B" w:rsidP="0095262B">
      <w:pPr>
        <w:spacing w:before="120" w:after="120" w:line="360" w:lineRule="auto"/>
        <w:jc w:val="both"/>
        <w:rPr>
          <w:rFonts w:ascii="Arial" w:hAnsi="Arial" w:cs="Arial"/>
          <w:sz w:val="20"/>
          <w:szCs w:val="20"/>
        </w:rPr>
      </w:pPr>
      <w:r w:rsidRPr="0095262B">
        <w:rPr>
          <w:rFonts w:ascii="Arial" w:hAnsi="Arial" w:cs="Arial"/>
          <w:sz w:val="20"/>
          <w:szCs w:val="20"/>
        </w:rPr>
        <w:t>The Km and the Vmax were determined by incubating the various substrate concentrations (0.5mg/ml, 0.75mg/ml, 1.0mg/ml, 1.25mg/ml and 1.5mg/ml)</w:t>
      </w:r>
      <w:r w:rsidRPr="0095262B">
        <w:rPr>
          <w:rFonts w:ascii="Arial" w:hAnsi="Arial" w:cs="Arial"/>
          <w:b/>
          <w:sz w:val="20"/>
          <w:szCs w:val="20"/>
        </w:rPr>
        <w:t xml:space="preserve"> </w:t>
      </w:r>
      <w:r w:rsidRPr="0095262B">
        <w:rPr>
          <w:rFonts w:ascii="Arial" w:hAnsi="Arial" w:cs="Arial"/>
          <w:sz w:val="20"/>
          <w:szCs w:val="20"/>
        </w:rPr>
        <w:t>with fixed enzyme concentration to get corresponding Vo (enzyme activity) which were then used for double reciprocal plot, from which Km and Vmax were deduced (Km= -1/ x-axis intercept and Vmax = Km/Slope). Hence, it serves as determination of the effect of substrate concentration on the enzyme activity.</w:t>
      </w:r>
    </w:p>
    <w:p w14:paraId="28ED757D" w14:textId="77777777" w:rsidR="0095262B" w:rsidRPr="0095262B" w:rsidRDefault="0095262B" w:rsidP="0095262B">
      <w:pPr>
        <w:pStyle w:val="ListParagraph"/>
        <w:numPr>
          <w:ilvl w:val="0"/>
          <w:numId w:val="1"/>
        </w:numPr>
        <w:spacing w:line="360" w:lineRule="auto"/>
        <w:ind w:left="270" w:hanging="270"/>
        <w:jc w:val="both"/>
        <w:rPr>
          <w:rFonts w:ascii="Arial" w:hAnsi="Arial" w:cs="Arial"/>
          <w:b/>
          <w:bCs/>
        </w:rPr>
      </w:pPr>
      <w:r w:rsidRPr="0095262B">
        <w:rPr>
          <w:rFonts w:ascii="Arial" w:hAnsi="Arial" w:cs="Arial"/>
          <w:b/>
          <w:bCs/>
        </w:rPr>
        <w:t>RESULTS</w:t>
      </w:r>
    </w:p>
    <w:p w14:paraId="38C0F8E1" w14:textId="77777777" w:rsidR="0095262B" w:rsidRPr="0095262B" w:rsidRDefault="0095262B" w:rsidP="0095262B">
      <w:pPr>
        <w:spacing w:before="100" w:beforeAutospacing="1" w:after="100" w:afterAutospacing="1" w:line="360" w:lineRule="auto"/>
        <w:jc w:val="both"/>
        <w:rPr>
          <w:rFonts w:ascii="Arial" w:eastAsia="Times New Roman" w:hAnsi="Arial" w:cs="Arial"/>
        </w:rPr>
      </w:pPr>
      <w:r w:rsidRPr="0095262B">
        <w:rPr>
          <w:rFonts w:ascii="Arial" w:hAnsi="Arial" w:cs="Arial"/>
          <w:b/>
        </w:rPr>
        <w:lastRenderedPageBreak/>
        <w:t xml:space="preserve">3.1 Results of </w:t>
      </w:r>
      <w:r w:rsidRPr="0095262B">
        <w:rPr>
          <w:rFonts w:ascii="Arial" w:eastAsia="Times New Roman" w:hAnsi="Arial" w:cs="Arial"/>
          <w:b/>
        </w:rPr>
        <w:t>Ion-Exchange Chromatography and Sodium Dodecyl Sulphate–Polyacrylamide Gel Electrophoresis (SDS-PAGE).</w:t>
      </w:r>
      <w:r w:rsidRPr="0095262B">
        <w:rPr>
          <w:rFonts w:ascii="Arial" w:eastAsia="Times New Roman" w:hAnsi="Arial" w:cs="Arial"/>
        </w:rPr>
        <w:t xml:space="preserve"> </w:t>
      </w:r>
    </w:p>
    <w:p w14:paraId="5E18999E" w14:textId="77777777" w:rsidR="0095262B" w:rsidRPr="0095262B" w:rsidRDefault="0095262B" w:rsidP="0095262B">
      <w:pPr>
        <w:spacing w:line="360" w:lineRule="auto"/>
        <w:jc w:val="both"/>
        <w:rPr>
          <w:rFonts w:ascii="Arial" w:hAnsi="Arial" w:cs="Arial"/>
          <w:b/>
          <w:bCs/>
          <w:sz w:val="20"/>
          <w:szCs w:val="20"/>
        </w:rPr>
      </w:pPr>
      <w:r w:rsidRPr="0095262B">
        <w:rPr>
          <w:rFonts w:ascii="Arial" w:eastAsia="Times New Roman" w:hAnsi="Arial" w:cs="Arial"/>
          <w:sz w:val="20"/>
          <w:szCs w:val="20"/>
        </w:rPr>
        <w:t xml:space="preserve">These results </w:t>
      </w:r>
      <w:r w:rsidRPr="0095262B">
        <w:rPr>
          <w:rFonts w:ascii="Arial" w:eastAsia="Times New Roman" w:hAnsi="Arial" w:cs="Arial"/>
          <w:bCs/>
          <w:sz w:val="20"/>
          <w:szCs w:val="20"/>
        </w:rPr>
        <w:t>confirmed and characterized</w:t>
      </w:r>
      <w:r w:rsidRPr="0095262B">
        <w:rPr>
          <w:rFonts w:ascii="Arial" w:eastAsia="Times New Roman" w:hAnsi="Arial" w:cs="Arial"/>
          <w:sz w:val="20"/>
          <w:szCs w:val="20"/>
        </w:rPr>
        <w:t xml:space="preserve"> phospholipase A</w:t>
      </w:r>
      <w:r w:rsidRPr="0095262B">
        <w:rPr>
          <w:rFonts w:ascii="Cambria Math" w:eastAsia="Times New Roman" w:hAnsi="Cambria Math" w:cs="Cambria Math"/>
          <w:sz w:val="20"/>
          <w:szCs w:val="20"/>
        </w:rPr>
        <w:t>₂</w:t>
      </w:r>
      <w:r w:rsidRPr="0095262B">
        <w:rPr>
          <w:rFonts w:ascii="Arial" w:eastAsia="Times New Roman" w:hAnsi="Arial" w:cs="Arial"/>
          <w:sz w:val="20"/>
          <w:szCs w:val="20"/>
        </w:rPr>
        <w:t xml:space="preserve"> (PLA</w:t>
      </w:r>
      <w:r w:rsidRPr="0095262B">
        <w:rPr>
          <w:rFonts w:ascii="Cambria Math" w:eastAsia="Times New Roman" w:hAnsi="Cambria Math" w:cs="Cambria Math"/>
          <w:sz w:val="20"/>
          <w:szCs w:val="20"/>
        </w:rPr>
        <w:t>₂</w:t>
      </w:r>
      <w:r w:rsidRPr="0095262B">
        <w:rPr>
          <w:rFonts w:ascii="Arial" w:eastAsia="Times New Roman" w:hAnsi="Arial" w:cs="Arial"/>
          <w:sz w:val="20"/>
          <w:szCs w:val="20"/>
        </w:rPr>
        <w:t xml:space="preserve">) from </w:t>
      </w:r>
      <w:proofErr w:type="spellStart"/>
      <w:r w:rsidRPr="0095262B">
        <w:rPr>
          <w:rFonts w:ascii="Arial" w:eastAsia="Times New Roman" w:hAnsi="Arial" w:cs="Arial"/>
          <w:i/>
          <w:iCs/>
          <w:sz w:val="20"/>
          <w:szCs w:val="20"/>
        </w:rPr>
        <w:t>Naja</w:t>
      </w:r>
      <w:proofErr w:type="spellEnd"/>
      <w:r w:rsidRPr="0095262B">
        <w:rPr>
          <w:rFonts w:ascii="Arial" w:eastAsia="Times New Roman" w:hAnsi="Arial" w:cs="Arial"/>
          <w:i/>
          <w:iCs/>
          <w:sz w:val="20"/>
          <w:szCs w:val="20"/>
        </w:rPr>
        <w:t xml:space="preserve"> </w:t>
      </w:r>
      <w:proofErr w:type="spellStart"/>
      <w:r w:rsidRPr="0095262B">
        <w:rPr>
          <w:rFonts w:ascii="Arial" w:eastAsia="Times New Roman" w:hAnsi="Arial" w:cs="Arial"/>
          <w:i/>
          <w:iCs/>
          <w:sz w:val="20"/>
          <w:szCs w:val="20"/>
        </w:rPr>
        <w:t>melanoleuca</w:t>
      </w:r>
      <w:proofErr w:type="spellEnd"/>
      <w:r w:rsidRPr="0095262B">
        <w:rPr>
          <w:rFonts w:ascii="Arial" w:eastAsia="Times New Roman" w:hAnsi="Arial" w:cs="Arial"/>
          <w:sz w:val="20"/>
          <w:szCs w:val="20"/>
        </w:rPr>
        <w:t xml:space="preserve"> venom through isolation and purification using the ion-exchange chromatography and sodium dodecyl sulphate–polyacrylamide gel electrophoresis (SDS-PAGE). </w:t>
      </w:r>
      <w:r w:rsidRPr="0095262B">
        <w:rPr>
          <w:rFonts w:ascii="Arial" w:hAnsi="Arial" w:cs="Arial"/>
          <w:sz w:val="20"/>
          <w:szCs w:val="20"/>
        </w:rPr>
        <w:t xml:space="preserve">Figure 1 shows the cation-exchange chromatography profile of Nigerian </w:t>
      </w:r>
      <w:proofErr w:type="spellStart"/>
      <w:r w:rsidRPr="0095262B">
        <w:rPr>
          <w:rFonts w:ascii="Arial" w:hAnsi="Arial" w:cs="Arial"/>
          <w:i/>
          <w:sz w:val="20"/>
          <w:szCs w:val="20"/>
        </w:rPr>
        <w:t>Naja</w:t>
      </w:r>
      <w:proofErr w:type="spellEnd"/>
      <w:r w:rsidRPr="0095262B">
        <w:rPr>
          <w:rFonts w:ascii="Arial" w:hAnsi="Arial" w:cs="Arial"/>
          <w:i/>
          <w:sz w:val="20"/>
          <w:szCs w:val="20"/>
        </w:rPr>
        <w:t xml:space="preserve"> </w:t>
      </w:r>
      <w:proofErr w:type="spellStart"/>
      <w:r w:rsidRPr="0095262B">
        <w:rPr>
          <w:rFonts w:ascii="Arial" w:hAnsi="Arial" w:cs="Arial"/>
          <w:i/>
          <w:sz w:val="20"/>
          <w:szCs w:val="20"/>
        </w:rPr>
        <w:t>melanoleuca</w:t>
      </w:r>
      <w:proofErr w:type="spellEnd"/>
      <w:r w:rsidRPr="0095262B">
        <w:rPr>
          <w:rFonts w:ascii="Arial" w:hAnsi="Arial" w:cs="Arial"/>
          <w:sz w:val="20"/>
          <w:szCs w:val="20"/>
        </w:rPr>
        <w:t xml:space="preserve"> venom, highlighting distinct peaks corresponding to hypothesized toxin-containing fractions. The separation on Resource™ S reveals multiple venom components which include Basic and Acidic PLA</w:t>
      </w:r>
      <w:r w:rsidRPr="0095262B">
        <w:rPr>
          <w:rFonts w:ascii="Arial" w:hAnsi="Arial" w:cs="Arial"/>
          <w:sz w:val="20"/>
          <w:szCs w:val="20"/>
          <w:vertAlign w:val="subscript"/>
        </w:rPr>
        <w:t>2</w:t>
      </w:r>
      <w:r w:rsidRPr="0095262B">
        <w:rPr>
          <w:rFonts w:ascii="Arial" w:hAnsi="Arial" w:cs="Arial"/>
          <w:sz w:val="20"/>
          <w:szCs w:val="20"/>
        </w:rPr>
        <w:t xml:space="preserve"> at peak 1 and 3 and Neurotoxins (NTX) and Cytotoxins (CTX) at peak 2 and 4 respectively. The venom contains major basic PLA</w:t>
      </w:r>
      <w:r w:rsidRPr="0095262B">
        <w:rPr>
          <w:rFonts w:ascii="Arial" w:hAnsi="Arial" w:cs="Arial"/>
          <w:sz w:val="20"/>
          <w:szCs w:val="20"/>
          <w:vertAlign w:val="subscript"/>
        </w:rPr>
        <w:t xml:space="preserve">2 </w:t>
      </w:r>
      <w:r w:rsidRPr="0095262B">
        <w:rPr>
          <w:rFonts w:ascii="Arial" w:hAnsi="Arial" w:cs="Arial"/>
          <w:sz w:val="20"/>
          <w:szCs w:val="20"/>
        </w:rPr>
        <w:t>though; the highest peak is a cytotoxic component.</w:t>
      </w:r>
      <w:r w:rsidRPr="0095262B">
        <w:rPr>
          <w:rFonts w:ascii="Arial" w:eastAsia="Times New Roman" w:hAnsi="Arial" w:cs="Arial"/>
          <w:sz w:val="20"/>
          <w:szCs w:val="20"/>
        </w:rPr>
        <w:t xml:space="preserve"> </w:t>
      </w:r>
      <w:r w:rsidRPr="0095262B">
        <w:rPr>
          <w:rFonts w:ascii="Arial" w:hAnsi="Arial" w:cs="Arial"/>
          <w:sz w:val="20"/>
          <w:szCs w:val="20"/>
        </w:rPr>
        <w:t xml:space="preserve">Figure 2 shows the SDS-PAGE profile of proteins from peak 3 of Resource™ S chromatography of Nigerian </w:t>
      </w:r>
      <w:proofErr w:type="spellStart"/>
      <w:r w:rsidRPr="0095262B">
        <w:rPr>
          <w:rFonts w:ascii="Arial" w:hAnsi="Arial" w:cs="Arial"/>
          <w:i/>
          <w:sz w:val="20"/>
          <w:szCs w:val="20"/>
        </w:rPr>
        <w:t>Naja</w:t>
      </w:r>
      <w:proofErr w:type="spellEnd"/>
      <w:r w:rsidRPr="0095262B">
        <w:rPr>
          <w:rFonts w:ascii="Arial" w:hAnsi="Arial" w:cs="Arial"/>
          <w:i/>
          <w:sz w:val="20"/>
          <w:szCs w:val="20"/>
        </w:rPr>
        <w:t xml:space="preserve"> </w:t>
      </w:r>
      <w:proofErr w:type="spellStart"/>
      <w:r w:rsidRPr="0095262B">
        <w:rPr>
          <w:rFonts w:ascii="Arial" w:hAnsi="Arial" w:cs="Arial"/>
          <w:i/>
          <w:sz w:val="20"/>
          <w:szCs w:val="20"/>
        </w:rPr>
        <w:t>melanoleuca</w:t>
      </w:r>
      <w:proofErr w:type="spellEnd"/>
      <w:r w:rsidRPr="0095262B">
        <w:rPr>
          <w:rFonts w:ascii="Arial" w:hAnsi="Arial" w:cs="Arial"/>
          <w:sz w:val="20"/>
          <w:szCs w:val="20"/>
        </w:rPr>
        <w:t xml:space="preserve"> venom. Under reducing conditions, band showing PLA</w:t>
      </w:r>
      <w:r w:rsidRPr="0095262B">
        <w:rPr>
          <w:rFonts w:ascii="Arial" w:hAnsi="Arial" w:cs="Arial"/>
          <w:sz w:val="20"/>
          <w:szCs w:val="20"/>
          <w:vertAlign w:val="subscript"/>
        </w:rPr>
        <w:t>2</w:t>
      </w:r>
      <w:r w:rsidRPr="0095262B">
        <w:rPr>
          <w:rFonts w:ascii="Arial" w:hAnsi="Arial" w:cs="Arial"/>
          <w:sz w:val="20"/>
          <w:szCs w:val="20"/>
        </w:rPr>
        <w:t xml:space="preserve"> was observed around 13.5kDa on Lane 3 where molecular weight markers are on Lane 1 and blank control on Lane 2. The </w:t>
      </w:r>
      <w:r w:rsidRPr="0095262B">
        <w:rPr>
          <w:rStyle w:val="Strong"/>
          <w:rFonts w:ascii="Arial" w:hAnsi="Arial" w:cs="Arial"/>
          <w:sz w:val="20"/>
          <w:szCs w:val="20"/>
        </w:rPr>
        <w:t>Molecular Weight Standards are</w:t>
      </w:r>
      <w:r w:rsidRPr="0095262B">
        <w:rPr>
          <w:rFonts w:ascii="Arial" w:hAnsi="Arial" w:cs="Arial"/>
          <w:sz w:val="20"/>
          <w:szCs w:val="20"/>
        </w:rPr>
        <w:t xml:space="preserve"> Pre-stained protein ladder (5-245 </w:t>
      </w:r>
      <w:proofErr w:type="spellStart"/>
      <w:r w:rsidRPr="0095262B">
        <w:rPr>
          <w:rFonts w:ascii="Arial" w:hAnsi="Arial" w:cs="Arial"/>
          <w:sz w:val="20"/>
          <w:szCs w:val="20"/>
        </w:rPr>
        <w:t>kDa</w:t>
      </w:r>
      <w:proofErr w:type="spellEnd"/>
      <w:r w:rsidRPr="0095262B">
        <w:rPr>
          <w:rFonts w:ascii="Arial" w:hAnsi="Arial" w:cs="Arial"/>
          <w:sz w:val="20"/>
          <w:szCs w:val="20"/>
        </w:rPr>
        <w:t xml:space="preserve"> range). Elapid PLA</w:t>
      </w:r>
      <w:r w:rsidRPr="0095262B">
        <w:rPr>
          <w:rFonts w:ascii="Cambria Math" w:hAnsi="Cambria Math" w:cs="Cambria Math"/>
          <w:sz w:val="20"/>
          <w:szCs w:val="20"/>
        </w:rPr>
        <w:t>₂</w:t>
      </w:r>
      <w:r w:rsidRPr="0095262B">
        <w:rPr>
          <w:rFonts w:ascii="Arial" w:hAnsi="Arial" w:cs="Arial"/>
          <w:sz w:val="20"/>
          <w:szCs w:val="20"/>
        </w:rPr>
        <w:t xml:space="preserve">, (including </w:t>
      </w:r>
      <w:proofErr w:type="spellStart"/>
      <w:r w:rsidRPr="0095262B">
        <w:rPr>
          <w:rStyle w:val="Emphasis"/>
          <w:rFonts w:ascii="Arial" w:hAnsi="Arial" w:cs="Arial"/>
          <w:sz w:val="20"/>
          <w:szCs w:val="20"/>
        </w:rPr>
        <w:t>Naja</w:t>
      </w:r>
      <w:proofErr w:type="spellEnd"/>
      <w:r w:rsidRPr="0095262B">
        <w:rPr>
          <w:rStyle w:val="Emphasis"/>
          <w:rFonts w:ascii="Arial" w:hAnsi="Arial" w:cs="Arial"/>
          <w:sz w:val="20"/>
          <w:szCs w:val="20"/>
        </w:rPr>
        <w:t xml:space="preserve"> </w:t>
      </w:r>
      <w:proofErr w:type="spellStart"/>
      <w:r w:rsidRPr="0095262B">
        <w:rPr>
          <w:rStyle w:val="Emphasis"/>
          <w:rFonts w:ascii="Arial" w:hAnsi="Arial" w:cs="Arial"/>
          <w:sz w:val="20"/>
          <w:szCs w:val="20"/>
        </w:rPr>
        <w:t>nigricollis</w:t>
      </w:r>
      <w:proofErr w:type="spellEnd"/>
      <w:r w:rsidRPr="0095262B">
        <w:rPr>
          <w:rFonts w:ascii="Arial" w:hAnsi="Arial" w:cs="Arial"/>
          <w:sz w:val="20"/>
          <w:szCs w:val="20"/>
        </w:rPr>
        <w:t xml:space="preserve"> and </w:t>
      </w:r>
      <w:proofErr w:type="spellStart"/>
      <w:r w:rsidRPr="0095262B">
        <w:rPr>
          <w:rStyle w:val="Emphasis"/>
          <w:rFonts w:ascii="Arial" w:hAnsi="Arial" w:cs="Arial"/>
          <w:sz w:val="20"/>
          <w:szCs w:val="20"/>
        </w:rPr>
        <w:t>Naja</w:t>
      </w:r>
      <w:proofErr w:type="spellEnd"/>
      <w:r w:rsidRPr="0095262B">
        <w:rPr>
          <w:rStyle w:val="Emphasis"/>
          <w:rFonts w:ascii="Arial" w:hAnsi="Arial" w:cs="Arial"/>
          <w:sz w:val="20"/>
          <w:szCs w:val="20"/>
        </w:rPr>
        <w:t xml:space="preserve"> </w:t>
      </w:r>
      <w:proofErr w:type="spellStart"/>
      <w:r w:rsidRPr="0095262B">
        <w:rPr>
          <w:rStyle w:val="Emphasis"/>
          <w:rFonts w:ascii="Arial" w:hAnsi="Arial" w:cs="Arial"/>
          <w:sz w:val="20"/>
          <w:szCs w:val="20"/>
        </w:rPr>
        <w:t>melanoleuca</w:t>
      </w:r>
      <w:proofErr w:type="spellEnd"/>
      <w:r w:rsidRPr="0095262B">
        <w:rPr>
          <w:rFonts w:ascii="Arial" w:hAnsi="Arial" w:cs="Arial"/>
          <w:sz w:val="20"/>
          <w:szCs w:val="20"/>
        </w:rPr>
        <w:t xml:space="preserve">) migrate on SDS-PAGE at about </w:t>
      </w:r>
      <w:r w:rsidRPr="0095262B">
        <w:rPr>
          <w:rStyle w:val="Strong"/>
          <w:rFonts w:ascii="Arial" w:hAnsi="Arial" w:cs="Arial"/>
          <w:sz w:val="20"/>
          <w:szCs w:val="20"/>
        </w:rPr>
        <w:t xml:space="preserve">14 </w:t>
      </w:r>
      <w:proofErr w:type="spellStart"/>
      <w:r w:rsidRPr="0095262B">
        <w:rPr>
          <w:rStyle w:val="Strong"/>
          <w:rFonts w:ascii="Arial" w:hAnsi="Arial" w:cs="Arial"/>
          <w:sz w:val="20"/>
          <w:szCs w:val="20"/>
        </w:rPr>
        <w:t>kDa</w:t>
      </w:r>
      <w:proofErr w:type="spellEnd"/>
      <w:r w:rsidRPr="0095262B">
        <w:rPr>
          <w:rFonts w:ascii="Arial" w:eastAsia="MS Gothic" w:hAnsi="Arial" w:cs="Arial"/>
          <w:sz w:val="20"/>
          <w:szCs w:val="20"/>
        </w:rPr>
        <w:t xml:space="preserve"> as determined in the work of </w:t>
      </w:r>
      <w:r w:rsidRPr="0095262B">
        <w:rPr>
          <w:rFonts w:ascii="Arial" w:hAnsi="Arial" w:cs="Arial"/>
          <w:sz w:val="20"/>
          <w:szCs w:val="20"/>
        </w:rPr>
        <w:t xml:space="preserve">Habib </w:t>
      </w:r>
      <w:r w:rsidRPr="0095262B">
        <w:rPr>
          <w:rFonts w:ascii="Arial" w:hAnsi="Arial" w:cs="Arial"/>
          <w:i/>
          <w:sz w:val="20"/>
          <w:szCs w:val="20"/>
        </w:rPr>
        <w:t>et al</w:t>
      </w:r>
      <w:r w:rsidRPr="0095262B">
        <w:rPr>
          <w:rFonts w:ascii="Arial" w:hAnsi="Arial" w:cs="Arial"/>
          <w:sz w:val="20"/>
          <w:szCs w:val="20"/>
        </w:rPr>
        <w:t xml:space="preserve">., (2008) Here, there are heterogeneous protein with approximate molecular weight of 35, 26, 20, 13 and 7 </w:t>
      </w:r>
      <w:proofErr w:type="spellStart"/>
      <w:r w:rsidRPr="0095262B">
        <w:rPr>
          <w:rFonts w:ascii="Arial" w:hAnsi="Arial" w:cs="Arial"/>
          <w:sz w:val="20"/>
          <w:szCs w:val="20"/>
        </w:rPr>
        <w:t>kDa</w:t>
      </w:r>
      <w:proofErr w:type="spellEnd"/>
      <w:r w:rsidRPr="0095262B">
        <w:rPr>
          <w:rFonts w:ascii="Arial" w:hAnsi="Arial" w:cs="Arial"/>
          <w:sz w:val="20"/>
          <w:szCs w:val="20"/>
        </w:rPr>
        <w:t xml:space="preserve"> where the PLA</w:t>
      </w:r>
      <w:r w:rsidRPr="0095262B">
        <w:rPr>
          <w:rFonts w:ascii="Arial" w:hAnsi="Arial" w:cs="Arial"/>
          <w:sz w:val="20"/>
          <w:szCs w:val="20"/>
          <w:vertAlign w:val="subscript"/>
        </w:rPr>
        <w:t>2</w:t>
      </w:r>
      <w:r w:rsidRPr="0095262B">
        <w:rPr>
          <w:rFonts w:ascii="Arial" w:hAnsi="Arial" w:cs="Arial"/>
          <w:sz w:val="20"/>
          <w:szCs w:val="20"/>
        </w:rPr>
        <w:t xml:space="preserve"> of African </w:t>
      </w:r>
      <w:proofErr w:type="spellStart"/>
      <w:r w:rsidRPr="0095262B">
        <w:rPr>
          <w:rFonts w:ascii="Arial" w:hAnsi="Arial" w:cs="Arial"/>
          <w:i/>
          <w:sz w:val="20"/>
          <w:szCs w:val="20"/>
        </w:rPr>
        <w:t>Naja</w:t>
      </w:r>
      <w:proofErr w:type="spellEnd"/>
      <w:r w:rsidRPr="0095262B">
        <w:rPr>
          <w:rFonts w:ascii="Arial" w:hAnsi="Arial" w:cs="Arial"/>
          <w:sz w:val="20"/>
          <w:szCs w:val="20"/>
        </w:rPr>
        <w:t xml:space="preserve"> Species weight ranges between 13-15 </w:t>
      </w:r>
      <w:proofErr w:type="spellStart"/>
      <w:r w:rsidRPr="0095262B">
        <w:rPr>
          <w:rFonts w:ascii="Arial" w:hAnsi="Arial" w:cs="Arial"/>
          <w:sz w:val="20"/>
          <w:szCs w:val="20"/>
        </w:rPr>
        <w:t>kDa</w:t>
      </w:r>
      <w:proofErr w:type="spellEnd"/>
      <w:r w:rsidRPr="0095262B">
        <w:rPr>
          <w:rFonts w:ascii="Arial" w:hAnsi="Arial" w:cs="Arial"/>
          <w:sz w:val="20"/>
          <w:szCs w:val="20"/>
        </w:rPr>
        <w:t xml:space="preserve"> (Habib </w:t>
      </w:r>
      <w:r w:rsidRPr="0095262B">
        <w:rPr>
          <w:rFonts w:ascii="Arial" w:hAnsi="Arial" w:cs="Arial"/>
          <w:i/>
          <w:sz w:val="20"/>
          <w:szCs w:val="20"/>
        </w:rPr>
        <w:t>et al</w:t>
      </w:r>
      <w:r w:rsidRPr="0095262B">
        <w:rPr>
          <w:rFonts w:ascii="Arial" w:hAnsi="Arial" w:cs="Arial"/>
          <w:sz w:val="20"/>
          <w:szCs w:val="20"/>
        </w:rPr>
        <w:t>., 2008).</w:t>
      </w:r>
    </w:p>
    <w:p w14:paraId="70CA1FFB" w14:textId="77777777" w:rsidR="0095262B" w:rsidRPr="0095262B" w:rsidRDefault="0095262B" w:rsidP="0095262B">
      <w:pPr>
        <w:pStyle w:val="ListParagraph"/>
        <w:spacing w:line="360" w:lineRule="auto"/>
        <w:ind w:left="900"/>
        <w:jc w:val="both"/>
        <w:rPr>
          <w:rFonts w:ascii="Arial" w:hAnsi="Arial" w:cs="Arial"/>
          <w:b/>
          <w:bCs/>
          <w:sz w:val="20"/>
          <w:szCs w:val="20"/>
        </w:rPr>
      </w:pPr>
      <w:r w:rsidRPr="0095262B">
        <w:rPr>
          <w:rFonts w:ascii="Arial" w:hAnsi="Arial" w:cs="Arial"/>
          <w:sz w:val="20"/>
          <w:szCs w:val="20"/>
          <w:u w:val="single"/>
        </w:rPr>
        <w:t xml:space="preserve"> </w:t>
      </w:r>
    </w:p>
    <w:p w14:paraId="1539DB5E" w14:textId="77777777" w:rsidR="0095262B" w:rsidRPr="0095262B" w:rsidRDefault="0095262B" w:rsidP="0095262B">
      <w:pPr>
        <w:spacing w:after="0" w:line="360" w:lineRule="auto"/>
        <w:rPr>
          <w:rFonts w:ascii="Arial" w:hAnsi="Arial" w:cs="Arial"/>
          <w:noProof/>
          <w:sz w:val="20"/>
          <w:szCs w:val="20"/>
        </w:rPr>
      </w:pPr>
      <w:r w:rsidRPr="0095262B">
        <w:rPr>
          <w:rFonts w:ascii="Arial" w:hAnsi="Arial" w:cs="Arial"/>
          <w:noProof/>
          <w:sz w:val="20"/>
          <w:szCs w:val="20"/>
          <w:lang w:val="en-US" w:eastAsia="en-US"/>
        </w:rPr>
        <mc:AlternateContent>
          <mc:Choice Requires="wps">
            <w:drawing>
              <wp:anchor distT="0" distB="0" distL="114300" distR="114300" simplePos="0" relativeHeight="251661312" behindDoc="0" locked="0" layoutInCell="1" allowOverlap="1" wp14:anchorId="1F2B8320" wp14:editId="63521E6A">
                <wp:simplePos x="0" y="0"/>
                <wp:positionH relativeFrom="column">
                  <wp:posOffset>-285293</wp:posOffset>
                </wp:positionH>
                <wp:positionV relativeFrom="paragraph">
                  <wp:posOffset>683310</wp:posOffset>
                </wp:positionV>
                <wp:extent cx="292100" cy="1894637"/>
                <wp:effectExtent l="0" t="0" r="12700" b="1079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1894637"/>
                        </a:xfrm>
                        <a:prstGeom prst="rect">
                          <a:avLst/>
                        </a:prstGeom>
                        <a:solidFill>
                          <a:srgbClr val="FFFFFF"/>
                        </a:solidFill>
                        <a:ln w="9525">
                          <a:solidFill>
                            <a:schemeClr val="bg1"/>
                          </a:solidFill>
                          <a:miter lim="800000"/>
                          <a:headEnd/>
                          <a:tailEnd/>
                        </a:ln>
                      </wps:spPr>
                      <wps:txbx>
                        <w:txbxContent>
                          <w:p w14:paraId="428ADBD5" w14:textId="77777777" w:rsidR="00B11F1E" w:rsidRPr="008A71A1" w:rsidRDefault="00B11F1E" w:rsidP="0095262B">
                            <w:pPr>
                              <w:jc w:val="both"/>
                              <w:rPr>
                                <w:b/>
                                <w:sz w:val="20"/>
                              </w:rPr>
                            </w:pPr>
                            <w:r>
                              <w:rPr>
                                <w:b/>
                                <w:sz w:val="20"/>
                              </w:rPr>
                              <w:t>Concentration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2B8320" id="_x0000_t202" coordsize="21600,21600" o:spt="202" path="m,l,21600r21600,l21600,xe">
                <v:stroke joinstyle="miter"/>
                <v:path gradientshapeok="t" o:connecttype="rect"/>
              </v:shapetype>
              <v:shape id="Text Box 2" o:spid="_x0000_s1026" type="#_x0000_t202" style="position:absolute;margin-left:-22.45pt;margin-top:53.8pt;width:23pt;height:14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" strokecolor="white [3212]">
                <v:textbox>
                  <w:txbxContent>
                    <w:p w14:paraId="428ADBD5" w14:textId="77777777" w:rsidR="00B11F1E" w:rsidRPr="008A71A1" w:rsidRDefault="00B11F1E" w:rsidP="0095262B">
                      <w:pPr>
                        <w:jc w:val="both"/>
                        <w:rPr>
                          <w:b/>
                          <w:sz w:val="20"/>
                        </w:rPr>
                      </w:pPr>
                      <w:r>
                        <w:rPr>
                          <w:b/>
                          <w:sz w:val="20"/>
                        </w:rPr>
                        <w:t>Concentration</w:t>
                      </w:r>
                    </w:p>
                  </w:txbxContent>
                </v:textbox>
              </v:shape>
            </w:pict>
          </mc:Fallback>
        </mc:AlternateContent>
      </w:r>
      <w:r w:rsidRPr="0095262B">
        <w:rPr>
          <w:rFonts w:ascii="Arial" w:hAnsi="Arial" w:cs="Arial"/>
          <w:noProof/>
          <w:sz w:val="20"/>
          <w:szCs w:val="20"/>
          <w:lang w:val="en-US" w:eastAsia="en-US"/>
        </w:rPr>
        <mc:AlternateContent>
          <mc:Choice Requires="wps">
            <w:drawing>
              <wp:anchor distT="0" distB="0" distL="114300" distR="114300" simplePos="0" relativeHeight="251660288" behindDoc="0" locked="0" layoutInCell="1" allowOverlap="1" wp14:anchorId="6065C6C3" wp14:editId="3B870327">
                <wp:simplePos x="0" y="0"/>
                <wp:positionH relativeFrom="column">
                  <wp:posOffset>5310251</wp:posOffset>
                </wp:positionH>
                <wp:positionV relativeFrom="paragraph">
                  <wp:posOffset>833932</wp:posOffset>
                </wp:positionV>
                <wp:extent cx="292608" cy="1250899"/>
                <wp:effectExtent l="0" t="0" r="12700" b="260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 cy="1250899"/>
                        </a:xfrm>
                        <a:prstGeom prst="rect">
                          <a:avLst/>
                        </a:prstGeom>
                        <a:solidFill>
                          <a:srgbClr val="FFFFFF"/>
                        </a:solidFill>
                        <a:ln w="9525">
                          <a:solidFill>
                            <a:schemeClr val="bg1"/>
                          </a:solidFill>
                          <a:miter lim="800000"/>
                          <a:headEnd/>
                          <a:tailEnd/>
                        </a:ln>
                      </wps:spPr>
                      <wps:txbx>
                        <w:txbxContent>
                          <w:p w14:paraId="45D60AD4" w14:textId="77777777" w:rsidR="00B11F1E" w:rsidRDefault="00B11F1E" w:rsidP="0095262B">
                            <w:r w:rsidRPr="008A71A1">
                              <w:rPr>
                                <w:b/>
                              </w:rPr>
                              <w:t>Buffer</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65C6C3" id="_x0000_s1027" type="#_x0000_t202" style="position:absolute;margin-left:418.15pt;margin-top:65.65pt;width:23.05pt;height: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" strokecolor="white [3212]">
                <v:textbox>
                  <w:txbxContent>
                    <w:p w14:paraId="45D60AD4" w14:textId="77777777" w:rsidR="00B11F1E" w:rsidRDefault="00B11F1E" w:rsidP="0095262B">
                      <w:r w:rsidRPr="008A71A1">
                        <w:rPr>
                          <w:b/>
                        </w:rPr>
                        <w:t>Buffer</w:t>
                      </w:r>
                      <w:r>
                        <w:t xml:space="preserve"> %</w:t>
                      </w:r>
                    </w:p>
                  </w:txbxContent>
                </v:textbox>
              </v:shape>
            </w:pict>
          </mc:Fallback>
        </mc:AlternateContent>
      </w:r>
      <w:r w:rsidRPr="0095262B">
        <w:rPr>
          <w:rFonts w:ascii="Arial" w:hAnsi="Arial" w:cs="Arial"/>
          <w:noProof/>
          <w:sz w:val="20"/>
          <w:szCs w:val="20"/>
        </w:rPr>
        <w:t xml:space="preserve">  </w:t>
      </w:r>
      <w:r w:rsidRPr="0095262B">
        <w:rPr>
          <w:rFonts w:ascii="Arial" w:hAnsi="Arial" w:cs="Arial"/>
          <w:noProof/>
          <w:sz w:val="20"/>
          <w:szCs w:val="20"/>
        </w:rPr>
        <w:object w:dxaOrig="13068" w:dyaOrig="7932" w14:anchorId="4590C0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85pt;height:224.35pt" o:ole="">
            <v:imagedata r:id="rId8" o:title=""/>
          </v:shape>
          <o:OLEObject Type="Embed" ProgID="PBrush" ShapeID="_x0000_i1025" DrawAspect="Content" ObjectID="_1826879060" r:id="rId9"/>
        </w:object>
      </w:r>
    </w:p>
    <w:p w14:paraId="67A1704D" w14:textId="77777777" w:rsidR="0095262B" w:rsidRPr="0095262B" w:rsidRDefault="0095262B" w:rsidP="0095262B">
      <w:pPr>
        <w:spacing w:line="360" w:lineRule="auto"/>
        <w:jc w:val="center"/>
        <w:rPr>
          <w:rFonts w:ascii="Arial" w:hAnsi="Arial" w:cs="Arial"/>
          <w:noProof/>
          <w:sz w:val="20"/>
          <w:szCs w:val="20"/>
        </w:rPr>
      </w:pPr>
      <w:r w:rsidRPr="0095262B">
        <w:rPr>
          <w:rFonts w:ascii="Arial" w:hAnsi="Arial" w:cs="Arial"/>
          <w:b/>
          <w:bCs/>
          <w:color w:val="000000"/>
          <w:sz w:val="20"/>
          <w:szCs w:val="20"/>
        </w:rPr>
        <w:t>Elution time</w:t>
      </w:r>
    </w:p>
    <w:p w14:paraId="375E1AEE" w14:textId="77777777" w:rsidR="0095262B" w:rsidRPr="0095262B" w:rsidRDefault="0095262B" w:rsidP="0095262B">
      <w:pPr>
        <w:spacing w:line="360" w:lineRule="auto"/>
        <w:jc w:val="both"/>
        <w:rPr>
          <w:rFonts w:ascii="Arial" w:hAnsi="Arial" w:cs="Arial"/>
          <w:b/>
          <w:sz w:val="20"/>
          <w:szCs w:val="20"/>
        </w:rPr>
      </w:pPr>
      <w:r w:rsidRPr="0095262B">
        <w:rPr>
          <w:rFonts w:ascii="Arial" w:hAnsi="Arial" w:cs="Arial"/>
          <w:b/>
          <w:bCs/>
          <w:sz w:val="20"/>
          <w:szCs w:val="20"/>
        </w:rPr>
        <w:t xml:space="preserve">Fig. 1. </w:t>
      </w:r>
      <w:r w:rsidRPr="0095262B">
        <w:rPr>
          <w:rFonts w:ascii="Arial" w:hAnsi="Arial" w:cs="Arial"/>
          <w:b/>
          <w:sz w:val="20"/>
          <w:szCs w:val="20"/>
        </w:rPr>
        <w:t xml:space="preserve">Cation-exchange chromatography of Nigerian </w:t>
      </w:r>
      <w:r w:rsidRPr="0095262B">
        <w:rPr>
          <w:rFonts w:ascii="Arial" w:hAnsi="Arial" w:cs="Arial"/>
          <w:b/>
          <w:i/>
          <w:iCs/>
          <w:sz w:val="20"/>
          <w:szCs w:val="20"/>
        </w:rPr>
        <w:t xml:space="preserve">N. </w:t>
      </w:r>
      <w:proofErr w:type="spellStart"/>
      <w:r w:rsidRPr="0095262B">
        <w:rPr>
          <w:rFonts w:ascii="Arial" w:hAnsi="Arial" w:cs="Arial"/>
          <w:b/>
          <w:i/>
          <w:iCs/>
          <w:sz w:val="20"/>
          <w:szCs w:val="20"/>
        </w:rPr>
        <w:t>melanoleoca</w:t>
      </w:r>
      <w:proofErr w:type="spellEnd"/>
      <w:r w:rsidRPr="0095262B">
        <w:rPr>
          <w:rFonts w:ascii="Arial" w:hAnsi="Arial" w:cs="Arial"/>
          <w:b/>
          <w:sz w:val="20"/>
          <w:szCs w:val="20"/>
        </w:rPr>
        <w:t xml:space="preserve"> venom labelled with hypothesized toxin-containing peaks. </w:t>
      </w:r>
      <w:r w:rsidRPr="0095262B">
        <w:rPr>
          <w:rFonts w:ascii="Arial" w:hAnsi="Arial" w:cs="Arial"/>
          <w:sz w:val="20"/>
          <w:szCs w:val="20"/>
        </w:rPr>
        <w:t xml:space="preserve"> </w:t>
      </w:r>
    </w:p>
    <w:p w14:paraId="303BF7F3" w14:textId="77777777" w:rsidR="0095262B" w:rsidRPr="0095262B" w:rsidRDefault="0095262B" w:rsidP="0095262B">
      <w:pPr>
        <w:tabs>
          <w:tab w:val="left" w:pos="2430"/>
          <w:tab w:val="left" w:pos="2790"/>
        </w:tabs>
        <w:spacing w:after="0" w:line="360" w:lineRule="auto"/>
        <w:jc w:val="both"/>
        <w:rPr>
          <w:rFonts w:ascii="Arial" w:hAnsi="Arial" w:cs="Arial"/>
          <w:sz w:val="20"/>
          <w:szCs w:val="20"/>
        </w:rPr>
      </w:pPr>
      <w:r w:rsidRPr="0095262B">
        <w:rPr>
          <w:rFonts w:ascii="Arial" w:hAnsi="Arial" w:cs="Arial"/>
          <w:sz w:val="20"/>
          <w:szCs w:val="20"/>
        </w:rPr>
        <w:tab/>
      </w:r>
      <w:r w:rsidRPr="0095262B">
        <w:rPr>
          <w:rFonts w:ascii="Arial" w:hAnsi="Arial" w:cs="Arial"/>
          <w:sz w:val="20"/>
          <w:szCs w:val="20"/>
        </w:rPr>
        <w:tab/>
      </w:r>
      <w:r w:rsidRPr="0095262B">
        <w:rPr>
          <w:rFonts w:ascii="Arial" w:hAnsi="Arial" w:cs="Arial"/>
          <w:sz w:val="20"/>
          <w:szCs w:val="20"/>
        </w:rPr>
        <w:tab/>
        <w:t xml:space="preserve">    </w:t>
      </w:r>
      <w:r>
        <w:rPr>
          <w:rFonts w:ascii="Arial" w:hAnsi="Arial" w:cs="Arial"/>
          <w:sz w:val="20"/>
          <w:szCs w:val="20"/>
        </w:rPr>
        <w:t xml:space="preserve">       </w:t>
      </w:r>
    </w:p>
    <w:p w14:paraId="07A3F6CE" w14:textId="77777777" w:rsidR="0095262B" w:rsidRPr="0095262B" w:rsidRDefault="0095262B" w:rsidP="0095262B">
      <w:pPr>
        <w:tabs>
          <w:tab w:val="left" w:pos="2430"/>
          <w:tab w:val="left" w:pos="2790"/>
        </w:tabs>
        <w:spacing w:after="0" w:line="360" w:lineRule="auto"/>
        <w:jc w:val="both"/>
        <w:rPr>
          <w:rFonts w:ascii="Arial" w:hAnsi="Arial" w:cs="Arial"/>
          <w:b/>
          <w:sz w:val="20"/>
          <w:szCs w:val="20"/>
        </w:rPr>
      </w:pPr>
      <w:r w:rsidRPr="0095262B">
        <w:rPr>
          <w:rFonts w:ascii="Arial" w:hAnsi="Arial" w:cs="Arial"/>
          <w:sz w:val="20"/>
          <w:szCs w:val="20"/>
        </w:rPr>
        <w:tab/>
      </w:r>
      <w:r w:rsidRPr="0095262B">
        <w:rPr>
          <w:rFonts w:ascii="Arial" w:hAnsi="Arial" w:cs="Arial"/>
          <w:sz w:val="20"/>
          <w:szCs w:val="20"/>
        </w:rPr>
        <w:tab/>
      </w:r>
      <w:r w:rsidRPr="0095262B">
        <w:rPr>
          <w:rFonts w:ascii="Arial" w:hAnsi="Arial" w:cs="Arial"/>
          <w:sz w:val="20"/>
          <w:szCs w:val="20"/>
        </w:rPr>
        <w:tab/>
      </w:r>
      <w:r w:rsidRPr="0095262B">
        <w:rPr>
          <w:rFonts w:ascii="Arial" w:hAnsi="Arial" w:cs="Arial"/>
          <w:sz w:val="20"/>
          <w:szCs w:val="20"/>
        </w:rPr>
        <w:tab/>
        <w:t xml:space="preserve">   </w:t>
      </w:r>
      <w:proofErr w:type="gramStart"/>
      <w:r w:rsidRPr="0095262B">
        <w:rPr>
          <w:rFonts w:ascii="Arial" w:hAnsi="Arial" w:cs="Arial"/>
          <w:b/>
          <w:sz w:val="20"/>
          <w:szCs w:val="20"/>
        </w:rPr>
        <w:t xml:space="preserve">1  </w:t>
      </w:r>
      <w:r w:rsidRPr="0095262B">
        <w:rPr>
          <w:rFonts w:ascii="Arial" w:hAnsi="Arial" w:cs="Arial"/>
          <w:b/>
          <w:sz w:val="20"/>
          <w:szCs w:val="20"/>
        </w:rPr>
        <w:tab/>
      </w:r>
      <w:proofErr w:type="gramEnd"/>
      <w:r w:rsidRPr="0095262B">
        <w:rPr>
          <w:rFonts w:ascii="Arial" w:hAnsi="Arial" w:cs="Arial"/>
          <w:b/>
          <w:sz w:val="20"/>
          <w:szCs w:val="20"/>
        </w:rPr>
        <w:t xml:space="preserve">    2</w:t>
      </w:r>
      <w:r w:rsidRPr="0095262B">
        <w:rPr>
          <w:rFonts w:ascii="Arial" w:hAnsi="Arial" w:cs="Arial"/>
          <w:b/>
          <w:sz w:val="20"/>
          <w:szCs w:val="20"/>
        </w:rPr>
        <w:tab/>
        <w:t xml:space="preserve">        3</w:t>
      </w:r>
    </w:p>
    <w:p w14:paraId="383FE1ED" w14:textId="77777777" w:rsidR="0095262B" w:rsidRPr="0095262B" w:rsidRDefault="0095262B" w:rsidP="0095262B">
      <w:pPr>
        <w:spacing w:line="360" w:lineRule="auto"/>
        <w:jc w:val="center"/>
        <w:rPr>
          <w:rFonts w:ascii="Arial" w:hAnsi="Arial" w:cs="Arial"/>
          <w:b/>
          <w:bCs/>
          <w:sz w:val="20"/>
          <w:szCs w:val="20"/>
        </w:rPr>
      </w:pPr>
      <w:r w:rsidRPr="0095262B">
        <w:rPr>
          <w:rFonts w:ascii="Arial" w:hAnsi="Arial" w:cs="Arial"/>
          <w:b/>
          <w:bCs/>
          <w:noProof/>
          <w:sz w:val="20"/>
          <w:szCs w:val="20"/>
          <w:lang w:val="en-US" w:eastAsia="en-US"/>
        </w:rPr>
        <w:lastRenderedPageBreak/>
        <w:drawing>
          <wp:inline distT="0" distB="0" distL="0" distR="0" wp14:anchorId="5D3A31E2" wp14:editId="1C9885B1">
            <wp:extent cx="2523975" cy="422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004298" name=""/>
                    <pic:cNvPicPr/>
                  </pic:nvPicPr>
                  <pic:blipFill rotWithShape="1">
                    <a:blip r:embed="rId10"/>
                    <a:srcRect l="15089" r="18334"/>
                    <a:stretch/>
                  </pic:blipFill>
                  <pic:spPr bwMode="auto">
                    <a:xfrm>
                      <a:off x="0" y="0"/>
                      <a:ext cx="2559570" cy="4288742"/>
                    </a:xfrm>
                    <a:prstGeom prst="rect">
                      <a:avLst/>
                    </a:prstGeom>
                    <a:ln>
                      <a:noFill/>
                    </a:ln>
                    <a:extLst>
                      <a:ext uri="{53640926-AAD7-44D8-BBD7-CCE9431645EC}">
                        <a14:shadowObscured xmlns:a14="http://schemas.microsoft.com/office/drawing/2010/main"/>
                      </a:ext>
                    </a:extLst>
                  </pic:spPr>
                </pic:pic>
              </a:graphicData>
            </a:graphic>
          </wp:inline>
        </w:drawing>
      </w:r>
      <w:r w:rsidRPr="0095262B">
        <w:rPr>
          <w:rFonts w:ascii="Arial" w:hAnsi="Arial" w:cs="Arial"/>
          <w:b/>
          <w:bCs/>
          <w:noProof/>
          <w:sz w:val="20"/>
          <w:szCs w:val="20"/>
          <w:lang w:val="en-US" w:eastAsia="en-US"/>
        </w:rPr>
        <mc:AlternateContent>
          <mc:Choice Requires="wps">
            <w:drawing>
              <wp:anchor distT="0" distB="0" distL="114300" distR="114300" simplePos="0" relativeHeight="251659264" behindDoc="0" locked="0" layoutInCell="1" allowOverlap="1" wp14:anchorId="224DA1EE" wp14:editId="1749FE02">
                <wp:simplePos x="0" y="0"/>
                <wp:positionH relativeFrom="column">
                  <wp:posOffset>4124325</wp:posOffset>
                </wp:positionH>
                <wp:positionV relativeFrom="paragraph">
                  <wp:posOffset>2456180</wp:posOffset>
                </wp:positionV>
                <wp:extent cx="2305050" cy="3429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342900"/>
                        </a:xfrm>
                        <a:prstGeom prst="rect">
                          <a:avLst/>
                        </a:prstGeom>
                        <a:solidFill>
                          <a:schemeClr val="bg1">
                            <a:alpha val="0"/>
                          </a:schemeClr>
                        </a:solidFill>
                        <a:ln w="9525">
                          <a:solidFill>
                            <a:schemeClr val="bg1"/>
                          </a:solidFill>
                          <a:miter lim="800000"/>
                          <a:headEnd/>
                          <a:tailEnd/>
                        </a:ln>
                      </wps:spPr>
                      <wps:txbx>
                        <w:txbxContent>
                          <w:p w14:paraId="6A01E655" w14:textId="77777777" w:rsidR="00B11F1E" w:rsidRPr="002373FD" w:rsidRDefault="00B11F1E" w:rsidP="0095262B">
                            <w:pPr>
                              <w:rPr>
                                <w:rFonts w:ascii="Times New Roman" w:hAnsi="Times New Roman" w:cs="Times New Roman"/>
                                <w:sz w:val="40"/>
                                <w:szCs w:val="40"/>
                              </w:rPr>
                            </w:pPr>
                            <w:r w:rsidRPr="009D5633">
                              <w:rPr>
                                <w:rFonts w:ascii="Times New Roman" w:hAnsi="Times New Roman" w:cs="Times New Roman"/>
                                <w:b/>
                                <w:sz w:val="40"/>
                                <w:szCs w:val="40"/>
                              </w:rPr>
                              <w:t>←</w:t>
                            </w:r>
                            <w:r>
                              <w:rPr>
                                <w:rFonts w:ascii="Times New Roman" w:hAnsi="Times New Roman" w:cs="Times New Roman"/>
                                <w:b/>
                                <w:sz w:val="40"/>
                                <w:szCs w:val="40"/>
                              </w:rPr>
                              <w:t xml:space="preserve"> </w:t>
                            </w:r>
                            <w:r w:rsidRPr="002373FD">
                              <w:rPr>
                                <w:rFonts w:ascii="Times New Roman" w:hAnsi="Times New Roman" w:cs="Times New Roman"/>
                                <w:b/>
                              </w:rPr>
                              <w:t>About</w:t>
                            </w:r>
                            <w:r w:rsidRPr="002373FD">
                              <w:rPr>
                                <w:rFonts w:ascii="Times New Roman" w:hAnsi="Times New Roman" w:cs="Times New Roman"/>
                              </w:rPr>
                              <w:t xml:space="preserve"> </w:t>
                            </w:r>
                            <w:r>
                              <w:rPr>
                                <w:rStyle w:val="Strong"/>
                                <w:rFonts w:ascii="Times New Roman" w:hAnsi="Times New Roman" w:cs="Times New Roman"/>
                              </w:rPr>
                              <w:t>13-14</w:t>
                            </w:r>
                            <w:r w:rsidRPr="002373FD">
                              <w:rPr>
                                <w:rStyle w:val="Strong"/>
                                <w:rFonts w:ascii="Times New Roman" w:hAnsi="Times New Roman" w:cs="Times New Roman"/>
                              </w:rPr>
                              <w:t xml:space="preserve"> kDa of the PLA</w:t>
                            </w:r>
                            <w:r w:rsidRPr="002373FD">
                              <w:rPr>
                                <w:rStyle w:val="Strong"/>
                                <w:rFonts w:ascii="Times New Roman" w:hAnsi="Times New Roman" w:cs="Times New Roman"/>
                                <w:vertAlign w:val="subscript"/>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4DA1EE" id="_x0000_s1028" type="#_x0000_t202" style="position:absolute;left:0;text-align:left;margin-left:324.75pt;margin-top:193.4pt;width:181.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" fillcolor="white [3212]" strokecolor="white [3212]">
                <v:fill opacity="0"/>
                <v:textbox>
                  <w:txbxContent>
                    <w:p w14:paraId="6A01E655" w14:textId="77777777" w:rsidR="00B11F1E" w:rsidRPr="002373FD" w:rsidRDefault="00B11F1E" w:rsidP="0095262B">
                      <w:pPr>
                        <w:rPr>
                          <w:rFonts w:ascii="Times New Roman" w:hAnsi="Times New Roman" w:cs="Times New Roman"/>
                          <w:sz w:val="40"/>
                          <w:szCs w:val="40"/>
                        </w:rPr>
                      </w:pPr>
                      <w:r w:rsidRPr="009D5633">
                        <w:rPr>
                          <w:rFonts w:ascii="Times New Roman" w:hAnsi="Times New Roman" w:cs="Times New Roman"/>
                          <w:b/>
                          <w:sz w:val="40"/>
                          <w:szCs w:val="40"/>
                        </w:rPr>
                        <w:t>←</w:t>
                      </w:r>
                      <w:r>
                        <w:rPr>
                          <w:rFonts w:ascii="Times New Roman" w:hAnsi="Times New Roman" w:cs="Times New Roman"/>
                          <w:b/>
                          <w:sz w:val="40"/>
                          <w:szCs w:val="40"/>
                        </w:rPr>
                        <w:t xml:space="preserve"> </w:t>
                      </w:r>
                      <w:r w:rsidRPr="002373FD">
                        <w:rPr>
                          <w:rFonts w:ascii="Times New Roman" w:hAnsi="Times New Roman" w:cs="Times New Roman"/>
                          <w:b/>
                        </w:rPr>
                        <w:t>About</w:t>
                      </w:r>
                      <w:r w:rsidRPr="002373FD">
                        <w:rPr>
                          <w:rFonts w:ascii="Times New Roman" w:hAnsi="Times New Roman" w:cs="Times New Roman"/>
                        </w:rPr>
                        <w:t xml:space="preserve"> </w:t>
                      </w:r>
                      <w:r>
                        <w:rPr>
                          <w:rStyle w:val="Strong"/>
                          <w:rFonts w:ascii="Times New Roman" w:hAnsi="Times New Roman" w:cs="Times New Roman"/>
                        </w:rPr>
                        <w:t>13-14</w:t>
                      </w:r>
                      <w:r w:rsidRPr="002373FD">
                        <w:rPr>
                          <w:rStyle w:val="Strong"/>
                          <w:rFonts w:ascii="Times New Roman" w:hAnsi="Times New Roman" w:cs="Times New Roman"/>
                        </w:rPr>
                        <w:t xml:space="preserve"> kDa of the PLA</w:t>
                      </w:r>
                      <w:r w:rsidRPr="002373FD">
                        <w:rPr>
                          <w:rStyle w:val="Strong"/>
                          <w:rFonts w:ascii="Times New Roman" w:hAnsi="Times New Roman" w:cs="Times New Roman"/>
                          <w:vertAlign w:val="subscript"/>
                        </w:rPr>
                        <w:t>2</w:t>
                      </w:r>
                    </w:p>
                  </w:txbxContent>
                </v:textbox>
              </v:shape>
            </w:pict>
          </mc:Fallback>
        </mc:AlternateContent>
      </w:r>
    </w:p>
    <w:p w14:paraId="05CB1792" w14:textId="77777777" w:rsidR="0095262B" w:rsidRPr="0095262B" w:rsidRDefault="0095262B" w:rsidP="0095262B">
      <w:pPr>
        <w:spacing w:line="360" w:lineRule="auto"/>
        <w:jc w:val="both"/>
        <w:rPr>
          <w:rFonts w:ascii="Arial" w:hAnsi="Arial" w:cs="Arial"/>
          <w:b/>
          <w:sz w:val="20"/>
          <w:szCs w:val="20"/>
        </w:rPr>
      </w:pPr>
      <w:r w:rsidRPr="0095262B">
        <w:rPr>
          <w:rFonts w:ascii="Arial" w:hAnsi="Arial" w:cs="Arial"/>
          <w:b/>
          <w:bCs/>
          <w:sz w:val="20"/>
          <w:szCs w:val="20"/>
        </w:rPr>
        <w:t>Fig. 2.</w:t>
      </w:r>
      <w:r w:rsidRPr="0095262B">
        <w:rPr>
          <w:rFonts w:ascii="Arial" w:hAnsi="Arial" w:cs="Arial"/>
          <w:sz w:val="20"/>
          <w:szCs w:val="20"/>
        </w:rPr>
        <w:t xml:space="preserve"> </w:t>
      </w:r>
      <w:r w:rsidRPr="0095262B">
        <w:rPr>
          <w:rFonts w:ascii="Arial" w:hAnsi="Arial" w:cs="Arial"/>
          <w:b/>
          <w:sz w:val="20"/>
          <w:szCs w:val="20"/>
        </w:rPr>
        <w:t xml:space="preserve">Electrophoretic profile of proteins from peak 3 of Resource™ S chromatography of Nigerian </w:t>
      </w:r>
      <w:proofErr w:type="spellStart"/>
      <w:r w:rsidRPr="0095262B">
        <w:rPr>
          <w:rFonts w:ascii="Arial" w:hAnsi="Arial" w:cs="Arial"/>
          <w:b/>
          <w:i/>
          <w:iCs/>
          <w:sz w:val="20"/>
          <w:szCs w:val="20"/>
        </w:rPr>
        <w:t>Naja</w:t>
      </w:r>
      <w:proofErr w:type="spellEnd"/>
      <w:r w:rsidRPr="0095262B">
        <w:rPr>
          <w:rFonts w:ascii="Arial" w:hAnsi="Arial" w:cs="Arial"/>
          <w:b/>
          <w:i/>
          <w:iCs/>
          <w:sz w:val="20"/>
          <w:szCs w:val="20"/>
        </w:rPr>
        <w:t xml:space="preserve"> </w:t>
      </w:r>
      <w:proofErr w:type="spellStart"/>
      <w:r w:rsidRPr="0095262B">
        <w:rPr>
          <w:rFonts w:ascii="Arial" w:hAnsi="Arial" w:cs="Arial"/>
          <w:b/>
          <w:i/>
          <w:iCs/>
          <w:sz w:val="20"/>
          <w:szCs w:val="20"/>
        </w:rPr>
        <w:t>melanoleuca</w:t>
      </w:r>
      <w:proofErr w:type="spellEnd"/>
      <w:r w:rsidRPr="0095262B">
        <w:rPr>
          <w:rFonts w:ascii="Arial" w:hAnsi="Arial" w:cs="Arial"/>
          <w:b/>
          <w:i/>
          <w:iCs/>
          <w:sz w:val="20"/>
          <w:szCs w:val="20"/>
        </w:rPr>
        <w:t xml:space="preserve"> </w:t>
      </w:r>
      <w:r w:rsidRPr="0095262B">
        <w:rPr>
          <w:rFonts w:ascii="Arial" w:hAnsi="Arial" w:cs="Arial"/>
          <w:b/>
          <w:sz w:val="20"/>
          <w:szCs w:val="20"/>
        </w:rPr>
        <w:t xml:space="preserve">venom on 15% sodium dodecyl </w:t>
      </w:r>
      <w:proofErr w:type="spellStart"/>
      <w:r w:rsidRPr="0095262B">
        <w:rPr>
          <w:rFonts w:ascii="Arial" w:hAnsi="Arial" w:cs="Arial"/>
          <w:b/>
          <w:sz w:val="20"/>
          <w:szCs w:val="20"/>
        </w:rPr>
        <w:t>sulfate</w:t>
      </w:r>
      <w:proofErr w:type="spellEnd"/>
      <w:r w:rsidRPr="0095262B">
        <w:rPr>
          <w:rFonts w:ascii="Arial" w:hAnsi="Arial" w:cs="Arial"/>
          <w:b/>
          <w:sz w:val="20"/>
          <w:szCs w:val="20"/>
        </w:rPr>
        <w:t xml:space="preserve">-polyacrylamide gel electrophoresis (SDS-PAGE) under reducing conditions. The SDS-PAGE gel is showing molecular weight markers (Lane 1), blank control (Lane 2), and protein sample (Lane 3). The </w:t>
      </w:r>
      <w:r w:rsidRPr="0095262B">
        <w:rPr>
          <w:rStyle w:val="Strong"/>
          <w:rFonts w:ascii="Arial" w:hAnsi="Arial" w:cs="Arial"/>
          <w:sz w:val="20"/>
          <w:szCs w:val="20"/>
        </w:rPr>
        <w:t>Molecular Weight Standards are</w:t>
      </w:r>
      <w:r w:rsidRPr="0095262B">
        <w:rPr>
          <w:rFonts w:ascii="Arial" w:hAnsi="Arial" w:cs="Arial"/>
          <w:b/>
          <w:sz w:val="20"/>
          <w:szCs w:val="20"/>
        </w:rPr>
        <w:t xml:space="preserve"> Pre-stained protein ladder (5-245 </w:t>
      </w:r>
      <w:proofErr w:type="spellStart"/>
      <w:r w:rsidRPr="0095262B">
        <w:rPr>
          <w:rFonts w:ascii="Arial" w:hAnsi="Arial" w:cs="Arial"/>
          <w:b/>
          <w:sz w:val="20"/>
          <w:szCs w:val="20"/>
        </w:rPr>
        <w:t>kDa</w:t>
      </w:r>
      <w:proofErr w:type="spellEnd"/>
      <w:r w:rsidRPr="0095262B">
        <w:rPr>
          <w:rFonts w:ascii="Arial" w:hAnsi="Arial" w:cs="Arial"/>
          <w:b/>
          <w:sz w:val="20"/>
          <w:szCs w:val="20"/>
        </w:rPr>
        <w:t xml:space="preserve"> range).</w:t>
      </w:r>
    </w:p>
    <w:p w14:paraId="5B53E0AD" w14:textId="77777777" w:rsidR="0095262B" w:rsidRPr="0095262B" w:rsidRDefault="0095262B" w:rsidP="0095262B">
      <w:pPr>
        <w:spacing w:before="100" w:beforeAutospacing="1" w:after="100" w:afterAutospacing="1" w:line="360" w:lineRule="auto"/>
        <w:jc w:val="both"/>
        <w:rPr>
          <w:rFonts w:ascii="Arial" w:eastAsia="Times New Roman" w:hAnsi="Arial" w:cs="Arial"/>
          <w:b/>
        </w:rPr>
      </w:pPr>
      <w:r w:rsidRPr="0095262B">
        <w:rPr>
          <w:rFonts w:ascii="Arial" w:hAnsi="Arial" w:cs="Arial"/>
          <w:b/>
        </w:rPr>
        <w:t xml:space="preserve">3.2 Results of </w:t>
      </w:r>
      <w:r w:rsidRPr="0095262B">
        <w:rPr>
          <w:rFonts w:ascii="Arial" w:eastAsia="Times New Roman" w:hAnsi="Arial" w:cs="Arial"/>
          <w:b/>
        </w:rPr>
        <w:t xml:space="preserve">the Kinetic Parameters of </w:t>
      </w:r>
      <w:proofErr w:type="spellStart"/>
      <w:r w:rsidRPr="0095262B">
        <w:rPr>
          <w:rFonts w:ascii="Arial" w:eastAsia="Times New Roman" w:hAnsi="Arial" w:cs="Arial"/>
          <w:b/>
          <w:i/>
          <w:iCs/>
        </w:rPr>
        <w:t>Naja</w:t>
      </w:r>
      <w:proofErr w:type="spellEnd"/>
      <w:r w:rsidRPr="0095262B">
        <w:rPr>
          <w:rFonts w:ascii="Arial" w:eastAsia="Times New Roman" w:hAnsi="Arial" w:cs="Arial"/>
          <w:b/>
          <w:i/>
          <w:iCs/>
        </w:rPr>
        <w:t xml:space="preserve"> </w:t>
      </w:r>
      <w:proofErr w:type="spellStart"/>
      <w:r w:rsidRPr="0095262B">
        <w:rPr>
          <w:rFonts w:ascii="Arial" w:eastAsia="Times New Roman" w:hAnsi="Arial" w:cs="Arial"/>
          <w:b/>
          <w:i/>
          <w:iCs/>
        </w:rPr>
        <w:t>melanoleuca</w:t>
      </w:r>
      <w:proofErr w:type="spellEnd"/>
      <w:r w:rsidRPr="0095262B">
        <w:rPr>
          <w:rFonts w:ascii="Arial" w:eastAsia="Times New Roman" w:hAnsi="Arial" w:cs="Arial"/>
          <w:b/>
        </w:rPr>
        <w:t xml:space="preserve"> Venom PLA</w:t>
      </w:r>
      <w:r w:rsidRPr="0095262B">
        <w:rPr>
          <w:rFonts w:ascii="Cambria Math" w:eastAsia="Times New Roman" w:hAnsi="Cambria Math" w:cs="Cambria Math"/>
          <w:b/>
        </w:rPr>
        <w:t>₂</w:t>
      </w:r>
      <w:r w:rsidRPr="0095262B">
        <w:rPr>
          <w:rFonts w:ascii="Arial" w:eastAsia="Times New Roman" w:hAnsi="Arial" w:cs="Arial"/>
          <w:b/>
        </w:rPr>
        <w:t>.</w:t>
      </w:r>
    </w:p>
    <w:p w14:paraId="3BDF463B" w14:textId="77777777" w:rsidR="0095262B" w:rsidRPr="0095262B" w:rsidRDefault="0095262B" w:rsidP="0095262B">
      <w:pPr>
        <w:pStyle w:val="NormalWeb"/>
        <w:spacing w:line="360" w:lineRule="auto"/>
        <w:jc w:val="both"/>
        <w:rPr>
          <w:rFonts w:ascii="Arial" w:hAnsi="Arial" w:cs="Arial"/>
          <w:sz w:val="20"/>
          <w:szCs w:val="20"/>
        </w:rPr>
      </w:pPr>
      <w:r w:rsidRPr="0095262B">
        <w:rPr>
          <w:rFonts w:ascii="Arial" w:hAnsi="Arial" w:cs="Arial"/>
          <w:sz w:val="20"/>
          <w:szCs w:val="20"/>
        </w:rPr>
        <w:t>From the kinetic parameter assessments</w:t>
      </w:r>
      <w:r w:rsidRPr="0095262B">
        <w:rPr>
          <w:rFonts w:ascii="Arial" w:hAnsi="Arial" w:cs="Arial"/>
          <w:b/>
          <w:sz w:val="20"/>
          <w:szCs w:val="20"/>
        </w:rPr>
        <w:t xml:space="preserve">, </w:t>
      </w:r>
      <w:r w:rsidRPr="0095262B">
        <w:rPr>
          <w:rFonts w:ascii="Arial" w:hAnsi="Arial" w:cs="Arial"/>
          <w:sz w:val="20"/>
          <w:szCs w:val="20"/>
        </w:rPr>
        <w:t xml:space="preserve">Figure 3 shows the optimum pH for </w:t>
      </w:r>
      <w:proofErr w:type="spellStart"/>
      <w:r w:rsidRPr="0095262B">
        <w:rPr>
          <w:rStyle w:val="Emphasis"/>
          <w:rFonts w:ascii="Arial" w:hAnsi="Arial" w:cs="Arial"/>
          <w:sz w:val="20"/>
          <w:szCs w:val="20"/>
        </w:rPr>
        <w:t>Naja</w:t>
      </w:r>
      <w:proofErr w:type="spellEnd"/>
      <w:r w:rsidRPr="0095262B">
        <w:rPr>
          <w:rStyle w:val="Emphasis"/>
          <w:rFonts w:ascii="Arial" w:hAnsi="Arial" w:cs="Arial"/>
          <w:sz w:val="20"/>
          <w:szCs w:val="20"/>
        </w:rPr>
        <w:t xml:space="preserve"> </w:t>
      </w:r>
      <w:proofErr w:type="spellStart"/>
      <w:r w:rsidRPr="0095262B">
        <w:rPr>
          <w:rStyle w:val="Emphasis"/>
          <w:rFonts w:ascii="Arial" w:hAnsi="Arial" w:cs="Arial"/>
          <w:sz w:val="20"/>
          <w:szCs w:val="20"/>
        </w:rPr>
        <w:t>melanoleuca</w:t>
      </w:r>
      <w:proofErr w:type="spellEnd"/>
      <w:r w:rsidRPr="0095262B">
        <w:rPr>
          <w:rFonts w:ascii="Arial" w:hAnsi="Arial" w:cs="Arial"/>
          <w:sz w:val="20"/>
          <w:szCs w:val="20"/>
        </w:rPr>
        <w:t xml:space="preserve"> PLA</w:t>
      </w:r>
      <w:r w:rsidRPr="0095262B">
        <w:rPr>
          <w:rFonts w:ascii="Arial" w:hAnsi="Arial" w:cs="Arial"/>
          <w:sz w:val="20"/>
          <w:szCs w:val="20"/>
          <w:vertAlign w:val="subscript"/>
        </w:rPr>
        <w:t>2</w:t>
      </w:r>
      <w:r w:rsidRPr="0095262B">
        <w:rPr>
          <w:rFonts w:ascii="Arial" w:hAnsi="Arial" w:cs="Arial"/>
          <w:sz w:val="20"/>
          <w:szCs w:val="20"/>
        </w:rPr>
        <w:t xml:space="preserve"> approximately at </w:t>
      </w:r>
      <w:r w:rsidRPr="0095262B">
        <w:rPr>
          <w:rStyle w:val="Strong"/>
          <w:rFonts w:ascii="Arial" w:hAnsi="Arial" w:cs="Arial"/>
          <w:sz w:val="20"/>
          <w:szCs w:val="20"/>
        </w:rPr>
        <w:t>pH 8.0</w:t>
      </w:r>
      <w:r w:rsidRPr="0095262B">
        <w:rPr>
          <w:rFonts w:ascii="Arial" w:hAnsi="Arial" w:cs="Arial"/>
          <w:sz w:val="20"/>
          <w:szCs w:val="20"/>
        </w:rPr>
        <w:t xml:space="preserve"> based on the curve, the graph displays a classic bell-shaped pH-activity profile, which is characteristic of most enzymes. This shape arises because the ionization state of amino acid residues in the enzyme's active site, and indeed its overall tertiary structure, is dependent on </w:t>
      </w:r>
      <w:proofErr w:type="spellStart"/>
      <w:r w:rsidRPr="0095262B">
        <w:rPr>
          <w:rFonts w:ascii="Arial" w:hAnsi="Arial" w:cs="Arial"/>
          <w:sz w:val="20"/>
          <w:szCs w:val="20"/>
        </w:rPr>
        <w:t>pH.</w:t>
      </w:r>
      <w:proofErr w:type="spellEnd"/>
      <w:r w:rsidRPr="0095262B">
        <w:rPr>
          <w:rFonts w:ascii="Arial" w:hAnsi="Arial" w:cs="Arial"/>
          <w:sz w:val="20"/>
          <w:szCs w:val="20"/>
        </w:rPr>
        <w:t xml:space="preserve"> It is generally known that the activity of PLA</w:t>
      </w:r>
      <w:r w:rsidRPr="0095262B">
        <w:rPr>
          <w:rFonts w:ascii="Arial" w:hAnsi="Arial" w:cs="Arial"/>
          <w:sz w:val="20"/>
          <w:szCs w:val="20"/>
          <w:vertAlign w:val="subscript"/>
        </w:rPr>
        <w:t xml:space="preserve">2 </w:t>
      </w:r>
      <w:r w:rsidRPr="0095262B">
        <w:rPr>
          <w:rFonts w:ascii="Arial" w:hAnsi="Arial" w:cs="Arial"/>
          <w:sz w:val="20"/>
          <w:szCs w:val="20"/>
        </w:rPr>
        <w:t>and all other enzymes</w:t>
      </w:r>
      <w:r w:rsidRPr="0095262B">
        <w:rPr>
          <w:rFonts w:ascii="Arial" w:hAnsi="Arial" w:cs="Arial"/>
          <w:sz w:val="20"/>
          <w:szCs w:val="20"/>
          <w:vertAlign w:val="subscript"/>
        </w:rPr>
        <w:t xml:space="preserve"> </w:t>
      </w:r>
      <w:r w:rsidRPr="0095262B">
        <w:rPr>
          <w:rFonts w:ascii="Arial" w:hAnsi="Arial" w:cs="Arial"/>
          <w:sz w:val="20"/>
          <w:szCs w:val="20"/>
        </w:rPr>
        <w:t>are maximal at a specific pH, known as the optimal pH (</w:t>
      </w:r>
      <w:proofErr w:type="spellStart"/>
      <w:r w:rsidRPr="0095262B">
        <w:rPr>
          <w:rFonts w:ascii="Arial" w:hAnsi="Arial" w:cs="Arial"/>
          <w:sz w:val="20"/>
          <w:szCs w:val="20"/>
        </w:rPr>
        <w:t>pH</w:t>
      </w:r>
      <w:r w:rsidRPr="0095262B">
        <w:rPr>
          <w:rFonts w:ascii="Arial" w:hAnsi="Arial" w:cs="Arial"/>
          <w:sz w:val="20"/>
          <w:szCs w:val="20"/>
          <w:vertAlign w:val="subscript"/>
        </w:rPr>
        <w:t>opt</w:t>
      </w:r>
      <w:proofErr w:type="spellEnd"/>
      <w:r w:rsidRPr="0095262B">
        <w:rPr>
          <w:rFonts w:ascii="Arial" w:hAnsi="Arial" w:cs="Arial"/>
          <w:sz w:val="20"/>
          <w:szCs w:val="20"/>
        </w:rPr>
        <w:t>). In Figure 4, it is a demonstration of the typical temperature dependence of an enzyme-</w:t>
      </w:r>
      <w:proofErr w:type="spellStart"/>
      <w:r w:rsidRPr="0095262B">
        <w:rPr>
          <w:rFonts w:ascii="Arial" w:hAnsi="Arial" w:cs="Arial"/>
          <w:sz w:val="20"/>
          <w:szCs w:val="20"/>
        </w:rPr>
        <w:t>catalyzed</w:t>
      </w:r>
      <w:proofErr w:type="spellEnd"/>
      <w:r w:rsidRPr="0095262B">
        <w:rPr>
          <w:rFonts w:ascii="Arial" w:hAnsi="Arial" w:cs="Arial"/>
          <w:sz w:val="20"/>
          <w:szCs w:val="20"/>
        </w:rPr>
        <w:t xml:space="preserve"> reaction. The activity of PLA</w:t>
      </w:r>
      <w:r w:rsidRPr="0095262B">
        <w:rPr>
          <w:rFonts w:ascii="Arial" w:hAnsi="Arial" w:cs="Arial"/>
          <w:sz w:val="20"/>
          <w:szCs w:val="20"/>
          <w:vertAlign w:val="subscript"/>
        </w:rPr>
        <w:t>2</w:t>
      </w:r>
      <w:r w:rsidRPr="0095262B">
        <w:rPr>
          <w:rFonts w:ascii="Arial" w:hAnsi="Arial" w:cs="Arial"/>
          <w:sz w:val="20"/>
          <w:szCs w:val="20"/>
        </w:rPr>
        <w:t xml:space="preserve"> increases as the temperature rises from a low value to an optimal point, after which the activity rapidly declines. The peak of the curve represents the optimal temperature (</w:t>
      </w:r>
      <w:proofErr w:type="spellStart"/>
      <w:r w:rsidRPr="0095262B">
        <w:rPr>
          <w:rFonts w:ascii="Arial" w:hAnsi="Arial" w:cs="Arial"/>
          <w:sz w:val="20"/>
          <w:szCs w:val="20"/>
        </w:rPr>
        <w:t>T</w:t>
      </w:r>
      <w:r w:rsidRPr="0095262B">
        <w:rPr>
          <w:rFonts w:ascii="Arial" w:hAnsi="Arial" w:cs="Arial"/>
          <w:sz w:val="20"/>
          <w:szCs w:val="20"/>
          <w:vertAlign w:val="subscript"/>
        </w:rPr>
        <w:t>opt</w:t>
      </w:r>
      <w:proofErr w:type="spellEnd"/>
      <w:r w:rsidRPr="0095262B">
        <w:rPr>
          <w:rFonts w:ascii="Arial" w:hAnsi="Arial" w:cs="Arial"/>
          <w:sz w:val="20"/>
          <w:szCs w:val="20"/>
        </w:rPr>
        <w:t>) for PLA</w:t>
      </w:r>
      <w:r w:rsidRPr="0095262B">
        <w:rPr>
          <w:rFonts w:ascii="Arial" w:hAnsi="Arial" w:cs="Arial"/>
          <w:sz w:val="20"/>
          <w:szCs w:val="20"/>
          <w:vertAlign w:val="subscript"/>
        </w:rPr>
        <w:t>2</w:t>
      </w:r>
      <w:r w:rsidRPr="0095262B">
        <w:rPr>
          <w:rFonts w:ascii="Arial" w:hAnsi="Arial" w:cs="Arial"/>
          <w:sz w:val="20"/>
          <w:szCs w:val="20"/>
        </w:rPr>
        <w:t xml:space="preserve"> activity, which appears to be around </w:t>
      </w:r>
      <w:r w:rsidRPr="0095262B">
        <w:rPr>
          <w:rStyle w:val="Strong"/>
          <w:rFonts w:ascii="Arial" w:hAnsi="Arial" w:cs="Arial"/>
          <w:sz w:val="20"/>
          <w:szCs w:val="20"/>
        </w:rPr>
        <w:t>60</w:t>
      </w:r>
      <w:r w:rsidRPr="0095262B">
        <w:rPr>
          <w:rStyle w:val="Strong"/>
          <w:rFonts w:ascii="Cambria Math" w:hAnsi="Cambria Math" w:cs="Cambria Math"/>
          <w:sz w:val="20"/>
          <w:szCs w:val="20"/>
        </w:rPr>
        <w:t>℃</w:t>
      </w:r>
      <w:r w:rsidRPr="0095262B">
        <w:rPr>
          <w:rFonts w:ascii="Arial" w:hAnsi="Arial" w:cs="Arial"/>
          <w:sz w:val="20"/>
          <w:szCs w:val="20"/>
        </w:rPr>
        <w:t xml:space="preserve"> from the graph. Figure 5 is a graph of Arrhenius plot, a fundamental tool in chemical kinetics used to study the effect of temperature on reaction rates. The plot is based on the Arrhenius equation, V = A * e</w:t>
      </w:r>
      <w:r w:rsidRPr="0095262B">
        <w:rPr>
          <w:rFonts w:ascii="Arial" w:hAnsi="Arial" w:cs="Arial"/>
          <w:sz w:val="20"/>
          <w:szCs w:val="20"/>
          <w:vertAlign w:val="superscript"/>
        </w:rPr>
        <w:t>(-</w:t>
      </w:r>
      <w:proofErr w:type="spellStart"/>
      <w:r w:rsidRPr="0095262B">
        <w:rPr>
          <w:rFonts w:ascii="Arial" w:hAnsi="Arial" w:cs="Arial"/>
          <w:sz w:val="20"/>
          <w:szCs w:val="20"/>
          <w:vertAlign w:val="superscript"/>
        </w:rPr>
        <w:t>Ea</w:t>
      </w:r>
      <w:proofErr w:type="spellEnd"/>
      <w:r w:rsidRPr="0095262B">
        <w:rPr>
          <w:rFonts w:ascii="Arial" w:hAnsi="Arial" w:cs="Arial"/>
          <w:sz w:val="20"/>
          <w:szCs w:val="20"/>
          <w:vertAlign w:val="superscript"/>
        </w:rPr>
        <w:t>/RT)</w:t>
      </w:r>
      <w:r w:rsidRPr="0095262B">
        <w:rPr>
          <w:rFonts w:ascii="Arial" w:hAnsi="Arial" w:cs="Arial"/>
          <w:sz w:val="20"/>
          <w:szCs w:val="20"/>
        </w:rPr>
        <w:t>, which can be linearized by taking the natural logarithm: ln(V) = ln(A) - (</w:t>
      </w:r>
      <w:proofErr w:type="spellStart"/>
      <w:r w:rsidRPr="0095262B">
        <w:rPr>
          <w:rFonts w:ascii="Arial" w:hAnsi="Arial" w:cs="Arial"/>
          <w:sz w:val="20"/>
          <w:szCs w:val="20"/>
        </w:rPr>
        <w:t>E</w:t>
      </w:r>
      <w:r w:rsidRPr="0095262B">
        <w:rPr>
          <w:rFonts w:ascii="Arial" w:hAnsi="Arial" w:cs="Arial"/>
          <w:sz w:val="20"/>
          <w:szCs w:val="20"/>
          <w:vertAlign w:val="subscript"/>
        </w:rPr>
        <w:t>a</w:t>
      </w:r>
      <w:proofErr w:type="spellEnd"/>
      <w:r w:rsidRPr="0095262B">
        <w:rPr>
          <w:rFonts w:ascii="Arial" w:hAnsi="Arial" w:cs="Arial"/>
          <w:sz w:val="20"/>
          <w:szCs w:val="20"/>
        </w:rPr>
        <w:t xml:space="preserve">/R) * (1/T). Here, V is the reaction velocity, A is the pre-exponential factor, </w:t>
      </w:r>
      <w:proofErr w:type="spellStart"/>
      <w:r w:rsidRPr="0095262B">
        <w:rPr>
          <w:rFonts w:ascii="Arial" w:hAnsi="Arial" w:cs="Arial"/>
          <w:sz w:val="20"/>
          <w:szCs w:val="20"/>
        </w:rPr>
        <w:t>E</w:t>
      </w:r>
      <w:r w:rsidRPr="0095262B">
        <w:rPr>
          <w:rFonts w:ascii="Arial" w:hAnsi="Arial" w:cs="Arial"/>
          <w:sz w:val="20"/>
          <w:szCs w:val="20"/>
          <w:vertAlign w:val="subscript"/>
        </w:rPr>
        <w:t>a</w:t>
      </w:r>
      <w:proofErr w:type="spellEnd"/>
      <w:r w:rsidRPr="0095262B">
        <w:rPr>
          <w:rFonts w:ascii="Arial" w:hAnsi="Arial" w:cs="Arial"/>
          <w:sz w:val="20"/>
          <w:szCs w:val="20"/>
        </w:rPr>
        <w:t xml:space="preserve"> is the activation energy, R is the universal gas constant (8.314 J/</w:t>
      </w:r>
      <w:proofErr w:type="spellStart"/>
      <w:r w:rsidRPr="0095262B">
        <w:rPr>
          <w:rFonts w:ascii="Arial" w:hAnsi="Arial" w:cs="Arial"/>
          <w:sz w:val="20"/>
          <w:szCs w:val="20"/>
        </w:rPr>
        <w:t>mol·K</w:t>
      </w:r>
      <w:proofErr w:type="spellEnd"/>
      <w:r w:rsidRPr="0095262B">
        <w:rPr>
          <w:rFonts w:ascii="Arial" w:hAnsi="Arial" w:cs="Arial"/>
          <w:sz w:val="20"/>
          <w:szCs w:val="20"/>
        </w:rPr>
        <w:t>), and T is the absolute temperature in Kelvin. The plot shows ln(V) on the y-</w:t>
      </w:r>
      <w:r w:rsidRPr="0095262B">
        <w:rPr>
          <w:rFonts w:ascii="Arial" w:hAnsi="Arial" w:cs="Arial"/>
          <w:sz w:val="20"/>
          <w:szCs w:val="20"/>
        </w:rPr>
        <w:lastRenderedPageBreak/>
        <w:t xml:space="preserve">axis versus 1/T on the x-axis. As predicted by the equation, the data points form a straight line, but only in the temperature range where the enzyme is stable (i.e., below the denaturation temperature). The slope of this line is equal to </w:t>
      </w:r>
      <w:r w:rsidRPr="0095262B">
        <w:rPr>
          <w:rStyle w:val="Strong"/>
          <w:rFonts w:ascii="Arial" w:hAnsi="Arial" w:cs="Arial"/>
          <w:sz w:val="20"/>
          <w:szCs w:val="20"/>
        </w:rPr>
        <w:t>-</w:t>
      </w:r>
      <w:proofErr w:type="spellStart"/>
      <w:r w:rsidRPr="0095262B">
        <w:rPr>
          <w:rStyle w:val="Strong"/>
          <w:rFonts w:ascii="Arial" w:hAnsi="Arial" w:cs="Arial"/>
          <w:sz w:val="20"/>
          <w:szCs w:val="20"/>
        </w:rPr>
        <w:t>E</w:t>
      </w:r>
      <w:r w:rsidRPr="0095262B">
        <w:rPr>
          <w:rStyle w:val="Strong"/>
          <w:rFonts w:ascii="Arial" w:hAnsi="Arial" w:cs="Arial"/>
          <w:sz w:val="20"/>
          <w:szCs w:val="20"/>
          <w:vertAlign w:val="subscript"/>
        </w:rPr>
        <w:t>a</w:t>
      </w:r>
      <w:proofErr w:type="spellEnd"/>
      <w:r w:rsidRPr="0095262B">
        <w:rPr>
          <w:rStyle w:val="Strong"/>
          <w:rFonts w:ascii="Arial" w:hAnsi="Arial" w:cs="Arial"/>
          <w:sz w:val="20"/>
          <w:szCs w:val="20"/>
        </w:rPr>
        <w:t>/R</w:t>
      </w:r>
      <w:r w:rsidRPr="0095262B">
        <w:rPr>
          <w:rFonts w:ascii="Arial" w:hAnsi="Arial" w:cs="Arial"/>
          <w:sz w:val="20"/>
          <w:szCs w:val="20"/>
        </w:rPr>
        <w:t>. By calculating the slope from the linear regression of the data points, the activation energy (</w:t>
      </w:r>
      <w:proofErr w:type="spellStart"/>
      <w:r w:rsidRPr="0095262B">
        <w:rPr>
          <w:rFonts w:ascii="Arial" w:hAnsi="Arial" w:cs="Arial"/>
          <w:sz w:val="20"/>
          <w:szCs w:val="20"/>
        </w:rPr>
        <w:t>E</w:t>
      </w:r>
      <w:r w:rsidRPr="0095262B">
        <w:rPr>
          <w:rFonts w:ascii="Arial" w:hAnsi="Arial" w:cs="Arial"/>
          <w:sz w:val="20"/>
          <w:szCs w:val="20"/>
          <w:vertAlign w:val="subscript"/>
        </w:rPr>
        <w:t>a</w:t>
      </w:r>
      <w:proofErr w:type="spellEnd"/>
      <w:r w:rsidRPr="0095262B">
        <w:rPr>
          <w:rFonts w:ascii="Arial" w:hAnsi="Arial" w:cs="Arial"/>
          <w:sz w:val="20"/>
          <w:szCs w:val="20"/>
        </w:rPr>
        <w:t>) for the PLA</w:t>
      </w:r>
      <w:r w:rsidRPr="0095262B">
        <w:rPr>
          <w:rFonts w:ascii="Arial" w:hAnsi="Arial" w:cs="Arial"/>
          <w:sz w:val="20"/>
          <w:szCs w:val="20"/>
          <w:vertAlign w:val="subscript"/>
        </w:rPr>
        <w:t>2</w:t>
      </w:r>
      <w:r w:rsidRPr="0095262B">
        <w:rPr>
          <w:rFonts w:ascii="Arial" w:hAnsi="Arial" w:cs="Arial"/>
          <w:sz w:val="20"/>
          <w:szCs w:val="20"/>
        </w:rPr>
        <w:t xml:space="preserve">-catalyzed hydrolysis was determined to be 6152.32 J/mol. </w:t>
      </w:r>
      <w:proofErr w:type="spellStart"/>
      <w:r w:rsidRPr="0095262B">
        <w:rPr>
          <w:rFonts w:ascii="Arial" w:hAnsi="Arial" w:cs="Arial"/>
          <w:sz w:val="20"/>
          <w:szCs w:val="20"/>
        </w:rPr>
        <w:t>E</w:t>
      </w:r>
      <w:r w:rsidRPr="0095262B">
        <w:rPr>
          <w:rFonts w:ascii="Arial" w:hAnsi="Arial" w:cs="Arial"/>
          <w:sz w:val="20"/>
          <w:szCs w:val="20"/>
          <w:vertAlign w:val="subscript"/>
        </w:rPr>
        <w:t>a</w:t>
      </w:r>
      <w:proofErr w:type="spellEnd"/>
      <w:r w:rsidRPr="0095262B">
        <w:rPr>
          <w:rFonts w:ascii="Arial" w:hAnsi="Arial" w:cs="Arial"/>
          <w:sz w:val="20"/>
          <w:szCs w:val="20"/>
        </w:rPr>
        <w:t xml:space="preserve"> represents the minimum amount of energy required for the substrate to be converted into product. Enzymes function by lowering the activation energy of a reaction, thereby increasing its rate. A lower </w:t>
      </w:r>
      <w:proofErr w:type="spellStart"/>
      <w:r w:rsidRPr="0095262B">
        <w:rPr>
          <w:rFonts w:ascii="Arial" w:hAnsi="Arial" w:cs="Arial"/>
          <w:sz w:val="20"/>
          <w:szCs w:val="20"/>
        </w:rPr>
        <w:t>E</w:t>
      </w:r>
      <w:r w:rsidRPr="0095262B">
        <w:rPr>
          <w:rFonts w:ascii="Arial" w:hAnsi="Arial" w:cs="Arial"/>
          <w:sz w:val="20"/>
          <w:szCs w:val="20"/>
          <w:vertAlign w:val="subscript"/>
        </w:rPr>
        <w:t>a</w:t>
      </w:r>
      <w:proofErr w:type="spellEnd"/>
      <w:r w:rsidRPr="0095262B">
        <w:rPr>
          <w:rFonts w:ascii="Arial" w:hAnsi="Arial" w:cs="Arial"/>
          <w:sz w:val="20"/>
          <w:szCs w:val="20"/>
        </w:rPr>
        <w:t xml:space="preserve"> value indicates a more efficient catalyst. However, Figure 6 presents a Lineweaver-Burk (double reciprocal) plot, which linearizes the Michaelis-Menten equation. The Michaelis-Menten model describes the relationship between the initial reaction velocity (V</w:t>
      </w:r>
      <w:r w:rsidRPr="0095262B">
        <w:rPr>
          <w:rFonts w:ascii="Arial" w:hAnsi="Arial" w:cs="Arial"/>
          <w:sz w:val="20"/>
          <w:szCs w:val="20"/>
          <w:vertAlign w:val="subscript"/>
        </w:rPr>
        <w:t>0</w:t>
      </w:r>
      <w:r w:rsidRPr="0095262B">
        <w:rPr>
          <w:rFonts w:ascii="Arial" w:hAnsi="Arial" w:cs="Arial"/>
          <w:sz w:val="20"/>
          <w:szCs w:val="20"/>
        </w:rPr>
        <w:t>) and the substrate concentration ([S]): V</w:t>
      </w:r>
      <w:r w:rsidRPr="0095262B">
        <w:rPr>
          <w:rFonts w:ascii="Arial" w:hAnsi="Arial" w:cs="Arial"/>
          <w:sz w:val="20"/>
          <w:szCs w:val="20"/>
          <w:vertAlign w:val="subscript"/>
        </w:rPr>
        <w:t>0</w:t>
      </w:r>
      <w:r w:rsidRPr="0095262B">
        <w:rPr>
          <w:rFonts w:ascii="Arial" w:hAnsi="Arial" w:cs="Arial"/>
          <w:sz w:val="20"/>
          <w:szCs w:val="20"/>
        </w:rPr>
        <w:t xml:space="preserve"> = (V</w:t>
      </w:r>
      <w:r w:rsidRPr="0095262B">
        <w:rPr>
          <w:rFonts w:ascii="Arial" w:hAnsi="Arial" w:cs="Arial"/>
          <w:sz w:val="20"/>
          <w:szCs w:val="20"/>
          <w:vertAlign w:val="subscript"/>
        </w:rPr>
        <w:t>max</w:t>
      </w:r>
      <w:r w:rsidRPr="0095262B">
        <w:rPr>
          <w:rFonts w:ascii="Arial" w:hAnsi="Arial" w:cs="Arial"/>
          <w:sz w:val="20"/>
          <w:szCs w:val="20"/>
        </w:rPr>
        <w:t xml:space="preserve"> * [S]) / (K</w:t>
      </w:r>
      <w:r w:rsidRPr="0095262B">
        <w:rPr>
          <w:rFonts w:ascii="Arial" w:hAnsi="Arial" w:cs="Arial"/>
          <w:sz w:val="20"/>
          <w:szCs w:val="20"/>
          <w:vertAlign w:val="subscript"/>
        </w:rPr>
        <w:t>m</w:t>
      </w:r>
      <w:r w:rsidRPr="0095262B">
        <w:rPr>
          <w:rFonts w:ascii="Arial" w:hAnsi="Arial" w:cs="Arial"/>
          <w:sz w:val="20"/>
          <w:szCs w:val="20"/>
        </w:rPr>
        <w:t xml:space="preserve"> + [S]). The Lineweaver-Burk transformation takes the reciprocal of this equation to yield: </w:t>
      </w:r>
      <w:r w:rsidRPr="0095262B">
        <w:rPr>
          <w:rStyle w:val="Strong"/>
          <w:rFonts w:ascii="Arial" w:hAnsi="Arial" w:cs="Arial"/>
          <w:sz w:val="20"/>
          <w:szCs w:val="20"/>
        </w:rPr>
        <w:t>1/V</w:t>
      </w:r>
      <w:r w:rsidRPr="0095262B">
        <w:rPr>
          <w:rStyle w:val="Strong"/>
          <w:rFonts w:ascii="Arial" w:hAnsi="Arial" w:cs="Arial"/>
          <w:sz w:val="20"/>
          <w:szCs w:val="20"/>
          <w:vertAlign w:val="subscript"/>
        </w:rPr>
        <w:t>0</w:t>
      </w:r>
      <w:r w:rsidRPr="0095262B">
        <w:rPr>
          <w:rStyle w:val="Strong"/>
          <w:rFonts w:ascii="Arial" w:hAnsi="Arial" w:cs="Arial"/>
          <w:sz w:val="20"/>
          <w:szCs w:val="20"/>
        </w:rPr>
        <w:t xml:space="preserve"> = (K</w:t>
      </w:r>
      <w:r w:rsidRPr="0095262B">
        <w:rPr>
          <w:rStyle w:val="Strong"/>
          <w:rFonts w:ascii="Arial" w:hAnsi="Arial" w:cs="Arial"/>
          <w:sz w:val="20"/>
          <w:szCs w:val="20"/>
          <w:vertAlign w:val="subscript"/>
        </w:rPr>
        <w:t>m</w:t>
      </w:r>
      <w:r w:rsidRPr="0095262B">
        <w:rPr>
          <w:rStyle w:val="Strong"/>
          <w:rFonts w:ascii="Arial" w:hAnsi="Arial" w:cs="Arial"/>
          <w:sz w:val="20"/>
          <w:szCs w:val="20"/>
        </w:rPr>
        <w:t>/V</w:t>
      </w:r>
      <w:r w:rsidRPr="0095262B">
        <w:rPr>
          <w:rStyle w:val="Strong"/>
          <w:rFonts w:ascii="Arial" w:hAnsi="Arial" w:cs="Arial"/>
          <w:sz w:val="20"/>
          <w:szCs w:val="20"/>
          <w:vertAlign w:val="subscript"/>
        </w:rPr>
        <w:t>max</w:t>
      </w:r>
      <w:r w:rsidRPr="0095262B">
        <w:rPr>
          <w:rStyle w:val="Strong"/>
          <w:rFonts w:ascii="Arial" w:hAnsi="Arial" w:cs="Arial"/>
          <w:sz w:val="20"/>
          <w:szCs w:val="20"/>
        </w:rPr>
        <w:t>) * (1/[S]) + 1/V</w:t>
      </w:r>
      <w:r w:rsidRPr="0095262B">
        <w:rPr>
          <w:rStyle w:val="Strong"/>
          <w:rFonts w:ascii="Arial" w:hAnsi="Arial" w:cs="Arial"/>
          <w:sz w:val="20"/>
          <w:szCs w:val="20"/>
          <w:vertAlign w:val="subscript"/>
        </w:rPr>
        <w:t>max</w:t>
      </w:r>
      <w:r w:rsidRPr="0095262B">
        <w:rPr>
          <w:rFonts w:ascii="Arial" w:hAnsi="Arial" w:cs="Arial"/>
          <w:b/>
          <w:sz w:val="20"/>
          <w:szCs w:val="20"/>
        </w:rPr>
        <w:t xml:space="preserve">. </w:t>
      </w:r>
      <w:r w:rsidRPr="0095262B">
        <w:rPr>
          <w:rFonts w:ascii="Arial" w:hAnsi="Arial" w:cs="Arial"/>
          <w:sz w:val="20"/>
          <w:szCs w:val="20"/>
        </w:rPr>
        <w:t xml:space="preserve">This equation is in the form of a straight line, y = mx + c, where: </w:t>
      </w:r>
      <w:r w:rsidRPr="0095262B">
        <w:rPr>
          <w:rStyle w:val="Strong"/>
          <w:rFonts w:ascii="Arial" w:hAnsi="Arial" w:cs="Arial"/>
          <w:sz w:val="20"/>
          <w:szCs w:val="20"/>
        </w:rPr>
        <w:t>y-axis is</w:t>
      </w:r>
      <w:r w:rsidRPr="0095262B">
        <w:rPr>
          <w:rFonts w:ascii="Arial" w:hAnsi="Arial" w:cs="Arial"/>
          <w:sz w:val="20"/>
          <w:szCs w:val="20"/>
        </w:rPr>
        <w:t xml:space="preserve"> 1/V</w:t>
      </w:r>
      <w:r w:rsidRPr="0095262B">
        <w:rPr>
          <w:rFonts w:ascii="Arial" w:hAnsi="Arial" w:cs="Arial"/>
          <w:sz w:val="20"/>
          <w:szCs w:val="20"/>
          <w:vertAlign w:val="subscript"/>
        </w:rPr>
        <w:t>0</w:t>
      </w:r>
      <w:r w:rsidRPr="0095262B">
        <w:rPr>
          <w:rFonts w:ascii="Arial" w:hAnsi="Arial" w:cs="Arial"/>
          <w:sz w:val="20"/>
          <w:szCs w:val="20"/>
        </w:rPr>
        <w:t xml:space="preserve"> (reciprocal of initial velocity), </w:t>
      </w:r>
      <w:r w:rsidRPr="0095262B">
        <w:rPr>
          <w:rStyle w:val="Strong"/>
          <w:rFonts w:ascii="Arial" w:hAnsi="Arial" w:cs="Arial"/>
          <w:sz w:val="20"/>
          <w:szCs w:val="20"/>
        </w:rPr>
        <w:t xml:space="preserve">x-axis is </w:t>
      </w:r>
      <w:r w:rsidRPr="0095262B">
        <w:rPr>
          <w:rFonts w:ascii="Arial" w:hAnsi="Arial" w:cs="Arial"/>
          <w:sz w:val="20"/>
          <w:szCs w:val="20"/>
        </w:rPr>
        <w:t xml:space="preserve">1/[S] (reciprocal of substrate concentration), </w:t>
      </w:r>
      <w:r w:rsidRPr="0095262B">
        <w:rPr>
          <w:rStyle w:val="Strong"/>
          <w:rFonts w:ascii="Arial" w:hAnsi="Arial" w:cs="Arial"/>
          <w:sz w:val="20"/>
          <w:szCs w:val="20"/>
        </w:rPr>
        <w:t>y-intercept (c) is</w:t>
      </w:r>
      <w:r w:rsidRPr="0095262B">
        <w:rPr>
          <w:rFonts w:ascii="Arial" w:hAnsi="Arial" w:cs="Arial"/>
          <w:sz w:val="20"/>
          <w:szCs w:val="20"/>
        </w:rPr>
        <w:t xml:space="preserve"> 1/V</w:t>
      </w:r>
      <w:r w:rsidRPr="0095262B">
        <w:rPr>
          <w:rFonts w:ascii="Arial" w:hAnsi="Arial" w:cs="Arial"/>
          <w:sz w:val="20"/>
          <w:szCs w:val="20"/>
          <w:vertAlign w:val="subscript"/>
        </w:rPr>
        <w:t>max</w:t>
      </w:r>
      <w:r w:rsidRPr="0095262B">
        <w:rPr>
          <w:rFonts w:ascii="Arial" w:hAnsi="Arial" w:cs="Arial"/>
          <w:sz w:val="20"/>
          <w:szCs w:val="20"/>
        </w:rPr>
        <w:t>. The maximum velocity (V</w:t>
      </w:r>
      <w:r w:rsidRPr="0095262B">
        <w:rPr>
          <w:rFonts w:ascii="Arial" w:hAnsi="Arial" w:cs="Arial"/>
          <w:sz w:val="20"/>
          <w:szCs w:val="20"/>
          <w:vertAlign w:val="subscript"/>
        </w:rPr>
        <w:t>max</w:t>
      </w:r>
      <w:r w:rsidRPr="0095262B">
        <w:rPr>
          <w:rFonts w:ascii="Arial" w:hAnsi="Arial" w:cs="Arial"/>
          <w:sz w:val="20"/>
          <w:szCs w:val="20"/>
        </w:rPr>
        <w:t>) can be calculated as the reciprocal of this value. V</w:t>
      </w:r>
      <w:r w:rsidRPr="0095262B">
        <w:rPr>
          <w:rFonts w:ascii="Arial" w:hAnsi="Arial" w:cs="Arial"/>
          <w:sz w:val="20"/>
          <w:szCs w:val="20"/>
          <w:vertAlign w:val="subscript"/>
        </w:rPr>
        <w:t>max</w:t>
      </w:r>
      <w:r w:rsidRPr="0095262B">
        <w:rPr>
          <w:rFonts w:ascii="Arial" w:hAnsi="Arial" w:cs="Arial"/>
          <w:sz w:val="20"/>
          <w:szCs w:val="20"/>
        </w:rPr>
        <w:t xml:space="preserve"> represents the theoretical maximum rate of the reaction when the enzyme is fully saturated with substrate. </w:t>
      </w:r>
      <w:r w:rsidRPr="0095262B">
        <w:rPr>
          <w:rStyle w:val="Strong"/>
          <w:rFonts w:ascii="Arial" w:hAnsi="Arial" w:cs="Arial"/>
          <w:sz w:val="20"/>
          <w:szCs w:val="20"/>
        </w:rPr>
        <w:t>x-intercept is</w:t>
      </w:r>
      <w:r w:rsidRPr="0095262B">
        <w:rPr>
          <w:rFonts w:ascii="Arial" w:hAnsi="Arial" w:cs="Arial"/>
          <w:sz w:val="20"/>
          <w:szCs w:val="20"/>
        </w:rPr>
        <w:t xml:space="preserve"> -1/K</w:t>
      </w:r>
      <w:r w:rsidRPr="0095262B">
        <w:rPr>
          <w:rFonts w:ascii="Arial" w:hAnsi="Arial" w:cs="Arial"/>
          <w:sz w:val="20"/>
          <w:szCs w:val="20"/>
          <w:vertAlign w:val="subscript"/>
        </w:rPr>
        <w:t>m</w:t>
      </w:r>
      <w:r w:rsidRPr="0095262B">
        <w:rPr>
          <w:rFonts w:ascii="Arial" w:hAnsi="Arial" w:cs="Arial"/>
          <w:sz w:val="20"/>
          <w:szCs w:val="20"/>
        </w:rPr>
        <w:t>. The Michaelis constant (K</w:t>
      </w:r>
      <w:r w:rsidRPr="0095262B">
        <w:rPr>
          <w:rFonts w:ascii="Arial" w:hAnsi="Arial" w:cs="Arial"/>
          <w:sz w:val="20"/>
          <w:szCs w:val="20"/>
          <w:vertAlign w:val="subscript"/>
        </w:rPr>
        <w:t>m</w:t>
      </w:r>
      <w:r w:rsidRPr="0095262B">
        <w:rPr>
          <w:rFonts w:ascii="Arial" w:hAnsi="Arial" w:cs="Arial"/>
          <w:sz w:val="20"/>
          <w:szCs w:val="20"/>
        </w:rPr>
        <w:t>) can be calculated as the negative reciprocal of this value. K</w:t>
      </w:r>
      <w:r w:rsidRPr="0095262B">
        <w:rPr>
          <w:rFonts w:ascii="Arial" w:hAnsi="Arial" w:cs="Arial"/>
          <w:sz w:val="20"/>
          <w:szCs w:val="20"/>
          <w:vertAlign w:val="subscript"/>
        </w:rPr>
        <w:t>m</w:t>
      </w:r>
      <w:r w:rsidRPr="0095262B">
        <w:rPr>
          <w:rFonts w:ascii="Arial" w:hAnsi="Arial" w:cs="Arial"/>
          <w:sz w:val="20"/>
          <w:szCs w:val="20"/>
        </w:rPr>
        <w:t xml:space="preserve"> is the substrate concentration at which the reaction velocity is half of V</w:t>
      </w:r>
      <w:r w:rsidRPr="0095262B">
        <w:rPr>
          <w:rFonts w:ascii="Arial" w:hAnsi="Arial" w:cs="Arial"/>
          <w:sz w:val="20"/>
          <w:szCs w:val="20"/>
          <w:vertAlign w:val="subscript"/>
        </w:rPr>
        <w:t>max</w:t>
      </w:r>
      <w:r w:rsidRPr="0095262B">
        <w:rPr>
          <w:rFonts w:ascii="Arial" w:hAnsi="Arial" w:cs="Arial"/>
          <w:sz w:val="20"/>
          <w:szCs w:val="20"/>
        </w:rPr>
        <w:t>. It is often used as an inverse measure of the enzyme's affinity for its substrate; a lower K</w:t>
      </w:r>
      <w:r w:rsidRPr="0095262B">
        <w:rPr>
          <w:rFonts w:ascii="Arial" w:hAnsi="Arial" w:cs="Arial"/>
          <w:sz w:val="20"/>
          <w:szCs w:val="20"/>
          <w:vertAlign w:val="subscript"/>
        </w:rPr>
        <w:t>m</w:t>
      </w:r>
      <w:r w:rsidRPr="0095262B">
        <w:rPr>
          <w:rFonts w:ascii="Arial" w:hAnsi="Arial" w:cs="Arial"/>
          <w:sz w:val="20"/>
          <w:szCs w:val="20"/>
        </w:rPr>
        <w:t xml:space="preserve"> indicates a higher affinity. </w:t>
      </w:r>
      <w:r w:rsidRPr="0095262B">
        <w:rPr>
          <w:rStyle w:val="Strong"/>
          <w:rFonts w:ascii="Arial" w:hAnsi="Arial" w:cs="Arial"/>
          <w:sz w:val="20"/>
          <w:szCs w:val="20"/>
        </w:rPr>
        <w:t>Slope (m) is however equals to</w:t>
      </w:r>
      <w:r w:rsidRPr="0095262B">
        <w:rPr>
          <w:rFonts w:ascii="Arial" w:hAnsi="Arial" w:cs="Arial"/>
          <w:sz w:val="20"/>
          <w:szCs w:val="20"/>
        </w:rPr>
        <w:t xml:space="preserve"> K</w:t>
      </w:r>
      <w:r w:rsidRPr="0095262B">
        <w:rPr>
          <w:rFonts w:ascii="Arial" w:hAnsi="Arial" w:cs="Arial"/>
          <w:sz w:val="20"/>
          <w:szCs w:val="20"/>
          <w:vertAlign w:val="subscript"/>
        </w:rPr>
        <w:t>m</w:t>
      </w:r>
      <w:r w:rsidRPr="0095262B">
        <w:rPr>
          <w:rFonts w:ascii="Arial" w:hAnsi="Arial" w:cs="Arial"/>
          <w:sz w:val="20"/>
          <w:szCs w:val="20"/>
        </w:rPr>
        <w:t>/V</w:t>
      </w:r>
      <w:r w:rsidRPr="0095262B">
        <w:rPr>
          <w:rFonts w:ascii="Arial" w:hAnsi="Arial" w:cs="Arial"/>
          <w:sz w:val="20"/>
          <w:szCs w:val="20"/>
          <w:vertAlign w:val="subscript"/>
        </w:rPr>
        <w:t>max</w:t>
      </w:r>
      <w:r w:rsidRPr="0095262B">
        <w:rPr>
          <w:rFonts w:ascii="Arial" w:hAnsi="Arial" w:cs="Arial"/>
          <w:sz w:val="20"/>
          <w:szCs w:val="20"/>
        </w:rPr>
        <w:t>.</w:t>
      </w:r>
      <w:r w:rsidRPr="0095262B">
        <w:rPr>
          <w:rFonts w:ascii="Arial" w:hAnsi="Arial" w:cs="Arial"/>
          <w:b/>
          <w:sz w:val="20"/>
          <w:szCs w:val="20"/>
        </w:rPr>
        <w:t xml:space="preserve"> </w:t>
      </w:r>
      <w:r w:rsidRPr="0095262B">
        <w:rPr>
          <w:rFonts w:ascii="Arial" w:hAnsi="Arial" w:cs="Arial"/>
          <w:sz w:val="20"/>
          <w:szCs w:val="20"/>
        </w:rPr>
        <w:t xml:space="preserve">The values; 0.00017µmol/min and 2.2mM for Vmax and the Km were obtained respectively. </w:t>
      </w:r>
    </w:p>
    <w:p w14:paraId="7F962929" w14:textId="77777777" w:rsidR="0095262B" w:rsidRPr="0095262B" w:rsidRDefault="0095262B" w:rsidP="0095262B">
      <w:pPr>
        <w:spacing w:line="360" w:lineRule="auto"/>
        <w:jc w:val="both"/>
        <w:rPr>
          <w:rFonts w:ascii="Arial" w:hAnsi="Arial" w:cs="Arial"/>
          <w:sz w:val="20"/>
          <w:szCs w:val="20"/>
        </w:rPr>
      </w:pPr>
      <w:r w:rsidRPr="0095262B">
        <w:rPr>
          <w:rFonts w:ascii="Arial" w:hAnsi="Arial" w:cs="Arial"/>
          <w:noProof/>
          <w:sz w:val="20"/>
          <w:szCs w:val="20"/>
          <w:lang w:val="en-US" w:eastAsia="en-US"/>
        </w:rPr>
        <w:lastRenderedPageBreak/>
        <w:drawing>
          <wp:inline distT="0" distB="0" distL="0" distR="0" wp14:anchorId="0CA23E57" wp14:editId="473E3824">
            <wp:extent cx="5508171" cy="5551715"/>
            <wp:effectExtent l="0" t="0" r="16510" b="11430"/>
            <wp:docPr id="10" name="Chart 10">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EB60108" w14:textId="77777777" w:rsidR="0095262B" w:rsidRPr="0095262B" w:rsidRDefault="0095262B" w:rsidP="0095262B">
      <w:pPr>
        <w:spacing w:line="360" w:lineRule="auto"/>
        <w:jc w:val="both"/>
        <w:rPr>
          <w:rFonts w:ascii="Arial" w:hAnsi="Arial" w:cs="Arial"/>
          <w:b/>
          <w:sz w:val="20"/>
          <w:szCs w:val="20"/>
        </w:rPr>
      </w:pPr>
      <w:r w:rsidRPr="0095262B">
        <w:rPr>
          <w:rFonts w:ascii="Arial" w:hAnsi="Arial" w:cs="Arial"/>
          <w:sz w:val="20"/>
          <w:szCs w:val="20"/>
        </w:rPr>
        <w:t xml:space="preserve"> </w:t>
      </w:r>
      <w:r w:rsidRPr="0095262B">
        <w:rPr>
          <w:rFonts w:ascii="Arial" w:hAnsi="Arial" w:cs="Arial"/>
          <w:b/>
          <w:sz w:val="20"/>
          <w:szCs w:val="20"/>
        </w:rPr>
        <w:t>Fig. 3. The relative activity of PLA</w:t>
      </w:r>
      <w:r w:rsidRPr="0095262B">
        <w:rPr>
          <w:rFonts w:ascii="Arial" w:hAnsi="Arial" w:cs="Arial"/>
          <w:b/>
          <w:sz w:val="20"/>
          <w:szCs w:val="20"/>
          <w:vertAlign w:val="subscript"/>
        </w:rPr>
        <w:t>2</w:t>
      </w:r>
      <w:r w:rsidRPr="0095262B">
        <w:rPr>
          <w:rFonts w:ascii="Arial" w:hAnsi="Arial" w:cs="Arial"/>
          <w:b/>
          <w:sz w:val="20"/>
          <w:szCs w:val="20"/>
        </w:rPr>
        <w:t xml:space="preserve"> against a range of pH values, demonstrating the enzyme's sensitivity to hydrogen ion concentration. It shows the enzyme’s activity optimum at pH 8.</w:t>
      </w:r>
    </w:p>
    <w:p w14:paraId="6752628D" w14:textId="77777777" w:rsidR="0095262B" w:rsidRPr="0095262B" w:rsidRDefault="0095262B" w:rsidP="0095262B">
      <w:pPr>
        <w:spacing w:line="360" w:lineRule="auto"/>
        <w:rPr>
          <w:rFonts w:ascii="Arial" w:hAnsi="Arial" w:cs="Arial"/>
          <w:sz w:val="20"/>
          <w:szCs w:val="20"/>
        </w:rPr>
      </w:pPr>
      <w:r w:rsidRPr="0095262B">
        <w:rPr>
          <w:rFonts w:ascii="Arial" w:hAnsi="Arial" w:cs="Arial"/>
          <w:noProof/>
          <w:sz w:val="20"/>
          <w:szCs w:val="20"/>
          <w:lang w:val="en-US" w:eastAsia="en-US"/>
        </w:rPr>
        <w:lastRenderedPageBreak/>
        <w:drawing>
          <wp:inline distT="0" distB="0" distL="0" distR="0" wp14:anchorId="38FCA12F" wp14:editId="4EC05553">
            <wp:extent cx="6057900" cy="5114925"/>
            <wp:effectExtent l="0" t="0" r="19050" b="9525"/>
            <wp:docPr id="11" name="Chart 1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E9BA279" w14:textId="77777777" w:rsidR="0095262B" w:rsidRPr="0095262B" w:rsidRDefault="0095262B" w:rsidP="0095262B">
      <w:pPr>
        <w:spacing w:line="360" w:lineRule="auto"/>
        <w:jc w:val="both"/>
        <w:rPr>
          <w:rFonts w:ascii="Arial" w:hAnsi="Arial" w:cs="Arial"/>
          <w:b/>
          <w:sz w:val="20"/>
          <w:szCs w:val="20"/>
        </w:rPr>
      </w:pPr>
      <w:r w:rsidRPr="0095262B">
        <w:rPr>
          <w:rFonts w:ascii="Arial" w:hAnsi="Arial" w:cs="Arial"/>
          <w:b/>
          <w:sz w:val="20"/>
          <w:szCs w:val="20"/>
        </w:rPr>
        <w:t>Fig. 4. This plot illustrates the relationship between reaction temperature and the rate of catalysis by PLA</w:t>
      </w:r>
      <w:r w:rsidRPr="0095262B">
        <w:rPr>
          <w:rFonts w:ascii="Arial" w:hAnsi="Arial" w:cs="Arial"/>
          <w:b/>
          <w:sz w:val="20"/>
          <w:szCs w:val="20"/>
          <w:vertAlign w:val="subscript"/>
        </w:rPr>
        <w:t>2</w:t>
      </w:r>
      <w:r w:rsidRPr="0095262B">
        <w:rPr>
          <w:rFonts w:ascii="Arial" w:hAnsi="Arial" w:cs="Arial"/>
          <w:b/>
          <w:sz w:val="20"/>
          <w:szCs w:val="20"/>
        </w:rPr>
        <w:t>. It shows 60</w:t>
      </w:r>
      <w:r w:rsidRPr="0095262B">
        <w:rPr>
          <w:rFonts w:ascii="Arial" w:hAnsi="Arial" w:cs="Arial"/>
          <w:b/>
          <w:position w:val="7"/>
          <w:sz w:val="20"/>
          <w:szCs w:val="20"/>
          <w:vertAlign w:val="superscript"/>
        </w:rPr>
        <w:t xml:space="preserve"> </w:t>
      </w:r>
      <w:r w:rsidRPr="0095262B">
        <w:rPr>
          <w:rFonts w:ascii="Cambria Math" w:hAnsi="Cambria Math" w:cs="Cambria Math"/>
          <w:b/>
          <w:sz w:val="20"/>
          <w:szCs w:val="20"/>
        </w:rPr>
        <w:t>℃</w:t>
      </w:r>
      <w:r w:rsidRPr="0095262B">
        <w:rPr>
          <w:rFonts w:ascii="Arial" w:hAnsi="Arial" w:cs="Arial"/>
          <w:b/>
          <w:sz w:val="20"/>
          <w:szCs w:val="20"/>
        </w:rPr>
        <w:t xml:space="preserve"> as the optimum temperature. </w:t>
      </w:r>
    </w:p>
    <w:p w14:paraId="13B4E157" w14:textId="77777777" w:rsidR="0095262B" w:rsidRPr="0095262B" w:rsidRDefault="0095262B" w:rsidP="0095262B">
      <w:pPr>
        <w:spacing w:line="360" w:lineRule="auto"/>
        <w:rPr>
          <w:rFonts w:ascii="Arial" w:hAnsi="Arial" w:cs="Arial"/>
          <w:sz w:val="20"/>
          <w:szCs w:val="20"/>
        </w:rPr>
      </w:pPr>
    </w:p>
    <w:p w14:paraId="1D3570DE" w14:textId="77777777" w:rsidR="0095262B" w:rsidRPr="0095262B" w:rsidRDefault="0095262B" w:rsidP="0095262B">
      <w:pPr>
        <w:spacing w:line="360" w:lineRule="auto"/>
        <w:rPr>
          <w:rFonts w:ascii="Arial" w:hAnsi="Arial" w:cs="Arial"/>
          <w:sz w:val="20"/>
          <w:szCs w:val="20"/>
        </w:rPr>
      </w:pPr>
    </w:p>
    <w:p w14:paraId="2637B936" w14:textId="77777777" w:rsidR="0095262B" w:rsidRPr="0095262B" w:rsidRDefault="0095262B" w:rsidP="0095262B">
      <w:pPr>
        <w:spacing w:line="360" w:lineRule="auto"/>
        <w:rPr>
          <w:rFonts w:ascii="Arial" w:hAnsi="Arial" w:cs="Arial"/>
          <w:sz w:val="20"/>
          <w:szCs w:val="20"/>
        </w:rPr>
      </w:pPr>
    </w:p>
    <w:p w14:paraId="42C907D0" w14:textId="77777777" w:rsidR="0095262B" w:rsidRPr="0095262B" w:rsidRDefault="0095262B" w:rsidP="0095262B">
      <w:pPr>
        <w:spacing w:line="360" w:lineRule="auto"/>
        <w:rPr>
          <w:rFonts w:ascii="Arial" w:hAnsi="Arial" w:cs="Arial"/>
          <w:sz w:val="20"/>
          <w:szCs w:val="20"/>
        </w:rPr>
      </w:pPr>
    </w:p>
    <w:p w14:paraId="353D7D12" w14:textId="77777777" w:rsidR="0095262B" w:rsidRPr="0095262B" w:rsidRDefault="0095262B" w:rsidP="0095262B">
      <w:pPr>
        <w:spacing w:line="360" w:lineRule="auto"/>
        <w:rPr>
          <w:rFonts w:ascii="Arial" w:hAnsi="Arial" w:cs="Arial"/>
          <w:sz w:val="20"/>
          <w:szCs w:val="20"/>
        </w:rPr>
      </w:pPr>
    </w:p>
    <w:p w14:paraId="12F3F275" w14:textId="77777777" w:rsidR="0095262B" w:rsidRPr="0095262B" w:rsidRDefault="0095262B" w:rsidP="0095262B">
      <w:pPr>
        <w:spacing w:line="360" w:lineRule="auto"/>
        <w:rPr>
          <w:rFonts w:ascii="Arial" w:hAnsi="Arial" w:cs="Arial"/>
          <w:sz w:val="20"/>
          <w:szCs w:val="20"/>
        </w:rPr>
      </w:pPr>
    </w:p>
    <w:p w14:paraId="33A940F4" w14:textId="77777777" w:rsidR="0095262B" w:rsidRPr="0095262B" w:rsidRDefault="0095262B" w:rsidP="0095262B">
      <w:pPr>
        <w:spacing w:line="360" w:lineRule="auto"/>
        <w:rPr>
          <w:rFonts w:ascii="Arial" w:hAnsi="Arial" w:cs="Arial"/>
          <w:sz w:val="20"/>
          <w:szCs w:val="20"/>
        </w:rPr>
      </w:pPr>
      <w:r w:rsidRPr="0095262B">
        <w:rPr>
          <w:rFonts w:ascii="Arial" w:hAnsi="Arial" w:cs="Arial"/>
          <w:noProof/>
          <w:sz w:val="20"/>
          <w:szCs w:val="20"/>
          <w:lang w:val="en-US" w:eastAsia="en-US"/>
        </w:rPr>
        <w:lastRenderedPageBreak/>
        <w:drawing>
          <wp:inline distT="0" distB="0" distL="0" distR="0" wp14:anchorId="43963568" wp14:editId="748BB1F7">
            <wp:extent cx="5638800" cy="6520543"/>
            <wp:effectExtent l="0" t="0" r="19050" b="13970"/>
            <wp:docPr id="3" name="Chart 3">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F2DB14B" w14:textId="77777777" w:rsidR="0095262B" w:rsidRPr="0095262B" w:rsidRDefault="0095262B" w:rsidP="0095262B">
      <w:pPr>
        <w:spacing w:line="360" w:lineRule="auto"/>
        <w:jc w:val="both"/>
        <w:rPr>
          <w:rFonts w:ascii="Arial" w:hAnsi="Arial" w:cs="Arial"/>
          <w:b/>
          <w:sz w:val="20"/>
          <w:szCs w:val="20"/>
        </w:rPr>
      </w:pPr>
      <w:r w:rsidRPr="0095262B">
        <w:rPr>
          <w:rFonts w:ascii="Arial" w:hAnsi="Arial" w:cs="Arial"/>
          <w:b/>
          <w:sz w:val="20"/>
          <w:szCs w:val="20"/>
        </w:rPr>
        <w:t>Fig. 5. This is Arrhenius plot graph; involving the natural logarithm of the reaction velocity (ln V) against the reciprocal of the absolute temperature (1/T). The slope of this line was used to calculate the activation energy (</w:t>
      </w:r>
      <w:proofErr w:type="spellStart"/>
      <w:r w:rsidRPr="0095262B">
        <w:rPr>
          <w:rFonts w:ascii="Arial" w:hAnsi="Arial" w:cs="Arial"/>
          <w:b/>
          <w:sz w:val="20"/>
          <w:szCs w:val="20"/>
        </w:rPr>
        <w:t>E</w:t>
      </w:r>
      <w:r w:rsidRPr="0095262B">
        <w:rPr>
          <w:rFonts w:ascii="Arial" w:hAnsi="Arial" w:cs="Arial"/>
          <w:b/>
          <w:sz w:val="20"/>
          <w:szCs w:val="20"/>
          <w:vertAlign w:val="subscript"/>
        </w:rPr>
        <w:t>a</w:t>
      </w:r>
      <w:proofErr w:type="spellEnd"/>
      <w:r w:rsidRPr="0095262B">
        <w:rPr>
          <w:rFonts w:ascii="Arial" w:hAnsi="Arial" w:cs="Arial"/>
          <w:b/>
          <w:sz w:val="20"/>
          <w:szCs w:val="20"/>
        </w:rPr>
        <w:t xml:space="preserve">) of the reaction. </w:t>
      </w:r>
    </w:p>
    <w:p w14:paraId="16F79697" w14:textId="77777777" w:rsidR="0095262B" w:rsidRPr="0095262B" w:rsidRDefault="0095262B" w:rsidP="0095262B">
      <w:pPr>
        <w:spacing w:line="360" w:lineRule="auto"/>
        <w:rPr>
          <w:rFonts w:ascii="Arial" w:hAnsi="Arial" w:cs="Arial"/>
          <w:sz w:val="20"/>
          <w:szCs w:val="20"/>
        </w:rPr>
      </w:pPr>
    </w:p>
    <w:p w14:paraId="3358DA93" w14:textId="77777777" w:rsidR="0095262B" w:rsidRPr="0095262B" w:rsidRDefault="0095262B" w:rsidP="0095262B">
      <w:pPr>
        <w:spacing w:line="360" w:lineRule="auto"/>
        <w:rPr>
          <w:rFonts w:ascii="Arial" w:hAnsi="Arial" w:cs="Arial"/>
          <w:sz w:val="20"/>
          <w:szCs w:val="20"/>
        </w:rPr>
      </w:pPr>
    </w:p>
    <w:p w14:paraId="72C60A52" w14:textId="77777777" w:rsidR="0095262B" w:rsidRPr="0095262B" w:rsidRDefault="0095262B" w:rsidP="0095262B">
      <w:pPr>
        <w:spacing w:line="360" w:lineRule="auto"/>
        <w:rPr>
          <w:rFonts w:ascii="Arial" w:hAnsi="Arial" w:cs="Arial"/>
          <w:sz w:val="20"/>
          <w:szCs w:val="20"/>
        </w:rPr>
      </w:pPr>
    </w:p>
    <w:p w14:paraId="3286F296" w14:textId="77777777" w:rsidR="0095262B" w:rsidRPr="0095262B" w:rsidRDefault="0095262B" w:rsidP="0095262B">
      <w:pPr>
        <w:spacing w:line="360" w:lineRule="auto"/>
        <w:rPr>
          <w:rFonts w:ascii="Arial" w:hAnsi="Arial" w:cs="Arial"/>
          <w:sz w:val="20"/>
          <w:szCs w:val="20"/>
        </w:rPr>
      </w:pPr>
    </w:p>
    <w:p w14:paraId="7E1535A3" w14:textId="77777777" w:rsidR="0095262B" w:rsidRPr="0095262B" w:rsidRDefault="0095262B" w:rsidP="0095262B">
      <w:pPr>
        <w:spacing w:line="360" w:lineRule="auto"/>
        <w:rPr>
          <w:rFonts w:ascii="Arial" w:hAnsi="Arial" w:cs="Arial"/>
          <w:sz w:val="20"/>
          <w:szCs w:val="20"/>
        </w:rPr>
      </w:pPr>
      <w:r w:rsidRPr="0095262B">
        <w:rPr>
          <w:rFonts w:ascii="Arial" w:hAnsi="Arial" w:cs="Arial"/>
          <w:noProof/>
          <w:sz w:val="20"/>
          <w:szCs w:val="20"/>
          <w:lang w:val="en-US" w:eastAsia="en-US"/>
        </w:rPr>
        <w:lastRenderedPageBreak/>
        <w:drawing>
          <wp:inline distT="0" distB="0" distL="0" distR="0" wp14:anchorId="2E37531B" wp14:editId="1B7C0EC0">
            <wp:extent cx="5464629" cy="4506685"/>
            <wp:effectExtent l="0" t="0" r="22225" b="27305"/>
            <wp:docPr id="12" name="Chart 12">
              <a:extLst xmlns:a="http://schemas.openxmlformats.org/drawingml/2006/main">
                <a:ext uri="{FF2B5EF4-FFF2-40B4-BE49-F238E27FC236}">
                  <a16:creationId xmlns:a16="http://schemas.microsoft.com/office/drawing/2014/main" id="{45B2ABD8-D480-49A6-ADBF-04C178B6AB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EB7A38E" w14:textId="77777777" w:rsidR="0095262B" w:rsidRPr="0095262B" w:rsidRDefault="0095262B" w:rsidP="0095262B">
      <w:pPr>
        <w:spacing w:line="360" w:lineRule="auto"/>
        <w:jc w:val="both"/>
        <w:rPr>
          <w:rFonts w:ascii="Arial" w:hAnsi="Arial" w:cs="Arial"/>
          <w:b/>
          <w:sz w:val="20"/>
          <w:szCs w:val="20"/>
        </w:rPr>
      </w:pPr>
      <w:r w:rsidRPr="0095262B">
        <w:rPr>
          <w:rFonts w:ascii="Arial" w:hAnsi="Arial" w:cs="Arial"/>
          <w:b/>
          <w:sz w:val="20"/>
          <w:szCs w:val="20"/>
        </w:rPr>
        <w:t>Fig. 6. This is a Double reciprocal plot of initial velocity and substrate concentrations for PLA</w:t>
      </w:r>
      <w:r w:rsidRPr="0095262B">
        <w:rPr>
          <w:rFonts w:ascii="Arial" w:hAnsi="Arial" w:cs="Arial"/>
          <w:b/>
          <w:sz w:val="20"/>
          <w:szCs w:val="20"/>
          <w:vertAlign w:val="subscript"/>
        </w:rPr>
        <w:t xml:space="preserve">2 </w:t>
      </w:r>
      <w:r w:rsidRPr="0095262B">
        <w:rPr>
          <w:rFonts w:ascii="Arial" w:hAnsi="Arial" w:cs="Arial"/>
          <w:b/>
          <w:sz w:val="20"/>
          <w:szCs w:val="20"/>
        </w:rPr>
        <w:t xml:space="preserve">(lecithin as substrate) </w:t>
      </w:r>
      <w:proofErr w:type="spellStart"/>
      <w:r w:rsidRPr="0095262B">
        <w:rPr>
          <w:rFonts w:ascii="Arial" w:hAnsi="Arial" w:cs="Arial"/>
          <w:b/>
          <w:i/>
          <w:iCs/>
          <w:sz w:val="20"/>
          <w:szCs w:val="20"/>
        </w:rPr>
        <w:t>Naja</w:t>
      </w:r>
      <w:proofErr w:type="spellEnd"/>
      <w:r w:rsidRPr="0095262B">
        <w:rPr>
          <w:rFonts w:ascii="Arial" w:hAnsi="Arial" w:cs="Arial"/>
          <w:b/>
          <w:i/>
          <w:iCs/>
          <w:sz w:val="20"/>
          <w:szCs w:val="20"/>
        </w:rPr>
        <w:t xml:space="preserve"> </w:t>
      </w:r>
      <w:proofErr w:type="spellStart"/>
      <w:r w:rsidRPr="0095262B">
        <w:rPr>
          <w:rFonts w:ascii="Arial" w:hAnsi="Arial" w:cs="Arial"/>
          <w:b/>
          <w:i/>
          <w:iCs/>
          <w:sz w:val="20"/>
          <w:szCs w:val="20"/>
        </w:rPr>
        <w:t>melanoleuca</w:t>
      </w:r>
      <w:proofErr w:type="spellEnd"/>
      <w:r w:rsidRPr="0095262B">
        <w:rPr>
          <w:rFonts w:ascii="Arial" w:hAnsi="Arial" w:cs="Arial"/>
          <w:b/>
          <w:i/>
          <w:iCs/>
          <w:sz w:val="20"/>
          <w:szCs w:val="20"/>
        </w:rPr>
        <w:t xml:space="preserve"> </w:t>
      </w:r>
      <w:r w:rsidRPr="0095262B">
        <w:rPr>
          <w:rFonts w:ascii="Arial" w:hAnsi="Arial" w:cs="Arial"/>
          <w:b/>
          <w:sz w:val="20"/>
          <w:szCs w:val="20"/>
        </w:rPr>
        <w:t>venom. The Lineweaver-Burk plot, a graphical representation of the Michaelis-Menten equation used to determine the key kinetic parameters (V</w:t>
      </w:r>
      <w:r w:rsidRPr="0095262B">
        <w:rPr>
          <w:rFonts w:ascii="Arial" w:hAnsi="Arial" w:cs="Arial"/>
          <w:b/>
          <w:sz w:val="20"/>
          <w:szCs w:val="20"/>
          <w:vertAlign w:val="subscript"/>
        </w:rPr>
        <w:t>max</w:t>
      </w:r>
      <w:r w:rsidRPr="0095262B">
        <w:rPr>
          <w:rFonts w:ascii="Arial" w:hAnsi="Arial" w:cs="Arial"/>
          <w:b/>
          <w:sz w:val="20"/>
          <w:szCs w:val="20"/>
        </w:rPr>
        <w:t xml:space="preserve"> and K</w:t>
      </w:r>
      <w:r w:rsidRPr="0095262B">
        <w:rPr>
          <w:rFonts w:ascii="Arial" w:hAnsi="Arial" w:cs="Arial"/>
          <w:b/>
          <w:sz w:val="20"/>
          <w:szCs w:val="20"/>
          <w:vertAlign w:val="subscript"/>
        </w:rPr>
        <w:t>m</w:t>
      </w:r>
      <w:r w:rsidRPr="0095262B">
        <w:rPr>
          <w:rFonts w:ascii="Arial" w:hAnsi="Arial" w:cs="Arial"/>
          <w:b/>
          <w:sz w:val="20"/>
          <w:szCs w:val="20"/>
        </w:rPr>
        <w:t>.)</w:t>
      </w:r>
    </w:p>
    <w:p w14:paraId="360A4372" w14:textId="77777777" w:rsidR="0095262B" w:rsidRPr="0095262B" w:rsidRDefault="0095262B" w:rsidP="0095262B">
      <w:pPr>
        <w:pStyle w:val="ListParagraph"/>
        <w:numPr>
          <w:ilvl w:val="0"/>
          <w:numId w:val="1"/>
        </w:numPr>
        <w:spacing w:line="360" w:lineRule="auto"/>
        <w:ind w:left="270" w:hanging="270"/>
        <w:jc w:val="both"/>
        <w:rPr>
          <w:rFonts w:ascii="Arial" w:hAnsi="Arial" w:cs="Arial"/>
          <w:b/>
        </w:rPr>
      </w:pPr>
      <w:r w:rsidRPr="0095262B">
        <w:rPr>
          <w:rFonts w:ascii="Arial" w:hAnsi="Arial" w:cs="Arial"/>
          <w:b/>
        </w:rPr>
        <w:t>DISCUSSION</w:t>
      </w:r>
    </w:p>
    <w:p w14:paraId="42CA437B" w14:textId="77777777" w:rsidR="0095262B" w:rsidRPr="0095262B" w:rsidRDefault="0095262B" w:rsidP="0095262B">
      <w:pPr>
        <w:spacing w:line="360" w:lineRule="auto"/>
        <w:jc w:val="both"/>
        <w:rPr>
          <w:rFonts w:ascii="Arial" w:hAnsi="Arial" w:cs="Arial"/>
          <w:sz w:val="20"/>
          <w:szCs w:val="20"/>
        </w:rPr>
      </w:pPr>
      <w:r w:rsidRPr="0095262B">
        <w:rPr>
          <w:rFonts w:ascii="Arial" w:hAnsi="Arial" w:cs="Arial"/>
          <w:sz w:val="20"/>
          <w:szCs w:val="20"/>
        </w:rPr>
        <w:t>The isolation and purification of the major basic PLA</w:t>
      </w:r>
      <w:r w:rsidRPr="0095262B">
        <w:rPr>
          <w:rFonts w:ascii="Cambria Math" w:hAnsi="Cambria Math" w:cs="Cambria Math"/>
          <w:sz w:val="20"/>
          <w:szCs w:val="20"/>
        </w:rPr>
        <w:t>₂</w:t>
      </w:r>
      <w:r w:rsidRPr="0095262B">
        <w:rPr>
          <w:rFonts w:ascii="Arial" w:hAnsi="Arial" w:cs="Arial"/>
          <w:sz w:val="20"/>
          <w:szCs w:val="20"/>
        </w:rPr>
        <w:t xml:space="preserve"> from </w:t>
      </w:r>
      <w:proofErr w:type="spellStart"/>
      <w:r w:rsidRPr="0095262B">
        <w:rPr>
          <w:rFonts w:ascii="Arial" w:hAnsi="Arial" w:cs="Arial"/>
          <w:i/>
          <w:sz w:val="20"/>
          <w:szCs w:val="20"/>
        </w:rPr>
        <w:t>Naja</w:t>
      </w:r>
      <w:proofErr w:type="spellEnd"/>
      <w:r w:rsidRPr="0095262B">
        <w:rPr>
          <w:rFonts w:ascii="Arial" w:hAnsi="Arial" w:cs="Arial"/>
          <w:i/>
          <w:sz w:val="20"/>
          <w:szCs w:val="20"/>
        </w:rPr>
        <w:t xml:space="preserve"> </w:t>
      </w:r>
      <w:proofErr w:type="spellStart"/>
      <w:r w:rsidRPr="0095262B">
        <w:rPr>
          <w:rFonts w:ascii="Arial" w:hAnsi="Arial" w:cs="Arial"/>
          <w:i/>
          <w:sz w:val="20"/>
          <w:szCs w:val="20"/>
        </w:rPr>
        <w:t>melanoleuca</w:t>
      </w:r>
      <w:proofErr w:type="spellEnd"/>
      <w:r w:rsidRPr="0095262B">
        <w:rPr>
          <w:rFonts w:ascii="Arial" w:hAnsi="Arial" w:cs="Arial"/>
          <w:sz w:val="20"/>
          <w:szCs w:val="20"/>
        </w:rPr>
        <w:t xml:space="preserve"> venom produced distinct chromatographic peaks, with the PLA</w:t>
      </w:r>
      <w:r w:rsidRPr="0095262B">
        <w:rPr>
          <w:rFonts w:ascii="Cambria Math" w:hAnsi="Cambria Math" w:cs="Cambria Math"/>
          <w:sz w:val="20"/>
          <w:szCs w:val="20"/>
        </w:rPr>
        <w:t>₂</w:t>
      </w:r>
      <w:r w:rsidRPr="0095262B">
        <w:rPr>
          <w:rFonts w:ascii="Arial" w:hAnsi="Arial" w:cs="Arial"/>
          <w:sz w:val="20"/>
          <w:szCs w:val="20"/>
        </w:rPr>
        <w:t>-containing fraction eluted between 27-30 minutes. This elution profile is consistent with previous studies on PLA</w:t>
      </w:r>
      <w:r w:rsidRPr="0095262B">
        <w:rPr>
          <w:rFonts w:ascii="Cambria Math" w:hAnsi="Cambria Math" w:cs="Cambria Math"/>
          <w:sz w:val="20"/>
          <w:szCs w:val="20"/>
        </w:rPr>
        <w:t>₂</w:t>
      </w:r>
      <w:r w:rsidRPr="0095262B">
        <w:rPr>
          <w:rFonts w:ascii="Arial" w:hAnsi="Arial" w:cs="Arial"/>
          <w:sz w:val="20"/>
          <w:szCs w:val="20"/>
        </w:rPr>
        <w:t xml:space="preserve">s from related </w:t>
      </w:r>
      <w:proofErr w:type="spellStart"/>
      <w:r w:rsidRPr="0095262B">
        <w:rPr>
          <w:rFonts w:ascii="Arial" w:hAnsi="Arial" w:cs="Arial"/>
          <w:sz w:val="20"/>
          <w:szCs w:val="20"/>
        </w:rPr>
        <w:t>Naja</w:t>
      </w:r>
      <w:proofErr w:type="spellEnd"/>
      <w:r w:rsidRPr="0095262B">
        <w:rPr>
          <w:rFonts w:ascii="Arial" w:hAnsi="Arial" w:cs="Arial"/>
          <w:sz w:val="20"/>
          <w:szCs w:val="20"/>
        </w:rPr>
        <w:t xml:space="preserve"> species, which typically elute within a similar time frame under similar conditions (Tan </w:t>
      </w:r>
      <w:r w:rsidRPr="0095262B">
        <w:rPr>
          <w:rFonts w:ascii="Arial" w:hAnsi="Arial" w:cs="Arial"/>
          <w:i/>
          <w:sz w:val="20"/>
          <w:szCs w:val="20"/>
        </w:rPr>
        <w:t>et al</w:t>
      </w:r>
      <w:r w:rsidRPr="0095262B">
        <w:rPr>
          <w:rFonts w:ascii="Arial" w:hAnsi="Arial" w:cs="Arial"/>
          <w:sz w:val="20"/>
          <w:szCs w:val="20"/>
        </w:rPr>
        <w:t>., 2017). However, the basic PLA</w:t>
      </w:r>
      <w:r w:rsidRPr="0095262B">
        <w:rPr>
          <w:rFonts w:ascii="Cambria Math" w:hAnsi="Cambria Math" w:cs="Cambria Math"/>
          <w:sz w:val="20"/>
          <w:szCs w:val="20"/>
        </w:rPr>
        <w:t>₂</w:t>
      </w:r>
      <w:r w:rsidRPr="0095262B">
        <w:rPr>
          <w:rFonts w:ascii="Arial" w:hAnsi="Arial" w:cs="Arial"/>
          <w:sz w:val="20"/>
          <w:szCs w:val="20"/>
        </w:rPr>
        <w:t xml:space="preserve"> fraction exhibited heterogeneity, as seen in the SDS-PAGE analysis, which showed multiple protein bands ranging from 7 to 35 </w:t>
      </w:r>
      <w:proofErr w:type="spellStart"/>
      <w:r w:rsidRPr="0095262B">
        <w:rPr>
          <w:rFonts w:ascii="Arial" w:hAnsi="Arial" w:cs="Arial"/>
          <w:sz w:val="20"/>
          <w:szCs w:val="20"/>
        </w:rPr>
        <w:t>kDa</w:t>
      </w:r>
      <w:proofErr w:type="spellEnd"/>
      <w:r w:rsidRPr="0095262B">
        <w:rPr>
          <w:rFonts w:ascii="Arial" w:hAnsi="Arial" w:cs="Arial"/>
          <w:sz w:val="20"/>
          <w:szCs w:val="20"/>
        </w:rPr>
        <w:t>. This indicates the presence of additional proteins or PLA</w:t>
      </w:r>
      <w:r w:rsidRPr="0095262B">
        <w:rPr>
          <w:rFonts w:ascii="Cambria Math" w:hAnsi="Cambria Math" w:cs="Cambria Math"/>
          <w:sz w:val="20"/>
          <w:szCs w:val="20"/>
        </w:rPr>
        <w:t>₂</w:t>
      </w:r>
      <w:r w:rsidRPr="0095262B">
        <w:rPr>
          <w:rFonts w:ascii="Arial" w:hAnsi="Arial" w:cs="Arial"/>
          <w:sz w:val="20"/>
          <w:szCs w:val="20"/>
        </w:rPr>
        <w:t xml:space="preserve"> isoforms, which is common in snake venoms and has been reported in other studies (</w:t>
      </w:r>
      <w:proofErr w:type="spellStart"/>
      <w:r w:rsidRPr="0095262B">
        <w:rPr>
          <w:rFonts w:ascii="Arial" w:hAnsi="Arial" w:cs="Arial"/>
          <w:sz w:val="20"/>
          <w:szCs w:val="20"/>
        </w:rPr>
        <w:t>Kini</w:t>
      </w:r>
      <w:proofErr w:type="spellEnd"/>
      <w:r w:rsidRPr="0095262B">
        <w:rPr>
          <w:rFonts w:ascii="Arial" w:hAnsi="Arial" w:cs="Arial"/>
          <w:sz w:val="20"/>
          <w:szCs w:val="20"/>
        </w:rPr>
        <w:t xml:space="preserve">, 2003). A notable observation was the absence of a short-neurotoxin-containing peak, which typically elutes between 14-16 minutes in some </w:t>
      </w:r>
      <w:proofErr w:type="spellStart"/>
      <w:r w:rsidRPr="0095262B">
        <w:rPr>
          <w:rFonts w:ascii="Arial" w:hAnsi="Arial" w:cs="Arial"/>
          <w:i/>
          <w:sz w:val="20"/>
          <w:szCs w:val="20"/>
        </w:rPr>
        <w:t>Naja</w:t>
      </w:r>
      <w:proofErr w:type="spellEnd"/>
      <w:r w:rsidRPr="0095262B">
        <w:rPr>
          <w:rFonts w:ascii="Arial" w:hAnsi="Arial" w:cs="Arial"/>
          <w:sz w:val="20"/>
          <w:szCs w:val="20"/>
        </w:rPr>
        <w:t xml:space="preserve"> venoms (</w:t>
      </w:r>
      <w:proofErr w:type="spellStart"/>
      <w:r w:rsidRPr="0095262B">
        <w:rPr>
          <w:rFonts w:ascii="Arial" w:hAnsi="Arial" w:cs="Arial"/>
          <w:sz w:val="20"/>
          <w:szCs w:val="20"/>
        </w:rPr>
        <w:t>Pung</w:t>
      </w:r>
      <w:proofErr w:type="spellEnd"/>
      <w:r w:rsidRPr="0095262B">
        <w:rPr>
          <w:rFonts w:ascii="Arial" w:hAnsi="Arial" w:cs="Arial"/>
          <w:sz w:val="20"/>
          <w:szCs w:val="20"/>
        </w:rPr>
        <w:t xml:space="preserve"> </w:t>
      </w:r>
      <w:r w:rsidRPr="0095262B">
        <w:rPr>
          <w:rFonts w:ascii="Arial" w:hAnsi="Arial" w:cs="Arial"/>
          <w:i/>
          <w:sz w:val="20"/>
          <w:szCs w:val="20"/>
        </w:rPr>
        <w:t>et al</w:t>
      </w:r>
      <w:r w:rsidRPr="0095262B">
        <w:rPr>
          <w:rFonts w:ascii="Arial" w:hAnsi="Arial" w:cs="Arial"/>
          <w:sz w:val="20"/>
          <w:szCs w:val="20"/>
        </w:rPr>
        <w:t xml:space="preserve">., 2010). This could indicate species-specific variations in the venom profile of </w:t>
      </w:r>
      <w:proofErr w:type="spellStart"/>
      <w:r w:rsidRPr="0095262B">
        <w:rPr>
          <w:rFonts w:ascii="Arial" w:hAnsi="Arial" w:cs="Arial"/>
          <w:i/>
          <w:sz w:val="20"/>
          <w:szCs w:val="20"/>
        </w:rPr>
        <w:t>Naja</w:t>
      </w:r>
      <w:proofErr w:type="spellEnd"/>
      <w:r w:rsidRPr="0095262B">
        <w:rPr>
          <w:rFonts w:ascii="Arial" w:hAnsi="Arial" w:cs="Arial"/>
          <w:i/>
          <w:sz w:val="20"/>
          <w:szCs w:val="20"/>
        </w:rPr>
        <w:t xml:space="preserve"> </w:t>
      </w:r>
      <w:proofErr w:type="spellStart"/>
      <w:r w:rsidRPr="0095262B">
        <w:rPr>
          <w:rFonts w:ascii="Arial" w:hAnsi="Arial" w:cs="Arial"/>
          <w:i/>
          <w:sz w:val="20"/>
          <w:szCs w:val="20"/>
        </w:rPr>
        <w:t>melanoleuca</w:t>
      </w:r>
      <w:proofErr w:type="spellEnd"/>
      <w:r w:rsidRPr="0095262B">
        <w:rPr>
          <w:rFonts w:ascii="Arial" w:hAnsi="Arial" w:cs="Arial"/>
          <w:sz w:val="20"/>
          <w:szCs w:val="20"/>
        </w:rPr>
        <w:t xml:space="preserve">, as </w:t>
      </w:r>
      <w:proofErr w:type="spellStart"/>
      <w:r w:rsidRPr="0095262B">
        <w:rPr>
          <w:rFonts w:ascii="Arial" w:hAnsi="Arial" w:cs="Arial"/>
          <w:i/>
          <w:sz w:val="20"/>
          <w:szCs w:val="20"/>
        </w:rPr>
        <w:t>Naja</w:t>
      </w:r>
      <w:proofErr w:type="spellEnd"/>
      <w:r w:rsidRPr="0095262B">
        <w:rPr>
          <w:rFonts w:ascii="Arial" w:hAnsi="Arial" w:cs="Arial"/>
          <w:i/>
          <w:sz w:val="20"/>
          <w:szCs w:val="20"/>
        </w:rPr>
        <w:t xml:space="preserve"> </w:t>
      </w:r>
      <w:proofErr w:type="spellStart"/>
      <w:r w:rsidRPr="0095262B">
        <w:rPr>
          <w:rFonts w:ascii="Arial" w:hAnsi="Arial" w:cs="Arial"/>
          <w:i/>
          <w:sz w:val="20"/>
          <w:szCs w:val="20"/>
        </w:rPr>
        <w:t>melanoleoca</w:t>
      </w:r>
      <w:proofErr w:type="spellEnd"/>
      <w:r w:rsidRPr="0095262B">
        <w:rPr>
          <w:rFonts w:ascii="Arial" w:hAnsi="Arial" w:cs="Arial"/>
          <w:sz w:val="20"/>
          <w:szCs w:val="20"/>
        </w:rPr>
        <w:t xml:space="preserve"> and other </w:t>
      </w:r>
      <w:proofErr w:type="spellStart"/>
      <w:r w:rsidRPr="0095262B">
        <w:rPr>
          <w:rFonts w:ascii="Arial" w:hAnsi="Arial" w:cs="Arial"/>
          <w:i/>
          <w:sz w:val="20"/>
          <w:szCs w:val="20"/>
        </w:rPr>
        <w:t>Naja</w:t>
      </w:r>
      <w:proofErr w:type="spellEnd"/>
      <w:r w:rsidRPr="0095262B">
        <w:rPr>
          <w:rFonts w:ascii="Arial" w:hAnsi="Arial" w:cs="Arial"/>
          <w:sz w:val="20"/>
          <w:szCs w:val="20"/>
        </w:rPr>
        <w:t xml:space="preserve"> species are known to exhibit different venom compositions (</w:t>
      </w:r>
      <w:proofErr w:type="spellStart"/>
      <w:r w:rsidRPr="0095262B">
        <w:rPr>
          <w:rFonts w:ascii="Arial" w:hAnsi="Arial" w:cs="Arial"/>
          <w:sz w:val="20"/>
          <w:szCs w:val="20"/>
        </w:rPr>
        <w:t>Doley</w:t>
      </w:r>
      <w:proofErr w:type="spellEnd"/>
      <w:r w:rsidRPr="0095262B">
        <w:rPr>
          <w:rFonts w:ascii="Arial" w:hAnsi="Arial" w:cs="Arial"/>
          <w:sz w:val="20"/>
          <w:szCs w:val="20"/>
        </w:rPr>
        <w:t xml:space="preserve"> </w:t>
      </w:r>
      <w:r w:rsidRPr="0095262B">
        <w:rPr>
          <w:rFonts w:ascii="Arial" w:hAnsi="Arial" w:cs="Arial"/>
          <w:i/>
          <w:sz w:val="20"/>
          <w:szCs w:val="20"/>
        </w:rPr>
        <w:t>et al</w:t>
      </w:r>
      <w:r w:rsidRPr="0095262B">
        <w:rPr>
          <w:rFonts w:ascii="Arial" w:hAnsi="Arial" w:cs="Arial"/>
          <w:sz w:val="20"/>
          <w:szCs w:val="20"/>
        </w:rPr>
        <w:t>., 2010). The low yield of basic PLA</w:t>
      </w:r>
      <w:r w:rsidRPr="0095262B">
        <w:rPr>
          <w:rFonts w:ascii="Cambria Math" w:hAnsi="Cambria Math" w:cs="Cambria Math"/>
          <w:sz w:val="20"/>
          <w:szCs w:val="20"/>
        </w:rPr>
        <w:t>₂</w:t>
      </w:r>
      <w:r w:rsidRPr="0095262B">
        <w:rPr>
          <w:rFonts w:ascii="Arial" w:hAnsi="Arial" w:cs="Arial"/>
          <w:sz w:val="20"/>
          <w:szCs w:val="20"/>
        </w:rPr>
        <w:t xml:space="preserve">, as indicated by the faint band intensities in the SDS-PAGE, suggests that the concentration of this enzyme in </w:t>
      </w:r>
      <w:proofErr w:type="spellStart"/>
      <w:r w:rsidRPr="0095262B">
        <w:rPr>
          <w:rFonts w:ascii="Arial" w:hAnsi="Arial" w:cs="Arial"/>
          <w:i/>
          <w:sz w:val="20"/>
          <w:szCs w:val="20"/>
        </w:rPr>
        <w:t>Naja</w:t>
      </w:r>
      <w:proofErr w:type="spellEnd"/>
      <w:r w:rsidRPr="0095262B">
        <w:rPr>
          <w:rFonts w:ascii="Arial" w:hAnsi="Arial" w:cs="Arial"/>
          <w:i/>
          <w:sz w:val="20"/>
          <w:szCs w:val="20"/>
        </w:rPr>
        <w:t xml:space="preserve"> </w:t>
      </w:r>
      <w:proofErr w:type="spellStart"/>
      <w:r w:rsidRPr="0095262B">
        <w:rPr>
          <w:rFonts w:ascii="Arial" w:hAnsi="Arial" w:cs="Arial"/>
          <w:i/>
          <w:sz w:val="20"/>
          <w:szCs w:val="20"/>
        </w:rPr>
        <w:t>melanoleuca</w:t>
      </w:r>
      <w:proofErr w:type="spellEnd"/>
      <w:r w:rsidRPr="0095262B">
        <w:rPr>
          <w:rFonts w:ascii="Arial" w:hAnsi="Arial" w:cs="Arial"/>
          <w:sz w:val="20"/>
          <w:szCs w:val="20"/>
        </w:rPr>
        <w:t xml:space="preserve"> venom may be lower than expected. This is in line with findings from studies on other </w:t>
      </w:r>
      <w:proofErr w:type="spellStart"/>
      <w:r w:rsidRPr="0095262B">
        <w:rPr>
          <w:rFonts w:ascii="Arial" w:hAnsi="Arial" w:cs="Arial"/>
          <w:i/>
          <w:sz w:val="20"/>
          <w:szCs w:val="20"/>
        </w:rPr>
        <w:t>Naja</w:t>
      </w:r>
      <w:proofErr w:type="spellEnd"/>
      <w:r w:rsidRPr="0095262B">
        <w:rPr>
          <w:rFonts w:ascii="Arial" w:hAnsi="Arial" w:cs="Arial"/>
          <w:sz w:val="20"/>
          <w:szCs w:val="20"/>
        </w:rPr>
        <w:t xml:space="preserve"> species where basic PLA</w:t>
      </w:r>
      <w:r w:rsidRPr="0095262B">
        <w:rPr>
          <w:rFonts w:ascii="Cambria Math" w:hAnsi="Cambria Math" w:cs="Cambria Math"/>
          <w:sz w:val="20"/>
          <w:szCs w:val="20"/>
        </w:rPr>
        <w:t>₂</w:t>
      </w:r>
      <w:r w:rsidRPr="0095262B">
        <w:rPr>
          <w:rFonts w:ascii="Arial" w:hAnsi="Arial" w:cs="Arial"/>
          <w:sz w:val="20"/>
          <w:szCs w:val="20"/>
        </w:rPr>
        <w:t xml:space="preserve"> levels vary significantly depending on geographic </w:t>
      </w:r>
      <w:r w:rsidRPr="0095262B">
        <w:rPr>
          <w:rFonts w:ascii="Arial" w:hAnsi="Arial" w:cs="Arial"/>
          <w:sz w:val="20"/>
          <w:szCs w:val="20"/>
        </w:rPr>
        <w:lastRenderedPageBreak/>
        <w:t xml:space="preserve">and environmental factors (Chang </w:t>
      </w:r>
      <w:r w:rsidRPr="0095262B">
        <w:rPr>
          <w:rFonts w:ascii="Arial" w:hAnsi="Arial" w:cs="Arial"/>
          <w:i/>
          <w:sz w:val="20"/>
          <w:szCs w:val="20"/>
        </w:rPr>
        <w:t>et al</w:t>
      </w:r>
      <w:r w:rsidRPr="0095262B">
        <w:rPr>
          <w:rFonts w:ascii="Arial" w:hAnsi="Arial" w:cs="Arial"/>
          <w:sz w:val="20"/>
          <w:szCs w:val="20"/>
        </w:rPr>
        <w:t>., 2013). Further optimization using reverse-phase HPLC could help in validating the purity and improving the yield of the basic PLA</w:t>
      </w:r>
      <w:r w:rsidRPr="0095262B">
        <w:rPr>
          <w:rFonts w:ascii="Cambria Math" w:hAnsi="Cambria Math" w:cs="Cambria Math"/>
          <w:sz w:val="20"/>
          <w:szCs w:val="20"/>
        </w:rPr>
        <w:t>₂</w:t>
      </w:r>
      <w:r w:rsidRPr="0095262B">
        <w:rPr>
          <w:rFonts w:ascii="Arial" w:hAnsi="Arial" w:cs="Arial"/>
          <w:sz w:val="20"/>
          <w:szCs w:val="20"/>
        </w:rPr>
        <w:t xml:space="preserve"> fraction. These findings contribute to the growing body of research on the venom composition of </w:t>
      </w:r>
      <w:proofErr w:type="spellStart"/>
      <w:r w:rsidRPr="0095262B">
        <w:rPr>
          <w:rFonts w:ascii="Arial" w:hAnsi="Arial" w:cs="Arial"/>
          <w:i/>
          <w:sz w:val="20"/>
          <w:szCs w:val="20"/>
        </w:rPr>
        <w:t>Naja</w:t>
      </w:r>
      <w:proofErr w:type="spellEnd"/>
      <w:r w:rsidRPr="0095262B">
        <w:rPr>
          <w:rFonts w:ascii="Arial" w:hAnsi="Arial" w:cs="Arial"/>
          <w:sz w:val="20"/>
          <w:szCs w:val="20"/>
        </w:rPr>
        <w:t xml:space="preserve"> species, particularly </w:t>
      </w:r>
      <w:proofErr w:type="spellStart"/>
      <w:r w:rsidRPr="0095262B">
        <w:rPr>
          <w:rFonts w:ascii="Arial" w:hAnsi="Arial" w:cs="Arial"/>
          <w:i/>
          <w:sz w:val="20"/>
          <w:szCs w:val="20"/>
        </w:rPr>
        <w:t>Naja</w:t>
      </w:r>
      <w:proofErr w:type="spellEnd"/>
      <w:r w:rsidRPr="0095262B">
        <w:rPr>
          <w:rFonts w:ascii="Arial" w:hAnsi="Arial" w:cs="Arial"/>
          <w:i/>
          <w:sz w:val="20"/>
          <w:szCs w:val="20"/>
        </w:rPr>
        <w:t xml:space="preserve"> </w:t>
      </w:r>
      <w:proofErr w:type="spellStart"/>
      <w:r w:rsidRPr="0095262B">
        <w:rPr>
          <w:rFonts w:ascii="Arial" w:hAnsi="Arial" w:cs="Arial"/>
          <w:i/>
          <w:sz w:val="20"/>
          <w:szCs w:val="20"/>
        </w:rPr>
        <w:t>melanoleuca</w:t>
      </w:r>
      <w:proofErr w:type="spellEnd"/>
      <w:r w:rsidRPr="0095262B">
        <w:rPr>
          <w:rFonts w:ascii="Arial" w:hAnsi="Arial" w:cs="Arial"/>
          <w:sz w:val="20"/>
          <w:szCs w:val="20"/>
        </w:rPr>
        <w:t xml:space="preserve">. </w:t>
      </w:r>
    </w:p>
    <w:p w14:paraId="648BA211" w14:textId="77777777" w:rsidR="0095262B" w:rsidRPr="0095262B" w:rsidRDefault="0095262B" w:rsidP="0095262B">
      <w:pPr>
        <w:spacing w:line="360" w:lineRule="auto"/>
        <w:jc w:val="both"/>
        <w:rPr>
          <w:rFonts w:ascii="Arial" w:hAnsi="Arial" w:cs="Arial"/>
          <w:sz w:val="20"/>
          <w:szCs w:val="20"/>
        </w:rPr>
      </w:pPr>
      <w:r w:rsidRPr="0095262B">
        <w:rPr>
          <w:rFonts w:ascii="Arial" w:hAnsi="Arial" w:cs="Arial"/>
          <w:sz w:val="20"/>
          <w:szCs w:val="20"/>
        </w:rPr>
        <w:t>Several factors could contribute to the low phospholipase A</w:t>
      </w:r>
      <w:r w:rsidRPr="0095262B">
        <w:rPr>
          <w:rFonts w:ascii="Cambria Math" w:hAnsi="Cambria Math" w:cs="Cambria Math"/>
          <w:sz w:val="20"/>
          <w:szCs w:val="20"/>
        </w:rPr>
        <w:t>₂</w:t>
      </w:r>
      <w:r w:rsidRPr="0095262B">
        <w:rPr>
          <w:rFonts w:ascii="Arial" w:hAnsi="Arial" w:cs="Arial"/>
          <w:sz w:val="20"/>
          <w:szCs w:val="20"/>
        </w:rPr>
        <w:t xml:space="preserve"> (PLA</w:t>
      </w:r>
      <w:r w:rsidRPr="0095262B">
        <w:rPr>
          <w:rFonts w:ascii="Cambria Math" w:hAnsi="Cambria Math" w:cs="Cambria Math"/>
          <w:sz w:val="20"/>
          <w:szCs w:val="20"/>
        </w:rPr>
        <w:t>₂</w:t>
      </w:r>
      <w:r w:rsidRPr="0095262B">
        <w:rPr>
          <w:rFonts w:ascii="Arial" w:hAnsi="Arial" w:cs="Arial"/>
          <w:sz w:val="20"/>
          <w:szCs w:val="20"/>
        </w:rPr>
        <w:t xml:space="preserve">) levels in </w:t>
      </w:r>
      <w:proofErr w:type="spellStart"/>
      <w:r w:rsidRPr="0095262B">
        <w:rPr>
          <w:rFonts w:ascii="Arial" w:hAnsi="Arial" w:cs="Arial"/>
          <w:i/>
          <w:sz w:val="20"/>
          <w:szCs w:val="20"/>
        </w:rPr>
        <w:t>Naja</w:t>
      </w:r>
      <w:proofErr w:type="spellEnd"/>
      <w:r w:rsidRPr="0095262B">
        <w:rPr>
          <w:rFonts w:ascii="Arial" w:hAnsi="Arial" w:cs="Arial"/>
          <w:i/>
          <w:sz w:val="20"/>
          <w:szCs w:val="20"/>
        </w:rPr>
        <w:t xml:space="preserve"> </w:t>
      </w:r>
      <w:proofErr w:type="spellStart"/>
      <w:r w:rsidRPr="0095262B">
        <w:rPr>
          <w:rFonts w:ascii="Arial" w:hAnsi="Arial" w:cs="Arial"/>
          <w:i/>
          <w:sz w:val="20"/>
          <w:szCs w:val="20"/>
        </w:rPr>
        <w:t>melanoleuca</w:t>
      </w:r>
      <w:proofErr w:type="spellEnd"/>
      <w:r w:rsidRPr="0095262B">
        <w:rPr>
          <w:rFonts w:ascii="Arial" w:hAnsi="Arial" w:cs="Arial"/>
          <w:sz w:val="20"/>
          <w:szCs w:val="20"/>
        </w:rPr>
        <w:t xml:space="preserve"> venom. These factors may be related to geographic, environmental, physiological, and evolutionary factors that influence venom composition. Snakes from different regions may produce venom with varying proportions of PLA</w:t>
      </w:r>
      <w:r w:rsidRPr="0095262B">
        <w:rPr>
          <w:rFonts w:ascii="Cambria Math" w:hAnsi="Cambria Math" w:cs="Cambria Math"/>
          <w:sz w:val="20"/>
          <w:szCs w:val="20"/>
        </w:rPr>
        <w:t>₂</w:t>
      </w:r>
      <w:r w:rsidRPr="0095262B">
        <w:rPr>
          <w:rFonts w:ascii="Arial" w:hAnsi="Arial" w:cs="Arial"/>
          <w:sz w:val="20"/>
          <w:szCs w:val="20"/>
        </w:rPr>
        <w:t xml:space="preserve"> enzymes and other toxins. Studies have shown that snakes in different habitats adapt their venom profiles to the available prey, which could affect the concentration of certain venom components like PLA</w:t>
      </w:r>
      <w:r w:rsidRPr="0095262B">
        <w:rPr>
          <w:rFonts w:ascii="Cambria Math" w:hAnsi="Cambria Math" w:cs="Cambria Math"/>
          <w:sz w:val="20"/>
          <w:szCs w:val="20"/>
        </w:rPr>
        <w:t>₂</w:t>
      </w:r>
      <w:r w:rsidRPr="0095262B">
        <w:rPr>
          <w:rFonts w:ascii="Arial" w:hAnsi="Arial" w:cs="Arial"/>
          <w:sz w:val="20"/>
          <w:szCs w:val="20"/>
        </w:rPr>
        <w:t xml:space="preserve"> (</w:t>
      </w:r>
      <w:proofErr w:type="spellStart"/>
      <w:r w:rsidRPr="0095262B">
        <w:rPr>
          <w:rFonts w:ascii="Arial" w:hAnsi="Arial" w:cs="Arial"/>
          <w:sz w:val="20"/>
          <w:szCs w:val="20"/>
        </w:rPr>
        <w:t>Casewell</w:t>
      </w:r>
      <w:proofErr w:type="spellEnd"/>
      <w:r w:rsidRPr="0095262B">
        <w:rPr>
          <w:rFonts w:ascii="Arial" w:hAnsi="Arial" w:cs="Arial"/>
          <w:sz w:val="20"/>
          <w:szCs w:val="20"/>
        </w:rPr>
        <w:t xml:space="preserve"> </w:t>
      </w:r>
      <w:r w:rsidRPr="0095262B">
        <w:rPr>
          <w:rFonts w:ascii="Arial" w:hAnsi="Arial" w:cs="Arial"/>
          <w:i/>
          <w:sz w:val="20"/>
          <w:szCs w:val="20"/>
        </w:rPr>
        <w:t>et al</w:t>
      </w:r>
      <w:r w:rsidRPr="0095262B">
        <w:rPr>
          <w:rFonts w:ascii="Arial" w:hAnsi="Arial" w:cs="Arial"/>
          <w:sz w:val="20"/>
          <w:szCs w:val="20"/>
        </w:rPr>
        <w:t>., 2014). Geographic isolation can lead to variations in venom components, including a reduction in certain toxins like PLA</w:t>
      </w:r>
      <w:r w:rsidRPr="0095262B">
        <w:rPr>
          <w:rFonts w:ascii="Cambria Math" w:hAnsi="Cambria Math" w:cs="Cambria Math"/>
          <w:sz w:val="20"/>
          <w:szCs w:val="20"/>
        </w:rPr>
        <w:t>₂</w:t>
      </w:r>
      <w:r w:rsidRPr="0095262B">
        <w:rPr>
          <w:rFonts w:ascii="Arial" w:hAnsi="Arial" w:cs="Arial"/>
          <w:sz w:val="20"/>
          <w:szCs w:val="20"/>
        </w:rPr>
        <w:t xml:space="preserve"> (Fry </w:t>
      </w:r>
      <w:r w:rsidRPr="0095262B">
        <w:rPr>
          <w:rFonts w:ascii="Arial" w:hAnsi="Arial" w:cs="Arial"/>
          <w:i/>
          <w:sz w:val="20"/>
          <w:szCs w:val="20"/>
        </w:rPr>
        <w:t>et al</w:t>
      </w:r>
      <w:r w:rsidRPr="0095262B">
        <w:rPr>
          <w:rFonts w:ascii="Arial" w:hAnsi="Arial" w:cs="Arial"/>
          <w:sz w:val="20"/>
          <w:szCs w:val="20"/>
        </w:rPr>
        <w:t>., 2003). Diet plays a critical role in venom composition. Snakes that primarily consume small mammals or reptiles may require different venom toxins for efficient prey immobilization. Variations in diet may cause a down-regulation of PLA</w:t>
      </w:r>
      <w:r w:rsidRPr="0095262B">
        <w:rPr>
          <w:rFonts w:ascii="Cambria Math" w:hAnsi="Cambria Math" w:cs="Cambria Math"/>
          <w:sz w:val="20"/>
          <w:szCs w:val="20"/>
        </w:rPr>
        <w:t>₂</w:t>
      </w:r>
      <w:r w:rsidRPr="0095262B">
        <w:rPr>
          <w:rFonts w:ascii="Arial" w:hAnsi="Arial" w:cs="Arial"/>
          <w:sz w:val="20"/>
          <w:szCs w:val="20"/>
        </w:rPr>
        <w:t xml:space="preserve"> in </w:t>
      </w:r>
      <w:proofErr w:type="spellStart"/>
      <w:r w:rsidRPr="0095262B">
        <w:rPr>
          <w:rFonts w:ascii="Arial" w:hAnsi="Arial" w:cs="Arial"/>
          <w:sz w:val="20"/>
          <w:szCs w:val="20"/>
        </w:rPr>
        <w:t>favor</w:t>
      </w:r>
      <w:proofErr w:type="spellEnd"/>
      <w:r w:rsidRPr="0095262B">
        <w:rPr>
          <w:rFonts w:ascii="Arial" w:hAnsi="Arial" w:cs="Arial"/>
          <w:sz w:val="20"/>
          <w:szCs w:val="20"/>
        </w:rPr>
        <w:t xml:space="preserve"> of other venom components like neurotoxins, depending on the prey species in a particular environment (Barlow </w:t>
      </w:r>
      <w:r w:rsidRPr="0095262B">
        <w:rPr>
          <w:rFonts w:ascii="Arial" w:hAnsi="Arial" w:cs="Arial"/>
          <w:i/>
          <w:sz w:val="20"/>
          <w:szCs w:val="20"/>
        </w:rPr>
        <w:t>et al</w:t>
      </w:r>
      <w:r w:rsidRPr="0095262B">
        <w:rPr>
          <w:rFonts w:ascii="Arial" w:hAnsi="Arial" w:cs="Arial"/>
          <w:sz w:val="20"/>
          <w:szCs w:val="20"/>
        </w:rPr>
        <w:t>., 2009). Venom composition can also vary with the snake’s age, size, and reproductive status. Juvenile snakes often exhibit different venom profiles compared to adults, which could include lower concentrations of PLA</w:t>
      </w:r>
      <w:r w:rsidRPr="0095262B">
        <w:rPr>
          <w:rFonts w:ascii="Cambria Math" w:hAnsi="Cambria Math" w:cs="Cambria Math"/>
          <w:sz w:val="20"/>
          <w:szCs w:val="20"/>
        </w:rPr>
        <w:t>₂</w:t>
      </w:r>
      <w:r w:rsidRPr="0095262B">
        <w:rPr>
          <w:rFonts w:ascii="Arial" w:hAnsi="Arial" w:cs="Arial"/>
          <w:sz w:val="20"/>
          <w:szCs w:val="20"/>
        </w:rPr>
        <w:t xml:space="preserve"> (Gibbs </w:t>
      </w:r>
      <w:r w:rsidRPr="0095262B">
        <w:rPr>
          <w:rFonts w:ascii="Arial" w:hAnsi="Arial" w:cs="Arial"/>
          <w:i/>
          <w:sz w:val="20"/>
          <w:szCs w:val="20"/>
        </w:rPr>
        <w:t>et al</w:t>
      </w:r>
      <w:r w:rsidRPr="0095262B">
        <w:rPr>
          <w:rFonts w:ascii="Arial" w:hAnsi="Arial" w:cs="Arial"/>
          <w:sz w:val="20"/>
          <w:szCs w:val="20"/>
        </w:rPr>
        <w:t>., 2011). Furthermore, some venom components may decrease with age, leading to variability in the relative abundance of PLA</w:t>
      </w:r>
      <w:r w:rsidRPr="0095262B">
        <w:rPr>
          <w:rFonts w:ascii="Cambria Math" w:hAnsi="Cambria Math" w:cs="Cambria Math"/>
          <w:sz w:val="20"/>
          <w:szCs w:val="20"/>
        </w:rPr>
        <w:t>₂</w:t>
      </w:r>
      <w:r w:rsidRPr="0095262B">
        <w:rPr>
          <w:rFonts w:ascii="Arial" w:hAnsi="Arial" w:cs="Arial"/>
          <w:sz w:val="20"/>
          <w:szCs w:val="20"/>
        </w:rPr>
        <w:t xml:space="preserve"> across different life stages of </w:t>
      </w:r>
      <w:proofErr w:type="spellStart"/>
      <w:r w:rsidRPr="0095262B">
        <w:rPr>
          <w:rFonts w:ascii="Arial" w:hAnsi="Arial" w:cs="Arial"/>
          <w:i/>
          <w:sz w:val="20"/>
          <w:szCs w:val="20"/>
        </w:rPr>
        <w:t>Naja</w:t>
      </w:r>
      <w:proofErr w:type="spellEnd"/>
      <w:r w:rsidRPr="0095262B">
        <w:rPr>
          <w:rFonts w:ascii="Arial" w:hAnsi="Arial" w:cs="Arial"/>
          <w:i/>
          <w:sz w:val="20"/>
          <w:szCs w:val="20"/>
        </w:rPr>
        <w:t xml:space="preserve"> </w:t>
      </w:r>
      <w:proofErr w:type="spellStart"/>
      <w:r w:rsidRPr="0095262B">
        <w:rPr>
          <w:rFonts w:ascii="Arial" w:hAnsi="Arial" w:cs="Arial"/>
          <w:i/>
          <w:sz w:val="20"/>
          <w:szCs w:val="20"/>
        </w:rPr>
        <w:t>melanoleuca</w:t>
      </w:r>
      <w:proofErr w:type="spellEnd"/>
      <w:r w:rsidRPr="0095262B">
        <w:rPr>
          <w:rFonts w:ascii="Arial" w:hAnsi="Arial" w:cs="Arial"/>
          <w:i/>
          <w:sz w:val="20"/>
          <w:szCs w:val="20"/>
        </w:rPr>
        <w:t xml:space="preserve">. </w:t>
      </w:r>
      <w:r w:rsidRPr="0095262B">
        <w:rPr>
          <w:rFonts w:ascii="Arial" w:hAnsi="Arial" w:cs="Arial"/>
          <w:sz w:val="20"/>
          <w:szCs w:val="20"/>
        </w:rPr>
        <w:t>Environmental conditions such as temperature, humidity, and prey availability could affect venom composition over time. For instance, snakes living in more tropical, humid environments may produce venoms with different proportions of enzymatic proteins like PLA</w:t>
      </w:r>
      <w:r w:rsidRPr="0095262B">
        <w:rPr>
          <w:rFonts w:ascii="Cambria Math" w:hAnsi="Cambria Math" w:cs="Cambria Math"/>
          <w:sz w:val="20"/>
          <w:szCs w:val="20"/>
        </w:rPr>
        <w:t>₂</w:t>
      </w:r>
      <w:r w:rsidRPr="0095262B">
        <w:rPr>
          <w:rFonts w:ascii="Arial" w:hAnsi="Arial" w:cs="Arial"/>
          <w:sz w:val="20"/>
          <w:szCs w:val="20"/>
        </w:rPr>
        <w:t xml:space="preserve"> compared to snakes in arid regions (Arbuckle </w:t>
      </w:r>
      <w:r w:rsidRPr="0095262B">
        <w:rPr>
          <w:rFonts w:ascii="Arial" w:hAnsi="Arial" w:cs="Arial"/>
          <w:i/>
          <w:sz w:val="20"/>
          <w:szCs w:val="20"/>
        </w:rPr>
        <w:t>et al</w:t>
      </w:r>
      <w:r w:rsidRPr="0095262B">
        <w:rPr>
          <w:rFonts w:ascii="Arial" w:hAnsi="Arial" w:cs="Arial"/>
          <w:sz w:val="20"/>
          <w:szCs w:val="20"/>
        </w:rPr>
        <w:t>., 2020).</w:t>
      </w:r>
      <w:r w:rsidRPr="0095262B">
        <w:rPr>
          <w:rFonts w:ascii="Arial" w:hAnsi="Arial" w:cs="Arial"/>
          <w:i/>
          <w:sz w:val="20"/>
          <w:szCs w:val="20"/>
        </w:rPr>
        <w:t xml:space="preserve"> </w:t>
      </w:r>
      <w:r w:rsidRPr="0095262B">
        <w:rPr>
          <w:rFonts w:ascii="Arial" w:hAnsi="Arial" w:cs="Arial"/>
          <w:sz w:val="20"/>
          <w:szCs w:val="20"/>
        </w:rPr>
        <w:t>Evolutionary pressures and genetic drift can lead to variability in venom composition, even within the same species. Different populations may evolve varying venom profiles as a result of ecological pressures, such as predators or prey that require specific venom adaptations. This can result in the reduction of certain venom components like PLA</w:t>
      </w:r>
      <w:r w:rsidRPr="0095262B">
        <w:rPr>
          <w:rFonts w:ascii="Cambria Math" w:hAnsi="Cambria Math" w:cs="Cambria Math"/>
          <w:sz w:val="20"/>
          <w:szCs w:val="20"/>
        </w:rPr>
        <w:t>₂</w:t>
      </w:r>
      <w:r w:rsidRPr="0095262B">
        <w:rPr>
          <w:rFonts w:ascii="Arial" w:hAnsi="Arial" w:cs="Arial"/>
          <w:sz w:val="20"/>
          <w:szCs w:val="20"/>
        </w:rPr>
        <w:t xml:space="preserve"> if it is not essential for the snake's survival in its specific environment (</w:t>
      </w:r>
      <w:proofErr w:type="spellStart"/>
      <w:r w:rsidRPr="0095262B">
        <w:rPr>
          <w:rFonts w:ascii="Arial" w:hAnsi="Arial" w:cs="Arial"/>
          <w:sz w:val="20"/>
          <w:szCs w:val="20"/>
        </w:rPr>
        <w:t>Daltry</w:t>
      </w:r>
      <w:proofErr w:type="spellEnd"/>
      <w:r w:rsidRPr="0095262B">
        <w:rPr>
          <w:rFonts w:ascii="Arial" w:hAnsi="Arial" w:cs="Arial"/>
          <w:sz w:val="20"/>
          <w:szCs w:val="20"/>
        </w:rPr>
        <w:t xml:space="preserve"> </w:t>
      </w:r>
      <w:r w:rsidRPr="0095262B">
        <w:rPr>
          <w:rFonts w:ascii="Arial" w:hAnsi="Arial" w:cs="Arial"/>
          <w:i/>
          <w:sz w:val="20"/>
          <w:szCs w:val="20"/>
        </w:rPr>
        <w:t>et al</w:t>
      </w:r>
      <w:r w:rsidRPr="0095262B">
        <w:rPr>
          <w:rFonts w:ascii="Arial" w:hAnsi="Arial" w:cs="Arial"/>
          <w:sz w:val="20"/>
          <w:szCs w:val="20"/>
        </w:rPr>
        <w:t>., 1996).</w:t>
      </w:r>
      <w:r w:rsidRPr="0095262B">
        <w:rPr>
          <w:rFonts w:ascii="Arial" w:hAnsi="Arial" w:cs="Arial"/>
          <w:i/>
          <w:sz w:val="20"/>
          <w:szCs w:val="20"/>
        </w:rPr>
        <w:t xml:space="preserve"> </w:t>
      </w:r>
      <w:r w:rsidRPr="0095262B">
        <w:rPr>
          <w:rFonts w:ascii="Arial" w:hAnsi="Arial" w:cs="Arial"/>
          <w:sz w:val="20"/>
          <w:szCs w:val="20"/>
        </w:rPr>
        <w:t>The activity of venom glands can be influenced by seasonal changes, with snakes sometimes producing venom in lower quantities during certain times of the year. Venom gland activity can be reduced during the non-active season (e.g., during hibernation), leading to lower concentrations of PLA</w:t>
      </w:r>
      <w:r w:rsidRPr="0095262B">
        <w:rPr>
          <w:rFonts w:ascii="Cambria Math" w:hAnsi="Cambria Math" w:cs="Cambria Math"/>
          <w:sz w:val="20"/>
          <w:szCs w:val="20"/>
        </w:rPr>
        <w:t>₂</w:t>
      </w:r>
      <w:r w:rsidRPr="0095262B">
        <w:rPr>
          <w:rFonts w:ascii="Arial" w:hAnsi="Arial" w:cs="Arial"/>
          <w:sz w:val="20"/>
          <w:szCs w:val="20"/>
        </w:rPr>
        <w:t xml:space="preserve"> and other venom components (</w:t>
      </w:r>
      <w:proofErr w:type="spellStart"/>
      <w:r w:rsidRPr="0095262B">
        <w:rPr>
          <w:rFonts w:ascii="Arial" w:hAnsi="Arial" w:cs="Arial"/>
          <w:sz w:val="20"/>
          <w:szCs w:val="20"/>
        </w:rPr>
        <w:t>Mamede</w:t>
      </w:r>
      <w:proofErr w:type="spellEnd"/>
      <w:r w:rsidRPr="0095262B">
        <w:rPr>
          <w:rFonts w:ascii="Arial" w:hAnsi="Arial" w:cs="Arial"/>
          <w:sz w:val="20"/>
          <w:szCs w:val="20"/>
        </w:rPr>
        <w:t xml:space="preserve"> </w:t>
      </w:r>
      <w:r w:rsidRPr="0095262B">
        <w:rPr>
          <w:rFonts w:ascii="Arial" w:hAnsi="Arial" w:cs="Arial"/>
          <w:i/>
          <w:sz w:val="20"/>
          <w:szCs w:val="20"/>
        </w:rPr>
        <w:t>et al</w:t>
      </w:r>
      <w:r w:rsidRPr="0095262B">
        <w:rPr>
          <w:rFonts w:ascii="Arial" w:hAnsi="Arial" w:cs="Arial"/>
          <w:sz w:val="20"/>
          <w:szCs w:val="20"/>
        </w:rPr>
        <w:t>., 2016). The phospholipase A</w:t>
      </w:r>
      <w:r w:rsidRPr="0095262B">
        <w:rPr>
          <w:rFonts w:ascii="Arial" w:hAnsi="Arial" w:cs="Arial"/>
          <w:sz w:val="20"/>
          <w:szCs w:val="20"/>
          <w:vertAlign w:val="subscript"/>
        </w:rPr>
        <w:t>2</w:t>
      </w:r>
      <w:r w:rsidRPr="0095262B">
        <w:rPr>
          <w:rFonts w:ascii="Arial" w:hAnsi="Arial" w:cs="Arial"/>
          <w:sz w:val="20"/>
          <w:szCs w:val="20"/>
        </w:rPr>
        <w:t xml:space="preserve"> (PLA</w:t>
      </w:r>
      <w:r w:rsidRPr="0095262B">
        <w:rPr>
          <w:rFonts w:ascii="Arial" w:hAnsi="Arial" w:cs="Arial"/>
          <w:sz w:val="20"/>
          <w:szCs w:val="20"/>
          <w:vertAlign w:val="subscript"/>
        </w:rPr>
        <w:t>2</w:t>
      </w:r>
      <w:r w:rsidRPr="0095262B">
        <w:rPr>
          <w:rFonts w:ascii="Arial" w:hAnsi="Arial" w:cs="Arial"/>
          <w:sz w:val="20"/>
          <w:szCs w:val="20"/>
        </w:rPr>
        <w:t xml:space="preserve">) enzyme from the venom of </w:t>
      </w:r>
      <w:proofErr w:type="spellStart"/>
      <w:r w:rsidRPr="0095262B">
        <w:rPr>
          <w:rStyle w:val="Emphasis"/>
          <w:rFonts w:ascii="Arial" w:hAnsi="Arial" w:cs="Arial"/>
          <w:sz w:val="20"/>
          <w:szCs w:val="20"/>
        </w:rPr>
        <w:t>Naja</w:t>
      </w:r>
      <w:proofErr w:type="spellEnd"/>
      <w:r w:rsidRPr="0095262B">
        <w:rPr>
          <w:rStyle w:val="Emphasis"/>
          <w:rFonts w:ascii="Arial" w:hAnsi="Arial" w:cs="Arial"/>
          <w:sz w:val="20"/>
          <w:szCs w:val="20"/>
        </w:rPr>
        <w:t xml:space="preserve"> </w:t>
      </w:r>
      <w:proofErr w:type="spellStart"/>
      <w:r w:rsidRPr="0095262B">
        <w:rPr>
          <w:rStyle w:val="Emphasis"/>
          <w:rFonts w:ascii="Arial" w:hAnsi="Arial" w:cs="Arial"/>
          <w:sz w:val="20"/>
          <w:szCs w:val="20"/>
        </w:rPr>
        <w:t>melanoleuca</w:t>
      </w:r>
      <w:proofErr w:type="spellEnd"/>
      <w:r w:rsidRPr="0095262B">
        <w:rPr>
          <w:rFonts w:ascii="Arial" w:hAnsi="Arial" w:cs="Arial"/>
          <w:sz w:val="20"/>
          <w:szCs w:val="20"/>
        </w:rPr>
        <w:t xml:space="preserve"> exhibits pH and temperature optima at 8 and 60</w:t>
      </w:r>
      <w:r w:rsidRPr="0095262B">
        <w:rPr>
          <w:rFonts w:ascii="Cambria Math" w:hAnsi="Cambria Math" w:cs="Cambria Math"/>
          <w:sz w:val="20"/>
          <w:szCs w:val="20"/>
        </w:rPr>
        <w:t>℃</w:t>
      </w:r>
      <w:r w:rsidRPr="0095262B">
        <w:rPr>
          <w:rFonts w:ascii="Arial" w:hAnsi="Arial" w:cs="Arial"/>
          <w:sz w:val="20"/>
          <w:szCs w:val="20"/>
        </w:rPr>
        <w:t xml:space="preserve">, respectively, aligning partially with the physiological conditions in which the venom functions. These parameters, however, deviate slightly from those reported for </w:t>
      </w:r>
      <w:proofErr w:type="spellStart"/>
      <w:r w:rsidRPr="0095262B">
        <w:rPr>
          <w:rStyle w:val="Emphasis"/>
          <w:rFonts w:ascii="Arial" w:hAnsi="Arial" w:cs="Arial"/>
          <w:sz w:val="20"/>
          <w:szCs w:val="20"/>
        </w:rPr>
        <w:t>Bothrops</w:t>
      </w:r>
      <w:proofErr w:type="spellEnd"/>
      <w:r w:rsidRPr="0095262B">
        <w:rPr>
          <w:rStyle w:val="Emphasis"/>
          <w:rFonts w:ascii="Arial" w:hAnsi="Arial" w:cs="Arial"/>
          <w:sz w:val="20"/>
          <w:szCs w:val="20"/>
        </w:rPr>
        <w:t xml:space="preserve"> asper</w:t>
      </w:r>
      <w:r w:rsidRPr="0095262B">
        <w:rPr>
          <w:rFonts w:ascii="Arial" w:hAnsi="Arial" w:cs="Arial"/>
          <w:sz w:val="20"/>
          <w:szCs w:val="20"/>
        </w:rPr>
        <w:t xml:space="preserve"> venom PLA</w:t>
      </w:r>
      <w:r w:rsidRPr="0095262B">
        <w:rPr>
          <w:rFonts w:ascii="Arial" w:hAnsi="Arial" w:cs="Arial"/>
          <w:sz w:val="20"/>
          <w:szCs w:val="20"/>
          <w:vertAlign w:val="subscript"/>
        </w:rPr>
        <w:t>2</w:t>
      </w:r>
      <w:r w:rsidRPr="0095262B">
        <w:rPr>
          <w:rFonts w:ascii="Arial" w:hAnsi="Arial" w:cs="Arial"/>
          <w:sz w:val="20"/>
          <w:szCs w:val="20"/>
        </w:rPr>
        <w:t xml:space="preserve"> (pH 9, 52</w:t>
      </w:r>
      <w:r w:rsidRPr="0095262B">
        <w:rPr>
          <w:rFonts w:ascii="Cambria Math" w:hAnsi="Cambria Math" w:cs="Cambria Math"/>
          <w:sz w:val="20"/>
          <w:szCs w:val="20"/>
        </w:rPr>
        <w:t>℃</w:t>
      </w:r>
      <w:r w:rsidRPr="0095262B">
        <w:rPr>
          <w:rFonts w:ascii="Arial" w:hAnsi="Arial" w:cs="Arial"/>
          <w:sz w:val="20"/>
          <w:szCs w:val="20"/>
        </w:rPr>
        <w:t xml:space="preserve">) by Ramirez </w:t>
      </w:r>
      <w:r w:rsidRPr="0095262B">
        <w:rPr>
          <w:rFonts w:ascii="Arial" w:hAnsi="Arial" w:cs="Arial"/>
          <w:i/>
          <w:sz w:val="20"/>
          <w:szCs w:val="20"/>
        </w:rPr>
        <w:t xml:space="preserve">et al., </w:t>
      </w:r>
      <w:r w:rsidRPr="0095262B">
        <w:rPr>
          <w:rFonts w:ascii="Arial" w:hAnsi="Arial" w:cs="Arial"/>
          <w:sz w:val="20"/>
          <w:szCs w:val="20"/>
        </w:rPr>
        <w:t>(2004)</w:t>
      </w:r>
      <w:r w:rsidR="005E7B38">
        <w:rPr>
          <w:rFonts w:ascii="Arial" w:hAnsi="Arial" w:cs="Arial"/>
          <w:sz w:val="20"/>
          <w:szCs w:val="20"/>
        </w:rPr>
        <w:t xml:space="preserve"> and also Mohammed </w:t>
      </w:r>
      <w:r w:rsidR="005E7B38" w:rsidRPr="00976EB5">
        <w:rPr>
          <w:rFonts w:ascii="Arial" w:hAnsi="Arial" w:cs="Arial"/>
          <w:i/>
          <w:sz w:val="20"/>
          <w:szCs w:val="20"/>
        </w:rPr>
        <w:t>et al.,</w:t>
      </w:r>
      <w:r w:rsidR="005E7B38">
        <w:rPr>
          <w:rFonts w:ascii="Arial" w:hAnsi="Arial" w:cs="Arial"/>
          <w:sz w:val="20"/>
          <w:szCs w:val="20"/>
        </w:rPr>
        <w:t xml:space="preserve"> </w:t>
      </w:r>
      <w:r w:rsidR="00976EB5">
        <w:rPr>
          <w:rFonts w:ascii="Arial" w:hAnsi="Arial" w:cs="Arial"/>
          <w:sz w:val="20"/>
          <w:szCs w:val="20"/>
        </w:rPr>
        <w:t>(</w:t>
      </w:r>
      <w:r w:rsidR="005E7B38">
        <w:rPr>
          <w:rFonts w:ascii="Arial" w:hAnsi="Arial" w:cs="Arial"/>
          <w:sz w:val="20"/>
          <w:szCs w:val="20"/>
        </w:rPr>
        <w:t>202</w:t>
      </w:r>
      <w:r w:rsidR="00AE2561">
        <w:rPr>
          <w:rFonts w:ascii="Arial" w:hAnsi="Arial" w:cs="Arial"/>
          <w:sz w:val="20"/>
          <w:szCs w:val="20"/>
        </w:rPr>
        <w:t>2</w:t>
      </w:r>
      <w:r w:rsidR="00976EB5">
        <w:rPr>
          <w:rFonts w:ascii="Arial" w:hAnsi="Arial" w:cs="Arial"/>
          <w:sz w:val="20"/>
          <w:szCs w:val="20"/>
        </w:rPr>
        <w:t>)</w:t>
      </w:r>
      <w:r w:rsidR="005E7B38">
        <w:rPr>
          <w:rFonts w:ascii="Arial" w:hAnsi="Arial" w:cs="Arial"/>
          <w:sz w:val="20"/>
          <w:szCs w:val="20"/>
        </w:rPr>
        <w:t xml:space="preserve"> reported an acidic pH of 6 and 60</w:t>
      </w:r>
      <w:r w:rsidR="005E7B38">
        <w:rPr>
          <w:rFonts w:ascii="Times New Roman" w:hAnsi="Times New Roman" w:cs="Times New Roman"/>
          <w:sz w:val="20"/>
          <w:szCs w:val="20"/>
        </w:rPr>
        <w:t>℃</w:t>
      </w:r>
      <w:r w:rsidR="005E7B38">
        <w:rPr>
          <w:rFonts w:ascii="Arial" w:hAnsi="Arial" w:cs="Arial"/>
          <w:sz w:val="20"/>
          <w:szCs w:val="20"/>
        </w:rPr>
        <w:t xml:space="preserve"> optimum temperature for PLA</w:t>
      </w:r>
      <w:r w:rsidR="005E7B38" w:rsidRPr="00EC0B4C">
        <w:rPr>
          <w:rFonts w:ascii="Arial" w:hAnsi="Arial" w:cs="Arial"/>
          <w:sz w:val="20"/>
          <w:szCs w:val="20"/>
          <w:vertAlign w:val="subscript"/>
        </w:rPr>
        <w:t>2</w:t>
      </w:r>
      <w:r w:rsidR="005E7B38" w:rsidRPr="0095262B">
        <w:rPr>
          <w:rFonts w:ascii="Arial" w:hAnsi="Arial" w:cs="Arial"/>
          <w:sz w:val="20"/>
          <w:szCs w:val="20"/>
        </w:rPr>
        <w:t xml:space="preserve"> </w:t>
      </w:r>
      <w:r w:rsidR="005E7B38">
        <w:rPr>
          <w:rFonts w:ascii="Arial" w:hAnsi="Arial" w:cs="Arial"/>
          <w:sz w:val="20"/>
          <w:szCs w:val="20"/>
        </w:rPr>
        <w:t xml:space="preserve">from </w:t>
      </w:r>
      <w:proofErr w:type="spellStart"/>
      <w:r w:rsidR="005E7B38" w:rsidRPr="00EC0B4C">
        <w:rPr>
          <w:rFonts w:ascii="Arial" w:hAnsi="Arial" w:cs="Arial"/>
          <w:i/>
          <w:sz w:val="20"/>
          <w:szCs w:val="20"/>
        </w:rPr>
        <w:t>Ophisthacant</w:t>
      </w:r>
      <w:r w:rsidR="005E7B38">
        <w:rPr>
          <w:rFonts w:ascii="Arial" w:hAnsi="Arial" w:cs="Arial"/>
          <w:i/>
          <w:sz w:val="20"/>
          <w:szCs w:val="20"/>
        </w:rPr>
        <w:t>h</w:t>
      </w:r>
      <w:r w:rsidR="005E7B38" w:rsidRPr="00EC0B4C">
        <w:rPr>
          <w:rFonts w:ascii="Arial" w:hAnsi="Arial" w:cs="Arial"/>
          <w:i/>
          <w:sz w:val="20"/>
          <w:szCs w:val="20"/>
        </w:rPr>
        <w:t>us</w:t>
      </w:r>
      <w:proofErr w:type="spellEnd"/>
      <w:r w:rsidR="005E7B38" w:rsidRPr="00EC0B4C">
        <w:rPr>
          <w:rFonts w:ascii="Arial" w:hAnsi="Arial" w:cs="Arial"/>
          <w:i/>
          <w:sz w:val="20"/>
          <w:szCs w:val="20"/>
        </w:rPr>
        <w:t xml:space="preserve"> </w:t>
      </w:r>
      <w:proofErr w:type="spellStart"/>
      <w:r w:rsidR="005E7B38" w:rsidRPr="00EC0B4C">
        <w:rPr>
          <w:rFonts w:ascii="Arial" w:hAnsi="Arial" w:cs="Arial"/>
          <w:i/>
          <w:sz w:val="20"/>
          <w:szCs w:val="20"/>
        </w:rPr>
        <w:t>capensi</w:t>
      </w:r>
      <w:r w:rsidR="005E7B38">
        <w:rPr>
          <w:rFonts w:ascii="Arial" w:hAnsi="Arial" w:cs="Arial"/>
          <w:sz w:val="20"/>
          <w:szCs w:val="20"/>
        </w:rPr>
        <w:t>s</w:t>
      </w:r>
      <w:proofErr w:type="spellEnd"/>
      <w:r w:rsidR="005E7B38">
        <w:rPr>
          <w:rFonts w:ascii="Arial" w:hAnsi="Arial" w:cs="Arial"/>
          <w:sz w:val="20"/>
          <w:szCs w:val="20"/>
        </w:rPr>
        <w:t xml:space="preserve"> veno</w:t>
      </w:r>
      <w:r w:rsidR="002F371B">
        <w:rPr>
          <w:rFonts w:ascii="Arial" w:hAnsi="Arial" w:cs="Arial"/>
          <w:sz w:val="20"/>
          <w:szCs w:val="20"/>
        </w:rPr>
        <w:t>m using egg yolk as substrate</w:t>
      </w:r>
      <w:r w:rsidR="005E7B38">
        <w:rPr>
          <w:rFonts w:ascii="Arial" w:hAnsi="Arial" w:cs="Arial"/>
          <w:sz w:val="20"/>
          <w:szCs w:val="20"/>
        </w:rPr>
        <w:t xml:space="preserve">. </w:t>
      </w:r>
      <w:r w:rsidRPr="0095262B">
        <w:rPr>
          <w:rFonts w:ascii="Arial" w:hAnsi="Arial" w:cs="Arial"/>
          <w:sz w:val="20"/>
          <w:szCs w:val="20"/>
        </w:rPr>
        <w:t xml:space="preserve">Such discrepancies underscore the enzyme's adaptation to its ecological niche and target prey physiology. </w:t>
      </w:r>
      <w:proofErr w:type="spellStart"/>
      <w:r w:rsidRPr="0095262B">
        <w:rPr>
          <w:rFonts w:ascii="Arial" w:hAnsi="Arial" w:cs="Arial"/>
          <w:sz w:val="20"/>
          <w:szCs w:val="20"/>
        </w:rPr>
        <w:t>Kini</w:t>
      </w:r>
      <w:proofErr w:type="spellEnd"/>
      <w:r w:rsidRPr="0095262B">
        <w:rPr>
          <w:rFonts w:ascii="Arial" w:hAnsi="Arial" w:cs="Arial"/>
          <w:sz w:val="20"/>
          <w:szCs w:val="20"/>
        </w:rPr>
        <w:t xml:space="preserve"> (2003) emphasized that PLA</w:t>
      </w:r>
      <w:r w:rsidRPr="0095262B">
        <w:rPr>
          <w:rFonts w:ascii="Arial" w:hAnsi="Arial" w:cs="Arial"/>
          <w:sz w:val="20"/>
          <w:szCs w:val="20"/>
          <w:vertAlign w:val="subscript"/>
        </w:rPr>
        <w:t>2</w:t>
      </w:r>
      <w:r w:rsidRPr="0095262B">
        <w:rPr>
          <w:rFonts w:ascii="Arial" w:hAnsi="Arial" w:cs="Arial"/>
          <w:sz w:val="20"/>
          <w:szCs w:val="20"/>
        </w:rPr>
        <w:t xml:space="preserve"> enzymes in venom often exhibit optimal activity under conditions mimicking prey environments. For example, PLA</w:t>
      </w:r>
      <w:r w:rsidRPr="0095262B">
        <w:rPr>
          <w:rFonts w:ascii="Arial" w:hAnsi="Arial" w:cs="Arial"/>
          <w:sz w:val="20"/>
          <w:szCs w:val="20"/>
          <w:vertAlign w:val="subscript"/>
        </w:rPr>
        <w:t>2</w:t>
      </w:r>
      <w:r w:rsidRPr="0095262B">
        <w:rPr>
          <w:rFonts w:ascii="Arial" w:hAnsi="Arial" w:cs="Arial"/>
          <w:sz w:val="20"/>
          <w:szCs w:val="20"/>
        </w:rPr>
        <w:t xml:space="preserve"> from sea snakes, which prey on marine organisms, demonstrates high activity in saline conditions. Similarly, Dennis </w:t>
      </w:r>
      <w:r w:rsidRPr="0095262B">
        <w:rPr>
          <w:rFonts w:ascii="Arial" w:hAnsi="Arial" w:cs="Arial"/>
          <w:i/>
          <w:sz w:val="20"/>
          <w:szCs w:val="20"/>
        </w:rPr>
        <w:t xml:space="preserve">et al., </w:t>
      </w:r>
      <w:r w:rsidRPr="0095262B">
        <w:rPr>
          <w:rFonts w:ascii="Arial" w:hAnsi="Arial" w:cs="Arial"/>
          <w:sz w:val="20"/>
          <w:szCs w:val="20"/>
        </w:rPr>
        <w:t>(1991) noted that PLA</w:t>
      </w:r>
      <w:r w:rsidRPr="0095262B">
        <w:rPr>
          <w:rFonts w:ascii="Arial" w:hAnsi="Arial" w:cs="Arial"/>
          <w:sz w:val="20"/>
          <w:szCs w:val="20"/>
          <w:vertAlign w:val="subscript"/>
        </w:rPr>
        <w:t>2</w:t>
      </w:r>
      <w:r w:rsidRPr="0095262B">
        <w:rPr>
          <w:rFonts w:ascii="Arial" w:hAnsi="Arial" w:cs="Arial"/>
          <w:sz w:val="20"/>
          <w:szCs w:val="20"/>
        </w:rPr>
        <w:t xml:space="preserve"> enzymes in different venoms exhibit pH and temperature optima tailored to their functional roles in venom toxicity and prey immobilization. The </w:t>
      </w:r>
      <w:r w:rsidRPr="0095262B">
        <w:rPr>
          <w:rFonts w:ascii="Arial" w:hAnsi="Arial" w:cs="Arial"/>
          <w:sz w:val="20"/>
          <w:szCs w:val="20"/>
        </w:rPr>
        <w:lastRenderedPageBreak/>
        <w:t xml:space="preserve">thermophilic nature of </w:t>
      </w:r>
      <w:proofErr w:type="spellStart"/>
      <w:r w:rsidRPr="0095262B">
        <w:rPr>
          <w:rStyle w:val="Emphasis"/>
          <w:rFonts w:ascii="Arial" w:hAnsi="Arial" w:cs="Arial"/>
          <w:sz w:val="20"/>
          <w:szCs w:val="20"/>
        </w:rPr>
        <w:t>Naja</w:t>
      </w:r>
      <w:proofErr w:type="spellEnd"/>
      <w:r w:rsidRPr="0095262B">
        <w:rPr>
          <w:rStyle w:val="Emphasis"/>
          <w:rFonts w:ascii="Arial" w:hAnsi="Arial" w:cs="Arial"/>
          <w:sz w:val="20"/>
          <w:szCs w:val="20"/>
        </w:rPr>
        <w:t xml:space="preserve"> </w:t>
      </w:r>
      <w:proofErr w:type="spellStart"/>
      <w:r w:rsidRPr="0095262B">
        <w:rPr>
          <w:rStyle w:val="Emphasis"/>
          <w:rFonts w:ascii="Arial" w:hAnsi="Arial" w:cs="Arial"/>
          <w:sz w:val="20"/>
          <w:szCs w:val="20"/>
        </w:rPr>
        <w:t>melanoleuca</w:t>
      </w:r>
      <w:proofErr w:type="spellEnd"/>
      <w:r w:rsidRPr="0095262B">
        <w:rPr>
          <w:rFonts w:ascii="Arial" w:hAnsi="Arial" w:cs="Arial"/>
          <w:sz w:val="20"/>
          <w:szCs w:val="20"/>
        </w:rPr>
        <w:t xml:space="preserve"> PLA</w:t>
      </w:r>
      <w:r w:rsidRPr="0095262B">
        <w:rPr>
          <w:rFonts w:ascii="Arial" w:hAnsi="Arial" w:cs="Arial"/>
          <w:sz w:val="20"/>
          <w:szCs w:val="20"/>
          <w:vertAlign w:val="subscript"/>
        </w:rPr>
        <w:t>2</w:t>
      </w:r>
      <w:r w:rsidRPr="0095262B">
        <w:rPr>
          <w:rFonts w:ascii="Arial" w:hAnsi="Arial" w:cs="Arial"/>
          <w:sz w:val="20"/>
          <w:szCs w:val="20"/>
        </w:rPr>
        <w:t xml:space="preserve"> (60</w:t>
      </w:r>
      <w:r w:rsidRPr="0095262B">
        <w:rPr>
          <w:rFonts w:ascii="Cambria Math" w:hAnsi="Cambria Math" w:cs="Cambria Math"/>
          <w:sz w:val="20"/>
          <w:szCs w:val="20"/>
        </w:rPr>
        <w:t>℃</w:t>
      </w:r>
      <w:r w:rsidRPr="0095262B">
        <w:rPr>
          <w:rFonts w:ascii="Arial" w:hAnsi="Arial" w:cs="Arial"/>
          <w:sz w:val="20"/>
          <w:szCs w:val="20"/>
        </w:rPr>
        <w:t xml:space="preserve">) aligns with findings by Nair </w:t>
      </w:r>
      <w:r w:rsidRPr="0095262B">
        <w:rPr>
          <w:rFonts w:ascii="Arial" w:hAnsi="Arial" w:cs="Arial"/>
          <w:i/>
          <w:sz w:val="20"/>
          <w:szCs w:val="20"/>
        </w:rPr>
        <w:t xml:space="preserve">et al., </w:t>
      </w:r>
      <w:r w:rsidRPr="0095262B">
        <w:rPr>
          <w:rFonts w:ascii="Arial" w:hAnsi="Arial" w:cs="Arial"/>
          <w:sz w:val="20"/>
          <w:szCs w:val="20"/>
        </w:rPr>
        <w:t>(1976), who reported an optimum temperature of 65</w:t>
      </w:r>
      <w:r w:rsidRPr="0095262B">
        <w:rPr>
          <w:rFonts w:ascii="Cambria Math" w:hAnsi="Cambria Math" w:cs="Cambria Math"/>
          <w:sz w:val="20"/>
          <w:szCs w:val="20"/>
        </w:rPr>
        <w:t>℃</w:t>
      </w:r>
      <w:r w:rsidRPr="0095262B">
        <w:rPr>
          <w:rFonts w:ascii="Arial" w:hAnsi="Arial" w:cs="Arial"/>
          <w:sz w:val="20"/>
          <w:szCs w:val="20"/>
        </w:rPr>
        <w:t xml:space="preserve"> for other </w:t>
      </w:r>
      <w:proofErr w:type="spellStart"/>
      <w:r w:rsidRPr="0095262B">
        <w:rPr>
          <w:rStyle w:val="Emphasis"/>
          <w:rFonts w:ascii="Arial" w:hAnsi="Arial" w:cs="Arial"/>
          <w:sz w:val="20"/>
          <w:szCs w:val="20"/>
        </w:rPr>
        <w:t>Naja</w:t>
      </w:r>
      <w:proofErr w:type="spellEnd"/>
      <w:r w:rsidRPr="0095262B">
        <w:rPr>
          <w:rFonts w:ascii="Arial" w:hAnsi="Arial" w:cs="Arial"/>
          <w:sz w:val="20"/>
          <w:szCs w:val="20"/>
        </w:rPr>
        <w:t xml:space="preserve"> species, indicating evolutionary conservation of thermal stability in cobra venoms.</w:t>
      </w:r>
      <w:r w:rsidR="00EC0B4C">
        <w:rPr>
          <w:rFonts w:ascii="Arial" w:hAnsi="Arial" w:cs="Arial"/>
          <w:sz w:val="20"/>
          <w:szCs w:val="20"/>
        </w:rPr>
        <w:t xml:space="preserve"> </w:t>
      </w:r>
      <w:r w:rsidRPr="0095262B">
        <w:rPr>
          <w:rFonts w:ascii="Arial" w:hAnsi="Arial" w:cs="Arial"/>
          <w:sz w:val="20"/>
          <w:szCs w:val="20"/>
        </w:rPr>
        <w:t xml:space="preserve">The kinetic parameters </w:t>
      </w:r>
      <w:proofErr w:type="spellStart"/>
      <w:r w:rsidRPr="0095262B">
        <w:rPr>
          <w:rFonts w:ascii="Arial" w:hAnsi="Arial" w:cs="Arial"/>
          <w:sz w:val="20"/>
          <w:szCs w:val="20"/>
        </w:rPr>
        <w:t>i.e</w:t>
      </w:r>
      <w:proofErr w:type="spellEnd"/>
      <w:r w:rsidRPr="0095262B">
        <w:rPr>
          <w:rFonts w:ascii="Arial" w:hAnsi="Arial" w:cs="Arial"/>
          <w:sz w:val="20"/>
          <w:szCs w:val="20"/>
        </w:rPr>
        <w:t xml:space="preserve"> the low Km (2.2 mM) observed for </w:t>
      </w:r>
      <w:proofErr w:type="spellStart"/>
      <w:r w:rsidRPr="0095262B">
        <w:rPr>
          <w:rStyle w:val="Emphasis"/>
          <w:rFonts w:ascii="Arial" w:hAnsi="Arial" w:cs="Arial"/>
          <w:sz w:val="20"/>
          <w:szCs w:val="20"/>
        </w:rPr>
        <w:t>Naja</w:t>
      </w:r>
      <w:proofErr w:type="spellEnd"/>
      <w:r w:rsidRPr="0095262B">
        <w:rPr>
          <w:rStyle w:val="Emphasis"/>
          <w:rFonts w:ascii="Arial" w:hAnsi="Arial" w:cs="Arial"/>
          <w:sz w:val="20"/>
          <w:szCs w:val="20"/>
        </w:rPr>
        <w:t xml:space="preserve"> </w:t>
      </w:r>
      <w:proofErr w:type="spellStart"/>
      <w:r w:rsidRPr="0095262B">
        <w:rPr>
          <w:rStyle w:val="Emphasis"/>
          <w:rFonts w:ascii="Arial" w:hAnsi="Arial" w:cs="Arial"/>
          <w:sz w:val="20"/>
          <w:szCs w:val="20"/>
        </w:rPr>
        <w:t>melanoleuca</w:t>
      </w:r>
      <w:proofErr w:type="spellEnd"/>
      <w:r w:rsidRPr="0095262B">
        <w:rPr>
          <w:rFonts w:ascii="Arial" w:hAnsi="Arial" w:cs="Arial"/>
          <w:sz w:val="20"/>
          <w:szCs w:val="20"/>
        </w:rPr>
        <w:t xml:space="preserve"> PLA</w:t>
      </w:r>
      <w:r w:rsidRPr="0095262B">
        <w:rPr>
          <w:rFonts w:ascii="Arial" w:hAnsi="Arial" w:cs="Arial"/>
          <w:sz w:val="20"/>
          <w:szCs w:val="20"/>
          <w:vertAlign w:val="subscript"/>
        </w:rPr>
        <w:t>2</w:t>
      </w:r>
      <w:r w:rsidRPr="0095262B">
        <w:rPr>
          <w:rFonts w:ascii="Arial" w:hAnsi="Arial" w:cs="Arial"/>
          <w:sz w:val="20"/>
          <w:szCs w:val="20"/>
        </w:rPr>
        <w:t xml:space="preserve"> indicates a high affinity for phospholipids, contrasting with the much lower Km (3.5×10</w:t>
      </w:r>
      <w:r w:rsidRPr="0095262B">
        <w:rPr>
          <w:rFonts w:ascii="Cambria Math" w:hAnsi="Cambria Math" w:cs="Cambria Math"/>
          <w:sz w:val="20"/>
          <w:szCs w:val="20"/>
        </w:rPr>
        <w:t>⁻</w:t>
      </w:r>
      <w:r w:rsidRPr="0095262B">
        <w:rPr>
          <w:rFonts w:ascii="Arial" w:hAnsi="Arial" w:cs="Arial"/>
          <w:sz w:val="20"/>
          <w:szCs w:val="20"/>
        </w:rPr>
        <w:t xml:space="preserve">³ mM) reported for </w:t>
      </w:r>
      <w:proofErr w:type="spellStart"/>
      <w:r w:rsidRPr="0095262B">
        <w:rPr>
          <w:rStyle w:val="Emphasis"/>
          <w:rFonts w:ascii="Arial" w:hAnsi="Arial" w:cs="Arial"/>
          <w:sz w:val="20"/>
          <w:szCs w:val="20"/>
        </w:rPr>
        <w:t>Bothrops</w:t>
      </w:r>
      <w:proofErr w:type="spellEnd"/>
      <w:r w:rsidRPr="0095262B">
        <w:rPr>
          <w:rStyle w:val="Emphasis"/>
          <w:rFonts w:ascii="Arial" w:hAnsi="Arial" w:cs="Arial"/>
          <w:sz w:val="20"/>
          <w:szCs w:val="20"/>
        </w:rPr>
        <w:t xml:space="preserve"> asper</w:t>
      </w:r>
      <w:r w:rsidRPr="0095262B">
        <w:rPr>
          <w:rFonts w:ascii="Arial" w:hAnsi="Arial" w:cs="Arial"/>
          <w:sz w:val="20"/>
          <w:szCs w:val="20"/>
        </w:rPr>
        <w:t xml:space="preserve"> by Ramirez </w:t>
      </w:r>
      <w:r w:rsidRPr="0095262B">
        <w:rPr>
          <w:rFonts w:ascii="Arial" w:hAnsi="Arial" w:cs="Arial"/>
          <w:i/>
          <w:sz w:val="20"/>
          <w:szCs w:val="20"/>
        </w:rPr>
        <w:t xml:space="preserve">et al., </w:t>
      </w:r>
      <w:r w:rsidRPr="0095262B">
        <w:rPr>
          <w:rFonts w:ascii="Arial" w:hAnsi="Arial" w:cs="Arial"/>
          <w:sz w:val="20"/>
          <w:szCs w:val="20"/>
        </w:rPr>
        <w:t xml:space="preserve">(2004). This difference likely reflects ecological and functional variations between these species. A similar low Km was noted by </w:t>
      </w:r>
      <w:proofErr w:type="spellStart"/>
      <w:r w:rsidRPr="0095262B">
        <w:rPr>
          <w:rFonts w:ascii="Arial" w:hAnsi="Arial" w:cs="Arial"/>
          <w:sz w:val="20"/>
          <w:szCs w:val="20"/>
        </w:rPr>
        <w:t>Gopalakrishnakone</w:t>
      </w:r>
      <w:proofErr w:type="spellEnd"/>
      <w:r w:rsidRPr="0095262B">
        <w:rPr>
          <w:rFonts w:ascii="Arial" w:hAnsi="Arial" w:cs="Arial"/>
          <w:sz w:val="20"/>
          <w:szCs w:val="20"/>
        </w:rPr>
        <w:t xml:space="preserve"> </w:t>
      </w:r>
      <w:r w:rsidRPr="0095262B">
        <w:rPr>
          <w:rFonts w:ascii="Arial" w:hAnsi="Arial" w:cs="Arial"/>
          <w:i/>
          <w:sz w:val="20"/>
          <w:szCs w:val="20"/>
        </w:rPr>
        <w:t xml:space="preserve">et al., </w:t>
      </w:r>
      <w:r w:rsidRPr="0095262B">
        <w:rPr>
          <w:rFonts w:ascii="Arial" w:hAnsi="Arial" w:cs="Arial"/>
          <w:sz w:val="20"/>
          <w:szCs w:val="20"/>
        </w:rPr>
        <w:t>(1991) for PLA</w:t>
      </w:r>
      <w:r w:rsidRPr="0095262B">
        <w:rPr>
          <w:rFonts w:ascii="Arial" w:hAnsi="Arial" w:cs="Arial"/>
          <w:sz w:val="20"/>
          <w:szCs w:val="20"/>
          <w:vertAlign w:val="subscript"/>
        </w:rPr>
        <w:t>2</w:t>
      </w:r>
      <w:r w:rsidRPr="0095262B">
        <w:rPr>
          <w:rFonts w:ascii="Arial" w:hAnsi="Arial" w:cs="Arial"/>
          <w:sz w:val="20"/>
          <w:szCs w:val="20"/>
        </w:rPr>
        <w:t xml:space="preserve"> in </w:t>
      </w:r>
      <w:proofErr w:type="spellStart"/>
      <w:r w:rsidRPr="0095262B">
        <w:rPr>
          <w:rStyle w:val="Emphasis"/>
          <w:rFonts w:ascii="Arial" w:hAnsi="Arial" w:cs="Arial"/>
          <w:sz w:val="20"/>
          <w:szCs w:val="20"/>
        </w:rPr>
        <w:t>Naja</w:t>
      </w:r>
      <w:proofErr w:type="spellEnd"/>
      <w:r w:rsidRPr="0095262B">
        <w:rPr>
          <w:rStyle w:val="Emphasis"/>
          <w:rFonts w:ascii="Arial" w:hAnsi="Arial" w:cs="Arial"/>
          <w:sz w:val="20"/>
          <w:szCs w:val="20"/>
        </w:rPr>
        <w:t xml:space="preserve"> </w:t>
      </w:r>
      <w:proofErr w:type="spellStart"/>
      <w:r w:rsidRPr="0095262B">
        <w:rPr>
          <w:rStyle w:val="Emphasis"/>
          <w:rFonts w:ascii="Arial" w:hAnsi="Arial" w:cs="Arial"/>
          <w:sz w:val="20"/>
          <w:szCs w:val="20"/>
        </w:rPr>
        <w:t>kaouthia</w:t>
      </w:r>
      <w:proofErr w:type="spellEnd"/>
      <w:r w:rsidRPr="0095262B">
        <w:rPr>
          <w:rFonts w:ascii="Arial" w:hAnsi="Arial" w:cs="Arial"/>
          <w:sz w:val="20"/>
          <w:szCs w:val="20"/>
        </w:rPr>
        <w:t xml:space="preserve"> venom, suggesting that cobras generally produce highly efficient PLA</w:t>
      </w:r>
      <w:r w:rsidRPr="0095262B">
        <w:rPr>
          <w:rFonts w:ascii="Arial" w:hAnsi="Arial" w:cs="Arial"/>
          <w:sz w:val="20"/>
          <w:szCs w:val="20"/>
          <w:vertAlign w:val="subscript"/>
        </w:rPr>
        <w:t>2</w:t>
      </w:r>
      <w:r w:rsidRPr="0095262B">
        <w:rPr>
          <w:rFonts w:ascii="Arial" w:hAnsi="Arial" w:cs="Arial"/>
          <w:sz w:val="20"/>
          <w:szCs w:val="20"/>
        </w:rPr>
        <w:t xml:space="preserve"> enzymes. The high Vmax of </w:t>
      </w:r>
      <w:proofErr w:type="spellStart"/>
      <w:r w:rsidRPr="0095262B">
        <w:rPr>
          <w:rStyle w:val="Emphasis"/>
          <w:rFonts w:ascii="Arial" w:hAnsi="Arial" w:cs="Arial"/>
          <w:sz w:val="20"/>
          <w:szCs w:val="20"/>
        </w:rPr>
        <w:t>Naja</w:t>
      </w:r>
      <w:proofErr w:type="spellEnd"/>
      <w:r w:rsidRPr="0095262B">
        <w:rPr>
          <w:rStyle w:val="Emphasis"/>
          <w:rFonts w:ascii="Arial" w:hAnsi="Arial" w:cs="Arial"/>
          <w:sz w:val="20"/>
          <w:szCs w:val="20"/>
        </w:rPr>
        <w:t xml:space="preserve"> </w:t>
      </w:r>
      <w:proofErr w:type="spellStart"/>
      <w:r w:rsidRPr="0095262B">
        <w:rPr>
          <w:rStyle w:val="Emphasis"/>
          <w:rFonts w:ascii="Arial" w:hAnsi="Arial" w:cs="Arial"/>
          <w:sz w:val="20"/>
          <w:szCs w:val="20"/>
        </w:rPr>
        <w:t>melanoleuca</w:t>
      </w:r>
      <w:proofErr w:type="spellEnd"/>
      <w:r w:rsidRPr="0095262B">
        <w:rPr>
          <w:rFonts w:ascii="Arial" w:hAnsi="Arial" w:cs="Arial"/>
          <w:sz w:val="20"/>
          <w:szCs w:val="20"/>
        </w:rPr>
        <w:t xml:space="preserve"> PLA</w:t>
      </w:r>
      <w:r w:rsidRPr="0095262B">
        <w:rPr>
          <w:rFonts w:ascii="Arial" w:hAnsi="Arial" w:cs="Arial"/>
          <w:sz w:val="20"/>
          <w:szCs w:val="20"/>
          <w:vertAlign w:val="subscript"/>
        </w:rPr>
        <w:t>2</w:t>
      </w:r>
      <w:r w:rsidRPr="0095262B">
        <w:rPr>
          <w:rFonts w:ascii="Arial" w:hAnsi="Arial" w:cs="Arial"/>
          <w:sz w:val="20"/>
          <w:szCs w:val="20"/>
        </w:rPr>
        <w:t xml:space="preserve"> supports its role in rapidly </w:t>
      </w:r>
      <w:proofErr w:type="spellStart"/>
      <w:r w:rsidRPr="0095262B">
        <w:rPr>
          <w:rFonts w:ascii="Arial" w:hAnsi="Arial" w:cs="Arial"/>
          <w:sz w:val="20"/>
          <w:szCs w:val="20"/>
        </w:rPr>
        <w:t>hydrolyzing</w:t>
      </w:r>
      <w:proofErr w:type="spellEnd"/>
      <w:r w:rsidRPr="0095262B">
        <w:rPr>
          <w:rFonts w:ascii="Arial" w:hAnsi="Arial" w:cs="Arial"/>
          <w:sz w:val="20"/>
          <w:szCs w:val="20"/>
        </w:rPr>
        <w:t xml:space="preserve"> prey cell membranes. This aligns with findings by </w:t>
      </w:r>
      <w:proofErr w:type="spellStart"/>
      <w:r w:rsidRPr="0095262B">
        <w:rPr>
          <w:rFonts w:ascii="Arial" w:hAnsi="Arial" w:cs="Arial"/>
          <w:sz w:val="20"/>
          <w:szCs w:val="20"/>
        </w:rPr>
        <w:t>Kini</w:t>
      </w:r>
      <w:proofErr w:type="spellEnd"/>
      <w:r w:rsidRPr="0095262B">
        <w:rPr>
          <w:rFonts w:ascii="Arial" w:hAnsi="Arial" w:cs="Arial"/>
          <w:sz w:val="20"/>
          <w:szCs w:val="20"/>
        </w:rPr>
        <w:t xml:space="preserve"> and Evans (1989), who described such kinetic features as essential for quick prey immobilization. The affinity and catalytic efficiency (high Vmax) of </w:t>
      </w:r>
      <w:proofErr w:type="spellStart"/>
      <w:r w:rsidRPr="0095262B">
        <w:rPr>
          <w:rStyle w:val="Emphasis"/>
          <w:rFonts w:ascii="Arial" w:hAnsi="Arial" w:cs="Arial"/>
          <w:sz w:val="20"/>
          <w:szCs w:val="20"/>
        </w:rPr>
        <w:t>Naja</w:t>
      </w:r>
      <w:proofErr w:type="spellEnd"/>
      <w:r w:rsidRPr="0095262B">
        <w:rPr>
          <w:rStyle w:val="Emphasis"/>
          <w:rFonts w:ascii="Arial" w:hAnsi="Arial" w:cs="Arial"/>
          <w:sz w:val="20"/>
          <w:szCs w:val="20"/>
        </w:rPr>
        <w:t xml:space="preserve"> </w:t>
      </w:r>
      <w:proofErr w:type="spellStart"/>
      <w:r w:rsidRPr="0095262B">
        <w:rPr>
          <w:rStyle w:val="Emphasis"/>
          <w:rFonts w:ascii="Arial" w:hAnsi="Arial" w:cs="Arial"/>
          <w:sz w:val="20"/>
          <w:szCs w:val="20"/>
        </w:rPr>
        <w:t>melanoleuca</w:t>
      </w:r>
      <w:proofErr w:type="spellEnd"/>
      <w:r w:rsidRPr="0095262B">
        <w:rPr>
          <w:rFonts w:ascii="Arial" w:hAnsi="Arial" w:cs="Arial"/>
          <w:sz w:val="20"/>
          <w:szCs w:val="20"/>
        </w:rPr>
        <w:t xml:space="preserve"> PLA</w:t>
      </w:r>
      <w:r w:rsidRPr="0095262B">
        <w:rPr>
          <w:rFonts w:ascii="Arial" w:hAnsi="Arial" w:cs="Arial"/>
          <w:sz w:val="20"/>
          <w:szCs w:val="20"/>
          <w:vertAlign w:val="subscript"/>
        </w:rPr>
        <w:t>2</w:t>
      </w:r>
      <w:r w:rsidRPr="0095262B">
        <w:rPr>
          <w:rFonts w:ascii="Arial" w:hAnsi="Arial" w:cs="Arial"/>
          <w:sz w:val="20"/>
          <w:szCs w:val="20"/>
        </w:rPr>
        <w:t xml:space="preserve"> contribute to its ability to rapidly generate inflammatory mediators.</w:t>
      </w:r>
      <w:r w:rsidR="000F2500">
        <w:rPr>
          <w:rFonts w:ascii="Arial" w:hAnsi="Arial" w:cs="Arial"/>
          <w:sz w:val="20"/>
          <w:szCs w:val="20"/>
        </w:rPr>
        <w:t xml:space="preserve"> Inflammations are known for their deteriorating and deleterious effects even the same as that of the Renin Angiotensin Aldosterone System (RAAS) and immune response imbalances during the Covid-19 pandemic (Mohammed </w:t>
      </w:r>
      <w:r w:rsidR="000F2500" w:rsidRPr="000F2500">
        <w:rPr>
          <w:rFonts w:ascii="Arial" w:hAnsi="Arial" w:cs="Arial"/>
          <w:i/>
          <w:sz w:val="20"/>
          <w:szCs w:val="20"/>
        </w:rPr>
        <w:t>et al.,</w:t>
      </w:r>
      <w:r w:rsidR="000F2500">
        <w:rPr>
          <w:rFonts w:ascii="Arial" w:hAnsi="Arial" w:cs="Arial"/>
          <w:sz w:val="20"/>
          <w:szCs w:val="20"/>
        </w:rPr>
        <w:t xml:space="preserve"> 2021).</w:t>
      </w:r>
      <w:r w:rsidRPr="0095262B">
        <w:rPr>
          <w:rFonts w:ascii="Arial" w:hAnsi="Arial" w:cs="Arial"/>
          <w:sz w:val="20"/>
          <w:szCs w:val="20"/>
        </w:rPr>
        <w:t xml:space="preserve"> Studies by Scott </w:t>
      </w:r>
      <w:r w:rsidRPr="0095262B">
        <w:rPr>
          <w:rFonts w:ascii="Arial" w:hAnsi="Arial" w:cs="Arial"/>
          <w:i/>
          <w:sz w:val="20"/>
          <w:szCs w:val="20"/>
        </w:rPr>
        <w:t xml:space="preserve">et al., </w:t>
      </w:r>
      <w:r w:rsidRPr="0095262B">
        <w:rPr>
          <w:rFonts w:ascii="Arial" w:hAnsi="Arial" w:cs="Arial"/>
          <w:sz w:val="20"/>
          <w:szCs w:val="20"/>
        </w:rPr>
        <w:t>(2000) linked these mediators, particularly leukotrienes and prostaglandins, to enhanced pain, inflammation, and tissue necrosis following envenomation.</w:t>
      </w:r>
      <w:r w:rsidRPr="0095262B">
        <w:rPr>
          <w:rFonts w:ascii="Arial" w:hAnsi="Arial" w:cs="Arial"/>
          <w:b/>
          <w:sz w:val="20"/>
          <w:szCs w:val="20"/>
        </w:rPr>
        <w:t xml:space="preserve"> </w:t>
      </w:r>
      <w:r w:rsidRPr="0095262B">
        <w:rPr>
          <w:rFonts w:ascii="Arial" w:hAnsi="Arial" w:cs="Arial"/>
          <w:sz w:val="20"/>
          <w:szCs w:val="20"/>
        </w:rPr>
        <w:t xml:space="preserve">The observed kinetic and toxicological properties of </w:t>
      </w:r>
      <w:proofErr w:type="spellStart"/>
      <w:r w:rsidRPr="0095262B">
        <w:rPr>
          <w:rStyle w:val="Emphasis"/>
          <w:rFonts w:ascii="Arial" w:hAnsi="Arial" w:cs="Arial"/>
          <w:sz w:val="20"/>
          <w:szCs w:val="20"/>
        </w:rPr>
        <w:t>Naja</w:t>
      </w:r>
      <w:proofErr w:type="spellEnd"/>
      <w:r w:rsidRPr="0095262B">
        <w:rPr>
          <w:rStyle w:val="Emphasis"/>
          <w:rFonts w:ascii="Arial" w:hAnsi="Arial" w:cs="Arial"/>
          <w:sz w:val="20"/>
          <w:szCs w:val="20"/>
        </w:rPr>
        <w:t xml:space="preserve"> </w:t>
      </w:r>
      <w:proofErr w:type="spellStart"/>
      <w:r w:rsidRPr="0095262B">
        <w:rPr>
          <w:rStyle w:val="Emphasis"/>
          <w:rFonts w:ascii="Arial" w:hAnsi="Arial" w:cs="Arial"/>
          <w:sz w:val="20"/>
          <w:szCs w:val="20"/>
        </w:rPr>
        <w:t>melanoleuca</w:t>
      </w:r>
      <w:proofErr w:type="spellEnd"/>
      <w:r w:rsidRPr="0095262B">
        <w:rPr>
          <w:rFonts w:ascii="Arial" w:hAnsi="Arial" w:cs="Arial"/>
          <w:sz w:val="20"/>
          <w:szCs w:val="20"/>
        </w:rPr>
        <w:t xml:space="preserve"> PLA</w:t>
      </w:r>
      <w:r w:rsidRPr="0095262B">
        <w:rPr>
          <w:rFonts w:ascii="Arial" w:hAnsi="Arial" w:cs="Arial"/>
          <w:sz w:val="20"/>
          <w:szCs w:val="20"/>
          <w:vertAlign w:val="subscript"/>
        </w:rPr>
        <w:t>2</w:t>
      </w:r>
      <w:r w:rsidRPr="0095262B">
        <w:rPr>
          <w:rFonts w:ascii="Arial" w:hAnsi="Arial" w:cs="Arial"/>
          <w:sz w:val="20"/>
          <w:szCs w:val="20"/>
        </w:rPr>
        <w:t xml:space="preserve"> exhibit both conserved and species-specific features when compared to other snake venom PLA</w:t>
      </w:r>
      <w:r w:rsidRPr="0095262B">
        <w:rPr>
          <w:rFonts w:ascii="Arial" w:hAnsi="Arial" w:cs="Arial"/>
          <w:sz w:val="20"/>
          <w:szCs w:val="20"/>
          <w:vertAlign w:val="subscript"/>
        </w:rPr>
        <w:t>2</w:t>
      </w:r>
      <w:r w:rsidRPr="0095262B">
        <w:rPr>
          <w:rFonts w:ascii="Arial" w:hAnsi="Arial" w:cs="Arial"/>
          <w:sz w:val="20"/>
          <w:szCs w:val="20"/>
        </w:rPr>
        <w:t xml:space="preserve"> enzymes: Studies on rattlesnake venoms (e.g., </w:t>
      </w:r>
      <w:proofErr w:type="spellStart"/>
      <w:r w:rsidRPr="0095262B">
        <w:rPr>
          <w:rStyle w:val="Emphasis"/>
          <w:rFonts w:ascii="Arial" w:hAnsi="Arial" w:cs="Arial"/>
          <w:sz w:val="20"/>
          <w:szCs w:val="20"/>
        </w:rPr>
        <w:t>Crotalus</w:t>
      </w:r>
      <w:proofErr w:type="spellEnd"/>
      <w:r w:rsidRPr="0095262B">
        <w:rPr>
          <w:rStyle w:val="Emphasis"/>
          <w:rFonts w:ascii="Arial" w:hAnsi="Arial" w:cs="Arial"/>
          <w:sz w:val="20"/>
          <w:szCs w:val="20"/>
        </w:rPr>
        <w:t xml:space="preserve"> </w:t>
      </w:r>
      <w:proofErr w:type="spellStart"/>
      <w:r w:rsidRPr="0095262B">
        <w:rPr>
          <w:rStyle w:val="Emphasis"/>
          <w:rFonts w:ascii="Arial" w:hAnsi="Arial" w:cs="Arial"/>
          <w:sz w:val="20"/>
          <w:szCs w:val="20"/>
        </w:rPr>
        <w:t>durissus</w:t>
      </w:r>
      <w:proofErr w:type="spellEnd"/>
      <w:r w:rsidRPr="0095262B">
        <w:rPr>
          <w:rStyle w:val="Emphasis"/>
          <w:rFonts w:ascii="Arial" w:hAnsi="Arial" w:cs="Arial"/>
          <w:sz w:val="20"/>
          <w:szCs w:val="20"/>
        </w:rPr>
        <w:t xml:space="preserve"> </w:t>
      </w:r>
      <w:proofErr w:type="spellStart"/>
      <w:r w:rsidRPr="0095262B">
        <w:rPr>
          <w:rStyle w:val="Emphasis"/>
          <w:rFonts w:ascii="Arial" w:hAnsi="Arial" w:cs="Arial"/>
          <w:sz w:val="20"/>
          <w:szCs w:val="20"/>
        </w:rPr>
        <w:t>terrificus</w:t>
      </w:r>
      <w:proofErr w:type="spellEnd"/>
      <w:r w:rsidRPr="0095262B">
        <w:rPr>
          <w:rFonts w:ascii="Arial" w:hAnsi="Arial" w:cs="Arial"/>
          <w:sz w:val="20"/>
          <w:szCs w:val="20"/>
        </w:rPr>
        <w:t xml:space="preserve">) by Soares </w:t>
      </w:r>
      <w:r w:rsidRPr="0095262B">
        <w:rPr>
          <w:rFonts w:ascii="Arial" w:hAnsi="Arial" w:cs="Arial"/>
          <w:i/>
          <w:sz w:val="20"/>
          <w:szCs w:val="20"/>
        </w:rPr>
        <w:t xml:space="preserve">et al., </w:t>
      </w:r>
      <w:r w:rsidRPr="0095262B">
        <w:rPr>
          <w:rFonts w:ascii="Arial" w:hAnsi="Arial" w:cs="Arial"/>
          <w:sz w:val="20"/>
          <w:szCs w:val="20"/>
        </w:rPr>
        <w:t>(2004) reveal PLA</w:t>
      </w:r>
      <w:r w:rsidRPr="0095262B">
        <w:rPr>
          <w:rFonts w:ascii="Arial" w:hAnsi="Arial" w:cs="Arial"/>
          <w:sz w:val="20"/>
          <w:szCs w:val="20"/>
          <w:vertAlign w:val="subscript"/>
        </w:rPr>
        <w:t>2</w:t>
      </w:r>
      <w:r w:rsidRPr="0095262B">
        <w:rPr>
          <w:rFonts w:ascii="Arial" w:hAnsi="Arial" w:cs="Arial"/>
          <w:sz w:val="20"/>
          <w:szCs w:val="20"/>
        </w:rPr>
        <w:t xml:space="preserve"> enzymes with slightly lower pH optima but similar myotoxic effects, indicating functional convergence despite evolutionary divergence. PLA</w:t>
      </w:r>
      <w:r w:rsidRPr="0095262B">
        <w:rPr>
          <w:rFonts w:ascii="Arial" w:hAnsi="Arial" w:cs="Arial"/>
          <w:sz w:val="20"/>
          <w:szCs w:val="20"/>
          <w:vertAlign w:val="subscript"/>
        </w:rPr>
        <w:t>2</w:t>
      </w:r>
      <w:r w:rsidRPr="0095262B">
        <w:rPr>
          <w:rFonts w:ascii="Arial" w:hAnsi="Arial" w:cs="Arial"/>
          <w:sz w:val="20"/>
          <w:szCs w:val="20"/>
        </w:rPr>
        <w:t xml:space="preserve"> from sea snake venoms (e.g., </w:t>
      </w:r>
      <w:proofErr w:type="spellStart"/>
      <w:r w:rsidRPr="0095262B">
        <w:rPr>
          <w:rStyle w:val="Emphasis"/>
          <w:rFonts w:ascii="Arial" w:hAnsi="Arial" w:cs="Arial"/>
          <w:sz w:val="20"/>
          <w:szCs w:val="20"/>
        </w:rPr>
        <w:t>Enhydrina</w:t>
      </w:r>
      <w:proofErr w:type="spellEnd"/>
      <w:r w:rsidRPr="0095262B">
        <w:rPr>
          <w:rStyle w:val="Emphasis"/>
          <w:rFonts w:ascii="Arial" w:hAnsi="Arial" w:cs="Arial"/>
          <w:sz w:val="20"/>
          <w:szCs w:val="20"/>
        </w:rPr>
        <w:t xml:space="preserve"> </w:t>
      </w:r>
      <w:proofErr w:type="spellStart"/>
      <w:r w:rsidRPr="0095262B">
        <w:rPr>
          <w:rStyle w:val="Emphasis"/>
          <w:rFonts w:ascii="Arial" w:hAnsi="Arial" w:cs="Arial"/>
          <w:sz w:val="20"/>
          <w:szCs w:val="20"/>
        </w:rPr>
        <w:t>schistosa</w:t>
      </w:r>
      <w:proofErr w:type="spellEnd"/>
      <w:r w:rsidRPr="0095262B">
        <w:rPr>
          <w:rFonts w:ascii="Arial" w:hAnsi="Arial" w:cs="Arial"/>
          <w:sz w:val="20"/>
          <w:szCs w:val="20"/>
        </w:rPr>
        <w:t xml:space="preserve">) demonstrates higher salt tolerance but similar phospholipid affinity, as reported by Tan </w:t>
      </w:r>
      <w:r w:rsidRPr="0095262B">
        <w:rPr>
          <w:rFonts w:ascii="Arial" w:hAnsi="Arial" w:cs="Arial"/>
          <w:i/>
          <w:sz w:val="20"/>
          <w:szCs w:val="20"/>
        </w:rPr>
        <w:t xml:space="preserve">et al., </w:t>
      </w:r>
      <w:r w:rsidRPr="0095262B">
        <w:rPr>
          <w:rFonts w:ascii="Arial" w:hAnsi="Arial" w:cs="Arial"/>
          <w:sz w:val="20"/>
          <w:szCs w:val="20"/>
        </w:rPr>
        <w:t xml:space="preserve">(2003). This highlights the enzyme's adaptability to different ecological conditions. The high catalytic efficiency of </w:t>
      </w:r>
      <w:proofErr w:type="spellStart"/>
      <w:r w:rsidRPr="0095262B">
        <w:rPr>
          <w:rStyle w:val="Emphasis"/>
          <w:rFonts w:ascii="Arial" w:hAnsi="Arial" w:cs="Arial"/>
          <w:sz w:val="20"/>
          <w:szCs w:val="20"/>
        </w:rPr>
        <w:t>Naja</w:t>
      </w:r>
      <w:proofErr w:type="spellEnd"/>
      <w:r w:rsidRPr="0095262B">
        <w:rPr>
          <w:rStyle w:val="Emphasis"/>
          <w:rFonts w:ascii="Arial" w:hAnsi="Arial" w:cs="Arial"/>
          <w:sz w:val="20"/>
          <w:szCs w:val="20"/>
        </w:rPr>
        <w:t xml:space="preserve"> </w:t>
      </w:r>
      <w:proofErr w:type="spellStart"/>
      <w:r w:rsidRPr="0095262B">
        <w:rPr>
          <w:rStyle w:val="Emphasis"/>
          <w:rFonts w:ascii="Arial" w:hAnsi="Arial" w:cs="Arial"/>
          <w:sz w:val="20"/>
          <w:szCs w:val="20"/>
        </w:rPr>
        <w:t>melanoleuca</w:t>
      </w:r>
      <w:proofErr w:type="spellEnd"/>
      <w:r w:rsidRPr="0095262B">
        <w:rPr>
          <w:rFonts w:ascii="Arial" w:hAnsi="Arial" w:cs="Arial"/>
          <w:sz w:val="20"/>
          <w:szCs w:val="20"/>
        </w:rPr>
        <w:t xml:space="preserve"> PLA</w:t>
      </w:r>
      <w:r w:rsidRPr="0095262B">
        <w:rPr>
          <w:rFonts w:ascii="Arial" w:hAnsi="Arial" w:cs="Arial"/>
          <w:sz w:val="20"/>
          <w:szCs w:val="20"/>
          <w:vertAlign w:val="subscript"/>
        </w:rPr>
        <w:t>2</w:t>
      </w:r>
      <w:r w:rsidRPr="0095262B">
        <w:rPr>
          <w:rFonts w:ascii="Arial" w:hAnsi="Arial" w:cs="Arial"/>
          <w:sz w:val="20"/>
          <w:szCs w:val="20"/>
        </w:rPr>
        <w:t xml:space="preserve"> matches findings for </w:t>
      </w:r>
      <w:proofErr w:type="spellStart"/>
      <w:r w:rsidRPr="0095262B">
        <w:rPr>
          <w:rStyle w:val="Emphasis"/>
          <w:rFonts w:ascii="Arial" w:hAnsi="Arial" w:cs="Arial"/>
          <w:sz w:val="20"/>
          <w:szCs w:val="20"/>
        </w:rPr>
        <w:t>Bothrops</w:t>
      </w:r>
      <w:proofErr w:type="spellEnd"/>
      <w:r w:rsidRPr="0095262B">
        <w:rPr>
          <w:rStyle w:val="Emphasis"/>
          <w:rFonts w:ascii="Arial" w:hAnsi="Arial" w:cs="Arial"/>
          <w:sz w:val="20"/>
          <w:szCs w:val="20"/>
        </w:rPr>
        <w:t xml:space="preserve"> </w:t>
      </w:r>
      <w:proofErr w:type="spellStart"/>
      <w:r w:rsidRPr="0095262B">
        <w:rPr>
          <w:rStyle w:val="Emphasis"/>
          <w:rFonts w:ascii="Arial" w:hAnsi="Arial" w:cs="Arial"/>
          <w:sz w:val="20"/>
          <w:szCs w:val="20"/>
        </w:rPr>
        <w:t>jararacussu</w:t>
      </w:r>
      <w:proofErr w:type="spellEnd"/>
      <w:r w:rsidRPr="0095262B">
        <w:rPr>
          <w:rFonts w:ascii="Arial" w:hAnsi="Arial" w:cs="Arial"/>
          <w:sz w:val="20"/>
          <w:szCs w:val="20"/>
        </w:rPr>
        <w:t xml:space="preserve"> PLA</w:t>
      </w:r>
      <w:r w:rsidRPr="0095262B">
        <w:rPr>
          <w:rFonts w:ascii="Arial" w:hAnsi="Arial" w:cs="Arial"/>
          <w:sz w:val="20"/>
          <w:szCs w:val="20"/>
          <w:vertAlign w:val="subscript"/>
        </w:rPr>
        <w:t>2</w:t>
      </w:r>
      <w:r w:rsidRPr="0095262B">
        <w:rPr>
          <w:rFonts w:ascii="Arial" w:hAnsi="Arial" w:cs="Arial"/>
          <w:sz w:val="20"/>
          <w:szCs w:val="20"/>
        </w:rPr>
        <w:t xml:space="preserve"> (Km = 2.5 mM), as described by Gutierrez </w:t>
      </w:r>
      <w:r w:rsidRPr="0095262B">
        <w:rPr>
          <w:rFonts w:ascii="Arial" w:hAnsi="Arial" w:cs="Arial"/>
          <w:i/>
          <w:sz w:val="20"/>
          <w:szCs w:val="20"/>
        </w:rPr>
        <w:t xml:space="preserve">et al., </w:t>
      </w:r>
      <w:r w:rsidRPr="0095262B">
        <w:rPr>
          <w:rFonts w:ascii="Arial" w:hAnsi="Arial" w:cs="Arial"/>
          <w:sz w:val="20"/>
          <w:szCs w:val="20"/>
        </w:rPr>
        <w:t>(2003). However, differences in Vmax values reflect variations in venom potency and prey immobilization strategies.</w:t>
      </w:r>
    </w:p>
    <w:p w14:paraId="5BD564F4" w14:textId="77777777" w:rsidR="0095262B" w:rsidRPr="0095262B" w:rsidRDefault="0095262B" w:rsidP="0095262B">
      <w:pPr>
        <w:pStyle w:val="ListParagraph"/>
        <w:numPr>
          <w:ilvl w:val="0"/>
          <w:numId w:val="1"/>
        </w:numPr>
        <w:spacing w:line="360" w:lineRule="auto"/>
        <w:ind w:left="270" w:hanging="270"/>
        <w:jc w:val="both"/>
        <w:rPr>
          <w:rFonts w:ascii="Arial" w:hAnsi="Arial" w:cs="Arial"/>
          <w:b/>
        </w:rPr>
      </w:pPr>
      <w:r w:rsidRPr="0095262B">
        <w:rPr>
          <w:rFonts w:ascii="Arial" w:hAnsi="Arial" w:cs="Arial"/>
          <w:b/>
        </w:rPr>
        <w:t xml:space="preserve">CONCLUSION </w:t>
      </w:r>
    </w:p>
    <w:p w14:paraId="248ECB5F" w14:textId="77777777" w:rsidR="0095262B" w:rsidRPr="0095262B" w:rsidRDefault="0095262B" w:rsidP="0095262B">
      <w:pPr>
        <w:spacing w:line="360" w:lineRule="auto"/>
        <w:jc w:val="both"/>
        <w:rPr>
          <w:rFonts w:ascii="Arial" w:hAnsi="Arial" w:cs="Arial"/>
          <w:sz w:val="20"/>
          <w:szCs w:val="20"/>
        </w:rPr>
      </w:pPr>
      <w:r w:rsidRPr="0095262B">
        <w:rPr>
          <w:rFonts w:ascii="Arial" w:hAnsi="Arial" w:cs="Arial"/>
          <w:sz w:val="20"/>
          <w:szCs w:val="20"/>
        </w:rPr>
        <w:t xml:space="preserve">Understanding the specific components and their enzymatic properties as well as the characteristics and kinetic properties can help in developing region-specific antivenoms, enhancing snakebite treatment strategies (Gutiérrez </w:t>
      </w:r>
      <w:r w:rsidRPr="0095262B">
        <w:rPr>
          <w:rFonts w:ascii="Arial" w:hAnsi="Arial" w:cs="Arial"/>
          <w:i/>
          <w:sz w:val="20"/>
          <w:szCs w:val="20"/>
        </w:rPr>
        <w:t>et al</w:t>
      </w:r>
      <w:r w:rsidRPr="0095262B">
        <w:rPr>
          <w:rFonts w:ascii="Arial" w:hAnsi="Arial" w:cs="Arial"/>
          <w:sz w:val="20"/>
          <w:szCs w:val="20"/>
        </w:rPr>
        <w:t>., 2016). Additionally, the presence of multiple proteins within the PLA</w:t>
      </w:r>
      <w:r w:rsidRPr="0095262B">
        <w:rPr>
          <w:rFonts w:ascii="Cambria Math" w:hAnsi="Cambria Math" w:cs="Cambria Math"/>
          <w:sz w:val="20"/>
          <w:szCs w:val="20"/>
        </w:rPr>
        <w:t>₂</w:t>
      </w:r>
      <w:r w:rsidRPr="0095262B">
        <w:rPr>
          <w:rFonts w:ascii="Arial" w:hAnsi="Arial" w:cs="Arial"/>
          <w:sz w:val="20"/>
          <w:szCs w:val="20"/>
        </w:rPr>
        <w:t xml:space="preserve"> fraction underscores the complexity of snake venom and the necessity for comprehensive venom analysis (Harrison </w:t>
      </w:r>
      <w:r w:rsidRPr="0095262B">
        <w:rPr>
          <w:rFonts w:ascii="Arial" w:hAnsi="Arial" w:cs="Arial"/>
          <w:i/>
          <w:sz w:val="20"/>
          <w:szCs w:val="20"/>
        </w:rPr>
        <w:t>et al</w:t>
      </w:r>
      <w:r w:rsidRPr="0095262B">
        <w:rPr>
          <w:rFonts w:ascii="Arial" w:hAnsi="Arial" w:cs="Arial"/>
          <w:sz w:val="20"/>
          <w:szCs w:val="20"/>
        </w:rPr>
        <w:t xml:space="preserve">., 2011; </w:t>
      </w:r>
      <w:proofErr w:type="spellStart"/>
      <w:r w:rsidRPr="0095262B">
        <w:rPr>
          <w:rFonts w:ascii="Arial" w:hAnsi="Arial" w:cs="Arial"/>
          <w:sz w:val="20"/>
          <w:szCs w:val="20"/>
        </w:rPr>
        <w:t>Pla</w:t>
      </w:r>
      <w:proofErr w:type="spellEnd"/>
      <w:r w:rsidRPr="0095262B">
        <w:rPr>
          <w:rFonts w:ascii="Arial" w:hAnsi="Arial" w:cs="Arial"/>
          <w:sz w:val="20"/>
          <w:szCs w:val="20"/>
        </w:rPr>
        <w:t xml:space="preserve"> </w:t>
      </w:r>
      <w:r w:rsidRPr="0095262B">
        <w:rPr>
          <w:rFonts w:ascii="Arial" w:hAnsi="Arial" w:cs="Arial"/>
          <w:i/>
          <w:sz w:val="20"/>
          <w:szCs w:val="20"/>
        </w:rPr>
        <w:t>et al</w:t>
      </w:r>
      <w:r w:rsidRPr="0095262B">
        <w:rPr>
          <w:rFonts w:ascii="Arial" w:hAnsi="Arial" w:cs="Arial"/>
          <w:sz w:val="20"/>
          <w:szCs w:val="20"/>
        </w:rPr>
        <w:t xml:space="preserve">., 2019). </w:t>
      </w:r>
      <w:r w:rsidR="00AD4B76">
        <w:rPr>
          <w:rFonts w:ascii="Arial" w:hAnsi="Arial" w:cs="Arial"/>
          <w:sz w:val="20"/>
          <w:szCs w:val="20"/>
        </w:rPr>
        <w:t>This work entails some characteristics and kinetic parameters i.e. molecular weight, Km, Vmax, optimum pH, optimum temperature as well as the activation energy of the PLA</w:t>
      </w:r>
      <w:r w:rsidR="00AD4B76" w:rsidRPr="00AD4B76">
        <w:rPr>
          <w:rFonts w:ascii="Arial" w:hAnsi="Arial" w:cs="Arial"/>
          <w:sz w:val="20"/>
          <w:szCs w:val="20"/>
          <w:vertAlign w:val="subscript"/>
        </w:rPr>
        <w:t>2</w:t>
      </w:r>
      <w:r w:rsidR="00AD4B76">
        <w:rPr>
          <w:rFonts w:ascii="Arial" w:hAnsi="Arial" w:cs="Arial"/>
          <w:sz w:val="20"/>
          <w:szCs w:val="20"/>
        </w:rPr>
        <w:t xml:space="preserve"> from the venom of Nigerian </w:t>
      </w:r>
      <w:proofErr w:type="spellStart"/>
      <w:r w:rsidR="00AD4B76" w:rsidRPr="00AD4B76">
        <w:rPr>
          <w:rFonts w:ascii="Arial" w:hAnsi="Arial" w:cs="Arial"/>
          <w:i/>
          <w:sz w:val="20"/>
          <w:szCs w:val="20"/>
        </w:rPr>
        <w:t>Naja</w:t>
      </w:r>
      <w:proofErr w:type="spellEnd"/>
      <w:r w:rsidR="00AD4B76" w:rsidRPr="00AD4B76">
        <w:rPr>
          <w:rFonts w:ascii="Arial" w:hAnsi="Arial" w:cs="Arial"/>
          <w:i/>
          <w:sz w:val="20"/>
          <w:szCs w:val="20"/>
        </w:rPr>
        <w:t xml:space="preserve"> </w:t>
      </w:r>
      <w:proofErr w:type="spellStart"/>
      <w:r w:rsidR="00AD4B76" w:rsidRPr="00AD4B76">
        <w:rPr>
          <w:rFonts w:ascii="Arial" w:hAnsi="Arial" w:cs="Arial"/>
          <w:i/>
          <w:sz w:val="20"/>
          <w:szCs w:val="20"/>
        </w:rPr>
        <w:t>melanoleuca</w:t>
      </w:r>
      <w:proofErr w:type="spellEnd"/>
      <w:r w:rsidR="00AD4B76">
        <w:rPr>
          <w:rFonts w:ascii="Arial" w:hAnsi="Arial" w:cs="Arial"/>
          <w:sz w:val="20"/>
          <w:szCs w:val="20"/>
        </w:rPr>
        <w:t xml:space="preserve">. </w:t>
      </w:r>
      <w:r w:rsidRPr="0095262B">
        <w:rPr>
          <w:rFonts w:ascii="Arial" w:hAnsi="Arial" w:cs="Arial"/>
          <w:sz w:val="20"/>
          <w:szCs w:val="20"/>
        </w:rPr>
        <w:t xml:space="preserve">Further studies are needed to explore the full therapeutic potential of purified venom components and their applications in pharmacology (Vishwanath </w:t>
      </w:r>
      <w:r w:rsidRPr="0095262B">
        <w:rPr>
          <w:rFonts w:ascii="Arial" w:hAnsi="Arial" w:cs="Arial"/>
          <w:i/>
          <w:sz w:val="20"/>
          <w:szCs w:val="20"/>
        </w:rPr>
        <w:t>et al</w:t>
      </w:r>
      <w:r w:rsidRPr="0095262B">
        <w:rPr>
          <w:rFonts w:ascii="Arial" w:hAnsi="Arial" w:cs="Arial"/>
          <w:sz w:val="20"/>
          <w:szCs w:val="20"/>
        </w:rPr>
        <w:t>., 2013).</w:t>
      </w:r>
    </w:p>
    <w:p w14:paraId="151CB01D" w14:textId="77777777" w:rsidR="0095262B" w:rsidRPr="0095262B" w:rsidRDefault="0095262B" w:rsidP="0095262B">
      <w:pPr>
        <w:spacing w:after="0" w:line="360" w:lineRule="auto"/>
        <w:jc w:val="both"/>
        <w:rPr>
          <w:rFonts w:ascii="Arial" w:eastAsia="Times New Roman" w:hAnsi="Arial" w:cs="Arial"/>
          <w:b/>
          <w:bCs/>
          <w:color w:val="000000"/>
          <w:lang w:val="en-US" w:eastAsia="en-US"/>
        </w:rPr>
      </w:pPr>
      <w:r w:rsidRPr="0095262B">
        <w:rPr>
          <w:rFonts w:ascii="Arial" w:eastAsia="Times New Roman" w:hAnsi="Arial" w:cs="Arial"/>
          <w:b/>
          <w:bCs/>
          <w:color w:val="000000"/>
          <w:lang w:val="en-US" w:eastAsia="en-US"/>
        </w:rPr>
        <w:t>DISCLAIMER (ARTIFICIAL INTELLIGENCE)</w:t>
      </w:r>
    </w:p>
    <w:p w14:paraId="089D0FA5" w14:textId="77777777" w:rsidR="0095262B" w:rsidRPr="0095262B" w:rsidRDefault="0095262B" w:rsidP="0095262B">
      <w:pPr>
        <w:spacing w:line="360" w:lineRule="auto"/>
        <w:jc w:val="both"/>
        <w:rPr>
          <w:rFonts w:ascii="Arial" w:eastAsia="Times New Roman" w:hAnsi="Arial" w:cs="Arial"/>
          <w:color w:val="000000"/>
          <w:sz w:val="20"/>
          <w:szCs w:val="20"/>
          <w:lang w:val="en-US" w:eastAsia="en-US"/>
        </w:rPr>
      </w:pPr>
      <w:r w:rsidRPr="0095262B">
        <w:rPr>
          <w:rFonts w:ascii="Arial" w:eastAsia="Times New Roman" w:hAnsi="Arial" w:cs="Arial"/>
          <w:color w:val="000000"/>
          <w:sz w:val="20"/>
          <w:szCs w:val="20"/>
          <w:lang w:val="en-US" w:eastAsia="en-US"/>
        </w:rPr>
        <w:t>Author(s) hereby declare that NO generative AI technologies such as Large Language Models (</w:t>
      </w:r>
      <w:proofErr w:type="spellStart"/>
      <w:r w:rsidRPr="0095262B">
        <w:rPr>
          <w:rFonts w:ascii="Arial" w:eastAsia="Times New Roman" w:hAnsi="Arial" w:cs="Arial"/>
          <w:color w:val="000000"/>
          <w:sz w:val="20"/>
          <w:szCs w:val="20"/>
          <w:lang w:val="en-US" w:eastAsia="en-US"/>
        </w:rPr>
        <w:t>ChatGPT</w:t>
      </w:r>
      <w:proofErr w:type="spellEnd"/>
      <w:r w:rsidRPr="0095262B">
        <w:rPr>
          <w:rFonts w:ascii="Arial" w:eastAsia="Times New Roman" w:hAnsi="Arial" w:cs="Arial"/>
          <w:color w:val="000000"/>
          <w:sz w:val="20"/>
          <w:szCs w:val="20"/>
          <w:lang w:val="en-US" w:eastAsia="en-US"/>
        </w:rPr>
        <w:t xml:space="preserve">, COPILOT, </w:t>
      </w:r>
      <w:proofErr w:type="spellStart"/>
      <w:r w:rsidRPr="0095262B">
        <w:rPr>
          <w:rFonts w:ascii="Arial" w:eastAsia="Times New Roman" w:hAnsi="Arial" w:cs="Arial"/>
          <w:color w:val="000000"/>
          <w:sz w:val="20"/>
          <w:szCs w:val="20"/>
          <w:lang w:val="en-US" w:eastAsia="en-US"/>
        </w:rPr>
        <w:t>etc</w:t>
      </w:r>
      <w:proofErr w:type="spellEnd"/>
      <w:r w:rsidRPr="0095262B">
        <w:rPr>
          <w:rFonts w:ascii="Arial" w:eastAsia="Times New Roman" w:hAnsi="Arial" w:cs="Arial"/>
          <w:color w:val="000000"/>
          <w:sz w:val="20"/>
          <w:szCs w:val="20"/>
          <w:lang w:val="en-US" w:eastAsia="en-US"/>
        </w:rPr>
        <w:t>) and text-to-image generators have been used during writing or editing of this manuscript.</w:t>
      </w:r>
    </w:p>
    <w:p w14:paraId="0C6DEEE2" w14:textId="77777777" w:rsidR="0095262B" w:rsidRPr="0095262B" w:rsidRDefault="0095262B" w:rsidP="0095262B">
      <w:pPr>
        <w:spacing w:after="0" w:line="360" w:lineRule="auto"/>
        <w:jc w:val="both"/>
        <w:rPr>
          <w:rFonts w:ascii="Arial" w:eastAsia="Times New Roman" w:hAnsi="Arial" w:cs="Arial"/>
          <w:b/>
          <w:bCs/>
          <w:color w:val="000000"/>
          <w:lang w:val="en-US" w:eastAsia="en-US"/>
        </w:rPr>
      </w:pPr>
      <w:r w:rsidRPr="0095262B">
        <w:rPr>
          <w:rFonts w:ascii="Arial" w:eastAsia="Times New Roman" w:hAnsi="Arial" w:cs="Arial"/>
          <w:b/>
          <w:bCs/>
          <w:color w:val="000000"/>
          <w:lang w:val="en-US" w:eastAsia="en-US"/>
        </w:rPr>
        <w:lastRenderedPageBreak/>
        <w:t>COMPETING INTERESTS</w:t>
      </w:r>
    </w:p>
    <w:p w14:paraId="70720195" w14:textId="77777777" w:rsidR="0095262B" w:rsidRPr="0095262B" w:rsidRDefault="0095262B" w:rsidP="0095262B">
      <w:pPr>
        <w:spacing w:line="360" w:lineRule="auto"/>
        <w:jc w:val="both"/>
        <w:rPr>
          <w:rFonts w:ascii="Arial" w:eastAsia="Times New Roman" w:hAnsi="Arial" w:cs="Arial"/>
          <w:color w:val="000000"/>
          <w:sz w:val="20"/>
          <w:szCs w:val="20"/>
          <w:lang w:val="en-US" w:eastAsia="en-US"/>
        </w:rPr>
      </w:pPr>
      <w:r w:rsidRPr="0095262B">
        <w:rPr>
          <w:rFonts w:ascii="Arial" w:eastAsia="Times New Roman" w:hAnsi="Arial" w:cs="Arial"/>
          <w:color w:val="000000"/>
          <w:sz w:val="20"/>
          <w:szCs w:val="20"/>
          <w:lang w:val="en-US" w:eastAsia="en-US"/>
        </w:rPr>
        <w:t>Authors have declared that no competing interests exist.</w:t>
      </w:r>
    </w:p>
    <w:p w14:paraId="60B394C8" w14:textId="77777777" w:rsidR="0095262B" w:rsidRPr="0095262B" w:rsidRDefault="0095262B" w:rsidP="0095262B">
      <w:pPr>
        <w:spacing w:line="360" w:lineRule="auto"/>
        <w:jc w:val="both"/>
        <w:rPr>
          <w:rFonts w:ascii="Arial" w:hAnsi="Arial" w:cs="Arial"/>
          <w:b/>
        </w:rPr>
      </w:pPr>
      <w:r w:rsidRPr="0095262B">
        <w:rPr>
          <w:rFonts w:ascii="Arial" w:hAnsi="Arial" w:cs="Arial"/>
          <w:b/>
        </w:rPr>
        <w:t>REFERENCES</w:t>
      </w:r>
    </w:p>
    <w:p w14:paraId="645FACF9" w14:textId="01E73209" w:rsidR="00C36478" w:rsidRPr="00DA1D10" w:rsidRDefault="00161435" w:rsidP="00DA1D10">
      <w:pPr>
        <w:spacing w:before="100" w:beforeAutospacing="1" w:after="100" w:afterAutospacing="1" w:line="240" w:lineRule="auto"/>
        <w:jc w:val="both"/>
        <w:rPr>
          <w:rFonts w:ascii="Arial" w:eastAsia="Times New Roman" w:hAnsi="Arial" w:cs="Arial"/>
          <w:sz w:val="20"/>
          <w:szCs w:val="20"/>
        </w:rPr>
      </w:pPr>
      <w:r w:rsidRPr="00DA1D10">
        <w:rPr>
          <w:rFonts w:ascii="Arial" w:eastAsia="Times New Roman" w:hAnsi="Arial" w:cs="Arial"/>
          <w:sz w:val="20"/>
          <w:szCs w:val="20"/>
        </w:rPr>
        <w:t xml:space="preserve">Abubakar, S. B., Habib, A. G., Abubakar, I. S., </w:t>
      </w:r>
      <w:proofErr w:type="spellStart"/>
      <w:r w:rsidRPr="00DA1D10">
        <w:rPr>
          <w:rFonts w:ascii="Arial" w:eastAsia="Times New Roman" w:hAnsi="Arial" w:cs="Arial"/>
          <w:sz w:val="20"/>
          <w:szCs w:val="20"/>
        </w:rPr>
        <w:t>Larnyang</w:t>
      </w:r>
      <w:proofErr w:type="spellEnd"/>
      <w:r w:rsidRPr="00DA1D10">
        <w:rPr>
          <w:rFonts w:ascii="Arial" w:eastAsia="Times New Roman" w:hAnsi="Arial" w:cs="Arial"/>
          <w:sz w:val="20"/>
          <w:szCs w:val="20"/>
        </w:rPr>
        <w:t xml:space="preserve">, S., </w:t>
      </w:r>
      <w:proofErr w:type="spellStart"/>
      <w:r w:rsidRPr="00DA1D10">
        <w:rPr>
          <w:rFonts w:ascii="Arial" w:eastAsia="Times New Roman" w:hAnsi="Arial" w:cs="Arial"/>
          <w:sz w:val="20"/>
          <w:szCs w:val="20"/>
        </w:rPr>
        <w:t>Durfa</w:t>
      </w:r>
      <w:proofErr w:type="spellEnd"/>
      <w:r w:rsidRPr="00DA1D10">
        <w:rPr>
          <w:rFonts w:ascii="Arial" w:eastAsia="Times New Roman" w:hAnsi="Arial" w:cs="Arial"/>
          <w:sz w:val="20"/>
          <w:szCs w:val="20"/>
        </w:rPr>
        <w:t xml:space="preserve">, N., </w:t>
      </w:r>
      <w:proofErr w:type="spellStart"/>
      <w:r w:rsidRPr="00DA1D10">
        <w:rPr>
          <w:rFonts w:ascii="Arial" w:eastAsia="Times New Roman" w:hAnsi="Arial" w:cs="Arial"/>
          <w:sz w:val="20"/>
          <w:szCs w:val="20"/>
        </w:rPr>
        <w:t>Nasidi</w:t>
      </w:r>
      <w:proofErr w:type="spellEnd"/>
      <w:r w:rsidRPr="00DA1D10">
        <w:rPr>
          <w:rFonts w:ascii="Arial" w:eastAsia="Times New Roman" w:hAnsi="Arial" w:cs="Arial"/>
          <w:sz w:val="20"/>
          <w:szCs w:val="20"/>
        </w:rPr>
        <w:t xml:space="preserve">, A., Yusuf, P. O., </w:t>
      </w:r>
      <w:proofErr w:type="spellStart"/>
      <w:r w:rsidRPr="00DA1D10">
        <w:rPr>
          <w:rFonts w:ascii="Arial" w:eastAsia="Times New Roman" w:hAnsi="Arial" w:cs="Arial"/>
          <w:sz w:val="20"/>
          <w:szCs w:val="20"/>
        </w:rPr>
        <w:t>Garnvwa</w:t>
      </w:r>
      <w:proofErr w:type="spellEnd"/>
      <w:r w:rsidRPr="00DA1D10">
        <w:rPr>
          <w:rFonts w:ascii="Arial" w:eastAsia="Times New Roman" w:hAnsi="Arial" w:cs="Arial"/>
          <w:sz w:val="20"/>
          <w:szCs w:val="20"/>
        </w:rPr>
        <w:t xml:space="preserve">, J., Theakston, R. D. G., </w:t>
      </w:r>
      <w:proofErr w:type="spellStart"/>
      <w:r w:rsidRPr="00DA1D10">
        <w:rPr>
          <w:rFonts w:ascii="Arial" w:eastAsia="Times New Roman" w:hAnsi="Arial" w:cs="Arial"/>
          <w:sz w:val="20"/>
          <w:szCs w:val="20"/>
        </w:rPr>
        <w:t>Salako</w:t>
      </w:r>
      <w:proofErr w:type="spellEnd"/>
      <w:r w:rsidRPr="00DA1D10">
        <w:rPr>
          <w:rFonts w:ascii="Arial" w:eastAsia="Times New Roman" w:hAnsi="Arial" w:cs="Arial"/>
          <w:sz w:val="20"/>
          <w:szCs w:val="20"/>
        </w:rPr>
        <w:t xml:space="preserve">, L., &amp; </w:t>
      </w:r>
      <w:proofErr w:type="spellStart"/>
      <w:r w:rsidRPr="00DA1D10">
        <w:rPr>
          <w:rFonts w:ascii="Arial" w:eastAsia="Times New Roman" w:hAnsi="Arial" w:cs="Arial"/>
          <w:sz w:val="20"/>
          <w:szCs w:val="20"/>
        </w:rPr>
        <w:t>Warrel</w:t>
      </w:r>
      <w:proofErr w:type="spellEnd"/>
      <w:r w:rsidRPr="00DA1D10">
        <w:rPr>
          <w:rFonts w:ascii="Arial" w:eastAsia="Times New Roman" w:hAnsi="Arial" w:cs="Arial"/>
          <w:sz w:val="20"/>
          <w:szCs w:val="20"/>
        </w:rPr>
        <w:t xml:space="preserve">, D. A. (2011). Factors affecting snakebite mortality in north-eastern Nigeria. International Health, 3(1), 50-55. </w:t>
      </w:r>
      <w:hyperlink r:id="rId15" w:history="1">
        <w:r w:rsidRPr="00DA1D10">
          <w:rPr>
            <w:rStyle w:val="Hyperlink"/>
            <w:rFonts w:ascii="Arial" w:eastAsia="Times New Roman" w:hAnsi="Arial" w:cs="Arial"/>
            <w:sz w:val="20"/>
            <w:szCs w:val="20"/>
          </w:rPr>
          <w:t>https://doi.org/10.1016/j.inhe.2010.08.001</w:t>
        </w:r>
      </w:hyperlink>
      <w:r w:rsidRPr="00DA1D10">
        <w:rPr>
          <w:rFonts w:ascii="Arial" w:eastAsia="Times New Roman" w:hAnsi="Arial" w:cs="Arial"/>
          <w:sz w:val="20"/>
          <w:szCs w:val="20"/>
        </w:rPr>
        <w:t xml:space="preserve"> </w:t>
      </w:r>
      <w:r w:rsidR="00C36478" w:rsidRPr="00DA1D10">
        <w:rPr>
          <w:rFonts w:ascii="Arial" w:eastAsia="Times New Roman" w:hAnsi="Arial" w:cs="Arial"/>
          <w:sz w:val="20"/>
          <w:szCs w:val="20"/>
        </w:rPr>
        <w:t>.</w:t>
      </w:r>
    </w:p>
    <w:p w14:paraId="457BB103" w14:textId="77777777" w:rsidR="00C36478" w:rsidRPr="00DA1D10" w:rsidRDefault="00C36478" w:rsidP="00DA1D10">
      <w:pPr>
        <w:spacing w:line="240" w:lineRule="auto"/>
        <w:jc w:val="both"/>
        <w:rPr>
          <w:rFonts w:ascii="Arial" w:hAnsi="Arial" w:cs="Arial"/>
          <w:sz w:val="20"/>
          <w:szCs w:val="20"/>
        </w:rPr>
      </w:pPr>
      <w:r w:rsidRPr="00DA1D10">
        <w:rPr>
          <w:rFonts w:ascii="Arial" w:hAnsi="Arial" w:cs="Arial"/>
          <w:sz w:val="20"/>
          <w:szCs w:val="20"/>
        </w:rPr>
        <w:t xml:space="preserve">Arbuckle, K., Rodríguez de la Vega, R. C., &amp; </w:t>
      </w:r>
      <w:proofErr w:type="spellStart"/>
      <w:r w:rsidRPr="00DA1D10">
        <w:rPr>
          <w:rFonts w:ascii="Arial" w:hAnsi="Arial" w:cs="Arial"/>
          <w:sz w:val="20"/>
          <w:szCs w:val="20"/>
        </w:rPr>
        <w:t>Casewell</w:t>
      </w:r>
      <w:proofErr w:type="spellEnd"/>
      <w:r w:rsidRPr="00DA1D10">
        <w:rPr>
          <w:rFonts w:ascii="Arial" w:hAnsi="Arial" w:cs="Arial"/>
          <w:sz w:val="20"/>
          <w:szCs w:val="20"/>
        </w:rPr>
        <w:t xml:space="preserve">, N. R. (2020). Co-evolution takes the sting out of snake venoms. </w:t>
      </w:r>
      <w:r w:rsidRPr="00DA1D10">
        <w:rPr>
          <w:rFonts w:ascii="Arial" w:hAnsi="Arial" w:cs="Arial"/>
          <w:i/>
          <w:sz w:val="20"/>
          <w:szCs w:val="20"/>
        </w:rPr>
        <w:t>Toxins</w:t>
      </w:r>
      <w:r w:rsidRPr="00DA1D10">
        <w:rPr>
          <w:rFonts w:ascii="Arial" w:hAnsi="Arial" w:cs="Arial"/>
          <w:sz w:val="20"/>
          <w:szCs w:val="20"/>
        </w:rPr>
        <w:t>, 12(8), 530. https://doi.org/10.3390/toxins12080530</w:t>
      </w:r>
    </w:p>
    <w:p w14:paraId="354290CA" w14:textId="17A63899" w:rsidR="00C36478" w:rsidRPr="00DA1D10" w:rsidRDefault="00985D5D" w:rsidP="00DA1D10">
      <w:pPr>
        <w:spacing w:line="240" w:lineRule="auto"/>
        <w:jc w:val="both"/>
        <w:rPr>
          <w:rFonts w:ascii="Arial" w:hAnsi="Arial" w:cs="Arial"/>
          <w:sz w:val="20"/>
          <w:szCs w:val="20"/>
        </w:rPr>
      </w:pPr>
      <w:r w:rsidRPr="00DA1D10">
        <w:rPr>
          <w:rFonts w:ascii="Arial" w:hAnsi="Arial" w:cs="Arial"/>
          <w:sz w:val="20"/>
          <w:szCs w:val="20"/>
        </w:rPr>
        <w:t xml:space="preserve">Barlow, A., </w:t>
      </w:r>
      <w:proofErr w:type="spellStart"/>
      <w:r w:rsidRPr="00DA1D10">
        <w:rPr>
          <w:rFonts w:ascii="Arial" w:hAnsi="Arial" w:cs="Arial"/>
          <w:sz w:val="20"/>
          <w:szCs w:val="20"/>
        </w:rPr>
        <w:t>Pook</w:t>
      </w:r>
      <w:proofErr w:type="spellEnd"/>
      <w:r w:rsidRPr="00DA1D10">
        <w:rPr>
          <w:rFonts w:ascii="Arial" w:hAnsi="Arial" w:cs="Arial"/>
          <w:sz w:val="20"/>
          <w:szCs w:val="20"/>
        </w:rPr>
        <w:t xml:space="preserve">, C. E., Harrison, R. A., &amp; </w:t>
      </w:r>
      <w:proofErr w:type="spellStart"/>
      <w:r w:rsidRPr="00DA1D10">
        <w:rPr>
          <w:rFonts w:ascii="Arial" w:hAnsi="Arial" w:cs="Arial"/>
          <w:sz w:val="20"/>
          <w:szCs w:val="20"/>
        </w:rPr>
        <w:t>Wüster</w:t>
      </w:r>
      <w:proofErr w:type="spellEnd"/>
      <w:r w:rsidRPr="00DA1D10">
        <w:rPr>
          <w:rFonts w:ascii="Arial" w:hAnsi="Arial" w:cs="Arial"/>
          <w:sz w:val="20"/>
          <w:szCs w:val="20"/>
        </w:rPr>
        <w:t xml:space="preserve">, W. (2009). Coevolution of diet and prey-specific venom activity supports the role of selection in snake venom evolution. Proceedings of the Royal Society B: Biological Sciences, 276(1666), 2443-2449. </w:t>
      </w:r>
      <w:hyperlink r:id="rId16" w:history="1">
        <w:r w:rsidRPr="00DA1D10">
          <w:rPr>
            <w:rStyle w:val="Hyperlink"/>
            <w:rFonts w:ascii="Arial" w:hAnsi="Arial" w:cs="Arial"/>
            <w:sz w:val="20"/>
            <w:szCs w:val="20"/>
          </w:rPr>
          <w:t>https://doi.org/10.1098/rspb.2009.0048</w:t>
        </w:r>
      </w:hyperlink>
      <w:r w:rsidRPr="00DA1D10">
        <w:rPr>
          <w:rFonts w:ascii="Arial" w:hAnsi="Arial" w:cs="Arial"/>
          <w:sz w:val="20"/>
          <w:szCs w:val="20"/>
        </w:rPr>
        <w:t xml:space="preserve"> </w:t>
      </w:r>
    </w:p>
    <w:p w14:paraId="55B960E9" w14:textId="20E8E74B" w:rsidR="00C36478" w:rsidRPr="00DA1D10" w:rsidRDefault="007B37CC" w:rsidP="00DA1D10">
      <w:pPr>
        <w:spacing w:line="240" w:lineRule="auto"/>
        <w:jc w:val="both"/>
        <w:rPr>
          <w:rFonts w:ascii="Arial" w:hAnsi="Arial" w:cs="Arial"/>
          <w:sz w:val="20"/>
          <w:szCs w:val="20"/>
        </w:rPr>
      </w:pPr>
      <w:proofErr w:type="spellStart"/>
      <w:r w:rsidRPr="00DA1D10">
        <w:rPr>
          <w:rFonts w:ascii="Arial" w:hAnsi="Arial" w:cs="Arial"/>
          <w:sz w:val="20"/>
          <w:szCs w:val="20"/>
        </w:rPr>
        <w:t>Casewell</w:t>
      </w:r>
      <w:proofErr w:type="spellEnd"/>
      <w:r w:rsidRPr="00DA1D10">
        <w:rPr>
          <w:rFonts w:ascii="Arial" w:hAnsi="Arial" w:cs="Arial"/>
          <w:sz w:val="20"/>
          <w:szCs w:val="20"/>
        </w:rPr>
        <w:t xml:space="preserve">, N. R., Wagstaff, S. C., </w:t>
      </w:r>
      <w:proofErr w:type="spellStart"/>
      <w:r w:rsidRPr="00DA1D10">
        <w:rPr>
          <w:rFonts w:ascii="Arial" w:hAnsi="Arial" w:cs="Arial"/>
          <w:sz w:val="20"/>
          <w:szCs w:val="20"/>
        </w:rPr>
        <w:t>Wüster</w:t>
      </w:r>
      <w:proofErr w:type="spellEnd"/>
      <w:r w:rsidRPr="00DA1D10">
        <w:rPr>
          <w:rFonts w:ascii="Arial" w:hAnsi="Arial" w:cs="Arial"/>
          <w:sz w:val="20"/>
          <w:szCs w:val="20"/>
        </w:rPr>
        <w:t xml:space="preserve">, W., Cook, D. A., Bolton, F. M., King, S. I., </w:t>
      </w:r>
      <w:proofErr w:type="spellStart"/>
      <w:r w:rsidRPr="00DA1D10">
        <w:rPr>
          <w:rFonts w:ascii="Arial" w:hAnsi="Arial" w:cs="Arial"/>
          <w:sz w:val="20"/>
          <w:szCs w:val="20"/>
        </w:rPr>
        <w:t>Pla</w:t>
      </w:r>
      <w:proofErr w:type="spellEnd"/>
      <w:r w:rsidRPr="00DA1D10">
        <w:rPr>
          <w:rFonts w:ascii="Arial" w:hAnsi="Arial" w:cs="Arial"/>
          <w:sz w:val="20"/>
          <w:szCs w:val="20"/>
        </w:rPr>
        <w:t xml:space="preserve">, D., Sanz, L., </w:t>
      </w:r>
      <w:proofErr w:type="spellStart"/>
      <w:r w:rsidRPr="00DA1D10">
        <w:rPr>
          <w:rFonts w:ascii="Arial" w:hAnsi="Arial" w:cs="Arial"/>
          <w:sz w:val="20"/>
          <w:szCs w:val="20"/>
        </w:rPr>
        <w:t>Calvete</w:t>
      </w:r>
      <w:proofErr w:type="spellEnd"/>
      <w:r w:rsidRPr="00DA1D10">
        <w:rPr>
          <w:rFonts w:ascii="Arial" w:hAnsi="Arial" w:cs="Arial"/>
          <w:sz w:val="20"/>
          <w:szCs w:val="20"/>
        </w:rPr>
        <w:t xml:space="preserve">, J. J., &amp; Harrison, R. A. (2014). Medically important differences in snake venom composition are dictated by distinct postgenomic mechanisms. Proceedings of the National Academy of Sciences, 111(25), 9205-9210. </w:t>
      </w:r>
      <w:hyperlink r:id="rId17" w:history="1">
        <w:r w:rsidRPr="00DA1D10">
          <w:rPr>
            <w:rStyle w:val="Hyperlink"/>
            <w:rFonts w:ascii="Arial" w:hAnsi="Arial" w:cs="Arial"/>
            <w:sz w:val="20"/>
            <w:szCs w:val="20"/>
          </w:rPr>
          <w:t>https://doi.org/10.1073/pnas.1405484111</w:t>
        </w:r>
      </w:hyperlink>
      <w:r w:rsidRPr="00DA1D10">
        <w:rPr>
          <w:rFonts w:ascii="Arial" w:hAnsi="Arial" w:cs="Arial"/>
          <w:sz w:val="20"/>
          <w:szCs w:val="20"/>
        </w:rPr>
        <w:t xml:space="preserve"> </w:t>
      </w:r>
    </w:p>
    <w:p w14:paraId="43C7A815" w14:textId="77777777" w:rsidR="00C36478" w:rsidRPr="00DA1D10" w:rsidRDefault="00C36478" w:rsidP="00DA1D10">
      <w:pPr>
        <w:spacing w:line="240" w:lineRule="auto"/>
        <w:jc w:val="both"/>
        <w:rPr>
          <w:rFonts w:ascii="Arial" w:hAnsi="Arial" w:cs="Arial"/>
          <w:sz w:val="20"/>
          <w:szCs w:val="20"/>
        </w:rPr>
      </w:pPr>
      <w:r w:rsidRPr="00DA1D10">
        <w:rPr>
          <w:rFonts w:ascii="Arial" w:hAnsi="Arial" w:cs="Arial"/>
          <w:sz w:val="20"/>
          <w:szCs w:val="20"/>
        </w:rPr>
        <w:t>Chang, C. C., Lin, Y. C., &amp; Hwang, L. L. (2013). Comparative biochemical and toxicological properties of PLA</w:t>
      </w:r>
      <w:r w:rsidRPr="00DA1D10">
        <w:rPr>
          <w:rFonts w:ascii="Cambria Math" w:hAnsi="Cambria Math" w:cs="Cambria Math"/>
          <w:sz w:val="20"/>
          <w:szCs w:val="20"/>
        </w:rPr>
        <w:t>₂</w:t>
      </w:r>
      <w:r w:rsidRPr="00DA1D10">
        <w:rPr>
          <w:rFonts w:ascii="Arial" w:hAnsi="Arial" w:cs="Arial"/>
          <w:sz w:val="20"/>
          <w:szCs w:val="20"/>
        </w:rPr>
        <w:t xml:space="preserve"> enzymes from Chinese cobra (</w:t>
      </w:r>
      <w:proofErr w:type="spellStart"/>
      <w:r w:rsidRPr="00DA1D10">
        <w:rPr>
          <w:rFonts w:ascii="Arial" w:hAnsi="Arial" w:cs="Arial"/>
          <w:sz w:val="20"/>
          <w:szCs w:val="20"/>
        </w:rPr>
        <w:t>Naja</w:t>
      </w:r>
      <w:proofErr w:type="spellEnd"/>
      <w:r w:rsidRPr="00DA1D10">
        <w:rPr>
          <w:rFonts w:ascii="Arial" w:hAnsi="Arial" w:cs="Arial"/>
          <w:sz w:val="20"/>
          <w:szCs w:val="20"/>
        </w:rPr>
        <w:t xml:space="preserve"> </w:t>
      </w:r>
      <w:proofErr w:type="spellStart"/>
      <w:r w:rsidRPr="00DA1D10">
        <w:rPr>
          <w:rFonts w:ascii="Arial" w:hAnsi="Arial" w:cs="Arial"/>
          <w:sz w:val="20"/>
          <w:szCs w:val="20"/>
        </w:rPr>
        <w:t>atra</w:t>
      </w:r>
      <w:proofErr w:type="spellEnd"/>
      <w:r w:rsidRPr="00DA1D10">
        <w:rPr>
          <w:rFonts w:ascii="Arial" w:hAnsi="Arial" w:cs="Arial"/>
          <w:sz w:val="20"/>
          <w:szCs w:val="20"/>
        </w:rPr>
        <w:t xml:space="preserve">) venom. </w:t>
      </w:r>
      <w:r w:rsidRPr="00DA1D10">
        <w:rPr>
          <w:rFonts w:ascii="Arial" w:hAnsi="Arial" w:cs="Arial"/>
          <w:i/>
          <w:sz w:val="20"/>
          <w:szCs w:val="20"/>
        </w:rPr>
        <w:t>Biochemical Journal</w:t>
      </w:r>
      <w:r w:rsidRPr="00DA1D10">
        <w:rPr>
          <w:rFonts w:ascii="Arial" w:hAnsi="Arial" w:cs="Arial"/>
          <w:sz w:val="20"/>
          <w:szCs w:val="20"/>
        </w:rPr>
        <w:t>, 450(2), 305-312.</w:t>
      </w:r>
    </w:p>
    <w:p w14:paraId="5D87F482" w14:textId="1E119906" w:rsidR="00C36478" w:rsidRPr="00DA1D10" w:rsidRDefault="008F6E04" w:rsidP="00DA1D10">
      <w:pPr>
        <w:spacing w:line="240" w:lineRule="auto"/>
        <w:jc w:val="both"/>
        <w:rPr>
          <w:rFonts w:ascii="Arial" w:hAnsi="Arial" w:cs="Arial"/>
          <w:sz w:val="20"/>
          <w:szCs w:val="20"/>
        </w:rPr>
      </w:pPr>
      <w:proofErr w:type="spellStart"/>
      <w:r w:rsidRPr="00DA1D10">
        <w:rPr>
          <w:rFonts w:ascii="Arial" w:hAnsi="Arial" w:cs="Arial"/>
          <w:sz w:val="20"/>
          <w:szCs w:val="20"/>
        </w:rPr>
        <w:t>Daltry</w:t>
      </w:r>
      <w:proofErr w:type="spellEnd"/>
      <w:r w:rsidRPr="00DA1D10">
        <w:rPr>
          <w:rFonts w:ascii="Arial" w:hAnsi="Arial" w:cs="Arial"/>
          <w:sz w:val="20"/>
          <w:szCs w:val="20"/>
        </w:rPr>
        <w:t xml:space="preserve">, J. C., </w:t>
      </w:r>
      <w:proofErr w:type="spellStart"/>
      <w:r w:rsidRPr="00DA1D10">
        <w:rPr>
          <w:rFonts w:ascii="Arial" w:hAnsi="Arial" w:cs="Arial"/>
          <w:sz w:val="20"/>
          <w:szCs w:val="20"/>
        </w:rPr>
        <w:t>Wüster</w:t>
      </w:r>
      <w:proofErr w:type="spellEnd"/>
      <w:r w:rsidRPr="00DA1D10">
        <w:rPr>
          <w:rFonts w:ascii="Arial" w:hAnsi="Arial" w:cs="Arial"/>
          <w:sz w:val="20"/>
          <w:szCs w:val="20"/>
        </w:rPr>
        <w:t xml:space="preserve">, W., &amp; Thorpe, R. S. (1996). Diet and snake venom evolution. Nature, 379(6565), 537-540. </w:t>
      </w:r>
      <w:hyperlink r:id="rId18" w:history="1">
        <w:r w:rsidRPr="00DA1D10">
          <w:rPr>
            <w:rStyle w:val="Hyperlink"/>
            <w:rFonts w:ascii="Arial" w:hAnsi="Arial" w:cs="Arial"/>
            <w:sz w:val="20"/>
            <w:szCs w:val="20"/>
          </w:rPr>
          <w:t>https://doi.org/10.1038/379537a0</w:t>
        </w:r>
      </w:hyperlink>
      <w:r w:rsidRPr="00DA1D10">
        <w:rPr>
          <w:rFonts w:ascii="Arial" w:hAnsi="Arial" w:cs="Arial"/>
          <w:sz w:val="20"/>
          <w:szCs w:val="20"/>
        </w:rPr>
        <w:t xml:space="preserve"> </w:t>
      </w:r>
    </w:p>
    <w:p w14:paraId="43BC18FC" w14:textId="77777777" w:rsidR="00C36478" w:rsidRPr="0095262B" w:rsidRDefault="00C36478" w:rsidP="00DA1D10">
      <w:pPr>
        <w:pStyle w:val="NormalWeb"/>
        <w:rPr>
          <w:rFonts w:ascii="Arial" w:hAnsi="Arial" w:cs="Arial"/>
          <w:sz w:val="20"/>
          <w:szCs w:val="20"/>
        </w:rPr>
      </w:pPr>
      <w:r w:rsidRPr="0095262B">
        <w:rPr>
          <w:rFonts w:ascii="Arial" w:hAnsi="Arial" w:cs="Arial"/>
          <w:sz w:val="20"/>
          <w:szCs w:val="20"/>
        </w:rPr>
        <w:t xml:space="preserve">Dennis, E. A., Knipe, J. O., &amp; Rafter, J. L. (1991). Phospholipase A2 mechanisms and their roles in venom toxicity. </w:t>
      </w:r>
      <w:r w:rsidRPr="0095262B">
        <w:rPr>
          <w:rStyle w:val="Emphasis"/>
          <w:rFonts w:ascii="Arial" w:hAnsi="Arial" w:cs="Arial"/>
          <w:sz w:val="20"/>
          <w:szCs w:val="20"/>
        </w:rPr>
        <w:t>Progress in Lipid Research, 30</w:t>
      </w:r>
      <w:r w:rsidRPr="0095262B">
        <w:rPr>
          <w:rFonts w:ascii="Arial" w:hAnsi="Arial" w:cs="Arial"/>
          <w:sz w:val="20"/>
          <w:szCs w:val="20"/>
        </w:rPr>
        <w:t>(2), 91–115. https://doi.org/10.1016/0163-7827(91)90002-A</w:t>
      </w:r>
    </w:p>
    <w:p w14:paraId="22175BC2" w14:textId="53FBD5FF" w:rsidR="00C36478" w:rsidRPr="00DA1D10" w:rsidRDefault="001A6290" w:rsidP="00DA1D10">
      <w:pPr>
        <w:spacing w:line="240" w:lineRule="auto"/>
        <w:jc w:val="both"/>
        <w:rPr>
          <w:rFonts w:ascii="Arial" w:hAnsi="Arial" w:cs="Arial"/>
          <w:sz w:val="20"/>
          <w:szCs w:val="20"/>
        </w:rPr>
      </w:pPr>
      <w:proofErr w:type="spellStart"/>
      <w:r w:rsidRPr="00DA1D10">
        <w:rPr>
          <w:rFonts w:ascii="Arial" w:hAnsi="Arial" w:cs="Arial"/>
          <w:sz w:val="20"/>
          <w:szCs w:val="20"/>
        </w:rPr>
        <w:t>Doley</w:t>
      </w:r>
      <w:proofErr w:type="spellEnd"/>
      <w:r w:rsidRPr="00DA1D10">
        <w:rPr>
          <w:rFonts w:ascii="Arial" w:hAnsi="Arial" w:cs="Arial"/>
          <w:sz w:val="20"/>
          <w:szCs w:val="20"/>
        </w:rPr>
        <w:t xml:space="preserve">, R., Zhou, X., &amp; </w:t>
      </w:r>
      <w:proofErr w:type="spellStart"/>
      <w:r w:rsidRPr="00DA1D10">
        <w:rPr>
          <w:rFonts w:ascii="Arial" w:hAnsi="Arial" w:cs="Arial"/>
          <w:sz w:val="20"/>
          <w:szCs w:val="20"/>
        </w:rPr>
        <w:t>Kini</w:t>
      </w:r>
      <w:proofErr w:type="spellEnd"/>
      <w:r w:rsidRPr="00DA1D10">
        <w:rPr>
          <w:rFonts w:ascii="Arial" w:hAnsi="Arial" w:cs="Arial"/>
          <w:sz w:val="20"/>
          <w:szCs w:val="20"/>
        </w:rPr>
        <w:t xml:space="preserve">, R. M. (2010). Snake venom phospholipase A2 enzymes: Protein families, functions, and biomedical applications. In S. P. </w:t>
      </w:r>
      <w:proofErr w:type="spellStart"/>
      <w:r w:rsidRPr="00DA1D10">
        <w:rPr>
          <w:rFonts w:ascii="Arial" w:hAnsi="Arial" w:cs="Arial"/>
          <w:sz w:val="20"/>
          <w:szCs w:val="20"/>
        </w:rPr>
        <w:t>Mackessy</w:t>
      </w:r>
      <w:proofErr w:type="spellEnd"/>
      <w:r w:rsidRPr="00DA1D10">
        <w:rPr>
          <w:rFonts w:ascii="Arial" w:hAnsi="Arial" w:cs="Arial"/>
          <w:sz w:val="20"/>
          <w:szCs w:val="20"/>
        </w:rPr>
        <w:t xml:space="preserve"> (Ed.), Handbook of Venoms and Toxins of Reptiles (pp. 174–195). CRC Press. </w:t>
      </w:r>
      <w:hyperlink r:id="rId19" w:history="1">
        <w:r w:rsidRPr="00DA1D10">
          <w:rPr>
            <w:rStyle w:val="Hyperlink"/>
            <w:rFonts w:ascii="Arial" w:hAnsi="Arial" w:cs="Arial"/>
            <w:sz w:val="20"/>
            <w:szCs w:val="20"/>
          </w:rPr>
          <w:t>https://doi.org/10.1201/9781420008661.ch10</w:t>
        </w:r>
      </w:hyperlink>
      <w:r w:rsidRPr="00DA1D10">
        <w:rPr>
          <w:rFonts w:ascii="Arial" w:hAnsi="Arial" w:cs="Arial"/>
          <w:sz w:val="20"/>
          <w:szCs w:val="20"/>
        </w:rPr>
        <w:t xml:space="preserve"> </w:t>
      </w:r>
      <w:r w:rsidR="00C36478" w:rsidRPr="00DA1D10">
        <w:rPr>
          <w:rFonts w:ascii="Arial" w:hAnsi="Arial" w:cs="Arial"/>
          <w:sz w:val="20"/>
          <w:szCs w:val="20"/>
        </w:rPr>
        <w:t>.</w:t>
      </w:r>
    </w:p>
    <w:p w14:paraId="7527DDA4" w14:textId="7E4A9B44" w:rsidR="00C36478" w:rsidRPr="00DA1D10" w:rsidRDefault="00A21E65" w:rsidP="00DA1D10">
      <w:pPr>
        <w:spacing w:line="240" w:lineRule="auto"/>
        <w:jc w:val="both"/>
        <w:rPr>
          <w:rFonts w:ascii="Arial" w:hAnsi="Arial" w:cs="Arial"/>
          <w:sz w:val="20"/>
          <w:szCs w:val="20"/>
        </w:rPr>
      </w:pPr>
      <w:r w:rsidRPr="00DA1D10">
        <w:rPr>
          <w:rFonts w:ascii="Arial" w:hAnsi="Arial" w:cs="Arial"/>
          <w:sz w:val="20"/>
          <w:szCs w:val="20"/>
        </w:rPr>
        <w:t xml:space="preserve">Fry, B. G., Vidal, N., Norman, J. A., </w:t>
      </w:r>
      <w:proofErr w:type="spellStart"/>
      <w:r w:rsidRPr="00DA1D10">
        <w:rPr>
          <w:rFonts w:ascii="Arial" w:hAnsi="Arial" w:cs="Arial"/>
          <w:sz w:val="20"/>
          <w:szCs w:val="20"/>
        </w:rPr>
        <w:t>Vonk</w:t>
      </w:r>
      <w:proofErr w:type="spellEnd"/>
      <w:r w:rsidRPr="00DA1D10">
        <w:rPr>
          <w:rFonts w:ascii="Arial" w:hAnsi="Arial" w:cs="Arial"/>
          <w:sz w:val="20"/>
          <w:szCs w:val="20"/>
        </w:rPr>
        <w:t xml:space="preserve">, F. J., </w:t>
      </w:r>
      <w:proofErr w:type="spellStart"/>
      <w:r w:rsidRPr="00DA1D10">
        <w:rPr>
          <w:rFonts w:ascii="Arial" w:hAnsi="Arial" w:cs="Arial"/>
          <w:sz w:val="20"/>
          <w:szCs w:val="20"/>
        </w:rPr>
        <w:t>Scheib</w:t>
      </w:r>
      <w:proofErr w:type="spellEnd"/>
      <w:r w:rsidRPr="00DA1D10">
        <w:rPr>
          <w:rFonts w:ascii="Arial" w:hAnsi="Arial" w:cs="Arial"/>
          <w:sz w:val="20"/>
          <w:szCs w:val="20"/>
        </w:rPr>
        <w:t xml:space="preserve">, H., </w:t>
      </w:r>
      <w:proofErr w:type="spellStart"/>
      <w:r w:rsidRPr="00DA1D10">
        <w:rPr>
          <w:rFonts w:ascii="Arial" w:hAnsi="Arial" w:cs="Arial"/>
          <w:sz w:val="20"/>
          <w:szCs w:val="20"/>
        </w:rPr>
        <w:t>Ramjan</w:t>
      </w:r>
      <w:proofErr w:type="spellEnd"/>
      <w:r w:rsidRPr="00DA1D10">
        <w:rPr>
          <w:rFonts w:ascii="Arial" w:hAnsi="Arial" w:cs="Arial"/>
          <w:sz w:val="20"/>
          <w:szCs w:val="20"/>
        </w:rPr>
        <w:t xml:space="preserve">, S. F. R., </w:t>
      </w:r>
      <w:proofErr w:type="spellStart"/>
      <w:r w:rsidRPr="00DA1D10">
        <w:rPr>
          <w:rFonts w:ascii="Arial" w:hAnsi="Arial" w:cs="Arial"/>
          <w:sz w:val="20"/>
          <w:szCs w:val="20"/>
        </w:rPr>
        <w:t>Kuruppu</w:t>
      </w:r>
      <w:proofErr w:type="spellEnd"/>
      <w:r w:rsidRPr="00DA1D10">
        <w:rPr>
          <w:rFonts w:ascii="Arial" w:hAnsi="Arial" w:cs="Arial"/>
          <w:sz w:val="20"/>
          <w:szCs w:val="20"/>
        </w:rPr>
        <w:t xml:space="preserve">, S., Fung, K., Hedges, S. B., Richardson, M. K., Hodgson, W. C., </w:t>
      </w:r>
      <w:proofErr w:type="spellStart"/>
      <w:r w:rsidRPr="00DA1D10">
        <w:rPr>
          <w:rFonts w:ascii="Arial" w:hAnsi="Arial" w:cs="Arial"/>
          <w:sz w:val="20"/>
          <w:szCs w:val="20"/>
        </w:rPr>
        <w:t>Ignjatovic</w:t>
      </w:r>
      <w:proofErr w:type="spellEnd"/>
      <w:r w:rsidRPr="00DA1D10">
        <w:rPr>
          <w:rFonts w:ascii="Arial" w:hAnsi="Arial" w:cs="Arial"/>
          <w:sz w:val="20"/>
          <w:szCs w:val="20"/>
        </w:rPr>
        <w:t xml:space="preserve">, V., Summerhayes, R., &amp; </w:t>
      </w:r>
      <w:proofErr w:type="spellStart"/>
      <w:r w:rsidRPr="00DA1D10">
        <w:rPr>
          <w:rFonts w:ascii="Arial" w:hAnsi="Arial" w:cs="Arial"/>
          <w:sz w:val="20"/>
          <w:szCs w:val="20"/>
        </w:rPr>
        <w:t>Kochva</w:t>
      </w:r>
      <w:proofErr w:type="spellEnd"/>
      <w:r w:rsidRPr="00DA1D10">
        <w:rPr>
          <w:rFonts w:ascii="Arial" w:hAnsi="Arial" w:cs="Arial"/>
          <w:sz w:val="20"/>
          <w:szCs w:val="20"/>
        </w:rPr>
        <w:t xml:space="preserve">, E. (2006). Early evolution of the venom system in lizards and snakes. Nature, 439, 584–588. </w:t>
      </w:r>
      <w:hyperlink r:id="rId20" w:history="1">
        <w:r w:rsidRPr="00DA1D10">
          <w:rPr>
            <w:rStyle w:val="Hyperlink"/>
            <w:rFonts w:ascii="Arial" w:hAnsi="Arial" w:cs="Arial"/>
            <w:sz w:val="20"/>
            <w:szCs w:val="20"/>
          </w:rPr>
          <w:t>https://doi.org/10.1038/nature04328</w:t>
        </w:r>
      </w:hyperlink>
      <w:r w:rsidRPr="00DA1D10">
        <w:rPr>
          <w:rFonts w:ascii="Arial" w:hAnsi="Arial" w:cs="Arial"/>
          <w:sz w:val="20"/>
          <w:szCs w:val="20"/>
        </w:rPr>
        <w:t xml:space="preserve"> </w:t>
      </w:r>
    </w:p>
    <w:p w14:paraId="156ED750" w14:textId="2F752E35" w:rsidR="00C36478" w:rsidRPr="00DA1D10" w:rsidRDefault="00EA7E13" w:rsidP="00DA1D10">
      <w:pPr>
        <w:spacing w:line="240" w:lineRule="auto"/>
        <w:jc w:val="both"/>
        <w:rPr>
          <w:rFonts w:ascii="Arial" w:hAnsi="Arial" w:cs="Arial"/>
          <w:sz w:val="20"/>
          <w:szCs w:val="20"/>
        </w:rPr>
      </w:pPr>
      <w:r w:rsidRPr="00DA1D10">
        <w:rPr>
          <w:rFonts w:ascii="Arial" w:hAnsi="Arial" w:cs="Arial"/>
          <w:sz w:val="20"/>
          <w:szCs w:val="20"/>
        </w:rPr>
        <w:t xml:space="preserve">Gibbs, H. L., Sanz, L., &amp; </w:t>
      </w:r>
      <w:proofErr w:type="spellStart"/>
      <w:r w:rsidRPr="00DA1D10">
        <w:rPr>
          <w:rFonts w:ascii="Arial" w:hAnsi="Arial" w:cs="Arial"/>
          <w:sz w:val="20"/>
          <w:szCs w:val="20"/>
        </w:rPr>
        <w:t>Calvete</w:t>
      </w:r>
      <w:proofErr w:type="spellEnd"/>
      <w:r w:rsidRPr="00DA1D10">
        <w:rPr>
          <w:rFonts w:ascii="Arial" w:hAnsi="Arial" w:cs="Arial"/>
          <w:sz w:val="20"/>
          <w:szCs w:val="20"/>
        </w:rPr>
        <w:t xml:space="preserve">, J. J. (2011). Snake venom variability: Adaptive evolution and its implications for snakebite treatment and </w:t>
      </w:r>
      <w:proofErr w:type="spellStart"/>
      <w:r w:rsidRPr="00DA1D10">
        <w:rPr>
          <w:rFonts w:ascii="Arial" w:hAnsi="Arial" w:cs="Arial"/>
          <w:sz w:val="20"/>
          <w:szCs w:val="20"/>
        </w:rPr>
        <w:t>toxinology</w:t>
      </w:r>
      <w:proofErr w:type="spellEnd"/>
      <w:r w:rsidRPr="00DA1D10">
        <w:rPr>
          <w:rFonts w:ascii="Arial" w:hAnsi="Arial" w:cs="Arial"/>
          <w:sz w:val="20"/>
          <w:szCs w:val="20"/>
        </w:rPr>
        <w:t xml:space="preserve">. Toxins, 3(12), 1536-1551. </w:t>
      </w:r>
      <w:hyperlink r:id="rId21" w:history="1">
        <w:r w:rsidRPr="00DA1D10">
          <w:rPr>
            <w:rStyle w:val="Hyperlink"/>
            <w:rFonts w:ascii="Arial" w:hAnsi="Arial" w:cs="Arial"/>
            <w:sz w:val="20"/>
            <w:szCs w:val="20"/>
          </w:rPr>
          <w:t>https://doi.org/10.3390/toxins3121536</w:t>
        </w:r>
      </w:hyperlink>
      <w:r w:rsidRPr="00DA1D10">
        <w:rPr>
          <w:rFonts w:ascii="Arial" w:hAnsi="Arial" w:cs="Arial"/>
          <w:sz w:val="20"/>
          <w:szCs w:val="20"/>
        </w:rPr>
        <w:t xml:space="preserve"> </w:t>
      </w:r>
    </w:p>
    <w:p w14:paraId="5846DFEB" w14:textId="20BA7B04" w:rsidR="00C36478" w:rsidRPr="0095262B" w:rsidRDefault="003C1469" w:rsidP="00DA1D10">
      <w:pPr>
        <w:pStyle w:val="NormalWeb"/>
        <w:rPr>
          <w:rFonts w:ascii="Arial" w:hAnsi="Arial" w:cs="Arial"/>
          <w:sz w:val="20"/>
          <w:szCs w:val="20"/>
        </w:rPr>
      </w:pPr>
      <w:proofErr w:type="spellStart"/>
      <w:r w:rsidRPr="003C1469">
        <w:rPr>
          <w:rFonts w:ascii="Arial" w:hAnsi="Arial" w:cs="Arial"/>
          <w:sz w:val="20"/>
          <w:szCs w:val="20"/>
        </w:rPr>
        <w:t>Gopalakrishnakone</w:t>
      </w:r>
      <w:proofErr w:type="spellEnd"/>
      <w:r w:rsidRPr="003C1469">
        <w:rPr>
          <w:rFonts w:ascii="Arial" w:hAnsi="Arial" w:cs="Arial"/>
          <w:sz w:val="20"/>
          <w:szCs w:val="20"/>
        </w:rPr>
        <w:t xml:space="preserve">, P., Chow, V. T. K., &amp; Fung, S. Y. (1991). Efficient PLA2 enzymes in cobra venom: Functional adaptations and diversity. </w:t>
      </w:r>
      <w:proofErr w:type="spellStart"/>
      <w:r w:rsidRPr="003C1469">
        <w:rPr>
          <w:rFonts w:ascii="Arial" w:hAnsi="Arial" w:cs="Arial"/>
          <w:sz w:val="20"/>
          <w:szCs w:val="20"/>
        </w:rPr>
        <w:t>Toxicon</w:t>
      </w:r>
      <w:proofErr w:type="spellEnd"/>
      <w:r w:rsidRPr="003C1469">
        <w:rPr>
          <w:rFonts w:ascii="Arial" w:hAnsi="Arial" w:cs="Arial"/>
          <w:sz w:val="20"/>
          <w:szCs w:val="20"/>
        </w:rPr>
        <w:t xml:space="preserve">, 29(8), 1081–1095. </w:t>
      </w:r>
      <w:hyperlink r:id="rId22" w:history="1">
        <w:r w:rsidRPr="00D05056">
          <w:rPr>
            <w:rStyle w:val="Hyperlink"/>
            <w:rFonts w:ascii="Arial" w:hAnsi="Arial" w:cs="Arial"/>
            <w:sz w:val="20"/>
            <w:szCs w:val="20"/>
          </w:rPr>
          <w:t>https://doi.org/10.1016/0041-0101(91)90136-D</w:t>
        </w:r>
      </w:hyperlink>
      <w:r>
        <w:rPr>
          <w:rFonts w:ascii="Arial" w:hAnsi="Arial" w:cs="Arial"/>
          <w:sz w:val="20"/>
          <w:szCs w:val="20"/>
        </w:rPr>
        <w:t xml:space="preserve"> </w:t>
      </w:r>
    </w:p>
    <w:p w14:paraId="32091BA1" w14:textId="57928293" w:rsidR="00C36478" w:rsidRPr="00DA1D10" w:rsidRDefault="00132002" w:rsidP="00DA1D10">
      <w:pPr>
        <w:spacing w:line="240" w:lineRule="auto"/>
        <w:jc w:val="both"/>
        <w:rPr>
          <w:rFonts w:ascii="Arial" w:hAnsi="Arial" w:cs="Arial"/>
          <w:sz w:val="20"/>
          <w:szCs w:val="20"/>
        </w:rPr>
      </w:pPr>
      <w:r w:rsidRPr="00DA1D10">
        <w:rPr>
          <w:rFonts w:ascii="Arial" w:hAnsi="Arial" w:cs="Arial"/>
          <w:sz w:val="20"/>
          <w:szCs w:val="20"/>
        </w:rPr>
        <w:t xml:space="preserve">Gutiérrez, J. M., Escalante, T., </w:t>
      </w:r>
      <w:proofErr w:type="spellStart"/>
      <w:r w:rsidRPr="00DA1D10">
        <w:rPr>
          <w:rFonts w:ascii="Arial" w:hAnsi="Arial" w:cs="Arial"/>
          <w:sz w:val="20"/>
          <w:szCs w:val="20"/>
        </w:rPr>
        <w:t>Rucavado</w:t>
      </w:r>
      <w:proofErr w:type="spellEnd"/>
      <w:r w:rsidRPr="00DA1D10">
        <w:rPr>
          <w:rFonts w:ascii="Arial" w:hAnsi="Arial" w:cs="Arial"/>
          <w:sz w:val="20"/>
          <w:szCs w:val="20"/>
        </w:rPr>
        <w:t xml:space="preserve">, A., &amp; Herrera, C. (2016). </w:t>
      </w:r>
      <w:proofErr w:type="spellStart"/>
      <w:r w:rsidRPr="00DA1D10">
        <w:rPr>
          <w:rFonts w:ascii="Arial" w:hAnsi="Arial" w:cs="Arial"/>
          <w:sz w:val="20"/>
          <w:szCs w:val="20"/>
        </w:rPr>
        <w:t>Hemorrhage</w:t>
      </w:r>
      <w:proofErr w:type="spellEnd"/>
      <w:r w:rsidRPr="00DA1D10">
        <w:rPr>
          <w:rFonts w:ascii="Arial" w:hAnsi="Arial" w:cs="Arial"/>
          <w:sz w:val="20"/>
          <w:szCs w:val="20"/>
        </w:rPr>
        <w:t xml:space="preserve"> caused by snake venom metalloproteinases: A journey of discovery and understanding. Toxins, 8(4), 93. </w:t>
      </w:r>
      <w:hyperlink r:id="rId23" w:history="1">
        <w:r w:rsidRPr="00DA1D10">
          <w:rPr>
            <w:rStyle w:val="Hyperlink"/>
            <w:rFonts w:ascii="Arial" w:hAnsi="Arial" w:cs="Arial"/>
            <w:sz w:val="20"/>
            <w:szCs w:val="20"/>
          </w:rPr>
          <w:t>https://doi.org/10.3390/toxins8040093</w:t>
        </w:r>
      </w:hyperlink>
      <w:r w:rsidRPr="00DA1D10">
        <w:rPr>
          <w:rFonts w:ascii="Arial" w:hAnsi="Arial" w:cs="Arial"/>
          <w:sz w:val="20"/>
          <w:szCs w:val="20"/>
        </w:rPr>
        <w:t xml:space="preserve"> </w:t>
      </w:r>
      <w:r w:rsidR="00C36478" w:rsidRPr="00DA1D10">
        <w:rPr>
          <w:rFonts w:ascii="Arial" w:hAnsi="Arial" w:cs="Arial"/>
          <w:sz w:val="20"/>
          <w:szCs w:val="20"/>
        </w:rPr>
        <w:t>.</w:t>
      </w:r>
    </w:p>
    <w:p w14:paraId="2275C07D" w14:textId="77777777" w:rsidR="00C36478" w:rsidRPr="0095262B" w:rsidRDefault="00C36478" w:rsidP="00DA1D10">
      <w:pPr>
        <w:pStyle w:val="NormalWeb"/>
        <w:rPr>
          <w:rFonts w:ascii="Arial" w:hAnsi="Arial" w:cs="Arial"/>
          <w:sz w:val="20"/>
          <w:szCs w:val="20"/>
        </w:rPr>
      </w:pPr>
      <w:r w:rsidRPr="0095262B">
        <w:rPr>
          <w:rFonts w:ascii="Arial" w:hAnsi="Arial" w:cs="Arial"/>
          <w:sz w:val="20"/>
          <w:szCs w:val="20"/>
        </w:rPr>
        <w:t xml:space="preserve">Gutierrez, J. M., Rojas, G., &amp; </w:t>
      </w:r>
      <w:proofErr w:type="spellStart"/>
      <w:r w:rsidRPr="0095262B">
        <w:rPr>
          <w:rFonts w:ascii="Arial" w:hAnsi="Arial" w:cs="Arial"/>
          <w:sz w:val="20"/>
          <w:szCs w:val="20"/>
        </w:rPr>
        <w:t>Lomonte</w:t>
      </w:r>
      <w:proofErr w:type="spellEnd"/>
      <w:r w:rsidRPr="0095262B">
        <w:rPr>
          <w:rFonts w:ascii="Arial" w:hAnsi="Arial" w:cs="Arial"/>
          <w:sz w:val="20"/>
          <w:szCs w:val="20"/>
        </w:rPr>
        <w:t xml:space="preserve">, B. (1991). Myotoxic effects induced by snake venom phospholipase A2 enzymes. </w:t>
      </w:r>
      <w:proofErr w:type="spellStart"/>
      <w:r w:rsidRPr="0095262B">
        <w:rPr>
          <w:rStyle w:val="Emphasis"/>
          <w:rFonts w:ascii="Arial" w:hAnsi="Arial" w:cs="Arial"/>
          <w:sz w:val="20"/>
          <w:szCs w:val="20"/>
        </w:rPr>
        <w:t>Toxicon</w:t>
      </w:r>
      <w:proofErr w:type="spellEnd"/>
      <w:r w:rsidRPr="0095262B">
        <w:rPr>
          <w:rStyle w:val="Emphasis"/>
          <w:rFonts w:ascii="Arial" w:hAnsi="Arial" w:cs="Arial"/>
          <w:sz w:val="20"/>
          <w:szCs w:val="20"/>
        </w:rPr>
        <w:t>, 29</w:t>
      </w:r>
      <w:r w:rsidRPr="0095262B">
        <w:rPr>
          <w:rFonts w:ascii="Arial" w:hAnsi="Arial" w:cs="Arial"/>
          <w:sz w:val="20"/>
          <w:szCs w:val="20"/>
        </w:rPr>
        <w:t xml:space="preserve">(8), 915–931. </w:t>
      </w:r>
      <w:hyperlink r:id="rId24" w:history="1">
        <w:r w:rsidRPr="0095262B">
          <w:rPr>
            <w:rStyle w:val="Hyperlink"/>
            <w:rFonts w:ascii="Arial" w:hAnsi="Arial" w:cs="Arial"/>
            <w:sz w:val="20"/>
            <w:szCs w:val="20"/>
          </w:rPr>
          <w:t>https://doi.org/10.1016/0041-0101(91)90085-2</w:t>
        </w:r>
      </w:hyperlink>
    </w:p>
    <w:p w14:paraId="1A663C73" w14:textId="033D8F44" w:rsidR="00C36478" w:rsidRPr="00DA1D10" w:rsidRDefault="00B927AB" w:rsidP="00DA1D10">
      <w:pPr>
        <w:spacing w:line="240" w:lineRule="auto"/>
        <w:jc w:val="both"/>
        <w:rPr>
          <w:rFonts w:ascii="Arial" w:hAnsi="Arial" w:cs="Arial"/>
          <w:sz w:val="20"/>
          <w:szCs w:val="20"/>
        </w:rPr>
      </w:pPr>
      <w:r w:rsidRPr="00DA1D10">
        <w:rPr>
          <w:rFonts w:ascii="Arial" w:hAnsi="Arial" w:cs="Arial"/>
          <w:sz w:val="20"/>
          <w:szCs w:val="20"/>
        </w:rPr>
        <w:t xml:space="preserve">Harrison, R. A., </w:t>
      </w:r>
      <w:proofErr w:type="spellStart"/>
      <w:r w:rsidRPr="00DA1D10">
        <w:rPr>
          <w:rFonts w:ascii="Arial" w:hAnsi="Arial" w:cs="Arial"/>
          <w:sz w:val="20"/>
          <w:szCs w:val="20"/>
        </w:rPr>
        <w:t>Wüster</w:t>
      </w:r>
      <w:proofErr w:type="spellEnd"/>
      <w:r w:rsidRPr="00DA1D10">
        <w:rPr>
          <w:rFonts w:ascii="Arial" w:hAnsi="Arial" w:cs="Arial"/>
          <w:sz w:val="20"/>
          <w:szCs w:val="20"/>
        </w:rPr>
        <w:t xml:space="preserve">, W., &amp; Theakston, R. D. G. (2003). The conserved structure of snake venom toxins confers extensive immunological cross-reactivity to toxin-specific antibody. </w:t>
      </w:r>
      <w:proofErr w:type="spellStart"/>
      <w:r w:rsidRPr="00DA1D10">
        <w:rPr>
          <w:rFonts w:ascii="Arial" w:hAnsi="Arial" w:cs="Arial"/>
          <w:sz w:val="20"/>
          <w:szCs w:val="20"/>
        </w:rPr>
        <w:t>Toxicon</w:t>
      </w:r>
      <w:proofErr w:type="spellEnd"/>
      <w:r w:rsidRPr="00DA1D10">
        <w:rPr>
          <w:rFonts w:ascii="Arial" w:hAnsi="Arial" w:cs="Arial"/>
          <w:sz w:val="20"/>
          <w:szCs w:val="20"/>
        </w:rPr>
        <w:t xml:space="preserve">, 41(4), 441-449. </w:t>
      </w:r>
      <w:hyperlink r:id="rId25" w:history="1">
        <w:r w:rsidRPr="00DA1D10">
          <w:rPr>
            <w:rStyle w:val="Hyperlink"/>
            <w:rFonts w:ascii="Arial" w:hAnsi="Arial" w:cs="Arial"/>
            <w:sz w:val="20"/>
            <w:szCs w:val="20"/>
          </w:rPr>
          <w:t>https://doi.org/10.1016/s0041-0101(02)00360-4</w:t>
        </w:r>
      </w:hyperlink>
      <w:r w:rsidRPr="00DA1D10">
        <w:rPr>
          <w:rFonts w:ascii="Arial" w:hAnsi="Arial" w:cs="Arial"/>
          <w:sz w:val="20"/>
          <w:szCs w:val="20"/>
        </w:rPr>
        <w:t xml:space="preserve"> </w:t>
      </w:r>
    </w:p>
    <w:p w14:paraId="5F29D4BA" w14:textId="5AC5BBA3" w:rsidR="00C36478" w:rsidRPr="00DA1D10" w:rsidRDefault="008E2978" w:rsidP="00DA1D10">
      <w:pPr>
        <w:spacing w:line="240" w:lineRule="auto"/>
        <w:jc w:val="both"/>
        <w:rPr>
          <w:rFonts w:ascii="Arial" w:hAnsi="Arial" w:cs="Arial"/>
          <w:sz w:val="20"/>
          <w:szCs w:val="20"/>
        </w:rPr>
      </w:pPr>
      <w:proofErr w:type="spellStart"/>
      <w:r w:rsidRPr="00DA1D10">
        <w:rPr>
          <w:rFonts w:ascii="Arial" w:hAnsi="Arial" w:cs="Arial"/>
          <w:sz w:val="20"/>
          <w:szCs w:val="20"/>
        </w:rPr>
        <w:lastRenderedPageBreak/>
        <w:t>Kini</w:t>
      </w:r>
      <w:proofErr w:type="spellEnd"/>
      <w:r w:rsidRPr="00DA1D10">
        <w:rPr>
          <w:rFonts w:ascii="Arial" w:hAnsi="Arial" w:cs="Arial"/>
          <w:sz w:val="20"/>
          <w:szCs w:val="20"/>
        </w:rPr>
        <w:t>, R. M. (2003). Excitement ahead: Structure, function, and mechanism of snake venom phospholipase A</w:t>
      </w:r>
      <w:r w:rsidRPr="00DA1D10">
        <w:rPr>
          <w:rFonts w:ascii="Cambria Math" w:hAnsi="Cambria Math" w:cs="Cambria Math"/>
          <w:sz w:val="20"/>
          <w:szCs w:val="20"/>
        </w:rPr>
        <w:t>₂</w:t>
      </w:r>
      <w:r w:rsidRPr="00DA1D10">
        <w:rPr>
          <w:rFonts w:ascii="Arial" w:hAnsi="Arial" w:cs="Arial"/>
          <w:sz w:val="20"/>
          <w:szCs w:val="20"/>
        </w:rPr>
        <w:t xml:space="preserve"> enzymes. </w:t>
      </w:r>
      <w:proofErr w:type="spellStart"/>
      <w:r w:rsidRPr="00DA1D10">
        <w:rPr>
          <w:rFonts w:ascii="Arial" w:hAnsi="Arial" w:cs="Arial"/>
          <w:sz w:val="20"/>
          <w:szCs w:val="20"/>
        </w:rPr>
        <w:t>Toxicon</w:t>
      </w:r>
      <w:proofErr w:type="spellEnd"/>
      <w:r w:rsidRPr="00DA1D10">
        <w:rPr>
          <w:rFonts w:ascii="Arial" w:hAnsi="Arial" w:cs="Arial"/>
          <w:sz w:val="20"/>
          <w:szCs w:val="20"/>
        </w:rPr>
        <w:t xml:space="preserve">, 42(8), 827-840. </w:t>
      </w:r>
      <w:hyperlink r:id="rId26" w:history="1">
        <w:r w:rsidRPr="00DA1D10">
          <w:rPr>
            <w:rStyle w:val="Hyperlink"/>
            <w:rFonts w:ascii="Arial" w:hAnsi="Arial" w:cs="Arial"/>
            <w:sz w:val="20"/>
            <w:szCs w:val="20"/>
          </w:rPr>
          <w:t>https://doi.org/10.1016/j.toxicon.2003.11.002</w:t>
        </w:r>
      </w:hyperlink>
      <w:r w:rsidRPr="00DA1D10">
        <w:rPr>
          <w:rFonts w:ascii="Arial" w:hAnsi="Arial" w:cs="Arial"/>
          <w:sz w:val="20"/>
          <w:szCs w:val="20"/>
        </w:rPr>
        <w:t xml:space="preserve"> </w:t>
      </w:r>
      <w:r w:rsidR="00C36478" w:rsidRPr="00DA1D10">
        <w:rPr>
          <w:rFonts w:ascii="Arial" w:hAnsi="Arial" w:cs="Arial"/>
          <w:sz w:val="20"/>
          <w:szCs w:val="20"/>
        </w:rPr>
        <w:t>.</w:t>
      </w:r>
    </w:p>
    <w:p w14:paraId="62D2D250" w14:textId="39E77BA2" w:rsidR="00C36478" w:rsidRPr="00DA1D10" w:rsidRDefault="000301A5" w:rsidP="00DA1D10">
      <w:pPr>
        <w:spacing w:before="100" w:beforeAutospacing="1" w:after="100" w:afterAutospacing="1" w:line="240" w:lineRule="auto"/>
        <w:jc w:val="both"/>
        <w:rPr>
          <w:rFonts w:ascii="Arial" w:eastAsia="Times New Roman" w:hAnsi="Arial" w:cs="Arial"/>
          <w:sz w:val="20"/>
          <w:szCs w:val="20"/>
        </w:rPr>
      </w:pPr>
      <w:proofErr w:type="spellStart"/>
      <w:r w:rsidRPr="00DA1D10">
        <w:rPr>
          <w:rFonts w:ascii="Arial" w:eastAsia="Times New Roman" w:hAnsi="Arial" w:cs="Arial"/>
          <w:sz w:val="20"/>
          <w:szCs w:val="20"/>
        </w:rPr>
        <w:t>Kini</w:t>
      </w:r>
      <w:proofErr w:type="spellEnd"/>
      <w:r w:rsidRPr="00DA1D10">
        <w:rPr>
          <w:rFonts w:ascii="Arial" w:eastAsia="Times New Roman" w:hAnsi="Arial" w:cs="Arial"/>
          <w:sz w:val="20"/>
          <w:szCs w:val="20"/>
        </w:rPr>
        <w:t xml:space="preserve">, R. M., &amp; Evans, H. J. (1989). A model to explain the pharmacological effects of snake venom phospholipases A2. </w:t>
      </w:r>
      <w:proofErr w:type="spellStart"/>
      <w:r w:rsidRPr="00DA1D10">
        <w:rPr>
          <w:rFonts w:ascii="Arial" w:eastAsia="Times New Roman" w:hAnsi="Arial" w:cs="Arial"/>
          <w:sz w:val="20"/>
          <w:szCs w:val="20"/>
        </w:rPr>
        <w:t>Toxicon</w:t>
      </w:r>
      <w:proofErr w:type="spellEnd"/>
      <w:r w:rsidRPr="00DA1D10">
        <w:rPr>
          <w:rFonts w:ascii="Arial" w:eastAsia="Times New Roman" w:hAnsi="Arial" w:cs="Arial"/>
          <w:sz w:val="20"/>
          <w:szCs w:val="20"/>
        </w:rPr>
        <w:t xml:space="preserve">, 27(6), 613–635. </w:t>
      </w:r>
      <w:hyperlink r:id="rId27" w:history="1">
        <w:r w:rsidRPr="00DA1D10">
          <w:rPr>
            <w:rStyle w:val="Hyperlink"/>
            <w:rFonts w:ascii="Arial" w:eastAsia="Times New Roman" w:hAnsi="Arial" w:cs="Arial"/>
            <w:sz w:val="20"/>
            <w:szCs w:val="20"/>
          </w:rPr>
          <w:t>https://doi.org/10.1016/0041-0101(89)90013-5</w:t>
        </w:r>
      </w:hyperlink>
      <w:r w:rsidRPr="00DA1D10">
        <w:rPr>
          <w:rFonts w:ascii="Arial" w:eastAsia="Times New Roman" w:hAnsi="Arial" w:cs="Arial"/>
          <w:sz w:val="20"/>
          <w:szCs w:val="20"/>
        </w:rPr>
        <w:t xml:space="preserve"> </w:t>
      </w:r>
    </w:p>
    <w:p w14:paraId="4CDB32BC" w14:textId="77777777" w:rsidR="00C36478" w:rsidRPr="00DA1D10" w:rsidRDefault="00C36478" w:rsidP="00DA1D10">
      <w:pPr>
        <w:spacing w:line="240" w:lineRule="auto"/>
        <w:jc w:val="both"/>
        <w:rPr>
          <w:rFonts w:ascii="Arial" w:hAnsi="Arial" w:cs="Arial"/>
          <w:sz w:val="20"/>
          <w:szCs w:val="20"/>
        </w:rPr>
      </w:pPr>
      <w:proofErr w:type="spellStart"/>
      <w:r w:rsidRPr="00DA1D10">
        <w:rPr>
          <w:rFonts w:ascii="Arial" w:hAnsi="Arial" w:cs="Arial"/>
          <w:sz w:val="20"/>
          <w:szCs w:val="20"/>
        </w:rPr>
        <w:t>Mamede</w:t>
      </w:r>
      <w:proofErr w:type="spellEnd"/>
      <w:r w:rsidRPr="00DA1D10">
        <w:rPr>
          <w:rFonts w:ascii="Arial" w:hAnsi="Arial" w:cs="Arial"/>
          <w:sz w:val="20"/>
          <w:szCs w:val="20"/>
        </w:rPr>
        <w:t>, C. C. N., De Oliveira, M. F., &amp; Murakami, M. T. (2016). Enzymatic and structural features of snake venom phospholipases A</w:t>
      </w:r>
      <w:r w:rsidRPr="00DA1D10">
        <w:rPr>
          <w:rFonts w:ascii="Arial" w:hAnsi="Arial" w:cs="Arial"/>
          <w:sz w:val="20"/>
          <w:szCs w:val="20"/>
          <w:vertAlign w:val="subscript"/>
        </w:rPr>
        <w:t>2</w:t>
      </w:r>
      <w:r w:rsidRPr="00DA1D10">
        <w:rPr>
          <w:rFonts w:ascii="Arial" w:hAnsi="Arial" w:cs="Arial"/>
          <w:sz w:val="20"/>
          <w:szCs w:val="20"/>
        </w:rPr>
        <w:t xml:space="preserve">. </w:t>
      </w:r>
      <w:r w:rsidRPr="00DA1D10">
        <w:rPr>
          <w:rFonts w:ascii="Arial" w:hAnsi="Arial" w:cs="Arial"/>
          <w:i/>
          <w:sz w:val="20"/>
          <w:szCs w:val="20"/>
        </w:rPr>
        <w:t>Current Medicinal Chemistry</w:t>
      </w:r>
      <w:r w:rsidRPr="00DA1D10">
        <w:rPr>
          <w:rFonts w:ascii="Arial" w:hAnsi="Arial" w:cs="Arial"/>
          <w:sz w:val="20"/>
          <w:szCs w:val="20"/>
        </w:rPr>
        <w:t xml:space="preserve">, 23(32), 3664-3680. </w:t>
      </w:r>
      <w:hyperlink r:id="rId28" w:history="1">
        <w:r w:rsidRPr="00DA1D10">
          <w:rPr>
            <w:rStyle w:val="Hyperlink"/>
            <w:rFonts w:ascii="Arial" w:hAnsi="Arial" w:cs="Arial"/>
            <w:sz w:val="20"/>
            <w:szCs w:val="20"/>
          </w:rPr>
          <w:t>https://doi.org/10.2174/0929867323666161010163940</w:t>
        </w:r>
      </w:hyperlink>
    </w:p>
    <w:p w14:paraId="103630D0" w14:textId="390FE478" w:rsidR="003C0405" w:rsidRPr="00DA1D10" w:rsidRDefault="00E26F58" w:rsidP="00DA1D10">
      <w:pPr>
        <w:spacing w:line="240" w:lineRule="auto"/>
        <w:jc w:val="both"/>
        <w:rPr>
          <w:rFonts w:ascii="Arial" w:hAnsi="Arial" w:cs="Arial"/>
          <w:sz w:val="20"/>
          <w:szCs w:val="20"/>
        </w:rPr>
      </w:pPr>
      <w:r w:rsidRPr="00DA1D10">
        <w:rPr>
          <w:rFonts w:ascii="Arial" w:hAnsi="Arial" w:cs="Arial"/>
          <w:sz w:val="20"/>
          <w:szCs w:val="20"/>
        </w:rPr>
        <w:t xml:space="preserve">Mohammed, A., </w:t>
      </w:r>
      <w:proofErr w:type="spellStart"/>
      <w:r w:rsidRPr="00DA1D10">
        <w:rPr>
          <w:rFonts w:ascii="Arial" w:hAnsi="Arial" w:cs="Arial"/>
          <w:sz w:val="20"/>
          <w:szCs w:val="20"/>
        </w:rPr>
        <w:t>Shago</w:t>
      </w:r>
      <w:proofErr w:type="spellEnd"/>
      <w:r w:rsidRPr="00DA1D10">
        <w:rPr>
          <w:rFonts w:ascii="Arial" w:hAnsi="Arial" w:cs="Arial"/>
          <w:sz w:val="20"/>
          <w:szCs w:val="20"/>
        </w:rPr>
        <w:t xml:space="preserve">, M. I., Suleiman, G., &amp; Nasir, M. U. (2021). A suggestive evaluation and review on the synergy of Renin Angiotensin Aldosterone System (RAAS) and Immune response towards Covid-19. International Journal of Research and Innovation in Applied Science, 6(7), 76-82. </w:t>
      </w:r>
      <w:hyperlink r:id="rId29" w:history="1">
        <w:r w:rsidRPr="00DA1D10">
          <w:rPr>
            <w:rStyle w:val="Hyperlink"/>
            <w:rFonts w:ascii="Arial" w:hAnsi="Arial" w:cs="Arial"/>
            <w:sz w:val="20"/>
            <w:szCs w:val="20"/>
          </w:rPr>
          <w:t>https://www.rsisinternational.org/journals/ijrias/articles/a-suggestive-evaluation-and-review-on-the-synergy-of-renin-angiotensin-aldosterone-system-raas-and-immune-response-towards-covid-19/</w:t>
        </w:r>
      </w:hyperlink>
      <w:r w:rsidRPr="00DA1D10">
        <w:rPr>
          <w:rFonts w:ascii="Arial" w:hAnsi="Arial" w:cs="Arial"/>
          <w:sz w:val="20"/>
          <w:szCs w:val="20"/>
        </w:rPr>
        <w:t xml:space="preserve"> </w:t>
      </w:r>
      <w:r w:rsidR="002C0FBB" w:rsidRPr="00DA1D10">
        <w:rPr>
          <w:rFonts w:ascii="Arial" w:hAnsi="Arial" w:cs="Arial"/>
          <w:sz w:val="20"/>
          <w:szCs w:val="20"/>
        </w:rPr>
        <w:t>.</w:t>
      </w:r>
    </w:p>
    <w:p w14:paraId="09FB5F3A" w14:textId="77777777" w:rsidR="00C36478" w:rsidRPr="00DA1D10" w:rsidRDefault="00C36478" w:rsidP="00DA1D10">
      <w:pPr>
        <w:spacing w:line="240" w:lineRule="auto"/>
        <w:jc w:val="both"/>
        <w:rPr>
          <w:rFonts w:ascii="Arial" w:hAnsi="Arial" w:cs="Arial"/>
          <w:sz w:val="20"/>
          <w:szCs w:val="20"/>
        </w:rPr>
      </w:pPr>
      <w:r w:rsidRPr="00DA1D10">
        <w:rPr>
          <w:rFonts w:ascii="Arial" w:hAnsi="Arial" w:cs="Arial"/>
          <w:sz w:val="20"/>
          <w:szCs w:val="20"/>
        </w:rPr>
        <w:t xml:space="preserve">Mohammed, A., </w:t>
      </w:r>
      <w:proofErr w:type="spellStart"/>
      <w:r w:rsidRPr="00DA1D10">
        <w:rPr>
          <w:rFonts w:ascii="Arial" w:hAnsi="Arial" w:cs="Arial"/>
          <w:sz w:val="20"/>
          <w:szCs w:val="20"/>
        </w:rPr>
        <w:t>Shago</w:t>
      </w:r>
      <w:proofErr w:type="spellEnd"/>
      <w:r w:rsidRPr="00DA1D10">
        <w:rPr>
          <w:rFonts w:ascii="Arial" w:hAnsi="Arial" w:cs="Arial"/>
          <w:sz w:val="20"/>
          <w:szCs w:val="20"/>
        </w:rPr>
        <w:t xml:space="preserve">, M. </w:t>
      </w:r>
      <w:r w:rsidR="003C0405" w:rsidRPr="00DA1D10">
        <w:rPr>
          <w:rFonts w:ascii="Arial" w:hAnsi="Arial" w:cs="Arial"/>
          <w:sz w:val="20"/>
          <w:szCs w:val="20"/>
        </w:rPr>
        <w:t>I</w:t>
      </w:r>
      <w:r w:rsidRPr="00DA1D10">
        <w:rPr>
          <w:rFonts w:ascii="Arial" w:hAnsi="Arial" w:cs="Arial"/>
          <w:sz w:val="20"/>
          <w:szCs w:val="20"/>
        </w:rPr>
        <w:t>., Musa, I</w:t>
      </w:r>
      <w:r w:rsidR="003F299D" w:rsidRPr="00DA1D10">
        <w:rPr>
          <w:rFonts w:ascii="Arial" w:hAnsi="Arial" w:cs="Arial"/>
          <w:sz w:val="20"/>
          <w:szCs w:val="20"/>
        </w:rPr>
        <w:t>.</w:t>
      </w:r>
      <w:r w:rsidRPr="00DA1D10">
        <w:rPr>
          <w:rFonts w:ascii="Arial" w:hAnsi="Arial" w:cs="Arial"/>
          <w:sz w:val="20"/>
          <w:szCs w:val="20"/>
        </w:rPr>
        <w:t xml:space="preserve"> M., </w:t>
      </w:r>
      <w:r w:rsidR="003C0405" w:rsidRPr="00DA1D10">
        <w:rPr>
          <w:rFonts w:ascii="Arial" w:hAnsi="Arial" w:cs="Arial"/>
          <w:sz w:val="20"/>
          <w:szCs w:val="20"/>
        </w:rPr>
        <w:t xml:space="preserve">&amp; </w:t>
      </w:r>
      <w:proofErr w:type="spellStart"/>
      <w:r w:rsidRPr="00DA1D10">
        <w:rPr>
          <w:rFonts w:ascii="Arial" w:hAnsi="Arial" w:cs="Arial"/>
          <w:sz w:val="20"/>
          <w:szCs w:val="20"/>
        </w:rPr>
        <w:t>Zannah</w:t>
      </w:r>
      <w:proofErr w:type="spellEnd"/>
      <w:r w:rsidRPr="00DA1D10">
        <w:rPr>
          <w:rFonts w:ascii="Arial" w:hAnsi="Arial" w:cs="Arial"/>
          <w:sz w:val="20"/>
          <w:szCs w:val="20"/>
        </w:rPr>
        <w:t xml:space="preserve">, I., (2022), Isolation and Characterization of </w:t>
      </w:r>
      <w:proofErr w:type="spellStart"/>
      <w:r w:rsidRPr="00DA1D10">
        <w:rPr>
          <w:rFonts w:ascii="Arial" w:hAnsi="Arial" w:cs="Arial"/>
          <w:i/>
          <w:sz w:val="20"/>
          <w:szCs w:val="20"/>
        </w:rPr>
        <w:t>Opisthacanthus</w:t>
      </w:r>
      <w:proofErr w:type="spellEnd"/>
      <w:r w:rsidRPr="00DA1D10">
        <w:rPr>
          <w:rFonts w:ascii="Arial" w:hAnsi="Arial" w:cs="Arial"/>
          <w:i/>
          <w:sz w:val="20"/>
          <w:szCs w:val="20"/>
        </w:rPr>
        <w:t xml:space="preserve"> </w:t>
      </w:r>
      <w:proofErr w:type="spellStart"/>
      <w:r w:rsidRPr="00DA1D10">
        <w:rPr>
          <w:rFonts w:ascii="Arial" w:hAnsi="Arial" w:cs="Arial"/>
          <w:i/>
          <w:sz w:val="20"/>
          <w:szCs w:val="20"/>
        </w:rPr>
        <w:t>capensis</w:t>
      </w:r>
      <w:proofErr w:type="spellEnd"/>
      <w:r w:rsidRPr="00DA1D10">
        <w:rPr>
          <w:rFonts w:ascii="Arial" w:hAnsi="Arial" w:cs="Arial"/>
          <w:i/>
          <w:sz w:val="20"/>
          <w:szCs w:val="20"/>
        </w:rPr>
        <w:t xml:space="preserve"> </w:t>
      </w:r>
      <w:r w:rsidRPr="00DA1D10">
        <w:rPr>
          <w:rFonts w:ascii="Arial" w:hAnsi="Arial" w:cs="Arial"/>
          <w:sz w:val="20"/>
          <w:szCs w:val="20"/>
        </w:rPr>
        <w:t xml:space="preserve">(Black Creeping Scorpion) Venom </w:t>
      </w:r>
      <w:proofErr w:type="spellStart"/>
      <w:r w:rsidRPr="00DA1D10">
        <w:rPr>
          <w:rFonts w:ascii="Arial" w:hAnsi="Arial" w:cs="Arial"/>
          <w:sz w:val="20"/>
          <w:szCs w:val="20"/>
        </w:rPr>
        <w:t>Phospholipas</w:t>
      </w:r>
      <w:proofErr w:type="spellEnd"/>
      <w:r w:rsidRPr="00DA1D10">
        <w:rPr>
          <w:rFonts w:ascii="Arial" w:hAnsi="Arial" w:cs="Arial"/>
          <w:sz w:val="20"/>
          <w:szCs w:val="20"/>
        </w:rPr>
        <w:t xml:space="preserve"> A</w:t>
      </w:r>
      <w:r w:rsidRPr="00DA1D10">
        <w:rPr>
          <w:rFonts w:ascii="Arial" w:hAnsi="Arial" w:cs="Arial"/>
          <w:sz w:val="20"/>
          <w:szCs w:val="20"/>
          <w:vertAlign w:val="subscript"/>
        </w:rPr>
        <w:t xml:space="preserve">2 </w:t>
      </w:r>
      <w:r w:rsidRPr="00DA1D10">
        <w:rPr>
          <w:rFonts w:ascii="Arial" w:hAnsi="Arial" w:cs="Arial"/>
          <w:sz w:val="20"/>
          <w:szCs w:val="20"/>
        </w:rPr>
        <w:t xml:space="preserve">and Inhibitory Effects of aqueous leaves extract of </w:t>
      </w:r>
      <w:r w:rsidRPr="00DA1D10">
        <w:rPr>
          <w:rFonts w:ascii="Arial" w:hAnsi="Arial" w:cs="Arial"/>
          <w:i/>
          <w:sz w:val="20"/>
          <w:szCs w:val="20"/>
        </w:rPr>
        <w:t xml:space="preserve">Annona senegalensis </w:t>
      </w:r>
      <w:r w:rsidRPr="00DA1D10">
        <w:rPr>
          <w:rFonts w:ascii="Arial" w:hAnsi="Arial" w:cs="Arial"/>
          <w:sz w:val="20"/>
          <w:szCs w:val="20"/>
        </w:rPr>
        <w:t xml:space="preserve">on the Enzyme, </w:t>
      </w:r>
      <w:r w:rsidRPr="00DA1D10">
        <w:rPr>
          <w:rFonts w:ascii="Arial" w:hAnsi="Arial" w:cs="Arial"/>
          <w:i/>
          <w:sz w:val="20"/>
          <w:szCs w:val="20"/>
        </w:rPr>
        <w:t>Baobab Journal of Research in Science and Technology.</w:t>
      </w:r>
      <w:r w:rsidRPr="00DA1D10">
        <w:rPr>
          <w:rFonts w:ascii="Arial" w:hAnsi="Arial" w:cs="Arial"/>
          <w:sz w:val="20"/>
          <w:szCs w:val="20"/>
        </w:rPr>
        <w:t xml:space="preserve"> Volume 2, </w:t>
      </w:r>
      <w:r w:rsidR="0012002C" w:rsidRPr="00DA1D10">
        <w:rPr>
          <w:rFonts w:ascii="Arial" w:hAnsi="Arial" w:cs="Arial"/>
          <w:sz w:val="20"/>
          <w:szCs w:val="20"/>
        </w:rPr>
        <w:t xml:space="preserve">No. 2, </w:t>
      </w:r>
      <w:r w:rsidRPr="00DA1D10">
        <w:rPr>
          <w:rFonts w:ascii="Arial" w:hAnsi="Arial" w:cs="Arial"/>
          <w:sz w:val="20"/>
          <w:szCs w:val="20"/>
        </w:rPr>
        <w:t xml:space="preserve">ISSN 2616-0453 </w:t>
      </w:r>
    </w:p>
    <w:p w14:paraId="0B80E860" w14:textId="77777777" w:rsidR="00C36478" w:rsidRPr="00DA1D10" w:rsidRDefault="00C36478" w:rsidP="00DA1D10">
      <w:pPr>
        <w:spacing w:before="100" w:beforeAutospacing="1" w:after="100" w:afterAutospacing="1" w:line="240" w:lineRule="auto"/>
        <w:rPr>
          <w:rFonts w:ascii="Arial" w:eastAsia="Times New Roman" w:hAnsi="Arial" w:cs="Arial"/>
          <w:sz w:val="20"/>
          <w:szCs w:val="20"/>
          <w:lang w:val="en-US"/>
        </w:rPr>
      </w:pPr>
      <w:r w:rsidRPr="00DA1D10">
        <w:rPr>
          <w:rFonts w:ascii="Arial" w:eastAsia="Times New Roman" w:hAnsi="Arial" w:cs="Arial"/>
          <w:sz w:val="20"/>
          <w:szCs w:val="20"/>
          <w:lang w:val="en-US"/>
        </w:rPr>
        <w:t>Nair, S. K., Lyles, D. S., &amp; Dempsey, M. E. (1976). Thermal stability of cobra venom PLA</w:t>
      </w:r>
      <w:r w:rsidRPr="00DA1D10">
        <w:rPr>
          <w:rFonts w:ascii="Cambria Math" w:eastAsia="Times New Roman" w:hAnsi="Cambria Math" w:cs="Cambria Math"/>
          <w:sz w:val="20"/>
          <w:szCs w:val="20"/>
          <w:lang w:val="en-US"/>
        </w:rPr>
        <w:t>₂</w:t>
      </w:r>
      <w:r w:rsidRPr="00DA1D10">
        <w:rPr>
          <w:rFonts w:ascii="Arial" w:eastAsia="Times New Roman" w:hAnsi="Arial" w:cs="Arial"/>
          <w:sz w:val="20"/>
          <w:szCs w:val="20"/>
          <w:lang w:val="en-US"/>
        </w:rPr>
        <w:t xml:space="preserve"> enzymes. </w:t>
      </w:r>
      <w:proofErr w:type="spellStart"/>
      <w:r w:rsidRPr="00DA1D10">
        <w:rPr>
          <w:rFonts w:ascii="Arial" w:eastAsia="Times New Roman" w:hAnsi="Arial" w:cs="Arial"/>
          <w:i/>
          <w:iCs/>
          <w:sz w:val="20"/>
          <w:szCs w:val="20"/>
          <w:lang w:val="en-US"/>
        </w:rPr>
        <w:t>Biochimica</w:t>
      </w:r>
      <w:proofErr w:type="spellEnd"/>
      <w:r w:rsidRPr="00DA1D10">
        <w:rPr>
          <w:rFonts w:ascii="Arial" w:eastAsia="Times New Roman" w:hAnsi="Arial" w:cs="Arial"/>
          <w:i/>
          <w:iCs/>
          <w:sz w:val="20"/>
          <w:szCs w:val="20"/>
          <w:lang w:val="en-US"/>
        </w:rPr>
        <w:t xml:space="preserve"> et </w:t>
      </w:r>
      <w:proofErr w:type="spellStart"/>
      <w:r w:rsidRPr="00DA1D10">
        <w:rPr>
          <w:rFonts w:ascii="Arial" w:eastAsia="Times New Roman" w:hAnsi="Arial" w:cs="Arial"/>
          <w:i/>
          <w:iCs/>
          <w:sz w:val="20"/>
          <w:szCs w:val="20"/>
          <w:lang w:val="en-US"/>
        </w:rPr>
        <w:t>Biophysica</w:t>
      </w:r>
      <w:proofErr w:type="spellEnd"/>
      <w:r w:rsidRPr="00DA1D10">
        <w:rPr>
          <w:rFonts w:ascii="Arial" w:eastAsia="Times New Roman" w:hAnsi="Arial" w:cs="Arial"/>
          <w:i/>
          <w:iCs/>
          <w:sz w:val="20"/>
          <w:szCs w:val="20"/>
          <w:lang w:val="en-US"/>
        </w:rPr>
        <w:t xml:space="preserve"> Acta (BBA) - Enzymology, 452</w:t>
      </w:r>
      <w:r w:rsidRPr="00DA1D10">
        <w:rPr>
          <w:rFonts w:ascii="Arial" w:eastAsia="Times New Roman" w:hAnsi="Arial" w:cs="Arial"/>
          <w:sz w:val="20"/>
          <w:szCs w:val="20"/>
          <w:lang w:val="en-US"/>
        </w:rPr>
        <w:t>(3), 348–357. https://doi.org/10.1016/0005-2744(76)90203-7</w:t>
      </w:r>
    </w:p>
    <w:p w14:paraId="6B5F561B" w14:textId="3DFAB0D7" w:rsidR="00C36478" w:rsidRPr="00DA1D10" w:rsidRDefault="00BA35C7" w:rsidP="00DA1D10">
      <w:pPr>
        <w:spacing w:line="240" w:lineRule="auto"/>
        <w:jc w:val="both"/>
        <w:rPr>
          <w:rFonts w:ascii="Arial" w:hAnsi="Arial" w:cs="Arial"/>
          <w:sz w:val="20"/>
          <w:szCs w:val="20"/>
        </w:rPr>
      </w:pPr>
      <w:proofErr w:type="spellStart"/>
      <w:r w:rsidRPr="00DA1D10">
        <w:rPr>
          <w:rFonts w:ascii="Arial" w:hAnsi="Arial" w:cs="Arial"/>
          <w:sz w:val="20"/>
          <w:szCs w:val="20"/>
        </w:rPr>
        <w:t>Lauridsen</w:t>
      </w:r>
      <w:proofErr w:type="spellEnd"/>
      <w:r w:rsidRPr="00DA1D10">
        <w:rPr>
          <w:rFonts w:ascii="Arial" w:hAnsi="Arial" w:cs="Arial"/>
          <w:sz w:val="20"/>
          <w:szCs w:val="20"/>
        </w:rPr>
        <w:t xml:space="preserve">, L. P., </w:t>
      </w:r>
      <w:proofErr w:type="spellStart"/>
      <w:r w:rsidRPr="00DA1D10">
        <w:rPr>
          <w:rFonts w:ascii="Arial" w:hAnsi="Arial" w:cs="Arial"/>
          <w:sz w:val="20"/>
          <w:szCs w:val="20"/>
        </w:rPr>
        <w:t>Laustsen</w:t>
      </w:r>
      <w:proofErr w:type="spellEnd"/>
      <w:r w:rsidRPr="00DA1D10">
        <w:rPr>
          <w:rFonts w:ascii="Arial" w:hAnsi="Arial" w:cs="Arial"/>
          <w:sz w:val="20"/>
          <w:szCs w:val="20"/>
        </w:rPr>
        <w:t xml:space="preserve">, A. H., </w:t>
      </w:r>
      <w:proofErr w:type="spellStart"/>
      <w:r w:rsidRPr="00DA1D10">
        <w:rPr>
          <w:rFonts w:ascii="Arial" w:hAnsi="Arial" w:cs="Arial"/>
          <w:sz w:val="20"/>
          <w:szCs w:val="20"/>
        </w:rPr>
        <w:t>Lomonte</w:t>
      </w:r>
      <w:proofErr w:type="spellEnd"/>
      <w:r w:rsidRPr="00DA1D10">
        <w:rPr>
          <w:rFonts w:ascii="Arial" w:hAnsi="Arial" w:cs="Arial"/>
          <w:sz w:val="20"/>
          <w:szCs w:val="20"/>
        </w:rPr>
        <w:t xml:space="preserve">, B., &amp; Gutiérrez, J. M. (2017). Exploring the venom of the forest cobra snake: </w:t>
      </w:r>
      <w:proofErr w:type="spellStart"/>
      <w:r w:rsidRPr="00DA1D10">
        <w:rPr>
          <w:rFonts w:ascii="Arial" w:hAnsi="Arial" w:cs="Arial"/>
          <w:sz w:val="20"/>
          <w:szCs w:val="20"/>
        </w:rPr>
        <w:t>Toxicovenomics</w:t>
      </w:r>
      <w:proofErr w:type="spellEnd"/>
      <w:r w:rsidRPr="00DA1D10">
        <w:rPr>
          <w:rFonts w:ascii="Arial" w:hAnsi="Arial" w:cs="Arial"/>
          <w:sz w:val="20"/>
          <w:szCs w:val="20"/>
        </w:rPr>
        <w:t xml:space="preserve"> and antivenom profiling of </w:t>
      </w:r>
      <w:proofErr w:type="spellStart"/>
      <w:r w:rsidRPr="00DA1D10">
        <w:rPr>
          <w:rFonts w:ascii="Arial" w:hAnsi="Arial" w:cs="Arial"/>
          <w:sz w:val="20"/>
          <w:szCs w:val="20"/>
        </w:rPr>
        <w:t>Naja</w:t>
      </w:r>
      <w:proofErr w:type="spellEnd"/>
      <w:r w:rsidRPr="00DA1D10">
        <w:rPr>
          <w:rFonts w:ascii="Arial" w:hAnsi="Arial" w:cs="Arial"/>
          <w:sz w:val="20"/>
          <w:szCs w:val="20"/>
        </w:rPr>
        <w:t xml:space="preserve"> </w:t>
      </w:r>
      <w:proofErr w:type="spellStart"/>
      <w:r w:rsidRPr="00DA1D10">
        <w:rPr>
          <w:rFonts w:ascii="Arial" w:hAnsi="Arial" w:cs="Arial"/>
          <w:sz w:val="20"/>
          <w:szCs w:val="20"/>
        </w:rPr>
        <w:t>melanoleuca</w:t>
      </w:r>
      <w:proofErr w:type="spellEnd"/>
      <w:r w:rsidRPr="00DA1D10">
        <w:rPr>
          <w:rFonts w:ascii="Arial" w:hAnsi="Arial" w:cs="Arial"/>
          <w:sz w:val="20"/>
          <w:szCs w:val="20"/>
        </w:rPr>
        <w:t xml:space="preserve">. Journal of Proteomics, 150, 98-108. </w:t>
      </w:r>
      <w:hyperlink r:id="rId30" w:history="1">
        <w:r w:rsidRPr="00DA1D10">
          <w:rPr>
            <w:rStyle w:val="Hyperlink"/>
            <w:rFonts w:ascii="Arial" w:hAnsi="Arial" w:cs="Arial"/>
            <w:sz w:val="20"/>
            <w:szCs w:val="20"/>
          </w:rPr>
          <w:t>https://doi.org/10.1016/j.jprot.2016.08.024</w:t>
        </w:r>
      </w:hyperlink>
      <w:r w:rsidRPr="00DA1D10">
        <w:rPr>
          <w:rFonts w:ascii="Arial" w:hAnsi="Arial" w:cs="Arial"/>
          <w:sz w:val="20"/>
          <w:szCs w:val="20"/>
        </w:rPr>
        <w:t xml:space="preserve"> </w:t>
      </w:r>
      <w:r w:rsidR="00C36478" w:rsidRPr="00DA1D10">
        <w:rPr>
          <w:rFonts w:ascii="Arial" w:hAnsi="Arial" w:cs="Arial"/>
          <w:sz w:val="20"/>
          <w:szCs w:val="20"/>
        </w:rPr>
        <w:t>.</w:t>
      </w:r>
    </w:p>
    <w:p w14:paraId="43774298" w14:textId="77777777" w:rsidR="00C36478" w:rsidRPr="00DA1D10" w:rsidRDefault="00C36478" w:rsidP="00DA1D10">
      <w:pPr>
        <w:spacing w:line="240" w:lineRule="auto"/>
        <w:jc w:val="both"/>
        <w:rPr>
          <w:rFonts w:ascii="Arial" w:hAnsi="Arial" w:cs="Arial"/>
          <w:sz w:val="20"/>
          <w:szCs w:val="20"/>
        </w:rPr>
      </w:pPr>
      <w:proofErr w:type="spellStart"/>
      <w:r w:rsidRPr="00DA1D10">
        <w:rPr>
          <w:rFonts w:ascii="Arial" w:hAnsi="Arial" w:cs="Arial"/>
          <w:sz w:val="20"/>
          <w:szCs w:val="20"/>
        </w:rPr>
        <w:t>Pung</w:t>
      </w:r>
      <w:proofErr w:type="spellEnd"/>
      <w:r w:rsidRPr="00DA1D10">
        <w:rPr>
          <w:rFonts w:ascii="Arial" w:hAnsi="Arial" w:cs="Arial"/>
          <w:sz w:val="20"/>
          <w:szCs w:val="20"/>
        </w:rPr>
        <w:t xml:space="preserve">, Y. F., Wong, P. T., Kumar, P. P., &amp; Hodgson, W. C. (2010). Comparative pharmacological effects of venoms from three </w:t>
      </w:r>
      <w:proofErr w:type="spellStart"/>
      <w:r w:rsidRPr="00DA1D10">
        <w:rPr>
          <w:rFonts w:ascii="Arial" w:hAnsi="Arial" w:cs="Arial"/>
          <w:sz w:val="20"/>
          <w:szCs w:val="20"/>
        </w:rPr>
        <w:t>Naja</w:t>
      </w:r>
      <w:proofErr w:type="spellEnd"/>
      <w:r w:rsidRPr="00DA1D10">
        <w:rPr>
          <w:rFonts w:ascii="Arial" w:hAnsi="Arial" w:cs="Arial"/>
          <w:sz w:val="20"/>
          <w:szCs w:val="20"/>
        </w:rPr>
        <w:t xml:space="preserve"> species on nerve-muscle preparation. </w:t>
      </w:r>
      <w:proofErr w:type="spellStart"/>
      <w:r w:rsidRPr="00DA1D10">
        <w:rPr>
          <w:rFonts w:ascii="Arial" w:hAnsi="Arial" w:cs="Arial"/>
          <w:i/>
          <w:sz w:val="20"/>
          <w:szCs w:val="20"/>
        </w:rPr>
        <w:t>Toxicon</w:t>
      </w:r>
      <w:proofErr w:type="spellEnd"/>
      <w:r w:rsidRPr="00DA1D10">
        <w:rPr>
          <w:rFonts w:ascii="Arial" w:hAnsi="Arial" w:cs="Arial"/>
          <w:sz w:val="20"/>
          <w:szCs w:val="20"/>
        </w:rPr>
        <w:t>, 56(2), 256-264.</w:t>
      </w:r>
    </w:p>
    <w:p w14:paraId="51429390" w14:textId="77777777" w:rsidR="00C36478" w:rsidRPr="0095262B" w:rsidRDefault="00C36478" w:rsidP="00DA1D10">
      <w:pPr>
        <w:pStyle w:val="NormalWeb"/>
        <w:rPr>
          <w:rFonts w:ascii="Arial" w:hAnsi="Arial" w:cs="Arial"/>
          <w:sz w:val="20"/>
          <w:szCs w:val="20"/>
        </w:rPr>
      </w:pPr>
      <w:r w:rsidRPr="0095262B">
        <w:rPr>
          <w:rFonts w:ascii="Arial" w:hAnsi="Arial" w:cs="Arial"/>
          <w:sz w:val="20"/>
          <w:szCs w:val="20"/>
        </w:rPr>
        <w:t xml:space="preserve">Ramirez, R., Ponce, A., &amp; Martínez, J. (2004). Study on PLA2 from </w:t>
      </w:r>
      <w:proofErr w:type="spellStart"/>
      <w:r w:rsidRPr="0095262B">
        <w:rPr>
          <w:rStyle w:val="Emphasis"/>
          <w:rFonts w:ascii="Arial" w:hAnsi="Arial" w:cs="Arial"/>
          <w:sz w:val="20"/>
          <w:szCs w:val="20"/>
        </w:rPr>
        <w:t>Bothrops</w:t>
      </w:r>
      <w:proofErr w:type="spellEnd"/>
      <w:r w:rsidRPr="0095262B">
        <w:rPr>
          <w:rStyle w:val="Emphasis"/>
          <w:rFonts w:ascii="Arial" w:hAnsi="Arial" w:cs="Arial"/>
          <w:sz w:val="20"/>
          <w:szCs w:val="20"/>
        </w:rPr>
        <w:t xml:space="preserve"> asper</w:t>
      </w:r>
      <w:r w:rsidRPr="0095262B">
        <w:rPr>
          <w:rFonts w:ascii="Arial" w:hAnsi="Arial" w:cs="Arial"/>
          <w:sz w:val="20"/>
          <w:szCs w:val="20"/>
        </w:rPr>
        <w:t xml:space="preserve"> venom. </w:t>
      </w:r>
      <w:proofErr w:type="spellStart"/>
      <w:r w:rsidRPr="0095262B">
        <w:rPr>
          <w:rStyle w:val="Emphasis"/>
          <w:rFonts w:ascii="Arial" w:hAnsi="Arial" w:cs="Arial"/>
          <w:sz w:val="20"/>
          <w:szCs w:val="20"/>
        </w:rPr>
        <w:t>Toxicon</w:t>
      </w:r>
      <w:proofErr w:type="spellEnd"/>
      <w:r w:rsidRPr="0095262B">
        <w:rPr>
          <w:rStyle w:val="Emphasis"/>
          <w:rFonts w:ascii="Arial" w:hAnsi="Arial" w:cs="Arial"/>
          <w:sz w:val="20"/>
          <w:szCs w:val="20"/>
        </w:rPr>
        <w:t>, 44</w:t>
      </w:r>
      <w:r w:rsidRPr="0095262B">
        <w:rPr>
          <w:rFonts w:ascii="Arial" w:hAnsi="Arial" w:cs="Arial"/>
          <w:sz w:val="20"/>
          <w:szCs w:val="20"/>
        </w:rPr>
        <w:t xml:space="preserve">(2), 123–131. </w:t>
      </w:r>
      <w:hyperlink r:id="rId31" w:tgtFrame="_new" w:history="1">
        <w:r w:rsidRPr="0095262B">
          <w:rPr>
            <w:rStyle w:val="Hyperlink"/>
            <w:rFonts w:ascii="Arial" w:hAnsi="Arial" w:cs="Arial"/>
            <w:sz w:val="20"/>
            <w:szCs w:val="20"/>
          </w:rPr>
          <w:t>https://doi.org/10.1016/j.toxicon.2004.04.001</w:t>
        </w:r>
      </w:hyperlink>
    </w:p>
    <w:p w14:paraId="0223ED0F" w14:textId="7D6548F9" w:rsidR="00C36478" w:rsidRPr="00DA1D10" w:rsidRDefault="002A549D" w:rsidP="00DA1D10">
      <w:pPr>
        <w:spacing w:after="0" w:line="240" w:lineRule="auto"/>
        <w:jc w:val="both"/>
        <w:rPr>
          <w:rFonts w:ascii="Arial" w:eastAsia="Times New Roman" w:hAnsi="Arial" w:cs="Arial"/>
          <w:sz w:val="20"/>
          <w:szCs w:val="20"/>
        </w:rPr>
      </w:pPr>
      <w:proofErr w:type="spellStart"/>
      <w:r w:rsidRPr="00DA1D10">
        <w:rPr>
          <w:rFonts w:ascii="Arial" w:eastAsia="Times New Roman" w:hAnsi="Arial" w:cs="Arial"/>
          <w:sz w:val="20"/>
          <w:szCs w:val="20"/>
        </w:rPr>
        <w:t>Rigoni</w:t>
      </w:r>
      <w:proofErr w:type="spellEnd"/>
      <w:r w:rsidRPr="00DA1D10">
        <w:rPr>
          <w:rFonts w:ascii="Arial" w:eastAsia="Times New Roman" w:hAnsi="Arial" w:cs="Arial"/>
          <w:sz w:val="20"/>
          <w:szCs w:val="20"/>
        </w:rPr>
        <w:t xml:space="preserve">, M., </w:t>
      </w:r>
      <w:proofErr w:type="spellStart"/>
      <w:r w:rsidRPr="00DA1D10">
        <w:rPr>
          <w:rFonts w:ascii="Arial" w:eastAsia="Times New Roman" w:hAnsi="Arial" w:cs="Arial"/>
          <w:sz w:val="20"/>
          <w:szCs w:val="20"/>
        </w:rPr>
        <w:t>Pizzo</w:t>
      </w:r>
      <w:proofErr w:type="spellEnd"/>
      <w:r w:rsidRPr="00DA1D10">
        <w:rPr>
          <w:rFonts w:ascii="Arial" w:eastAsia="Times New Roman" w:hAnsi="Arial" w:cs="Arial"/>
          <w:sz w:val="20"/>
          <w:szCs w:val="20"/>
        </w:rPr>
        <w:t xml:space="preserve">, P., Schiavo, G., Weston, A. E., </w:t>
      </w:r>
      <w:proofErr w:type="spellStart"/>
      <w:r w:rsidRPr="00DA1D10">
        <w:rPr>
          <w:rFonts w:ascii="Arial" w:eastAsia="Times New Roman" w:hAnsi="Arial" w:cs="Arial"/>
          <w:sz w:val="20"/>
          <w:szCs w:val="20"/>
        </w:rPr>
        <w:t>Zatti</w:t>
      </w:r>
      <w:proofErr w:type="spellEnd"/>
      <w:r w:rsidRPr="00DA1D10">
        <w:rPr>
          <w:rFonts w:ascii="Arial" w:eastAsia="Times New Roman" w:hAnsi="Arial" w:cs="Arial"/>
          <w:sz w:val="20"/>
          <w:szCs w:val="20"/>
        </w:rPr>
        <w:t xml:space="preserve">, G., </w:t>
      </w:r>
      <w:proofErr w:type="spellStart"/>
      <w:r w:rsidRPr="00DA1D10">
        <w:rPr>
          <w:rFonts w:ascii="Arial" w:eastAsia="Times New Roman" w:hAnsi="Arial" w:cs="Arial"/>
          <w:sz w:val="20"/>
          <w:szCs w:val="20"/>
        </w:rPr>
        <w:t>Caccin</w:t>
      </w:r>
      <w:proofErr w:type="spellEnd"/>
      <w:r w:rsidRPr="00DA1D10">
        <w:rPr>
          <w:rFonts w:ascii="Arial" w:eastAsia="Times New Roman" w:hAnsi="Arial" w:cs="Arial"/>
          <w:sz w:val="20"/>
          <w:szCs w:val="20"/>
        </w:rPr>
        <w:t xml:space="preserve">, P., </w:t>
      </w:r>
      <w:proofErr w:type="spellStart"/>
      <w:r w:rsidRPr="00DA1D10">
        <w:rPr>
          <w:rFonts w:ascii="Arial" w:eastAsia="Times New Roman" w:hAnsi="Arial" w:cs="Arial"/>
          <w:sz w:val="20"/>
          <w:szCs w:val="20"/>
        </w:rPr>
        <w:t>Rossetto</w:t>
      </w:r>
      <w:proofErr w:type="spellEnd"/>
      <w:r w:rsidRPr="00DA1D10">
        <w:rPr>
          <w:rFonts w:ascii="Arial" w:eastAsia="Times New Roman" w:hAnsi="Arial" w:cs="Arial"/>
          <w:sz w:val="20"/>
          <w:szCs w:val="20"/>
        </w:rPr>
        <w:t xml:space="preserve">, O., </w:t>
      </w:r>
      <w:proofErr w:type="spellStart"/>
      <w:r w:rsidRPr="00DA1D10">
        <w:rPr>
          <w:rFonts w:ascii="Arial" w:eastAsia="Times New Roman" w:hAnsi="Arial" w:cs="Arial"/>
          <w:sz w:val="20"/>
          <w:szCs w:val="20"/>
        </w:rPr>
        <w:t>Pozzan</w:t>
      </w:r>
      <w:proofErr w:type="spellEnd"/>
      <w:r w:rsidRPr="00DA1D10">
        <w:rPr>
          <w:rFonts w:ascii="Arial" w:eastAsia="Times New Roman" w:hAnsi="Arial" w:cs="Arial"/>
          <w:sz w:val="20"/>
          <w:szCs w:val="20"/>
        </w:rPr>
        <w:t xml:space="preserve">, T., &amp; </w:t>
      </w:r>
      <w:proofErr w:type="spellStart"/>
      <w:r w:rsidRPr="00DA1D10">
        <w:rPr>
          <w:rFonts w:ascii="Arial" w:eastAsia="Times New Roman" w:hAnsi="Arial" w:cs="Arial"/>
          <w:sz w:val="20"/>
          <w:szCs w:val="20"/>
        </w:rPr>
        <w:t>Montecucco</w:t>
      </w:r>
      <w:proofErr w:type="spellEnd"/>
      <w:r w:rsidRPr="00DA1D10">
        <w:rPr>
          <w:rFonts w:ascii="Arial" w:eastAsia="Times New Roman" w:hAnsi="Arial" w:cs="Arial"/>
          <w:sz w:val="20"/>
          <w:szCs w:val="20"/>
        </w:rPr>
        <w:t xml:space="preserve">, C. (2007). Calcium influx and mitochondrial alterations at synapses exposed to snake neurotoxins or their phospholipid hydrolysis products. Journal of Biological Chemistry, 282, 11238-11245. </w:t>
      </w:r>
      <w:hyperlink r:id="rId32" w:history="1">
        <w:r w:rsidRPr="00DA1D10">
          <w:rPr>
            <w:rStyle w:val="Hyperlink"/>
            <w:rFonts w:ascii="Arial" w:eastAsia="Times New Roman" w:hAnsi="Arial" w:cs="Arial"/>
            <w:sz w:val="20"/>
            <w:szCs w:val="20"/>
          </w:rPr>
          <w:t>https://doi.org/10.1074/jbc.M610176200</w:t>
        </w:r>
      </w:hyperlink>
      <w:r w:rsidRPr="00DA1D10">
        <w:rPr>
          <w:rFonts w:ascii="Arial" w:eastAsia="Times New Roman" w:hAnsi="Arial" w:cs="Arial"/>
          <w:sz w:val="20"/>
          <w:szCs w:val="20"/>
        </w:rPr>
        <w:t xml:space="preserve"> </w:t>
      </w:r>
      <w:r w:rsidR="00C36478" w:rsidRPr="00DA1D10">
        <w:rPr>
          <w:rFonts w:ascii="Arial" w:eastAsia="Times New Roman" w:hAnsi="Arial" w:cs="Arial"/>
          <w:sz w:val="20"/>
          <w:szCs w:val="20"/>
        </w:rPr>
        <w:t>.</w:t>
      </w:r>
    </w:p>
    <w:p w14:paraId="374A0196" w14:textId="2B08A8D6" w:rsidR="00C36478" w:rsidRPr="00DA1D10" w:rsidRDefault="007F3975" w:rsidP="00DA1D10">
      <w:pPr>
        <w:spacing w:before="100" w:beforeAutospacing="1" w:after="100" w:afterAutospacing="1" w:line="240" w:lineRule="auto"/>
        <w:rPr>
          <w:rFonts w:ascii="Arial" w:eastAsia="Times New Roman" w:hAnsi="Arial" w:cs="Arial"/>
          <w:sz w:val="20"/>
          <w:szCs w:val="20"/>
          <w:lang w:val="en-US" w:eastAsia="en-US"/>
        </w:rPr>
      </w:pPr>
      <w:r w:rsidRPr="00DA1D10">
        <w:rPr>
          <w:rFonts w:ascii="Arial" w:eastAsia="Times New Roman" w:hAnsi="Arial" w:cs="Arial"/>
          <w:sz w:val="20"/>
          <w:szCs w:val="20"/>
          <w:lang w:val="en-US"/>
        </w:rPr>
        <w:t xml:space="preserve">Scott, D. L., White, S. P., </w:t>
      </w:r>
      <w:proofErr w:type="spellStart"/>
      <w:r w:rsidRPr="00DA1D10">
        <w:rPr>
          <w:rFonts w:ascii="Arial" w:eastAsia="Times New Roman" w:hAnsi="Arial" w:cs="Arial"/>
          <w:sz w:val="20"/>
          <w:szCs w:val="20"/>
          <w:lang w:val="en-US"/>
        </w:rPr>
        <w:t>Otwinowski</w:t>
      </w:r>
      <w:proofErr w:type="spellEnd"/>
      <w:r w:rsidRPr="00DA1D10">
        <w:rPr>
          <w:rFonts w:ascii="Arial" w:eastAsia="Times New Roman" w:hAnsi="Arial" w:cs="Arial"/>
          <w:sz w:val="20"/>
          <w:szCs w:val="20"/>
          <w:lang w:val="en-US"/>
        </w:rPr>
        <w:t xml:space="preserve">, Z., Yuan, W., Gelb, M. H., &amp; Sigler, P. B. (1990). Interfacial catalysis: The mechanism of phospholipase A2. Science, 250(4987), 1541–1546. </w:t>
      </w:r>
      <w:hyperlink r:id="rId33" w:history="1">
        <w:r w:rsidRPr="00DA1D10">
          <w:rPr>
            <w:rStyle w:val="Hyperlink"/>
            <w:rFonts w:ascii="Arial" w:eastAsia="Times New Roman" w:hAnsi="Arial" w:cs="Arial"/>
            <w:sz w:val="20"/>
            <w:szCs w:val="20"/>
            <w:lang w:val="en-US"/>
          </w:rPr>
          <w:t>https://doi.org/10.1126/science.2274785</w:t>
        </w:r>
      </w:hyperlink>
      <w:r w:rsidRPr="00DA1D10">
        <w:rPr>
          <w:rFonts w:ascii="Arial" w:eastAsia="Times New Roman" w:hAnsi="Arial" w:cs="Arial"/>
          <w:sz w:val="20"/>
          <w:szCs w:val="20"/>
          <w:lang w:val="en-US"/>
        </w:rPr>
        <w:t xml:space="preserve"> </w:t>
      </w:r>
    </w:p>
    <w:p w14:paraId="2D2BA69F" w14:textId="77777777" w:rsidR="00C36478" w:rsidRPr="0095262B" w:rsidRDefault="00C36478" w:rsidP="00DA1D10">
      <w:pPr>
        <w:pStyle w:val="NormalWeb"/>
        <w:rPr>
          <w:rFonts w:ascii="Arial" w:hAnsi="Arial" w:cs="Arial"/>
          <w:sz w:val="20"/>
          <w:szCs w:val="20"/>
        </w:rPr>
      </w:pPr>
      <w:r w:rsidRPr="0095262B">
        <w:rPr>
          <w:rFonts w:ascii="Arial" w:hAnsi="Arial" w:cs="Arial"/>
          <w:sz w:val="20"/>
          <w:szCs w:val="20"/>
        </w:rPr>
        <w:t xml:space="preserve">Soares, A. M., </w:t>
      </w:r>
      <w:proofErr w:type="spellStart"/>
      <w:r w:rsidRPr="0095262B">
        <w:rPr>
          <w:rFonts w:ascii="Arial" w:hAnsi="Arial" w:cs="Arial"/>
          <w:sz w:val="20"/>
          <w:szCs w:val="20"/>
        </w:rPr>
        <w:t>Chaves</w:t>
      </w:r>
      <w:proofErr w:type="spellEnd"/>
      <w:r w:rsidRPr="0095262B">
        <w:rPr>
          <w:rFonts w:ascii="Arial" w:hAnsi="Arial" w:cs="Arial"/>
          <w:sz w:val="20"/>
          <w:szCs w:val="20"/>
        </w:rPr>
        <w:t xml:space="preserve">, F., &amp; Gutiérrez, J. M. (2004). Comparative enzymatic properties of rattlesnake venom phospholipase A2. </w:t>
      </w:r>
      <w:proofErr w:type="spellStart"/>
      <w:r w:rsidRPr="0095262B">
        <w:rPr>
          <w:rStyle w:val="Emphasis"/>
          <w:rFonts w:ascii="Arial" w:hAnsi="Arial" w:cs="Arial"/>
          <w:sz w:val="20"/>
          <w:szCs w:val="20"/>
        </w:rPr>
        <w:t>Toxicon</w:t>
      </w:r>
      <w:proofErr w:type="spellEnd"/>
      <w:r w:rsidRPr="0095262B">
        <w:rPr>
          <w:rStyle w:val="Emphasis"/>
          <w:rFonts w:ascii="Arial" w:hAnsi="Arial" w:cs="Arial"/>
          <w:sz w:val="20"/>
          <w:szCs w:val="20"/>
        </w:rPr>
        <w:t>, 43</w:t>
      </w:r>
      <w:r w:rsidRPr="0095262B">
        <w:rPr>
          <w:rFonts w:ascii="Arial" w:hAnsi="Arial" w:cs="Arial"/>
          <w:sz w:val="20"/>
          <w:szCs w:val="20"/>
        </w:rPr>
        <w:t xml:space="preserve">(7), 841–850. </w:t>
      </w:r>
      <w:hyperlink r:id="rId34" w:tgtFrame="_new" w:history="1">
        <w:r w:rsidRPr="0095262B">
          <w:rPr>
            <w:rStyle w:val="Hyperlink"/>
            <w:rFonts w:ascii="Arial" w:hAnsi="Arial" w:cs="Arial"/>
            <w:sz w:val="20"/>
            <w:szCs w:val="20"/>
          </w:rPr>
          <w:t>https://doi.org/10.1016/j.toxicon.2004.02.001</w:t>
        </w:r>
      </w:hyperlink>
    </w:p>
    <w:p w14:paraId="7EA3E50B" w14:textId="77777777" w:rsidR="00C36478" w:rsidRPr="00DA1D10" w:rsidRDefault="00C36478" w:rsidP="00DA1D10">
      <w:pPr>
        <w:spacing w:line="240" w:lineRule="auto"/>
        <w:jc w:val="both"/>
        <w:rPr>
          <w:rFonts w:ascii="Arial" w:hAnsi="Arial" w:cs="Arial"/>
          <w:sz w:val="20"/>
          <w:szCs w:val="20"/>
        </w:rPr>
      </w:pPr>
      <w:r w:rsidRPr="00DA1D10">
        <w:rPr>
          <w:rFonts w:ascii="Arial" w:hAnsi="Arial" w:cs="Arial"/>
          <w:sz w:val="20"/>
          <w:szCs w:val="20"/>
        </w:rPr>
        <w:t>Tan, N. H., Tan, C. H., Sim, S. M., &amp; Fung, S. Y. (2017). Biochemical characterization of the phospholipase A</w:t>
      </w:r>
      <w:r w:rsidRPr="00DA1D10">
        <w:rPr>
          <w:rFonts w:ascii="Cambria Math" w:hAnsi="Cambria Math" w:cs="Cambria Math"/>
          <w:sz w:val="20"/>
          <w:szCs w:val="20"/>
        </w:rPr>
        <w:t>₂</w:t>
      </w:r>
      <w:r w:rsidRPr="00DA1D10">
        <w:rPr>
          <w:rFonts w:ascii="Arial" w:hAnsi="Arial" w:cs="Arial"/>
          <w:sz w:val="20"/>
          <w:szCs w:val="20"/>
        </w:rPr>
        <w:t xml:space="preserve"> from Indian cobra (</w:t>
      </w:r>
      <w:proofErr w:type="spellStart"/>
      <w:r w:rsidRPr="00DA1D10">
        <w:rPr>
          <w:rFonts w:ascii="Arial" w:hAnsi="Arial" w:cs="Arial"/>
          <w:sz w:val="20"/>
          <w:szCs w:val="20"/>
        </w:rPr>
        <w:t>Naja</w:t>
      </w:r>
      <w:proofErr w:type="spellEnd"/>
      <w:r w:rsidRPr="00DA1D10">
        <w:rPr>
          <w:rFonts w:ascii="Arial" w:hAnsi="Arial" w:cs="Arial"/>
          <w:sz w:val="20"/>
          <w:szCs w:val="20"/>
        </w:rPr>
        <w:t xml:space="preserve"> </w:t>
      </w:r>
      <w:proofErr w:type="spellStart"/>
      <w:r w:rsidRPr="00DA1D10">
        <w:rPr>
          <w:rFonts w:ascii="Arial" w:hAnsi="Arial" w:cs="Arial"/>
          <w:sz w:val="20"/>
          <w:szCs w:val="20"/>
        </w:rPr>
        <w:t>naja</w:t>
      </w:r>
      <w:proofErr w:type="spellEnd"/>
      <w:r w:rsidRPr="00DA1D10">
        <w:rPr>
          <w:rFonts w:ascii="Arial" w:hAnsi="Arial" w:cs="Arial"/>
          <w:sz w:val="20"/>
          <w:szCs w:val="20"/>
        </w:rPr>
        <w:t xml:space="preserve">) venom. </w:t>
      </w:r>
      <w:r w:rsidRPr="00DA1D10">
        <w:rPr>
          <w:rFonts w:ascii="Arial" w:hAnsi="Arial" w:cs="Arial"/>
          <w:i/>
          <w:sz w:val="20"/>
          <w:szCs w:val="20"/>
        </w:rPr>
        <w:t>Biochemical Pharmacology</w:t>
      </w:r>
      <w:r w:rsidRPr="00DA1D10">
        <w:rPr>
          <w:rFonts w:ascii="Arial" w:hAnsi="Arial" w:cs="Arial"/>
          <w:sz w:val="20"/>
          <w:szCs w:val="20"/>
        </w:rPr>
        <w:t>, 144, 83-93.</w:t>
      </w:r>
    </w:p>
    <w:p w14:paraId="7096DB8B" w14:textId="77777777" w:rsidR="00C36478" w:rsidRPr="0095262B" w:rsidRDefault="00C36478" w:rsidP="00DA1D10">
      <w:pPr>
        <w:pStyle w:val="NormalWeb"/>
        <w:rPr>
          <w:rFonts w:ascii="Arial" w:hAnsi="Arial" w:cs="Arial"/>
          <w:sz w:val="20"/>
          <w:szCs w:val="20"/>
        </w:rPr>
      </w:pPr>
      <w:r w:rsidRPr="0095262B">
        <w:rPr>
          <w:rFonts w:ascii="Arial" w:hAnsi="Arial" w:cs="Arial"/>
          <w:sz w:val="20"/>
          <w:szCs w:val="20"/>
        </w:rPr>
        <w:t xml:space="preserve">Tan, N. H., Tan, M. H., &amp; </w:t>
      </w:r>
      <w:proofErr w:type="spellStart"/>
      <w:r w:rsidRPr="0095262B">
        <w:rPr>
          <w:rFonts w:ascii="Arial" w:hAnsi="Arial" w:cs="Arial"/>
          <w:sz w:val="20"/>
          <w:szCs w:val="20"/>
        </w:rPr>
        <w:t>Gopalakrishnakone</w:t>
      </w:r>
      <w:proofErr w:type="spellEnd"/>
      <w:r w:rsidRPr="0095262B">
        <w:rPr>
          <w:rFonts w:ascii="Arial" w:hAnsi="Arial" w:cs="Arial"/>
          <w:sz w:val="20"/>
          <w:szCs w:val="20"/>
        </w:rPr>
        <w:t xml:space="preserve">, P. (2003). Characteristics of sea snake venom phospholipase A2 enzymes. </w:t>
      </w:r>
      <w:proofErr w:type="spellStart"/>
      <w:r w:rsidRPr="0095262B">
        <w:rPr>
          <w:rStyle w:val="Emphasis"/>
          <w:rFonts w:ascii="Arial" w:hAnsi="Arial" w:cs="Arial"/>
          <w:sz w:val="20"/>
          <w:szCs w:val="20"/>
        </w:rPr>
        <w:t>Toxicon</w:t>
      </w:r>
      <w:proofErr w:type="spellEnd"/>
      <w:r w:rsidRPr="0095262B">
        <w:rPr>
          <w:rStyle w:val="Emphasis"/>
          <w:rFonts w:ascii="Arial" w:hAnsi="Arial" w:cs="Arial"/>
          <w:sz w:val="20"/>
          <w:szCs w:val="20"/>
        </w:rPr>
        <w:t>, 41</w:t>
      </w:r>
      <w:r w:rsidRPr="0095262B">
        <w:rPr>
          <w:rFonts w:ascii="Arial" w:hAnsi="Arial" w:cs="Arial"/>
          <w:sz w:val="20"/>
          <w:szCs w:val="20"/>
        </w:rPr>
        <w:t>(7), 757–767. https://doi.org/10.1016/S0041-0101(03)00038-1</w:t>
      </w:r>
    </w:p>
    <w:p w14:paraId="667149C5" w14:textId="67C8E091" w:rsidR="00C36478" w:rsidRPr="00DA1D10" w:rsidRDefault="004A5D25" w:rsidP="00DA1D10">
      <w:pPr>
        <w:spacing w:before="100" w:beforeAutospacing="1" w:after="0" w:line="240" w:lineRule="auto"/>
        <w:jc w:val="both"/>
        <w:rPr>
          <w:rFonts w:ascii="Arial" w:eastAsia="Times New Roman" w:hAnsi="Arial" w:cs="Arial"/>
          <w:sz w:val="20"/>
          <w:szCs w:val="20"/>
        </w:rPr>
      </w:pPr>
      <w:r w:rsidRPr="00DA1D10">
        <w:rPr>
          <w:rFonts w:ascii="Arial" w:eastAsia="Times New Roman" w:hAnsi="Arial" w:cs="Arial"/>
          <w:sz w:val="20"/>
          <w:szCs w:val="20"/>
        </w:rPr>
        <w:t xml:space="preserve">Theakston, R. D. G., Laing, G. D., Freire, L., </w:t>
      </w:r>
      <w:proofErr w:type="spellStart"/>
      <w:r w:rsidRPr="00DA1D10">
        <w:rPr>
          <w:rFonts w:ascii="Arial" w:eastAsia="Times New Roman" w:hAnsi="Arial" w:cs="Arial"/>
          <w:sz w:val="20"/>
          <w:szCs w:val="20"/>
        </w:rPr>
        <w:t>Touzet</w:t>
      </w:r>
      <w:proofErr w:type="spellEnd"/>
      <w:r w:rsidRPr="00DA1D10">
        <w:rPr>
          <w:rFonts w:ascii="Arial" w:eastAsia="Times New Roman" w:hAnsi="Arial" w:cs="Arial"/>
          <w:sz w:val="20"/>
          <w:szCs w:val="20"/>
        </w:rPr>
        <w:t xml:space="preserve">, J. M., Vallejo, F., </w:t>
      </w:r>
      <w:proofErr w:type="spellStart"/>
      <w:r w:rsidRPr="00DA1D10">
        <w:rPr>
          <w:rFonts w:ascii="Arial" w:eastAsia="Times New Roman" w:hAnsi="Arial" w:cs="Arial"/>
          <w:sz w:val="20"/>
          <w:szCs w:val="20"/>
        </w:rPr>
        <w:t>Guderian</w:t>
      </w:r>
      <w:proofErr w:type="spellEnd"/>
      <w:r w:rsidRPr="00DA1D10">
        <w:rPr>
          <w:rFonts w:ascii="Arial" w:eastAsia="Times New Roman" w:hAnsi="Arial" w:cs="Arial"/>
          <w:sz w:val="20"/>
          <w:szCs w:val="20"/>
        </w:rPr>
        <w:t xml:space="preserve">, R. H., &amp; </w:t>
      </w:r>
      <w:proofErr w:type="spellStart"/>
      <w:r w:rsidRPr="00DA1D10">
        <w:rPr>
          <w:rFonts w:ascii="Arial" w:eastAsia="Times New Roman" w:hAnsi="Arial" w:cs="Arial"/>
          <w:sz w:val="20"/>
          <w:szCs w:val="20"/>
        </w:rPr>
        <w:t>Warrell</w:t>
      </w:r>
      <w:proofErr w:type="spellEnd"/>
      <w:r w:rsidRPr="00DA1D10">
        <w:rPr>
          <w:rFonts w:ascii="Arial" w:eastAsia="Times New Roman" w:hAnsi="Arial" w:cs="Arial"/>
          <w:sz w:val="20"/>
          <w:szCs w:val="20"/>
        </w:rPr>
        <w:t xml:space="preserve">, D. A. (1995). Treatment of snake bites by </w:t>
      </w:r>
      <w:proofErr w:type="spellStart"/>
      <w:r w:rsidRPr="00DA1D10">
        <w:rPr>
          <w:rFonts w:ascii="Arial" w:eastAsia="Times New Roman" w:hAnsi="Arial" w:cs="Arial"/>
          <w:sz w:val="20"/>
          <w:szCs w:val="20"/>
        </w:rPr>
        <w:t>Bothrops</w:t>
      </w:r>
      <w:proofErr w:type="spellEnd"/>
      <w:r w:rsidRPr="00DA1D10">
        <w:rPr>
          <w:rFonts w:ascii="Arial" w:eastAsia="Times New Roman" w:hAnsi="Arial" w:cs="Arial"/>
          <w:sz w:val="20"/>
          <w:szCs w:val="20"/>
        </w:rPr>
        <w:t xml:space="preserve"> species and Lachesis </w:t>
      </w:r>
      <w:proofErr w:type="spellStart"/>
      <w:r w:rsidRPr="00DA1D10">
        <w:rPr>
          <w:rFonts w:ascii="Arial" w:eastAsia="Times New Roman" w:hAnsi="Arial" w:cs="Arial"/>
          <w:sz w:val="20"/>
          <w:szCs w:val="20"/>
        </w:rPr>
        <w:t>muta</w:t>
      </w:r>
      <w:proofErr w:type="spellEnd"/>
      <w:r w:rsidRPr="00DA1D10">
        <w:rPr>
          <w:rFonts w:ascii="Arial" w:eastAsia="Times New Roman" w:hAnsi="Arial" w:cs="Arial"/>
          <w:sz w:val="20"/>
          <w:szCs w:val="20"/>
        </w:rPr>
        <w:t xml:space="preserve"> in Ecuador: laboratory screening of candidate antivenoms. Transactions of the Royal Society of Tropical Medicine and Hygiene, 89(5), 550–554. </w:t>
      </w:r>
      <w:hyperlink r:id="rId35" w:history="1">
        <w:r w:rsidRPr="00DA1D10">
          <w:rPr>
            <w:rStyle w:val="Hyperlink"/>
            <w:rFonts w:ascii="Arial" w:eastAsia="Times New Roman" w:hAnsi="Arial" w:cs="Arial"/>
            <w:sz w:val="20"/>
            <w:szCs w:val="20"/>
          </w:rPr>
          <w:t>https://doi.org/10.1016/0035-9203(95)90105-1</w:t>
        </w:r>
      </w:hyperlink>
      <w:r w:rsidRPr="00DA1D10">
        <w:rPr>
          <w:rFonts w:ascii="Arial" w:eastAsia="Times New Roman" w:hAnsi="Arial" w:cs="Arial"/>
          <w:sz w:val="20"/>
          <w:szCs w:val="20"/>
        </w:rPr>
        <w:t xml:space="preserve"> </w:t>
      </w:r>
      <w:r w:rsidR="00C36478" w:rsidRPr="00DA1D10">
        <w:rPr>
          <w:rFonts w:ascii="Arial" w:eastAsia="Times New Roman" w:hAnsi="Arial" w:cs="Arial"/>
          <w:sz w:val="20"/>
          <w:szCs w:val="20"/>
        </w:rPr>
        <w:t>.</w:t>
      </w:r>
    </w:p>
    <w:p w14:paraId="23280886" w14:textId="77777777" w:rsidR="00C36478" w:rsidRPr="00DA1D10" w:rsidRDefault="00C36478" w:rsidP="00DA1D10">
      <w:pPr>
        <w:spacing w:line="240" w:lineRule="auto"/>
        <w:jc w:val="both"/>
        <w:rPr>
          <w:rFonts w:ascii="Arial" w:hAnsi="Arial" w:cs="Arial"/>
          <w:sz w:val="20"/>
          <w:szCs w:val="20"/>
        </w:rPr>
      </w:pPr>
      <w:r w:rsidRPr="00DA1D10">
        <w:rPr>
          <w:rFonts w:ascii="Arial" w:hAnsi="Arial" w:cs="Arial"/>
          <w:sz w:val="20"/>
          <w:szCs w:val="20"/>
        </w:rPr>
        <w:t>Vishwanath, B. S., Gowda, T. V., &amp; Sarojini, K. S. (2013). Comparative enzymatic activities of PLA</w:t>
      </w:r>
      <w:r w:rsidRPr="00DA1D10">
        <w:rPr>
          <w:rFonts w:ascii="Cambria Math" w:hAnsi="Cambria Math" w:cs="Cambria Math"/>
          <w:sz w:val="20"/>
          <w:szCs w:val="20"/>
        </w:rPr>
        <w:t>₂</w:t>
      </w:r>
      <w:r w:rsidRPr="00DA1D10">
        <w:rPr>
          <w:rFonts w:ascii="Arial" w:hAnsi="Arial" w:cs="Arial"/>
          <w:sz w:val="20"/>
          <w:szCs w:val="20"/>
        </w:rPr>
        <w:t xml:space="preserve"> from the venom of various </w:t>
      </w:r>
      <w:proofErr w:type="spellStart"/>
      <w:r w:rsidRPr="00DA1D10">
        <w:rPr>
          <w:rFonts w:ascii="Arial" w:hAnsi="Arial" w:cs="Arial"/>
          <w:sz w:val="20"/>
          <w:szCs w:val="20"/>
        </w:rPr>
        <w:t>Naja</w:t>
      </w:r>
      <w:proofErr w:type="spellEnd"/>
      <w:r w:rsidRPr="00DA1D10">
        <w:rPr>
          <w:rFonts w:ascii="Arial" w:hAnsi="Arial" w:cs="Arial"/>
          <w:sz w:val="20"/>
          <w:szCs w:val="20"/>
        </w:rPr>
        <w:t xml:space="preserve"> species. </w:t>
      </w:r>
      <w:r w:rsidRPr="00DA1D10">
        <w:rPr>
          <w:rFonts w:ascii="Arial" w:hAnsi="Arial" w:cs="Arial"/>
          <w:i/>
          <w:sz w:val="20"/>
          <w:szCs w:val="20"/>
        </w:rPr>
        <w:t>Journal of Enzyme Inhibition and Medicinal Chemistry</w:t>
      </w:r>
      <w:r w:rsidRPr="00DA1D10">
        <w:rPr>
          <w:rFonts w:ascii="Arial" w:hAnsi="Arial" w:cs="Arial"/>
          <w:sz w:val="20"/>
          <w:szCs w:val="20"/>
        </w:rPr>
        <w:t>, 28(5), 862-868.</w:t>
      </w:r>
    </w:p>
    <w:p w14:paraId="51DBBD1E" w14:textId="7E7D3B17" w:rsidR="00C36478" w:rsidRPr="00DA1D10" w:rsidRDefault="007E2027" w:rsidP="00DA1D10">
      <w:pPr>
        <w:spacing w:before="100" w:beforeAutospacing="1" w:after="0" w:line="240" w:lineRule="auto"/>
        <w:jc w:val="both"/>
        <w:rPr>
          <w:rFonts w:ascii="Arial" w:eastAsia="Times New Roman" w:hAnsi="Arial" w:cs="Arial"/>
          <w:sz w:val="20"/>
          <w:szCs w:val="20"/>
        </w:rPr>
      </w:pPr>
      <w:r w:rsidRPr="00DA1D10">
        <w:rPr>
          <w:rFonts w:ascii="Arial" w:eastAsia="Times New Roman" w:hAnsi="Arial" w:cs="Arial"/>
          <w:sz w:val="20"/>
          <w:szCs w:val="20"/>
        </w:rPr>
        <w:lastRenderedPageBreak/>
        <w:t xml:space="preserve">World Health Organization. (2018). Addressing the burden of snakebite envenoming (Resolution WHA71.5) </w:t>
      </w:r>
      <w:hyperlink r:id="rId36" w:history="1">
        <w:r w:rsidRPr="00DA1D10">
          <w:rPr>
            <w:rStyle w:val="Hyperlink"/>
            <w:rFonts w:ascii="Arial" w:eastAsia="Times New Roman" w:hAnsi="Arial" w:cs="Arial"/>
            <w:sz w:val="20"/>
            <w:szCs w:val="20"/>
          </w:rPr>
          <w:t>https://apps.who.int/gb/ebwha/pdf_files/WHA71/A71_R5-en.pdf</w:t>
        </w:r>
      </w:hyperlink>
      <w:r w:rsidRPr="00DA1D10">
        <w:rPr>
          <w:rFonts w:ascii="Arial" w:eastAsia="Times New Roman" w:hAnsi="Arial" w:cs="Arial"/>
          <w:sz w:val="20"/>
          <w:szCs w:val="20"/>
        </w:rPr>
        <w:t xml:space="preserve"> </w:t>
      </w:r>
      <w:r w:rsidR="00C36478" w:rsidRPr="00DA1D10">
        <w:rPr>
          <w:rFonts w:ascii="Arial" w:eastAsia="Times New Roman" w:hAnsi="Arial" w:cs="Arial"/>
          <w:sz w:val="20"/>
          <w:szCs w:val="20"/>
        </w:rPr>
        <w:t>.</w:t>
      </w:r>
    </w:p>
    <w:p w14:paraId="75F309D4" w14:textId="77777777" w:rsidR="0095262B" w:rsidRPr="0095262B" w:rsidRDefault="0095262B" w:rsidP="0095262B">
      <w:pPr>
        <w:pStyle w:val="NormalWeb"/>
        <w:rPr>
          <w:rFonts w:ascii="Arial" w:hAnsi="Arial" w:cs="Arial"/>
        </w:rPr>
      </w:pPr>
    </w:p>
    <w:p w14:paraId="07CCF35E" w14:textId="77777777" w:rsidR="0095262B" w:rsidRPr="0095262B" w:rsidRDefault="0095262B" w:rsidP="0095262B">
      <w:pPr>
        <w:spacing w:before="100" w:beforeAutospacing="1" w:after="100" w:afterAutospacing="1" w:line="360" w:lineRule="auto"/>
        <w:jc w:val="both"/>
        <w:rPr>
          <w:rFonts w:ascii="Arial" w:eastAsia="Times New Roman" w:hAnsi="Arial" w:cs="Arial"/>
          <w:sz w:val="24"/>
          <w:szCs w:val="24"/>
        </w:rPr>
      </w:pPr>
    </w:p>
    <w:p w14:paraId="5CA11F9C" w14:textId="77777777" w:rsidR="0095262B" w:rsidRPr="0095262B" w:rsidRDefault="0095262B" w:rsidP="0095262B">
      <w:pPr>
        <w:spacing w:before="100" w:beforeAutospacing="1" w:after="100" w:afterAutospacing="1" w:line="360" w:lineRule="auto"/>
        <w:ind w:left="720" w:hanging="720"/>
        <w:jc w:val="both"/>
        <w:rPr>
          <w:rFonts w:ascii="Arial" w:eastAsia="Times New Roman" w:hAnsi="Arial" w:cs="Arial"/>
          <w:sz w:val="24"/>
          <w:szCs w:val="24"/>
        </w:rPr>
      </w:pPr>
    </w:p>
    <w:p w14:paraId="2C4681EF" w14:textId="77777777" w:rsidR="0095262B" w:rsidRPr="0095262B" w:rsidRDefault="0095262B" w:rsidP="0095262B">
      <w:pPr>
        <w:spacing w:before="100" w:beforeAutospacing="1" w:after="100" w:afterAutospacing="1" w:line="360" w:lineRule="auto"/>
        <w:ind w:left="720" w:hanging="720"/>
        <w:jc w:val="both"/>
        <w:rPr>
          <w:rFonts w:ascii="Arial" w:eastAsia="Times New Roman" w:hAnsi="Arial" w:cs="Arial"/>
          <w:sz w:val="24"/>
          <w:szCs w:val="24"/>
        </w:rPr>
      </w:pPr>
    </w:p>
    <w:p w14:paraId="27F374A2" w14:textId="77777777" w:rsidR="0095262B" w:rsidRPr="0095262B" w:rsidRDefault="0095262B" w:rsidP="0095262B">
      <w:pPr>
        <w:spacing w:before="100" w:beforeAutospacing="1" w:after="100" w:afterAutospacing="1" w:line="360" w:lineRule="auto"/>
        <w:ind w:left="720" w:hanging="720"/>
        <w:jc w:val="both"/>
        <w:rPr>
          <w:rFonts w:ascii="Arial" w:eastAsia="Times New Roman" w:hAnsi="Arial" w:cs="Arial"/>
          <w:sz w:val="24"/>
          <w:szCs w:val="24"/>
        </w:rPr>
      </w:pPr>
    </w:p>
    <w:p w14:paraId="41CE3747" w14:textId="77777777" w:rsidR="00277364" w:rsidRPr="0095262B" w:rsidRDefault="00277364">
      <w:pPr>
        <w:rPr>
          <w:rFonts w:ascii="Arial" w:hAnsi="Arial" w:cs="Arial"/>
        </w:rPr>
      </w:pPr>
    </w:p>
    <w:sectPr w:rsidR="00277364" w:rsidRPr="0095262B" w:rsidSect="00B11F1E">
      <w:headerReference w:type="even" r:id="rId37"/>
      <w:headerReference w:type="default" r:id="rId38"/>
      <w:footerReference w:type="even" r:id="rId39"/>
      <w:footerReference w:type="default" r:id="rId40"/>
      <w:headerReference w:type="first" r:id="rId41"/>
      <w:footerReference w:type="first" r:id="rId42"/>
      <w:pgSz w:w="11906" w:h="16838"/>
      <w:pgMar w:top="8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2FD9B" w14:textId="77777777" w:rsidR="00A06D64" w:rsidRDefault="00A06D64">
      <w:pPr>
        <w:spacing w:after="0" w:line="240" w:lineRule="auto"/>
      </w:pPr>
      <w:r>
        <w:separator/>
      </w:r>
    </w:p>
  </w:endnote>
  <w:endnote w:type="continuationSeparator" w:id="0">
    <w:p w14:paraId="31C11FE1" w14:textId="77777777" w:rsidR="00A06D64" w:rsidRDefault="00A06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5C0BB" w14:textId="77777777" w:rsidR="0029778B" w:rsidRDefault="002977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1899724"/>
      <w:docPartObj>
        <w:docPartGallery w:val="Page Numbers (Bottom of Page)"/>
        <w:docPartUnique/>
      </w:docPartObj>
    </w:sdtPr>
    <w:sdtEndPr>
      <w:rPr>
        <w:noProof/>
      </w:rPr>
    </w:sdtEndPr>
    <w:sdtContent>
      <w:p w14:paraId="681AA0BA" w14:textId="77777777" w:rsidR="00B11F1E" w:rsidRDefault="00B11F1E">
        <w:pPr>
          <w:pStyle w:val="Footer"/>
          <w:jc w:val="center"/>
        </w:pPr>
        <w:r>
          <w:fldChar w:fldCharType="begin"/>
        </w:r>
        <w:r>
          <w:instrText xml:space="preserve"> PAGE   \* MERGEFORMAT </w:instrText>
        </w:r>
        <w:r>
          <w:fldChar w:fldCharType="separate"/>
        </w:r>
        <w:r w:rsidR="00397A0A">
          <w:rPr>
            <w:noProof/>
          </w:rPr>
          <w:t>1</w:t>
        </w:r>
        <w:r>
          <w:rPr>
            <w:noProof/>
          </w:rPr>
          <w:fldChar w:fldCharType="end"/>
        </w:r>
      </w:p>
    </w:sdtContent>
  </w:sdt>
  <w:p w14:paraId="6094EE8A" w14:textId="77777777" w:rsidR="00B11F1E" w:rsidRDefault="00B11F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A84C6" w14:textId="77777777" w:rsidR="0029778B" w:rsidRDefault="002977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71CDB" w14:textId="77777777" w:rsidR="00A06D64" w:rsidRDefault="00A06D64">
      <w:pPr>
        <w:spacing w:after="0" w:line="240" w:lineRule="auto"/>
      </w:pPr>
      <w:r>
        <w:separator/>
      </w:r>
    </w:p>
  </w:footnote>
  <w:footnote w:type="continuationSeparator" w:id="0">
    <w:p w14:paraId="40A07A3D" w14:textId="77777777" w:rsidR="00A06D64" w:rsidRDefault="00A06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ADCE6" w14:textId="55877895" w:rsidR="0029778B" w:rsidRDefault="0029778B">
    <w:pPr>
      <w:pStyle w:val="Header"/>
    </w:pPr>
    <w:r>
      <w:rPr>
        <w:noProof/>
      </w:rPr>
      <w:pict w14:anchorId="24FE94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2572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7ECAE" w14:textId="5C2C73FD" w:rsidR="0029778B" w:rsidRDefault="0029778B">
    <w:pPr>
      <w:pStyle w:val="Header"/>
    </w:pPr>
    <w:r>
      <w:rPr>
        <w:noProof/>
      </w:rPr>
      <w:pict w14:anchorId="0BB28F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2572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DAE70" w14:textId="27882349" w:rsidR="0029778B" w:rsidRDefault="0029778B">
    <w:pPr>
      <w:pStyle w:val="Header"/>
    </w:pPr>
    <w:r>
      <w:rPr>
        <w:noProof/>
      </w:rPr>
      <w:pict w14:anchorId="4D1486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2572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922F4D"/>
    <w:multiLevelType w:val="hybridMultilevel"/>
    <w:tmpl w:val="A97097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5BB66B1"/>
    <w:multiLevelType w:val="hybridMultilevel"/>
    <w:tmpl w:val="31A62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7A5C"/>
    <w:rsid w:val="000301A5"/>
    <w:rsid w:val="000E7A65"/>
    <w:rsid w:val="000F2500"/>
    <w:rsid w:val="001157D3"/>
    <w:rsid w:val="0012002C"/>
    <w:rsid w:val="00132002"/>
    <w:rsid w:val="00161435"/>
    <w:rsid w:val="001A6290"/>
    <w:rsid w:val="001F15E4"/>
    <w:rsid w:val="002031A8"/>
    <w:rsid w:val="00276F4A"/>
    <w:rsid w:val="00277364"/>
    <w:rsid w:val="0029778B"/>
    <w:rsid w:val="002A549D"/>
    <w:rsid w:val="002C0FBB"/>
    <w:rsid w:val="002F371B"/>
    <w:rsid w:val="00303462"/>
    <w:rsid w:val="00397A0A"/>
    <w:rsid w:val="003B5E50"/>
    <w:rsid w:val="003C0405"/>
    <w:rsid w:val="003C1469"/>
    <w:rsid w:val="003F299D"/>
    <w:rsid w:val="004A5D25"/>
    <w:rsid w:val="004E63A7"/>
    <w:rsid w:val="005E7A5C"/>
    <w:rsid w:val="005E7B38"/>
    <w:rsid w:val="005F31F9"/>
    <w:rsid w:val="00733C68"/>
    <w:rsid w:val="007A75CD"/>
    <w:rsid w:val="007B37CC"/>
    <w:rsid w:val="007E2027"/>
    <w:rsid w:val="007F0557"/>
    <w:rsid w:val="007F3975"/>
    <w:rsid w:val="008D01DF"/>
    <w:rsid w:val="008E2978"/>
    <w:rsid w:val="008F6E04"/>
    <w:rsid w:val="0095262B"/>
    <w:rsid w:val="00976EB5"/>
    <w:rsid w:val="00985D5D"/>
    <w:rsid w:val="009D3F28"/>
    <w:rsid w:val="00A05967"/>
    <w:rsid w:val="00A06D64"/>
    <w:rsid w:val="00A21E65"/>
    <w:rsid w:val="00AA15AE"/>
    <w:rsid w:val="00AD4B76"/>
    <w:rsid w:val="00AE2561"/>
    <w:rsid w:val="00B11F1E"/>
    <w:rsid w:val="00B927AB"/>
    <w:rsid w:val="00BA35C7"/>
    <w:rsid w:val="00C23978"/>
    <w:rsid w:val="00C36478"/>
    <w:rsid w:val="00D202E0"/>
    <w:rsid w:val="00DA1D10"/>
    <w:rsid w:val="00E26F58"/>
    <w:rsid w:val="00EA7E13"/>
    <w:rsid w:val="00EC0B4C"/>
    <w:rsid w:val="00FA5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1A58BC"/>
  <w15:docId w15:val="{6F231F98-1481-413D-A0FE-4705A391B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262B"/>
    <w:pPr>
      <w:spacing w:after="160" w:line="259"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62B"/>
    <w:pPr>
      <w:ind w:left="720"/>
      <w:contextualSpacing/>
    </w:pPr>
    <w:rPr>
      <w:rFonts w:eastAsiaTheme="minorHAnsi"/>
      <w:lang w:eastAsia="en-US"/>
    </w:rPr>
  </w:style>
  <w:style w:type="paragraph" w:styleId="NormalWeb">
    <w:name w:val="Normal (Web)"/>
    <w:basedOn w:val="Normal"/>
    <w:uiPriority w:val="99"/>
    <w:unhideWhenUsed/>
    <w:rsid w:val="0095262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5262B"/>
    <w:rPr>
      <w:i/>
      <w:iCs/>
    </w:rPr>
  </w:style>
  <w:style w:type="character" w:styleId="Strong">
    <w:name w:val="Strong"/>
    <w:basedOn w:val="DefaultParagraphFont"/>
    <w:uiPriority w:val="22"/>
    <w:qFormat/>
    <w:rsid w:val="0095262B"/>
    <w:rPr>
      <w:b/>
      <w:bCs/>
    </w:rPr>
  </w:style>
  <w:style w:type="character" w:styleId="Hyperlink">
    <w:name w:val="Hyperlink"/>
    <w:basedOn w:val="DefaultParagraphFont"/>
    <w:uiPriority w:val="99"/>
    <w:unhideWhenUsed/>
    <w:rsid w:val="0095262B"/>
    <w:rPr>
      <w:color w:val="0000FF" w:themeColor="hyperlink"/>
      <w:u w:val="single"/>
    </w:rPr>
  </w:style>
  <w:style w:type="paragraph" w:styleId="Footer">
    <w:name w:val="footer"/>
    <w:basedOn w:val="Normal"/>
    <w:link w:val="FooterChar"/>
    <w:uiPriority w:val="99"/>
    <w:unhideWhenUsed/>
    <w:rsid w:val="00952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62B"/>
    <w:rPr>
      <w:rFonts w:eastAsiaTheme="minorEastAsia"/>
      <w:lang w:val="en-GB" w:eastAsia="en-GB"/>
    </w:rPr>
  </w:style>
  <w:style w:type="paragraph" w:styleId="BalloonText">
    <w:name w:val="Balloon Text"/>
    <w:basedOn w:val="Normal"/>
    <w:link w:val="BalloonTextChar"/>
    <w:uiPriority w:val="99"/>
    <w:semiHidden/>
    <w:unhideWhenUsed/>
    <w:rsid w:val="00952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62B"/>
    <w:rPr>
      <w:rFonts w:ascii="Tahoma" w:eastAsiaTheme="minorEastAsia" w:hAnsi="Tahoma" w:cs="Tahoma"/>
      <w:sz w:val="16"/>
      <w:szCs w:val="16"/>
      <w:lang w:val="en-GB" w:eastAsia="en-GB"/>
    </w:rPr>
  </w:style>
  <w:style w:type="character" w:styleId="UnresolvedMention">
    <w:name w:val="Unresolved Mention"/>
    <w:basedOn w:val="DefaultParagraphFont"/>
    <w:uiPriority w:val="99"/>
    <w:semiHidden/>
    <w:unhideWhenUsed/>
    <w:rsid w:val="00A05967"/>
    <w:rPr>
      <w:color w:val="605E5C"/>
      <w:shd w:val="clear" w:color="auto" w:fill="E1DFDD"/>
    </w:rPr>
  </w:style>
  <w:style w:type="paragraph" w:styleId="Header">
    <w:name w:val="header"/>
    <w:basedOn w:val="Normal"/>
    <w:link w:val="HeaderChar"/>
    <w:uiPriority w:val="99"/>
    <w:unhideWhenUsed/>
    <w:rsid w:val="002977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78B"/>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hyperlink" Target="https://doi.org/10.1038/379537a0" TargetMode="External"/><Relationship Id="rId26" Type="http://schemas.openxmlformats.org/officeDocument/2006/relationships/hyperlink" Target="https://doi.org/10.1016/j.toxicon.2003.11.002" TargetMode="External"/><Relationship Id="rId39" Type="http://schemas.openxmlformats.org/officeDocument/2006/relationships/footer" Target="footer1.xml"/><Relationship Id="rId21" Type="http://schemas.openxmlformats.org/officeDocument/2006/relationships/hyperlink" Target="https://doi.org/10.3390/toxins3121536" TargetMode="External"/><Relationship Id="rId34" Type="http://schemas.openxmlformats.org/officeDocument/2006/relationships/hyperlink" Target="https://doi.org/10.1016/j.toxicon.2004.02.001"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98/rspb.2009.0048" TargetMode="External"/><Relationship Id="rId20" Type="http://schemas.openxmlformats.org/officeDocument/2006/relationships/hyperlink" Target="https://doi.org/10.1038/nature04328" TargetMode="External"/><Relationship Id="rId29" Type="http://schemas.openxmlformats.org/officeDocument/2006/relationships/hyperlink" Target="https://www.rsisinternational.org/journals/ijrias/articles/a-suggestive-evaluation-and-review-on-the-synergy-of-renin-angiotensin-aldosterone-system-raas-and-immune-response-towards-covid-19/"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doi.org/10.1016/0041-0101(91)90085-2" TargetMode="External"/><Relationship Id="rId32" Type="http://schemas.openxmlformats.org/officeDocument/2006/relationships/hyperlink" Target="https://doi.org/10.1074/jbc.M610176200"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16/j.inhe.2010.08.001" TargetMode="External"/><Relationship Id="rId23" Type="http://schemas.openxmlformats.org/officeDocument/2006/relationships/hyperlink" Target="https://doi.org/10.3390/toxins8040093" TargetMode="External"/><Relationship Id="rId28" Type="http://schemas.openxmlformats.org/officeDocument/2006/relationships/hyperlink" Target="https://doi.org/10.2174/0929867323666161010163940" TargetMode="External"/><Relationship Id="rId36" Type="http://schemas.openxmlformats.org/officeDocument/2006/relationships/hyperlink" Target="https://apps.who.int/gb/ebwha/pdf_files/WHA71/A71_R5-en.pdf" TargetMode="External"/><Relationship Id="rId10" Type="http://schemas.openxmlformats.org/officeDocument/2006/relationships/image" Target="media/image2.png"/><Relationship Id="rId19" Type="http://schemas.openxmlformats.org/officeDocument/2006/relationships/hyperlink" Target="https://doi.org/10.1201/9781420008661.ch10" TargetMode="External"/><Relationship Id="rId31" Type="http://schemas.openxmlformats.org/officeDocument/2006/relationships/hyperlink" Target="https://doi.org/10.1016/j.toxicon.2004.04.001"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hart" Target="charts/chart4.xml"/><Relationship Id="rId22" Type="http://schemas.openxmlformats.org/officeDocument/2006/relationships/hyperlink" Target="https://doi.org/10.1016/0041-0101(91)90136-D" TargetMode="External"/><Relationship Id="rId27" Type="http://schemas.openxmlformats.org/officeDocument/2006/relationships/hyperlink" Target="https://doi.org/10.1016/0041-0101(89)90013-5" TargetMode="External"/><Relationship Id="rId30" Type="http://schemas.openxmlformats.org/officeDocument/2006/relationships/hyperlink" Target="https://doi.org/10.1016/j.jprot.2016.08.024" TargetMode="External"/><Relationship Id="rId35" Type="http://schemas.openxmlformats.org/officeDocument/2006/relationships/hyperlink" Target="https://doi.org/10.1016/0035-9203(95)90105-1"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chart" Target="charts/chart2.xml"/><Relationship Id="rId17" Type="http://schemas.openxmlformats.org/officeDocument/2006/relationships/hyperlink" Target="https://doi.org/10.1073/pnas.1405484111" TargetMode="External"/><Relationship Id="rId25" Type="http://schemas.openxmlformats.org/officeDocument/2006/relationships/hyperlink" Target="https://doi.org/10.1016/s0041-0101(02)00360-4" TargetMode="External"/><Relationship Id="rId33" Type="http://schemas.openxmlformats.org/officeDocument/2006/relationships/hyperlink" Target="https://doi.org/10.1126/science.2274785" TargetMode="External"/><Relationship Id="rId38"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bba\Desktop\Dissertation\Results\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bba\Desktop\Dissertation\Results\Temp.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bba\Desktop\Dissertation\Results\Activation%20energy.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Abba\Desktop\Dissertation\Results\Km%20Updat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603248650522457"/>
          <c:y val="6.5289442986293383E-2"/>
          <c:w val="0.78054478941427663"/>
          <c:h val="0.82137321376494588"/>
        </c:manualLayout>
      </c:layout>
      <c:lineChart>
        <c:grouping val="standard"/>
        <c:varyColors val="0"/>
        <c:ser>
          <c:idx val="0"/>
          <c:order val="0"/>
          <c:cat>
            <c:numRef>
              <c:f>Sheet1!$A$1:$A$6</c:f>
              <c:numCache>
                <c:formatCode>General</c:formatCode>
                <c:ptCount val="6"/>
                <c:pt idx="0">
                  <c:v>4</c:v>
                </c:pt>
                <c:pt idx="1">
                  <c:v>5</c:v>
                </c:pt>
                <c:pt idx="2">
                  <c:v>6</c:v>
                </c:pt>
                <c:pt idx="3">
                  <c:v>7</c:v>
                </c:pt>
                <c:pt idx="4">
                  <c:v>8</c:v>
                </c:pt>
                <c:pt idx="5">
                  <c:v>9</c:v>
                </c:pt>
              </c:numCache>
            </c:numRef>
          </c:cat>
          <c:val>
            <c:numRef>
              <c:f>Sheet1!$B$1:$B$6</c:f>
              <c:numCache>
                <c:formatCode>General</c:formatCode>
                <c:ptCount val="6"/>
                <c:pt idx="0">
                  <c:v>1.2E-4</c:v>
                </c:pt>
                <c:pt idx="1">
                  <c:v>1.4999999999999999E-4</c:v>
                </c:pt>
                <c:pt idx="2">
                  <c:v>2.2000000000000001E-4</c:v>
                </c:pt>
                <c:pt idx="3">
                  <c:v>2.5999999999999998E-4</c:v>
                </c:pt>
                <c:pt idx="4">
                  <c:v>3.2000000000000003E-4</c:v>
                </c:pt>
                <c:pt idx="5">
                  <c:v>1.4999999999999999E-4</c:v>
                </c:pt>
              </c:numCache>
            </c:numRef>
          </c:val>
          <c:smooth val="0"/>
          <c:extLst>
            <c:ext xmlns:c16="http://schemas.microsoft.com/office/drawing/2014/chart" uri="{C3380CC4-5D6E-409C-BE32-E72D297353CC}">
              <c16:uniqueId val="{00000000-A093-4745-A16B-E417D7B70273}"/>
            </c:ext>
          </c:extLst>
        </c:ser>
        <c:dLbls>
          <c:showLegendKey val="0"/>
          <c:showVal val="0"/>
          <c:showCatName val="0"/>
          <c:showSerName val="0"/>
          <c:showPercent val="0"/>
          <c:showBubbleSize val="0"/>
        </c:dLbls>
        <c:marker val="1"/>
        <c:smooth val="0"/>
        <c:axId val="202517504"/>
        <c:axId val="167797888"/>
      </c:lineChart>
      <c:catAx>
        <c:axId val="202517504"/>
        <c:scaling>
          <c:orientation val="minMax"/>
        </c:scaling>
        <c:delete val="0"/>
        <c:axPos val="b"/>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pH</a:t>
                </a:r>
              </a:p>
            </c:rich>
          </c:tx>
          <c:overlay val="0"/>
        </c:title>
        <c:numFmt formatCode="General" sourceLinked="1"/>
        <c:majorTickMark val="out"/>
        <c:minorTickMark val="none"/>
        <c:tickLblPos val="nextTo"/>
        <c:txPr>
          <a:bodyPr/>
          <a:lstStyle/>
          <a:p>
            <a:pPr>
              <a:defRPr>
                <a:solidFill>
                  <a:sysClr val="windowText" lastClr="000000"/>
                </a:solidFill>
                <a:latin typeface="Times New Roman" pitchFamily="18" charset="0"/>
                <a:cs typeface="Times New Roman" pitchFamily="18" charset="0"/>
              </a:defRPr>
            </a:pPr>
            <a:endParaRPr lang="en-US"/>
          </a:p>
        </c:txPr>
        <c:crossAx val="167797888"/>
        <c:crosses val="autoZero"/>
        <c:auto val="1"/>
        <c:lblAlgn val="ctr"/>
        <c:lblOffset val="100"/>
        <c:noMultiLvlLbl val="0"/>
      </c:catAx>
      <c:valAx>
        <c:axId val="167797888"/>
        <c:scaling>
          <c:orientation val="minMax"/>
        </c:scaling>
        <c:delete val="0"/>
        <c:axPos val="l"/>
        <c:title>
          <c:tx>
            <c:rich>
              <a:bodyPr rot="-5400000" vert="horz"/>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Acitvity(</a:t>
                </a:r>
                <a:r>
                  <a:rPr lang="en-US" sz="1200" b="1" i="0" u="none" strike="noStrike" kern="1200" baseline="0">
                    <a:solidFill>
                      <a:sysClr val="windowText" lastClr="000000"/>
                    </a:solidFill>
                    <a:latin typeface="Times New Roman" pitchFamily="18" charset="0"/>
                    <a:ea typeface="+mn-ea"/>
                    <a:cs typeface="Times New Roman" pitchFamily="18" charset="0"/>
                  </a:rPr>
                  <a:t>µmol</a:t>
                </a:r>
                <a:r>
                  <a:rPr lang="en-US" sz="1200">
                    <a:latin typeface="Times New Roman" pitchFamily="18" charset="0"/>
                    <a:cs typeface="Times New Roman" pitchFamily="18" charset="0"/>
                  </a:rPr>
                  <a:t>/min)</a:t>
                </a:r>
              </a:p>
            </c:rich>
          </c:tx>
          <c:layout>
            <c:manualLayout>
              <c:xMode val="edge"/>
              <c:yMode val="edge"/>
              <c:x val="2.072538860103627E-2"/>
              <c:y val="0.40377714149367694"/>
            </c:manualLayout>
          </c:layout>
          <c:overlay val="0"/>
        </c:title>
        <c:numFmt formatCode="General" sourceLinked="1"/>
        <c:majorTickMark val="out"/>
        <c:minorTickMark val="none"/>
        <c:tickLblPos val="nextTo"/>
        <c:txPr>
          <a:bodyPr/>
          <a:lstStyle/>
          <a:p>
            <a:pPr>
              <a:defRPr>
                <a:solidFill>
                  <a:sysClr val="windowText" lastClr="000000"/>
                </a:solidFill>
                <a:latin typeface="Times New Roman" pitchFamily="18" charset="0"/>
                <a:cs typeface="Times New Roman" pitchFamily="18" charset="0"/>
              </a:defRPr>
            </a:pPr>
            <a:endParaRPr lang="en-US"/>
          </a:p>
        </c:txPr>
        <c:crossAx val="20251750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cat>
            <c:numRef>
              <c:f>Sheet1!$A$1:$A$6</c:f>
              <c:numCache>
                <c:formatCode>General</c:formatCode>
                <c:ptCount val="6"/>
                <c:pt idx="0">
                  <c:v>40</c:v>
                </c:pt>
                <c:pt idx="1">
                  <c:v>50</c:v>
                </c:pt>
                <c:pt idx="2">
                  <c:v>60</c:v>
                </c:pt>
                <c:pt idx="3">
                  <c:v>70</c:v>
                </c:pt>
                <c:pt idx="4">
                  <c:v>80</c:v>
                </c:pt>
                <c:pt idx="5">
                  <c:v>90</c:v>
                </c:pt>
              </c:numCache>
            </c:numRef>
          </c:cat>
          <c:val>
            <c:numRef>
              <c:f>Sheet1!$B$1:$B$6</c:f>
              <c:numCache>
                <c:formatCode>General</c:formatCode>
                <c:ptCount val="6"/>
                <c:pt idx="0">
                  <c:v>2.4000000000000001E-4</c:v>
                </c:pt>
                <c:pt idx="1">
                  <c:v>2.5000000000000001E-4</c:v>
                </c:pt>
                <c:pt idx="2">
                  <c:v>4.0999999999999999E-4</c:v>
                </c:pt>
                <c:pt idx="3">
                  <c:v>1.7000000000000001E-4</c:v>
                </c:pt>
                <c:pt idx="4">
                  <c:v>1.4999999999999999E-4</c:v>
                </c:pt>
                <c:pt idx="5">
                  <c:v>1.2999999999999999E-4</c:v>
                </c:pt>
              </c:numCache>
            </c:numRef>
          </c:val>
          <c:smooth val="0"/>
          <c:extLst>
            <c:ext xmlns:c16="http://schemas.microsoft.com/office/drawing/2014/chart" uri="{C3380CC4-5D6E-409C-BE32-E72D297353CC}">
              <c16:uniqueId val="{00000000-9BF9-4569-BFC0-C763E8A98C17}"/>
            </c:ext>
          </c:extLst>
        </c:ser>
        <c:dLbls>
          <c:showLegendKey val="0"/>
          <c:showVal val="0"/>
          <c:showCatName val="0"/>
          <c:showSerName val="0"/>
          <c:showPercent val="0"/>
          <c:showBubbleSize val="0"/>
        </c:dLbls>
        <c:marker val="1"/>
        <c:smooth val="0"/>
        <c:axId val="167806080"/>
        <c:axId val="167808000"/>
      </c:lineChart>
      <c:catAx>
        <c:axId val="167806080"/>
        <c:scaling>
          <c:orientation val="minMax"/>
        </c:scaling>
        <c:delete val="0"/>
        <c:axPos val="b"/>
        <c:title>
          <c:tx>
            <c:rich>
              <a:bodyPr/>
              <a:lstStyle/>
              <a:p>
                <a:pPr>
                  <a:defRPr/>
                </a:pPr>
                <a:r>
                  <a:rPr lang="en-US" sz="1200">
                    <a:latin typeface="Times New Roman" pitchFamily="18" charset="0"/>
                    <a:cs typeface="Times New Roman" pitchFamily="18" charset="0"/>
                  </a:rPr>
                  <a:t>Temperature</a:t>
                </a:r>
                <a:r>
                  <a:rPr lang="en-US" sz="1200" baseline="0">
                    <a:latin typeface="Times New Roman" pitchFamily="18" charset="0"/>
                    <a:cs typeface="Times New Roman" pitchFamily="18" charset="0"/>
                  </a:rPr>
                  <a:t> (℃)</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solidFill>
                  <a:sysClr val="windowText" lastClr="000000"/>
                </a:solidFill>
                <a:latin typeface="Times New Roman" pitchFamily="18" charset="0"/>
                <a:cs typeface="Times New Roman" pitchFamily="18" charset="0"/>
              </a:defRPr>
            </a:pPr>
            <a:endParaRPr lang="en-US"/>
          </a:p>
        </c:txPr>
        <c:crossAx val="167808000"/>
        <c:crosses val="autoZero"/>
        <c:auto val="1"/>
        <c:lblAlgn val="ctr"/>
        <c:lblOffset val="100"/>
        <c:noMultiLvlLbl val="0"/>
      </c:catAx>
      <c:valAx>
        <c:axId val="167808000"/>
        <c:scaling>
          <c:orientation val="minMax"/>
        </c:scaling>
        <c:delete val="0"/>
        <c:axPos val="l"/>
        <c:title>
          <c:tx>
            <c:rich>
              <a:bodyPr rot="-5400000" vert="horz"/>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Activity(</a:t>
                </a:r>
                <a:r>
                  <a:rPr lang="en-US" sz="1200" b="1" i="0" u="none" strike="noStrike" kern="1200" baseline="0">
                    <a:solidFill>
                      <a:sysClr val="windowText" lastClr="000000"/>
                    </a:solidFill>
                    <a:latin typeface="Times New Roman" pitchFamily="18" charset="0"/>
                    <a:ea typeface="+mn-ea"/>
                    <a:cs typeface="Times New Roman" pitchFamily="18" charset="0"/>
                  </a:rPr>
                  <a:t>µmol</a:t>
                </a:r>
                <a:r>
                  <a:rPr lang="en-US" sz="1200">
                    <a:latin typeface="Times New Roman" pitchFamily="18" charset="0"/>
                    <a:cs typeface="Times New Roman" pitchFamily="18" charset="0"/>
                  </a:rPr>
                  <a:t>/min)</a:t>
                </a:r>
              </a:p>
            </c:rich>
          </c:tx>
          <c:overlay val="0"/>
        </c:title>
        <c:numFmt formatCode="General" sourceLinked="1"/>
        <c:majorTickMark val="out"/>
        <c:minorTickMark val="none"/>
        <c:tickLblPos val="nextTo"/>
        <c:txPr>
          <a:bodyPr/>
          <a:lstStyle/>
          <a:p>
            <a:pPr>
              <a:defRPr>
                <a:solidFill>
                  <a:sysClr val="windowText" lastClr="000000"/>
                </a:solidFill>
                <a:latin typeface="Times New Roman" pitchFamily="18" charset="0"/>
                <a:cs typeface="Times New Roman" pitchFamily="18" charset="0"/>
              </a:defRPr>
            </a:pPr>
            <a:endParaRPr lang="en-US"/>
          </a:p>
        </c:txPr>
        <c:crossAx val="167806080"/>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536351706036745"/>
          <c:y val="2.5749028206917175E-2"/>
          <c:w val="0.77925459317585299"/>
          <c:h val="0.73736635768630188"/>
        </c:manualLayout>
      </c:layout>
      <c:scatterChart>
        <c:scatterStyle val="lineMarker"/>
        <c:varyColors val="0"/>
        <c:ser>
          <c:idx val="0"/>
          <c:order val="0"/>
          <c:spPr>
            <a:ln w="28575">
              <a:noFill/>
            </a:ln>
          </c:spPr>
          <c:trendline>
            <c:trendlineType val="linear"/>
            <c:dispRSqr val="0"/>
            <c:dispEq val="1"/>
            <c:trendlineLbl>
              <c:numFmt formatCode="General" sourceLinked="0"/>
              <c:txPr>
                <a:bodyPr/>
                <a:lstStyle/>
                <a:p>
                  <a:pPr>
                    <a:defRPr>
                      <a:latin typeface="Times New Roman" pitchFamily="18" charset="0"/>
                      <a:cs typeface="Times New Roman" pitchFamily="18" charset="0"/>
                    </a:defRPr>
                  </a:pPr>
                  <a:endParaRPr lang="en-US"/>
                </a:p>
              </c:txPr>
            </c:trendlineLbl>
          </c:trendline>
          <c:xVal>
            <c:numRef>
              <c:f>Sheet1!$A$1:$A$6</c:f>
              <c:numCache>
                <c:formatCode>General</c:formatCode>
                <c:ptCount val="6"/>
                <c:pt idx="0">
                  <c:v>3.2000000000000002E-3</c:v>
                </c:pt>
                <c:pt idx="1">
                  <c:v>3.0999999999999999E-3</c:v>
                </c:pt>
                <c:pt idx="2">
                  <c:v>3.0000000000000001E-3</c:v>
                </c:pt>
                <c:pt idx="3">
                  <c:v>2.8999999999999998E-3</c:v>
                </c:pt>
                <c:pt idx="4">
                  <c:v>2.8E-3</c:v>
                </c:pt>
                <c:pt idx="5">
                  <c:v>2.8E-3</c:v>
                </c:pt>
              </c:numCache>
            </c:numRef>
          </c:xVal>
          <c:yVal>
            <c:numRef>
              <c:f>Sheet1!$B$1:$B$6</c:f>
              <c:numCache>
                <c:formatCode>General</c:formatCode>
                <c:ptCount val="6"/>
                <c:pt idx="0">
                  <c:v>3.62</c:v>
                </c:pt>
                <c:pt idx="1">
                  <c:v>3.6</c:v>
                </c:pt>
                <c:pt idx="2">
                  <c:v>3.39</c:v>
                </c:pt>
                <c:pt idx="3">
                  <c:v>3.77</c:v>
                </c:pt>
                <c:pt idx="4">
                  <c:v>3.82</c:v>
                </c:pt>
                <c:pt idx="5">
                  <c:v>3.89</c:v>
                </c:pt>
              </c:numCache>
            </c:numRef>
          </c:yVal>
          <c:smooth val="0"/>
          <c:extLst>
            <c:ext xmlns:c16="http://schemas.microsoft.com/office/drawing/2014/chart" uri="{C3380CC4-5D6E-409C-BE32-E72D297353CC}">
              <c16:uniqueId val="{00000001-E79C-4CFE-BB62-CC816FC03AD8}"/>
            </c:ext>
          </c:extLst>
        </c:ser>
        <c:dLbls>
          <c:showLegendKey val="0"/>
          <c:showVal val="0"/>
          <c:showCatName val="0"/>
          <c:showSerName val="0"/>
          <c:showPercent val="0"/>
          <c:showBubbleSize val="0"/>
        </c:dLbls>
        <c:axId val="167825408"/>
        <c:axId val="167827328"/>
      </c:scatterChart>
      <c:valAx>
        <c:axId val="167825408"/>
        <c:scaling>
          <c:orientation val="minMax"/>
        </c:scaling>
        <c:delete val="0"/>
        <c:axPos val="b"/>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1/T(K-1)</a:t>
                </a:r>
              </a:p>
            </c:rich>
          </c:tx>
          <c:layout>
            <c:manualLayout>
              <c:xMode val="edge"/>
              <c:yMode val="edge"/>
              <c:x val="0.46299781277340335"/>
              <c:y val="0.92034703995333922"/>
            </c:manualLayout>
          </c:layout>
          <c:overlay val="0"/>
        </c:title>
        <c:numFmt formatCode="General" sourceLinked="1"/>
        <c:majorTickMark val="out"/>
        <c:minorTickMark val="none"/>
        <c:tickLblPos val="nextTo"/>
        <c:txPr>
          <a:bodyPr/>
          <a:lstStyle/>
          <a:p>
            <a:pPr>
              <a:defRPr b="1">
                <a:latin typeface="Times New Roman" panose="02020603050405020304" pitchFamily="18" charset="0"/>
                <a:cs typeface="Times New Roman" panose="02020603050405020304" pitchFamily="18" charset="0"/>
              </a:defRPr>
            </a:pPr>
            <a:endParaRPr lang="en-US"/>
          </a:p>
        </c:txPr>
        <c:crossAx val="167827328"/>
        <c:crosses val="autoZero"/>
        <c:crossBetween val="midCat"/>
      </c:valAx>
      <c:valAx>
        <c:axId val="167827328"/>
        <c:scaling>
          <c:orientation val="minMax"/>
        </c:scaling>
        <c:delete val="0"/>
        <c:axPos val="l"/>
        <c:title>
          <c:tx>
            <c:rich>
              <a:bodyPr rot="-5400000" vert="horz"/>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Log 1/Vo</a:t>
                </a:r>
              </a:p>
            </c:rich>
          </c:tx>
          <c:layout>
            <c:manualLayout>
              <c:xMode val="edge"/>
              <c:yMode val="edge"/>
              <c:x val="1.6666666666666666E-2"/>
              <c:y val="0.31848571011956833"/>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67825408"/>
        <c:crosses val="autoZero"/>
        <c:crossBetween val="midCat"/>
      </c:valAx>
    </c:plotArea>
    <c:plotVisOnly val="1"/>
    <c:dispBlanksAs val="gap"/>
    <c:showDLblsOverMax val="0"/>
  </c:chart>
  <c:txPr>
    <a:bodyPr/>
    <a:lstStyle/>
    <a:p>
      <a:pPr>
        <a:defRPr b="1"/>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itchFamily="18" charset="0"/>
                <a:ea typeface="+mn-ea"/>
                <a:cs typeface="Times New Roman" pitchFamily="18" charset="0"/>
              </a:defRPr>
            </a:pPr>
            <a:r>
              <a:rPr lang="en-GB" b="0">
                <a:solidFill>
                  <a:sysClr val="windowText" lastClr="000000"/>
                </a:solidFill>
                <a:latin typeface="Times New Roman" pitchFamily="18" charset="0"/>
                <a:cs typeface="Times New Roman" pitchFamily="18" charset="0"/>
              </a:rPr>
              <a:t>Line-weaver burk</a:t>
            </a:r>
          </a:p>
        </c:rich>
      </c:tx>
      <c:overlay val="0"/>
      <c:spPr>
        <a:noFill/>
        <a:ln>
          <a:noFill/>
        </a:ln>
        <a:effectLst/>
      </c:spPr>
    </c:title>
    <c:autoTitleDeleted val="0"/>
    <c:plotArea>
      <c:layout>
        <c:manualLayout>
          <c:layoutTarget val="inner"/>
          <c:xMode val="edge"/>
          <c:yMode val="edge"/>
          <c:x val="6.4464995038845604E-2"/>
          <c:y val="0.12395433803126307"/>
          <c:w val="0.89429874771188655"/>
          <c:h val="0.79125018650466328"/>
        </c:manualLayout>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2700" cap="rnd">
                <a:solidFill>
                  <a:sysClr val="windowText" lastClr="000000"/>
                </a:solidFill>
                <a:prstDash val="solid"/>
              </a:ln>
              <a:effectLst/>
            </c:spPr>
            <c:trendlineType val="linear"/>
            <c:backward val="2"/>
            <c:dispRSqr val="1"/>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itchFamily="18" charset="0"/>
                      <a:ea typeface="+mn-ea"/>
                      <a:cs typeface="Times New Roman" pitchFamily="18" charset="0"/>
                    </a:defRPr>
                  </a:pPr>
                  <a:endParaRPr lang="en-US"/>
                </a:p>
              </c:txPr>
            </c:trendlineLbl>
          </c:trendline>
          <c:xVal>
            <c:numRef>
              <c:f>Sheet1!$C$1:$C$5</c:f>
              <c:numCache>
                <c:formatCode>0.0</c:formatCode>
                <c:ptCount val="5"/>
                <c:pt idx="0" formatCode="General">
                  <c:v>2</c:v>
                </c:pt>
                <c:pt idx="1">
                  <c:v>1.3333333333333333</c:v>
                </c:pt>
                <c:pt idx="2" formatCode="General">
                  <c:v>1</c:v>
                </c:pt>
                <c:pt idx="3" formatCode="General">
                  <c:v>0.8</c:v>
                </c:pt>
                <c:pt idx="4">
                  <c:v>0.66666666666666663</c:v>
                </c:pt>
              </c:numCache>
            </c:numRef>
          </c:xVal>
          <c:yVal>
            <c:numRef>
              <c:f>Sheet1!$D$1:$D$5</c:f>
              <c:numCache>
                <c:formatCode>General</c:formatCode>
                <c:ptCount val="5"/>
                <c:pt idx="0">
                  <c:v>32258.06451612903</c:v>
                </c:pt>
                <c:pt idx="1">
                  <c:v>21739.130434782608</c:v>
                </c:pt>
                <c:pt idx="2">
                  <c:v>18181.81818181818</c:v>
                </c:pt>
                <c:pt idx="3">
                  <c:v>16393.442622950821</c:v>
                </c:pt>
                <c:pt idx="4" formatCode="0">
                  <c:v>14705.882352941177</c:v>
                </c:pt>
              </c:numCache>
            </c:numRef>
          </c:yVal>
          <c:smooth val="0"/>
          <c:extLst>
            <c:ext xmlns:c16="http://schemas.microsoft.com/office/drawing/2014/chart" uri="{C3380CC4-5D6E-409C-BE32-E72D297353CC}">
              <c16:uniqueId val="{00000001-680F-4544-8A45-94AE28593640}"/>
            </c:ext>
          </c:extLst>
        </c:ser>
        <c:dLbls>
          <c:showLegendKey val="0"/>
          <c:showVal val="0"/>
          <c:showCatName val="0"/>
          <c:showSerName val="0"/>
          <c:showPercent val="0"/>
          <c:showBubbleSize val="0"/>
        </c:dLbls>
        <c:axId val="167844864"/>
        <c:axId val="167847040"/>
      </c:scatterChart>
      <c:valAx>
        <c:axId val="167844864"/>
        <c:scaling>
          <c:orientation val="minMax"/>
        </c:scaling>
        <c:delete val="0"/>
        <c:axPos val="b"/>
        <c:title>
          <c:tx>
            <c:rich>
              <a:bodyPr rot="0" spcFirstLastPara="1" vertOverflow="ellipsis" vert="horz" wrap="square" anchor="ctr" anchorCtr="1"/>
              <a:lstStyle/>
              <a:p>
                <a:pPr algn="ctr" rtl="0">
                  <a:defRPr sz="1200" b="0" i="0" u="none" strike="noStrike" kern="1200" baseline="0">
                    <a:solidFill>
                      <a:sysClr val="windowText" lastClr="000000"/>
                    </a:solidFill>
                    <a:latin typeface="Times New Roman" pitchFamily="18" charset="0"/>
                    <a:ea typeface="+mn-ea"/>
                    <a:cs typeface="Times New Roman" pitchFamily="18" charset="0"/>
                  </a:defRPr>
                </a:pPr>
                <a:r>
                  <a:rPr lang="en-US" sz="1200" b="0">
                    <a:solidFill>
                      <a:sysClr val="windowText" lastClr="000000"/>
                    </a:solidFill>
                    <a:latin typeface="Times New Roman" pitchFamily="18" charset="0"/>
                    <a:cs typeface="Times New Roman" pitchFamily="18" charset="0"/>
                  </a:rPr>
                  <a:t>1/[S</a:t>
                </a:r>
                <a:r>
                  <a:rPr lang="en-US" sz="900" b="0" baseline="-25000">
                    <a:solidFill>
                      <a:sysClr val="windowText" lastClr="000000"/>
                    </a:solidFill>
                    <a:latin typeface="Times New Roman" pitchFamily="18" charset="0"/>
                    <a:cs typeface="Times New Roman" pitchFamily="18" charset="0"/>
                  </a:rPr>
                  <a:t>O</a:t>
                </a:r>
                <a:r>
                  <a:rPr lang="en-US" sz="1200" b="0">
                    <a:solidFill>
                      <a:sysClr val="windowText" lastClr="000000"/>
                    </a:solidFill>
                    <a:latin typeface="Times New Roman" pitchFamily="18" charset="0"/>
                    <a:cs typeface="Times New Roman" pitchFamily="18" charset="0"/>
                  </a:rPr>
                  <a:t>]mg/ml</a:t>
                </a:r>
                <a:endParaRPr lang="en-GB" sz="1200" b="0">
                  <a:solidFill>
                    <a:sysClr val="windowText" lastClr="000000"/>
                  </a:solidFill>
                  <a:latin typeface="Times New Roman" pitchFamily="18" charset="0"/>
                  <a:cs typeface="Times New Roman" pitchFamily="18" charset="0"/>
                </a:endParaRPr>
              </a:p>
            </c:rich>
          </c:tx>
          <c:layout>
            <c:manualLayout>
              <c:xMode val="edge"/>
              <c:yMode val="edge"/>
              <c:x val="0.57609964325804552"/>
              <c:y val="0.8375611742346494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itchFamily="18" charset="0"/>
                <a:ea typeface="+mn-ea"/>
                <a:cs typeface="Times New Roman" pitchFamily="18" charset="0"/>
              </a:defRPr>
            </a:pPr>
            <a:endParaRPr lang="en-US"/>
          </a:p>
        </c:txPr>
        <c:crossAx val="167847040"/>
        <c:crosses val="autoZero"/>
        <c:crossBetween val="midCat"/>
      </c:valAx>
      <c:valAx>
        <c:axId val="167847040"/>
        <c:scaling>
          <c:orientation val="minMax"/>
        </c:scaling>
        <c:delete val="0"/>
        <c:axPos val="l"/>
        <c:title>
          <c:tx>
            <c:rich>
              <a:bodyPr rot="-5400000" spcFirstLastPara="1" vertOverflow="ellipsis" vert="horz" wrap="square" anchor="ctr" anchorCtr="1"/>
              <a:lstStyle/>
              <a:p>
                <a:pPr algn="ctr" rtl="0">
                  <a:defRPr sz="1200" b="0" i="0" u="none" strike="noStrike" kern="1200" baseline="0">
                    <a:solidFill>
                      <a:sysClr val="windowText" lastClr="000000"/>
                    </a:solidFill>
                    <a:latin typeface="Times New Roman" pitchFamily="18" charset="0"/>
                    <a:ea typeface="+mn-ea"/>
                    <a:cs typeface="Times New Roman" pitchFamily="18" charset="0"/>
                  </a:defRPr>
                </a:pPr>
                <a:r>
                  <a:rPr lang="en-US" sz="1200" b="0">
                    <a:solidFill>
                      <a:sysClr val="windowText" lastClr="000000"/>
                    </a:solidFill>
                    <a:latin typeface="Times New Roman" pitchFamily="18" charset="0"/>
                    <a:cs typeface="Times New Roman" pitchFamily="18" charset="0"/>
                  </a:rPr>
                  <a:t>1/V</a:t>
                </a:r>
                <a:r>
                  <a:rPr lang="en-US" sz="800" b="0" baseline="-25000">
                    <a:solidFill>
                      <a:sysClr val="windowText" lastClr="000000"/>
                    </a:solidFill>
                    <a:latin typeface="Times New Roman" pitchFamily="18" charset="0"/>
                    <a:cs typeface="Times New Roman" pitchFamily="18" charset="0"/>
                  </a:rPr>
                  <a:t>O</a:t>
                </a:r>
                <a:r>
                  <a:rPr lang="en-US" sz="1200" b="0">
                    <a:solidFill>
                      <a:sysClr val="windowText" lastClr="000000"/>
                    </a:solidFill>
                    <a:latin typeface="Times New Roman" pitchFamily="18" charset="0"/>
                    <a:cs typeface="Times New Roman" pitchFamily="18" charset="0"/>
                  </a:rPr>
                  <a:t>(</a:t>
                </a:r>
                <a:r>
                  <a:rPr lang="en-US" sz="1200" b="0" i="0" u="none" strike="noStrike" kern="1200" baseline="0">
                    <a:solidFill>
                      <a:sysClr val="windowText" lastClr="000000"/>
                    </a:solidFill>
                    <a:latin typeface="Times New Roman" pitchFamily="18" charset="0"/>
                    <a:ea typeface="+mn-ea"/>
                    <a:cs typeface="Times New Roman" pitchFamily="18" charset="0"/>
                  </a:rPr>
                  <a:t>µmol</a:t>
                </a:r>
                <a:r>
                  <a:rPr lang="en-US" sz="1200" b="0">
                    <a:solidFill>
                      <a:sysClr val="windowText" lastClr="000000"/>
                    </a:solidFill>
                    <a:latin typeface="Times New Roman" pitchFamily="18" charset="0"/>
                    <a:cs typeface="Times New Roman" pitchFamily="18" charset="0"/>
                  </a:rPr>
                  <a:t>/min)</a:t>
                </a:r>
                <a:endParaRPr lang="en-GB" sz="1200" b="0">
                  <a:solidFill>
                    <a:sysClr val="windowText" lastClr="000000"/>
                  </a:solidFill>
                  <a:latin typeface="Times New Roman" pitchFamily="18" charset="0"/>
                  <a:cs typeface="Times New Roman" pitchFamily="18" charset="0"/>
                </a:endParaRPr>
              </a:p>
            </c:rich>
          </c:tx>
          <c:layout>
            <c:manualLayout>
              <c:xMode val="edge"/>
              <c:yMode val="edge"/>
              <c:x val="0.11919946622297488"/>
              <c:y val="0.2341648184494058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itchFamily="18" charset="0"/>
                <a:ea typeface="+mn-ea"/>
                <a:cs typeface="Times New Roman" pitchFamily="18" charset="0"/>
              </a:defRPr>
            </a:pPr>
            <a:endParaRPr lang="en-US"/>
          </a:p>
        </c:txPr>
        <c:crossAx val="16784486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pPr>
      <a:endParaRPr lang="en-US"/>
    </a:p>
  </c:txPr>
  <c:externalData r:id="rId1">
    <c:autoUpdate val="0"/>
  </c:externalData>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3.png"/></Relationships>
</file>

<file path=word/drawings/_rels/drawing2.xml.rels><?xml version="1.0" encoding="UTF-8" standalone="yes"?>
<Relationships xmlns="http://schemas.openxmlformats.org/package/2006/relationships"><Relationship Id="rId1" Type="http://schemas.openxmlformats.org/officeDocument/2006/relationships/image" Target="../media/image4.png"/></Relationships>
</file>

<file path=word/drawings/drawing1.xml><?xml version="1.0" encoding="utf-8"?>
<c:userShapes xmlns:c="http://schemas.openxmlformats.org/drawingml/2006/chart">
  <cdr:relSizeAnchor xmlns:cdr="http://schemas.openxmlformats.org/drawingml/2006/chartDrawing">
    <cdr:from>
      <cdr:x>0.67083</cdr:x>
      <cdr:y>0.11709</cdr:y>
    </cdr:from>
    <cdr:to>
      <cdr:x>0.90205</cdr:x>
      <cdr:y>0.18354</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067050" y="352425"/>
          <a:ext cx="1057143" cy="200000"/>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0.68684</cdr:x>
      <cdr:y>0.00252</cdr:y>
    </cdr:from>
    <cdr:to>
      <cdr:x>0.99838</cdr:x>
      <cdr:y>0.11781</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4036503" y="9525"/>
          <a:ext cx="1830897" cy="435960"/>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1E69B-66FC-47B7-9217-40BB6C19D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15</Pages>
  <Words>4920</Words>
  <Characters>28047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Engr Mustapha</dc:creator>
  <cp:lastModifiedBy>SDI 1084</cp:lastModifiedBy>
  <cp:revision>42</cp:revision>
  <dcterms:created xsi:type="dcterms:W3CDTF">2025-12-08T10:46:00Z</dcterms:created>
  <dcterms:modified xsi:type="dcterms:W3CDTF">2025-12-10T08:08:00Z</dcterms:modified>
</cp:coreProperties>
</file>