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A6336" w14:textId="77777777" w:rsidR="00803459" w:rsidRPr="00803459" w:rsidRDefault="00803459" w:rsidP="00803459">
      <w:pPr>
        <w:jc w:val="right"/>
        <w:rPr>
          <w:rFonts w:ascii="Arial" w:hAnsi="Arial" w:cs="Arial"/>
          <w:b/>
          <w:bCs/>
          <w:i/>
          <w:sz w:val="28"/>
          <w:szCs w:val="20"/>
          <w:u w:val="single"/>
        </w:rPr>
      </w:pPr>
      <w:r w:rsidRPr="00803459">
        <w:rPr>
          <w:rFonts w:ascii="Arial" w:hAnsi="Arial" w:cs="Arial"/>
          <w:b/>
          <w:bCs/>
          <w:i/>
          <w:sz w:val="28"/>
          <w:szCs w:val="20"/>
          <w:u w:val="single"/>
        </w:rPr>
        <w:t xml:space="preserve">Case report </w:t>
      </w:r>
    </w:p>
    <w:p w14:paraId="25AE5CC6" w14:textId="6BDE89CF" w:rsidR="0067751E" w:rsidRDefault="0067751E" w:rsidP="00154280">
      <w:pPr>
        <w:jc w:val="both"/>
        <w:rPr>
          <w:rFonts w:ascii="Arial" w:hAnsi="Arial" w:cs="Arial"/>
          <w:b/>
          <w:bCs/>
          <w:sz w:val="20"/>
          <w:szCs w:val="20"/>
        </w:rPr>
      </w:pPr>
      <w:r w:rsidRPr="00EF5F4B">
        <w:rPr>
          <w:rFonts w:ascii="Arial" w:hAnsi="Arial" w:cs="Arial"/>
          <w:b/>
          <w:bCs/>
          <w:sz w:val="20"/>
          <w:szCs w:val="20"/>
        </w:rPr>
        <w:t xml:space="preserve">Renal Spectrum of </w:t>
      </w:r>
      <w:proofErr w:type="spellStart"/>
      <w:r w:rsidRPr="00EF5F4B">
        <w:rPr>
          <w:rFonts w:ascii="Arial" w:hAnsi="Arial" w:cs="Arial"/>
          <w:b/>
          <w:bCs/>
          <w:sz w:val="20"/>
          <w:szCs w:val="20"/>
        </w:rPr>
        <w:t>Sjögren’s</w:t>
      </w:r>
      <w:proofErr w:type="spellEnd"/>
      <w:r w:rsidRPr="00EF5F4B">
        <w:rPr>
          <w:rFonts w:ascii="Arial" w:hAnsi="Arial" w:cs="Arial"/>
          <w:b/>
          <w:bCs/>
          <w:sz w:val="20"/>
          <w:szCs w:val="20"/>
        </w:rPr>
        <w:t xml:space="preserve"> Syndrome: A Case of Secondary Membranous Nephropathy</w:t>
      </w:r>
    </w:p>
    <w:p w14:paraId="54A92427" w14:textId="198A322A" w:rsidR="00803459" w:rsidRDefault="00803459" w:rsidP="00154280">
      <w:pPr>
        <w:jc w:val="both"/>
        <w:rPr>
          <w:rFonts w:ascii="Arial" w:hAnsi="Arial" w:cs="Arial"/>
          <w:b/>
          <w:bCs/>
          <w:sz w:val="20"/>
          <w:szCs w:val="20"/>
        </w:rPr>
      </w:pPr>
    </w:p>
    <w:p w14:paraId="65B332EC" w14:textId="77777777" w:rsidR="005E6795" w:rsidRPr="00EF5F4B" w:rsidRDefault="005E6795" w:rsidP="00154280">
      <w:pPr>
        <w:jc w:val="both"/>
        <w:rPr>
          <w:rFonts w:ascii="Arial" w:hAnsi="Arial" w:cs="Arial"/>
          <w:b/>
          <w:bCs/>
          <w:sz w:val="20"/>
          <w:szCs w:val="20"/>
        </w:rPr>
      </w:pPr>
    </w:p>
    <w:p w14:paraId="651B8095" w14:textId="77777777" w:rsidR="00EF5F4B" w:rsidRPr="00EF5F4B" w:rsidRDefault="00EF5F4B" w:rsidP="00EF5F4B">
      <w:pPr>
        <w:spacing w:before="100" w:beforeAutospacing="1" w:after="100" w:afterAutospacing="1" w:line="240" w:lineRule="auto"/>
        <w:jc w:val="both"/>
        <w:outlineLvl w:val="2"/>
        <w:rPr>
          <w:rFonts w:ascii="Arial" w:eastAsia="Times New Roman" w:hAnsi="Arial" w:cs="Arial"/>
          <w:b/>
          <w:bCs/>
          <w:kern w:val="0"/>
          <w:sz w:val="20"/>
          <w:szCs w:val="20"/>
          <w:lang w:val="en-US" w:eastAsia="en-IN"/>
          <w14:ligatures w14:val="none"/>
        </w:rPr>
      </w:pPr>
      <w:r w:rsidRPr="00EF5F4B">
        <w:rPr>
          <w:rFonts w:ascii="Arial" w:eastAsia="Times New Roman" w:hAnsi="Arial" w:cs="Arial"/>
          <w:b/>
          <w:bCs/>
          <w:kern w:val="0"/>
          <w:sz w:val="20"/>
          <w:szCs w:val="20"/>
          <w:lang w:val="en-US" w:eastAsia="en-IN"/>
          <w14:ligatures w14:val="none"/>
        </w:rPr>
        <w:t>Abstract</w:t>
      </w:r>
    </w:p>
    <w:p w14:paraId="6B20C44B" w14:textId="5B75FA4B" w:rsidR="00EF5F4B" w:rsidRPr="00EF5F4B" w:rsidRDefault="00EF5F4B" w:rsidP="00EF5F4B">
      <w:pPr>
        <w:spacing w:before="100" w:beforeAutospacing="1" w:after="100" w:afterAutospacing="1" w:line="240" w:lineRule="auto"/>
        <w:jc w:val="both"/>
        <w:outlineLvl w:val="2"/>
        <w:rPr>
          <w:rFonts w:ascii="Arial" w:eastAsia="Times New Roman" w:hAnsi="Arial" w:cs="Arial"/>
          <w:kern w:val="0"/>
          <w:sz w:val="20"/>
          <w:szCs w:val="20"/>
          <w:lang w:val="en-US" w:eastAsia="en-IN"/>
          <w14:ligatures w14:val="none"/>
        </w:rPr>
      </w:pPr>
      <w:r w:rsidRPr="00EF5F4B">
        <w:rPr>
          <w:rFonts w:ascii="Arial" w:eastAsia="Times New Roman" w:hAnsi="Arial" w:cs="Arial"/>
          <w:kern w:val="0"/>
          <w:sz w:val="20"/>
          <w:szCs w:val="20"/>
          <w:lang w:val="en-US" w:eastAsia="en-IN"/>
          <w14:ligatures w14:val="none"/>
        </w:rPr>
        <w:t xml:space="preserve">Sjögren’s syndrome (SS) is a systemic autoimmune disease primarily affecting exocrine glands, but with potential multisystem involvement. Renal manifestations are uncommon and most frequently present as tubulointerstitial nephritis, while glomerular disease is rare. We report a case of a 19-year-old female with primary Sjögren’s syndrome who presented with nephrotic-range proteinuria, anasarca, and acute kidney injury severe enough to require renal replacement therapy. She also had classical sicca symptoms, arthralgia, and serological positivity for anti-SSA and anti-SSB antibodies. </w:t>
      </w:r>
      <w:r w:rsidRPr="000F4793">
        <w:rPr>
          <w:rFonts w:ascii="Arial" w:eastAsia="Times New Roman" w:hAnsi="Arial" w:cs="Arial"/>
          <w:kern w:val="0"/>
          <w:sz w:val="20"/>
          <w:szCs w:val="20"/>
          <w:lang w:val="en-US" w:eastAsia="en-IN"/>
          <w14:ligatures w14:val="none"/>
        </w:rPr>
        <w:t>R</w:t>
      </w:r>
      <w:r w:rsidRPr="00EF5F4B">
        <w:rPr>
          <w:rFonts w:ascii="Arial" w:eastAsia="Times New Roman" w:hAnsi="Arial" w:cs="Arial"/>
          <w:kern w:val="0"/>
          <w:sz w:val="20"/>
          <w:szCs w:val="20"/>
          <w:lang w:val="en-US" w:eastAsia="en-IN"/>
          <w14:ligatures w14:val="none"/>
        </w:rPr>
        <w:t>enal biopsy demonstrated membranous nephropathy with diffuse capillary wall thickening and granular IgG1/IgG4 deposition. Immunohistochemistry and serology were negative for known membranous nephropathy antigens, including PLA2R, THSD7A, NELL-1, and EXT1, supporting a diagnosis of secondary membranous nephropathy associated with Sjögren’s syndrome. Treatment with corticosteroids and mycophenolate mofetil resulted in significant improvement in renal function and proteinuria, with the patient becoming dialysis-independent. This case highlights an unusual renal manifestation of Sjögren’s syndrome in a young patient and underscores the importance of renal biopsy for accurate diagnosis, even when systemic disease activity appears modest. It also raises the possibility of yet unidentified antigenic targets in Sjögren’s syndrome–associated membranous nephropathy.</w:t>
      </w:r>
    </w:p>
    <w:p w14:paraId="3EB40E89" w14:textId="7BBD42D9" w:rsidR="00EF5F4B" w:rsidRPr="00EF5F4B" w:rsidRDefault="00EF5F4B" w:rsidP="00EF5F4B">
      <w:pPr>
        <w:spacing w:before="100" w:beforeAutospacing="1" w:after="100" w:afterAutospacing="1" w:line="240" w:lineRule="auto"/>
        <w:jc w:val="both"/>
        <w:outlineLvl w:val="2"/>
        <w:rPr>
          <w:rFonts w:ascii="Arial" w:eastAsia="Times New Roman" w:hAnsi="Arial" w:cs="Arial"/>
          <w:b/>
          <w:bCs/>
          <w:kern w:val="0"/>
          <w:sz w:val="20"/>
          <w:szCs w:val="20"/>
          <w:lang w:val="en-US" w:eastAsia="en-IN"/>
          <w14:ligatures w14:val="none"/>
        </w:rPr>
      </w:pPr>
      <w:proofErr w:type="gramStart"/>
      <w:r w:rsidRPr="00EF5F4B">
        <w:rPr>
          <w:rFonts w:ascii="Arial" w:eastAsia="Times New Roman" w:hAnsi="Arial" w:cs="Arial"/>
          <w:b/>
          <w:bCs/>
          <w:kern w:val="0"/>
          <w:sz w:val="20"/>
          <w:szCs w:val="20"/>
          <w:lang w:val="en-US" w:eastAsia="en-IN"/>
          <w14:ligatures w14:val="none"/>
        </w:rPr>
        <w:t xml:space="preserve">Keywords </w:t>
      </w:r>
      <w:r w:rsidR="00D11DA7">
        <w:rPr>
          <w:rFonts w:ascii="Arial" w:eastAsia="Times New Roman" w:hAnsi="Arial" w:cs="Arial"/>
          <w:b/>
          <w:bCs/>
          <w:kern w:val="0"/>
          <w:sz w:val="20"/>
          <w:szCs w:val="20"/>
          <w:lang w:val="en-US" w:eastAsia="en-IN"/>
          <w14:ligatures w14:val="none"/>
        </w:rPr>
        <w:t>:</w:t>
      </w:r>
      <w:proofErr w:type="gramEnd"/>
      <w:r w:rsidR="00D11DA7">
        <w:rPr>
          <w:rFonts w:ascii="Arial" w:eastAsia="Times New Roman" w:hAnsi="Arial" w:cs="Arial"/>
          <w:b/>
          <w:bCs/>
          <w:kern w:val="0"/>
          <w:sz w:val="20"/>
          <w:szCs w:val="20"/>
          <w:lang w:val="en-US" w:eastAsia="en-IN"/>
          <w14:ligatures w14:val="none"/>
        </w:rPr>
        <w:t xml:space="preserve"> </w:t>
      </w:r>
      <w:proofErr w:type="spellStart"/>
      <w:r w:rsidRPr="00EF5F4B">
        <w:rPr>
          <w:rFonts w:ascii="Arial" w:eastAsia="Times New Roman" w:hAnsi="Arial" w:cs="Arial"/>
          <w:b/>
          <w:bCs/>
          <w:kern w:val="0"/>
          <w:sz w:val="20"/>
          <w:szCs w:val="20"/>
          <w:lang w:val="en-US" w:eastAsia="en-IN"/>
          <w14:ligatures w14:val="none"/>
        </w:rPr>
        <w:t>Sjögren’s</w:t>
      </w:r>
      <w:proofErr w:type="spellEnd"/>
      <w:r w:rsidRPr="00EF5F4B">
        <w:rPr>
          <w:rFonts w:ascii="Arial" w:eastAsia="Times New Roman" w:hAnsi="Arial" w:cs="Arial"/>
          <w:b/>
          <w:bCs/>
          <w:kern w:val="0"/>
          <w:sz w:val="20"/>
          <w:szCs w:val="20"/>
          <w:lang w:val="en-US" w:eastAsia="en-IN"/>
          <w14:ligatures w14:val="none"/>
        </w:rPr>
        <w:t xml:space="preserve"> syndrome, Renal involvement, Nephrotic syndrome, Membranous nephropathy</w:t>
      </w:r>
    </w:p>
    <w:p w14:paraId="6DC6DF94" w14:textId="6822E4D7" w:rsidR="00EF5F4B" w:rsidRPr="00EF5F4B" w:rsidRDefault="00EF5F4B" w:rsidP="00EF5F4B">
      <w:pPr>
        <w:spacing w:before="100" w:beforeAutospacing="1" w:after="100" w:afterAutospacing="1" w:line="240" w:lineRule="auto"/>
        <w:jc w:val="both"/>
        <w:outlineLvl w:val="2"/>
        <w:rPr>
          <w:rFonts w:ascii="Arial" w:eastAsia="Times New Roman" w:hAnsi="Arial" w:cs="Arial"/>
          <w:b/>
          <w:bCs/>
          <w:kern w:val="0"/>
          <w:sz w:val="20"/>
          <w:szCs w:val="20"/>
          <w:lang w:val="en-US" w:eastAsia="en-IN"/>
          <w14:ligatures w14:val="none"/>
        </w:rPr>
      </w:pPr>
      <w:proofErr w:type="gramStart"/>
      <w:r w:rsidRPr="00EF5F4B">
        <w:rPr>
          <w:rFonts w:ascii="Arial" w:eastAsia="Times New Roman" w:hAnsi="Arial" w:cs="Arial"/>
          <w:b/>
          <w:bCs/>
          <w:kern w:val="0"/>
          <w:sz w:val="20"/>
          <w:szCs w:val="20"/>
          <w:lang w:eastAsia="en-IN"/>
          <w14:ligatures w14:val="none"/>
        </w:rPr>
        <w:t>Introduction</w:t>
      </w:r>
      <w:r w:rsidRPr="00EF5F4B">
        <w:rPr>
          <w:rFonts w:ascii="Arial" w:hAnsi="Arial" w:cs="Arial"/>
          <w:b/>
          <w:bCs/>
          <w:sz w:val="20"/>
          <w:szCs w:val="20"/>
        </w:rPr>
        <w:t xml:space="preserve"> :</w:t>
      </w:r>
      <w:proofErr w:type="gramEnd"/>
    </w:p>
    <w:p w14:paraId="3A2A86E6" w14:textId="1CB0C9E3" w:rsidR="0067751E" w:rsidRPr="00EF5F4B" w:rsidRDefault="0067751E" w:rsidP="00154280">
      <w:pPr>
        <w:jc w:val="both"/>
        <w:rPr>
          <w:rFonts w:ascii="Arial" w:hAnsi="Arial" w:cs="Arial"/>
          <w:sz w:val="20"/>
          <w:szCs w:val="20"/>
        </w:rPr>
      </w:pPr>
      <w:r w:rsidRPr="00EF5F4B">
        <w:rPr>
          <w:rFonts w:ascii="Arial" w:hAnsi="Arial" w:cs="Arial"/>
          <w:sz w:val="20"/>
          <w:szCs w:val="20"/>
        </w:rPr>
        <w:t xml:space="preserve">Sjögren’s syndrome (SS) is an autoimmune </w:t>
      </w:r>
      <w:proofErr w:type="spellStart"/>
      <w:r w:rsidRPr="00EF5F4B">
        <w:rPr>
          <w:rFonts w:ascii="Arial" w:hAnsi="Arial" w:cs="Arial"/>
          <w:sz w:val="20"/>
          <w:szCs w:val="20"/>
        </w:rPr>
        <w:t>exocrinopathy</w:t>
      </w:r>
      <w:proofErr w:type="spellEnd"/>
      <w:r w:rsidRPr="00EF5F4B">
        <w:rPr>
          <w:rFonts w:ascii="Arial" w:hAnsi="Arial" w:cs="Arial"/>
          <w:sz w:val="20"/>
          <w:szCs w:val="20"/>
        </w:rPr>
        <w:t xml:space="preserve"> marked by lymphocytic infiltration of salivary and lacrimal glands, giving rise to xerostomia and keratoconjunctivitis sicca</w:t>
      </w:r>
      <w:r w:rsidR="003652E2" w:rsidRPr="00EF5F4B">
        <w:rPr>
          <w:rFonts w:ascii="Arial" w:hAnsi="Arial" w:cs="Arial"/>
          <w:sz w:val="20"/>
          <w:szCs w:val="20"/>
        </w:rPr>
        <w:t xml:space="preserve"> .SS is associated with remarkable B-cell hyperactivity manifested as hypergammaglobulinemia and the presence of serum autoantibodies like antinuclear antibodies, rheumatoid factor, </w:t>
      </w:r>
      <w:proofErr w:type="spellStart"/>
      <w:r w:rsidR="003652E2" w:rsidRPr="00EF5F4B">
        <w:rPr>
          <w:rFonts w:ascii="Arial" w:hAnsi="Arial" w:cs="Arial"/>
          <w:sz w:val="20"/>
          <w:szCs w:val="20"/>
        </w:rPr>
        <w:t>cryoprecipitable</w:t>
      </w:r>
      <w:proofErr w:type="spellEnd"/>
      <w:r w:rsidR="003652E2" w:rsidRPr="00EF5F4B">
        <w:rPr>
          <w:rFonts w:ascii="Arial" w:hAnsi="Arial" w:cs="Arial"/>
          <w:sz w:val="20"/>
          <w:szCs w:val="20"/>
        </w:rPr>
        <w:t xml:space="preserve"> immunoglobulins and antibodies against two </w:t>
      </w:r>
      <w:r w:rsidR="007F3A1D" w:rsidRPr="00EF5F4B">
        <w:rPr>
          <w:rFonts w:ascii="Arial" w:hAnsi="Arial" w:cs="Arial"/>
          <w:sz w:val="20"/>
          <w:szCs w:val="20"/>
        </w:rPr>
        <w:t>ribonucleoprotein</w:t>
      </w:r>
      <w:r w:rsidR="003652E2" w:rsidRPr="00EF5F4B">
        <w:rPr>
          <w:rFonts w:ascii="Arial" w:hAnsi="Arial" w:cs="Arial"/>
          <w:sz w:val="20"/>
          <w:szCs w:val="20"/>
        </w:rPr>
        <w:t xml:space="preserve"> complexes named Ro/SSA and La/SSB which are the hallmarks of the disease.</w:t>
      </w:r>
      <w:r w:rsidRPr="00EF5F4B">
        <w:rPr>
          <w:rFonts w:ascii="Arial" w:hAnsi="Arial" w:cs="Arial"/>
          <w:sz w:val="20"/>
          <w:szCs w:val="20"/>
        </w:rPr>
        <w:t xml:space="preserve"> </w:t>
      </w:r>
      <w:r w:rsidR="003652E2" w:rsidRPr="00EF5F4B">
        <w:rPr>
          <w:rFonts w:ascii="Arial" w:hAnsi="Arial" w:cs="Arial"/>
          <w:sz w:val="20"/>
          <w:szCs w:val="20"/>
        </w:rPr>
        <w:t>Although Sj</w:t>
      </w:r>
      <w:r w:rsidR="00F450C1" w:rsidRPr="00EF5F4B">
        <w:rPr>
          <w:rFonts w:ascii="Arial" w:hAnsi="Arial" w:cs="Arial"/>
          <w:sz w:val="20"/>
          <w:szCs w:val="20"/>
        </w:rPr>
        <w:t>o</w:t>
      </w:r>
      <w:r w:rsidR="003652E2" w:rsidRPr="00EF5F4B">
        <w:rPr>
          <w:rFonts w:ascii="Arial" w:hAnsi="Arial" w:cs="Arial"/>
          <w:sz w:val="20"/>
          <w:szCs w:val="20"/>
        </w:rPr>
        <w:t>gren’s syndrome predominantly affects the exocrine glands, presenting with xerostomia and keratoconjunctivitis sicca, it is a systemic autoimmune disease with potential involvement of virtually any organ system. Renal involvement is relatively uncommon, affecting about 5 % of SS patients, and typically manifests as tubulointerstitial nephritis (TIN)</w:t>
      </w:r>
      <w:r w:rsidR="003652E2" w:rsidRPr="00EF5F4B">
        <w:rPr>
          <w:rFonts w:ascii="Arial" w:hAnsi="Arial" w:cs="Arial"/>
          <w:sz w:val="20"/>
          <w:szCs w:val="20"/>
          <w:vertAlign w:val="superscript"/>
        </w:rPr>
        <w:t>1</w:t>
      </w:r>
      <w:r w:rsidR="003652E2" w:rsidRPr="00EF5F4B">
        <w:rPr>
          <w:rFonts w:ascii="Arial" w:hAnsi="Arial" w:cs="Arial"/>
          <w:sz w:val="20"/>
          <w:szCs w:val="20"/>
        </w:rPr>
        <w:t>.</w:t>
      </w:r>
      <w:r w:rsidR="00E63D4A" w:rsidRPr="00EF5F4B">
        <w:rPr>
          <w:rFonts w:ascii="Arial" w:hAnsi="Arial" w:cs="Arial"/>
          <w:sz w:val="20"/>
          <w:szCs w:val="20"/>
        </w:rPr>
        <w:t xml:space="preserve"> </w:t>
      </w:r>
      <w:r w:rsidRPr="00EF5F4B">
        <w:rPr>
          <w:rFonts w:ascii="Arial" w:hAnsi="Arial" w:cs="Arial"/>
          <w:sz w:val="20"/>
          <w:szCs w:val="20"/>
        </w:rPr>
        <w:t>Membranous nephropathy in SS is rarely reported but carries important prognostic implications. Herein, we present a case of secondary membranous nephropathy in a patient with</w:t>
      </w:r>
      <w:r w:rsidR="00E63D4A" w:rsidRPr="00EF5F4B">
        <w:rPr>
          <w:rFonts w:ascii="Arial" w:hAnsi="Arial" w:cs="Arial"/>
          <w:sz w:val="20"/>
          <w:szCs w:val="20"/>
        </w:rPr>
        <w:t xml:space="preserve"> primary</w:t>
      </w:r>
      <w:r w:rsidRPr="00EF5F4B">
        <w:rPr>
          <w:rFonts w:ascii="Arial" w:hAnsi="Arial" w:cs="Arial"/>
          <w:sz w:val="20"/>
          <w:szCs w:val="20"/>
        </w:rPr>
        <w:t xml:space="preserve"> SS.</w:t>
      </w:r>
    </w:p>
    <w:p w14:paraId="6CA0D2A2" w14:textId="77777777" w:rsidR="00E24229" w:rsidRPr="00EF5F4B" w:rsidRDefault="00E24229" w:rsidP="00154280">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EF5F4B">
        <w:rPr>
          <w:rFonts w:ascii="Arial" w:eastAsia="Times New Roman" w:hAnsi="Arial" w:cs="Arial"/>
          <w:b/>
          <w:bCs/>
          <w:kern w:val="0"/>
          <w:sz w:val="20"/>
          <w:szCs w:val="20"/>
          <w:lang w:eastAsia="en-IN"/>
          <w14:ligatures w14:val="none"/>
        </w:rPr>
        <w:t>Case Report</w:t>
      </w:r>
    </w:p>
    <w:p w14:paraId="4ADCA0C6" w14:textId="2ED189BF" w:rsidR="00E24229" w:rsidRPr="00EF5F4B" w:rsidRDefault="00E24229" w:rsidP="00154280">
      <w:pPr>
        <w:spacing w:before="100" w:beforeAutospacing="1" w:after="100" w:afterAutospacing="1" w:line="240" w:lineRule="auto"/>
        <w:jc w:val="both"/>
        <w:rPr>
          <w:rFonts w:ascii="Arial" w:eastAsia="Times New Roman" w:hAnsi="Arial" w:cs="Arial"/>
          <w:b/>
          <w:bCs/>
          <w:kern w:val="0"/>
          <w:sz w:val="20"/>
          <w:szCs w:val="20"/>
          <w:lang w:val="en-US" w:eastAsia="en-IN"/>
          <w14:ligatures w14:val="none"/>
        </w:rPr>
      </w:pPr>
      <w:r w:rsidRPr="00EF5F4B">
        <w:rPr>
          <w:rFonts w:ascii="Arial" w:eastAsia="Times New Roman" w:hAnsi="Arial" w:cs="Arial"/>
          <w:kern w:val="0"/>
          <w:sz w:val="20"/>
          <w:szCs w:val="20"/>
          <w:lang w:eastAsia="en-IN"/>
          <w14:ligatures w14:val="none"/>
        </w:rPr>
        <w:t xml:space="preserve">A 19-year-old nulliparous female </w:t>
      </w:r>
      <w:r w:rsidR="00AE0F09" w:rsidRPr="00EF5F4B">
        <w:rPr>
          <w:rFonts w:ascii="Arial" w:eastAsia="Times New Roman" w:hAnsi="Arial" w:cs="Arial"/>
          <w:kern w:val="0"/>
          <w:sz w:val="20"/>
          <w:szCs w:val="20"/>
          <w:lang w:eastAsia="en-IN"/>
          <w14:ligatures w14:val="none"/>
        </w:rPr>
        <w:t>who is non hypertensive non diabetic presented</w:t>
      </w:r>
      <w:r w:rsidR="00764DC3" w:rsidRPr="00EF5F4B">
        <w:rPr>
          <w:rFonts w:ascii="Arial" w:eastAsia="Times New Roman" w:hAnsi="Arial" w:cs="Arial"/>
          <w:kern w:val="0"/>
          <w:sz w:val="20"/>
          <w:szCs w:val="20"/>
          <w:lang w:eastAsia="en-IN"/>
          <w14:ligatures w14:val="none"/>
        </w:rPr>
        <w:t xml:space="preserve"> with</w:t>
      </w:r>
      <w:r w:rsidRPr="00EF5F4B">
        <w:rPr>
          <w:rFonts w:ascii="Arial" w:eastAsia="Times New Roman" w:hAnsi="Arial" w:cs="Arial"/>
          <w:kern w:val="0"/>
          <w:sz w:val="20"/>
          <w:szCs w:val="20"/>
          <w:lang w:eastAsia="en-IN"/>
          <w14:ligatures w14:val="none"/>
        </w:rPr>
        <w:t xml:space="preserve"> generalized </w:t>
      </w:r>
      <w:r w:rsidR="006B17E0" w:rsidRPr="00EF5F4B">
        <w:rPr>
          <w:rFonts w:ascii="Arial" w:eastAsia="Times New Roman" w:hAnsi="Arial" w:cs="Arial"/>
          <w:kern w:val="0"/>
          <w:sz w:val="20"/>
          <w:szCs w:val="20"/>
          <w:lang w:eastAsia="en-IN"/>
          <w14:ligatures w14:val="none"/>
        </w:rPr>
        <w:t>o</w:t>
      </w:r>
      <w:r w:rsidRPr="00EF5F4B">
        <w:rPr>
          <w:rFonts w:ascii="Arial" w:eastAsia="Times New Roman" w:hAnsi="Arial" w:cs="Arial"/>
          <w:kern w:val="0"/>
          <w:sz w:val="20"/>
          <w:szCs w:val="20"/>
          <w:lang w:eastAsia="en-IN"/>
          <w14:ligatures w14:val="none"/>
        </w:rPr>
        <w:t>edema</w:t>
      </w:r>
      <w:r w:rsidR="00AE0F09" w:rsidRPr="00EF5F4B">
        <w:rPr>
          <w:rFonts w:ascii="Arial" w:eastAsia="Times New Roman" w:hAnsi="Arial" w:cs="Arial"/>
          <w:kern w:val="0"/>
          <w:sz w:val="20"/>
          <w:szCs w:val="20"/>
          <w:lang w:eastAsia="en-IN"/>
          <w14:ligatures w14:val="none"/>
        </w:rPr>
        <w:t xml:space="preserve">, </w:t>
      </w:r>
      <w:r w:rsidRPr="00EF5F4B">
        <w:rPr>
          <w:rFonts w:ascii="Arial" w:eastAsia="Times New Roman" w:hAnsi="Arial" w:cs="Arial"/>
          <w:kern w:val="0"/>
          <w:sz w:val="20"/>
          <w:szCs w:val="20"/>
          <w:lang w:eastAsia="en-IN"/>
          <w14:ligatures w14:val="none"/>
        </w:rPr>
        <w:t>nephrotic-range proteinuria (urine ACR 8,200 mg/g) and oliguria. Eight months prior to her current admission</w:t>
      </w:r>
      <w:r w:rsidR="00AE0F09" w:rsidRPr="00EF5F4B">
        <w:rPr>
          <w:rFonts w:ascii="Arial" w:eastAsia="Times New Roman" w:hAnsi="Arial" w:cs="Arial"/>
          <w:kern w:val="0"/>
          <w:sz w:val="20"/>
          <w:szCs w:val="20"/>
          <w:lang w:eastAsia="en-IN"/>
          <w14:ligatures w14:val="none"/>
        </w:rPr>
        <w:t xml:space="preserve"> she had similar complaints of anasarca and </w:t>
      </w:r>
      <w:r w:rsidRPr="00EF5F4B">
        <w:rPr>
          <w:rFonts w:ascii="Arial" w:eastAsia="Times New Roman" w:hAnsi="Arial" w:cs="Arial"/>
          <w:kern w:val="0"/>
          <w:sz w:val="20"/>
          <w:szCs w:val="20"/>
          <w:lang w:eastAsia="en-IN"/>
          <w14:ligatures w14:val="none"/>
        </w:rPr>
        <w:t xml:space="preserve">was hospitalized and managed with intravenous albumin and diuretics. A renal biopsy performed at that time was inadequate, as only light microscopy was available, and was empirically interpreted as a non-proliferative glomerulopathy. She was started on corticosteroids and tacrolimus, along with diuretics for </w:t>
      </w:r>
      <w:r w:rsidR="00764DC3" w:rsidRPr="00EF5F4B">
        <w:rPr>
          <w:rFonts w:ascii="Arial" w:eastAsia="Times New Roman" w:hAnsi="Arial" w:cs="Arial"/>
          <w:kern w:val="0"/>
          <w:sz w:val="20"/>
          <w:szCs w:val="20"/>
          <w:lang w:eastAsia="en-IN"/>
          <w14:ligatures w14:val="none"/>
        </w:rPr>
        <w:t>o</w:t>
      </w:r>
      <w:r w:rsidRPr="00EF5F4B">
        <w:rPr>
          <w:rFonts w:ascii="Arial" w:eastAsia="Times New Roman" w:hAnsi="Arial" w:cs="Arial"/>
          <w:kern w:val="0"/>
          <w:sz w:val="20"/>
          <w:szCs w:val="20"/>
          <w:lang w:eastAsia="en-IN"/>
          <w14:ligatures w14:val="none"/>
        </w:rPr>
        <w:t xml:space="preserve">edema control, with partial improvement in swelling. However, she was lost to follow-up after two months of therapy. Six months later, she presented again with generalized </w:t>
      </w:r>
      <w:r w:rsidR="002A421A" w:rsidRPr="00EF5F4B">
        <w:rPr>
          <w:rFonts w:ascii="Arial" w:eastAsia="Times New Roman" w:hAnsi="Arial" w:cs="Arial"/>
          <w:kern w:val="0"/>
          <w:sz w:val="20"/>
          <w:szCs w:val="20"/>
          <w:lang w:eastAsia="en-IN"/>
          <w14:ligatures w14:val="none"/>
        </w:rPr>
        <w:t>oe</w:t>
      </w:r>
      <w:r w:rsidRPr="00EF5F4B">
        <w:rPr>
          <w:rFonts w:ascii="Arial" w:eastAsia="Times New Roman" w:hAnsi="Arial" w:cs="Arial"/>
          <w:kern w:val="0"/>
          <w:sz w:val="20"/>
          <w:szCs w:val="20"/>
          <w:lang w:eastAsia="en-IN"/>
          <w14:ligatures w14:val="none"/>
        </w:rPr>
        <w:t>dema (anasarca) and oliguria, accompanied by fatigue, arthralgia, ocular grittiness</w:t>
      </w:r>
      <w:r w:rsidR="00AE0F09" w:rsidRPr="00EF5F4B">
        <w:rPr>
          <w:rFonts w:ascii="Arial" w:eastAsia="Times New Roman" w:hAnsi="Arial" w:cs="Arial"/>
          <w:kern w:val="0"/>
          <w:sz w:val="20"/>
          <w:szCs w:val="20"/>
          <w:lang w:eastAsia="en-IN"/>
          <w14:ligatures w14:val="none"/>
        </w:rPr>
        <w:t xml:space="preserve"> and dryness in both eyes</w:t>
      </w:r>
      <w:r w:rsidRPr="00EF5F4B">
        <w:rPr>
          <w:rFonts w:ascii="Arial" w:eastAsia="Times New Roman" w:hAnsi="Arial" w:cs="Arial"/>
          <w:kern w:val="0"/>
          <w:sz w:val="20"/>
          <w:szCs w:val="20"/>
          <w:lang w:eastAsia="en-IN"/>
          <w14:ligatures w14:val="none"/>
        </w:rPr>
        <w:t>, xerostomia requiring frequent sips of water, and vaginal dryness with dyspareunia. There was no history suggestive of other systemic connective tissue disease.</w:t>
      </w:r>
      <w:r w:rsidR="00E63D4A" w:rsidRPr="00EF5F4B">
        <w:rPr>
          <w:rFonts w:ascii="Arial" w:eastAsia="Times New Roman" w:hAnsi="Arial" w:cs="Arial"/>
          <w:kern w:val="0"/>
          <w:sz w:val="20"/>
          <w:szCs w:val="20"/>
          <w:lang w:eastAsia="en-IN"/>
          <w14:ligatures w14:val="none"/>
        </w:rPr>
        <w:t xml:space="preserve"> </w:t>
      </w:r>
      <w:r w:rsidRPr="00EF5F4B">
        <w:rPr>
          <w:rFonts w:ascii="Arial" w:eastAsia="Times New Roman" w:hAnsi="Arial" w:cs="Arial"/>
          <w:kern w:val="0"/>
          <w:sz w:val="20"/>
          <w:szCs w:val="20"/>
          <w:lang w:eastAsia="en-IN"/>
          <w14:ligatures w14:val="none"/>
        </w:rPr>
        <w:t xml:space="preserve">On examination, she was normotensive with marked </w:t>
      </w:r>
      <w:r w:rsidR="006B17E0" w:rsidRPr="00EF5F4B">
        <w:rPr>
          <w:rFonts w:ascii="Arial" w:eastAsia="Times New Roman" w:hAnsi="Arial" w:cs="Arial"/>
          <w:kern w:val="0"/>
          <w:sz w:val="20"/>
          <w:szCs w:val="20"/>
          <w:lang w:eastAsia="en-IN"/>
          <w14:ligatures w14:val="none"/>
        </w:rPr>
        <w:t>peripheral o</w:t>
      </w:r>
      <w:r w:rsidRPr="00EF5F4B">
        <w:rPr>
          <w:rFonts w:ascii="Arial" w:eastAsia="Times New Roman" w:hAnsi="Arial" w:cs="Arial"/>
          <w:kern w:val="0"/>
          <w:sz w:val="20"/>
          <w:szCs w:val="20"/>
          <w:lang w:eastAsia="en-IN"/>
          <w14:ligatures w14:val="none"/>
        </w:rPr>
        <w:t>edema</w:t>
      </w:r>
      <w:r w:rsidR="006B17E0" w:rsidRPr="00EF5F4B">
        <w:rPr>
          <w:rFonts w:ascii="Arial" w:eastAsia="Times New Roman" w:hAnsi="Arial" w:cs="Arial"/>
          <w:kern w:val="0"/>
          <w:sz w:val="20"/>
          <w:szCs w:val="20"/>
          <w:lang w:eastAsia="en-IN"/>
          <w14:ligatures w14:val="none"/>
        </w:rPr>
        <w:t>, ascites and pleural effusion</w:t>
      </w:r>
      <w:r w:rsidR="00AE0F09" w:rsidRPr="00EF5F4B">
        <w:rPr>
          <w:rFonts w:ascii="Arial" w:eastAsia="Times New Roman" w:hAnsi="Arial" w:cs="Arial"/>
          <w:kern w:val="0"/>
          <w:sz w:val="20"/>
          <w:szCs w:val="20"/>
          <w:lang w:eastAsia="en-IN"/>
          <w14:ligatures w14:val="none"/>
        </w:rPr>
        <w:t xml:space="preserve">. </w:t>
      </w:r>
      <w:r w:rsidRPr="00EF5F4B">
        <w:rPr>
          <w:rFonts w:ascii="Arial" w:eastAsia="Times New Roman" w:hAnsi="Arial" w:cs="Arial"/>
          <w:kern w:val="0"/>
          <w:sz w:val="20"/>
          <w:szCs w:val="20"/>
          <w:lang w:eastAsia="en-IN"/>
          <w14:ligatures w14:val="none"/>
        </w:rPr>
        <w:t xml:space="preserve">Ophthalmologic evaluation confirmed keratoconjunctivitis sicca (tear film breakup time: 9 s </w:t>
      </w:r>
      <w:r w:rsidRPr="00EF5F4B">
        <w:rPr>
          <w:rFonts w:ascii="Arial" w:eastAsia="Times New Roman" w:hAnsi="Arial" w:cs="Arial"/>
          <w:kern w:val="0"/>
          <w:sz w:val="20"/>
          <w:szCs w:val="20"/>
          <w:lang w:eastAsia="en-IN"/>
          <w14:ligatures w14:val="none"/>
        </w:rPr>
        <w:lastRenderedPageBreak/>
        <w:t>right</w:t>
      </w:r>
      <w:r w:rsidR="006B17E0" w:rsidRPr="00EF5F4B">
        <w:rPr>
          <w:rFonts w:ascii="Arial" w:eastAsia="Times New Roman" w:hAnsi="Arial" w:cs="Arial"/>
          <w:kern w:val="0"/>
          <w:sz w:val="20"/>
          <w:szCs w:val="20"/>
          <w:lang w:eastAsia="en-IN"/>
          <w14:ligatures w14:val="none"/>
        </w:rPr>
        <w:t xml:space="preserve"> eye</w:t>
      </w:r>
      <w:r w:rsidRPr="00EF5F4B">
        <w:rPr>
          <w:rFonts w:ascii="Arial" w:eastAsia="Times New Roman" w:hAnsi="Arial" w:cs="Arial"/>
          <w:kern w:val="0"/>
          <w:sz w:val="20"/>
          <w:szCs w:val="20"/>
          <w:lang w:eastAsia="en-IN"/>
          <w14:ligatures w14:val="none"/>
        </w:rPr>
        <w:t>, 8 s left</w:t>
      </w:r>
      <w:r w:rsidR="006B17E0" w:rsidRPr="00EF5F4B">
        <w:rPr>
          <w:rFonts w:ascii="Arial" w:eastAsia="Times New Roman" w:hAnsi="Arial" w:cs="Arial"/>
          <w:kern w:val="0"/>
          <w:sz w:val="20"/>
          <w:szCs w:val="20"/>
          <w:lang w:eastAsia="en-IN"/>
          <w14:ligatures w14:val="none"/>
        </w:rPr>
        <w:t xml:space="preserve"> eye</w:t>
      </w:r>
      <w:r w:rsidRPr="00EF5F4B">
        <w:rPr>
          <w:rFonts w:ascii="Arial" w:eastAsia="Times New Roman" w:hAnsi="Arial" w:cs="Arial"/>
          <w:kern w:val="0"/>
          <w:sz w:val="20"/>
          <w:szCs w:val="20"/>
          <w:lang w:eastAsia="en-IN"/>
          <w14:ligatures w14:val="none"/>
        </w:rPr>
        <w:t>) and a positive Schirmer’s</w:t>
      </w:r>
      <w:r w:rsidR="007F3A1D" w:rsidRPr="00EF5F4B">
        <w:rPr>
          <w:rFonts w:ascii="Arial" w:eastAsia="Times New Roman" w:hAnsi="Arial" w:cs="Arial"/>
          <w:kern w:val="0"/>
          <w:sz w:val="20"/>
          <w:szCs w:val="20"/>
          <w:lang w:eastAsia="en-IN"/>
          <w14:ligatures w14:val="none"/>
        </w:rPr>
        <w:t xml:space="preserve"> </w:t>
      </w:r>
      <w:r w:rsidRPr="00EF5F4B">
        <w:rPr>
          <w:rFonts w:ascii="Arial" w:eastAsia="Times New Roman" w:hAnsi="Arial" w:cs="Arial"/>
          <w:kern w:val="0"/>
          <w:sz w:val="20"/>
          <w:szCs w:val="20"/>
          <w:lang w:eastAsia="en-IN"/>
          <w14:ligatures w14:val="none"/>
        </w:rPr>
        <w:t>test</w:t>
      </w:r>
      <w:r w:rsidR="007F3A1D" w:rsidRPr="00EF5F4B">
        <w:rPr>
          <w:rFonts w:ascii="Arial" w:eastAsia="Times New Roman" w:hAnsi="Arial" w:cs="Arial"/>
          <w:kern w:val="0"/>
          <w:sz w:val="20"/>
          <w:szCs w:val="20"/>
          <w:lang w:eastAsia="en-IN"/>
          <w14:ligatures w14:val="none"/>
        </w:rPr>
        <w:t xml:space="preserve"> </w:t>
      </w:r>
      <w:r w:rsidR="003652E2" w:rsidRPr="00EF5F4B">
        <w:rPr>
          <w:rFonts w:ascii="Arial" w:eastAsia="Times New Roman" w:hAnsi="Arial" w:cs="Arial"/>
          <w:kern w:val="0"/>
          <w:sz w:val="20"/>
          <w:szCs w:val="20"/>
          <w:lang w:eastAsia="en-IN"/>
          <w14:ligatures w14:val="none"/>
        </w:rPr>
        <w:t>(both eye</w:t>
      </w:r>
      <w:r w:rsidR="007F3A1D" w:rsidRPr="00EF5F4B">
        <w:rPr>
          <w:rFonts w:ascii="Arial" w:eastAsia="Times New Roman" w:hAnsi="Arial" w:cs="Arial"/>
          <w:kern w:val="0"/>
          <w:sz w:val="20"/>
          <w:szCs w:val="20"/>
          <w:lang w:eastAsia="en-IN"/>
          <w14:ligatures w14:val="none"/>
        </w:rPr>
        <w:t>s</w:t>
      </w:r>
      <w:r w:rsidR="003652E2" w:rsidRPr="00EF5F4B">
        <w:rPr>
          <w:rFonts w:ascii="Arial" w:eastAsia="Times New Roman" w:hAnsi="Arial" w:cs="Arial"/>
          <w:kern w:val="0"/>
          <w:sz w:val="20"/>
          <w:szCs w:val="20"/>
          <w:lang w:eastAsia="en-IN"/>
          <w14:ligatures w14:val="none"/>
        </w:rPr>
        <w:t>-3 mm/5minutes</w:t>
      </w:r>
      <w:r w:rsidR="00F450C1" w:rsidRPr="00EF5F4B">
        <w:rPr>
          <w:rFonts w:ascii="Arial" w:eastAsia="Times New Roman" w:hAnsi="Arial" w:cs="Arial"/>
          <w:kern w:val="0"/>
          <w:sz w:val="20"/>
          <w:szCs w:val="20"/>
          <w:lang w:eastAsia="en-IN"/>
          <w14:ligatures w14:val="none"/>
        </w:rPr>
        <w:t xml:space="preserve">). </w:t>
      </w:r>
      <w:r w:rsidR="008E0889" w:rsidRPr="00EF5F4B">
        <w:rPr>
          <w:rFonts w:ascii="Arial" w:eastAsia="Times New Roman" w:hAnsi="Arial" w:cs="Arial"/>
          <w:kern w:val="0"/>
          <w:sz w:val="20"/>
          <w:szCs w:val="20"/>
          <w:lang w:eastAsia="en-IN"/>
          <w14:ligatures w14:val="none"/>
        </w:rPr>
        <w:t>Patient was considered for renal replacement therapy (</w:t>
      </w:r>
      <w:proofErr w:type="spellStart"/>
      <w:r w:rsidR="008E0889" w:rsidRPr="00EF5F4B">
        <w:rPr>
          <w:rFonts w:ascii="Arial" w:eastAsia="Times New Roman" w:hAnsi="Arial" w:cs="Arial"/>
          <w:kern w:val="0"/>
          <w:sz w:val="20"/>
          <w:szCs w:val="20"/>
          <w:lang w:eastAsia="en-IN"/>
          <w14:ligatures w14:val="none"/>
        </w:rPr>
        <w:t>hemodialysis</w:t>
      </w:r>
      <w:proofErr w:type="spellEnd"/>
      <w:r w:rsidR="008E0889" w:rsidRPr="00EF5F4B">
        <w:rPr>
          <w:rFonts w:ascii="Arial" w:eastAsia="Times New Roman" w:hAnsi="Arial" w:cs="Arial"/>
          <w:kern w:val="0"/>
          <w:sz w:val="20"/>
          <w:szCs w:val="20"/>
          <w:lang w:eastAsia="en-IN"/>
          <w14:ligatures w14:val="none"/>
        </w:rPr>
        <w:t>)</w:t>
      </w:r>
      <w:r w:rsidR="00764DC3" w:rsidRPr="00EF5F4B">
        <w:rPr>
          <w:rFonts w:ascii="Arial" w:eastAsia="Times New Roman" w:hAnsi="Arial" w:cs="Arial"/>
          <w:kern w:val="0"/>
          <w:sz w:val="20"/>
          <w:szCs w:val="20"/>
          <w:lang w:eastAsia="en-IN"/>
          <w14:ligatures w14:val="none"/>
        </w:rPr>
        <w:t>.</w:t>
      </w:r>
      <w:r w:rsidR="008E0889" w:rsidRPr="00EF5F4B">
        <w:rPr>
          <w:rFonts w:ascii="Arial" w:eastAsia="Times New Roman" w:hAnsi="Arial" w:cs="Arial"/>
          <w:kern w:val="0"/>
          <w:sz w:val="20"/>
          <w:szCs w:val="20"/>
          <w:lang w:eastAsia="en-IN"/>
          <w14:ligatures w14:val="none"/>
        </w:rPr>
        <w:t xml:space="preserve"> </w:t>
      </w:r>
      <w:r w:rsidRPr="00EF5F4B">
        <w:rPr>
          <w:rFonts w:ascii="Arial" w:eastAsia="Times New Roman" w:hAnsi="Arial" w:cs="Arial"/>
          <w:kern w:val="0"/>
          <w:sz w:val="20"/>
          <w:szCs w:val="20"/>
          <w:lang w:eastAsia="en-IN"/>
          <w14:ligatures w14:val="none"/>
        </w:rPr>
        <w:t xml:space="preserve">Despite a modest </w:t>
      </w:r>
      <w:r w:rsidR="00613E08" w:rsidRPr="00EF5F4B">
        <w:rPr>
          <w:rFonts w:ascii="Arial" w:eastAsia="Times New Roman" w:hAnsi="Arial" w:cs="Arial"/>
          <w:kern w:val="0"/>
          <w:sz w:val="20"/>
          <w:szCs w:val="20"/>
          <w:lang w:val="en-US" w:eastAsia="en-IN"/>
          <w14:ligatures w14:val="none"/>
        </w:rPr>
        <w:t xml:space="preserve">EULAR Sjögren's syndrome disease activity index </w:t>
      </w:r>
      <w:r w:rsidR="00613E08" w:rsidRPr="00EF5F4B">
        <w:rPr>
          <w:rFonts w:ascii="Arial" w:eastAsia="Times New Roman" w:hAnsi="Arial" w:cs="Arial"/>
          <w:b/>
          <w:bCs/>
          <w:kern w:val="0"/>
          <w:sz w:val="20"/>
          <w:szCs w:val="20"/>
          <w:lang w:val="en-US" w:eastAsia="en-IN"/>
          <w14:ligatures w14:val="none"/>
        </w:rPr>
        <w:t>(</w:t>
      </w:r>
      <w:r w:rsidRPr="00EF5F4B">
        <w:rPr>
          <w:rFonts w:ascii="Arial" w:eastAsia="Times New Roman" w:hAnsi="Arial" w:cs="Arial"/>
          <w:kern w:val="0"/>
          <w:sz w:val="20"/>
          <w:szCs w:val="20"/>
          <w:lang w:eastAsia="en-IN"/>
          <w14:ligatures w14:val="none"/>
        </w:rPr>
        <w:t>ESSDAI</w:t>
      </w:r>
      <w:r w:rsidR="00613E08" w:rsidRPr="00EF5F4B">
        <w:rPr>
          <w:rFonts w:ascii="Arial" w:eastAsia="Times New Roman" w:hAnsi="Arial" w:cs="Arial"/>
          <w:kern w:val="0"/>
          <w:sz w:val="20"/>
          <w:szCs w:val="20"/>
          <w:lang w:eastAsia="en-IN"/>
          <w14:ligatures w14:val="none"/>
        </w:rPr>
        <w:t>)</w:t>
      </w:r>
      <w:r w:rsidRPr="00EF5F4B">
        <w:rPr>
          <w:rFonts w:ascii="Arial" w:eastAsia="Times New Roman" w:hAnsi="Arial" w:cs="Arial"/>
          <w:kern w:val="0"/>
          <w:sz w:val="20"/>
          <w:szCs w:val="20"/>
          <w:lang w:eastAsia="en-IN"/>
          <w14:ligatures w14:val="none"/>
        </w:rPr>
        <w:t xml:space="preserve"> score </w:t>
      </w:r>
      <w:r w:rsidR="00F450C1" w:rsidRPr="00EF5F4B">
        <w:rPr>
          <w:rFonts w:ascii="Arial" w:eastAsia="Times New Roman" w:hAnsi="Arial" w:cs="Arial"/>
          <w:kern w:val="0"/>
          <w:sz w:val="20"/>
          <w:szCs w:val="20"/>
          <w:lang w:eastAsia="en-IN"/>
          <w14:ligatures w14:val="none"/>
        </w:rPr>
        <w:t xml:space="preserve">of </w:t>
      </w:r>
      <w:r w:rsidRPr="00EF5F4B">
        <w:rPr>
          <w:rFonts w:ascii="Arial" w:eastAsia="Times New Roman" w:hAnsi="Arial" w:cs="Arial"/>
          <w:kern w:val="0"/>
          <w:sz w:val="20"/>
          <w:szCs w:val="20"/>
          <w:lang w:eastAsia="en-IN"/>
          <w14:ligatures w14:val="none"/>
        </w:rPr>
        <w:t>3</w:t>
      </w:r>
      <w:r w:rsidR="00613E08" w:rsidRPr="00EF5F4B">
        <w:rPr>
          <w:rFonts w:ascii="Arial" w:eastAsia="Times New Roman" w:hAnsi="Arial" w:cs="Arial"/>
          <w:kern w:val="0"/>
          <w:sz w:val="20"/>
          <w:szCs w:val="20"/>
          <w:vertAlign w:val="superscript"/>
          <w:lang w:eastAsia="en-IN"/>
          <w14:ligatures w14:val="none"/>
        </w:rPr>
        <w:t>2</w:t>
      </w:r>
      <w:r w:rsidRPr="00EF5F4B">
        <w:rPr>
          <w:rFonts w:ascii="Arial" w:eastAsia="Times New Roman" w:hAnsi="Arial" w:cs="Arial"/>
          <w:kern w:val="0"/>
          <w:sz w:val="20"/>
          <w:szCs w:val="20"/>
          <w:lang w:eastAsia="en-IN"/>
          <w14:ligatures w14:val="none"/>
        </w:rPr>
        <w:t>, the severity of renal involvement prompted a repeat renal biopsy.</w:t>
      </w:r>
    </w:p>
    <w:p w14:paraId="0D109FEE" w14:textId="1D99C18D" w:rsidR="00E24229" w:rsidRPr="00EF5F4B" w:rsidRDefault="00E24229" w:rsidP="00154280">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EF5F4B">
        <w:rPr>
          <w:rFonts w:ascii="Arial" w:eastAsia="Times New Roman" w:hAnsi="Arial" w:cs="Arial"/>
          <w:kern w:val="0"/>
          <w:sz w:val="20"/>
          <w:szCs w:val="20"/>
          <w:lang w:eastAsia="en-IN"/>
          <w14:ligatures w14:val="none"/>
        </w:rPr>
        <w:t xml:space="preserve">Laboratory investigations revealed </w:t>
      </w:r>
      <w:proofErr w:type="spellStart"/>
      <w:r w:rsidRPr="00EF5F4B">
        <w:rPr>
          <w:rFonts w:ascii="Arial" w:eastAsia="Times New Roman" w:hAnsi="Arial" w:cs="Arial"/>
          <w:kern w:val="0"/>
          <w:sz w:val="20"/>
          <w:szCs w:val="20"/>
          <w:lang w:eastAsia="en-IN"/>
          <w14:ligatures w14:val="none"/>
        </w:rPr>
        <w:t>hemoglobin</w:t>
      </w:r>
      <w:proofErr w:type="spellEnd"/>
      <w:r w:rsidRPr="00EF5F4B">
        <w:rPr>
          <w:rFonts w:ascii="Arial" w:eastAsia="Times New Roman" w:hAnsi="Arial" w:cs="Arial"/>
          <w:kern w:val="0"/>
          <w:sz w:val="20"/>
          <w:szCs w:val="20"/>
          <w:lang w:eastAsia="en-IN"/>
          <w14:ligatures w14:val="none"/>
        </w:rPr>
        <w:t xml:space="preserve"> 9.8 g/dL, leukocyte count 10,533/µL, serum creatinine 3.0 mg/dL, blood urea 83 mg/dL, sodium 135 </w:t>
      </w:r>
      <w:proofErr w:type="spellStart"/>
      <w:r w:rsidRPr="00EF5F4B">
        <w:rPr>
          <w:rFonts w:ascii="Arial" w:eastAsia="Times New Roman" w:hAnsi="Arial" w:cs="Arial"/>
          <w:kern w:val="0"/>
          <w:sz w:val="20"/>
          <w:szCs w:val="20"/>
          <w:lang w:eastAsia="en-IN"/>
          <w14:ligatures w14:val="none"/>
        </w:rPr>
        <w:t>mEq</w:t>
      </w:r>
      <w:proofErr w:type="spellEnd"/>
      <w:r w:rsidRPr="00EF5F4B">
        <w:rPr>
          <w:rFonts w:ascii="Arial" w:eastAsia="Times New Roman" w:hAnsi="Arial" w:cs="Arial"/>
          <w:kern w:val="0"/>
          <w:sz w:val="20"/>
          <w:szCs w:val="20"/>
          <w:lang w:eastAsia="en-IN"/>
          <w14:ligatures w14:val="none"/>
        </w:rPr>
        <w:t xml:space="preserve">/L, potassium 3.22 </w:t>
      </w:r>
      <w:proofErr w:type="spellStart"/>
      <w:r w:rsidRPr="00EF5F4B">
        <w:rPr>
          <w:rFonts w:ascii="Arial" w:eastAsia="Times New Roman" w:hAnsi="Arial" w:cs="Arial"/>
          <w:kern w:val="0"/>
          <w:sz w:val="20"/>
          <w:szCs w:val="20"/>
          <w:lang w:eastAsia="en-IN"/>
          <w14:ligatures w14:val="none"/>
        </w:rPr>
        <w:t>mEq</w:t>
      </w:r>
      <w:proofErr w:type="spellEnd"/>
      <w:r w:rsidRPr="00EF5F4B">
        <w:rPr>
          <w:rFonts w:ascii="Arial" w:eastAsia="Times New Roman" w:hAnsi="Arial" w:cs="Arial"/>
          <w:kern w:val="0"/>
          <w:sz w:val="20"/>
          <w:szCs w:val="20"/>
          <w:lang w:eastAsia="en-IN"/>
          <w14:ligatures w14:val="none"/>
        </w:rPr>
        <w:t xml:space="preserve">/L, measured calcium 7.4 mg/dL (corrected 9.2 mg/dL), 4+ proteinuria, and urine ACR 6,637 mg/g, with no </w:t>
      </w:r>
      <w:proofErr w:type="spellStart"/>
      <w:r w:rsidRPr="00EF5F4B">
        <w:rPr>
          <w:rFonts w:ascii="Arial" w:eastAsia="Times New Roman" w:hAnsi="Arial" w:cs="Arial"/>
          <w:kern w:val="0"/>
          <w:sz w:val="20"/>
          <w:szCs w:val="20"/>
          <w:lang w:eastAsia="en-IN"/>
          <w14:ligatures w14:val="none"/>
        </w:rPr>
        <w:t>hematuria</w:t>
      </w:r>
      <w:proofErr w:type="spellEnd"/>
      <w:r w:rsidRPr="00EF5F4B">
        <w:rPr>
          <w:rFonts w:ascii="Arial" w:eastAsia="Times New Roman" w:hAnsi="Arial" w:cs="Arial"/>
          <w:kern w:val="0"/>
          <w:sz w:val="20"/>
          <w:szCs w:val="20"/>
          <w:lang w:eastAsia="en-IN"/>
          <w14:ligatures w14:val="none"/>
        </w:rPr>
        <w:t>. Immunology showed ANA positivity (</w:t>
      </w:r>
      <w:proofErr w:type="spellStart"/>
      <w:r w:rsidRPr="00EF5F4B">
        <w:rPr>
          <w:rFonts w:ascii="Arial" w:eastAsia="Times New Roman" w:hAnsi="Arial" w:cs="Arial"/>
          <w:kern w:val="0"/>
          <w:sz w:val="20"/>
          <w:szCs w:val="20"/>
          <w:lang w:eastAsia="en-IN"/>
          <w14:ligatures w14:val="none"/>
        </w:rPr>
        <w:t>titer</w:t>
      </w:r>
      <w:proofErr w:type="spellEnd"/>
      <w:r w:rsidRPr="00EF5F4B">
        <w:rPr>
          <w:rFonts w:ascii="Arial" w:eastAsia="Times New Roman" w:hAnsi="Arial" w:cs="Arial"/>
          <w:kern w:val="0"/>
          <w:sz w:val="20"/>
          <w:szCs w:val="20"/>
          <w:lang w:eastAsia="en-IN"/>
          <w14:ligatures w14:val="none"/>
        </w:rPr>
        <w:t xml:space="preserve"> 1:100, homogeneous + speckled with centromere cells), positive anti-SSA and anti-SSB, and negative ANCA.</w:t>
      </w:r>
      <w:r w:rsidR="00F450C1" w:rsidRPr="00EF5F4B">
        <w:rPr>
          <w:rFonts w:ascii="Arial" w:eastAsia="Times New Roman" w:hAnsi="Arial" w:cs="Arial"/>
          <w:kern w:val="0"/>
          <w:sz w:val="20"/>
          <w:szCs w:val="20"/>
          <w:lang w:eastAsia="en-IN"/>
          <w14:ligatures w14:val="none"/>
        </w:rPr>
        <w:t xml:space="preserve"> </w:t>
      </w:r>
      <w:r w:rsidRPr="00EF5F4B">
        <w:rPr>
          <w:rFonts w:ascii="Arial" w:eastAsia="Times New Roman" w:hAnsi="Arial" w:cs="Arial"/>
          <w:kern w:val="0"/>
          <w:sz w:val="20"/>
          <w:szCs w:val="20"/>
          <w:lang w:eastAsia="en-IN"/>
          <w14:ligatures w14:val="none"/>
        </w:rPr>
        <w:t xml:space="preserve">Work-up for secondary causes of membranous nephropathy was negative, including viral serologies (HBsAg, anti-HBc, anti-HCV, HIV), malignancy screening (chest X-ray, abdominal/pelvic imaging), and drug history. Serum C3 and C4 levels were normal. Ultrasound revealed normal-sized kidneys with gross ascites. </w:t>
      </w:r>
      <w:r w:rsidR="00E63D4A" w:rsidRPr="00EF5F4B">
        <w:rPr>
          <w:rFonts w:ascii="Arial" w:eastAsia="Times New Roman" w:hAnsi="Arial" w:cs="Arial"/>
          <w:kern w:val="0"/>
          <w:sz w:val="20"/>
          <w:szCs w:val="20"/>
          <w:lang w:eastAsia="en-IN"/>
          <w14:ligatures w14:val="none"/>
        </w:rPr>
        <w:t>According to 2016 ACR/EULAR classification criteria for Sjögren’s syndrome</w:t>
      </w:r>
      <w:r w:rsidR="00613E08" w:rsidRPr="00EF5F4B">
        <w:rPr>
          <w:rFonts w:ascii="Arial" w:eastAsia="Times New Roman" w:hAnsi="Arial" w:cs="Arial"/>
          <w:color w:val="E97132" w:themeColor="accent2"/>
          <w:kern w:val="0"/>
          <w:sz w:val="20"/>
          <w:szCs w:val="20"/>
          <w:vertAlign w:val="superscript"/>
          <w:lang w:eastAsia="en-IN"/>
          <w14:ligatures w14:val="none"/>
        </w:rPr>
        <w:t>3</w:t>
      </w:r>
      <w:r w:rsidR="00E63D4A" w:rsidRPr="00EF5F4B">
        <w:rPr>
          <w:rFonts w:ascii="Arial" w:eastAsia="Times New Roman" w:hAnsi="Arial" w:cs="Arial"/>
          <w:kern w:val="0"/>
          <w:sz w:val="20"/>
          <w:szCs w:val="20"/>
          <w:lang w:eastAsia="en-IN"/>
          <w14:ligatures w14:val="none"/>
        </w:rPr>
        <w:t xml:space="preserve">, our patient had a score of 4 and after ruling out other secondary causes of Sjogren’s syndrome as classified clinically into primary Sjogren syndrome. </w:t>
      </w:r>
      <w:r w:rsidRPr="00EF5F4B">
        <w:rPr>
          <w:rFonts w:ascii="Arial" w:eastAsia="Times New Roman" w:hAnsi="Arial" w:cs="Arial"/>
          <w:kern w:val="0"/>
          <w:sz w:val="20"/>
          <w:szCs w:val="20"/>
          <w:lang w:eastAsia="en-IN"/>
          <w14:ligatures w14:val="none"/>
        </w:rPr>
        <w:t xml:space="preserve">Repeat renal biopsy </w:t>
      </w:r>
      <w:r w:rsidR="00154280" w:rsidRPr="00EF5F4B">
        <w:rPr>
          <w:rFonts w:ascii="Arial" w:eastAsia="Times New Roman" w:hAnsi="Arial" w:cs="Arial"/>
          <w:kern w:val="0"/>
          <w:sz w:val="20"/>
          <w:szCs w:val="20"/>
          <w:lang w:eastAsia="en-IN"/>
          <w14:ligatures w14:val="none"/>
        </w:rPr>
        <w:t xml:space="preserve">(Fig 1) </w:t>
      </w:r>
      <w:r w:rsidRPr="00EF5F4B">
        <w:rPr>
          <w:rFonts w:ascii="Arial" w:eastAsia="Times New Roman" w:hAnsi="Arial" w:cs="Arial"/>
          <w:kern w:val="0"/>
          <w:sz w:val="20"/>
          <w:szCs w:val="20"/>
          <w:lang w:eastAsia="en-IN"/>
          <w14:ligatures w14:val="none"/>
        </w:rPr>
        <w:t>demonstrated enlarged glomeruli with thickened capillary walls (membranous changes) and patchy acute tubular injury. Direct immunofluorescence showed granular capillary wall IgG (predominantly IgG1 and IgG4). Immunohistochemistry was negative for PLA2R, NELL-1, THSD7A, and EXT-1, and serum</w:t>
      </w:r>
      <w:r w:rsidRPr="00EF5F4B">
        <w:rPr>
          <w:rFonts w:ascii="Arial" w:eastAsia="Times New Roman" w:hAnsi="Arial" w:cs="Arial"/>
          <w:b/>
          <w:bCs/>
          <w:kern w:val="0"/>
          <w:sz w:val="20"/>
          <w:szCs w:val="20"/>
          <w:lang w:eastAsia="en-IN"/>
          <w14:ligatures w14:val="none"/>
        </w:rPr>
        <w:t xml:space="preserve"> </w:t>
      </w:r>
      <w:r w:rsidRPr="00EF5F4B">
        <w:rPr>
          <w:rFonts w:ascii="Arial" w:eastAsia="Times New Roman" w:hAnsi="Arial" w:cs="Arial"/>
          <w:kern w:val="0"/>
          <w:sz w:val="20"/>
          <w:szCs w:val="20"/>
          <w:lang w:eastAsia="en-IN"/>
          <w14:ligatures w14:val="none"/>
        </w:rPr>
        <w:t xml:space="preserve">PLA2R antibody levels were also negative, supporting a secondary rather than primary </w:t>
      </w:r>
      <w:proofErr w:type="spellStart"/>
      <w:r w:rsidRPr="00EF5F4B">
        <w:rPr>
          <w:rFonts w:ascii="Arial" w:eastAsia="Times New Roman" w:hAnsi="Arial" w:cs="Arial"/>
          <w:kern w:val="0"/>
          <w:sz w:val="20"/>
          <w:szCs w:val="20"/>
          <w:lang w:eastAsia="en-IN"/>
          <w14:ligatures w14:val="none"/>
        </w:rPr>
        <w:t>etiology</w:t>
      </w:r>
      <w:proofErr w:type="spellEnd"/>
      <w:r w:rsidRPr="00EF5F4B">
        <w:rPr>
          <w:rFonts w:ascii="Arial" w:eastAsia="Times New Roman" w:hAnsi="Arial" w:cs="Arial"/>
          <w:kern w:val="0"/>
          <w:sz w:val="20"/>
          <w:szCs w:val="20"/>
          <w:lang w:eastAsia="en-IN"/>
          <w14:ligatures w14:val="none"/>
        </w:rPr>
        <w:t xml:space="preserve">. Taken together with the clinical context, the findings confirmed secondary membranous nephropathy associated with Sjögren’s syndrome. The patient was treated with corticosteroids and mycophenolate mofetil, resulting in a reduction of urine ACR from 6,637 to 449 mg/g and improvement in serum creatinine from 3.0 to 1.89 mg/dL after four weeks, indicating a </w:t>
      </w:r>
      <w:r w:rsidR="000976F2" w:rsidRPr="00EF5F4B">
        <w:rPr>
          <w:rFonts w:ascii="Arial" w:eastAsia="Times New Roman" w:hAnsi="Arial" w:cs="Arial"/>
          <w:kern w:val="0"/>
          <w:sz w:val="20"/>
          <w:szCs w:val="20"/>
          <w:lang w:eastAsia="en-IN"/>
          <w14:ligatures w14:val="none"/>
        </w:rPr>
        <w:t>favourable</w:t>
      </w:r>
      <w:r w:rsidRPr="00EF5F4B">
        <w:rPr>
          <w:rFonts w:ascii="Arial" w:eastAsia="Times New Roman" w:hAnsi="Arial" w:cs="Arial"/>
          <w:kern w:val="0"/>
          <w:sz w:val="20"/>
          <w:szCs w:val="20"/>
          <w:lang w:eastAsia="en-IN"/>
          <w14:ligatures w14:val="none"/>
        </w:rPr>
        <w:t xml:space="preserve"> early response.</w:t>
      </w:r>
    </w:p>
    <w:p w14:paraId="51A223DF" w14:textId="624294CE" w:rsidR="00E24229" w:rsidRPr="00EF5F4B" w:rsidRDefault="00E24229" w:rsidP="00154280">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EF5F4B">
        <w:rPr>
          <w:rFonts w:ascii="Arial" w:eastAsia="Times New Roman" w:hAnsi="Arial" w:cs="Arial"/>
          <w:b/>
          <w:bCs/>
          <w:kern w:val="0"/>
          <w:sz w:val="20"/>
          <w:szCs w:val="20"/>
          <w:lang w:eastAsia="en-IN"/>
          <w14:ligatures w14:val="none"/>
        </w:rPr>
        <w:t>Discussion</w:t>
      </w:r>
    </w:p>
    <w:p w14:paraId="699FD0F0" w14:textId="783F0C20" w:rsidR="00154280" w:rsidRPr="00EF5F4B" w:rsidRDefault="00154280" w:rsidP="00154280">
      <w:pPr>
        <w:pStyle w:val="NormalWeb"/>
        <w:jc w:val="both"/>
        <w:rPr>
          <w:rFonts w:ascii="Arial" w:hAnsi="Arial" w:cs="Arial"/>
          <w:sz w:val="20"/>
          <w:szCs w:val="20"/>
        </w:rPr>
      </w:pPr>
      <w:r w:rsidRPr="00EF5F4B">
        <w:rPr>
          <w:rFonts w:ascii="Arial" w:hAnsi="Arial" w:cs="Arial"/>
          <w:sz w:val="20"/>
          <w:szCs w:val="20"/>
        </w:rPr>
        <w:t>Sjögren’s syndrome (SS) is a multisystem autoimmune disease classically described in middle-aged women with sicca symptoms</w:t>
      </w:r>
      <w:r w:rsidR="006C0F77" w:rsidRPr="00EF5F4B">
        <w:rPr>
          <w:rFonts w:ascii="Arial" w:hAnsi="Arial" w:cs="Arial"/>
          <w:sz w:val="20"/>
          <w:szCs w:val="20"/>
        </w:rPr>
        <w:t xml:space="preserve"> (includes keratoconjunctivitis sicca, xerostomia </w:t>
      </w:r>
      <w:r w:rsidRPr="00EF5F4B">
        <w:rPr>
          <w:rFonts w:ascii="Arial" w:hAnsi="Arial" w:cs="Arial"/>
          <w:sz w:val="20"/>
          <w:szCs w:val="20"/>
        </w:rPr>
        <w:t>,</w:t>
      </w:r>
      <w:r w:rsidR="006C0F77" w:rsidRPr="00EF5F4B">
        <w:rPr>
          <w:rFonts w:ascii="Arial" w:hAnsi="Arial" w:cs="Arial"/>
          <w:sz w:val="20"/>
          <w:szCs w:val="20"/>
        </w:rPr>
        <w:t>xerosis, pharyngeal and laryngeal dryness,</w:t>
      </w:r>
      <w:r w:rsidR="008E0889" w:rsidRPr="00EF5F4B">
        <w:rPr>
          <w:rFonts w:ascii="Arial" w:hAnsi="Arial" w:cs="Arial"/>
          <w:sz w:val="20"/>
          <w:szCs w:val="20"/>
        </w:rPr>
        <w:t xml:space="preserve"> </w:t>
      </w:r>
      <w:proofErr w:type="spellStart"/>
      <w:r w:rsidR="008E0889" w:rsidRPr="00EF5F4B">
        <w:rPr>
          <w:rFonts w:ascii="Arial" w:hAnsi="Arial" w:cs="Arial"/>
          <w:sz w:val="20"/>
          <w:szCs w:val="20"/>
        </w:rPr>
        <w:t>xerotrachea</w:t>
      </w:r>
      <w:proofErr w:type="spellEnd"/>
      <w:r w:rsidR="008E0889" w:rsidRPr="00EF5F4B">
        <w:rPr>
          <w:rFonts w:ascii="Arial" w:hAnsi="Arial" w:cs="Arial"/>
          <w:sz w:val="20"/>
          <w:szCs w:val="20"/>
        </w:rPr>
        <w:t xml:space="preserve">, </w:t>
      </w:r>
      <w:r w:rsidR="006C0F77" w:rsidRPr="00EF5F4B">
        <w:rPr>
          <w:rFonts w:ascii="Arial" w:hAnsi="Arial" w:cs="Arial"/>
          <w:sz w:val="20"/>
          <w:szCs w:val="20"/>
        </w:rPr>
        <w:t xml:space="preserve">vaginal dryness) </w:t>
      </w:r>
      <w:r w:rsidRPr="00EF5F4B">
        <w:rPr>
          <w:rFonts w:ascii="Arial" w:hAnsi="Arial" w:cs="Arial"/>
          <w:sz w:val="20"/>
          <w:szCs w:val="20"/>
        </w:rPr>
        <w:t>but its spectrum extends to cutaneous</w:t>
      </w:r>
      <w:r w:rsidR="008E0889" w:rsidRPr="00EF5F4B">
        <w:rPr>
          <w:rFonts w:ascii="Arial" w:hAnsi="Arial" w:cs="Arial"/>
          <w:sz w:val="20"/>
          <w:szCs w:val="20"/>
        </w:rPr>
        <w:t xml:space="preserve"> (</w:t>
      </w:r>
      <w:proofErr w:type="spellStart"/>
      <w:r w:rsidR="008E0889" w:rsidRPr="00EF5F4B">
        <w:rPr>
          <w:rFonts w:ascii="Arial" w:hAnsi="Arial" w:cs="Arial"/>
          <w:sz w:val="20"/>
          <w:szCs w:val="20"/>
        </w:rPr>
        <w:t>raynaud’s</w:t>
      </w:r>
      <w:proofErr w:type="spellEnd"/>
      <w:r w:rsidR="008E0889" w:rsidRPr="00EF5F4B">
        <w:rPr>
          <w:rFonts w:ascii="Arial" w:hAnsi="Arial" w:cs="Arial"/>
          <w:sz w:val="20"/>
          <w:szCs w:val="20"/>
        </w:rPr>
        <w:t xml:space="preserve"> phenomena</w:t>
      </w:r>
      <w:r w:rsidR="0009760C" w:rsidRPr="00EF5F4B">
        <w:rPr>
          <w:rFonts w:ascii="Arial" w:hAnsi="Arial" w:cs="Arial"/>
          <w:sz w:val="20"/>
          <w:szCs w:val="20"/>
        </w:rPr>
        <w:t>, cutaneous vasculitis</w:t>
      </w:r>
      <w:r w:rsidR="008E0889" w:rsidRPr="00EF5F4B">
        <w:rPr>
          <w:rFonts w:ascii="Arial" w:hAnsi="Arial" w:cs="Arial"/>
          <w:sz w:val="20"/>
          <w:szCs w:val="20"/>
        </w:rPr>
        <w:t>)</w:t>
      </w:r>
      <w:r w:rsidRPr="00EF5F4B">
        <w:rPr>
          <w:rFonts w:ascii="Arial" w:hAnsi="Arial" w:cs="Arial"/>
          <w:sz w:val="20"/>
          <w:szCs w:val="20"/>
        </w:rPr>
        <w:t>, musculoskeletal</w:t>
      </w:r>
      <w:r w:rsidR="008E0889" w:rsidRPr="00EF5F4B">
        <w:rPr>
          <w:rFonts w:ascii="Arial" w:hAnsi="Arial" w:cs="Arial"/>
          <w:sz w:val="20"/>
          <w:szCs w:val="20"/>
        </w:rPr>
        <w:t xml:space="preserve"> (</w:t>
      </w:r>
      <w:proofErr w:type="spellStart"/>
      <w:r w:rsidR="008E0889" w:rsidRPr="00EF5F4B">
        <w:rPr>
          <w:rFonts w:ascii="Arial" w:hAnsi="Arial" w:cs="Arial"/>
          <w:sz w:val="20"/>
          <w:szCs w:val="20"/>
        </w:rPr>
        <w:t>jaccoud’s</w:t>
      </w:r>
      <w:proofErr w:type="spellEnd"/>
      <w:r w:rsidR="008E0889" w:rsidRPr="00EF5F4B">
        <w:rPr>
          <w:rFonts w:ascii="Arial" w:hAnsi="Arial" w:cs="Arial"/>
          <w:sz w:val="20"/>
          <w:szCs w:val="20"/>
        </w:rPr>
        <w:t xml:space="preserve"> arthropathy)</w:t>
      </w:r>
      <w:r w:rsidRPr="00EF5F4B">
        <w:rPr>
          <w:rFonts w:ascii="Arial" w:hAnsi="Arial" w:cs="Arial"/>
          <w:sz w:val="20"/>
          <w:szCs w:val="20"/>
        </w:rPr>
        <w:t>, neurologica</w:t>
      </w:r>
      <w:r w:rsidR="008E0889" w:rsidRPr="00EF5F4B">
        <w:rPr>
          <w:rFonts w:ascii="Arial" w:hAnsi="Arial" w:cs="Arial"/>
          <w:sz w:val="20"/>
          <w:szCs w:val="20"/>
        </w:rPr>
        <w:t>l (polyneuropathy)</w:t>
      </w:r>
      <w:r w:rsidRPr="00EF5F4B">
        <w:rPr>
          <w:rFonts w:ascii="Arial" w:hAnsi="Arial" w:cs="Arial"/>
          <w:sz w:val="20"/>
          <w:szCs w:val="20"/>
        </w:rPr>
        <w:t xml:space="preserve">, renal, and </w:t>
      </w:r>
      <w:r w:rsidR="006B17E0" w:rsidRPr="00EF5F4B">
        <w:rPr>
          <w:rFonts w:ascii="Arial" w:hAnsi="Arial" w:cs="Arial"/>
          <w:sz w:val="20"/>
          <w:szCs w:val="20"/>
        </w:rPr>
        <w:t xml:space="preserve">pulmonary </w:t>
      </w:r>
      <w:r w:rsidRPr="00EF5F4B">
        <w:rPr>
          <w:rFonts w:ascii="Arial" w:hAnsi="Arial" w:cs="Arial"/>
          <w:sz w:val="20"/>
          <w:szCs w:val="20"/>
        </w:rPr>
        <w:t>manifestations</w:t>
      </w:r>
      <w:r w:rsidR="009D0DB6" w:rsidRPr="00EF5F4B">
        <w:rPr>
          <w:rFonts w:ascii="Arial" w:hAnsi="Arial" w:cs="Arial"/>
          <w:sz w:val="20"/>
          <w:szCs w:val="20"/>
        </w:rPr>
        <w:t xml:space="preserve"> </w:t>
      </w:r>
      <w:r w:rsidR="006B17E0" w:rsidRPr="00EF5F4B">
        <w:rPr>
          <w:rFonts w:ascii="Arial" w:hAnsi="Arial" w:cs="Arial"/>
          <w:sz w:val="20"/>
          <w:szCs w:val="20"/>
        </w:rPr>
        <w:t>(</w:t>
      </w:r>
      <w:proofErr w:type="spellStart"/>
      <w:r w:rsidR="006B17E0" w:rsidRPr="00EF5F4B">
        <w:rPr>
          <w:rFonts w:ascii="Arial" w:hAnsi="Arial" w:cs="Arial"/>
          <w:sz w:val="20"/>
          <w:szCs w:val="20"/>
        </w:rPr>
        <w:t>interstial</w:t>
      </w:r>
      <w:proofErr w:type="spellEnd"/>
      <w:r w:rsidR="006B17E0" w:rsidRPr="00EF5F4B">
        <w:rPr>
          <w:rFonts w:ascii="Arial" w:hAnsi="Arial" w:cs="Arial"/>
          <w:sz w:val="20"/>
          <w:szCs w:val="20"/>
        </w:rPr>
        <w:t xml:space="preserve"> pneumonitis) </w:t>
      </w:r>
      <w:r w:rsidRPr="00EF5F4B">
        <w:rPr>
          <w:rFonts w:ascii="Arial" w:hAnsi="Arial" w:cs="Arial"/>
          <w:sz w:val="20"/>
          <w:szCs w:val="20"/>
        </w:rPr>
        <w:t>, and it also carries a long-term risk of lymphoma</w:t>
      </w:r>
      <w:r w:rsidR="006C0F77" w:rsidRPr="00EF5F4B">
        <w:rPr>
          <w:rFonts w:ascii="Arial" w:hAnsi="Arial" w:cs="Arial"/>
          <w:sz w:val="20"/>
          <w:szCs w:val="20"/>
          <w:vertAlign w:val="superscript"/>
        </w:rPr>
        <w:t>1</w:t>
      </w:r>
      <w:r w:rsidRPr="00EF5F4B">
        <w:rPr>
          <w:rFonts w:ascii="Arial" w:hAnsi="Arial" w:cs="Arial"/>
          <w:sz w:val="20"/>
          <w:szCs w:val="20"/>
        </w:rPr>
        <w:t xml:space="preserve">. Our case is remarkable because of the strikingly young age at presentation, where sicca features and arthralgia coexisted with nephrotic syndrome and acute kidney injury severe enough to require </w:t>
      </w:r>
      <w:r w:rsidR="006B17E0" w:rsidRPr="00EF5F4B">
        <w:rPr>
          <w:rFonts w:ascii="Arial" w:hAnsi="Arial" w:cs="Arial"/>
          <w:sz w:val="20"/>
          <w:szCs w:val="20"/>
        </w:rPr>
        <w:t>RRT</w:t>
      </w:r>
      <w:r w:rsidRPr="00EF5F4B">
        <w:rPr>
          <w:rFonts w:ascii="Arial" w:hAnsi="Arial" w:cs="Arial"/>
          <w:sz w:val="20"/>
          <w:szCs w:val="20"/>
        </w:rPr>
        <w:t>.</w:t>
      </w:r>
    </w:p>
    <w:p w14:paraId="331F76E8" w14:textId="48DBDDE3" w:rsidR="00154280" w:rsidRPr="00EF5F4B" w:rsidRDefault="00154280" w:rsidP="00154280">
      <w:pPr>
        <w:pStyle w:val="NormalWeb"/>
        <w:jc w:val="both"/>
        <w:rPr>
          <w:rFonts w:ascii="Arial" w:eastAsiaTheme="minorHAnsi" w:hAnsi="Arial" w:cs="Arial"/>
          <w:color w:val="2A2A2A"/>
          <w:kern w:val="2"/>
          <w:sz w:val="20"/>
          <w:szCs w:val="20"/>
          <w:shd w:val="clear" w:color="auto" w:fill="FFFFFF"/>
          <w:lang w:eastAsia="en-US"/>
          <w14:ligatures w14:val="standardContextual"/>
        </w:rPr>
      </w:pPr>
      <w:r w:rsidRPr="00EF5F4B">
        <w:rPr>
          <w:rFonts w:ascii="Arial" w:hAnsi="Arial" w:cs="Arial"/>
          <w:sz w:val="20"/>
          <w:szCs w:val="20"/>
        </w:rPr>
        <w:t>Renal involvement in SS is relatively uncommon, affecting about 5% of patients with primary SS (</w:t>
      </w:r>
      <w:proofErr w:type="spellStart"/>
      <w:r w:rsidRPr="00EF5F4B">
        <w:rPr>
          <w:rFonts w:ascii="Arial" w:hAnsi="Arial" w:cs="Arial"/>
          <w:sz w:val="20"/>
          <w:szCs w:val="20"/>
        </w:rPr>
        <w:t>pSS</w:t>
      </w:r>
      <w:proofErr w:type="spellEnd"/>
      <w:r w:rsidRPr="00EF5F4B">
        <w:rPr>
          <w:rFonts w:ascii="Arial" w:hAnsi="Arial" w:cs="Arial"/>
          <w:sz w:val="20"/>
          <w:szCs w:val="20"/>
        </w:rPr>
        <w:t>)</w:t>
      </w:r>
      <w:r w:rsidR="00613E08" w:rsidRPr="00EF5F4B">
        <w:rPr>
          <w:rFonts w:ascii="Arial" w:hAnsi="Arial" w:cs="Arial"/>
          <w:sz w:val="20"/>
          <w:szCs w:val="20"/>
          <w:vertAlign w:val="superscript"/>
        </w:rPr>
        <w:t>4</w:t>
      </w:r>
      <w:r w:rsidRPr="00EF5F4B">
        <w:rPr>
          <w:rFonts w:ascii="Arial" w:hAnsi="Arial" w:cs="Arial"/>
          <w:sz w:val="20"/>
          <w:szCs w:val="20"/>
        </w:rPr>
        <w:t xml:space="preserve">. </w:t>
      </w:r>
      <w:r w:rsidR="00E64A1C" w:rsidRPr="00EF5F4B">
        <w:rPr>
          <w:rFonts w:ascii="Arial" w:hAnsi="Arial" w:cs="Arial"/>
          <w:sz w:val="20"/>
          <w:szCs w:val="20"/>
        </w:rPr>
        <w:t xml:space="preserve">In </w:t>
      </w:r>
      <w:proofErr w:type="spellStart"/>
      <w:r w:rsidR="00E64A1C" w:rsidRPr="00EF5F4B">
        <w:rPr>
          <w:rFonts w:ascii="Arial" w:hAnsi="Arial" w:cs="Arial"/>
          <w:sz w:val="20"/>
          <w:szCs w:val="20"/>
        </w:rPr>
        <w:t>pSS</w:t>
      </w:r>
      <w:proofErr w:type="spellEnd"/>
      <w:r w:rsidR="00E64A1C" w:rsidRPr="00EF5F4B">
        <w:rPr>
          <w:rFonts w:ascii="Arial" w:hAnsi="Arial" w:cs="Arial"/>
          <w:sz w:val="20"/>
          <w:szCs w:val="20"/>
        </w:rPr>
        <w:t>, renal involvement most commonly manifests as plasma cell–predominant tubulointerstitial nephritis (TIN) accounts for nearly 85% of renal lesions, that mirrors the lymphoplasmacytic infiltration of the salivary glands and frequently leads to tubular dysfunction with electrolyte abnormalities; in contrast, glomerular disease is uncommon , reported in only 10–15% of cases</w:t>
      </w:r>
      <w:r w:rsidR="00613E08" w:rsidRPr="00EF5F4B">
        <w:rPr>
          <w:rFonts w:ascii="Arial" w:hAnsi="Arial" w:cs="Arial"/>
          <w:sz w:val="20"/>
          <w:szCs w:val="20"/>
          <w:vertAlign w:val="superscript"/>
        </w:rPr>
        <w:t>5,6</w:t>
      </w:r>
      <w:r w:rsidRPr="00EF5F4B">
        <w:rPr>
          <w:rFonts w:ascii="Arial" w:hAnsi="Arial" w:cs="Arial"/>
          <w:sz w:val="20"/>
          <w:szCs w:val="20"/>
        </w:rPr>
        <w:t xml:space="preserve">. In our patient, the development of nephrotic-range proteinuria and anasarca clearly suggested a glomerular process. Historically, membranoproliferative glomerulonephritis (MPGN), often associated with cryoglobulinemia, was regarded as the predominant glomerular lesion in SS. </w:t>
      </w:r>
      <w:proofErr w:type="spellStart"/>
      <w:r w:rsidRPr="00EF5F4B">
        <w:rPr>
          <w:rFonts w:ascii="Arial" w:hAnsi="Arial" w:cs="Arial"/>
          <w:sz w:val="20"/>
          <w:szCs w:val="20"/>
        </w:rPr>
        <w:t>Maripuri</w:t>
      </w:r>
      <w:proofErr w:type="spellEnd"/>
      <w:r w:rsidRPr="00EF5F4B">
        <w:rPr>
          <w:rFonts w:ascii="Arial" w:hAnsi="Arial" w:cs="Arial"/>
          <w:sz w:val="20"/>
          <w:szCs w:val="20"/>
        </w:rPr>
        <w:t xml:space="preserve"> et al. reported MPGN as the most frequent finding, while membranous nephropathy (MN) accounted for only 4</w:t>
      </w:r>
      <w:r w:rsidR="00613E08" w:rsidRPr="00EF5F4B">
        <w:rPr>
          <w:rFonts w:ascii="Arial" w:hAnsi="Arial" w:cs="Arial"/>
          <w:sz w:val="20"/>
          <w:szCs w:val="20"/>
          <w:vertAlign w:val="superscript"/>
        </w:rPr>
        <w:t>5</w:t>
      </w:r>
      <w:r w:rsidRPr="00EF5F4B">
        <w:rPr>
          <w:rFonts w:ascii="Arial" w:hAnsi="Arial" w:cs="Arial"/>
          <w:sz w:val="20"/>
          <w:szCs w:val="20"/>
        </w:rPr>
        <w:t xml:space="preserve">. Other lesions reported include IgA nephropathy </w:t>
      </w:r>
      <w:r w:rsidR="00613E08" w:rsidRPr="00EF5F4B">
        <w:rPr>
          <w:rFonts w:ascii="Arial" w:hAnsi="Arial" w:cs="Arial"/>
          <w:sz w:val="20"/>
          <w:szCs w:val="20"/>
          <w:vertAlign w:val="superscript"/>
        </w:rPr>
        <w:t>7</w:t>
      </w:r>
      <w:r w:rsidRPr="00EF5F4B">
        <w:rPr>
          <w:rFonts w:ascii="Arial" w:hAnsi="Arial" w:cs="Arial"/>
          <w:sz w:val="20"/>
          <w:szCs w:val="20"/>
        </w:rPr>
        <w:t>and focal segmental glomerulosclerosis (FSGS)</w:t>
      </w:r>
      <w:r w:rsidR="00C07463" w:rsidRPr="00EF5F4B">
        <w:rPr>
          <w:rFonts w:ascii="Arial" w:hAnsi="Arial" w:cs="Arial"/>
          <w:sz w:val="20"/>
          <w:szCs w:val="20"/>
        </w:rPr>
        <w:t xml:space="preserve"> is </w:t>
      </w:r>
      <w:r w:rsidRPr="00EF5F4B">
        <w:rPr>
          <w:rFonts w:ascii="Arial" w:hAnsi="Arial" w:cs="Arial"/>
          <w:sz w:val="20"/>
          <w:szCs w:val="20"/>
        </w:rPr>
        <w:t>described in up to 38% of biopsy-proven glomerular cases</w:t>
      </w:r>
      <w:r w:rsidR="00613E08" w:rsidRPr="00EF5F4B">
        <w:rPr>
          <w:rFonts w:ascii="Arial" w:hAnsi="Arial" w:cs="Arial"/>
          <w:sz w:val="20"/>
          <w:szCs w:val="20"/>
          <w:vertAlign w:val="superscript"/>
        </w:rPr>
        <w:t>9</w:t>
      </w:r>
      <w:r w:rsidRPr="00EF5F4B">
        <w:rPr>
          <w:rFonts w:ascii="Arial" w:hAnsi="Arial" w:cs="Arial"/>
          <w:sz w:val="20"/>
          <w:szCs w:val="20"/>
        </w:rPr>
        <w:t>.</w:t>
      </w:r>
      <w:r w:rsidR="0009760C" w:rsidRPr="00EF5F4B">
        <w:rPr>
          <w:rFonts w:ascii="Arial" w:eastAsiaTheme="minorHAnsi" w:hAnsi="Arial" w:cs="Arial"/>
          <w:color w:val="2A2A2A"/>
          <w:kern w:val="2"/>
          <w:sz w:val="20"/>
          <w:szCs w:val="20"/>
          <w:shd w:val="clear" w:color="auto" w:fill="FFFFFF"/>
          <w:lang w:eastAsia="en-US"/>
          <w14:ligatures w14:val="standardContextual"/>
        </w:rPr>
        <w:t xml:space="preserve"> </w:t>
      </w:r>
    </w:p>
    <w:p w14:paraId="4C41DA5D" w14:textId="30316B1E" w:rsidR="00BA2F16" w:rsidRPr="00EF5F4B" w:rsidRDefault="00BA2F16" w:rsidP="00154280">
      <w:pPr>
        <w:pStyle w:val="NormalWeb"/>
        <w:jc w:val="both"/>
        <w:rPr>
          <w:rFonts w:ascii="Arial" w:hAnsi="Arial" w:cs="Arial"/>
          <w:sz w:val="20"/>
          <w:szCs w:val="20"/>
        </w:rPr>
      </w:pPr>
      <w:r w:rsidRPr="00EF5F4B">
        <w:rPr>
          <w:rFonts w:ascii="Arial" w:hAnsi="Arial" w:cs="Arial"/>
          <w:sz w:val="20"/>
          <w:szCs w:val="20"/>
        </w:rPr>
        <w:t>More recent evidence, however, suggests a changing spectrum of glomerular involvement. Qiu et al. observed MN in 44% of patients, FSGS in 38%, and proliferative GN in 18%</w:t>
      </w:r>
      <w:proofErr w:type="gramStart"/>
      <w:r w:rsidR="00613E08" w:rsidRPr="00EF5F4B">
        <w:rPr>
          <w:rFonts w:ascii="Arial" w:hAnsi="Arial" w:cs="Arial"/>
          <w:sz w:val="20"/>
          <w:szCs w:val="20"/>
          <w:vertAlign w:val="superscript"/>
        </w:rPr>
        <w:t xml:space="preserve">8 </w:t>
      </w:r>
      <w:r w:rsidR="00613E08" w:rsidRPr="00EF5F4B">
        <w:rPr>
          <w:rFonts w:ascii="Arial" w:hAnsi="Arial" w:cs="Arial"/>
          <w:sz w:val="20"/>
          <w:szCs w:val="20"/>
        </w:rPr>
        <w:t>.</w:t>
      </w:r>
      <w:proofErr w:type="gramEnd"/>
      <w:r w:rsidRPr="00EF5F4B">
        <w:rPr>
          <w:rFonts w:ascii="Arial" w:hAnsi="Arial" w:cs="Arial"/>
          <w:sz w:val="20"/>
          <w:szCs w:val="20"/>
        </w:rPr>
        <w:t xml:space="preserve"> Ramponi et al. also emphasized MN as an increasingly recognized lesion in SS</w:t>
      </w:r>
      <w:r w:rsidR="00613E08" w:rsidRPr="00EF5F4B">
        <w:rPr>
          <w:rFonts w:ascii="Arial" w:hAnsi="Arial" w:cs="Arial"/>
          <w:sz w:val="20"/>
          <w:szCs w:val="20"/>
          <w:vertAlign w:val="superscript"/>
        </w:rPr>
        <w:t>10</w:t>
      </w:r>
      <w:r w:rsidR="00613E08" w:rsidRPr="00EF5F4B">
        <w:rPr>
          <w:rFonts w:ascii="Arial" w:hAnsi="Arial" w:cs="Arial"/>
          <w:sz w:val="20"/>
          <w:szCs w:val="20"/>
        </w:rPr>
        <w:t>.</w:t>
      </w:r>
    </w:p>
    <w:p w14:paraId="59217573" w14:textId="401F7A65" w:rsidR="00154280" w:rsidRPr="00EF5F4B" w:rsidRDefault="00BA2F16" w:rsidP="00154280">
      <w:pPr>
        <w:pStyle w:val="NormalWeb"/>
        <w:jc w:val="both"/>
        <w:rPr>
          <w:rFonts w:ascii="Arial" w:hAnsi="Arial" w:cs="Arial"/>
          <w:sz w:val="20"/>
          <w:szCs w:val="20"/>
        </w:rPr>
      </w:pPr>
      <w:r w:rsidRPr="00EF5F4B">
        <w:rPr>
          <w:rFonts w:ascii="Arial" w:hAnsi="Arial" w:cs="Arial"/>
          <w:sz w:val="20"/>
          <w:szCs w:val="20"/>
        </w:rPr>
        <w:t>Idiopathic membranous nephropathy is an autoimmune glomerular disease characterized by subepithelial immune complex deposition leading to diffuse thickening of the glomerular capillary walls and represents a leading cause of nephrotic syndrome in older adults; although antibodies against the M-type phospholipase A2 receptor (PLA2R) are detected in approximately 70–80% of cases of primary MN, additional target antigens—including thrombospondin type-1 domain–containing 7A (THSD7A), neural epidermal growth factor–like 1 protein (NELL-1), semaphorin3B</w:t>
      </w:r>
      <w:r w:rsidR="00DE07E6" w:rsidRPr="00EF5F4B">
        <w:rPr>
          <w:rFonts w:ascii="Arial" w:hAnsi="Arial" w:cs="Arial"/>
          <w:sz w:val="20"/>
          <w:szCs w:val="20"/>
          <w:vertAlign w:val="superscript"/>
        </w:rPr>
        <w:t xml:space="preserve"> 11</w:t>
      </w:r>
      <w:r w:rsidRPr="00EF5F4B">
        <w:rPr>
          <w:rFonts w:ascii="Arial" w:hAnsi="Arial" w:cs="Arial"/>
          <w:sz w:val="20"/>
          <w:szCs w:val="20"/>
        </w:rPr>
        <w:t xml:space="preserve">. </w:t>
      </w:r>
      <w:r w:rsidR="00C07463" w:rsidRPr="00EF5F4B">
        <w:rPr>
          <w:rFonts w:ascii="Arial" w:hAnsi="Arial" w:cs="Arial"/>
          <w:sz w:val="20"/>
          <w:szCs w:val="20"/>
        </w:rPr>
        <w:t>A</w:t>
      </w:r>
      <w:r w:rsidRPr="00EF5F4B">
        <w:rPr>
          <w:rFonts w:ascii="Arial" w:hAnsi="Arial" w:cs="Arial"/>
          <w:sz w:val="20"/>
          <w:szCs w:val="20"/>
        </w:rPr>
        <w:t xml:space="preserve">lthough PLA2R is the antigen primarily involved in primary </w:t>
      </w:r>
      <w:proofErr w:type="gramStart"/>
      <w:r w:rsidRPr="00EF5F4B">
        <w:rPr>
          <w:rFonts w:ascii="Arial" w:hAnsi="Arial" w:cs="Arial"/>
          <w:sz w:val="20"/>
          <w:szCs w:val="20"/>
        </w:rPr>
        <w:t>MN</w:t>
      </w:r>
      <w:r w:rsidR="00DE07E6" w:rsidRPr="00EF5F4B">
        <w:rPr>
          <w:rFonts w:ascii="Arial" w:hAnsi="Arial" w:cs="Arial"/>
          <w:sz w:val="20"/>
          <w:szCs w:val="20"/>
        </w:rPr>
        <w:t xml:space="preserve"> </w:t>
      </w:r>
      <w:r w:rsidRPr="00EF5F4B">
        <w:rPr>
          <w:rFonts w:ascii="Arial" w:hAnsi="Arial" w:cs="Arial"/>
          <w:sz w:val="20"/>
          <w:szCs w:val="20"/>
        </w:rPr>
        <w:t>,there</w:t>
      </w:r>
      <w:proofErr w:type="gramEnd"/>
      <w:r w:rsidRPr="00EF5F4B">
        <w:rPr>
          <w:rFonts w:ascii="Arial" w:hAnsi="Arial" w:cs="Arial"/>
          <w:sz w:val="20"/>
          <w:szCs w:val="20"/>
        </w:rPr>
        <w:t xml:space="preserve"> are cases in which PLA2R positivity is associated with </w:t>
      </w:r>
      <w:r w:rsidRPr="00EF5F4B">
        <w:rPr>
          <w:rFonts w:ascii="Arial" w:hAnsi="Arial" w:cs="Arial"/>
          <w:sz w:val="20"/>
          <w:szCs w:val="20"/>
        </w:rPr>
        <w:lastRenderedPageBreak/>
        <w:t>secondary forms of membranous nephropathy such as lupus nephritis, hepatitis B virus–associated disease, malignancy-associated MN, and Sj</w:t>
      </w:r>
      <w:r w:rsidR="00C07463" w:rsidRPr="00EF5F4B">
        <w:rPr>
          <w:rFonts w:ascii="Arial" w:hAnsi="Arial" w:cs="Arial"/>
          <w:sz w:val="20"/>
          <w:szCs w:val="20"/>
        </w:rPr>
        <w:t>o</w:t>
      </w:r>
      <w:r w:rsidRPr="00EF5F4B">
        <w:rPr>
          <w:rFonts w:ascii="Arial" w:hAnsi="Arial" w:cs="Arial"/>
          <w:sz w:val="20"/>
          <w:szCs w:val="20"/>
        </w:rPr>
        <w:t>gren’s syndrome</w:t>
      </w:r>
      <w:r w:rsidR="00154280" w:rsidRPr="00EF5F4B">
        <w:rPr>
          <w:rFonts w:ascii="Arial" w:hAnsi="Arial" w:cs="Arial"/>
          <w:sz w:val="20"/>
          <w:szCs w:val="20"/>
        </w:rPr>
        <w:t xml:space="preserve">. Chen et al. </w:t>
      </w:r>
      <w:r w:rsidRPr="00EF5F4B">
        <w:rPr>
          <w:rFonts w:ascii="Arial" w:hAnsi="Arial" w:cs="Arial"/>
          <w:sz w:val="20"/>
          <w:szCs w:val="20"/>
        </w:rPr>
        <w:t xml:space="preserve">in his study </w:t>
      </w:r>
      <w:r w:rsidR="00154280" w:rsidRPr="00EF5F4B">
        <w:rPr>
          <w:rFonts w:ascii="Arial" w:hAnsi="Arial" w:cs="Arial"/>
          <w:sz w:val="20"/>
          <w:szCs w:val="20"/>
        </w:rPr>
        <w:t>further stratified MN cases into PLA</w:t>
      </w:r>
      <w:r w:rsidR="00154280" w:rsidRPr="00EF5F4B">
        <w:rPr>
          <w:rFonts w:ascii="Cambria Math" w:hAnsi="Cambria Math" w:cs="Cambria Math"/>
          <w:sz w:val="20"/>
          <w:szCs w:val="20"/>
        </w:rPr>
        <w:t>₂</w:t>
      </w:r>
      <w:r w:rsidR="00154280" w:rsidRPr="00EF5F4B">
        <w:rPr>
          <w:rFonts w:ascii="Arial" w:hAnsi="Arial" w:cs="Arial"/>
          <w:sz w:val="20"/>
          <w:szCs w:val="20"/>
        </w:rPr>
        <w:t>R-positive patients, resembling idiopathic MN, and PLA</w:t>
      </w:r>
      <w:r w:rsidR="00154280" w:rsidRPr="00EF5F4B">
        <w:rPr>
          <w:rFonts w:ascii="Cambria Math" w:hAnsi="Cambria Math" w:cs="Cambria Math"/>
          <w:sz w:val="20"/>
          <w:szCs w:val="20"/>
        </w:rPr>
        <w:t>₂</w:t>
      </w:r>
      <w:r w:rsidR="00154280" w:rsidRPr="00EF5F4B">
        <w:rPr>
          <w:rFonts w:ascii="Arial" w:hAnsi="Arial" w:cs="Arial"/>
          <w:sz w:val="20"/>
          <w:szCs w:val="20"/>
        </w:rPr>
        <w:t>R-negative cases often associated with mesangial proliferation and hypocomplementemia, consistent with autoimmune-mediated MN</w:t>
      </w:r>
      <w:r w:rsidR="00D22F09" w:rsidRPr="00EF5F4B">
        <w:rPr>
          <w:rFonts w:ascii="Arial" w:hAnsi="Arial" w:cs="Arial"/>
          <w:sz w:val="20"/>
          <w:szCs w:val="20"/>
          <w:vertAlign w:val="superscript"/>
        </w:rPr>
        <w:t>1</w:t>
      </w:r>
      <w:r w:rsidR="00DE07E6" w:rsidRPr="00EF5F4B">
        <w:rPr>
          <w:rFonts w:ascii="Arial" w:hAnsi="Arial" w:cs="Arial"/>
          <w:sz w:val="20"/>
          <w:szCs w:val="20"/>
          <w:vertAlign w:val="superscript"/>
        </w:rPr>
        <w:t>2</w:t>
      </w:r>
      <w:r w:rsidR="00154280" w:rsidRPr="00EF5F4B">
        <w:rPr>
          <w:rFonts w:ascii="Arial" w:hAnsi="Arial" w:cs="Arial"/>
          <w:sz w:val="20"/>
          <w:szCs w:val="20"/>
        </w:rPr>
        <w:t>.</w:t>
      </w:r>
    </w:p>
    <w:p w14:paraId="73A3AE71" w14:textId="0AD762CA" w:rsidR="00154280" w:rsidRPr="00EF5F4B" w:rsidRDefault="00BA2F16" w:rsidP="00154280">
      <w:pPr>
        <w:pStyle w:val="NormalWeb"/>
        <w:jc w:val="both"/>
        <w:rPr>
          <w:rFonts w:ascii="Arial" w:hAnsi="Arial" w:cs="Arial"/>
          <w:sz w:val="20"/>
          <w:szCs w:val="20"/>
        </w:rPr>
      </w:pPr>
      <w:r w:rsidRPr="00EF5F4B">
        <w:rPr>
          <w:rFonts w:ascii="Arial" w:hAnsi="Arial" w:cs="Arial"/>
          <w:sz w:val="20"/>
          <w:szCs w:val="20"/>
        </w:rPr>
        <w:t xml:space="preserve">Renal biopsy is the gold standard test to identify the cause of nephrotic syndrome in the background of autoimmunity. </w:t>
      </w:r>
      <w:proofErr w:type="gramStart"/>
      <w:r w:rsidRPr="00EF5F4B">
        <w:rPr>
          <w:rFonts w:ascii="Arial" w:hAnsi="Arial" w:cs="Arial"/>
          <w:sz w:val="20"/>
          <w:szCs w:val="20"/>
        </w:rPr>
        <w:t>So</w:t>
      </w:r>
      <w:proofErr w:type="gramEnd"/>
      <w:r w:rsidRPr="00EF5F4B">
        <w:rPr>
          <w:rFonts w:ascii="Arial" w:hAnsi="Arial" w:cs="Arial"/>
          <w:sz w:val="20"/>
          <w:szCs w:val="20"/>
        </w:rPr>
        <w:t xml:space="preserve"> we performed renal biopsy in our patient </w:t>
      </w:r>
      <w:r w:rsidR="007F2A13" w:rsidRPr="00EF5F4B">
        <w:rPr>
          <w:rFonts w:ascii="Arial" w:hAnsi="Arial" w:cs="Arial"/>
          <w:sz w:val="20"/>
          <w:szCs w:val="20"/>
        </w:rPr>
        <w:t xml:space="preserve">that </w:t>
      </w:r>
      <w:r w:rsidR="00154280" w:rsidRPr="00EF5F4B">
        <w:rPr>
          <w:rFonts w:ascii="Arial" w:hAnsi="Arial" w:cs="Arial"/>
          <w:sz w:val="20"/>
          <w:szCs w:val="20"/>
        </w:rPr>
        <w:t xml:space="preserve">demonstrated </w:t>
      </w:r>
      <w:r w:rsidR="00775F39" w:rsidRPr="00EF5F4B">
        <w:rPr>
          <w:rFonts w:ascii="Arial" w:hAnsi="Arial" w:cs="Arial"/>
          <w:sz w:val="20"/>
          <w:szCs w:val="20"/>
        </w:rPr>
        <w:t xml:space="preserve">enlarged glomeruli with diffuse thickened capillaries; features suggestive of </w:t>
      </w:r>
      <w:r w:rsidR="00154280" w:rsidRPr="00EF5F4B">
        <w:rPr>
          <w:rFonts w:ascii="Arial" w:hAnsi="Arial" w:cs="Arial"/>
          <w:sz w:val="20"/>
          <w:szCs w:val="20"/>
        </w:rPr>
        <w:t xml:space="preserve">MN with granular IgG1/IgG4 deposits </w:t>
      </w:r>
      <w:r w:rsidR="007F2A13" w:rsidRPr="00EF5F4B">
        <w:rPr>
          <w:rFonts w:ascii="Arial" w:hAnsi="Arial" w:cs="Arial"/>
          <w:sz w:val="20"/>
          <w:szCs w:val="20"/>
        </w:rPr>
        <w:t xml:space="preserve">and </w:t>
      </w:r>
      <w:r w:rsidR="00154280" w:rsidRPr="00EF5F4B">
        <w:rPr>
          <w:rFonts w:ascii="Arial" w:hAnsi="Arial" w:cs="Arial"/>
          <w:sz w:val="20"/>
          <w:szCs w:val="20"/>
        </w:rPr>
        <w:t>tested negative for all currently recognized antigens (PLA</w:t>
      </w:r>
      <w:r w:rsidR="00154280" w:rsidRPr="00EF5F4B">
        <w:rPr>
          <w:rFonts w:ascii="Cambria Math" w:hAnsi="Cambria Math" w:cs="Cambria Math"/>
          <w:sz w:val="20"/>
          <w:szCs w:val="20"/>
        </w:rPr>
        <w:t>₂</w:t>
      </w:r>
      <w:r w:rsidR="00154280" w:rsidRPr="00EF5F4B">
        <w:rPr>
          <w:rFonts w:ascii="Arial" w:hAnsi="Arial" w:cs="Arial"/>
          <w:sz w:val="20"/>
          <w:szCs w:val="20"/>
        </w:rPr>
        <w:t>R, NELL-1, THSD7A, and EXT1)</w:t>
      </w:r>
      <w:r w:rsidR="009D0DB6" w:rsidRPr="00EF5F4B">
        <w:rPr>
          <w:rFonts w:ascii="Arial" w:hAnsi="Arial" w:cs="Arial"/>
          <w:sz w:val="20"/>
          <w:szCs w:val="20"/>
        </w:rPr>
        <w:t xml:space="preserve"> </w:t>
      </w:r>
      <w:r w:rsidR="00154280" w:rsidRPr="00EF5F4B">
        <w:rPr>
          <w:rFonts w:ascii="Arial" w:hAnsi="Arial" w:cs="Arial"/>
          <w:sz w:val="20"/>
          <w:szCs w:val="20"/>
        </w:rPr>
        <w:t>and serum PLA</w:t>
      </w:r>
      <w:r w:rsidR="00154280" w:rsidRPr="00EF5F4B">
        <w:rPr>
          <w:rFonts w:ascii="Cambria Math" w:hAnsi="Cambria Math" w:cs="Cambria Math"/>
          <w:sz w:val="20"/>
          <w:szCs w:val="20"/>
        </w:rPr>
        <w:t>₂</w:t>
      </w:r>
      <w:r w:rsidR="00154280" w:rsidRPr="00EF5F4B">
        <w:rPr>
          <w:rFonts w:ascii="Arial" w:hAnsi="Arial" w:cs="Arial"/>
          <w:sz w:val="20"/>
          <w:szCs w:val="20"/>
        </w:rPr>
        <w:t xml:space="preserve">R antibody levels were also negative, representing a completely antigen-negative profile. </w:t>
      </w:r>
      <w:r w:rsidR="00775F39" w:rsidRPr="00EF5F4B">
        <w:rPr>
          <w:rFonts w:ascii="Arial" w:hAnsi="Arial" w:cs="Arial"/>
          <w:sz w:val="20"/>
          <w:szCs w:val="20"/>
        </w:rPr>
        <w:t xml:space="preserve">Our case of </w:t>
      </w:r>
      <w:r w:rsidR="00D87487" w:rsidRPr="00EF5F4B">
        <w:rPr>
          <w:rFonts w:ascii="Arial" w:hAnsi="Arial" w:cs="Arial"/>
          <w:sz w:val="20"/>
          <w:szCs w:val="20"/>
        </w:rPr>
        <w:t>Sjogren’s</w:t>
      </w:r>
      <w:r w:rsidR="00775F39" w:rsidRPr="00EF5F4B">
        <w:rPr>
          <w:rFonts w:ascii="Arial" w:hAnsi="Arial" w:cs="Arial"/>
          <w:sz w:val="20"/>
          <w:szCs w:val="20"/>
        </w:rPr>
        <w:t xml:space="preserve"> syndrome is one with negative staining for all the antigen testing available. </w:t>
      </w:r>
      <w:r w:rsidR="00154280" w:rsidRPr="00EF5F4B">
        <w:rPr>
          <w:rFonts w:ascii="Arial" w:hAnsi="Arial" w:cs="Arial"/>
          <w:sz w:val="20"/>
          <w:szCs w:val="20"/>
        </w:rPr>
        <w:t>To</w:t>
      </w:r>
      <w:r w:rsidR="00C95C60" w:rsidRPr="00EF5F4B">
        <w:rPr>
          <w:rFonts w:ascii="Arial" w:hAnsi="Arial" w:cs="Arial"/>
          <w:sz w:val="20"/>
          <w:szCs w:val="20"/>
        </w:rPr>
        <w:t xml:space="preserve"> </w:t>
      </w:r>
      <w:r w:rsidR="00154280" w:rsidRPr="00EF5F4B">
        <w:rPr>
          <w:rFonts w:ascii="Arial" w:hAnsi="Arial" w:cs="Arial"/>
          <w:sz w:val="20"/>
          <w:szCs w:val="20"/>
        </w:rPr>
        <w:t>our knowledge, such an antigen-negative MN in the context of SS has not been reported previously and may indicate the existence of as yet unidentified antigenic targets.</w:t>
      </w:r>
    </w:p>
    <w:p w14:paraId="2BC1EFD5" w14:textId="3CB38EC0" w:rsidR="000F4793" w:rsidRDefault="00C95C60" w:rsidP="000F4793">
      <w:pPr>
        <w:pStyle w:val="NormalWeb"/>
        <w:jc w:val="both"/>
        <w:rPr>
          <w:rFonts w:ascii="Arial" w:hAnsi="Arial" w:cs="Arial"/>
          <w:sz w:val="20"/>
          <w:szCs w:val="20"/>
        </w:rPr>
      </w:pPr>
      <w:r w:rsidRPr="00EF5F4B">
        <w:rPr>
          <w:rFonts w:ascii="Arial" w:hAnsi="Arial" w:cs="Arial"/>
          <w:sz w:val="20"/>
          <w:szCs w:val="20"/>
        </w:rPr>
        <w:t xml:space="preserve">The patient was commenced on </w:t>
      </w:r>
      <w:r w:rsidR="007F3A1D" w:rsidRPr="00EF5F4B">
        <w:rPr>
          <w:rFonts w:ascii="Arial" w:hAnsi="Arial" w:cs="Arial"/>
          <w:sz w:val="20"/>
          <w:szCs w:val="20"/>
        </w:rPr>
        <w:t>haemodialysis</w:t>
      </w:r>
      <w:r w:rsidRPr="00EF5F4B">
        <w:rPr>
          <w:rFonts w:ascii="Arial" w:hAnsi="Arial" w:cs="Arial"/>
          <w:sz w:val="20"/>
          <w:szCs w:val="20"/>
        </w:rPr>
        <w:t xml:space="preserve"> session in view of oliguria. She was administered antibiotics, intravenous fluids. We started our patient on c</w:t>
      </w:r>
      <w:r w:rsidR="00154280" w:rsidRPr="00EF5F4B">
        <w:rPr>
          <w:rFonts w:ascii="Arial" w:hAnsi="Arial" w:cs="Arial"/>
          <w:sz w:val="20"/>
          <w:szCs w:val="20"/>
        </w:rPr>
        <w:t>orticosteroids</w:t>
      </w:r>
      <w:r w:rsidR="00613E08" w:rsidRPr="00EF5F4B">
        <w:rPr>
          <w:rFonts w:ascii="Arial" w:hAnsi="Arial" w:cs="Arial"/>
          <w:sz w:val="20"/>
          <w:szCs w:val="20"/>
        </w:rPr>
        <w:t xml:space="preserve"> at the dose 0.5 mg/kg</w:t>
      </w:r>
      <w:r w:rsidR="00154280" w:rsidRPr="00EF5F4B">
        <w:rPr>
          <w:rFonts w:ascii="Arial" w:hAnsi="Arial" w:cs="Arial"/>
          <w:sz w:val="20"/>
          <w:szCs w:val="20"/>
        </w:rPr>
        <w:t xml:space="preserve"> and mycophenolate mofetil (MM</w:t>
      </w:r>
      <w:r w:rsidR="00613E08" w:rsidRPr="00EF5F4B">
        <w:rPr>
          <w:rFonts w:ascii="Arial" w:hAnsi="Arial" w:cs="Arial"/>
          <w:sz w:val="20"/>
          <w:szCs w:val="20"/>
        </w:rPr>
        <w:t xml:space="preserve">S) at the dose of 1.5 mg BD </w:t>
      </w:r>
      <w:r w:rsidRPr="00EF5F4B">
        <w:rPr>
          <w:rFonts w:ascii="Arial" w:hAnsi="Arial" w:cs="Arial"/>
          <w:sz w:val="20"/>
          <w:szCs w:val="20"/>
        </w:rPr>
        <w:t xml:space="preserve">which </w:t>
      </w:r>
      <w:r w:rsidR="00154280" w:rsidRPr="00EF5F4B">
        <w:rPr>
          <w:rFonts w:ascii="Arial" w:hAnsi="Arial" w:cs="Arial"/>
          <w:sz w:val="20"/>
          <w:szCs w:val="20"/>
        </w:rPr>
        <w:t>remain</w:t>
      </w:r>
      <w:r w:rsidRPr="00EF5F4B">
        <w:rPr>
          <w:rFonts w:ascii="Arial" w:hAnsi="Arial" w:cs="Arial"/>
          <w:sz w:val="20"/>
          <w:szCs w:val="20"/>
        </w:rPr>
        <w:t>s</w:t>
      </w:r>
      <w:r w:rsidR="00154280" w:rsidRPr="00EF5F4B">
        <w:rPr>
          <w:rFonts w:ascii="Arial" w:hAnsi="Arial" w:cs="Arial"/>
          <w:sz w:val="20"/>
          <w:szCs w:val="20"/>
        </w:rPr>
        <w:t xml:space="preserve"> the cornerstone of therapy for SS-associated renal disease</w:t>
      </w:r>
      <w:r w:rsidR="00BC5CC2" w:rsidRPr="00EF5F4B">
        <w:rPr>
          <w:rFonts w:ascii="Arial" w:hAnsi="Arial" w:cs="Arial"/>
          <w:sz w:val="20"/>
          <w:szCs w:val="20"/>
          <w:vertAlign w:val="superscript"/>
        </w:rPr>
        <w:t>1</w:t>
      </w:r>
      <w:r w:rsidR="00DE07E6" w:rsidRPr="00EF5F4B">
        <w:rPr>
          <w:rFonts w:ascii="Arial" w:hAnsi="Arial" w:cs="Arial"/>
          <w:sz w:val="20"/>
          <w:szCs w:val="20"/>
          <w:vertAlign w:val="superscript"/>
        </w:rPr>
        <w:t>3</w:t>
      </w:r>
      <w:r w:rsidR="00154280" w:rsidRPr="00EF5F4B">
        <w:rPr>
          <w:rFonts w:ascii="Arial" w:hAnsi="Arial" w:cs="Arial"/>
          <w:sz w:val="20"/>
          <w:szCs w:val="20"/>
        </w:rPr>
        <w:t xml:space="preserve">. </w:t>
      </w:r>
      <w:r w:rsidR="007F3A1D" w:rsidRPr="00EF5F4B">
        <w:rPr>
          <w:rFonts w:ascii="Arial" w:hAnsi="Arial" w:cs="Arial"/>
          <w:sz w:val="20"/>
          <w:szCs w:val="20"/>
        </w:rPr>
        <w:t xml:space="preserve">Ocular dryness was managed with lubricants hydroxypropyl methylcellulose, while systemic secretagogues such as pilocarpine was given to salivary flow rates. </w:t>
      </w:r>
      <w:r w:rsidR="00154280" w:rsidRPr="00EF5F4B">
        <w:rPr>
          <w:rFonts w:ascii="Arial" w:hAnsi="Arial" w:cs="Arial"/>
          <w:sz w:val="20"/>
          <w:szCs w:val="20"/>
        </w:rPr>
        <w:t xml:space="preserve">Our patient showed a </w:t>
      </w:r>
      <w:r w:rsidR="00BC5CC2" w:rsidRPr="00EF5F4B">
        <w:rPr>
          <w:rFonts w:ascii="Arial" w:hAnsi="Arial" w:cs="Arial"/>
          <w:sz w:val="20"/>
          <w:szCs w:val="20"/>
        </w:rPr>
        <w:t>favourable</w:t>
      </w:r>
      <w:r w:rsidR="00154280" w:rsidRPr="00EF5F4B">
        <w:rPr>
          <w:rFonts w:ascii="Arial" w:hAnsi="Arial" w:cs="Arial"/>
          <w:sz w:val="20"/>
          <w:szCs w:val="20"/>
        </w:rPr>
        <w:t xml:space="preserve"> early response to this regimen, with marked improvement in both renal function and proteinuria. </w:t>
      </w:r>
      <w:r w:rsidRPr="00EF5F4B">
        <w:rPr>
          <w:rFonts w:ascii="Arial" w:hAnsi="Arial" w:cs="Arial"/>
          <w:sz w:val="20"/>
          <w:szCs w:val="20"/>
        </w:rPr>
        <w:t xml:space="preserve">She became dialysis free within 14 days and was discharged with adequate urine output and stable RFT’s. </w:t>
      </w:r>
      <w:r w:rsidR="00154280" w:rsidRPr="00EF5F4B">
        <w:rPr>
          <w:rFonts w:ascii="Arial" w:hAnsi="Arial" w:cs="Arial"/>
          <w:sz w:val="20"/>
          <w:szCs w:val="20"/>
        </w:rPr>
        <w:t>This case underscores an unusual but clinically important manifestation—secondary MN in a young patient with SS</w:t>
      </w:r>
      <w:r w:rsidRPr="00EF5F4B">
        <w:rPr>
          <w:rFonts w:ascii="Arial" w:hAnsi="Arial" w:cs="Arial"/>
          <w:sz w:val="20"/>
          <w:szCs w:val="20"/>
        </w:rPr>
        <w:t xml:space="preserve"> </w:t>
      </w:r>
      <w:r w:rsidR="00154280" w:rsidRPr="00EF5F4B">
        <w:rPr>
          <w:rFonts w:ascii="Arial" w:hAnsi="Arial" w:cs="Arial"/>
          <w:sz w:val="20"/>
          <w:szCs w:val="20"/>
        </w:rPr>
        <w:t>—and highlights the importance of pursuing renal biopsy even when systemic disease activity scores ESSDAI appear low.</w:t>
      </w:r>
    </w:p>
    <w:p w14:paraId="4F783151" w14:textId="5108DAE6" w:rsidR="00D11DA7" w:rsidRDefault="00D11DA7" w:rsidP="000F4793">
      <w:pPr>
        <w:pStyle w:val="NormalWeb"/>
        <w:jc w:val="both"/>
        <w:rPr>
          <w:rFonts w:ascii="Arial" w:hAnsi="Arial" w:cs="Arial"/>
          <w:sz w:val="20"/>
          <w:szCs w:val="20"/>
        </w:rPr>
      </w:pPr>
    </w:p>
    <w:p w14:paraId="5BC287AA" w14:textId="50DB63FE" w:rsidR="00D11DA7" w:rsidRDefault="00D11DA7" w:rsidP="000F4793">
      <w:pPr>
        <w:pStyle w:val="NormalWeb"/>
        <w:jc w:val="both"/>
        <w:rPr>
          <w:rFonts w:ascii="Arial" w:hAnsi="Arial" w:cs="Arial"/>
          <w:sz w:val="20"/>
          <w:szCs w:val="20"/>
        </w:rPr>
      </w:pPr>
    </w:p>
    <w:p w14:paraId="0B97DBF2" w14:textId="77777777" w:rsidR="00D11DA7" w:rsidRDefault="00D11DA7" w:rsidP="000F4793">
      <w:pPr>
        <w:pStyle w:val="NormalWeb"/>
        <w:jc w:val="both"/>
        <w:rPr>
          <w:rFonts w:ascii="Arial" w:hAnsi="Arial" w:cs="Arial"/>
          <w:sz w:val="20"/>
          <w:szCs w:val="20"/>
        </w:rPr>
      </w:pPr>
    </w:p>
    <w:p w14:paraId="66311E34" w14:textId="5DA205B6" w:rsidR="000F4793" w:rsidRPr="000F4793" w:rsidRDefault="0067751E" w:rsidP="000F4793">
      <w:pPr>
        <w:pStyle w:val="NormalWeb"/>
        <w:jc w:val="both"/>
        <w:rPr>
          <w:rFonts w:ascii="Arial" w:hAnsi="Arial" w:cs="Arial"/>
          <w:b/>
          <w:bCs/>
          <w:sz w:val="20"/>
          <w:szCs w:val="20"/>
        </w:rPr>
      </w:pPr>
      <w:r w:rsidRPr="000F4793">
        <w:rPr>
          <w:rFonts w:ascii="Arial" w:hAnsi="Arial" w:cs="Arial"/>
          <w:sz w:val="20"/>
          <w:szCs w:val="20"/>
        </w:rPr>
        <w:br/>
      </w:r>
      <w:r w:rsidR="000F4793" w:rsidRPr="000F4793">
        <w:rPr>
          <w:rFonts w:ascii="Arial" w:eastAsiaTheme="minorHAnsi" w:hAnsi="Arial" w:cs="Arial"/>
          <w:b/>
          <w:bCs/>
          <w:sz w:val="20"/>
          <w:szCs w:val="20"/>
          <w:lang w:val="en-US"/>
        </w:rPr>
        <w:t xml:space="preserve">References </w:t>
      </w:r>
    </w:p>
    <w:p w14:paraId="05B6F060" w14:textId="77777777" w:rsidR="00A640E4" w:rsidRDefault="00A640E4" w:rsidP="000F4793">
      <w:pPr>
        <w:numPr>
          <w:ilvl w:val="0"/>
          <w:numId w:val="5"/>
        </w:numPr>
        <w:jc w:val="both"/>
        <w:rPr>
          <w:rFonts w:ascii="Arial" w:hAnsi="Arial" w:cs="Arial"/>
          <w:sz w:val="20"/>
          <w:szCs w:val="20"/>
          <w:lang w:val="en-US"/>
        </w:rPr>
      </w:pPr>
      <w:r w:rsidRPr="00A640E4">
        <w:rPr>
          <w:rFonts w:ascii="Arial" w:hAnsi="Arial" w:cs="Arial"/>
          <w:sz w:val="20"/>
          <w:szCs w:val="20"/>
          <w:lang w:val="en-US"/>
        </w:rPr>
        <w:t xml:space="preserve">André, F., &amp; </w:t>
      </w:r>
      <w:proofErr w:type="spellStart"/>
      <w:r w:rsidRPr="00A640E4">
        <w:rPr>
          <w:rFonts w:ascii="Arial" w:hAnsi="Arial" w:cs="Arial"/>
          <w:sz w:val="20"/>
          <w:szCs w:val="20"/>
          <w:lang w:val="en-US"/>
        </w:rPr>
        <w:t>Böckle</w:t>
      </w:r>
      <w:proofErr w:type="spellEnd"/>
      <w:r w:rsidRPr="00A640E4">
        <w:rPr>
          <w:rFonts w:ascii="Arial" w:hAnsi="Arial" w:cs="Arial"/>
          <w:sz w:val="20"/>
          <w:szCs w:val="20"/>
          <w:lang w:val="en-US"/>
        </w:rPr>
        <w:t xml:space="preserve">, B. C. (2022). </w:t>
      </w:r>
      <w:proofErr w:type="spellStart"/>
      <w:r w:rsidRPr="00A640E4">
        <w:rPr>
          <w:rFonts w:ascii="Arial" w:hAnsi="Arial" w:cs="Arial"/>
          <w:sz w:val="20"/>
          <w:szCs w:val="20"/>
          <w:lang w:val="en-US"/>
        </w:rPr>
        <w:t>Sjögren's</w:t>
      </w:r>
      <w:proofErr w:type="spellEnd"/>
      <w:r w:rsidRPr="00A640E4">
        <w:rPr>
          <w:rFonts w:ascii="Arial" w:hAnsi="Arial" w:cs="Arial"/>
          <w:sz w:val="20"/>
          <w:szCs w:val="20"/>
          <w:lang w:val="en-US"/>
        </w:rPr>
        <w:t xml:space="preserve"> syndrome. J </w:t>
      </w:r>
      <w:proofErr w:type="spellStart"/>
      <w:r w:rsidRPr="00A640E4">
        <w:rPr>
          <w:rFonts w:ascii="Arial" w:hAnsi="Arial" w:cs="Arial"/>
          <w:sz w:val="20"/>
          <w:szCs w:val="20"/>
          <w:lang w:val="en-US"/>
        </w:rPr>
        <w:t>Dtsch</w:t>
      </w:r>
      <w:proofErr w:type="spellEnd"/>
      <w:r w:rsidRPr="00A640E4">
        <w:rPr>
          <w:rFonts w:ascii="Arial" w:hAnsi="Arial" w:cs="Arial"/>
          <w:sz w:val="20"/>
          <w:szCs w:val="20"/>
          <w:lang w:val="en-US"/>
        </w:rPr>
        <w:t xml:space="preserve"> Dermatol </w:t>
      </w:r>
      <w:proofErr w:type="spellStart"/>
      <w:r w:rsidRPr="00A640E4">
        <w:rPr>
          <w:rFonts w:ascii="Arial" w:hAnsi="Arial" w:cs="Arial"/>
          <w:sz w:val="20"/>
          <w:szCs w:val="20"/>
          <w:lang w:val="en-US"/>
        </w:rPr>
        <w:t>Ges</w:t>
      </w:r>
      <w:proofErr w:type="spellEnd"/>
      <w:r w:rsidRPr="00A640E4">
        <w:rPr>
          <w:rFonts w:ascii="Arial" w:hAnsi="Arial" w:cs="Arial"/>
          <w:sz w:val="20"/>
          <w:szCs w:val="20"/>
          <w:lang w:val="en-US"/>
        </w:rPr>
        <w:t xml:space="preserve">, 20(7), 980-1002. </w:t>
      </w:r>
      <w:hyperlink r:id="rId7" w:history="1">
        <w:r w:rsidRPr="0036680F">
          <w:rPr>
            <w:rStyle w:val="Hyperlink"/>
            <w:rFonts w:ascii="Arial" w:hAnsi="Arial" w:cs="Arial"/>
            <w:sz w:val="20"/>
            <w:szCs w:val="20"/>
            <w:lang w:val="en-US"/>
          </w:rPr>
          <w:t>https://doi.org/10.1111/ddg.14823</w:t>
        </w:r>
      </w:hyperlink>
      <w:r>
        <w:rPr>
          <w:rFonts w:ascii="Arial" w:hAnsi="Arial" w:cs="Arial"/>
          <w:sz w:val="20"/>
          <w:szCs w:val="20"/>
          <w:lang w:val="en-US"/>
        </w:rPr>
        <w:t xml:space="preserve"> </w:t>
      </w:r>
    </w:p>
    <w:p w14:paraId="59D8570A" w14:textId="0D515F05" w:rsidR="000F4793" w:rsidRPr="000F4793" w:rsidRDefault="00A640E4" w:rsidP="000F4793">
      <w:pPr>
        <w:numPr>
          <w:ilvl w:val="0"/>
          <w:numId w:val="5"/>
        </w:numPr>
        <w:jc w:val="both"/>
        <w:rPr>
          <w:rFonts w:ascii="Arial" w:hAnsi="Arial" w:cs="Arial"/>
          <w:sz w:val="20"/>
          <w:szCs w:val="20"/>
          <w:lang w:val="en-US"/>
        </w:rPr>
      </w:pPr>
      <w:r>
        <w:rPr>
          <w:rFonts w:ascii="Arial" w:hAnsi="Arial" w:cs="Arial"/>
          <w:sz w:val="20"/>
          <w:szCs w:val="20"/>
          <w:lang w:val="en-US"/>
        </w:rPr>
        <w:t xml:space="preserve"> </w:t>
      </w:r>
      <w:proofErr w:type="spellStart"/>
      <w:r w:rsidR="000F4793" w:rsidRPr="000F4793">
        <w:rPr>
          <w:rFonts w:ascii="Arial" w:hAnsi="Arial" w:cs="Arial"/>
          <w:sz w:val="20"/>
          <w:szCs w:val="20"/>
          <w:lang w:val="en-US"/>
        </w:rPr>
        <w:t>Seror</w:t>
      </w:r>
      <w:proofErr w:type="spellEnd"/>
      <w:r w:rsidR="000F4793" w:rsidRPr="000F4793">
        <w:rPr>
          <w:rFonts w:ascii="Arial" w:hAnsi="Arial" w:cs="Arial"/>
          <w:sz w:val="20"/>
          <w:szCs w:val="20"/>
          <w:lang w:val="en-US"/>
        </w:rPr>
        <w:t xml:space="preserve"> R, Bowman SJ, Brito-Zeron P, Theander E, Bootsma H, </w:t>
      </w:r>
      <w:proofErr w:type="spellStart"/>
      <w:r w:rsidR="000F4793" w:rsidRPr="000F4793">
        <w:rPr>
          <w:rFonts w:ascii="Arial" w:hAnsi="Arial" w:cs="Arial"/>
          <w:sz w:val="20"/>
          <w:szCs w:val="20"/>
          <w:lang w:val="en-US"/>
        </w:rPr>
        <w:t>Tzioufas</w:t>
      </w:r>
      <w:proofErr w:type="spellEnd"/>
      <w:r w:rsidR="000F4793" w:rsidRPr="000F4793">
        <w:rPr>
          <w:rFonts w:ascii="Arial" w:hAnsi="Arial" w:cs="Arial"/>
          <w:sz w:val="20"/>
          <w:szCs w:val="20"/>
          <w:lang w:val="en-US"/>
        </w:rPr>
        <w:t xml:space="preserve"> A, et al. EULAR Sjögren's syndrome disease activity index (ESSDAI): a user guide. RMD Open. 2015 Feb 20;1(1</w:t>
      </w:r>
      <w:proofErr w:type="gramStart"/>
      <w:r w:rsidR="000F4793" w:rsidRPr="000F4793">
        <w:rPr>
          <w:rFonts w:ascii="Arial" w:hAnsi="Arial" w:cs="Arial"/>
          <w:sz w:val="20"/>
          <w:szCs w:val="20"/>
          <w:lang w:val="en-US"/>
        </w:rPr>
        <w:t>):e000022.DOI</w:t>
      </w:r>
      <w:proofErr w:type="gramEnd"/>
      <w:r w:rsidR="000F4793" w:rsidRPr="000F4793">
        <w:rPr>
          <w:rFonts w:ascii="Arial" w:hAnsi="Arial" w:cs="Arial"/>
          <w:sz w:val="20"/>
          <w:szCs w:val="20"/>
          <w:lang w:val="en-US"/>
        </w:rPr>
        <w:t>: 10.1136/rmdopen-2015-000022</w:t>
      </w:r>
    </w:p>
    <w:p w14:paraId="3858A84A" w14:textId="77777777" w:rsidR="00A640E4" w:rsidRDefault="00A640E4" w:rsidP="000F4793">
      <w:pPr>
        <w:numPr>
          <w:ilvl w:val="0"/>
          <w:numId w:val="5"/>
        </w:numPr>
        <w:jc w:val="both"/>
        <w:rPr>
          <w:rFonts w:ascii="Arial" w:hAnsi="Arial" w:cs="Arial"/>
          <w:sz w:val="20"/>
          <w:szCs w:val="20"/>
          <w:lang w:val="en-US"/>
        </w:rPr>
      </w:pPr>
      <w:r w:rsidRPr="00A640E4">
        <w:rPr>
          <w:rFonts w:ascii="Arial" w:hAnsi="Arial" w:cs="Arial"/>
          <w:sz w:val="20"/>
          <w:szCs w:val="20"/>
          <w:lang w:val="en-US"/>
        </w:rPr>
        <w:t xml:space="preserve">Ramos-Casals, M., </w:t>
      </w:r>
      <w:proofErr w:type="spellStart"/>
      <w:r w:rsidRPr="00A640E4">
        <w:rPr>
          <w:rFonts w:ascii="Arial" w:hAnsi="Arial" w:cs="Arial"/>
          <w:sz w:val="20"/>
          <w:szCs w:val="20"/>
          <w:lang w:val="en-US"/>
        </w:rPr>
        <w:t>Solans</w:t>
      </w:r>
      <w:proofErr w:type="spellEnd"/>
      <w:r w:rsidRPr="00A640E4">
        <w:rPr>
          <w:rFonts w:ascii="Arial" w:hAnsi="Arial" w:cs="Arial"/>
          <w:sz w:val="20"/>
          <w:szCs w:val="20"/>
          <w:lang w:val="en-US"/>
        </w:rPr>
        <w:t>, R., Rosas, J., Camps, M. T., Gil, A., Del Pino-Montes, J., Calvo-</w:t>
      </w:r>
      <w:proofErr w:type="spellStart"/>
      <w:r w:rsidRPr="00A640E4">
        <w:rPr>
          <w:rFonts w:ascii="Arial" w:hAnsi="Arial" w:cs="Arial"/>
          <w:sz w:val="20"/>
          <w:szCs w:val="20"/>
          <w:lang w:val="en-US"/>
        </w:rPr>
        <w:t>Alen</w:t>
      </w:r>
      <w:proofErr w:type="spellEnd"/>
      <w:r w:rsidRPr="00A640E4">
        <w:rPr>
          <w:rFonts w:ascii="Arial" w:hAnsi="Arial" w:cs="Arial"/>
          <w:sz w:val="20"/>
          <w:szCs w:val="20"/>
          <w:lang w:val="en-US"/>
        </w:rPr>
        <w:t xml:space="preserve">, J., Jiménez-Alonso, J., </w:t>
      </w:r>
      <w:proofErr w:type="spellStart"/>
      <w:r w:rsidRPr="00A640E4">
        <w:rPr>
          <w:rFonts w:ascii="Arial" w:hAnsi="Arial" w:cs="Arial"/>
          <w:sz w:val="20"/>
          <w:szCs w:val="20"/>
          <w:lang w:val="en-US"/>
        </w:rPr>
        <w:t>Micó</w:t>
      </w:r>
      <w:proofErr w:type="spellEnd"/>
      <w:r w:rsidRPr="00A640E4">
        <w:rPr>
          <w:rFonts w:ascii="Arial" w:hAnsi="Arial" w:cs="Arial"/>
          <w:sz w:val="20"/>
          <w:szCs w:val="20"/>
          <w:lang w:val="en-US"/>
        </w:rPr>
        <w:t xml:space="preserve">, M. L., </w:t>
      </w:r>
      <w:proofErr w:type="spellStart"/>
      <w:r w:rsidRPr="00A640E4">
        <w:rPr>
          <w:rFonts w:ascii="Arial" w:hAnsi="Arial" w:cs="Arial"/>
          <w:sz w:val="20"/>
          <w:szCs w:val="20"/>
          <w:lang w:val="en-US"/>
        </w:rPr>
        <w:t>Beltrán</w:t>
      </w:r>
      <w:proofErr w:type="spellEnd"/>
      <w:r w:rsidRPr="00A640E4">
        <w:rPr>
          <w:rFonts w:ascii="Arial" w:hAnsi="Arial" w:cs="Arial"/>
          <w:sz w:val="20"/>
          <w:szCs w:val="20"/>
          <w:lang w:val="en-US"/>
        </w:rPr>
        <w:t xml:space="preserve">, J., </w:t>
      </w:r>
      <w:proofErr w:type="spellStart"/>
      <w:r w:rsidRPr="00A640E4">
        <w:rPr>
          <w:rFonts w:ascii="Arial" w:hAnsi="Arial" w:cs="Arial"/>
          <w:sz w:val="20"/>
          <w:szCs w:val="20"/>
          <w:lang w:val="en-US"/>
        </w:rPr>
        <w:t>Belenguer</w:t>
      </w:r>
      <w:proofErr w:type="spellEnd"/>
      <w:r w:rsidRPr="00A640E4">
        <w:rPr>
          <w:rFonts w:ascii="Arial" w:hAnsi="Arial" w:cs="Arial"/>
          <w:sz w:val="20"/>
          <w:szCs w:val="20"/>
          <w:lang w:val="en-US"/>
        </w:rPr>
        <w:t xml:space="preserve">, R., &amp; </w:t>
      </w:r>
      <w:proofErr w:type="spellStart"/>
      <w:r w:rsidRPr="00A640E4">
        <w:rPr>
          <w:rFonts w:ascii="Arial" w:hAnsi="Arial" w:cs="Arial"/>
          <w:sz w:val="20"/>
          <w:szCs w:val="20"/>
          <w:lang w:val="en-US"/>
        </w:rPr>
        <w:t>Pallarés</w:t>
      </w:r>
      <w:proofErr w:type="spellEnd"/>
      <w:r w:rsidRPr="00A640E4">
        <w:rPr>
          <w:rFonts w:ascii="Arial" w:hAnsi="Arial" w:cs="Arial"/>
          <w:sz w:val="20"/>
          <w:szCs w:val="20"/>
          <w:lang w:val="en-US"/>
        </w:rPr>
        <w:t xml:space="preserve">, L. (2008). Primary </w:t>
      </w:r>
      <w:proofErr w:type="spellStart"/>
      <w:r w:rsidRPr="00A640E4">
        <w:rPr>
          <w:rFonts w:ascii="Arial" w:hAnsi="Arial" w:cs="Arial"/>
          <w:sz w:val="20"/>
          <w:szCs w:val="20"/>
          <w:lang w:val="en-US"/>
        </w:rPr>
        <w:t>Sjögren</w:t>
      </w:r>
      <w:proofErr w:type="spellEnd"/>
      <w:r w:rsidRPr="00A640E4">
        <w:rPr>
          <w:rFonts w:ascii="Arial" w:hAnsi="Arial" w:cs="Arial"/>
          <w:sz w:val="20"/>
          <w:szCs w:val="20"/>
          <w:lang w:val="en-US"/>
        </w:rPr>
        <w:t xml:space="preserve"> syndrome in Spain: clinical and immunologic expression in 1010 patients. *Medicine (Baltimore)*, *87*(4), 210–219. </w:t>
      </w:r>
      <w:hyperlink r:id="rId8" w:history="1">
        <w:r w:rsidRPr="0036680F">
          <w:rPr>
            <w:rStyle w:val="Hyperlink"/>
            <w:rFonts w:ascii="Arial" w:hAnsi="Arial" w:cs="Arial"/>
            <w:sz w:val="20"/>
            <w:szCs w:val="20"/>
            <w:lang w:val="en-US"/>
          </w:rPr>
          <w:t>https://doi.org/10.1097/MD.0b013e318181e6af</w:t>
        </w:r>
      </w:hyperlink>
      <w:r>
        <w:rPr>
          <w:rFonts w:ascii="Arial" w:hAnsi="Arial" w:cs="Arial"/>
          <w:sz w:val="20"/>
          <w:szCs w:val="20"/>
          <w:lang w:val="en-US"/>
        </w:rPr>
        <w:t xml:space="preserve"> </w:t>
      </w:r>
    </w:p>
    <w:p w14:paraId="56553284" w14:textId="3F40E9DD" w:rsidR="000F4793" w:rsidRPr="000F4793" w:rsidRDefault="000F4793" w:rsidP="000F4793">
      <w:pPr>
        <w:numPr>
          <w:ilvl w:val="0"/>
          <w:numId w:val="5"/>
        </w:numPr>
        <w:jc w:val="both"/>
        <w:rPr>
          <w:rFonts w:ascii="Arial" w:hAnsi="Arial" w:cs="Arial"/>
          <w:sz w:val="20"/>
          <w:szCs w:val="20"/>
          <w:lang w:val="en-US"/>
        </w:rPr>
      </w:pPr>
      <w:proofErr w:type="spellStart"/>
      <w:r w:rsidRPr="000F4793">
        <w:rPr>
          <w:rFonts w:ascii="Arial" w:hAnsi="Arial" w:cs="Arial"/>
          <w:sz w:val="20"/>
          <w:szCs w:val="20"/>
          <w:lang w:val="en-US"/>
        </w:rPr>
        <w:t>Shiboski</w:t>
      </w:r>
      <w:proofErr w:type="spellEnd"/>
      <w:r w:rsidRPr="000F4793">
        <w:rPr>
          <w:rFonts w:ascii="Arial" w:hAnsi="Arial" w:cs="Arial"/>
          <w:sz w:val="20"/>
          <w:szCs w:val="20"/>
          <w:lang w:val="en-US"/>
        </w:rPr>
        <w:t xml:space="preserve"> CH, </w:t>
      </w:r>
      <w:proofErr w:type="spellStart"/>
      <w:r w:rsidRPr="000F4793">
        <w:rPr>
          <w:rFonts w:ascii="Arial" w:hAnsi="Arial" w:cs="Arial"/>
          <w:sz w:val="20"/>
          <w:szCs w:val="20"/>
          <w:lang w:val="en-US"/>
        </w:rPr>
        <w:t>Shiboski</w:t>
      </w:r>
      <w:proofErr w:type="spellEnd"/>
      <w:r w:rsidRPr="000F4793">
        <w:rPr>
          <w:rFonts w:ascii="Arial" w:hAnsi="Arial" w:cs="Arial"/>
          <w:sz w:val="20"/>
          <w:szCs w:val="20"/>
          <w:lang w:val="en-US"/>
        </w:rPr>
        <w:t xml:space="preserve"> SC, Seror R, Criswell LA, </w:t>
      </w:r>
      <w:proofErr w:type="spellStart"/>
      <w:r w:rsidRPr="000F4793">
        <w:rPr>
          <w:rFonts w:ascii="Arial" w:hAnsi="Arial" w:cs="Arial"/>
          <w:sz w:val="20"/>
          <w:szCs w:val="20"/>
          <w:lang w:val="en-US"/>
        </w:rPr>
        <w:t>Labetoulle</w:t>
      </w:r>
      <w:proofErr w:type="spellEnd"/>
      <w:r w:rsidRPr="000F4793">
        <w:rPr>
          <w:rFonts w:ascii="Arial" w:hAnsi="Arial" w:cs="Arial"/>
          <w:sz w:val="20"/>
          <w:szCs w:val="20"/>
          <w:lang w:val="en-US"/>
        </w:rPr>
        <w:t xml:space="preserve"> M, </w:t>
      </w:r>
      <w:proofErr w:type="spellStart"/>
      <w:r w:rsidRPr="000F4793">
        <w:rPr>
          <w:rFonts w:ascii="Arial" w:hAnsi="Arial" w:cs="Arial"/>
          <w:sz w:val="20"/>
          <w:szCs w:val="20"/>
          <w:lang w:val="en-US"/>
        </w:rPr>
        <w:t>Lietman</w:t>
      </w:r>
      <w:proofErr w:type="spellEnd"/>
      <w:r w:rsidRPr="000F4793">
        <w:rPr>
          <w:rFonts w:ascii="Arial" w:hAnsi="Arial" w:cs="Arial"/>
          <w:sz w:val="20"/>
          <w:szCs w:val="20"/>
          <w:lang w:val="en-US"/>
        </w:rPr>
        <w:t xml:space="preserve"> TM, Rasmussen A, Scofield H, Vitali C, Bowman SJ, Mariette X; International Sjögren's Syndrome Criteria Working Group. 2016 American College of Rheumatology/European League Against Rheumatism classification criteria for primary Sjögren's syndrome: A consensus and data-driven methodology involving three international patient cohorts. Ann Rheum Dis. 2017 Jan;76(1</w:t>
      </w:r>
      <w:proofErr w:type="gramStart"/>
      <w:r w:rsidRPr="000F4793">
        <w:rPr>
          <w:rFonts w:ascii="Arial" w:hAnsi="Arial" w:cs="Arial"/>
          <w:sz w:val="20"/>
          <w:szCs w:val="20"/>
          <w:lang w:val="en-US"/>
        </w:rPr>
        <w:t>):9-16.DOI</w:t>
      </w:r>
      <w:proofErr w:type="gramEnd"/>
      <w:r w:rsidRPr="000F4793">
        <w:rPr>
          <w:rFonts w:ascii="Arial" w:hAnsi="Arial" w:cs="Arial"/>
          <w:sz w:val="20"/>
          <w:szCs w:val="20"/>
          <w:lang w:val="en-US"/>
        </w:rPr>
        <w:t>:10.1136/annrheumdis-2016-210492</w:t>
      </w:r>
    </w:p>
    <w:p w14:paraId="3755C866" w14:textId="77777777" w:rsidR="00A640E4" w:rsidRDefault="00A640E4" w:rsidP="000F4793">
      <w:pPr>
        <w:numPr>
          <w:ilvl w:val="0"/>
          <w:numId w:val="5"/>
        </w:numPr>
        <w:jc w:val="both"/>
        <w:rPr>
          <w:rFonts w:ascii="Arial" w:hAnsi="Arial" w:cs="Arial"/>
          <w:sz w:val="20"/>
          <w:szCs w:val="20"/>
          <w:lang w:val="en-US"/>
        </w:rPr>
      </w:pPr>
      <w:proofErr w:type="spellStart"/>
      <w:r w:rsidRPr="00A640E4">
        <w:rPr>
          <w:rFonts w:ascii="Arial" w:hAnsi="Arial" w:cs="Arial"/>
          <w:sz w:val="20"/>
          <w:szCs w:val="20"/>
          <w:lang w:val="en-US"/>
        </w:rPr>
        <w:t>Maripuri</w:t>
      </w:r>
      <w:proofErr w:type="spellEnd"/>
      <w:r w:rsidRPr="00A640E4">
        <w:rPr>
          <w:rFonts w:ascii="Arial" w:hAnsi="Arial" w:cs="Arial"/>
          <w:sz w:val="20"/>
          <w:szCs w:val="20"/>
          <w:lang w:val="en-US"/>
        </w:rPr>
        <w:t xml:space="preserve">, S., Grande, J. P., Osborn, T. G., </w:t>
      </w:r>
      <w:proofErr w:type="spellStart"/>
      <w:r w:rsidRPr="00A640E4">
        <w:rPr>
          <w:rFonts w:ascii="Arial" w:hAnsi="Arial" w:cs="Arial"/>
          <w:sz w:val="20"/>
          <w:szCs w:val="20"/>
          <w:lang w:val="en-US"/>
        </w:rPr>
        <w:t>Fervenza</w:t>
      </w:r>
      <w:proofErr w:type="spellEnd"/>
      <w:r w:rsidRPr="00A640E4">
        <w:rPr>
          <w:rFonts w:ascii="Arial" w:hAnsi="Arial" w:cs="Arial"/>
          <w:sz w:val="20"/>
          <w:szCs w:val="20"/>
          <w:lang w:val="en-US"/>
        </w:rPr>
        <w:t xml:space="preserve">, F. C., Matteson, E. L., </w:t>
      </w:r>
      <w:proofErr w:type="spellStart"/>
      <w:r w:rsidRPr="00A640E4">
        <w:rPr>
          <w:rFonts w:ascii="Arial" w:hAnsi="Arial" w:cs="Arial"/>
          <w:sz w:val="20"/>
          <w:szCs w:val="20"/>
          <w:lang w:val="en-US"/>
        </w:rPr>
        <w:t>Donadio</w:t>
      </w:r>
      <w:proofErr w:type="spellEnd"/>
      <w:r w:rsidRPr="00A640E4">
        <w:rPr>
          <w:rFonts w:ascii="Arial" w:hAnsi="Arial" w:cs="Arial"/>
          <w:sz w:val="20"/>
          <w:szCs w:val="20"/>
          <w:lang w:val="en-US"/>
        </w:rPr>
        <w:t xml:space="preserve">, J. V., et al. (2009). Renal involvement in primary </w:t>
      </w:r>
      <w:proofErr w:type="spellStart"/>
      <w:r w:rsidRPr="00A640E4">
        <w:rPr>
          <w:rFonts w:ascii="Arial" w:hAnsi="Arial" w:cs="Arial"/>
          <w:sz w:val="20"/>
          <w:szCs w:val="20"/>
          <w:lang w:val="en-US"/>
        </w:rPr>
        <w:t>Sjögren's</w:t>
      </w:r>
      <w:proofErr w:type="spellEnd"/>
      <w:r w:rsidRPr="00A640E4">
        <w:rPr>
          <w:rFonts w:ascii="Arial" w:hAnsi="Arial" w:cs="Arial"/>
          <w:sz w:val="20"/>
          <w:szCs w:val="20"/>
          <w:lang w:val="en-US"/>
        </w:rPr>
        <w:t xml:space="preserve"> syndrome: A clinicopathologic study. Clinical Journal of the American Society of Nephrology, 4(9), 1423-1431. </w:t>
      </w:r>
      <w:hyperlink r:id="rId9" w:history="1">
        <w:r w:rsidRPr="0036680F">
          <w:rPr>
            <w:rStyle w:val="Hyperlink"/>
            <w:rFonts w:ascii="Arial" w:hAnsi="Arial" w:cs="Arial"/>
            <w:sz w:val="20"/>
            <w:szCs w:val="20"/>
            <w:lang w:val="en-US"/>
          </w:rPr>
          <w:t>https://doi.org/10.2215/CJN.00980209</w:t>
        </w:r>
      </w:hyperlink>
      <w:r>
        <w:rPr>
          <w:rFonts w:ascii="Arial" w:hAnsi="Arial" w:cs="Arial"/>
          <w:sz w:val="20"/>
          <w:szCs w:val="20"/>
          <w:lang w:val="en-US"/>
        </w:rPr>
        <w:t xml:space="preserve"> </w:t>
      </w:r>
    </w:p>
    <w:p w14:paraId="1279EB39" w14:textId="77777777" w:rsidR="00A640E4" w:rsidRDefault="00A640E4" w:rsidP="000F4793">
      <w:pPr>
        <w:numPr>
          <w:ilvl w:val="0"/>
          <w:numId w:val="5"/>
        </w:numPr>
        <w:jc w:val="both"/>
        <w:rPr>
          <w:rFonts w:ascii="Arial" w:hAnsi="Arial" w:cs="Arial"/>
          <w:sz w:val="20"/>
          <w:szCs w:val="20"/>
          <w:lang w:val="en-US"/>
        </w:rPr>
      </w:pPr>
      <w:proofErr w:type="spellStart"/>
      <w:r w:rsidRPr="00A640E4">
        <w:rPr>
          <w:rFonts w:ascii="Arial" w:hAnsi="Arial" w:cs="Arial"/>
          <w:sz w:val="20"/>
          <w:szCs w:val="20"/>
          <w:lang w:val="en-US"/>
        </w:rPr>
        <w:lastRenderedPageBreak/>
        <w:t>Aiyegbusi</w:t>
      </w:r>
      <w:proofErr w:type="spellEnd"/>
      <w:r w:rsidRPr="00A640E4">
        <w:rPr>
          <w:rFonts w:ascii="Arial" w:hAnsi="Arial" w:cs="Arial"/>
          <w:sz w:val="20"/>
          <w:szCs w:val="20"/>
          <w:lang w:val="en-US"/>
        </w:rPr>
        <w:t xml:space="preserve">, O., McGregor, L., </w:t>
      </w:r>
      <w:proofErr w:type="spellStart"/>
      <w:r w:rsidRPr="00A640E4">
        <w:rPr>
          <w:rFonts w:ascii="Arial" w:hAnsi="Arial" w:cs="Arial"/>
          <w:sz w:val="20"/>
          <w:szCs w:val="20"/>
          <w:lang w:val="en-US"/>
        </w:rPr>
        <w:t>McGeoch</w:t>
      </w:r>
      <w:proofErr w:type="spellEnd"/>
      <w:r w:rsidRPr="00A640E4">
        <w:rPr>
          <w:rFonts w:ascii="Arial" w:hAnsi="Arial" w:cs="Arial"/>
          <w:sz w:val="20"/>
          <w:szCs w:val="20"/>
          <w:lang w:val="en-US"/>
        </w:rPr>
        <w:t xml:space="preserve">, L., </w:t>
      </w:r>
      <w:proofErr w:type="spellStart"/>
      <w:r w:rsidRPr="00A640E4">
        <w:rPr>
          <w:rFonts w:ascii="Arial" w:hAnsi="Arial" w:cs="Arial"/>
          <w:sz w:val="20"/>
          <w:szCs w:val="20"/>
          <w:lang w:val="en-US"/>
        </w:rPr>
        <w:t>Kipgen</w:t>
      </w:r>
      <w:proofErr w:type="spellEnd"/>
      <w:r w:rsidRPr="00A640E4">
        <w:rPr>
          <w:rFonts w:ascii="Arial" w:hAnsi="Arial" w:cs="Arial"/>
          <w:sz w:val="20"/>
          <w:szCs w:val="20"/>
          <w:lang w:val="en-US"/>
        </w:rPr>
        <w:t xml:space="preserve">, D., Geddes, C. C., &amp; Stevens, K. I. (2021). Renal Disease in Primary </w:t>
      </w:r>
      <w:proofErr w:type="spellStart"/>
      <w:r w:rsidRPr="00A640E4">
        <w:rPr>
          <w:rFonts w:ascii="Arial" w:hAnsi="Arial" w:cs="Arial"/>
          <w:sz w:val="20"/>
          <w:szCs w:val="20"/>
          <w:lang w:val="en-US"/>
        </w:rPr>
        <w:t>Sjögren's</w:t>
      </w:r>
      <w:proofErr w:type="spellEnd"/>
      <w:r w:rsidRPr="00A640E4">
        <w:rPr>
          <w:rFonts w:ascii="Arial" w:hAnsi="Arial" w:cs="Arial"/>
          <w:sz w:val="20"/>
          <w:szCs w:val="20"/>
          <w:lang w:val="en-US"/>
        </w:rPr>
        <w:t xml:space="preserve"> Syndrome. Rheumatology and Therapy. </w:t>
      </w:r>
      <w:hyperlink r:id="rId10" w:history="1">
        <w:r w:rsidRPr="0036680F">
          <w:rPr>
            <w:rStyle w:val="Hyperlink"/>
            <w:rFonts w:ascii="Arial" w:hAnsi="Arial" w:cs="Arial"/>
            <w:sz w:val="20"/>
            <w:szCs w:val="20"/>
            <w:lang w:val="en-US"/>
          </w:rPr>
          <w:t>https://doi.org/10.1007/s40744-020-00264-x</w:t>
        </w:r>
      </w:hyperlink>
      <w:r>
        <w:rPr>
          <w:rFonts w:ascii="Arial" w:hAnsi="Arial" w:cs="Arial"/>
          <w:sz w:val="20"/>
          <w:szCs w:val="20"/>
          <w:lang w:val="en-US"/>
        </w:rPr>
        <w:t xml:space="preserve"> </w:t>
      </w:r>
    </w:p>
    <w:p w14:paraId="570248DF" w14:textId="77777777" w:rsidR="00A640E4" w:rsidRDefault="00A640E4" w:rsidP="000F4793">
      <w:pPr>
        <w:numPr>
          <w:ilvl w:val="0"/>
          <w:numId w:val="5"/>
        </w:numPr>
        <w:jc w:val="both"/>
        <w:rPr>
          <w:rFonts w:ascii="Arial" w:hAnsi="Arial" w:cs="Arial"/>
          <w:sz w:val="20"/>
          <w:szCs w:val="20"/>
          <w:lang w:val="en-US"/>
        </w:rPr>
      </w:pPr>
      <w:r w:rsidRPr="00A640E4">
        <w:rPr>
          <w:rFonts w:ascii="Arial" w:hAnsi="Arial" w:cs="Arial"/>
          <w:sz w:val="20"/>
          <w:szCs w:val="20"/>
          <w:lang w:val="en-US"/>
        </w:rPr>
        <w:t xml:space="preserve">Chen, Y., Zhao, X., Tang, D., Xu, C., Sun, L., Sun, L., Wu, J., &amp; Mei, C. (2010). IgA nephropathy in two patients with </w:t>
      </w:r>
      <w:proofErr w:type="spellStart"/>
      <w:r w:rsidRPr="00A640E4">
        <w:rPr>
          <w:rFonts w:ascii="Arial" w:hAnsi="Arial" w:cs="Arial"/>
          <w:sz w:val="20"/>
          <w:szCs w:val="20"/>
          <w:lang w:val="en-US"/>
        </w:rPr>
        <w:t>Sjögren's</w:t>
      </w:r>
      <w:proofErr w:type="spellEnd"/>
      <w:r w:rsidRPr="00A640E4">
        <w:rPr>
          <w:rFonts w:ascii="Arial" w:hAnsi="Arial" w:cs="Arial"/>
          <w:sz w:val="20"/>
          <w:szCs w:val="20"/>
          <w:lang w:val="en-US"/>
        </w:rPr>
        <w:t xml:space="preserve"> syndrome: one with concomitant autoimmune hepatitis. Internal Medicine, 49(1), 37-43. </w:t>
      </w:r>
      <w:hyperlink r:id="rId11" w:history="1">
        <w:r w:rsidRPr="0036680F">
          <w:rPr>
            <w:rStyle w:val="Hyperlink"/>
            <w:rFonts w:ascii="Arial" w:hAnsi="Arial" w:cs="Arial"/>
            <w:sz w:val="20"/>
            <w:szCs w:val="20"/>
            <w:lang w:val="en-US"/>
          </w:rPr>
          <w:t>https://doi.org/10.2169/internalmedicine.49.2722</w:t>
        </w:r>
      </w:hyperlink>
      <w:r>
        <w:rPr>
          <w:rFonts w:ascii="Arial" w:hAnsi="Arial" w:cs="Arial"/>
          <w:sz w:val="20"/>
          <w:szCs w:val="20"/>
          <w:lang w:val="en-US"/>
        </w:rPr>
        <w:t xml:space="preserve"> </w:t>
      </w:r>
    </w:p>
    <w:p w14:paraId="47464373" w14:textId="77777777" w:rsidR="00A640E4" w:rsidRDefault="00A640E4" w:rsidP="000F4793">
      <w:pPr>
        <w:numPr>
          <w:ilvl w:val="0"/>
          <w:numId w:val="5"/>
        </w:numPr>
        <w:jc w:val="both"/>
        <w:rPr>
          <w:rFonts w:ascii="Arial" w:hAnsi="Arial" w:cs="Arial"/>
          <w:sz w:val="20"/>
          <w:szCs w:val="20"/>
          <w:lang w:val="en-US"/>
        </w:rPr>
      </w:pPr>
      <w:proofErr w:type="spellStart"/>
      <w:r w:rsidRPr="00A640E4">
        <w:rPr>
          <w:rFonts w:ascii="Arial" w:hAnsi="Arial" w:cs="Arial"/>
          <w:sz w:val="20"/>
          <w:szCs w:val="20"/>
          <w:lang w:val="en-US"/>
        </w:rPr>
        <w:t>Qiu</w:t>
      </w:r>
      <w:proofErr w:type="spellEnd"/>
      <w:r w:rsidRPr="00A640E4">
        <w:rPr>
          <w:rFonts w:ascii="Arial" w:hAnsi="Arial" w:cs="Arial"/>
          <w:sz w:val="20"/>
          <w:szCs w:val="20"/>
          <w:lang w:val="en-US"/>
        </w:rPr>
        <w:t xml:space="preserve">, L., Luo, H., Wei, H., Ding, J., Chen, X., Chen, Y., et al. (2025). The spectrum and prognosis of </w:t>
      </w:r>
      <w:proofErr w:type="spellStart"/>
      <w:r w:rsidRPr="00A640E4">
        <w:rPr>
          <w:rFonts w:ascii="Arial" w:hAnsi="Arial" w:cs="Arial"/>
          <w:sz w:val="20"/>
          <w:szCs w:val="20"/>
          <w:lang w:val="en-US"/>
        </w:rPr>
        <w:t>Sjögren’s</w:t>
      </w:r>
      <w:proofErr w:type="spellEnd"/>
      <w:r w:rsidRPr="00A640E4">
        <w:rPr>
          <w:rFonts w:ascii="Arial" w:hAnsi="Arial" w:cs="Arial"/>
          <w:sz w:val="20"/>
          <w:szCs w:val="20"/>
          <w:lang w:val="en-US"/>
        </w:rPr>
        <w:t xml:space="preserve"> syndrome with membranous nephropathy: a multicenter retrospective study. *Clinical Kidney Journal*, *18*(2), sfae384. </w:t>
      </w:r>
      <w:hyperlink r:id="rId12" w:history="1">
        <w:r w:rsidRPr="0036680F">
          <w:rPr>
            <w:rStyle w:val="Hyperlink"/>
            <w:rFonts w:ascii="Arial" w:hAnsi="Arial" w:cs="Arial"/>
            <w:sz w:val="20"/>
            <w:szCs w:val="20"/>
            <w:lang w:val="en-US"/>
          </w:rPr>
          <w:t>https://doi.org/10.1093/ckj/sfae384</w:t>
        </w:r>
      </w:hyperlink>
      <w:r>
        <w:rPr>
          <w:rFonts w:ascii="Arial" w:hAnsi="Arial" w:cs="Arial"/>
          <w:sz w:val="20"/>
          <w:szCs w:val="20"/>
          <w:lang w:val="en-US"/>
        </w:rPr>
        <w:t xml:space="preserve"> </w:t>
      </w:r>
    </w:p>
    <w:p w14:paraId="5FB2315A" w14:textId="44E2AE51" w:rsidR="000F4793" w:rsidRPr="000F4793" w:rsidRDefault="000F4793" w:rsidP="000F4793">
      <w:pPr>
        <w:numPr>
          <w:ilvl w:val="0"/>
          <w:numId w:val="5"/>
        </w:numPr>
        <w:jc w:val="both"/>
        <w:rPr>
          <w:rFonts w:ascii="Arial" w:hAnsi="Arial" w:cs="Arial"/>
          <w:sz w:val="20"/>
          <w:szCs w:val="20"/>
          <w:lang w:val="en-US"/>
        </w:rPr>
      </w:pPr>
      <w:proofErr w:type="spellStart"/>
      <w:r w:rsidRPr="000F4793">
        <w:rPr>
          <w:rFonts w:ascii="Arial" w:hAnsi="Arial" w:cs="Arial"/>
          <w:sz w:val="20"/>
          <w:szCs w:val="20"/>
          <w:lang w:val="en-US"/>
        </w:rPr>
        <w:t>Kurihara</w:t>
      </w:r>
      <w:proofErr w:type="spellEnd"/>
      <w:r w:rsidRPr="000F4793">
        <w:rPr>
          <w:rFonts w:ascii="Arial" w:hAnsi="Arial" w:cs="Arial"/>
          <w:sz w:val="20"/>
          <w:szCs w:val="20"/>
          <w:lang w:val="en-US"/>
        </w:rPr>
        <w:t xml:space="preserve"> H, Oka H, Hara S, Takeda Y, Hori Y, Yamagata K. Nephrotic syndrome due to focal segmental glomerulosclerosis in a patient with primary Sjögren’s syndrome. CEN Case Rep. 2019 Aug;8(3</w:t>
      </w:r>
      <w:proofErr w:type="gramStart"/>
      <w:r w:rsidRPr="000F4793">
        <w:rPr>
          <w:rFonts w:ascii="Arial" w:hAnsi="Arial" w:cs="Arial"/>
          <w:sz w:val="20"/>
          <w:szCs w:val="20"/>
          <w:lang w:val="en-US"/>
        </w:rPr>
        <w:t>):175-80.DOI</w:t>
      </w:r>
      <w:proofErr w:type="gramEnd"/>
      <w:r w:rsidRPr="000F4793">
        <w:rPr>
          <w:rFonts w:ascii="Arial" w:hAnsi="Arial" w:cs="Arial"/>
          <w:sz w:val="20"/>
          <w:szCs w:val="20"/>
          <w:lang w:val="en-US"/>
        </w:rPr>
        <w:t>:10.1007/s13730-019-00388-7</w:t>
      </w:r>
    </w:p>
    <w:p w14:paraId="40AFAB48" w14:textId="77777777" w:rsidR="00A640E4" w:rsidRDefault="00A640E4" w:rsidP="000F4793">
      <w:pPr>
        <w:numPr>
          <w:ilvl w:val="0"/>
          <w:numId w:val="5"/>
        </w:numPr>
        <w:jc w:val="both"/>
        <w:rPr>
          <w:rFonts w:ascii="Arial" w:hAnsi="Arial" w:cs="Arial"/>
          <w:sz w:val="20"/>
          <w:szCs w:val="20"/>
          <w:lang w:val="en-US"/>
        </w:rPr>
      </w:pPr>
      <w:proofErr w:type="spellStart"/>
      <w:r w:rsidRPr="00A640E4">
        <w:rPr>
          <w:rFonts w:ascii="Arial" w:hAnsi="Arial" w:cs="Arial"/>
          <w:sz w:val="20"/>
          <w:szCs w:val="20"/>
          <w:lang w:val="en-US"/>
        </w:rPr>
        <w:t>Ramponi</w:t>
      </w:r>
      <w:proofErr w:type="spellEnd"/>
      <w:r w:rsidRPr="00A640E4">
        <w:rPr>
          <w:rFonts w:ascii="Arial" w:hAnsi="Arial" w:cs="Arial"/>
          <w:sz w:val="20"/>
          <w:szCs w:val="20"/>
          <w:lang w:val="en-US"/>
        </w:rPr>
        <w:t xml:space="preserve">, G., </w:t>
      </w:r>
      <w:proofErr w:type="spellStart"/>
      <w:r w:rsidRPr="00A640E4">
        <w:rPr>
          <w:rFonts w:ascii="Arial" w:hAnsi="Arial" w:cs="Arial"/>
          <w:sz w:val="20"/>
          <w:szCs w:val="20"/>
          <w:lang w:val="en-US"/>
        </w:rPr>
        <w:t>Folci</w:t>
      </w:r>
      <w:proofErr w:type="spellEnd"/>
      <w:r w:rsidRPr="00A640E4">
        <w:rPr>
          <w:rFonts w:ascii="Arial" w:hAnsi="Arial" w:cs="Arial"/>
          <w:sz w:val="20"/>
          <w:szCs w:val="20"/>
          <w:lang w:val="en-US"/>
        </w:rPr>
        <w:t xml:space="preserve">, M., </w:t>
      </w:r>
      <w:proofErr w:type="spellStart"/>
      <w:r w:rsidRPr="00A640E4">
        <w:rPr>
          <w:rFonts w:ascii="Arial" w:hAnsi="Arial" w:cs="Arial"/>
          <w:sz w:val="20"/>
          <w:szCs w:val="20"/>
          <w:lang w:val="en-US"/>
        </w:rPr>
        <w:t>Badalamenti</w:t>
      </w:r>
      <w:proofErr w:type="spellEnd"/>
      <w:r w:rsidRPr="00A640E4">
        <w:rPr>
          <w:rFonts w:ascii="Arial" w:hAnsi="Arial" w:cs="Arial"/>
          <w:sz w:val="20"/>
          <w:szCs w:val="20"/>
          <w:lang w:val="en-US"/>
        </w:rPr>
        <w:t xml:space="preserve">, S., Angelini, C., &amp; </w:t>
      </w:r>
      <w:proofErr w:type="spellStart"/>
      <w:r w:rsidRPr="00A640E4">
        <w:rPr>
          <w:rFonts w:ascii="Arial" w:hAnsi="Arial" w:cs="Arial"/>
          <w:sz w:val="20"/>
          <w:szCs w:val="20"/>
          <w:lang w:val="en-US"/>
        </w:rPr>
        <w:t>Brunetta</w:t>
      </w:r>
      <w:proofErr w:type="spellEnd"/>
      <w:r w:rsidRPr="00A640E4">
        <w:rPr>
          <w:rFonts w:ascii="Arial" w:hAnsi="Arial" w:cs="Arial"/>
          <w:sz w:val="20"/>
          <w:szCs w:val="20"/>
          <w:lang w:val="en-US"/>
        </w:rPr>
        <w:t xml:space="preserve">, E. (2020). Biomarkers and Diagnostic Testing for Renal Disease in Sjogren's Syndrome. Frontiers in Immunology. </w:t>
      </w:r>
      <w:hyperlink r:id="rId13" w:history="1">
        <w:r w:rsidRPr="0036680F">
          <w:rPr>
            <w:rStyle w:val="Hyperlink"/>
            <w:rFonts w:ascii="Arial" w:hAnsi="Arial" w:cs="Arial"/>
            <w:sz w:val="20"/>
            <w:szCs w:val="20"/>
            <w:lang w:val="en-US"/>
          </w:rPr>
          <w:t>https://doi.org/10.3389/fimmu.2020.562101</w:t>
        </w:r>
      </w:hyperlink>
      <w:r>
        <w:rPr>
          <w:rFonts w:ascii="Arial" w:hAnsi="Arial" w:cs="Arial"/>
          <w:sz w:val="20"/>
          <w:szCs w:val="20"/>
          <w:lang w:val="en-US"/>
        </w:rPr>
        <w:t xml:space="preserve"> </w:t>
      </w:r>
    </w:p>
    <w:p w14:paraId="253C7E19" w14:textId="77777777" w:rsidR="00A640E4" w:rsidRDefault="00A640E4" w:rsidP="000F4793">
      <w:pPr>
        <w:numPr>
          <w:ilvl w:val="0"/>
          <w:numId w:val="5"/>
        </w:numPr>
        <w:jc w:val="both"/>
        <w:rPr>
          <w:rFonts w:ascii="Arial" w:hAnsi="Arial" w:cs="Arial"/>
          <w:sz w:val="20"/>
          <w:szCs w:val="20"/>
          <w:lang w:val="en-US"/>
        </w:rPr>
      </w:pPr>
      <w:proofErr w:type="spellStart"/>
      <w:r w:rsidRPr="00A640E4">
        <w:rPr>
          <w:rFonts w:ascii="Arial" w:hAnsi="Arial" w:cs="Arial"/>
          <w:sz w:val="20"/>
          <w:szCs w:val="20"/>
          <w:lang w:val="en-US"/>
        </w:rPr>
        <w:t>Avasare</w:t>
      </w:r>
      <w:proofErr w:type="spellEnd"/>
      <w:r w:rsidRPr="00A640E4">
        <w:rPr>
          <w:rFonts w:ascii="Arial" w:hAnsi="Arial" w:cs="Arial"/>
          <w:sz w:val="20"/>
          <w:szCs w:val="20"/>
          <w:lang w:val="en-US"/>
        </w:rPr>
        <w:t xml:space="preserve">, R., </w:t>
      </w:r>
      <w:proofErr w:type="spellStart"/>
      <w:r w:rsidRPr="00A640E4">
        <w:rPr>
          <w:rFonts w:ascii="Arial" w:hAnsi="Arial" w:cs="Arial"/>
          <w:sz w:val="20"/>
          <w:szCs w:val="20"/>
          <w:lang w:val="en-US"/>
        </w:rPr>
        <w:t>Andeen</w:t>
      </w:r>
      <w:proofErr w:type="spellEnd"/>
      <w:r w:rsidRPr="00A640E4">
        <w:rPr>
          <w:rFonts w:ascii="Arial" w:hAnsi="Arial" w:cs="Arial"/>
          <w:sz w:val="20"/>
          <w:szCs w:val="20"/>
          <w:lang w:val="en-US"/>
        </w:rPr>
        <w:t xml:space="preserve">, N., &amp; Beck, L. (2024). Novel Antigens and Clinical Updates in Membranous Nephropathy. Annual Review of Medicine. </w:t>
      </w:r>
      <w:hyperlink r:id="rId14" w:history="1">
        <w:r w:rsidRPr="0036680F">
          <w:rPr>
            <w:rStyle w:val="Hyperlink"/>
            <w:rFonts w:ascii="Arial" w:hAnsi="Arial" w:cs="Arial"/>
            <w:sz w:val="20"/>
            <w:szCs w:val="20"/>
            <w:lang w:val="en-US"/>
          </w:rPr>
          <w:t>https://doi.org/10.1146/annurev-med-050522-034537</w:t>
        </w:r>
      </w:hyperlink>
      <w:r>
        <w:rPr>
          <w:rFonts w:ascii="Arial" w:hAnsi="Arial" w:cs="Arial"/>
          <w:sz w:val="20"/>
          <w:szCs w:val="20"/>
          <w:lang w:val="en-US"/>
        </w:rPr>
        <w:t xml:space="preserve"> </w:t>
      </w:r>
    </w:p>
    <w:p w14:paraId="7DD8DE55" w14:textId="3DFCC5C9" w:rsidR="000F4793" w:rsidRPr="000F4793" w:rsidRDefault="000F4793" w:rsidP="000F4793">
      <w:pPr>
        <w:numPr>
          <w:ilvl w:val="0"/>
          <w:numId w:val="5"/>
        </w:numPr>
        <w:jc w:val="both"/>
        <w:rPr>
          <w:rFonts w:ascii="Arial" w:hAnsi="Arial" w:cs="Arial"/>
          <w:sz w:val="20"/>
          <w:szCs w:val="20"/>
          <w:lang w:val="en-US"/>
        </w:rPr>
      </w:pPr>
      <w:r w:rsidRPr="000F4793">
        <w:rPr>
          <w:rFonts w:ascii="Arial" w:hAnsi="Arial" w:cs="Arial"/>
          <w:sz w:val="20"/>
          <w:szCs w:val="20"/>
          <w:lang w:val="en-US"/>
        </w:rPr>
        <w:t xml:space="preserve">Chen Y, Zhao MH, Wang HY. Sjögren’s syndrome complicated with membranous nephropathy, a cause or coincidence? Clin Exp </w:t>
      </w:r>
      <w:proofErr w:type="spellStart"/>
      <w:r w:rsidRPr="000F4793">
        <w:rPr>
          <w:rFonts w:ascii="Arial" w:hAnsi="Arial" w:cs="Arial"/>
          <w:sz w:val="20"/>
          <w:szCs w:val="20"/>
          <w:lang w:val="en-US"/>
        </w:rPr>
        <w:t>Rheumatol</w:t>
      </w:r>
      <w:proofErr w:type="spellEnd"/>
      <w:r w:rsidRPr="000F4793">
        <w:rPr>
          <w:rFonts w:ascii="Arial" w:hAnsi="Arial" w:cs="Arial"/>
          <w:sz w:val="20"/>
          <w:szCs w:val="20"/>
          <w:lang w:val="en-US"/>
        </w:rPr>
        <w:t>. 2021 Jul-Aug;39 Suppl 133(4</w:t>
      </w:r>
      <w:proofErr w:type="gramStart"/>
      <w:r w:rsidRPr="000F4793">
        <w:rPr>
          <w:rFonts w:ascii="Arial" w:hAnsi="Arial" w:cs="Arial"/>
          <w:sz w:val="20"/>
          <w:szCs w:val="20"/>
          <w:lang w:val="en-US"/>
        </w:rPr>
        <w:t>):113-21.DOI</w:t>
      </w:r>
      <w:proofErr w:type="gramEnd"/>
      <w:r w:rsidRPr="000F4793">
        <w:rPr>
          <w:rFonts w:ascii="Arial" w:hAnsi="Arial" w:cs="Arial"/>
          <w:sz w:val="20"/>
          <w:szCs w:val="20"/>
          <w:lang w:val="en-US"/>
        </w:rPr>
        <w:t>: 10.55563/</w:t>
      </w:r>
      <w:proofErr w:type="spellStart"/>
      <w:r w:rsidRPr="000F4793">
        <w:rPr>
          <w:rFonts w:ascii="Arial" w:hAnsi="Arial" w:cs="Arial"/>
          <w:sz w:val="20"/>
          <w:szCs w:val="20"/>
          <w:lang w:val="en-US"/>
        </w:rPr>
        <w:t>clinexprheumatol</w:t>
      </w:r>
      <w:proofErr w:type="spellEnd"/>
      <w:r w:rsidRPr="000F4793">
        <w:rPr>
          <w:rFonts w:ascii="Arial" w:hAnsi="Arial" w:cs="Arial"/>
          <w:sz w:val="20"/>
          <w:szCs w:val="20"/>
          <w:lang w:val="en-US"/>
        </w:rPr>
        <w:t>/m3133e</w:t>
      </w:r>
    </w:p>
    <w:p w14:paraId="51B84FE8" w14:textId="385158B0" w:rsidR="000F4793" w:rsidRPr="000F4793" w:rsidRDefault="000F4793" w:rsidP="000F4793">
      <w:pPr>
        <w:numPr>
          <w:ilvl w:val="0"/>
          <w:numId w:val="5"/>
        </w:numPr>
        <w:jc w:val="both"/>
        <w:rPr>
          <w:rFonts w:ascii="Arial" w:hAnsi="Arial" w:cs="Arial"/>
          <w:sz w:val="20"/>
          <w:szCs w:val="20"/>
          <w:lang w:val="en-US"/>
        </w:rPr>
      </w:pPr>
      <w:r w:rsidRPr="000F4793">
        <w:rPr>
          <w:rFonts w:ascii="Arial" w:hAnsi="Arial" w:cs="Arial"/>
          <w:sz w:val="20"/>
          <w:szCs w:val="20"/>
          <w:lang w:val="en-US"/>
        </w:rPr>
        <w:t>Chiarenza A, Rosato E, Priori R. Treatment strategies in primary Sjögren’s syndrome: current perspectives and future directions. J Clin Med. 2024;13(9</w:t>
      </w:r>
      <w:proofErr w:type="gramStart"/>
      <w:r w:rsidRPr="000F4793">
        <w:rPr>
          <w:rFonts w:ascii="Arial" w:hAnsi="Arial" w:cs="Arial"/>
          <w:sz w:val="20"/>
          <w:szCs w:val="20"/>
          <w:lang w:val="en-US"/>
        </w:rPr>
        <w:t>):2465.DOI</w:t>
      </w:r>
      <w:proofErr w:type="gramEnd"/>
      <w:r w:rsidRPr="000F4793">
        <w:rPr>
          <w:rFonts w:ascii="Arial" w:hAnsi="Arial" w:cs="Arial"/>
          <w:sz w:val="20"/>
          <w:szCs w:val="20"/>
          <w:lang w:val="en-US"/>
        </w:rPr>
        <w:t>: 10.3390/jcm13092465</w:t>
      </w:r>
    </w:p>
    <w:p w14:paraId="64288E4D" w14:textId="26DE66A0" w:rsidR="00547F8F" w:rsidRPr="00EF5F4B" w:rsidRDefault="00547F8F" w:rsidP="000F4793">
      <w:pPr>
        <w:jc w:val="both"/>
        <w:rPr>
          <w:rFonts w:ascii="Arial" w:hAnsi="Arial" w:cs="Arial"/>
          <w:sz w:val="20"/>
          <w:szCs w:val="20"/>
        </w:rPr>
      </w:pPr>
    </w:p>
    <w:p w14:paraId="72BF1652" w14:textId="77777777" w:rsidR="00547F8F" w:rsidRPr="000F4793" w:rsidRDefault="00547F8F" w:rsidP="00154280">
      <w:pPr>
        <w:jc w:val="both"/>
        <w:rPr>
          <w:rFonts w:ascii="Arial" w:hAnsi="Arial" w:cs="Arial"/>
          <w:b/>
          <w:bCs/>
          <w:sz w:val="20"/>
          <w:szCs w:val="20"/>
        </w:rPr>
      </w:pPr>
      <w:r w:rsidRPr="000F4793">
        <w:rPr>
          <w:rFonts w:ascii="Arial" w:hAnsi="Arial" w:cs="Arial"/>
          <w:b/>
          <w:bCs/>
          <w:sz w:val="20"/>
          <w:szCs w:val="20"/>
        </w:rPr>
        <w:t>Table1: Laboratory investigations of the patients</w:t>
      </w:r>
    </w:p>
    <w:tbl>
      <w:tblPr>
        <w:tblStyle w:val="TableGrid"/>
        <w:tblW w:w="0" w:type="auto"/>
        <w:jc w:val="center"/>
        <w:tblLook w:val="04A0" w:firstRow="1" w:lastRow="0" w:firstColumn="1" w:lastColumn="0" w:noHBand="0" w:noVBand="1"/>
      </w:tblPr>
      <w:tblGrid>
        <w:gridCol w:w="2812"/>
        <w:gridCol w:w="2800"/>
        <w:gridCol w:w="3404"/>
      </w:tblGrid>
      <w:tr w:rsidR="00547F8F" w:rsidRPr="00EF5F4B" w14:paraId="3CEF5378" w14:textId="77777777" w:rsidTr="00104D79">
        <w:trPr>
          <w:jc w:val="center"/>
        </w:trPr>
        <w:tc>
          <w:tcPr>
            <w:tcW w:w="2880" w:type="dxa"/>
          </w:tcPr>
          <w:p w14:paraId="27C82A66" w14:textId="77777777" w:rsidR="00547F8F" w:rsidRPr="00EF5F4B" w:rsidRDefault="00547F8F" w:rsidP="00104D79">
            <w:pPr>
              <w:jc w:val="both"/>
              <w:rPr>
                <w:rFonts w:ascii="Arial" w:hAnsi="Arial" w:cs="Arial"/>
                <w:sz w:val="20"/>
                <w:szCs w:val="20"/>
              </w:rPr>
            </w:pPr>
            <w:r w:rsidRPr="00EF5F4B">
              <w:rPr>
                <w:rFonts w:ascii="Arial" w:hAnsi="Arial" w:cs="Arial"/>
                <w:sz w:val="20"/>
                <w:szCs w:val="20"/>
              </w:rPr>
              <w:t>Category</w:t>
            </w:r>
          </w:p>
        </w:tc>
        <w:tc>
          <w:tcPr>
            <w:tcW w:w="2880" w:type="dxa"/>
          </w:tcPr>
          <w:p w14:paraId="450F4007" w14:textId="77777777" w:rsidR="00547F8F" w:rsidRPr="00EF5F4B" w:rsidRDefault="00547F8F" w:rsidP="00104D79">
            <w:pPr>
              <w:jc w:val="both"/>
              <w:rPr>
                <w:rFonts w:ascii="Arial" w:hAnsi="Arial" w:cs="Arial"/>
                <w:sz w:val="20"/>
                <w:szCs w:val="20"/>
              </w:rPr>
            </w:pPr>
            <w:r w:rsidRPr="00EF5F4B">
              <w:rPr>
                <w:rFonts w:ascii="Arial" w:hAnsi="Arial" w:cs="Arial"/>
                <w:sz w:val="20"/>
                <w:szCs w:val="20"/>
              </w:rPr>
              <w:t>Parameter</w:t>
            </w:r>
          </w:p>
        </w:tc>
        <w:tc>
          <w:tcPr>
            <w:tcW w:w="3505" w:type="dxa"/>
          </w:tcPr>
          <w:p w14:paraId="7518367D" w14:textId="77777777" w:rsidR="00547F8F" w:rsidRPr="00EF5F4B" w:rsidRDefault="00547F8F" w:rsidP="00104D79">
            <w:pPr>
              <w:jc w:val="both"/>
              <w:rPr>
                <w:rFonts w:ascii="Arial" w:hAnsi="Arial" w:cs="Arial"/>
                <w:sz w:val="20"/>
                <w:szCs w:val="20"/>
              </w:rPr>
            </w:pPr>
            <w:r w:rsidRPr="00EF5F4B">
              <w:rPr>
                <w:rFonts w:ascii="Arial" w:hAnsi="Arial" w:cs="Arial"/>
                <w:sz w:val="20"/>
                <w:szCs w:val="20"/>
              </w:rPr>
              <w:t>Result</w:t>
            </w:r>
          </w:p>
        </w:tc>
      </w:tr>
      <w:tr w:rsidR="00547F8F" w:rsidRPr="00EF5F4B" w14:paraId="4AB1F6E5" w14:textId="77777777" w:rsidTr="00104D79">
        <w:trPr>
          <w:jc w:val="center"/>
        </w:trPr>
        <w:tc>
          <w:tcPr>
            <w:tcW w:w="2880" w:type="dxa"/>
          </w:tcPr>
          <w:p w14:paraId="4461F863" w14:textId="77777777" w:rsidR="00547F8F" w:rsidRPr="00EF5F4B" w:rsidRDefault="00547F8F" w:rsidP="00104D79">
            <w:pPr>
              <w:jc w:val="both"/>
              <w:rPr>
                <w:rFonts w:ascii="Arial" w:hAnsi="Arial" w:cs="Arial"/>
                <w:sz w:val="20"/>
                <w:szCs w:val="20"/>
              </w:rPr>
            </w:pPr>
            <w:r w:rsidRPr="00EF5F4B">
              <w:rPr>
                <w:rFonts w:ascii="Arial" w:hAnsi="Arial" w:cs="Arial"/>
                <w:sz w:val="20"/>
                <w:szCs w:val="20"/>
              </w:rPr>
              <w:t>Hematology</w:t>
            </w:r>
          </w:p>
        </w:tc>
        <w:tc>
          <w:tcPr>
            <w:tcW w:w="2880" w:type="dxa"/>
          </w:tcPr>
          <w:p w14:paraId="7D82C6FA" w14:textId="77777777" w:rsidR="00547F8F" w:rsidRPr="00EF5F4B" w:rsidRDefault="00547F8F" w:rsidP="00104D79">
            <w:pPr>
              <w:jc w:val="both"/>
              <w:rPr>
                <w:rFonts w:ascii="Arial" w:hAnsi="Arial" w:cs="Arial"/>
                <w:sz w:val="20"/>
                <w:szCs w:val="20"/>
              </w:rPr>
            </w:pPr>
            <w:r w:rsidRPr="00EF5F4B">
              <w:rPr>
                <w:rFonts w:ascii="Arial" w:hAnsi="Arial" w:cs="Arial"/>
                <w:sz w:val="20"/>
                <w:szCs w:val="20"/>
              </w:rPr>
              <w:t>Hemoglobin</w:t>
            </w:r>
          </w:p>
        </w:tc>
        <w:tc>
          <w:tcPr>
            <w:tcW w:w="3505" w:type="dxa"/>
          </w:tcPr>
          <w:p w14:paraId="1D185CEF" w14:textId="77777777" w:rsidR="00547F8F" w:rsidRPr="00EF5F4B" w:rsidRDefault="00547F8F" w:rsidP="00104D79">
            <w:pPr>
              <w:jc w:val="both"/>
              <w:rPr>
                <w:rFonts w:ascii="Arial" w:hAnsi="Arial" w:cs="Arial"/>
                <w:sz w:val="20"/>
                <w:szCs w:val="20"/>
              </w:rPr>
            </w:pPr>
            <w:r w:rsidRPr="00EF5F4B">
              <w:rPr>
                <w:rFonts w:ascii="Arial" w:hAnsi="Arial" w:cs="Arial"/>
                <w:sz w:val="20"/>
                <w:szCs w:val="20"/>
              </w:rPr>
              <w:t xml:space="preserve">9.8 g/dL </w:t>
            </w:r>
          </w:p>
        </w:tc>
      </w:tr>
      <w:tr w:rsidR="00547F8F" w:rsidRPr="00EF5F4B" w14:paraId="62B28108" w14:textId="77777777" w:rsidTr="00104D79">
        <w:trPr>
          <w:jc w:val="center"/>
        </w:trPr>
        <w:tc>
          <w:tcPr>
            <w:tcW w:w="2880" w:type="dxa"/>
          </w:tcPr>
          <w:p w14:paraId="28598044" w14:textId="77777777" w:rsidR="00547F8F" w:rsidRPr="00EF5F4B" w:rsidRDefault="00547F8F" w:rsidP="00104D79">
            <w:pPr>
              <w:jc w:val="both"/>
              <w:rPr>
                <w:rFonts w:ascii="Arial" w:hAnsi="Arial" w:cs="Arial"/>
                <w:sz w:val="20"/>
                <w:szCs w:val="20"/>
              </w:rPr>
            </w:pPr>
          </w:p>
        </w:tc>
        <w:tc>
          <w:tcPr>
            <w:tcW w:w="2880" w:type="dxa"/>
          </w:tcPr>
          <w:p w14:paraId="0C9A78B6" w14:textId="77777777" w:rsidR="00547F8F" w:rsidRPr="00EF5F4B" w:rsidRDefault="00547F8F" w:rsidP="00104D79">
            <w:pPr>
              <w:jc w:val="both"/>
              <w:rPr>
                <w:rFonts w:ascii="Arial" w:hAnsi="Arial" w:cs="Arial"/>
                <w:sz w:val="20"/>
                <w:szCs w:val="20"/>
              </w:rPr>
            </w:pPr>
            <w:r w:rsidRPr="00EF5F4B">
              <w:rPr>
                <w:rFonts w:ascii="Arial" w:hAnsi="Arial" w:cs="Arial"/>
                <w:sz w:val="20"/>
                <w:szCs w:val="20"/>
              </w:rPr>
              <w:t>Total Leukocyte Count</w:t>
            </w:r>
          </w:p>
        </w:tc>
        <w:tc>
          <w:tcPr>
            <w:tcW w:w="3505" w:type="dxa"/>
          </w:tcPr>
          <w:p w14:paraId="1D15A6F3" w14:textId="77777777" w:rsidR="00547F8F" w:rsidRPr="00EF5F4B" w:rsidRDefault="00547F8F" w:rsidP="00104D79">
            <w:pPr>
              <w:jc w:val="both"/>
              <w:rPr>
                <w:rFonts w:ascii="Arial" w:hAnsi="Arial" w:cs="Arial"/>
                <w:sz w:val="20"/>
                <w:szCs w:val="20"/>
              </w:rPr>
            </w:pPr>
            <w:r w:rsidRPr="00EF5F4B">
              <w:rPr>
                <w:rFonts w:ascii="Arial" w:hAnsi="Arial" w:cs="Arial"/>
                <w:sz w:val="20"/>
                <w:szCs w:val="20"/>
              </w:rPr>
              <w:t xml:space="preserve">10,533/µL </w:t>
            </w:r>
          </w:p>
        </w:tc>
      </w:tr>
      <w:tr w:rsidR="00547F8F" w:rsidRPr="00EF5F4B" w14:paraId="486ABAEE" w14:textId="77777777" w:rsidTr="00104D79">
        <w:trPr>
          <w:jc w:val="center"/>
        </w:trPr>
        <w:tc>
          <w:tcPr>
            <w:tcW w:w="2880" w:type="dxa"/>
          </w:tcPr>
          <w:p w14:paraId="750CF80E" w14:textId="77777777" w:rsidR="00547F8F" w:rsidRPr="00EF5F4B" w:rsidRDefault="00547F8F" w:rsidP="00104D79">
            <w:pPr>
              <w:jc w:val="both"/>
              <w:rPr>
                <w:rFonts w:ascii="Arial" w:hAnsi="Arial" w:cs="Arial"/>
                <w:sz w:val="20"/>
                <w:szCs w:val="20"/>
              </w:rPr>
            </w:pPr>
            <w:r w:rsidRPr="00EF5F4B">
              <w:rPr>
                <w:rFonts w:ascii="Arial" w:hAnsi="Arial" w:cs="Arial"/>
                <w:sz w:val="20"/>
                <w:szCs w:val="20"/>
              </w:rPr>
              <w:t>Renal Function Tests</w:t>
            </w:r>
          </w:p>
        </w:tc>
        <w:tc>
          <w:tcPr>
            <w:tcW w:w="2880" w:type="dxa"/>
          </w:tcPr>
          <w:p w14:paraId="0D951D5C" w14:textId="77777777" w:rsidR="00547F8F" w:rsidRPr="00EF5F4B" w:rsidRDefault="00547F8F" w:rsidP="00104D79">
            <w:pPr>
              <w:jc w:val="both"/>
              <w:rPr>
                <w:rFonts w:ascii="Arial" w:hAnsi="Arial" w:cs="Arial"/>
                <w:sz w:val="20"/>
                <w:szCs w:val="20"/>
              </w:rPr>
            </w:pPr>
            <w:r w:rsidRPr="00EF5F4B">
              <w:rPr>
                <w:rFonts w:ascii="Arial" w:hAnsi="Arial" w:cs="Arial"/>
                <w:sz w:val="20"/>
                <w:szCs w:val="20"/>
              </w:rPr>
              <w:t>Serum Creatinine</w:t>
            </w:r>
          </w:p>
        </w:tc>
        <w:tc>
          <w:tcPr>
            <w:tcW w:w="3505" w:type="dxa"/>
          </w:tcPr>
          <w:p w14:paraId="2C941808" w14:textId="77777777" w:rsidR="00547F8F" w:rsidRPr="00EF5F4B" w:rsidRDefault="00547F8F" w:rsidP="00104D79">
            <w:pPr>
              <w:jc w:val="both"/>
              <w:rPr>
                <w:rFonts w:ascii="Arial" w:hAnsi="Arial" w:cs="Arial"/>
                <w:sz w:val="20"/>
                <w:szCs w:val="20"/>
              </w:rPr>
            </w:pPr>
            <w:r w:rsidRPr="00EF5F4B">
              <w:rPr>
                <w:rFonts w:ascii="Arial" w:hAnsi="Arial" w:cs="Arial"/>
                <w:sz w:val="20"/>
                <w:szCs w:val="20"/>
              </w:rPr>
              <w:t>3.0 mg/dL</w:t>
            </w:r>
          </w:p>
        </w:tc>
      </w:tr>
      <w:tr w:rsidR="00547F8F" w:rsidRPr="00EF5F4B" w14:paraId="2FB9924B" w14:textId="77777777" w:rsidTr="00104D79">
        <w:trPr>
          <w:jc w:val="center"/>
        </w:trPr>
        <w:tc>
          <w:tcPr>
            <w:tcW w:w="2880" w:type="dxa"/>
          </w:tcPr>
          <w:p w14:paraId="41921600" w14:textId="77777777" w:rsidR="00547F8F" w:rsidRPr="00EF5F4B" w:rsidRDefault="00547F8F" w:rsidP="00104D79">
            <w:pPr>
              <w:jc w:val="both"/>
              <w:rPr>
                <w:rFonts w:ascii="Arial" w:hAnsi="Arial" w:cs="Arial"/>
                <w:sz w:val="20"/>
                <w:szCs w:val="20"/>
              </w:rPr>
            </w:pPr>
          </w:p>
        </w:tc>
        <w:tc>
          <w:tcPr>
            <w:tcW w:w="2880" w:type="dxa"/>
          </w:tcPr>
          <w:p w14:paraId="1C62DA2A" w14:textId="77777777" w:rsidR="00547F8F" w:rsidRPr="00EF5F4B" w:rsidRDefault="00547F8F" w:rsidP="00104D79">
            <w:pPr>
              <w:jc w:val="both"/>
              <w:rPr>
                <w:rFonts w:ascii="Arial" w:hAnsi="Arial" w:cs="Arial"/>
                <w:sz w:val="20"/>
                <w:szCs w:val="20"/>
              </w:rPr>
            </w:pPr>
            <w:r w:rsidRPr="00EF5F4B">
              <w:rPr>
                <w:rFonts w:ascii="Arial" w:hAnsi="Arial" w:cs="Arial"/>
                <w:sz w:val="20"/>
                <w:szCs w:val="20"/>
              </w:rPr>
              <w:t>Blood Urea</w:t>
            </w:r>
          </w:p>
        </w:tc>
        <w:tc>
          <w:tcPr>
            <w:tcW w:w="3505" w:type="dxa"/>
          </w:tcPr>
          <w:p w14:paraId="175840C5" w14:textId="77777777" w:rsidR="00547F8F" w:rsidRPr="00EF5F4B" w:rsidRDefault="00547F8F" w:rsidP="00104D79">
            <w:pPr>
              <w:jc w:val="both"/>
              <w:rPr>
                <w:rFonts w:ascii="Arial" w:hAnsi="Arial" w:cs="Arial"/>
                <w:sz w:val="20"/>
                <w:szCs w:val="20"/>
              </w:rPr>
            </w:pPr>
            <w:r w:rsidRPr="00EF5F4B">
              <w:rPr>
                <w:rFonts w:ascii="Arial" w:hAnsi="Arial" w:cs="Arial"/>
                <w:sz w:val="20"/>
                <w:szCs w:val="20"/>
              </w:rPr>
              <w:t>83 mg/dL</w:t>
            </w:r>
          </w:p>
        </w:tc>
      </w:tr>
      <w:tr w:rsidR="00547F8F" w:rsidRPr="00EF5F4B" w14:paraId="1F14D0D9" w14:textId="77777777" w:rsidTr="00104D79">
        <w:trPr>
          <w:jc w:val="center"/>
        </w:trPr>
        <w:tc>
          <w:tcPr>
            <w:tcW w:w="2880" w:type="dxa"/>
          </w:tcPr>
          <w:p w14:paraId="7D2E2115" w14:textId="77777777" w:rsidR="00547F8F" w:rsidRPr="00EF5F4B" w:rsidRDefault="00547F8F" w:rsidP="00104D79">
            <w:pPr>
              <w:jc w:val="both"/>
              <w:rPr>
                <w:rFonts w:ascii="Arial" w:hAnsi="Arial" w:cs="Arial"/>
                <w:sz w:val="20"/>
                <w:szCs w:val="20"/>
              </w:rPr>
            </w:pPr>
            <w:r w:rsidRPr="00EF5F4B">
              <w:rPr>
                <w:rFonts w:ascii="Arial" w:hAnsi="Arial" w:cs="Arial"/>
                <w:sz w:val="20"/>
                <w:szCs w:val="20"/>
              </w:rPr>
              <w:t>Electrolytes</w:t>
            </w:r>
          </w:p>
        </w:tc>
        <w:tc>
          <w:tcPr>
            <w:tcW w:w="2880" w:type="dxa"/>
          </w:tcPr>
          <w:p w14:paraId="6DB81AA9" w14:textId="77777777" w:rsidR="00547F8F" w:rsidRPr="00EF5F4B" w:rsidRDefault="00547F8F" w:rsidP="00104D79">
            <w:pPr>
              <w:jc w:val="both"/>
              <w:rPr>
                <w:rFonts w:ascii="Arial" w:hAnsi="Arial" w:cs="Arial"/>
                <w:sz w:val="20"/>
                <w:szCs w:val="20"/>
              </w:rPr>
            </w:pPr>
            <w:r w:rsidRPr="00EF5F4B">
              <w:rPr>
                <w:rFonts w:ascii="Arial" w:hAnsi="Arial" w:cs="Arial"/>
                <w:sz w:val="20"/>
                <w:szCs w:val="20"/>
              </w:rPr>
              <w:t>Sodium</w:t>
            </w:r>
          </w:p>
        </w:tc>
        <w:tc>
          <w:tcPr>
            <w:tcW w:w="3505" w:type="dxa"/>
          </w:tcPr>
          <w:p w14:paraId="4AE3C54C" w14:textId="77777777" w:rsidR="00547F8F" w:rsidRPr="00EF5F4B" w:rsidRDefault="00547F8F" w:rsidP="00104D79">
            <w:pPr>
              <w:jc w:val="both"/>
              <w:rPr>
                <w:rFonts w:ascii="Arial" w:hAnsi="Arial" w:cs="Arial"/>
                <w:sz w:val="20"/>
                <w:szCs w:val="20"/>
              </w:rPr>
            </w:pPr>
            <w:r w:rsidRPr="00EF5F4B">
              <w:rPr>
                <w:rFonts w:ascii="Arial" w:hAnsi="Arial" w:cs="Arial"/>
                <w:sz w:val="20"/>
                <w:szCs w:val="20"/>
              </w:rPr>
              <w:t xml:space="preserve">135 </w:t>
            </w:r>
            <w:proofErr w:type="spellStart"/>
            <w:r w:rsidRPr="00EF5F4B">
              <w:rPr>
                <w:rFonts w:ascii="Arial" w:hAnsi="Arial" w:cs="Arial"/>
                <w:sz w:val="20"/>
                <w:szCs w:val="20"/>
              </w:rPr>
              <w:t>mEq</w:t>
            </w:r>
            <w:proofErr w:type="spellEnd"/>
            <w:r w:rsidRPr="00EF5F4B">
              <w:rPr>
                <w:rFonts w:ascii="Arial" w:hAnsi="Arial" w:cs="Arial"/>
                <w:sz w:val="20"/>
                <w:szCs w:val="20"/>
              </w:rPr>
              <w:t>/L</w:t>
            </w:r>
          </w:p>
        </w:tc>
      </w:tr>
      <w:tr w:rsidR="00547F8F" w:rsidRPr="00EF5F4B" w14:paraId="035EEB44" w14:textId="77777777" w:rsidTr="00104D79">
        <w:trPr>
          <w:jc w:val="center"/>
        </w:trPr>
        <w:tc>
          <w:tcPr>
            <w:tcW w:w="2880" w:type="dxa"/>
          </w:tcPr>
          <w:p w14:paraId="7C9CDF4F" w14:textId="77777777" w:rsidR="00547F8F" w:rsidRPr="00EF5F4B" w:rsidRDefault="00547F8F" w:rsidP="00104D79">
            <w:pPr>
              <w:jc w:val="both"/>
              <w:rPr>
                <w:rFonts w:ascii="Arial" w:hAnsi="Arial" w:cs="Arial"/>
                <w:sz w:val="20"/>
                <w:szCs w:val="20"/>
              </w:rPr>
            </w:pPr>
          </w:p>
        </w:tc>
        <w:tc>
          <w:tcPr>
            <w:tcW w:w="2880" w:type="dxa"/>
          </w:tcPr>
          <w:p w14:paraId="292FC8AB" w14:textId="77777777" w:rsidR="00547F8F" w:rsidRPr="00EF5F4B" w:rsidRDefault="00547F8F" w:rsidP="00104D79">
            <w:pPr>
              <w:jc w:val="both"/>
              <w:rPr>
                <w:rFonts w:ascii="Arial" w:hAnsi="Arial" w:cs="Arial"/>
                <w:sz w:val="20"/>
                <w:szCs w:val="20"/>
              </w:rPr>
            </w:pPr>
            <w:r w:rsidRPr="00EF5F4B">
              <w:rPr>
                <w:rFonts w:ascii="Arial" w:hAnsi="Arial" w:cs="Arial"/>
                <w:sz w:val="20"/>
                <w:szCs w:val="20"/>
              </w:rPr>
              <w:t>Potassium</w:t>
            </w:r>
          </w:p>
        </w:tc>
        <w:tc>
          <w:tcPr>
            <w:tcW w:w="3505" w:type="dxa"/>
          </w:tcPr>
          <w:p w14:paraId="29322269" w14:textId="77777777" w:rsidR="00547F8F" w:rsidRPr="00EF5F4B" w:rsidRDefault="00547F8F" w:rsidP="00104D79">
            <w:pPr>
              <w:jc w:val="both"/>
              <w:rPr>
                <w:rFonts w:ascii="Arial" w:hAnsi="Arial" w:cs="Arial"/>
                <w:sz w:val="20"/>
                <w:szCs w:val="20"/>
              </w:rPr>
            </w:pPr>
            <w:r w:rsidRPr="00EF5F4B">
              <w:rPr>
                <w:rFonts w:ascii="Arial" w:hAnsi="Arial" w:cs="Arial"/>
                <w:sz w:val="20"/>
                <w:szCs w:val="20"/>
              </w:rPr>
              <w:t xml:space="preserve">3.22 </w:t>
            </w:r>
            <w:proofErr w:type="spellStart"/>
            <w:r w:rsidRPr="00EF5F4B">
              <w:rPr>
                <w:rFonts w:ascii="Arial" w:hAnsi="Arial" w:cs="Arial"/>
                <w:sz w:val="20"/>
                <w:szCs w:val="20"/>
              </w:rPr>
              <w:t>mEq</w:t>
            </w:r>
            <w:proofErr w:type="spellEnd"/>
            <w:r w:rsidRPr="00EF5F4B">
              <w:rPr>
                <w:rFonts w:ascii="Arial" w:hAnsi="Arial" w:cs="Arial"/>
                <w:sz w:val="20"/>
                <w:szCs w:val="20"/>
              </w:rPr>
              <w:t>/L</w:t>
            </w:r>
          </w:p>
        </w:tc>
      </w:tr>
      <w:tr w:rsidR="00547F8F" w:rsidRPr="00EF5F4B" w14:paraId="0F555EEE" w14:textId="77777777" w:rsidTr="00104D79">
        <w:trPr>
          <w:jc w:val="center"/>
        </w:trPr>
        <w:tc>
          <w:tcPr>
            <w:tcW w:w="2880" w:type="dxa"/>
          </w:tcPr>
          <w:p w14:paraId="6B74505D" w14:textId="77777777" w:rsidR="00547F8F" w:rsidRPr="00EF5F4B" w:rsidRDefault="00547F8F" w:rsidP="00104D79">
            <w:pPr>
              <w:jc w:val="both"/>
              <w:rPr>
                <w:rFonts w:ascii="Arial" w:hAnsi="Arial" w:cs="Arial"/>
                <w:sz w:val="20"/>
                <w:szCs w:val="20"/>
              </w:rPr>
            </w:pPr>
          </w:p>
        </w:tc>
        <w:tc>
          <w:tcPr>
            <w:tcW w:w="2880" w:type="dxa"/>
          </w:tcPr>
          <w:p w14:paraId="683BF69F" w14:textId="77777777" w:rsidR="00547F8F" w:rsidRPr="00EF5F4B" w:rsidRDefault="00547F8F" w:rsidP="00104D79">
            <w:pPr>
              <w:jc w:val="both"/>
              <w:rPr>
                <w:rFonts w:ascii="Arial" w:hAnsi="Arial" w:cs="Arial"/>
                <w:sz w:val="20"/>
                <w:szCs w:val="20"/>
              </w:rPr>
            </w:pPr>
            <w:r w:rsidRPr="00EF5F4B">
              <w:rPr>
                <w:rFonts w:ascii="Arial" w:hAnsi="Arial" w:cs="Arial"/>
                <w:sz w:val="20"/>
                <w:szCs w:val="20"/>
              </w:rPr>
              <w:t>Calcium (measured)</w:t>
            </w:r>
          </w:p>
        </w:tc>
        <w:tc>
          <w:tcPr>
            <w:tcW w:w="3505" w:type="dxa"/>
          </w:tcPr>
          <w:p w14:paraId="5F710EE5" w14:textId="77777777" w:rsidR="00547F8F" w:rsidRPr="00EF5F4B" w:rsidRDefault="00547F8F" w:rsidP="00104D79">
            <w:pPr>
              <w:jc w:val="both"/>
              <w:rPr>
                <w:rFonts w:ascii="Arial" w:hAnsi="Arial" w:cs="Arial"/>
                <w:sz w:val="20"/>
                <w:szCs w:val="20"/>
              </w:rPr>
            </w:pPr>
            <w:r w:rsidRPr="00EF5F4B">
              <w:rPr>
                <w:rFonts w:ascii="Arial" w:hAnsi="Arial" w:cs="Arial"/>
                <w:sz w:val="20"/>
                <w:szCs w:val="20"/>
              </w:rPr>
              <w:t>7.4 mg/dL</w:t>
            </w:r>
          </w:p>
        </w:tc>
      </w:tr>
      <w:tr w:rsidR="00547F8F" w:rsidRPr="00EF5F4B" w14:paraId="2BC84A76" w14:textId="77777777" w:rsidTr="00104D79">
        <w:trPr>
          <w:jc w:val="center"/>
        </w:trPr>
        <w:tc>
          <w:tcPr>
            <w:tcW w:w="2880" w:type="dxa"/>
          </w:tcPr>
          <w:p w14:paraId="59278DFA" w14:textId="77777777" w:rsidR="00547F8F" w:rsidRPr="00EF5F4B" w:rsidRDefault="00547F8F" w:rsidP="00104D79">
            <w:pPr>
              <w:jc w:val="both"/>
              <w:rPr>
                <w:rFonts w:ascii="Arial" w:hAnsi="Arial" w:cs="Arial"/>
                <w:sz w:val="20"/>
                <w:szCs w:val="20"/>
              </w:rPr>
            </w:pPr>
          </w:p>
        </w:tc>
        <w:tc>
          <w:tcPr>
            <w:tcW w:w="2880" w:type="dxa"/>
          </w:tcPr>
          <w:p w14:paraId="5D7E8E87" w14:textId="77777777" w:rsidR="00547F8F" w:rsidRPr="00EF5F4B" w:rsidRDefault="00547F8F" w:rsidP="00104D79">
            <w:pPr>
              <w:jc w:val="both"/>
              <w:rPr>
                <w:rFonts w:ascii="Arial" w:hAnsi="Arial" w:cs="Arial"/>
                <w:sz w:val="20"/>
                <w:szCs w:val="20"/>
              </w:rPr>
            </w:pPr>
            <w:r w:rsidRPr="00EF5F4B">
              <w:rPr>
                <w:rFonts w:ascii="Arial" w:hAnsi="Arial" w:cs="Arial"/>
                <w:sz w:val="20"/>
                <w:szCs w:val="20"/>
              </w:rPr>
              <w:t>Corrected Calcium</w:t>
            </w:r>
          </w:p>
        </w:tc>
        <w:tc>
          <w:tcPr>
            <w:tcW w:w="3505" w:type="dxa"/>
          </w:tcPr>
          <w:p w14:paraId="5B2EC1A9" w14:textId="77777777" w:rsidR="00547F8F" w:rsidRPr="00EF5F4B" w:rsidRDefault="00547F8F" w:rsidP="00104D79">
            <w:pPr>
              <w:jc w:val="both"/>
              <w:rPr>
                <w:rFonts w:ascii="Arial" w:hAnsi="Arial" w:cs="Arial"/>
                <w:sz w:val="20"/>
                <w:szCs w:val="20"/>
              </w:rPr>
            </w:pPr>
            <w:r w:rsidRPr="00EF5F4B">
              <w:rPr>
                <w:rFonts w:ascii="Arial" w:hAnsi="Arial" w:cs="Arial"/>
                <w:sz w:val="20"/>
                <w:szCs w:val="20"/>
              </w:rPr>
              <w:t>9.2 mg/dL</w:t>
            </w:r>
          </w:p>
        </w:tc>
      </w:tr>
      <w:tr w:rsidR="00547F8F" w:rsidRPr="00EF5F4B" w14:paraId="0E1993DE" w14:textId="77777777" w:rsidTr="00104D79">
        <w:trPr>
          <w:jc w:val="center"/>
        </w:trPr>
        <w:tc>
          <w:tcPr>
            <w:tcW w:w="2880" w:type="dxa"/>
          </w:tcPr>
          <w:p w14:paraId="3DDD5115" w14:textId="77777777" w:rsidR="00547F8F" w:rsidRPr="00EF5F4B" w:rsidRDefault="00547F8F" w:rsidP="00104D79">
            <w:pPr>
              <w:jc w:val="both"/>
              <w:rPr>
                <w:rFonts w:ascii="Arial" w:hAnsi="Arial" w:cs="Arial"/>
                <w:sz w:val="20"/>
                <w:szCs w:val="20"/>
              </w:rPr>
            </w:pPr>
            <w:r w:rsidRPr="00EF5F4B">
              <w:rPr>
                <w:rFonts w:ascii="Arial" w:hAnsi="Arial" w:cs="Arial"/>
                <w:sz w:val="20"/>
                <w:szCs w:val="20"/>
              </w:rPr>
              <w:t>Urinalysis</w:t>
            </w:r>
          </w:p>
        </w:tc>
        <w:tc>
          <w:tcPr>
            <w:tcW w:w="2880" w:type="dxa"/>
          </w:tcPr>
          <w:p w14:paraId="6E7C5FA7" w14:textId="77777777" w:rsidR="00547F8F" w:rsidRPr="00EF5F4B" w:rsidRDefault="00547F8F" w:rsidP="00104D79">
            <w:pPr>
              <w:jc w:val="both"/>
              <w:rPr>
                <w:rFonts w:ascii="Arial" w:hAnsi="Arial" w:cs="Arial"/>
                <w:sz w:val="20"/>
                <w:szCs w:val="20"/>
              </w:rPr>
            </w:pPr>
            <w:r w:rsidRPr="00EF5F4B">
              <w:rPr>
                <w:rFonts w:ascii="Arial" w:hAnsi="Arial" w:cs="Arial"/>
                <w:sz w:val="20"/>
                <w:szCs w:val="20"/>
              </w:rPr>
              <w:t>Proteinuria</w:t>
            </w:r>
          </w:p>
        </w:tc>
        <w:tc>
          <w:tcPr>
            <w:tcW w:w="3505" w:type="dxa"/>
          </w:tcPr>
          <w:p w14:paraId="346E7F62" w14:textId="77777777" w:rsidR="00547F8F" w:rsidRPr="00EF5F4B" w:rsidRDefault="00547F8F" w:rsidP="00104D79">
            <w:pPr>
              <w:jc w:val="both"/>
              <w:rPr>
                <w:rFonts w:ascii="Arial" w:hAnsi="Arial" w:cs="Arial"/>
                <w:sz w:val="20"/>
                <w:szCs w:val="20"/>
              </w:rPr>
            </w:pPr>
            <w:r w:rsidRPr="00EF5F4B">
              <w:rPr>
                <w:rFonts w:ascii="Arial" w:hAnsi="Arial" w:cs="Arial"/>
                <w:sz w:val="20"/>
                <w:szCs w:val="20"/>
              </w:rPr>
              <w:t>4+ (nephrotic range)</w:t>
            </w:r>
          </w:p>
        </w:tc>
      </w:tr>
      <w:tr w:rsidR="00547F8F" w:rsidRPr="00EF5F4B" w14:paraId="58379CEC" w14:textId="77777777" w:rsidTr="00104D79">
        <w:trPr>
          <w:jc w:val="center"/>
        </w:trPr>
        <w:tc>
          <w:tcPr>
            <w:tcW w:w="2880" w:type="dxa"/>
          </w:tcPr>
          <w:p w14:paraId="064A6725" w14:textId="77777777" w:rsidR="00547F8F" w:rsidRPr="00EF5F4B" w:rsidRDefault="00547F8F" w:rsidP="00104D79">
            <w:pPr>
              <w:jc w:val="both"/>
              <w:rPr>
                <w:rFonts w:ascii="Arial" w:hAnsi="Arial" w:cs="Arial"/>
                <w:sz w:val="20"/>
                <w:szCs w:val="20"/>
              </w:rPr>
            </w:pPr>
          </w:p>
        </w:tc>
        <w:tc>
          <w:tcPr>
            <w:tcW w:w="2880" w:type="dxa"/>
          </w:tcPr>
          <w:p w14:paraId="6F63B275" w14:textId="77777777" w:rsidR="00547F8F" w:rsidRPr="00EF5F4B" w:rsidRDefault="00547F8F" w:rsidP="00104D79">
            <w:pPr>
              <w:jc w:val="both"/>
              <w:rPr>
                <w:rFonts w:ascii="Arial" w:hAnsi="Arial" w:cs="Arial"/>
                <w:sz w:val="20"/>
                <w:szCs w:val="20"/>
              </w:rPr>
            </w:pPr>
            <w:r w:rsidRPr="00EF5F4B">
              <w:rPr>
                <w:rFonts w:ascii="Arial" w:hAnsi="Arial" w:cs="Arial"/>
                <w:sz w:val="20"/>
                <w:szCs w:val="20"/>
              </w:rPr>
              <w:t>Hematuria</w:t>
            </w:r>
          </w:p>
        </w:tc>
        <w:tc>
          <w:tcPr>
            <w:tcW w:w="3505" w:type="dxa"/>
          </w:tcPr>
          <w:p w14:paraId="5EC21F4C" w14:textId="77777777" w:rsidR="00547F8F" w:rsidRPr="00EF5F4B" w:rsidRDefault="00547F8F" w:rsidP="00104D79">
            <w:pPr>
              <w:jc w:val="both"/>
              <w:rPr>
                <w:rFonts w:ascii="Arial" w:hAnsi="Arial" w:cs="Arial"/>
                <w:sz w:val="20"/>
                <w:szCs w:val="20"/>
              </w:rPr>
            </w:pPr>
            <w:r w:rsidRPr="00EF5F4B">
              <w:rPr>
                <w:rFonts w:ascii="Arial" w:hAnsi="Arial" w:cs="Arial"/>
                <w:sz w:val="20"/>
                <w:szCs w:val="20"/>
              </w:rPr>
              <w:t>Absent</w:t>
            </w:r>
          </w:p>
        </w:tc>
      </w:tr>
      <w:tr w:rsidR="00547F8F" w:rsidRPr="00EF5F4B" w14:paraId="60F221CD" w14:textId="77777777" w:rsidTr="00104D79">
        <w:trPr>
          <w:jc w:val="center"/>
        </w:trPr>
        <w:tc>
          <w:tcPr>
            <w:tcW w:w="2880" w:type="dxa"/>
          </w:tcPr>
          <w:p w14:paraId="688BDC4E" w14:textId="77777777" w:rsidR="00547F8F" w:rsidRPr="00EF5F4B" w:rsidRDefault="00547F8F" w:rsidP="00104D79">
            <w:pPr>
              <w:jc w:val="both"/>
              <w:rPr>
                <w:rFonts w:ascii="Arial" w:hAnsi="Arial" w:cs="Arial"/>
                <w:sz w:val="20"/>
                <w:szCs w:val="20"/>
              </w:rPr>
            </w:pPr>
          </w:p>
        </w:tc>
        <w:tc>
          <w:tcPr>
            <w:tcW w:w="2880" w:type="dxa"/>
          </w:tcPr>
          <w:p w14:paraId="588F7C9E" w14:textId="77777777" w:rsidR="00547F8F" w:rsidRPr="00EF5F4B" w:rsidRDefault="00547F8F" w:rsidP="00104D79">
            <w:pPr>
              <w:jc w:val="both"/>
              <w:rPr>
                <w:rFonts w:ascii="Arial" w:hAnsi="Arial" w:cs="Arial"/>
                <w:sz w:val="20"/>
                <w:szCs w:val="20"/>
              </w:rPr>
            </w:pPr>
            <w:r w:rsidRPr="00EF5F4B">
              <w:rPr>
                <w:rFonts w:ascii="Arial" w:hAnsi="Arial" w:cs="Arial"/>
                <w:sz w:val="20"/>
                <w:szCs w:val="20"/>
              </w:rPr>
              <w:t>Urine Albumin–Creatinine Ratio (ACR)</w:t>
            </w:r>
          </w:p>
        </w:tc>
        <w:tc>
          <w:tcPr>
            <w:tcW w:w="3505" w:type="dxa"/>
          </w:tcPr>
          <w:p w14:paraId="13ACA2E7" w14:textId="77777777" w:rsidR="00547F8F" w:rsidRPr="00EF5F4B" w:rsidRDefault="00547F8F" w:rsidP="00104D79">
            <w:pPr>
              <w:jc w:val="both"/>
              <w:rPr>
                <w:rFonts w:ascii="Arial" w:hAnsi="Arial" w:cs="Arial"/>
                <w:sz w:val="20"/>
                <w:szCs w:val="20"/>
              </w:rPr>
            </w:pPr>
            <w:r w:rsidRPr="00EF5F4B">
              <w:rPr>
                <w:rFonts w:ascii="Arial" w:hAnsi="Arial" w:cs="Arial"/>
                <w:sz w:val="20"/>
                <w:szCs w:val="20"/>
              </w:rPr>
              <w:t xml:space="preserve">6637 mg/g </w:t>
            </w:r>
          </w:p>
        </w:tc>
      </w:tr>
      <w:tr w:rsidR="00547F8F" w:rsidRPr="00EF5F4B" w14:paraId="7C33AFEC" w14:textId="77777777" w:rsidTr="00104D79">
        <w:trPr>
          <w:jc w:val="center"/>
        </w:trPr>
        <w:tc>
          <w:tcPr>
            <w:tcW w:w="2880" w:type="dxa"/>
          </w:tcPr>
          <w:p w14:paraId="4407A3EB" w14:textId="77777777" w:rsidR="00547F8F" w:rsidRPr="00EF5F4B" w:rsidRDefault="00547F8F" w:rsidP="00104D79">
            <w:pPr>
              <w:jc w:val="both"/>
              <w:rPr>
                <w:rFonts w:ascii="Arial" w:hAnsi="Arial" w:cs="Arial"/>
                <w:sz w:val="20"/>
                <w:szCs w:val="20"/>
              </w:rPr>
            </w:pPr>
            <w:r w:rsidRPr="00EF5F4B">
              <w:rPr>
                <w:rFonts w:ascii="Arial" w:hAnsi="Arial" w:cs="Arial"/>
                <w:sz w:val="20"/>
                <w:szCs w:val="20"/>
              </w:rPr>
              <w:t>Immunological Tests</w:t>
            </w:r>
          </w:p>
        </w:tc>
        <w:tc>
          <w:tcPr>
            <w:tcW w:w="2880" w:type="dxa"/>
          </w:tcPr>
          <w:p w14:paraId="74283E2B" w14:textId="77777777" w:rsidR="00547F8F" w:rsidRPr="00EF5F4B" w:rsidRDefault="00547F8F" w:rsidP="00104D79">
            <w:pPr>
              <w:jc w:val="both"/>
              <w:rPr>
                <w:rFonts w:ascii="Arial" w:hAnsi="Arial" w:cs="Arial"/>
                <w:sz w:val="20"/>
                <w:szCs w:val="20"/>
              </w:rPr>
            </w:pPr>
            <w:r w:rsidRPr="00EF5F4B">
              <w:rPr>
                <w:rFonts w:ascii="Arial" w:hAnsi="Arial" w:cs="Arial"/>
                <w:sz w:val="20"/>
                <w:szCs w:val="20"/>
              </w:rPr>
              <w:t>ANA (IFA)</w:t>
            </w:r>
          </w:p>
        </w:tc>
        <w:tc>
          <w:tcPr>
            <w:tcW w:w="3505" w:type="dxa"/>
          </w:tcPr>
          <w:p w14:paraId="46E5E29E" w14:textId="77777777" w:rsidR="00547F8F" w:rsidRPr="00EF5F4B" w:rsidRDefault="00547F8F" w:rsidP="00104D79">
            <w:pPr>
              <w:jc w:val="both"/>
              <w:rPr>
                <w:rFonts w:ascii="Arial" w:hAnsi="Arial" w:cs="Arial"/>
                <w:sz w:val="20"/>
                <w:szCs w:val="20"/>
              </w:rPr>
            </w:pPr>
            <w:r w:rsidRPr="00EF5F4B">
              <w:rPr>
                <w:rFonts w:ascii="Arial" w:hAnsi="Arial" w:cs="Arial"/>
                <w:sz w:val="20"/>
                <w:szCs w:val="20"/>
              </w:rPr>
              <w:t>Positive, titer 1:100, homogeneous + speckled pattern, centromere cells</w:t>
            </w:r>
          </w:p>
        </w:tc>
      </w:tr>
      <w:tr w:rsidR="00547F8F" w:rsidRPr="00EF5F4B" w14:paraId="3A2C349B" w14:textId="77777777" w:rsidTr="00104D79">
        <w:trPr>
          <w:jc w:val="center"/>
        </w:trPr>
        <w:tc>
          <w:tcPr>
            <w:tcW w:w="2880" w:type="dxa"/>
          </w:tcPr>
          <w:p w14:paraId="65F0D97B" w14:textId="77777777" w:rsidR="00547F8F" w:rsidRPr="00EF5F4B" w:rsidRDefault="00547F8F" w:rsidP="00104D79">
            <w:pPr>
              <w:jc w:val="both"/>
              <w:rPr>
                <w:rFonts w:ascii="Arial" w:hAnsi="Arial" w:cs="Arial"/>
                <w:sz w:val="20"/>
                <w:szCs w:val="20"/>
              </w:rPr>
            </w:pPr>
          </w:p>
        </w:tc>
        <w:tc>
          <w:tcPr>
            <w:tcW w:w="2880" w:type="dxa"/>
          </w:tcPr>
          <w:p w14:paraId="63D4417D" w14:textId="77777777" w:rsidR="00547F8F" w:rsidRPr="00EF5F4B" w:rsidRDefault="00547F8F" w:rsidP="00104D79">
            <w:pPr>
              <w:jc w:val="both"/>
              <w:rPr>
                <w:rFonts w:ascii="Arial" w:hAnsi="Arial" w:cs="Arial"/>
                <w:sz w:val="20"/>
                <w:szCs w:val="20"/>
              </w:rPr>
            </w:pPr>
            <w:r w:rsidRPr="00EF5F4B">
              <w:rPr>
                <w:rFonts w:ascii="Arial" w:hAnsi="Arial" w:cs="Arial"/>
                <w:sz w:val="20"/>
                <w:szCs w:val="20"/>
              </w:rPr>
              <w:t>C-ANCA</w:t>
            </w:r>
          </w:p>
        </w:tc>
        <w:tc>
          <w:tcPr>
            <w:tcW w:w="3505" w:type="dxa"/>
          </w:tcPr>
          <w:p w14:paraId="60E13146" w14:textId="77777777" w:rsidR="00547F8F" w:rsidRPr="00EF5F4B" w:rsidRDefault="00547F8F" w:rsidP="00104D79">
            <w:pPr>
              <w:jc w:val="both"/>
              <w:rPr>
                <w:rFonts w:ascii="Arial" w:hAnsi="Arial" w:cs="Arial"/>
                <w:sz w:val="20"/>
                <w:szCs w:val="20"/>
              </w:rPr>
            </w:pPr>
            <w:r w:rsidRPr="00EF5F4B">
              <w:rPr>
                <w:rFonts w:ascii="Arial" w:hAnsi="Arial" w:cs="Arial"/>
                <w:sz w:val="20"/>
                <w:szCs w:val="20"/>
              </w:rPr>
              <w:t>Negative</w:t>
            </w:r>
          </w:p>
        </w:tc>
      </w:tr>
      <w:tr w:rsidR="00547F8F" w:rsidRPr="00EF5F4B" w14:paraId="290D1479" w14:textId="77777777" w:rsidTr="00104D79">
        <w:trPr>
          <w:jc w:val="center"/>
        </w:trPr>
        <w:tc>
          <w:tcPr>
            <w:tcW w:w="2880" w:type="dxa"/>
          </w:tcPr>
          <w:p w14:paraId="4CEAE08B" w14:textId="77777777" w:rsidR="00547F8F" w:rsidRPr="00EF5F4B" w:rsidRDefault="00547F8F" w:rsidP="00104D79">
            <w:pPr>
              <w:jc w:val="both"/>
              <w:rPr>
                <w:rFonts w:ascii="Arial" w:hAnsi="Arial" w:cs="Arial"/>
                <w:sz w:val="20"/>
                <w:szCs w:val="20"/>
              </w:rPr>
            </w:pPr>
          </w:p>
        </w:tc>
        <w:tc>
          <w:tcPr>
            <w:tcW w:w="2880" w:type="dxa"/>
          </w:tcPr>
          <w:p w14:paraId="69B52436" w14:textId="77777777" w:rsidR="00547F8F" w:rsidRPr="00EF5F4B" w:rsidRDefault="00547F8F" w:rsidP="00104D79">
            <w:pPr>
              <w:jc w:val="both"/>
              <w:rPr>
                <w:rFonts w:ascii="Arial" w:hAnsi="Arial" w:cs="Arial"/>
                <w:sz w:val="20"/>
                <w:szCs w:val="20"/>
              </w:rPr>
            </w:pPr>
            <w:r w:rsidRPr="00EF5F4B">
              <w:rPr>
                <w:rFonts w:ascii="Arial" w:hAnsi="Arial" w:cs="Arial"/>
                <w:sz w:val="20"/>
                <w:szCs w:val="20"/>
              </w:rPr>
              <w:t>P-ANCA</w:t>
            </w:r>
          </w:p>
        </w:tc>
        <w:tc>
          <w:tcPr>
            <w:tcW w:w="3505" w:type="dxa"/>
          </w:tcPr>
          <w:p w14:paraId="653B2526" w14:textId="77777777" w:rsidR="00547F8F" w:rsidRPr="00EF5F4B" w:rsidRDefault="00547F8F" w:rsidP="00104D79">
            <w:pPr>
              <w:jc w:val="both"/>
              <w:rPr>
                <w:rFonts w:ascii="Arial" w:hAnsi="Arial" w:cs="Arial"/>
                <w:sz w:val="20"/>
                <w:szCs w:val="20"/>
              </w:rPr>
            </w:pPr>
            <w:r w:rsidRPr="00EF5F4B">
              <w:rPr>
                <w:rFonts w:ascii="Arial" w:hAnsi="Arial" w:cs="Arial"/>
                <w:sz w:val="20"/>
                <w:szCs w:val="20"/>
              </w:rPr>
              <w:t>Negative</w:t>
            </w:r>
          </w:p>
        </w:tc>
      </w:tr>
      <w:tr w:rsidR="00547F8F" w:rsidRPr="00EF5F4B" w14:paraId="78835B9D" w14:textId="77777777" w:rsidTr="00104D79">
        <w:trPr>
          <w:jc w:val="center"/>
        </w:trPr>
        <w:tc>
          <w:tcPr>
            <w:tcW w:w="2880" w:type="dxa"/>
          </w:tcPr>
          <w:p w14:paraId="75D72E7C" w14:textId="77777777" w:rsidR="00547F8F" w:rsidRPr="00EF5F4B" w:rsidRDefault="00547F8F" w:rsidP="00104D79">
            <w:pPr>
              <w:jc w:val="both"/>
              <w:rPr>
                <w:rFonts w:ascii="Arial" w:hAnsi="Arial" w:cs="Arial"/>
                <w:sz w:val="20"/>
                <w:szCs w:val="20"/>
              </w:rPr>
            </w:pPr>
          </w:p>
        </w:tc>
        <w:tc>
          <w:tcPr>
            <w:tcW w:w="2880" w:type="dxa"/>
          </w:tcPr>
          <w:p w14:paraId="5B1F44A7" w14:textId="77777777" w:rsidR="00547F8F" w:rsidRPr="00EF5F4B" w:rsidRDefault="00547F8F" w:rsidP="00104D79">
            <w:pPr>
              <w:jc w:val="both"/>
              <w:rPr>
                <w:rFonts w:ascii="Arial" w:hAnsi="Arial" w:cs="Arial"/>
                <w:sz w:val="20"/>
                <w:szCs w:val="20"/>
              </w:rPr>
            </w:pPr>
            <w:r w:rsidRPr="00EF5F4B">
              <w:rPr>
                <w:rFonts w:ascii="Arial" w:hAnsi="Arial" w:cs="Arial"/>
                <w:sz w:val="20"/>
                <w:szCs w:val="20"/>
              </w:rPr>
              <w:t>Anti-SSA Antibody</w:t>
            </w:r>
          </w:p>
        </w:tc>
        <w:tc>
          <w:tcPr>
            <w:tcW w:w="3505" w:type="dxa"/>
          </w:tcPr>
          <w:p w14:paraId="5999B360" w14:textId="77777777" w:rsidR="00547F8F" w:rsidRPr="00EF5F4B" w:rsidRDefault="00547F8F" w:rsidP="00104D79">
            <w:pPr>
              <w:jc w:val="both"/>
              <w:rPr>
                <w:rFonts w:ascii="Arial" w:hAnsi="Arial" w:cs="Arial"/>
                <w:sz w:val="20"/>
                <w:szCs w:val="20"/>
              </w:rPr>
            </w:pPr>
            <w:r w:rsidRPr="00EF5F4B">
              <w:rPr>
                <w:rFonts w:ascii="Arial" w:hAnsi="Arial" w:cs="Arial"/>
                <w:sz w:val="20"/>
                <w:szCs w:val="20"/>
              </w:rPr>
              <w:t>Detected</w:t>
            </w:r>
          </w:p>
        </w:tc>
      </w:tr>
      <w:tr w:rsidR="00547F8F" w:rsidRPr="00EF5F4B" w14:paraId="7ED000B2" w14:textId="77777777" w:rsidTr="00104D79">
        <w:trPr>
          <w:jc w:val="center"/>
        </w:trPr>
        <w:tc>
          <w:tcPr>
            <w:tcW w:w="2880" w:type="dxa"/>
          </w:tcPr>
          <w:p w14:paraId="625E8BE5" w14:textId="77777777" w:rsidR="00547F8F" w:rsidRPr="00EF5F4B" w:rsidRDefault="00547F8F" w:rsidP="00104D79">
            <w:pPr>
              <w:jc w:val="both"/>
              <w:rPr>
                <w:rFonts w:ascii="Arial" w:hAnsi="Arial" w:cs="Arial"/>
                <w:sz w:val="20"/>
                <w:szCs w:val="20"/>
              </w:rPr>
            </w:pPr>
          </w:p>
        </w:tc>
        <w:tc>
          <w:tcPr>
            <w:tcW w:w="2880" w:type="dxa"/>
          </w:tcPr>
          <w:p w14:paraId="6029C5C1" w14:textId="77777777" w:rsidR="00547F8F" w:rsidRPr="00EF5F4B" w:rsidRDefault="00547F8F" w:rsidP="00104D79">
            <w:pPr>
              <w:jc w:val="both"/>
              <w:rPr>
                <w:rFonts w:ascii="Arial" w:hAnsi="Arial" w:cs="Arial"/>
                <w:sz w:val="20"/>
                <w:szCs w:val="20"/>
              </w:rPr>
            </w:pPr>
            <w:r w:rsidRPr="00EF5F4B">
              <w:rPr>
                <w:rFonts w:ascii="Arial" w:hAnsi="Arial" w:cs="Arial"/>
                <w:sz w:val="20"/>
                <w:szCs w:val="20"/>
              </w:rPr>
              <w:t>Anti-SSB Antibody</w:t>
            </w:r>
          </w:p>
        </w:tc>
        <w:tc>
          <w:tcPr>
            <w:tcW w:w="3505" w:type="dxa"/>
          </w:tcPr>
          <w:p w14:paraId="3D9456BA" w14:textId="77777777" w:rsidR="00547F8F" w:rsidRPr="00EF5F4B" w:rsidRDefault="00547F8F" w:rsidP="00104D79">
            <w:pPr>
              <w:jc w:val="both"/>
              <w:rPr>
                <w:rFonts w:ascii="Arial" w:hAnsi="Arial" w:cs="Arial"/>
                <w:sz w:val="20"/>
                <w:szCs w:val="20"/>
              </w:rPr>
            </w:pPr>
            <w:r w:rsidRPr="00EF5F4B">
              <w:rPr>
                <w:rFonts w:ascii="Arial" w:hAnsi="Arial" w:cs="Arial"/>
                <w:sz w:val="20"/>
                <w:szCs w:val="20"/>
              </w:rPr>
              <w:t>Detected</w:t>
            </w:r>
          </w:p>
        </w:tc>
      </w:tr>
      <w:tr w:rsidR="00547F8F" w:rsidRPr="00EF5F4B" w14:paraId="60BDB01B" w14:textId="77777777" w:rsidTr="00104D79">
        <w:trPr>
          <w:jc w:val="center"/>
        </w:trPr>
        <w:tc>
          <w:tcPr>
            <w:tcW w:w="2880" w:type="dxa"/>
          </w:tcPr>
          <w:p w14:paraId="0CB7B8C9" w14:textId="77777777" w:rsidR="00547F8F" w:rsidRPr="00EF5F4B" w:rsidRDefault="00547F8F" w:rsidP="00104D79">
            <w:pPr>
              <w:jc w:val="both"/>
              <w:rPr>
                <w:rFonts w:ascii="Arial" w:hAnsi="Arial" w:cs="Arial"/>
                <w:sz w:val="20"/>
                <w:szCs w:val="20"/>
              </w:rPr>
            </w:pPr>
            <w:r w:rsidRPr="00EF5F4B">
              <w:rPr>
                <w:rFonts w:ascii="Arial" w:hAnsi="Arial" w:cs="Arial"/>
                <w:sz w:val="20"/>
                <w:szCs w:val="20"/>
              </w:rPr>
              <w:t>Imaging (Ultrasound)</w:t>
            </w:r>
          </w:p>
        </w:tc>
        <w:tc>
          <w:tcPr>
            <w:tcW w:w="2880" w:type="dxa"/>
          </w:tcPr>
          <w:p w14:paraId="7F389DE7" w14:textId="77777777" w:rsidR="00547F8F" w:rsidRPr="00EF5F4B" w:rsidRDefault="00547F8F" w:rsidP="00104D79">
            <w:pPr>
              <w:jc w:val="both"/>
              <w:rPr>
                <w:rFonts w:ascii="Arial" w:hAnsi="Arial" w:cs="Arial"/>
                <w:sz w:val="20"/>
                <w:szCs w:val="20"/>
              </w:rPr>
            </w:pPr>
            <w:r w:rsidRPr="00EF5F4B">
              <w:rPr>
                <w:rFonts w:ascii="Arial" w:hAnsi="Arial" w:cs="Arial"/>
                <w:sz w:val="20"/>
                <w:szCs w:val="20"/>
              </w:rPr>
              <w:t>Right Kidney</w:t>
            </w:r>
          </w:p>
        </w:tc>
        <w:tc>
          <w:tcPr>
            <w:tcW w:w="3505" w:type="dxa"/>
          </w:tcPr>
          <w:p w14:paraId="3A0EB189" w14:textId="77777777" w:rsidR="00547F8F" w:rsidRPr="00EF5F4B" w:rsidRDefault="00547F8F" w:rsidP="00104D79">
            <w:pPr>
              <w:jc w:val="both"/>
              <w:rPr>
                <w:rFonts w:ascii="Arial" w:hAnsi="Arial" w:cs="Arial"/>
                <w:sz w:val="20"/>
                <w:szCs w:val="20"/>
              </w:rPr>
            </w:pPr>
            <w:r w:rsidRPr="00EF5F4B">
              <w:rPr>
                <w:rFonts w:ascii="Arial" w:hAnsi="Arial" w:cs="Arial"/>
                <w:sz w:val="20"/>
                <w:szCs w:val="20"/>
              </w:rPr>
              <w:t>94 × 39 mm (normal size)</w:t>
            </w:r>
          </w:p>
        </w:tc>
      </w:tr>
      <w:tr w:rsidR="00547F8F" w:rsidRPr="00EF5F4B" w14:paraId="32817370" w14:textId="77777777" w:rsidTr="00104D79">
        <w:trPr>
          <w:jc w:val="center"/>
        </w:trPr>
        <w:tc>
          <w:tcPr>
            <w:tcW w:w="2880" w:type="dxa"/>
          </w:tcPr>
          <w:p w14:paraId="6819E5C1" w14:textId="77777777" w:rsidR="00547F8F" w:rsidRPr="00EF5F4B" w:rsidRDefault="00547F8F" w:rsidP="00104D79">
            <w:pPr>
              <w:jc w:val="both"/>
              <w:rPr>
                <w:rFonts w:ascii="Arial" w:hAnsi="Arial" w:cs="Arial"/>
                <w:sz w:val="20"/>
                <w:szCs w:val="20"/>
              </w:rPr>
            </w:pPr>
          </w:p>
        </w:tc>
        <w:tc>
          <w:tcPr>
            <w:tcW w:w="2880" w:type="dxa"/>
          </w:tcPr>
          <w:p w14:paraId="4490172C" w14:textId="77777777" w:rsidR="00547F8F" w:rsidRPr="00EF5F4B" w:rsidRDefault="00547F8F" w:rsidP="00104D79">
            <w:pPr>
              <w:jc w:val="both"/>
              <w:rPr>
                <w:rFonts w:ascii="Arial" w:hAnsi="Arial" w:cs="Arial"/>
                <w:sz w:val="20"/>
                <w:szCs w:val="20"/>
              </w:rPr>
            </w:pPr>
            <w:r w:rsidRPr="00EF5F4B">
              <w:rPr>
                <w:rFonts w:ascii="Arial" w:hAnsi="Arial" w:cs="Arial"/>
                <w:sz w:val="20"/>
                <w:szCs w:val="20"/>
              </w:rPr>
              <w:t>Left Kidney</w:t>
            </w:r>
          </w:p>
        </w:tc>
        <w:tc>
          <w:tcPr>
            <w:tcW w:w="3505" w:type="dxa"/>
          </w:tcPr>
          <w:p w14:paraId="66D5C8B3" w14:textId="77777777" w:rsidR="00547F8F" w:rsidRPr="00EF5F4B" w:rsidRDefault="00547F8F" w:rsidP="00104D79">
            <w:pPr>
              <w:jc w:val="both"/>
              <w:rPr>
                <w:rFonts w:ascii="Arial" w:hAnsi="Arial" w:cs="Arial"/>
                <w:sz w:val="20"/>
                <w:szCs w:val="20"/>
              </w:rPr>
            </w:pPr>
            <w:r w:rsidRPr="00EF5F4B">
              <w:rPr>
                <w:rFonts w:ascii="Arial" w:hAnsi="Arial" w:cs="Arial"/>
                <w:sz w:val="20"/>
                <w:szCs w:val="20"/>
              </w:rPr>
              <w:t>92 × 36 mm (normal size)</w:t>
            </w:r>
          </w:p>
        </w:tc>
      </w:tr>
      <w:tr w:rsidR="00547F8F" w:rsidRPr="00EF5F4B" w14:paraId="5027287D" w14:textId="77777777" w:rsidTr="00104D79">
        <w:trPr>
          <w:jc w:val="center"/>
        </w:trPr>
        <w:tc>
          <w:tcPr>
            <w:tcW w:w="2880" w:type="dxa"/>
          </w:tcPr>
          <w:p w14:paraId="2B36658F" w14:textId="77777777" w:rsidR="00547F8F" w:rsidRPr="00EF5F4B" w:rsidRDefault="00547F8F" w:rsidP="00104D79">
            <w:pPr>
              <w:jc w:val="both"/>
              <w:rPr>
                <w:rFonts w:ascii="Arial" w:hAnsi="Arial" w:cs="Arial"/>
                <w:sz w:val="20"/>
                <w:szCs w:val="20"/>
              </w:rPr>
            </w:pPr>
          </w:p>
        </w:tc>
        <w:tc>
          <w:tcPr>
            <w:tcW w:w="2880" w:type="dxa"/>
          </w:tcPr>
          <w:p w14:paraId="60E2D891" w14:textId="77777777" w:rsidR="00547F8F" w:rsidRPr="00EF5F4B" w:rsidRDefault="00547F8F" w:rsidP="00104D79">
            <w:pPr>
              <w:jc w:val="both"/>
              <w:rPr>
                <w:rFonts w:ascii="Arial" w:hAnsi="Arial" w:cs="Arial"/>
                <w:sz w:val="20"/>
                <w:szCs w:val="20"/>
              </w:rPr>
            </w:pPr>
            <w:r w:rsidRPr="00EF5F4B">
              <w:rPr>
                <w:rFonts w:ascii="Arial" w:hAnsi="Arial" w:cs="Arial"/>
                <w:sz w:val="20"/>
                <w:szCs w:val="20"/>
              </w:rPr>
              <w:t>Additional Finding</w:t>
            </w:r>
          </w:p>
        </w:tc>
        <w:tc>
          <w:tcPr>
            <w:tcW w:w="3505" w:type="dxa"/>
          </w:tcPr>
          <w:p w14:paraId="799B26A9" w14:textId="77777777" w:rsidR="00547F8F" w:rsidRPr="00EF5F4B" w:rsidRDefault="00547F8F" w:rsidP="00104D79">
            <w:pPr>
              <w:jc w:val="both"/>
              <w:rPr>
                <w:rFonts w:ascii="Arial" w:hAnsi="Arial" w:cs="Arial"/>
                <w:sz w:val="20"/>
                <w:szCs w:val="20"/>
              </w:rPr>
            </w:pPr>
            <w:r w:rsidRPr="00EF5F4B">
              <w:rPr>
                <w:rFonts w:ascii="Arial" w:hAnsi="Arial" w:cs="Arial"/>
                <w:sz w:val="20"/>
                <w:szCs w:val="20"/>
              </w:rPr>
              <w:t>Gross ascites</w:t>
            </w:r>
          </w:p>
        </w:tc>
      </w:tr>
    </w:tbl>
    <w:p w14:paraId="0949306F" w14:textId="77777777" w:rsidR="00547F8F" w:rsidRPr="00EF5F4B" w:rsidRDefault="00547F8F" w:rsidP="00154280">
      <w:pPr>
        <w:jc w:val="both"/>
        <w:rPr>
          <w:rFonts w:ascii="Arial" w:hAnsi="Arial" w:cs="Arial"/>
          <w:sz w:val="20"/>
          <w:szCs w:val="20"/>
        </w:rPr>
      </w:pPr>
    </w:p>
    <w:p w14:paraId="57D3D0D0" w14:textId="77777777" w:rsidR="00547F8F" w:rsidRPr="00EF5F4B" w:rsidRDefault="00547F8F" w:rsidP="00154280">
      <w:pPr>
        <w:jc w:val="both"/>
        <w:rPr>
          <w:rFonts w:ascii="Arial" w:hAnsi="Arial" w:cs="Arial"/>
          <w:sz w:val="20"/>
          <w:szCs w:val="20"/>
        </w:rPr>
      </w:pPr>
    </w:p>
    <w:p w14:paraId="19CEC212" w14:textId="1A9C651F" w:rsidR="00547F8F" w:rsidRPr="00EF5F4B" w:rsidRDefault="00547F8F" w:rsidP="00154280">
      <w:pPr>
        <w:jc w:val="both"/>
        <w:rPr>
          <w:rFonts w:ascii="Arial" w:hAnsi="Arial" w:cs="Arial"/>
          <w:sz w:val="20"/>
          <w:szCs w:val="20"/>
        </w:rPr>
      </w:pPr>
    </w:p>
    <w:p w14:paraId="40ABBCAD" w14:textId="77777777" w:rsidR="00CE218A" w:rsidRPr="00EF5F4B" w:rsidRDefault="00CE218A" w:rsidP="00154280">
      <w:pPr>
        <w:jc w:val="both"/>
        <w:rPr>
          <w:rFonts w:ascii="Arial" w:hAnsi="Arial" w:cs="Arial"/>
          <w:sz w:val="20"/>
          <w:szCs w:val="20"/>
        </w:rPr>
      </w:pPr>
    </w:p>
    <w:p w14:paraId="0C2D13AB" w14:textId="77777777" w:rsidR="00CE218A" w:rsidRPr="00EF5F4B" w:rsidRDefault="00CE218A" w:rsidP="00154280">
      <w:pPr>
        <w:jc w:val="both"/>
        <w:rPr>
          <w:rFonts w:ascii="Arial" w:hAnsi="Arial" w:cs="Arial"/>
          <w:sz w:val="20"/>
          <w:szCs w:val="20"/>
        </w:rPr>
      </w:pPr>
    </w:p>
    <w:p w14:paraId="2B9ED353" w14:textId="77777777" w:rsidR="00CE218A" w:rsidRPr="00EF5F4B" w:rsidRDefault="00CE218A" w:rsidP="00154280">
      <w:pPr>
        <w:jc w:val="both"/>
        <w:rPr>
          <w:rFonts w:ascii="Arial" w:hAnsi="Arial" w:cs="Arial"/>
          <w:sz w:val="20"/>
          <w:szCs w:val="20"/>
        </w:rPr>
      </w:pPr>
    </w:p>
    <w:p w14:paraId="2103E559" w14:textId="77777777" w:rsidR="00CE218A" w:rsidRPr="00EF5F4B" w:rsidRDefault="00CE218A" w:rsidP="00154280">
      <w:pPr>
        <w:jc w:val="both"/>
        <w:rPr>
          <w:rFonts w:ascii="Arial" w:hAnsi="Arial" w:cs="Arial"/>
          <w:sz w:val="20"/>
          <w:szCs w:val="20"/>
        </w:rPr>
      </w:pPr>
    </w:p>
    <w:p w14:paraId="78AC6225" w14:textId="77777777" w:rsidR="00CE218A" w:rsidRPr="00EF5F4B" w:rsidRDefault="00CE218A" w:rsidP="00154280">
      <w:pPr>
        <w:jc w:val="both"/>
        <w:rPr>
          <w:rFonts w:ascii="Arial" w:hAnsi="Arial" w:cs="Arial"/>
          <w:sz w:val="20"/>
          <w:szCs w:val="20"/>
        </w:rPr>
      </w:pPr>
    </w:p>
    <w:p w14:paraId="4FC76443" w14:textId="77777777" w:rsidR="00CE218A" w:rsidRPr="00EF5F4B" w:rsidRDefault="00CE218A" w:rsidP="00154280">
      <w:pPr>
        <w:jc w:val="both"/>
        <w:rPr>
          <w:rFonts w:ascii="Arial" w:hAnsi="Arial" w:cs="Arial"/>
          <w:sz w:val="20"/>
          <w:szCs w:val="20"/>
        </w:rPr>
      </w:pPr>
    </w:p>
    <w:p w14:paraId="4CDA6BAB" w14:textId="77777777" w:rsidR="00CE218A" w:rsidRPr="00EF5F4B" w:rsidRDefault="00CE218A" w:rsidP="00154280">
      <w:pPr>
        <w:jc w:val="both"/>
        <w:rPr>
          <w:rFonts w:ascii="Arial" w:hAnsi="Arial" w:cs="Arial"/>
          <w:sz w:val="20"/>
          <w:szCs w:val="20"/>
        </w:rPr>
      </w:pPr>
    </w:p>
    <w:p w14:paraId="1A14D8C2" w14:textId="77777777" w:rsidR="00CE218A" w:rsidRPr="00EF5F4B" w:rsidRDefault="00CE218A" w:rsidP="00154280">
      <w:pPr>
        <w:jc w:val="both"/>
        <w:rPr>
          <w:rFonts w:ascii="Arial" w:hAnsi="Arial" w:cs="Arial"/>
          <w:sz w:val="20"/>
          <w:szCs w:val="20"/>
        </w:rPr>
      </w:pPr>
    </w:p>
    <w:p w14:paraId="36821C7F" w14:textId="77777777" w:rsidR="00CE218A" w:rsidRPr="00EF5F4B" w:rsidRDefault="00CE218A" w:rsidP="00154280">
      <w:pPr>
        <w:jc w:val="both"/>
        <w:rPr>
          <w:rFonts w:ascii="Arial" w:hAnsi="Arial" w:cs="Arial"/>
          <w:sz w:val="20"/>
          <w:szCs w:val="20"/>
        </w:rPr>
      </w:pPr>
    </w:p>
    <w:p w14:paraId="70967AC4" w14:textId="77777777" w:rsidR="00CE218A" w:rsidRPr="00EF5F4B" w:rsidRDefault="00CE218A" w:rsidP="00154280">
      <w:pPr>
        <w:jc w:val="both"/>
        <w:rPr>
          <w:rFonts w:ascii="Arial" w:hAnsi="Arial" w:cs="Arial"/>
          <w:sz w:val="20"/>
          <w:szCs w:val="20"/>
        </w:rPr>
      </w:pPr>
    </w:p>
    <w:p w14:paraId="44631C1A" w14:textId="77777777" w:rsidR="00CE218A" w:rsidRPr="00EF5F4B" w:rsidRDefault="00CE218A" w:rsidP="00154280">
      <w:pPr>
        <w:jc w:val="both"/>
        <w:rPr>
          <w:rFonts w:ascii="Arial" w:hAnsi="Arial" w:cs="Arial"/>
          <w:sz w:val="20"/>
          <w:szCs w:val="20"/>
        </w:rPr>
      </w:pPr>
    </w:p>
    <w:p w14:paraId="1FD39D6B" w14:textId="01094123" w:rsidR="00CE218A" w:rsidRPr="00EF5F4B" w:rsidRDefault="00CE218A" w:rsidP="00154280">
      <w:pPr>
        <w:jc w:val="both"/>
        <w:rPr>
          <w:rFonts w:ascii="Arial" w:hAnsi="Arial" w:cs="Arial"/>
          <w:sz w:val="20"/>
          <w:szCs w:val="20"/>
        </w:rPr>
      </w:pPr>
      <w:r w:rsidRPr="00EF5F4B">
        <w:rPr>
          <w:rFonts w:ascii="Arial" w:hAnsi="Arial" w:cs="Arial"/>
          <w:sz w:val="20"/>
          <w:szCs w:val="20"/>
        </w:rPr>
        <w:t>Renal biopsy –</w:t>
      </w:r>
    </w:p>
    <w:p w14:paraId="0A46C1FB" w14:textId="42881B52" w:rsidR="00CE218A" w:rsidRPr="000F4793" w:rsidRDefault="00CE218A" w:rsidP="00154280">
      <w:pPr>
        <w:jc w:val="both"/>
        <w:rPr>
          <w:rFonts w:ascii="Arial" w:hAnsi="Arial" w:cs="Arial"/>
          <w:b/>
          <w:bCs/>
          <w:sz w:val="20"/>
          <w:szCs w:val="20"/>
        </w:rPr>
      </w:pPr>
      <w:r w:rsidRPr="000F4793">
        <w:rPr>
          <w:rFonts w:ascii="Arial" w:hAnsi="Arial" w:cs="Arial"/>
          <w:b/>
          <w:bCs/>
          <w:sz w:val="20"/>
          <w:szCs w:val="20"/>
        </w:rPr>
        <w:t xml:space="preserve">Figure1- light microscopy image of a glomerulus </w:t>
      </w:r>
      <w:proofErr w:type="gramStart"/>
      <w:r w:rsidRPr="000F4793">
        <w:rPr>
          <w:rFonts w:ascii="Arial" w:hAnsi="Arial" w:cs="Arial"/>
          <w:b/>
          <w:bCs/>
          <w:sz w:val="20"/>
          <w:szCs w:val="20"/>
        </w:rPr>
        <w:t>showing  diffusely</w:t>
      </w:r>
      <w:proofErr w:type="gramEnd"/>
      <w:r w:rsidRPr="000F4793">
        <w:rPr>
          <w:rFonts w:ascii="Arial" w:hAnsi="Arial" w:cs="Arial"/>
          <w:b/>
          <w:bCs/>
          <w:sz w:val="20"/>
          <w:szCs w:val="20"/>
        </w:rPr>
        <w:t xml:space="preserve"> thickened capillaries with membrane alterations</w:t>
      </w:r>
    </w:p>
    <w:p w14:paraId="691B87BC" w14:textId="439FE06C" w:rsidR="00CE218A" w:rsidRPr="00EF5F4B" w:rsidRDefault="00CE218A" w:rsidP="00CE218A">
      <w:pPr>
        <w:jc w:val="both"/>
        <w:rPr>
          <w:rFonts w:ascii="Arial" w:hAnsi="Arial" w:cs="Arial"/>
          <w:sz w:val="20"/>
          <w:szCs w:val="20"/>
          <w:lang w:val="en-US"/>
        </w:rPr>
      </w:pPr>
      <w:bookmarkStart w:id="0" w:name="_GoBack"/>
      <w:r w:rsidRPr="00EF5F4B">
        <w:rPr>
          <w:rFonts w:ascii="Arial" w:hAnsi="Arial" w:cs="Arial"/>
          <w:noProof/>
          <w:sz w:val="20"/>
          <w:szCs w:val="20"/>
          <w:lang w:val="en-US"/>
        </w:rPr>
        <w:drawing>
          <wp:inline distT="0" distB="0" distL="0" distR="0" wp14:anchorId="4540FC4A" wp14:editId="39B6B8D2">
            <wp:extent cx="6262450" cy="4651702"/>
            <wp:effectExtent l="0" t="0" r="5080" b="0"/>
            <wp:docPr id="137576786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77906" cy="4663183"/>
                    </a:xfrm>
                    <a:prstGeom prst="rect">
                      <a:avLst/>
                    </a:prstGeom>
                    <a:noFill/>
                    <a:ln>
                      <a:noFill/>
                    </a:ln>
                  </pic:spPr>
                </pic:pic>
              </a:graphicData>
            </a:graphic>
          </wp:inline>
        </w:drawing>
      </w:r>
      <w:bookmarkEnd w:id="0"/>
    </w:p>
    <w:p w14:paraId="41C7D906" w14:textId="77777777" w:rsidR="00CE218A" w:rsidRPr="00EF5F4B" w:rsidRDefault="00CE218A" w:rsidP="00154280">
      <w:pPr>
        <w:jc w:val="both"/>
        <w:rPr>
          <w:rFonts w:ascii="Arial" w:hAnsi="Arial" w:cs="Arial"/>
          <w:sz w:val="20"/>
          <w:szCs w:val="20"/>
        </w:rPr>
      </w:pPr>
    </w:p>
    <w:p w14:paraId="10829FD0" w14:textId="77777777" w:rsidR="00CE218A" w:rsidRPr="00EF5F4B" w:rsidRDefault="00CE218A" w:rsidP="00154280">
      <w:pPr>
        <w:jc w:val="both"/>
        <w:rPr>
          <w:rFonts w:ascii="Arial" w:hAnsi="Arial" w:cs="Arial"/>
          <w:sz w:val="20"/>
          <w:szCs w:val="20"/>
        </w:rPr>
      </w:pPr>
    </w:p>
    <w:p w14:paraId="0457C7D1" w14:textId="77777777" w:rsidR="00CE218A" w:rsidRPr="00EF5F4B" w:rsidRDefault="00CE218A" w:rsidP="00154280">
      <w:pPr>
        <w:jc w:val="both"/>
        <w:rPr>
          <w:rFonts w:ascii="Arial" w:hAnsi="Arial" w:cs="Arial"/>
          <w:sz w:val="20"/>
          <w:szCs w:val="20"/>
        </w:rPr>
      </w:pPr>
    </w:p>
    <w:p w14:paraId="245877CA" w14:textId="5102C3D5" w:rsidR="00CE218A" w:rsidRPr="000F4793" w:rsidRDefault="00CE218A" w:rsidP="00154280">
      <w:pPr>
        <w:jc w:val="both"/>
        <w:rPr>
          <w:rFonts w:ascii="Arial" w:hAnsi="Arial" w:cs="Arial"/>
          <w:b/>
          <w:bCs/>
          <w:sz w:val="20"/>
          <w:szCs w:val="20"/>
        </w:rPr>
      </w:pPr>
      <w:r w:rsidRPr="000F4793">
        <w:rPr>
          <w:rFonts w:ascii="Arial" w:hAnsi="Arial" w:cs="Arial"/>
          <w:b/>
          <w:bCs/>
          <w:sz w:val="20"/>
          <w:szCs w:val="20"/>
        </w:rPr>
        <w:t>Figure 2- Immunofluorescence microscopy of renal biopsy demonstrating coarse granular IgG staining along the glomerular capillary walls</w:t>
      </w:r>
    </w:p>
    <w:p w14:paraId="75AC84B8" w14:textId="77777777" w:rsidR="00CE218A" w:rsidRPr="000F4793" w:rsidRDefault="00CE218A" w:rsidP="00154280">
      <w:pPr>
        <w:jc w:val="both"/>
        <w:rPr>
          <w:rFonts w:ascii="Arial" w:hAnsi="Arial" w:cs="Arial"/>
          <w:b/>
          <w:bCs/>
          <w:sz w:val="20"/>
          <w:szCs w:val="20"/>
        </w:rPr>
      </w:pPr>
    </w:p>
    <w:p w14:paraId="3977CC49" w14:textId="77777777" w:rsidR="00CE218A" w:rsidRPr="00EF5F4B" w:rsidRDefault="00CE218A" w:rsidP="00154280">
      <w:pPr>
        <w:jc w:val="both"/>
        <w:rPr>
          <w:rFonts w:ascii="Arial" w:hAnsi="Arial" w:cs="Arial"/>
          <w:sz w:val="20"/>
          <w:szCs w:val="20"/>
        </w:rPr>
      </w:pPr>
    </w:p>
    <w:p w14:paraId="42391C72" w14:textId="5C1B4E54" w:rsidR="00CE218A" w:rsidRPr="00EF5F4B" w:rsidRDefault="00CE218A" w:rsidP="00CE218A">
      <w:pPr>
        <w:jc w:val="both"/>
        <w:rPr>
          <w:rFonts w:ascii="Arial" w:hAnsi="Arial" w:cs="Arial"/>
          <w:sz w:val="20"/>
          <w:szCs w:val="20"/>
          <w:lang w:val="en-US"/>
        </w:rPr>
      </w:pPr>
      <w:r w:rsidRPr="00EF5F4B">
        <w:rPr>
          <w:rFonts w:ascii="Arial" w:hAnsi="Arial" w:cs="Arial"/>
          <w:noProof/>
          <w:sz w:val="20"/>
          <w:szCs w:val="20"/>
        </w:rPr>
        <mc:AlternateContent>
          <mc:Choice Requires="wps">
            <w:drawing>
              <wp:inline distT="0" distB="0" distL="0" distR="0" wp14:anchorId="499F36CD" wp14:editId="45711FDE">
                <wp:extent cx="304800" cy="304800"/>
                <wp:effectExtent l="0" t="0" r="0" b="0"/>
                <wp:docPr id="21733107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C597DCC"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F5F4B">
        <w:rPr>
          <w:rFonts w:ascii="Arial" w:eastAsia="Times New Roman" w:hAnsi="Arial" w:cs="Arial"/>
          <w:kern w:val="0"/>
          <w:sz w:val="20"/>
          <w:szCs w:val="20"/>
          <w:lang w:val="en-US"/>
          <w14:ligatures w14:val="none"/>
        </w:rPr>
        <w:t xml:space="preserve"> </w:t>
      </w:r>
      <w:r w:rsidRPr="00EF5F4B">
        <w:rPr>
          <w:rFonts w:ascii="Arial" w:hAnsi="Arial" w:cs="Arial"/>
          <w:noProof/>
          <w:sz w:val="20"/>
          <w:szCs w:val="20"/>
          <w:lang w:val="en-US"/>
        </w:rPr>
        <w:drawing>
          <wp:inline distT="0" distB="0" distL="0" distR="0" wp14:anchorId="229B7DE2" wp14:editId="4A3C465E">
            <wp:extent cx="6343421" cy="3964638"/>
            <wp:effectExtent l="0" t="0" r="635" b="0"/>
            <wp:docPr id="21353736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24356" cy="4015222"/>
                    </a:xfrm>
                    <a:prstGeom prst="rect">
                      <a:avLst/>
                    </a:prstGeom>
                    <a:noFill/>
                    <a:ln>
                      <a:noFill/>
                    </a:ln>
                  </pic:spPr>
                </pic:pic>
              </a:graphicData>
            </a:graphic>
          </wp:inline>
        </w:drawing>
      </w:r>
    </w:p>
    <w:p w14:paraId="3F3A5AA2" w14:textId="77777777" w:rsidR="0008799C" w:rsidRPr="00EF5F4B" w:rsidRDefault="0008799C" w:rsidP="00154280">
      <w:pPr>
        <w:jc w:val="both"/>
        <w:rPr>
          <w:rFonts w:ascii="Arial" w:hAnsi="Arial" w:cs="Arial"/>
          <w:sz w:val="20"/>
          <w:szCs w:val="20"/>
        </w:rPr>
      </w:pPr>
    </w:p>
    <w:sectPr w:rsidR="0008799C" w:rsidRPr="00EF5F4B">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855E3" w14:textId="77777777" w:rsidR="00BD6F88" w:rsidRDefault="00BD6F88" w:rsidP="005E6795">
      <w:pPr>
        <w:spacing w:after="0" w:line="240" w:lineRule="auto"/>
      </w:pPr>
      <w:r>
        <w:separator/>
      </w:r>
    </w:p>
  </w:endnote>
  <w:endnote w:type="continuationSeparator" w:id="0">
    <w:p w14:paraId="65B1BA79" w14:textId="77777777" w:rsidR="00BD6F88" w:rsidRDefault="00BD6F88" w:rsidP="005E6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Vrinda">
    <w:altName w:val="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5BE85" w14:textId="77777777" w:rsidR="005E6795" w:rsidRDefault="005E67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3E244" w14:textId="77777777" w:rsidR="005E6795" w:rsidRDefault="005E67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37957" w14:textId="77777777" w:rsidR="005E6795" w:rsidRDefault="005E6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CD655" w14:textId="77777777" w:rsidR="00BD6F88" w:rsidRDefault="00BD6F88" w:rsidP="005E6795">
      <w:pPr>
        <w:spacing w:after="0" w:line="240" w:lineRule="auto"/>
      </w:pPr>
      <w:r>
        <w:separator/>
      </w:r>
    </w:p>
  </w:footnote>
  <w:footnote w:type="continuationSeparator" w:id="0">
    <w:p w14:paraId="005599AA" w14:textId="77777777" w:rsidR="00BD6F88" w:rsidRDefault="00BD6F88" w:rsidP="005E6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DA420" w14:textId="4AE54885" w:rsidR="005E6795" w:rsidRDefault="005E6795">
    <w:pPr>
      <w:pStyle w:val="Header"/>
    </w:pPr>
    <w:r>
      <w:rPr>
        <w:noProof/>
      </w:rPr>
      <w:pict w14:anchorId="7F5A6B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59950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A505A" w14:textId="2E234C63" w:rsidR="005E6795" w:rsidRDefault="005E6795">
    <w:pPr>
      <w:pStyle w:val="Header"/>
    </w:pPr>
    <w:r>
      <w:rPr>
        <w:noProof/>
      </w:rPr>
      <w:pict w14:anchorId="246E14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59950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A8662" w14:textId="231B95FC" w:rsidR="005E6795" w:rsidRDefault="005E6795">
    <w:pPr>
      <w:pStyle w:val="Header"/>
    </w:pPr>
    <w:r>
      <w:rPr>
        <w:noProof/>
      </w:rPr>
      <w:pict w14:anchorId="7B666A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59950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13364"/>
    <w:multiLevelType w:val="multilevel"/>
    <w:tmpl w:val="68284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A23E7A"/>
    <w:multiLevelType w:val="hybridMultilevel"/>
    <w:tmpl w:val="13D42F2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320F56"/>
    <w:multiLevelType w:val="hybridMultilevel"/>
    <w:tmpl w:val="DB66501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8F1793B"/>
    <w:multiLevelType w:val="hybridMultilevel"/>
    <w:tmpl w:val="24F663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BE602F7"/>
    <w:multiLevelType w:val="hybridMultilevel"/>
    <w:tmpl w:val="61427798"/>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16558AC"/>
    <w:multiLevelType w:val="multilevel"/>
    <w:tmpl w:val="2BE69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5"/>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51E"/>
    <w:rsid w:val="0008799C"/>
    <w:rsid w:val="0009760C"/>
    <w:rsid w:val="000976F2"/>
    <w:rsid w:val="000F4793"/>
    <w:rsid w:val="00104D79"/>
    <w:rsid w:val="00154280"/>
    <w:rsid w:val="001C17A1"/>
    <w:rsid w:val="002015F4"/>
    <w:rsid w:val="00290E53"/>
    <w:rsid w:val="002A421A"/>
    <w:rsid w:val="002B4703"/>
    <w:rsid w:val="003652E2"/>
    <w:rsid w:val="003D36B5"/>
    <w:rsid w:val="0048540C"/>
    <w:rsid w:val="00491774"/>
    <w:rsid w:val="004A19EB"/>
    <w:rsid w:val="00547F8F"/>
    <w:rsid w:val="005E6795"/>
    <w:rsid w:val="00613E08"/>
    <w:rsid w:val="0067751E"/>
    <w:rsid w:val="006B17E0"/>
    <w:rsid w:val="006C0F77"/>
    <w:rsid w:val="00764DC3"/>
    <w:rsid w:val="00775F39"/>
    <w:rsid w:val="00776EAB"/>
    <w:rsid w:val="007908CA"/>
    <w:rsid w:val="007E382C"/>
    <w:rsid w:val="007F2A13"/>
    <w:rsid w:val="007F3A1D"/>
    <w:rsid w:val="00803459"/>
    <w:rsid w:val="008E0889"/>
    <w:rsid w:val="008F702D"/>
    <w:rsid w:val="009D0DB6"/>
    <w:rsid w:val="00A640E4"/>
    <w:rsid w:val="00AE0F09"/>
    <w:rsid w:val="00B42357"/>
    <w:rsid w:val="00BA2F16"/>
    <w:rsid w:val="00BC5CC2"/>
    <w:rsid w:val="00BD6F88"/>
    <w:rsid w:val="00C07463"/>
    <w:rsid w:val="00C2274C"/>
    <w:rsid w:val="00C95C60"/>
    <w:rsid w:val="00CE218A"/>
    <w:rsid w:val="00D11DA7"/>
    <w:rsid w:val="00D22F09"/>
    <w:rsid w:val="00D87487"/>
    <w:rsid w:val="00DE07E6"/>
    <w:rsid w:val="00E24229"/>
    <w:rsid w:val="00E25A3A"/>
    <w:rsid w:val="00E63D4A"/>
    <w:rsid w:val="00E64A1C"/>
    <w:rsid w:val="00EF5F4B"/>
    <w:rsid w:val="00F450C1"/>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68343C"/>
  <w15:chartTrackingRefBased/>
  <w15:docId w15:val="{3152A650-A71D-412C-B9B6-926E7B6E2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75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75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775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75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75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75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75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75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75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5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75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775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75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75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75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75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75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751E"/>
    <w:rPr>
      <w:rFonts w:eastAsiaTheme="majorEastAsia" w:cstheme="majorBidi"/>
      <w:color w:val="272727" w:themeColor="text1" w:themeTint="D8"/>
    </w:rPr>
  </w:style>
  <w:style w:type="paragraph" w:styleId="Title">
    <w:name w:val="Title"/>
    <w:basedOn w:val="Normal"/>
    <w:next w:val="Normal"/>
    <w:link w:val="TitleChar"/>
    <w:uiPriority w:val="10"/>
    <w:qFormat/>
    <w:rsid w:val="006775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75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75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75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751E"/>
    <w:pPr>
      <w:spacing w:before="160"/>
      <w:jc w:val="center"/>
    </w:pPr>
    <w:rPr>
      <w:i/>
      <w:iCs/>
      <w:color w:val="404040" w:themeColor="text1" w:themeTint="BF"/>
    </w:rPr>
  </w:style>
  <w:style w:type="character" w:customStyle="1" w:styleId="QuoteChar">
    <w:name w:val="Quote Char"/>
    <w:basedOn w:val="DefaultParagraphFont"/>
    <w:link w:val="Quote"/>
    <w:uiPriority w:val="29"/>
    <w:rsid w:val="0067751E"/>
    <w:rPr>
      <w:i/>
      <w:iCs/>
      <w:color w:val="404040" w:themeColor="text1" w:themeTint="BF"/>
    </w:rPr>
  </w:style>
  <w:style w:type="paragraph" w:styleId="ListParagraph">
    <w:name w:val="List Paragraph"/>
    <w:basedOn w:val="Normal"/>
    <w:uiPriority w:val="34"/>
    <w:qFormat/>
    <w:rsid w:val="0067751E"/>
    <w:pPr>
      <w:ind w:left="720"/>
      <w:contextualSpacing/>
    </w:pPr>
  </w:style>
  <w:style w:type="character" w:styleId="IntenseEmphasis">
    <w:name w:val="Intense Emphasis"/>
    <w:basedOn w:val="DefaultParagraphFont"/>
    <w:uiPriority w:val="21"/>
    <w:qFormat/>
    <w:rsid w:val="0067751E"/>
    <w:rPr>
      <w:i/>
      <w:iCs/>
      <w:color w:val="0F4761" w:themeColor="accent1" w:themeShade="BF"/>
    </w:rPr>
  </w:style>
  <w:style w:type="paragraph" w:styleId="IntenseQuote">
    <w:name w:val="Intense Quote"/>
    <w:basedOn w:val="Normal"/>
    <w:next w:val="Normal"/>
    <w:link w:val="IntenseQuoteChar"/>
    <w:uiPriority w:val="30"/>
    <w:qFormat/>
    <w:rsid w:val="006775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751E"/>
    <w:rPr>
      <w:i/>
      <w:iCs/>
      <w:color w:val="0F4761" w:themeColor="accent1" w:themeShade="BF"/>
    </w:rPr>
  </w:style>
  <w:style w:type="character" w:styleId="IntenseReference">
    <w:name w:val="Intense Reference"/>
    <w:basedOn w:val="DefaultParagraphFont"/>
    <w:uiPriority w:val="32"/>
    <w:qFormat/>
    <w:rsid w:val="0067751E"/>
    <w:rPr>
      <w:b/>
      <w:bCs/>
      <w:smallCaps/>
      <w:color w:val="0F4761" w:themeColor="accent1" w:themeShade="BF"/>
      <w:spacing w:val="5"/>
    </w:rPr>
  </w:style>
  <w:style w:type="character" w:styleId="Strong">
    <w:name w:val="Strong"/>
    <w:basedOn w:val="DefaultParagraphFont"/>
    <w:uiPriority w:val="22"/>
    <w:qFormat/>
    <w:rsid w:val="0067751E"/>
    <w:rPr>
      <w:b/>
      <w:bCs/>
    </w:rPr>
  </w:style>
  <w:style w:type="paragraph" w:styleId="NormalWeb">
    <w:name w:val="Normal (Web)"/>
    <w:basedOn w:val="Normal"/>
    <w:uiPriority w:val="99"/>
    <w:unhideWhenUsed/>
    <w:rsid w:val="0067751E"/>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67751E"/>
    <w:rPr>
      <w:i/>
      <w:iCs/>
    </w:rPr>
  </w:style>
  <w:style w:type="character" w:customStyle="1" w:styleId="ms-1">
    <w:name w:val="ms-1"/>
    <w:basedOn w:val="DefaultParagraphFont"/>
    <w:rsid w:val="0067751E"/>
  </w:style>
  <w:style w:type="character" w:customStyle="1" w:styleId="max-w-15ch">
    <w:name w:val="max-w-[15ch]"/>
    <w:basedOn w:val="DefaultParagraphFont"/>
    <w:rsid w:val="0067751E"/>
  </w:style>
  <w:style w:type="table" w:styleId="TableGrid">
    <w:name w:val="Table Grid"/>
    <w:basedOn w:val="TableNormal"/>
    <w:uiPriority w:val="59"/>
    <w:rsid w:val="00547F8F"/>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47F8F"/>
    <w:pPr>
      <w:spacing w:after="0" w:line="240" w:lineRule="auto"/>
    </w:pPr>
    <w:rPr>
      <w:sz w:val="24"/>
      <w:szCs w:val="24"/>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803459"/>
    <w:rPr>
      <w:color w:val="467886" w:themeColor="hyperlink"/>
      <w:u w:val="single"/>
    </w:rPr>
  </w:style>
  <w:style w:type="character" w:styleId="UnresolvedMention">
    <w:name w:val="Unresolved Mention"/>
    <w:basedOn w:val="DefaultParagraphFont"/>
    <w:uiPriority w:val="99"/>
    <w:semiHidden/>
    <w:unhideWhenUsed/>
    <w:rsid w:val="00803459"/>
    <w:rPr>
      <w:color w:val="605E5C"/>
      <w:shd w:val="clear" w:color="auto" w:fill="E1DFDD"/>
    </w:rPr>
  </w:style>
  <w:style w:type="paragraph" w:styleId="Header">
    <w:name w:val="header"/>
    <w:basedOn w:val="Normal"/>
    <w:link w:val="HeaderChar"/>
    <w:uiPriority w:val="99"/>
    <w:unhideWhenUsed/>
    <w:rsid w:val="005E67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795"/>
  </w:style>
  <w:style w:type="paragraph" w:styleId="Footer">
    <w:name w:val="footer"/>
    <w:basedOn w:val="Normal"/>
    <w:link w:val="FooterChar"/>
    <w:uiPriority w:val="99"/>
    <w:unhideWhenUsed/>
    <w:rsid w:val="005E67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247440">
      <w:bodyDiv w:val="1"/>
      <w:marLeft w:val="0"/>
      <w:marRight w:val="0"/>
      <w:marTop w:val="0"/>
      <w:marBottom w:val="0"/>
      <w:divBdr>
        <w:top w:val="none" w:sz="0" w:space="0" w:color="auto"/>
        <w:left w:val="none" w:sz="0" w:space="0" w:color="auto"/>
        <w:bottom w:val="none" w:sz="0" w:space="0" w:color="auto"/>
        <w:right w:val="none" w:sz="0" w:space="0" w:color="auto"/>
      </w:divBdr>
    </w:div>
    <w:div w:id="1401708294">
      <w:bodyDiv w:val="1"/>
      <w:marLeft w:val="0"/>
      <w:marRight w:val="0"/>
      <w:marTop w:val="0"/>
      <w:marBottom w:val="0"/>
      <w:divBdr>
        <w:top w:val="none" w:sz="0" w:space="0" w:color="auto"/>
        <w:left w:val="none" w:sz="0" w:space="0" w:color="auto"/>
        <w:bottom w:val="none" w:sz="0" w:space="0" w:color="auto"/>
        <w:right w:val="none" w:sz="0" w:space="0" w:color="auto"/>
      </w:divBdr>
    </w:div>
    <w:div w:id="140510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7/MD.0b013e318181e6af" TargetMode="External"/><Relationship Id="rId13" Type="http://schemas.openxmlformats.org/officeDocument/2006/relationships/hyperlink" Target="https://doi.org/10.3389/fimmu.2020.562101"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doi.org/10.1111/ddg.14823" TargetMode="External"/><Relationship Id="rId12" Type="http://schemas.openxmlformats.org/officeDocument/2006/relationships/hyperlink" Target="https://doi.org/10.1093/ckj/sfae384"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169/internalmedicine.49.2722"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hyperlink" Target="https://doi.org/10.1007/s40744-020-00264-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2215/CJN.00980209" TargetMode="External"/><Relationship Id="rId14" Type="http://schemas.openxmlformats.org/officeDocument/2006/relationships/hyperlink" Target="https://doi.org/10.1146/annurev-med-050522-034537"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2330</Words>
  <Characters>13286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O365</dc:creator>
  <cp:keywords/>
  <dc:description/>
  <cp:lastModifiedBy>SDI 1084</cp:lastModifiedBy>
  <cp:revision>12</cp:revision>
  <dcterms:created xsi:type="dcterms:W3CDTF">2025-12-22T08:25:00Z</dcterms:created>
  <dcterms:modified xsi:type="dcterms:W3CDTF">2025-12-29T11:03:00Z</dcterms:modified>
</cp:coreProperties>
</file>