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C383D" w14:textId="77777777" w:rsidR="00410092" w:rsidRPr="00410092" w:rsidRDefault="00410092" w:rsidP="00410092">
      <w:pPr>
        <w:spacing w:line="480" w:lineRule="auto"/>
        <w:jc w:val="both"/>
        <w:rPr>
          <w:rFonts w:asciiTheme="majorBidi" w:hAnsiTheme="majorBidi" w:cstheme="majorBidi"/>
          <w:b/>
          <w:bCs/>
          <w:i/>
          <w:iCs/>
          <w:sz w:val="28"/>
          <w:szCs w:val="28"/>
          <w:u w:val="single"/>
          <w:lang w:val="en-US"/>
        </w:rPr>
      </w:pPr>
      <w:r w:rsidRPr="00410092">
        <w:rPr>
          <w:rFonts w:asciiTheme="majorBidi" w:hAnsiTheme="majorBidi" w:cstheme="majorBidi"/>
          <w:b/>
          <w:bCs/>
          <w:i/>
          <w:iCs/>
          <w:sz w:val="28"/>
          <w:szCs w:val="28"/>
          <w:u w:val="single"/>
          <w:lang w:val="en-US"/>
        </w:rPr>
        <w:t>Original Research Article</w:t>
      </w:r>
    </w:p>
    <w:p w14:paraId="1B94D128" w14:textId="28C4E2B6" w:rsidR="00B063B2" w:rsidRDefault="00DF7BDA" w:rsidP="0054300F">
      <w:pPr>
        <w:spacing w:line="480" w:lineRule="auto"/>
        <w:jc w:val="both"/>
        <w:rPr>
          <w:rFonts w:asciiTheme="majorBidi" w:hAnsiTheme="majorBidi" w:cstheme="majorBidi"/>
          <w:b/>
          <w:bCs/>
          <w:sz w:val="28"/>
          <w:szCs w:val="28"/>
        </w:rPr>
      </w:pPr>
      <w:r w:rsidRPr="00DF7BDA">
        <w:rPr>
          <w:rFonts w:asciiTheme="majorBidi" w:hAnsiTheme="majorBidi" w:cstheme="majorBidi"/>
          <w:b/>
          <w:bCs/>
          <w:sz w:val="28"/>
          <w:szCs w:val="28"/>
        </w:rPr>
        <w:t xml:space="preserve">Microbiological Stability and Safety of Ice Cream </w:t>
      </w:r>
      <w:r w:rsidR="00347279">
        <w:rPr>
          <w:rFonts w:asciiTheme="majorBidi" w:hAnsiTheme="majorBidi" w:cstheme="majorBidi"/>
          <w:b/>
          <w:bCs/>
          <w:sz w:val="28"/>
          <w:szCs w:val="28"/>
        </w:rPr>
        <w:t>Incorporated</w:t>
      </w:r>
      <w:r w:rsidRPr="00DF7BDA">
        <w:rPr>
          <w:rFonts w:asciiTheme="majorBidi" w:hAnsiTheme="majorBidi" w:cstheme="majorBidi"/>
          <w:b/>
          <w:bCs/>
          <w:sz w:val="28"/>
          <w:szCs w:val="28"/>
        </w:rPr>
        <w:t xml:space="preserve"> with Banana Purée and Coconut </w:t>
      </w:r>
      <w:r w:rsidR="00250134">
        <w:rPr>
          <w:rFonts w:asciiTheme="majorBidi" w:hAnsiTheme="majorBidi" w:cstheme="majorBidi"/>
          <w:b/>
          <w:bCs/>
          <w:sz w:val="28"/>
          <w:szCs w:val="28"/>
        </w:rPr>
        <w:t>Ingredient</w:t>
      </w:r>
      <w:r w:rsidRPr="00DF7BDA">
        <w:rPr>
          <w:rFonts w:asciiTheme="majorBidi" w:hAnsiTheme="majorBidi" w:cstheme="majorBidi"/>
          <w:b/>
          <w:bCs/>
          <w:sz w:val="28"/>
          <w:szCs w:val="28"/>
        </w:rPr>
        <w:t xml:space="preserve"> during Frozen Storage</w:t>
      </w:r>
    </w:p>
    <w:p w14:paraId="51AD8456" w14:textId="1D828774" w:rsidR="00410092" w:rsidRDefault="00410092" w:rsidP="00DE63BE">
      <w:pPr>
        <w:spacing w:line="480" w:lineRule="auto"/>
        <w:jc w:val="both"/>
        <w:rPr>
          <w:rFonts w:asciiTheme="majorBidi" w:hAnsiTheme="majorBidi" w:cstheme="majorBidi"/>
          <w:sz w:val="24"/>
          <w:szCs w:val="24"/>
        </w:rPr>
      </w:pPr>
    </w:p>
    <w:p w14:paraId="339328B6" w14:textId="77777777" w:rsidR="00ED70D1" w:rsidRDefault="00ED70D1" w:rsidP="00DE63BE">
      <w:pPr>
        <w:spacing w:line="480" w:lineRule="auto"/>
        <w:jc w:val="both"/>
        <w:rPr>
          <w:rFonts w:asciiTheme="majorBidi" w:hAnsiTheme="majorBidi" w:cstheme="majorBidi"/>
          <w:sz w:val="24"/>
          <w:szCs w:val="24"/>
        </w:rPr>
      </w:pPr>
      <w:bookmarkStart w:id="0" w:name="_GoBack"/>
      <w:bookmarkEnd w:id="0"/>
    </w:p>
    <w:p w14:paraId="398900F3" w14:textId="52CADD3E" w:rsidR="00145983" w:rsidRDefault="0054300F" w:rsidP="0054300F">
      <w:pPr>
        <w:spacing w:line="480" w:lineRule="auto"/>
        <w:rPr>
          <w:rFonts w:asciiTheme="majorBidi" w:hAnsiTheme="majorBidi" w:cstheme="majorBidi"/>
          <w:b/>
          <w:bCs/>
          <w:sz w:val="24"/>
          <w:szCs w:val="24"/>
        </w:rPr>
      </w:pPr>
      <w:r w:rsidRPr="00145983">
        <w:rPr>
          <w:rFonts w:asciiTheme="majorBidi" w:hAnsiTheme="majorBidi" w:cstheme="majorBidi"/>
          <w:b/>
          <w:bCs/>
          <w:sz w:val="24"/>
          <w:szCs w:val="24"/>
        </w:rPr>
        <w:t>ABSTRACT</w:t>
      </w:r>
    </w:p>
    <w:p w14:paraId="7E3D3B81" w14:textId="268E55D2" w:rsidR="00B063B2" w:rsidRPr="00DE63BE" w:rsidRDefault="00347279" w:rsidP="00347279">
      <w:pPr>
        <w:spacing w:line="480" w:lineRule="auto"/>
        <w:jc w:val="both"/>
        <w:rPr>
          <w:rFonts w:ascii="Times New Roman" w:hAnsi="Times New Roman" w:cs="Times New Roman"/>
          <w:b/>
          <w:bCs/>
          <w:sz w:val="28"/>
          <w:szCs w:val="28"/>
        </w:rPr>
      </w:pPr>
      <w:r w:rsidRPr="00DE63BE">
        <w:rPr>
          <w:rFonts w:ascii="Times New Roman" w:hAnsi="Times New Roman" w:cs="Times New Roman"/>
          <w:sz w:val="24"/>
          <w:szCs w:val="24"/>
        </w:rPr>
        <w:t xml:space="preserve">The present study evaluated the microbiological quality and storage stability of ice cream formulated with banana purée and coconut extracts during frozen storage. A full-fat control ice cream (FFC) and a medium-fat experimental ice cream (MFE) incorporating banana purée (10%) and coconut extracts were prepared under controlled processing conditions and stored at −18 ± 2 °C for 75 days. Microbiological analyses were conducted at 15-day intervals to assess aerobic plate count (APC), yeast and mold count (YMC), and coliform presence using standard methods prescribed by the Food Safety and Standards Authority of India. The results indicated that APC values of both ice cream formulations increased marginally and non-significantly during storage, with no significant effect of treatment, storage period, or their interaction, and remained within the permissible regulatory limits throughout the study. Yeasts and </w:t>
      </w:r>
      <w:proofErr w:type="spellStart"/>
      <w:r w:rsidRPr="00DE63BE">
        <w:rPr>
          <w:rFonts w:ascii="Times New Roman" w:hAnsi="Times New Roman" w:cs="Times New Roman"/>
          <w:sz w:val="24"/>
          <w:szCs w:val="24"/>
        </w:rPr>
        <w:t>molds</w:t>
      </w:r>
      <w:proofErr w:type="spellEnd"/>
      <w:r w:rsidRPr="00DE63BE">
        <w:rPr>
          <w:rFonts w:ascii="Times New Roman" w:hAnsi="Times New Roman" w:cs="Times New Roman"/>
          <w:sz w:val="24"/>
          <w:szCs w:val="24"/>
        </w:rPr>
        <w:t xml:space="preserve"> were absent per gram of product up to 60 days of storage and were detected only at very low levels on the 75th day, indicating minimal post-processing contamination and effective inhibition under frozen conditions. Coliforms were absent in both freshly prepared and stored samples throughout the entire storage period, confirming good hygienic practices and effective pasteurization. The findings demonstrate that incorporation of banana purée and coconut extracts does not compromise the microbiological safety of ice cream when </w:t>
      </w:r>
      <w:r w:rsidRPr="00DE63BE">
        <w:rPr>
          <w:rFonts w:ascii="Times New Roman" w:hAnsi="Times New Roman" w:cs="Times New Roman"/>
          <w:sz w:val="24"/>
          <w:szCs w:val="24"/>
        </w:rPr>
        <w:lastRenderedPageBreak/>
        <w:t>appropriate processing and frozen storage conditions are maintained, thereby supporting the development of safe, value-added dairy–plant composite frozen desserts.</w:t>
      </w:r>
    </w:p>
    <w:p w14:paraId="6D51353E" w14:textId="77777777" w:rsidR="00DE63BE" w:rsidRDefault="0054300F" w:rsidP="0054300F">
      <w:pPr>
        <w:spacing w:line="480" w:lineRule="auto"/>
        <w:rPr>
          <w:rFonts w:asciiTheme="majorBidi" w:hAnsiTheme="majorBidi" w:cstheme="majorBidi"/>
          <w:b/>
          <w:bCs/>
          <w:sz w:val="24"/>
          <w:szCs w:val="24"/>
        </w:rPr>
      </w:pPr>
      <w:r w:rsidRPr="00145983">
        <w:rPr>
          <w:rFonts w:asciiTheme="majorBidi" w:hAnsiTheme="majorBidi" w:cstheme="majorBidi"/>
          <w:b/>
          <w:bCs/>
          <w:sz w:val="24"/>
          <w:szCs w:val="24"/>
        </w:rPr>
        <w:t>KEYWORDS</w:t>
      </w:r>
    </w:p>
    <w:p w14:paraId="0981C29B" w14:textId="00D29B8B" w:rsidR="0054300F" w:rsidRDefault="00145983" w:rsidP="0054300F">
      <w:pPr>
        <w:spacing w:line="480" w:lineRule="auto"/>
        <w:rPr>
          <w:rFonts w:asciiTheme="majorBidi" w:hAnsiTheme="majorBidi" w:cstheme="majorBidi"/>
          <w:sz w:val="24"/>
          <w:szCs w:val="24"/>
        </w:rPr>
      </w:pPr>
      <w:r w:rsidRPr="00145983">
        <w:rPr>
          <w:rFonts w:asciiTheme="majorBidi" w:hAnsiTheme="majorBidi" w:cstheme="majorBidi"/>
          <w:sz w:val="24"/>
          <w:szCs w:val="24"/>
        </w:rPr>
        <w:t>Ice cream, Banana pu</w:t>
      </w:r>
      <w:r>
        <w:rPr>
          <w:rFonts w:asciiTheme="majorBidi" w:hAnsiTheme="majorBidi" w:cstheme="majorBidi"/>
          <w:sz w:val="24"/>
          <w:szCs w:val="24"/>
        </w:rPr>
        <w:t>ree</w:t>
      </w:r>
      <w:r w:rsidRPr="00145983">
        <w:rPr>
          <w:rFonts w:asciiTheme="majorBidi" w:hAnsiTheme="majorBidi" w:cstheme="majorBidi"/>
          <w:sz w:val="24"/>
          <w:szCs w:val="24"/>
        </w:rPr>
        <w:t>, Coconut extract, Microbiological quality</w:t>
      </w:r>
    </w:p>
    <w:p w14:paraId="4A6CEF50" w14:textId="0C969FEB" w:rsidR="00B74125" w:rsidRPr="00360526" w:rsidRDefault="00A164AF" w:rsidP="0054300F">
      <w:pPr>
        <w:spacing w:line="480" w:lineRule="auto"/>
        <w:rPr>
          <w:rFonts w:asciiTheme="majorBidi" w:hAnsiTheme="majorBidi" w:cstheme="majorBidi"/>
          <w:b/>
          <w:bCs/>
          <w:sz w:val="24"/>
          <w:szCs w:val="24"/>
        </w:rPr>
      </w:pPr>
      <w:r w:rsidRPr="00A164AF">
        <w:rPr>
          <w:rFonts w:asciiTheme="majorBidi" w:hAnsiTheme="majorBidi" w:cstheme="majorBidi"/>
          <w:b/>
          <w:bCs/>
          <w:sz w:val="24"/>
          <w:szCs w:val="24"/>
        </w:rPr>
        <w:t>INTRODUTION</w:t>
      </w:r>
    </w:p>
    <w:p w14:paraId="6AA77F20"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Shelf life is a critical determinant of the commercial viability and consumer acceptability of food products, and frozen desserts such as ice cream are no exception. Although ice cream is stored under frozen conditions, it remains susceptible to quality deterioration arising from physicochemical, sensory, and microbiological changes occurring during processing, distribution, and storage. The extent of such deterioration is influenced by multiple interrelated factors, including formulation composition, processing parameters, hygienic practices, packaging systems, and strict maintenance of the cold chain throughout storage and marketing (Goff et al., 2025; </w:t>
      </w:r>
      <w:proofErr w:type="spellStart"/>
      <w:r w:rsidRPr="007F317D">
        <w:rPr>
          <w:rFonts w:asciiTheme="majorBidi" w:hAnsiTheme="majorBidi" w:cstheme="majorBidi"/>
          <w:sz w:val="24"/>
          <w:szCs w:val="24"/>
          <w:lang w:eastAsia="en-IN" w:bidi="gu-IN"/>
        </w:rPr>
        <w:t>Guzeler</w:t>
      </w:r>
      <w:proofErr w:type="spellEnd"/>
      <w:r w:rsidRPr="007F317D">
        <w:rPr>
          <w:rFonts w:asciiTheme="majorBidi" w:hAnsiTheme="majorBidi" w:cstheme="majorBidi"/>
          <w:sz w:val="24"/>
          <w:szCs w:val="24"/>
          <w:lang w:eastAsia="en-IN" w:bidi="gu-IN"/>
        </w:rPr>
        <w:t xml:space="preserve"> et al., 2012). Ensuring microbiological safety and stability of ice cream over its intended shelf life is therefore essential for regulatory compliance and consumer protection (FSSR, 2020; FSSAI, 2024).</w:t>
      </w:r>
    </w:p>
    <w:p w14:paraId="36C4E457"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From a microbiological perspective, ice cream represents a complex food matrix that can support microbial survival despite being stored at sub-zero temperatures. While low storage temperatures (≤ −18 °C) markedly suppress microbial growth, they do not eliminate microorganisms introduced through raw materials, processing environments, or post-pasteurization contamination (Pal et al., 2012; Nalbone et al., 2022). Psychrotrophic bacteria, as well as certain yeasts and </w:t>
      </w:r>
      <w:proofErr w:type="spellStart"/>
      <w:r w:rsidRPr="007F317D">
        <w:rPr>
          <w:rFonts w:asciiTheme="majorBidi" w:hAnsiTheme="majorBidi" w:cstheme="majorBidi"/>
          <w:sz w:val="24"/>
          <w:szCs w:val="24"/>
          <w:lang w:eastAsia="en-IN" w:bidi="gu-IN"/>
        </w:rPr>
        <w:t>molds</w:t>
      </w:r>
      <w:proofErr w:type="spellEnd"/>
      <w:r w:rsidRPr="007F317D">
        <w:rPr>
          <w:rFonts w:asciiTheme="majorBidi" w:hAnsiTheme="majorBidi" w:cstheme="majorBidi"/>
          <w:sz w:val="24"/>
          <w:szCs w:val="24"/>
          <w:lang w:eastAsia="en-IN" w:bidi="gu-IN"/>
        </w:rPr>
        <w:t xml:space="preserve">, can survive freezing stress and may proliferate if temperature abuse or heat shock occurs during storage and distribution (Marshall et al., 2003; </w:t>
      </w:r>
      <w:proofErr w:type="spellStart"/>
      <w:r w:rsidRPr="007F317D">
        <w:rPr>
          <w:rFonts w:asciiTheme="majorBidi" w:hAnsiTheme="majorBidi" w:cstheme="majorBidi"/>
          <w:sz w:val="24"/>
          <w:szCs w:val="24"/>
          <w:lang w:eastAsia="en-IN" w:bidi="gu-IN"/>
        </w:rPr>
        <w:t>Guzeler</w:t>
      </w:r>
      <w:proofErr w:type="spellEnd"/>
      <w:r w:rsidRPr="007F317D">
        <w:rPr>
          <w:rFonts w:asciiTheme="majorBidi" w:hAnsiTheme="majorBidi" w:cstheme="majorBidi"/>
          <w:sz w:val="24"/>
          <w:szCs w:val="24"/>
          <w:lang w:eastAsia="en-IN" w:bidi="gu-IN"/>
        </w:rPr>
        <w:t xml:space="preserve"> et al., 2012). Consequently, microbiological quality of ice cream is strongly dependent </w:t>
      </w:r>
      <w:r w:rsidRPr="007F317D">
        <w:rPr>
          <w:rFonts w:asciiTheme="majorBidi" w:hAnsiTheme="majorBidi" w:cstheme="majorBidi"/>
          <w:sz w:val="24"/>
          <w:szCs w:val="24"/>
          <w:lang w:eastAsia="en-IN" w:bidi="gu-IN"/>
        </w:rPr>
        <w:lastRenderedPageBreak/>
        <w:t>on effective pasteurization, prevention of post-processing contamination, and continuous maintenance of frozen storage conditions (Ahmed &amp; El-Zubeir, 2015).</w:t>
      </w:r>
    </w:p>
    <w:p w14:paraId="3A789ECB"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The microbiological status of ice cream is commonly assessed using indicator organisms such as aerobic plate count (APC), yeast and mold count (YMC), and coliforms. APC provides an overall measure of microbial load and hygienic quality, while YMC reflects susceptibility to fungal spoilage, particularly in sugar-rich and plant-fortified products. Coliforms serve as indicators of post-pasteurization contamination and inadequate sanitation (FSSAI, 2024; Pal et al., 2012). Monitoring these indicators during frozen storage is essential, as microbial survival under frozen conditions may compromise product safety and shelf life upon thawing or exposure to temperature fluctuations (Nalbone et al., 2022).</w:t>
      </w:r>
    </w:p>
    <w:p w14:paraId="4070ACA2"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Formulation and processing variables play a decisive role in determining microbiological stability of ice cream. Factors such as total solids content, sugar concentration, fat level, overrun, ice crystal size, and air incorporation influence water activity, oxygen availability, and microstructural characteristics of the frozen matrix, thereby affecting microbial survival (Marshall et al., 2003; Goff et al., 2025). Rapid freezing and hardening minimize the time ice cream spends in temperature ranges conducive to microbial growth, whereas repeated heat shock cycles during storage accelerate physicochemical degradation and indirectly promote microbial recovery and spoilage (</w:t>
      </w:r>
      <w:proofErr w:type="spellStart"/>
      <w:r w:rsidRPr="007F317D">
        <w:rPr>
          <w:rFonts w:asciiTheme="majorBidi" w:hAnsiTheme="majorBidi" w:cstheme="majorBidi"/>
          <w:sz w:val="24"/>
          <w:szCs w:val="24"/>
          <w:lang w:eastAsia="en-IN" w:bidi="gu-IN"/>
        </w:rPr>
        <w:t>Guzeler</w:t>
      </w:r>
      <w:proofErr w:type="spellEnd"/>
      <w:r w:rsidRPr="007F317D">
        <w:rPr>
          <w:rFonts w:asciiTheme="majorBidi" w:hAnsiTheme="majorBidi" w:cstheme="majorBidi"/>
          <w:sz w:val="24"/>
          <w:szCs w:val="24"/>
          <w:lang w:eastAsia="en-IN" w:bidi="gu-IN"/>
        </w:rPr>
        <w:t xml:space="preserve"> et al., 2012).</w:t>
      </w:r>
    </w:p>
    <w:p w14:paraId="3D9BA95B"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In recent years, growing consumer demand for healthier and functional foods has driven the incorporation of nutritionally enriched ingredients such as fruits, dietary </w:t>
      </w:r>
      <w:proofErr w:type="spellStart"/>
      <w:r w:rsidRPr="007F317D">
        <w:rPr>
          <w:rFonts w:asciiTheme="majorBidi" w:hAnsiTheme="majorBidi" w:cstheme="majorBidi"/>
          <w:sz w:val="24"/>
          <w:szCs w:val="24"/>
          <w:lang w:eastAsia="en-IN" w:bidi="gu-IN"/>
        </w:rPr>
        <w:t>fibers</w:t>
      </w:r>
      <w:proofErr w:type="spellEnd"/>
      <w:r w:rsidRPr="007F317D">
        <w:rPr>
          <w:rFonts w:asciiTheme="majorBidi" w:hAnsiTheme="majorBidi" w:cstheme="majorBidi"/>
          <w:sz w:val="24"/>
          <w:szCs w:val="24"/>
          <w:lang w:eastAsia="en-IN" w:bidi="gu-IN"/>
        </w:rPr>
        <w:t xml:space="preserve">, fruit by-products, and plant-based fats into frozen dairy desserts (Hirpara et al., 2011; Adil et al., 2024; Adil et al., 2025). Fruit-based ice creams have gained popularity due to their natural antioxidant content, vitamins, minerals, and perceived health benefits. However, incorporation of fruits and plant-derived ingredients also introduces additional microbiological challenges, as fresh fruits </w:t>
      </w:r>
      <w:r w:rsidRPr="007F317D">
        <w:rPr>
          <w:rFonts w:asciiTheme="majorBidi" w:hAnsiTheme="majorBidi" w:cstheme="majorBidi"/>
          <w:sz w:val="24"/>
          <w:szCs w:val="24"/>
          <w:lang w:eastAsia="en-IN" w:bidi="gu-IN"/>
        </w:rPr>
        <w:lastRenderedPageBreak/>
        <w:t xml:space="preserve">are frequently exposed to soil, water, insects, and handling during harvesting and transportation, and may </w:t>
      </w:r>
      <w:proofErr w:type="spellStart"/>
      <w:r w:rsidRPr="007F317D">
        <w:rPr>
          <w:rFonts w:asciiTheme="majorBidi" w:hAnsiTheme="majorBidi" w:cstheme="majorBidi"/>
          <w:sz w:val="24"/>
          <w:szCs w:val="24"/>
          <w:lang w:eastAsia="en-IN" w:bidi="gu-IN"/>
        </w:rPr>
        <w:t>harbor</w:t>
      </w:r>
      <w:proofErr w:type="spellEnd"/>
      <w:r w:rsidRPr="007F317D">
        <w:rPr>
          <w:rFonts w:asciiTheme="majorBidi" w:hAnsiTheme="majorBidi" w:cstheme="majorBidi"/>
          <w:sz w:val="24"/>
          <w:szCs w:val="24"/>
          <w:lang w:eastAsia="en-IN" w:bidi="gu-IN"/>
        </w:rPr>
        <w:t xml:space="preserve"> diverse populations of bacteria, yeasts, and </w:t>
      </w:r>
      <w:proofErr w:type="spellStart"/>
      <w:r w:rsidRPr="007F317D">
        <w:rPr>
          <w:rFonts w:asciiTheme="majorBidi" w:hAnsiTheme="majorBidi" w:cstheme="majorBidi"/>
          <w:sz w:val="24"/>
          <w:szCs w:val="24"/>
          <w:lang w:eastAsia="en-IN" w:bidi="gu-IN"/>
        </w:rPr>
        <w:t>molds</w:t>
      </w:r>
      <w:proofErr w:type="spellEnd"/>
      <w:r w:rsidRPr="007F317D">
        <w:rPr>
          <w:rFonts w:asciiTheme="majorBidi" w:hAnsiTheme="majorBidi" w:cstheme="majorBidi"/>
          <w:sz w:val="24"/>
          <w:szCs w:val="24"/>
          <w:lang w:eastAsia="en-IN" w:bidi="gu-IN"/>
        </w:rPr>
        <w:t xml:space="preserve"> (Pal et al., 2012).</w:t>
      </w:r>
    </w:p>
    <w:p w14:paraId="17BCCE1F"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Banana is of particular interest as a functional ingredient in ice cream owing to its widespread availability, nutritional richness, and favorable sensory attributes. India is the world’s largest producer of banana, contributing approximately 19.37% of global production (Times of India, 2024; </w:t>
      </w:r>
      <w:proofErr w:type="spellStart"/>
      <w:r w:rsidRPr="007F317D">
        <w:rPr>
          <w:rFonts w:asciiTheme="majorBidi" w:hAnsiTheme="majorBidi" w:cstheme="majorBidi"/>
          <w:sz w:val="24"/>
          <w:szCs w:val="24"/>
          <w:lang w:eastAsia="en-IN" w:bidi="gu-IN"/>
        </w:rPr>
        <w:t>Dineshkumar</w:t>
      </w:r>
      <w:proofErr w:type="spellEnd"/>
      <w:r w:rsidRPr="007F317D">
        <w:rPr>
          <w:rFonts w:asciiTheme="majorBidi" w:hAnsiTheme="majorBidi" w:cstheme="majorBidi"/>
          <w:sz w:val="24"/>
          <w:szCs w:val="24"/>
          <w:lang w:eastAsia="en-IN" w:bidi="gu-IN"/>
        </w:rPr>
        <w:t xml:space="preserve"> et al., 2024). Banana is rich in carbohydrates, dietary fiber, vitamins (A, B-complex, and C), and minerals such as potassium, magnesium, and phosphorus (Aurore et al., 2011; Mohapatra et al., 2010). However, banana pulp possesses high moisture content, abundant fermentable sugars, and near-neutral pH, which together create favorable conditions for microbial survival and necessitate careful microbiological evaluation when incorporated into dairy products.</w:t>
      </w:r>
    </w:p>
    <w:p w14:paraId="413C285E"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Similarly, coconut-based ingredients such as coconut milk and coconut cream are increasingly utilized in frozen desserts due to their creamy mouthfeel, pleasant flavor, and bioactive lipid profile rich in medium-chain fatty acids (</w:t>
      </w:r>
      <w:proofErr w:type="spellStart"/>
      <w:r w:rsidRPr="007F317D">
        <w:rPr>
          <w:rFonts w:asciiTheme="majorBidi" w:hAnsiTheme="majorBidi" w:cstheme="majorBidi"/>
          <w:sz w:val="24"/>
          <w:szCs w:val="24"/>
          <w:lang w:eastAsia="en-IN" w:bidi="gu-IN"/>
        </w:rPr>
        <w:t>Prades</w:t>
      </w:r>
      <w:proofErr w:type="spellEnd"/>
      <w:r w:rsidRPr="007F317D">
        <w:rPr>
          <w:rFonts w:asciiTheme="majorBidi" w:hAnsiTheme="majorBidi" w:cstheme="majorBidi"/>
          <w:sz w:val="24"/>
          <w:szCs w:val="24"/>
          <w:lang w:eastAsia="en-IN" w:bidi="gu-IN"/>
        </w:rPr>
        <w:t xml:space="preserve"> et al., 2012; Wang et al., 2020; Perera &amp; Perera, 2021). India ranks among the leading coconut-producing countries globally (Coconut Development Board, 2024). Nevertheless, coconut products—particularly when minimally processed—may carry significant microbial loads if sanitation and thermal processing are inadequate, thereby posing potential microbiological risks in frozen dairy systems (Ahmed &amp; El-Zubeir, 2015; Mulwa et al., 2023).</w:t>
      </w:r>
    </w:p>
    <w:p w14:paraId="3BE58553"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The combined incorporation of banana purée and coconut extracts into ice cream formulations results in a nutrient-dense dairy–plant composite matrix that may influence microbial survival during frozen storage. Although freezing inhibits microbial growth, it does not destroy microorganisms, and surviving populations may pose risks if the product is subjected to </w:t>
      </w:r>
      <w:r w:rsidRPr="007F317D">
        <w:rPr>
          <w:rFonts w:asciiTheme="majorBidi" w:hAnsiTheme="majorBidi" w:cstheme="majorBidi"/>
          <w:sz w:val="24"/>
          <w:szCs w:val="24"/>
          <w:lang w:eastAsia="en-IN" w:bidi="gu-IN"/>
        </w:rPr>
        <w:lastRenderedPageBreak/>
        <w:t>prolonged storage or temperature abuse (Nalbone et al., 2022). Despite increasing research on fruit- and plant-enriched frozen desserts (Adil et al., 2024; Mulwa et al., 2023), limited information is available on the microbiological stability of ice cream formulated with banana purée and coconut extracts under frozen storage conditions.</w:t>
      </w:r>
    </w:p>
    <w:p w14:paraId="6F389F8F" w14:textId="3A36B88F"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In this context, the present investigation was undertaken to evaluate the microbiological quality and safety of banana-enriched ice cream incorporating coconut extracts during frozen storage at −18 ± 1 °C. The study monitored key microbiological indicators, namely aerobic plate count, yeast and mold count, and coliform presence, at 15-day intervals over a storage period of 75 days, in accordance with FSSAI standards. The findings aim to provide scientific evidence on the microbial stability of value-added dairy–plant composite ice cream and to support the development of safe, high-quality frozen desserts that comply with regulatory standards and meet evolving consumer expectations.</w:t>
      </w:r>
    </w:p>
    <w:p w14:paraId="7F941B8F" w14:textId="1BDDD135"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MATERIALS AND METHODS</w:t>
      </w:r>
    </w:p>
    <w:p w14:paraId="6FF24012"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Raw Materials</w:t>
      </w:r>
    </w:p>
    <w:p w14:paraId="3B90EDF2" w14:textId="314ECBFB"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 xml:space="preserve">The raw materials used for the development of value-added ice cream formulations incorporating banana purée and coconut extracts included mixed milk (cow and buffalo milk), fresh cream, sucrose, skim milk powder (SMP), stabilizers, emulsifier, banana purée, and coconut-based ingredients (coconut milk and coconut cream). A stabilizer system consisting of sodium alginate and guar gum blended in a 1:1 (w/w) ratio was employed, while glycerol monostearate served as the emulsifier to ensure mix stability, desirable melting characteristics, and structural </w:t>
      </w:r>
      <w:r w:rsidR="00E4416E">
        <w:rPr>
          <w:rFonts w:asciiTheme="majorBidi" w:hAnsiTheme="majorBidi" w:cstheme="majorBidi"/>
          <w:sz w:val="24"/>
          <w:szCs w:val="24"/>
        </w:rPr>
        <w:t>stability</w:t>
      </w:r>
      <w:r w:rsidRPr="003543E4">
        <w:rPr>
          <w:rFonts w:asciiTheme="majorBidi" w:hAnsiTheme="majorBidi" w:cstheme="majorBidi"/>
          <w:sz w:val="24"/>
          <w:szCs w:val="24"/>
        </w:rPr>
        <w:t xml:space="preserve"> of the frozen product.</w:t>
      </w:r>
    </w:p>
    <w:p w14:paraId="42053D0C"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 xml:space="preserve">Fresh mixed milk was procured from the Livestock Research Station, Sardarkrushinagar Dantiwada Agricultural University (SDAU), Dantiwada, Gujarat, India. Commercial food-grade coconut milk and coconut cream (Urban Platter®, India), sucrose (Madhur®, India), and </w:t>
      </w:r>
      <w:r w:rsidRPr="003543E4">
        <w:rPr>
          <w:rFonts w:asciiTheme="majorBidi" w:hAnsiTheme="majorBidi" w:cstheme="majorBidi"/>
          <w:sz w:val="24"/>
          <w:szCs w:val="24"/>
        </w:rPr>
        <w:lastRenderedPageBreak/>
        <w:t>skim milk powder (Sagar®, India) were obtained from authorized local retail outlets or online suppliers. Permitted food colour (Fast Green FCF) and flavouring agents (tender coconut flavour and mixed fruit flavour) were incorporated at levels recommended by the manufacturer.</w:t>
      </w:r>
    </w:p>
    <w:p w14:paraId="5E03D0EC"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Banana purée was prepared in the laboratory using fully ripe fruits of the dwarf Cavendish (</w:t>
      </w:r>
      <w:r w:rsidRPr="003543E4">
        <w:rPr>
          <w:rFonts w:asciiTheme="majorBidi" w:hAnsiTheme="majorBidi" w:cstheme="majorBidi"/>
          <w:i/>
          <w:iCs/>
          <w:sz w:val="24"/>
          <w:szCs w:val="24"/>
        </w:rPr>
        <w:t>Musa acuminata</w:t>
      </w:r>
      <w:r w:rsidRPr="003543E4">
        <w:rPr>
          <w:rFonts w:asciiTheme="majorBidi" w:hAnsiTheme="majorBidi" w:cstheme="majorBidi"/>
          <w:sz w:val="24"/>
          <w:szCs w:val="24"/>
        </w:rPr>
        <w:t>) variety. Bananas were peeled, sliced, and homogenized using a laboratory-scale blender under hygienic conditions. The freshly prepared purée was used immediately to minimize enzymatic browning and microbiological deterioration.</w:t>
      </w:r>
    </w:p>
    <w:p w14:paraId="752B6666"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Formulation of Ice Cream Mixes</w:t>
      </w:r>
    </w:p>
    <w:p w14:paraId="1D045443"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Two types of ice cream formulations were developed, namely a full-fat control ice cream (FFC) and a medium-fat experimental ice cream (MFE).</w:t>
      </w:r>
    </w:p>
    <w:p w14:paraId="4A2155E5"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The full-fat control formulation contained 10.5% milk fat, 12.0% milk solids-not-fat (MSNF), 15.0% sucrose, and 0.35% (w/w) stabilizer–emulsifier blend. Coconut milk was incorporated as part of the liquid phase; however, neither coconut cream nor banana purée was included in this formulation.</w:t>
      </w:r>
    </w:p>
    <w:p w14:paraId="7BE91DEF"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The experimental formulation was designed as a value-added dairy–plant blended ice cream containing 6.5% milk fat and 12.5% MSNF. Coconut milk was used to partially replace mixed milk, while coconut cream (4.0%, w/w of mix) and banana purée (10.0%, w/w of mix) were incorporated to enhance nutritional, functional, and sensory attributes. Sucrose was standardized at 14.0% (w/w of mix), and the stabilizer–emulsifier blend was maintained at 0.35% across both formulations to ensure uniformity in mix rheology, freezing behavior, and structural properties.</w:t>
      </w:r>
    </w:p>
    <w:p w14:paraId="4365C319"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Preparation of Ice Cream</w:t>
      </w:r>
    </w:p>
    <w:p w14:paraId="31FA7817" w14:textId="3F645F38"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lastRenderedPageBreak/>
        <w:t>Ice cream mixes were prepared by initially blending liquid ingredients (mixed milk, cream, and coconut milk) with dry ingredients (sucrose, SMP, stabilizers, and emulsifier) under continuous mechanical agitation to ensure uniform dispersion. The mixes were homogenized using a two-stage homogenizer (capacity: 100 L</w:t>
      </w:r>
      <w:r w:rsidR="00E4416E">
        <w:rPr>
          <w:rFonts w:asciiTheme="majorBidi" w:hAnsiTheme="majorBidi" w:cstheme="majorBidi"/>
          <w:sz w:val="24"/>
          <w:szCs w:val="24"/>
        </w:rPr>
        <w:t>/</w:t>
      </w:r>
      <w:r w:rsidRPr="003543E4">
        <w:rPr>
          <w:rFonts w:asciiTheme="majorBidi" w:hAnsiTheme="majorBidi" w:cstheme="majorBidi"/>
          <w:sz w:val="24"/>
          <w:szCs w:val="24"/>
        </w:rPr>
        <w:t>h¹; Goma Engineering Pvt. Ltd., Thane, India) at pressures of 13.79 MPa in the first stage and 3.45 MPa in the second stage at 65 °C.</w:t>
      </w:r>
    </w:p>
    <w:p w14:paraId="70DDD44F"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Following homogenization, the mixes were pasteurized in a batch pasteurizer (Goma Engineering Pvt. Ltd., Thane, India) at 80 °C for 5 min, rapidly cooled to 6 ± 2 °C, and aged for 12 h at the same temperature to facilitate fat crystallization and hydration of stabilizers. In the experimental formulation, coconut cream, banana purée, flavouring agents, and colour were incorporated into the aged mix immediately prior to freezing, whereas coconut milk was added during initial mix preparation.</w:t>
      </w:r>
    </w:p>
    <w:p w14:paraId="0926BF42"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Freezing was carried out in a batch ice cream freezer (capacity: 4.0 kg per batch; Goma Engineering Pvt. Ltd., Thane, India) until the desired overrun was achieved. The full-fat control ice cream was frozen to approximately 80.0% overrun, while the medium-fat experimental ice cream attained approximately 65.0% overrun. The frozen ice cream was filled into 90 mL polystyrene cups, hardened in a hardening cabinet at −23 ± 2 °C for 5 h, and subsequently stored at −18 ± 2 °C until further microbiological evaluation.</w:t>
      </w:r>
    </w:p>
    <w:p w14:paraId="3B454FA1" w14:textId="77777777" w:rsidR="00621DF7" w:rsidRPr="00621DF7" w:rsidRDefault="00621DF7" w:rsidP="00621DF7">
      <w:pPr>
        <w:spacing w:line="480" w:lineRule="auto"/>
        <w:rPr>
          <w:rFonts w:asciiTheme="majorBidi" w:hAnsiTheme="majorBidi" w:cstheme="majorBidi"/>
          <w:b/>
          <w:bCs/>
          <w:sz w:val="24"/>
          <w:szCs w:val="24"/>
        </w:rPr>
      </w:pPr>
      <w:r w:rsidRPr="00621DF7">
        <w:rPr>
          <w:rFonts w:asciiTheme="majorBidi" w:hAnsiTheme="majorBidi" w:cstheme="majorBidi"/>
          <w:b/>
          <w:bCs/>
          <w:sz w:val="24"/>
          <w:szCs w:val="24"/>
        </w:rPr>
        <w:t>Microbiological Media and Equipment</w:t>
      </w:r>
    </w:p>
    <w:p w14:paraId="173D6567" w14:textId="4D2B2ECA" w:rsidR="00621DF7" w:rsidRDefault="00621DF7" w:rsidP="00621DF7">
      <w:pPr>
        <w:pStyle w:val="NormalWeb"/>
        <w:spacing w:line="480" w:lineRule="auto"/>
        <w:jc w:val="both"/>
      </w:pPr>
      <w:r>
        <w:t xml:space="preserve">Standard culture media were employed for microbiological evaluation of ice cream samples. Plate Count Agar (PCA) was used for the enumeration of aerobic mesophilic bacteria (Aerobic Plate Count, APC). Violet Red Bile Agar (VRBA) was employed for the detection and enumeration of coliform bacteria, while Potato Dextrose Agar (PDA) was used for the enumeration of yeasts and molds. All microbiological media were procured from </w:t>
      </w:r>
      <w:proofErr w:type="spellStart"/>
      <w:r>
        <w:t>HiMedia</w:t>
      </w:r>
      <w:proofErr w:type="spellEnd"/>
      <w:r>
        <w:t xml:space="preserve"> Laboratories </w:t>
      </w:r>
      <w:proofErr w:type="spellStart"/>
      <w:r>
        <w:t>Pvt.</w:t>
      </w:r>
      <w:proofErr w:type="spellEnd"/>
      <w:r>
        <w:t xml:space="preserve"> Ltd., Mumbai, Maharashtra, India. Incubation of inoculated agar plates was </w:t>
      </w:r>
      <w:r>
        <w:lastRenderedPageBreak/>
        <w:t>carried out using a thermostatically controlled incubator (Nova Instruments Pvt. Ltd., Ahmedabad, Gujarat, India), maintained at the prescribed temperatures for respective microbial analyses.</w:t>
      </w:r>
    </w:p>
    <w:p w14:paraId="0FA04536" w14:textId="77777777" w:rsidR="00621DF7" w:rsidRPr="00621DF7" w:rsidRDefault="00621DF7" w:rsidP="00621DF7">
      <w:pPr>
        <w:pStyle w:val="Heading2"/>
        <w:spacing w:line="480" w:lineRule="auto"/>
        <w:jc w:val="both"/>
        <w:rPr>
          <w:rFonts w:ascii="Times New Roman" w:hAnsi="Times New Roman" w:cs="Times New Roman"/>
          <w:b/>
          <w:bCs/>
          <w:color w:val="000000" w:themeColor="text1"/>
          <w:sz w:val="24"/>
          <w:szCs w:val="24"/>
        </w:rPr>
      </w:pPr>
      <w:r w:rsidRPr="00621DF7">
        <w:rPr>
          <w:rFonts w:ascii="Times New Roman" w:hAnsi="Times New Roman" w:cs="Times New Roman"/>
          <w:b/>
          <w:bCs/>
          <w:color w:val="000000" w:themeColor="text1"/>
          <w:sz w:val="24"/>
          <w:szCs w:val="24"/>
        </w:rPr>
        <w:t>Microbiological Analysis</w:t>
      </w:r>
    </w:p>
    <w:p w14:paraId="128BE0BE" w14:textId="77777777" w:rsidR="00621DF7" w:rsidRDefault="00621DF7" w:rsidP="00621DF7">
      <w:pPr>
        <w:pStyle w:val="NormalWeb"/>
        <w:spacing w:line="480" w:lineRule="auto"/>
        <w:jc w:val="both"/>
      </w:pPr>
      <w:r>
        <w:t>Microbiological quality of the ice cream samples was evaluated in accordance with standard procedures prescribed by the Food Safety and Standards Authority of India (FSSAI, 2024). The analyses included enumeration of (i) Aerobic Plate Count (APC), (ii) Yeast and Mold Count (YMC), and (iii) Coliform count. All analyses were performed under aseptic conditions, and microbiological counts were expressed as logarithmic values (log₁₀ CFU g⁻¹) of the product.</w:t>
      </w:r>
    </w:p>
    <w:p w14:paraId="0A17B8F1" w14:textId="77777777" w:rsidR="00621DF7" w:rsidRPr="00621DF7" w:rsidRDefault="00621DF7" w:rsidP="00621DF7">
      <w:pPr>
        <w:pStyle w:val="Heading3"/>
        <w:spacing w:line="480" w:lineRule="auto"/>
        <w:jc w:val="both"/>
        <w:rPr>
          <w:rFonts w:asciiTheme="majorBidi" w:hAnsiTheme="majorBidi"/>
          <w:b/>
          <w:bCs/>
          <w:color w:val="000000" w:themeColor="text1"/>
          <w:sz w:val="24"/>
          <w:szCs w:val="24"/>
        </w:rPr>
      </w:pPr>
      <w:r w:rsidRPr="00621DF7">
        <w:rPr>
          <w:rFonts w:asciiTheme="majorBidi" w:hAnsiTheme="majorBidi"/>
          <w:b/>
          <w:bCs/>
          <w:color w:val="000000" w:themeColor="text1"/>
          <w:sz w:val="24"/>
          <w:szCs w:val="24"/>
        </w:rPr>
        <w:t>Aerobic Plate Count (APC)</w:t>
      </w:r>
    </w:p>
    <w:p w14:paraId="4B1EB4A4" w14:textId="77777777" w:rsidR="00621DF7" w:rsidRDefault="00621DF7" w:rsidP="00621DF7">
      <w:pPr>
        <w:pStyle w:val="NormalWeb"/>
        <w:spacing w:line="480" w:lineRule="auto"/>
        <w:jc w:val="both"/>
      </w:pPr>
      <w:r>
        <w:t>For the determination of APC, 11.0 g of ice cream sample was aseptically weighed and transferred into a sterile cotton-plugged conical flask containing 99.0 mL of sterile sodium citrate buffer to obtain the initial dilution. The sample was thoroughly mixed, and subsequent serial dilutions were prepared using 9.0 mL aliquots of sterile buffer solution.</w:t>
      </w:r>
    </w:p>
    <w:p w14:paraId="7404CF2B" w14:textId="615BC9B2" w:rsidR="00621DF7" w:rsidRDefault="00621DF7" w:rsidP="00621DF7">
      <w:pPr>
        <w:pStyle w:val="NormalWeb"/>
        <w:spacing w:line="480" w:lineRule="auto"/>
        <w:jc w:val="both"/>
      </w:pPr>
      <w:r>
        <w:t>From appropriate dilutions (10⁻⁴, 10⁻⁵, and 10⁻⁶), 1.0 mL aliquots were aseptically transferred into sterile Petri plates in duplicate. Approximately 10.0–15.0 mL of molten Plate Count Agar (45 ± 1 °C) was poured into each plate, gently mixed, and allowed to solidify. The plates were incubated in an inverted position at 37.0 ± 0.5 °C for 48 h. Following incubation, colonies were counted and expressed as colony-forming units per gram (CFU</w:t>
      </w:r>
      <w:r w:rsidR="00DE63BE">
        <w:t xml:space="preserve"> </w:t>
      </w:r>
      <w:r>
        <w:t>g</w:t>
      </w:r>
      <w:r w:rsidR="00DE63BE" w:rsidRPr="00DE63BE">
        <w:rPr>
          <w:vertAlign w:val="superscript"/>
        </w:rPr>
        <w:t>-</w:t>
      </w:r>
      <w:r>
        <w:t xml:space="preserve">¹) of sample. </w:t>
      </w:r>
    </w:p>
    <w:p w14:paraId="65CD902A" w14:textId="77777777" w:rsidR="00621DF7" w:rsidRPr="00621DF7" w:rsidRDefault="00621DF7" w:rsidP="00621DF7">
      <w:pPr>
        <w:rPr>
          <w:rFonts w:ascii="Times New Roman" w:hAnsi="Times New Roman" w:cs="Times New Roman"/>
          <w:b/>
          <w:bCs/>
          <w:sz w:val="24"/>
          <w:szCs w:val="24"/>
        </w:rPr>
      </w:pPr>
      <w:r w:rsidRPr="00621DF7">
        <w:rPr>
          <w:rFonts w:ascii="Times New Roman" w:hAnsi="Times New Roman" w:cs="Times New Roman"/>
          <w:b/>
          <w:bCs/>
          <w:sz w:val="24"/>
          <w:szCs w:val="24"/>
        </w:rPr>
        <w:t>Yeast and Mold Count (YMC)</w:t>
      </w:r>
    </w:p>
    <w:p w14:paraId="6C8EF6DA" w14:textId="0BB724BE" w:rsidR="00621DF7" w:rsidRDefault="00621DF7" w:rsidP="00621DF7">
      <w:pPr>
        <w:pStyle w:val="NormalWeb"/>
        <w:spacing w:line="480" w:lineRule="auto"/>
        <w:jc w:val="both"/>
      </w:pPr>
      <w:r>
        <w:t xml:space="preserve">Yeast and mold counts were determined using the standard pour plate technique on Potato Dextrose Agar (PDA) as per FSSAI (2024). The pH of molten PDA was adjusted to 3.5 by the addition of sterile 10% (w/v) tartaric acid prior to plating to suppress bacterial growth. Appropriate dilutions (10⁻¹ and 10⁻²) were prepared, and 1.0 mL aliquots from each dilution </w:t>
      </w:r>
      <w:r>
        <w:lastRenderedPageBreak/>
        <w:t>were transferred aseptically into sterile Petri plates. Molten PDA was poured, mixed, and allowed to solidify. The plates were incubated in an inverted position at 25 ± 2 °C for up to 5 days. Yeast and mold colonies were counted as they appeared and the results were expressed as log₁₀ CFU/g</w:t>
      </w:r>
      <w:r w:rsidR="00DE63BE" w:rsidRPr="00DE63BE">
        <w:rPr>
          <w:vertAlign w:val="superscript"/>
        </w:rPr>
        <w:t>-</w:t>
      </w:r>
      <w:r>
        <w:t>¹ of the product.</w:t>
      </w:r>
    </w:p>
    <w:p w14:paraId="11E73758" w14:textId="77777777" w:rsidR="00621DF7" w:rsidRPr="00621DF7" w:rsidRDefault="00621DF7" w:rsidP="00621DF7">
      <w:pPr>
        <w:spacing w:line="480" w:lineRule="auto"/>
        <w:rPr>
          <w:rFonts w:asciiTheme="majorBidi" w:hAnsiTheme="majorBidi" w:cstheme="majorBidi"/>
          <w:b/>
          <w:bCs/>
          <w:sz w:val="24"/>
          <w:szCs w:val="24"/>
        </w:rPr>
      </w:pPr>
      <w:r w:rsidRPr="00621DF7">
        <w:rPr>
          <w:rFonts w:asciiTheme="majorBidi" w:hAnsiTheme="majorBidi" w:cstheme="majorBidi"/>
          <w:b/>
          <w:bCs/>
          <w:sz w:val="24"/>
          <w:szCs w:val="24"/>
        </w:rPr>
        <w:t>Coliform Count</w:t>
      </w:r>
    </w:p>
    <w:p w14:paraId="14C17F95" w14:textId="56E6F876" w:rsidR="00621DF7" w:rsidRDefault="00621DF7" w:rsidP="00621DF7">
      <w:pPr>
        <w:pStyle w:val="NormalWeb"/>
        <w:spacing w:line="480" w:lineRule="auto"/>
        <w:jc w:val="both"/>
      </w:pPr>
      <w:r w:rsidRPr="00621DF7">
        <w:rPr>
          <w:rFonts w:asciiTheme="majorBidi" w:hAnsiTheme="majorBidi" w:cstheme="majorBidi"/>
        </w:rPr>
        <w:t>Coliform enumerati</w:t>
      </w:r>
      <w:r>
        <w:t xml:space="preserve">on was carried out using Violet Red Bile Agar (VRBA) following the standard method described by </w:t>
      </w:r>
      <w:r w:rsidRPr="00621DF7">
        <w:rPr>
          <w:color w:val="FF0000"/>
        </w:rPr>
        <w:t>FSSAI (2024).</w:t>
      </w:r>
      <w:r>
        <w:t xml:space="preserve"> Undiluted samples and first dilutions (10⁻¹) were used for analysis. One mL of the sample or dilution was aseptically transferred into sterile Petri plates, followed by the addition of molten VRBA (10.0–15.0 mL). After solidification of the first agar layer, a second overlay of molten VRBA (5.0–7.0 mL) was poured to create anaerobic conditions favorable for coliform growth. The plates were incubated in an inverted position at 37.0 ± 0.5 °C for 24–48 h. After incubation, plates were examined for the presence of typical coliform colonies, and results were reported as presence or absence per g sample.</w:t>
      </w:r>
    </w:p>
    <w:p w14:paraId="0B575BF2" w14:textId="6A95F1E9" w:rsidR="00B301FF" w:rsidRDefault="00360526" w:rsidP="00DF7BDA">
      <w:pPr>
        <w:spacing w:line="480" w:lineRule="auto"/>
        <w:jc w:val="both"/>
        <w:rPr>
          <w:rFonts w:asciiTheme="majorBidi" w:hAnsiTheme="majorBidi" w:cstheme="majorBidi"/>
          <w:b/>
          <w:bCs/>
          <w:sz w:val="24"/>
          <w:szCs w:val="24"/>
        </w:rPr>
      </w:pPr>
      <w:r w:rsidRPr="00360526">
        <w:rPr>
          <w:rFonts w:asciiTheme="majorBidi" w:hAnsiTheme="majorBidi" w:cstheme="majorBidi"/>
          <w:b/>
          <w:bCs/>
          <w:sz w:val="24"/>
          <w:szCs w:val="24"/>
        </w:rPr>
        <w:t>RESULTS AND DISCUSSION</w:t>
      </w:r>
    </w:p>
    <w:p w14:paraId="20DCF410" w14:textId="77777777" w:rsidR="00324A6B" w:rsidRPr="00324A6B" w:rsidRDefault="00324A6B" w:rsidP="00324A6B">
      <w:pPr>
        <w:spacing w:line="480" w:lineRule="auto"/>
        <w:jc w:val="both"/>
        <w:rPr>
          <w:rFonts w:asciiTheme="majorBidi" w:hAnsiTheme="majorBidi" w:cstheme="majorBidi"/>
          <w:b/>
          <w:bCs/>
          <w:sz w:val="24"/>
          <w:szCs w:val="24"/>
        </w:rPr>
      </w:pPr>
      <w:r w:rsidRPr="00324A6B">
        <w:rPr>
          <w:rFonts w:asciiTheme="majorBidi" w:hAnsiTheme="majorBidi" w:cstheme="majorBidi"/>
          <w:b/>
          <w:bCs/>
          <w:sz w:val="24"/>
          <w:szCs w:val="24"/>
        </w:rPr>
        <w:t>Changes in Microbiological Counts of Ice Creams during Frozen Storage</w:t>
      </w:r>
    </w:p>
    <w:p w14:paraId="578BD364" w14:textId="6E8A10AD" w:rsidR="00324A6B" w:rsidRPr="00324A6B" w:rsidRDefault="00324A6B" w:rsidP="00324A6B">
      <w:pPr>
        <w:spacing w:line="480" w:lineRule="auto"/>
        <w:jc w:val="both"/>
        <w:rPr>
          <w:rFonts w:asciiTheme="majorBidi" w:hAnsiTheme="majorBidi" w:cstheme="majorBidi"/>
          <w:sz w:val="24"/>
          <w:szCs w:val="24"/>
        </w:rPr>
      </w:pPr>
      <w:r w:rsidRPr="00324A6B">
        <w:rPr>
          <w:rFonts w:asciiTheme="majorBidi" w:hAnsiTheme="majorBidi" w:cstheme="majorBidi"/>
          <w:sz w:val="24"/>
          <w:szCs w:val="24"/>
        </w:rPr>
        <w:t>Maintenance of high microbiological quality in ice cream is critically dependent on the adoption of strict hygienic practices throughout processing, packaging, and storage, as well as effective control of post-pasteurization contamination. Although frozen storage and high sugar content in ice cream significantly restrict microbial proliferation, these factors do not completely eliminate microbial survival. Therefore, systematic monitoring of key microbiological indicators</w:t>
      </w:r>
      <w:r>
        <w:rPr>
          <w:rFonts w:asciiTheme="majorBidi" w:hAnsiTheme="majorBidi" w:cstheme="majorBidi"/>
          <w:sz w:val="24"/>
          <w:szCs w:val="24"/>
        </w:rPr>
        <w:t xml:space="preserve">, </w:t>
      </w:r>
      <w:r w:rsidRPr="00324A6B">
        <w:rPr>
          <w:rFonts w:asciiTheme="majorBidi" w:hAnsiTheme="majorBidi" w:cstheme="majorBidi"/>
          <w:sz w:val="24"/>
          <w:szCs w:val="24"/>
        </w:rPr>
        <w:t>namely aerobic plate count (APC), yeast and mold count (YMC), and coliforms</w:t>
      </w:r>
      <w:r>
        <w:rPr>
          <w:rFonts w:asciiTheme="majorBidi" w:hAnsiTheme="majorBidi" w:cstheme="majorBidi"/>
          <w:sz w:val="24"/>
          <w:szCs w:val="24"/>
        </w:rPr>
        <w:t xml:space="preserve">, </w:t>
      </w:r>
      <w:r w:rsidRPr="00324A6B">
        <w:rPr>
          <w:rFonts w:asciiTheme="majorBidi" w:hAnsiTheme="majorBidi" w:cstheme="majorBidi"/>
          <w:sz w:val="24"/>
          <w:szCs w:val="24"/>
        </w:rPr>
        <w:t>is essential to ensure product safety, regulatory compliance, and consumer protection.</w:t>
      </w:r>
    </w:p>
    <w:p w14:paraId="2A398B68" w14:textId="089AE6BE" w:rsidR="00324A6B" w:rsidRPr="00324A6B" w:rsidRDefault="00324A6B" w:rsidP="00324A6B">
      <w:pPr>
        <w:spacing w:line="480" w:lineRule="auto"/>
        <w:jc w:val="both"/>
        <w:rPr>
          <w:rFonts w:asciiTheme="majorBidi" w:hAnsiTheme="majorBidi" w:cstheme="majorBidi"/>
          <w:sz w:val="24"/>
          <w:szCs w:val="24"/>
        </w:rPr>
      </w:pPr>
      <w:r w:rsidRPr="00324A6B">
        <w:rPr>
          <w:rFonts w:asciiTheme="majorBidi" w:hAnsiTheme="majorBidi" w:cstheme="majorBidi"/>
          <w:sz w:val="24"/>
          <w:szCs w:val="24"/>
        </w:rPr>
        <w:lastRenderedPageBreak/>
        <w:t xml:space="preserve">In the present study, ice cream samples packaged in polystyrene cups were stored at −18 ± 2 °C and evaluated at 15-day intervals over a total storage period of 75 days. The microbiological results presented in Tables 1 and 2 indicate that all measured parameters (APC, YMC, and coliform count) for both the full-fat control (FFC) and medium-fat experimental (MFE) ice creams remained within the permissible limits specified by the Food Safety and Standards Regulations for ice cream (FSSR, 2020) throughout the storage period. </w:t>
      </w:r>
    </w:p>
    <w:p w14:paraId="59445893" w14:textId="758AB6E3" w:rsidR="00360526" w:rsidRPr="001E0F2D" w:rsidRDefault="00360526" w:rsidP="00DF7BDA">
      <w:pPr>
        <w:spacing w:after="0" w:line="480" w:lineRule="auto"/>
        <w:jc w:val="both"/>
        <w:rPr>
          <w:rFonts w:asciiTheme="majorBidi" w:hAnsiTheme="majorBidi" w:cstheme="majorBidi"/>
          <w:b/>
          <w:bCs/>
          <w:sz w:val="24"/>
          <w:szCs w:val="24"/>
          <w:lang w:bidi="gu-IN"/>
        </w:rPr>
      </w:pPr>
      <w:r w:rsidRPr="001E0F2D">
        <w:rPr>
          <w:rFonts w:asciiTheme="majorBidi" w:hAnsiTheme="majorBidi" w:cstheme="majorBidi"/>
          <w:b/>
          <w:bCs/>
          <w:sz w:val="24"/>
          <w:szCs w:val="24"/>
          <w:lang w:bidi="gu-IN"/>
        </w:rPr>
        <w:t>Aerobic Plate Count</w:t>
      </w:r>
    </w:p>
    <w:p w14:paraId="0EEE8ED7" w14:textId="77777777"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Statistical analysis demonstrated that variations in aerobic plate count were not significantly (p &gt; 0.05) influenced by formulation (treatment, T), storage duration (period, P), or their interaction (T × P) (Table 1). This observation clearly indicates that the incorporation of banana purée and coconut extracts into the ice cream formulation did not exert any adverse effect on the overall microbial load during frozen storage. The absence of a treatment effect further suggests that the additional nutrients introduced through fruit and plant-based ingredients were effectively controlled through appropriate processing, pasteurization, and hygienic handling.</w:t>
      </w:r>
    </w:p>
    <w:p w14:paraId="70EA78BD" w14:textId="77777777"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The freshly prepared medium-fat experimental (MFE) ice cream exhibited an initial APC of 4.63 log₁₀ CFU g⁻¹, which showed a marginal and statistically non-significant increase to 4.90 log₁₀ CFU g⁻¹ by the 75th day of storage at −18 ± 2 °C. Similarly, the full-fat control (FFC) ice cream demonstrated a slight increase in APC from 4.58 log₁₀ CFU g⁻¹ at day 0 to 4.85 log₁₀ CFU g⁻¹ at the end of the storage period. The close similarity in APC values between the two formulations throughout storage indicates that substitution of a portion of dairy components with banana purée and coconut extracts did not enhance microbial survival or proliferation under frozen conditions.</w:t>
      </w:r>
    </w:p>
    <w:p w14:paraId="30F98427" w14:textId="49451EAF" w:rsidR="007F317D" w:rsidRPr="007F317D" w:rsidRDefault="007F317D" w:rsidP="0024769B">
      <w:pPr>
        <w:spacing w:before="240" w:line="480" w:lineRule="auto"/>
        <w:jc w:val="both"/>
        <w:rPr>
          <w:rFonts w:ascii="Times New Roman" w:eastAsia="Times New Roman" w:hAnsi="Times New Roman" w:cs="Times New Roman"/>
          <w:kern w:val="0"/>
          <w:sz w:val="28"/>
          <w:szCs w:val="28"/>
          <w:lang w:eastAsia="en-IN" w:bidi="gu-IN"/>
          <w14:ligatures w14:val="none"/>
        </w:rPr>
      </w:pPr>
      <w:r w:rsidRPr="007F317D">
        <w:rPr>
          <w:rFonts w:ascii="Times New Roman" w:hAnsi="Times New Roman" w:cs="Times New Roman"/>
          <w:sz w:val="24"/>
          <w:szCs w:val="24"/>
        </w:rPr>
        <w:t xml:space="preserve">The minor increase in aerobic plate count (APC) observed during frozen storage can be primarily attributed to the survival of heat-resistant and psychrotrophic microorganisms </w:t>
      </w:r>
      <w:r w:rsidRPr="007F317D">
        <w:rPr>
          <w:rFonts w:ascii="Times New Roman" w:hAnsi="Times New Roman" w:cs="Times New Roman"/>
          <w:sz w:val="24"/>
          <w:szCs w:val="24"/>
        </w:rPr>
        <w:lastRenderedPageBreak/>
        <w:t xml:space="preserve">capable of withstanding pasteurization and remaining viable under frozen conditions, rather than to active microbial proliferation (Marshall et al., 2003; Pal et al., 2012; Nalbone et al., 2022). Freezing imposes multiple physiological stresses on microbial cells, including reduced water activity, limited nutrient diffusion, ice crystal formation, and suppression of enzymatic activity, which collectively exert a predominantly bacteriostatic effect (Marshall et al., 2003; Goff et al., 2025). Consequently, microbial metabolism is substantially reduced and cell multiplication is effectively inhibited during frozen storage. The slight increases in APC detected during prolonged storage may therefore reflect the recovery of </w:t>
      </w:r>
      <w:proofErr w:type="spellStart"/>
      <w:r w:rsidRPr="007F317D">
        <w:rPr>
          <w:rFonts w:ascii="Times New Roman" w:hAnsi="Times New Roman" w:cs="Times New Roman"/>
          <w:sz w:val="24"/>
          <w:szCs w:val="24"/>
        </w:rPr>
        <w:t>sublethally</w:t>
      </w:r>
      <w:proofErr w:type="spellEnd"/>
      <w:r w:rsidRPr="007F317D">
        <w:rPr>
          <w:rFonts w:ascii="Times New Roman" w:hAnsi="Times New Roman" w:cs="Times New Roman"/>
          <w:sz w:val="24"/>
          <w:szCs w:val="24"/>
        </w:rPr>
        <w:t xml:space="preserve"> injured cells during microbiological enumeration or the cumulative survival of stress-tolerant microbial populations over time, rather than true growth (Ahmed &amp; El-Zubeir, 2015; Nalbone et al., 2022). Similar trends of marginal APC elevation without microbiological safety compromise have been widely reported in frozen dairy desserts stored under controlled sub-zero conditions (Ahmed &amp; El-</w:t>
      </w:r>
      <w:proofErr w:type="spellStart"/>
      <w:r w:rsidRPr="007F317D">
        <w:rPr>
          <w:rFonts w:ascii="Times New Roman" w:hAnsi="Times New Roman" w:cs="Times New Roman"/>
          <w:sz w:val="24"/>
          <w:szCs w:val="24"/>
        </w:rPr>
        <w:t>Zubeir</w:t>
      </w:r>
      <w:proofErr w:type="spellEnd"/>
      <w:r w:rsidRPr="007F317D">
        <w:rPr>
          <w:rFonts w:ascii="Times New Roman" w:hAnsi="Times New Roman" w:cs="Times New Roman"/>
          <w:sz w:val="24"/>
          <w:szCs w:val="24"/>
        </w:rPr>
        <w:t xml:space="preserve">, 2015; </w:t>
      </w:r>
      <w:proofErr w:type="spellStart"/>
      <w:r w:rsidRPr="007F317D">
        <w:rPr>
          <w:rFonts w:ascii="Times New Roman" w:hAnsi="Times New Roman" w:cs="Times New Roman"/>
          <w:sz w:val="24"/>
          <w:szCs w:val="24"/>
        </w:rPr>
        <w:t>Guzeler</w:t>
      </w:r>
      <w:proofErr w:type="spellEnd"/>
      <w:r w:rsidRPr="007F317D">
        <w:rPr>
          <w:rFonts w:ascii="Times New Roman" w:hAnsi="Times New Roman" w:cs="Times New Roman"/>
          <w:sz w:val="24"/>
          <w:szCs w:val="24"/>
        </w:rPr>
        <w:t xml:space="preserve"> et al., 2012).</w:t>
      </w:r>
    </w:p>
    <w:p w14:paraId="62557CC3" w14:textId="368A3B7F"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Furthermore, the structural characteristics of ice cream</w:t>
      </w:r>
      <w:r w:rsidR="007F317D">
        <w:rPr>
          <w:rFonts w:ascii="Times New Roman" w:eastAsia="Times New Roman" w:hAnsi="Times New Roman" w:cs="Times New Roman"/>
          <w:kern w:val="0"/>
          <w:sz w:val="24"/>
          <w:szCs w:val="24"/>
          <w:lang w:eastAsia="en-IN" w:bidi="gu-IN"/>
          <w14:ligatures w14:val="none"/>
        </w:rPr>
        <w:t xml:space="preserve">, </w:t>
      </w:r>
      <w:r w:rsidRPr="00324A6B">
        <w:rPr>
          <w:rFonts w:ascii="Times New Roman" w:eastAsia="Times New Roman" w:hAnsi="Times New Roman" w:cs="Times New Roman"/>
          <w:kern w:val="0"/>
          <w:sz w:val="24"/>
          <w:szCs w:val="24"/>
          <w:lang w:eastAsia="en-IN" w:bidi="gu-IN"/>
          <w14:ligatures w14:val="none"/>
        </w:rPr>
        <w:t>such as high total solids content, elevated sugar concentration, and low storage temperature</w:t>
      </w:r>
      <w:r w:rsidR="007F317D">
        <w:rPr>
          <w:rFonts w:ascii="Times New Roman" w:eastAsia="Times New Roman" w:hAnsi="Times New Roman" w:cs="Times New Roman"/>
          <w:kern w:val="0"/>
          <w:sz w:val="24"/>
          <w:szCs w:val="24"/>
          <w:lang w:eastAsia="en-IN" w:bidi="gu-IN"/>
          <w14:ligatures w14:val="none"/>
        </w:rPr>
        <w:t xml:space="preserve">, </w:t>
      </w:r>
      <w:r w:rsidRPr="00324A6B">
        <w:rPr>
          <w:rFonts w:ascii="Times New Roman" w:eastAsia="Times New Roman" w:hAnsi="Times New Roman" w:cs="Times New Roman"/>
          <w:kern w:val="0"/>
          <w:sz w:val="24"/>
          <w:szCs w:val="24"/>
          <w:lang w:eastAsia="en-IN" w:bidi="gu-IN"/>
          <w14:ligatures w14:val="none"/>
        </w:rPr>
        <w:t xml:space="preserve">create an </w:t>
      </w:r>
      <w:proofErr w:type="spellStart"/>
      <w:r w:rsidRPr="00324A6B">
        <w:rPr>
          <w:rFonts w:ascii="Times New Roman" w:eastAsia="Times New Roman" w:hAnsi="Times New Roman" w:cs="Times New Roman"/>
          <w:kern w:val="0"/>
          <w:sz w:val="24"/>
          <w:szCs w:val="24"/>
          <w:lang w:eastAsia="en-IN" w:bidi="gu-IN"/>
          <w14:ligatures w14:val="none"/>
        </w:rPr>
        <w:t>unfavorable</w:t>
      </w:r>
      <w:proofErr w:type="spellEnd"/>
      <w:r w:rsidRPr="00324A6B">
        <w:rPr>
          <w:rFonts w:ascii="Times New Roman" w:eastAsia="Times New Roman" w:hAnsi="Times New Roman" w:cs="Times New Roman"/>
          <w:kern w:val="0"/>
          <w:sz w:val="24"/>
          <w:szCs w:val="24"/>
          <w:lang w:eastAsia="en-IN" w:bidi="gu-IN"/>
          <w14:ligatures w14:val="none"/>
        </w:rPr>
        <w:t xml:space="preserve"> environment for microbial growth. The rapid freezing and hardening processes employed in the present study likely minimized the time the product remained in the temperature range conducive to microbial proliferation, thereby contributing to the observed microbiological stability.</w:t>
      </w:r>
    </w:p>
    <w:p w14:paraId="04A033AA" w14:textId="6F3D6CD3"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 xml:space="preserve">The findings of the present investigation agree with previous studies. Ahmed and El-Zubeir (2015) reported a marginal increase in APC from 4.31 to 4.49 log₁₀ CFU g⁻¹ in coconut-flavoured ice cream stored at −18 °C for eight weeks. Similarly, coconut–vanilla flavoured ice cream exhibited a slight rise in APC from 4.15 to 4.63 log₁₀ CFU g⁻¹ over the same storage duration. Such consistent trends across studies indicate that minor increases in APC during </w:t>
      </w:r>
      <w:r w:rsidRPr="00324A6B">
        <w:rPr>
          <w:rFonts w:ascii="Times New Roman" w:eastAsia="Times New Roman" w:hAnsi="Times New Roman" w:cs="Times New Roman"/>
          <w:kern w:val="0"/>
          <w:sz w:val="24"/>
          <w:szCs w:val="24"/>
          <w:lang w:eastAsia="en-IN" w:bidi="gu-IN"/>
          <w14:ligatures w14:val="none"/>
        </w:rPr>
        <w:lastRenderedPageBreak/>
        <w:t xml:space="preserve">frozen storage are characteristic of ice cream products and </w:t>
      </w:r>
      <w:r>
        <w:rPr>
          <w:rFonts w:ascii="Times New Roman" w:eastAsia="Times New Roman" w:hAnsi="Times New Roman" w:cs="Times New Roman"/>
          <w:kern w:val="0"/>
          <w:sz w:val="24"/>
          <w:szCs w:val="24"/>
          <w:lang w:eastAsia="en-IN" w:bidi="gu-IN"/>
          <w14:ligatures w14:val="none"/>
        </w:rPr>
        <w:t>did</w:t>
      </w:r>
      <w:r w:rsidRPr="00324A6B">
        <w:rPr>
          <w:rFonts w:ascii="Times New Roman" w:eastAsia="Times New Roman" w:hAnsi="Times New Roman" w:cs="Times New Roman"/>
          <w:kern w:val="0"/>
          <w:sz w:val="24"/>
          <w:szCs w:val="24"/>
          <w:lang w:eastAsia="en-IN" w:bidi="gu-IN"/>
          <w14:ligatures w14:val="none"/>
        </w:rPr>
        <w:t xml:space="preserve"> not signify compromised microbiological safety, provided that counts remain within regulatory limits.</w:t>
      </w:r>
    </w:p>
    <w:p w14:paraId="4A5480EA" w14:textId="77777777" w:rsidR="0024769B" w:rsidRPr="0024769B" w:rsidRDefault="00360526" w:rsidP="0024769B">
      <w:pPr>
        <w:spacing w:line="480" w:lineRule="auto"/>
        <w:jc w:val="both"/>
        <w:rPr>
          <w:rFonts w:ascii="Times New Roman" w:hAnsi="Times New Roman" w:cs="Times New Roman"/>
          <w:b/>
          <w:bCs/>
          <w:sz w:val="24"/>
          <w:szCs w:val="24"/>
        </w:rPr>
      </w:pPr>
      <w:r w:rsidRPr="0024769B">
        <w:rPr>
          <w:rFonts w:ascii="Times New Roman" w:hAnsi="Times New Roman" w:cs="Times New Roman"/>
          <w:b/>
          <w:bCs/>
          <w:sz w:val="28"/>
          <w:szCs w:val="28"/>
          <w:lang w:bidi="gu-IN"/>
        </w:rPr>
        <w:t xml:space="preserve"> </w:t>
      </w:r>
      <w:r w:rsidR="0024769B" w:rsidRPr="0024769B">
        <w:rPr>
          <w:rFonts w:ascii="Times New Roman" w:hAnsi="Times New Roman" w:cs="Times New Roman"/>
          <w:b/>
          <w:bCs/>
          <w:sz w:val="24"/>
          <w:szCs w:val="24"/>
        </w:rPr>
        <w:t>Yeast and Mold Count and Coliform Count</w:t>
      </w:r>
    </w:p>
    <w:p w14:paraId="26E265AE"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The changes in yeast and mold count (YMC) observed in freshly prepared and stored ice creams (full-fat control, FFC, and medium-fat experimental, MFE) during frozen storage are presented in </w:t>
      </w:r>
      <w:r w:rsidRPr="005A58DA">
        <w:rPr>
          <w:rFonts w:ascii="Times New Roman" w:hAnsi="Times New Roman" w:cs="Times New Roman"/>
          <w:color w:val="FF0000"/>
          <w:sz w:val="24"/>
          <w:szCs w:val="24"/>
        </w:rPr>
        <w:t>Table 2.</w:t>
      </w:r>
      <w:r w:rsidRPr="0024769B">
        <w:rPr>
          <w:rFonts w:ascii="Times New Roman" w:hAnsi="Times New Roman" w:cs="Times New Roman"/>
          <w:sz w:val="24"/>
          <w:szCs w:val="24"/>
        </w:rPr>
        <w:t xml:space="preserve"> Yeasts and molds are of particular concern in ice cream owing to their ability to survive low temperatures and high sugar environments, and their association with post-processing or aerial contamination.</w:t>
      </w:r>
    </w:p>
    <w:p w14:paraId="5663816D"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Notably, yeasts and molds were absent per gram of product in both ice cream formulations at the initial stage (day 0) and remained undetectable throughout the storage period up to the 60th day. The absence of YMC during this period reflects the effectiveness of pasteurization, hygienic handling, and packaging practices adopted during manufacture, as well as the inhibitory effect of frozen storage on fungal survival and growth. Yeast and mold growth in ice cream is generally associated with contamination occurring after pasteurization, particularly from air, equipment surfaces, or packaging materials.</w:t>
      </w:r>
    </w:p>
    <w:p w14:paraId="42691BCC"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Yeast and mold colonies were detected for the first time on the 75th day of frozen storage, with counts of 1.13 log₁₀ CFU g⁻¹ and 1.08 log₁₀ CFU g⁻¹ recorded for MFE and FFC ice creams, respectively (Table 2). These values represent very low levels of fungal presence and remained well within the microbiological limits prescribed by the Food Safety and Standards Regulations for ice cream (FSSR, 2020). The late and marginal appearance of YMC suggests minimal aerial contamination over extended storage and indicates that frozen storage at −18 ± 2 °C effectively restricted fungal proliferation. The low YMC observed may be attributed to survival of stress-tolerant fungal spores rather than active growth, as freezing primarily exerts a fungistatic effect.</w:t>
      </w:r>
    </w:p>
    <w:p w14:paraId="3DB8D11C" w14:textId="77777777" w:rsidR="007F317D" w:rsidRPr="007F317D" w:rsidRDefault="007F317D" w:rsidP="0024769B">
      <w:pPr>
        <w:spacing w:line="480" w:lineRule="auto"/>
        <w:jc w:val="both"/>
        <w:rPr>
          <w:rFonts w:ascii="Times New Roman" w:hAnsi="Times New Roman" w:cs="Times New Roman"/>
          <w:sz w:val="24"/>
          <w:szCs w:val="24"/>
        </w:rPr>
      </w:pPr>
      <w:r w:rsidRPr="007F317D">
        <w:rPr>
          <w:rFonts w:ascii="Times New Roman" w:hAnsi="Times New Roman" w:cs="Times New Roman"/>
          <w:sz w:val="24"/>
          <w:szCs w:val="24"/>
        </w:rPr>
        <w:lastRenderedPageBreak/>
        <w:t>Both ice cream formulations were found to be completely free from coliforms per gram of product throughout the entire storage period, including freshly prepared samples and those stored for up to 75 days at −18 ± 2 °C. The absence of coliforms is a strong indicator of effective pasteurization, adherence to good manufacturing practices, and the prevention of post-processing contamination (Pal et al., 2012; FSSAI, 2024). Coliform bacteria are widely recognized as indicator organisms for assessing sanitary quality and hygienic integrity of dairy products, as their presence is commonly associated with inadequate sanitation or post-pasteurization contamination (Pal et al., 2012; FSSR, 2020). The consistent absence of coliforms throughout storage in the present study therefore confirms that hygienic conditions were rigorously maintained during processing, packaging, and frozen storage, and that the ice cream formulations complied fully with regulatory microbiological safety standards (FSSAI, 2024; Nalbone et al., 2022).</w:t>
      </w:r>
    </w:p>
    <w:p w14:paraId="4E70CC66" w14:textId="51AE206E"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 Ahmed and El-Zubeir (2015) observed yeast and mold counts ranging from 3.24 to 4.54 log₁₀ CFU g⁻¹ in coconut-based ice cream stored at −18 °C for eight weeks, with coconut–vanilla flavoured ice cream exhibiting an increase from 3.30 to 4.60 log₁₀ CFU g⁻¹ over the same period. In contrast, the substantially lower YMC recorded in the present investigation highlights the superior microbiological stability achieved through improved processing hygiene and storage control. Similar to the present findings, Ahmed and El-Zubeir (2015) also reported the absence of coliforms in both fresh and stored ice cream samples.</w:t>
      </w:r>
    </w:p>
    <w:p w14:paraId="585E335B"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Mulwa et al. (2023) reported total viable counts and yeast and mold counts of 1.23 log₁₀ CFU g⁻¹ and 0.56 log₁₀ CFU g⁻¹, respectively, in coconut milk-based ice cream containing optimized levels of soursop fruit purée and gum </w:t>
      </w:r>
      <w:proofErr w:type="spellStart"/>
      <w:r w:rsidRPr="0024769B">
        <w:rPr>
          <w:rFonts w:ascii="Times New Roman" w:hAnsi="Times New Roman" w:cs="Times New Roman"/>
          <w:sz w:val="24"/>
          <w:szCs w:val="24"/>
        </w:rPr>
        <w:t>arabic</w:t>
      </w:r>
      <w:proofErr w:type="spellEnd"/>
      <w:r w:rsidRPr="0024769B">
        <w:rPr>
          <w:rFonts w:ascii="Times New Roman" w:hAnsi="Times New Roman" w:cs="Times New Roman"/>
          <w:sz w:val="24"/>
          <w:szCs w:val="24"/>
        </w:rPr>
        <w:t>, with complete absence of coliforms. These findings corroborate the present results and further support the conclusion that fruit- and plant-based ice cream formulations can maintain acceptable microbiological quality when appropriate processing and storage conditions are employed.</w:t>
      </w:r>
    </w:p>
    <w:p w14:paraId="30E4FCC8"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lastRenderedPageBreak/>
        <w:t>Overall, the absence or minimal presence of yeasts and molds and the complete absence of coliforms throughout frozen storage confirm the microbiological safety and shelf stability of both the control and banana–coconut enriched ice creams. The results demonstrate that incorporation of banana purée and coconut extracts does not compromise fungal or sanitary quality when products are manufactured under controlled hygienic conditions and stored at recommended frozen temperatures.</w:t>
      </w:r>
    </w:p>
    <w:p w14:paraId="3C71D208" w14:textId="02F9E3F9" w:rsidR="00360526" w:rsidRPr="001E0F2D" w:rsidRDefault="005A58DA" w:rsidP="00347279">
      <w:pPr>
        <w:tabs>
          <w:tab w:val="left" w:pos="142"/>
        </w:tabs>
        <w:spacing w:after="0" w:line="480" w:lineRule="auto"/>
        <w:jc w:val="both"/>
        <w:rPr>
          <w:rFonts w:asciiTheme="majorBidi" w:hAnsiTheme="majorBidi" w:cstheme="majorBidi"/>
          <w:b/>
          <w:bCs/>
          <w:sz w:val="24"/>
          <w:szCs w:val="24"/>
          <w:lang w:bidi="gu-IN"/>
        </w:rPr>
      </w:pPr>
      <w:r>
        <w:rPr>
          <w:rFonts w:asciiTheme="majorBidi" w:hAnsiTheme="majorBidi" w:cstheme="majorBidi"/>
          <w:b/>
          <w:bCs/>
          <w:sz w:val="24"/>
          <w:szCs w:val="24"/>
          <w:lang w:bidi="gu-IN"/>
        </w:rPr>
        <w:t xml:space="preserve">CONCLUSION </w:t>
      </w:r>
    </w:p>
    <w:p w14:paraId="64F0394A" w14:textId="5CA5617A" w:rsidR="00347279" w:rsidRPr="00347279" w:rsidRDefault="00347279" w:rsidP="00347279">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47279">
        <w:rPr>
          <w:rFonts w:ascii="Times New Roman" w:eastAsia="Times New Roman" w:hAnsi="Times New Roman" w:cs="Times New Roman"/>
          <w:kern w:val="0"/>
          <w:sz w:val="24"/>
          <w:szCs w:val="24"/>
          <w:lang w:eastAsia="en-IN" w:bidi="gu-IN"/>
          <w14:ligatures w14:val="none"/>
        </w:rPr>
        <w:t>The present investigation demonstrated that ice cream formulated with banana purée and coconut extracts exhibited satisfactory microbiological quality and safety throughout frozen storage at −18 ± 2 °C for a period of 75 days. The aerobic plate count of both the full-fat control and medium-fat experimental ice creams showed only marginal, non-significant increases during storage and remained well within the permissible limits prescribed by the Food Safety and Standards Regulations for ice cream. The incorporation of banana purée and coconut extracts did not adversely influence the overall microbial load, indicating that these value-added ingredients can be safely used when appropriate processing and hygienic practices are followed.</w:t>
      </w:r>
      <w:r>
        <w:rPr>
          <w:rFonts w:ascii="Times New Roman" w:eastAsia="Times New Roman" w:hAnsi="Times New Roman" w:cs="Times New Roman"/>
          <w:kern w:val="0"/>
          <w:sz w:val="24"/>
          <w:szCs w:val="24"/>
          <w:lang w:eastAsia="en-IN" w:bidi="gu-IN"/>
          <w14:ligatures w14:val="none"/>
        </w:rPr>
        <w:t xml:space="preserve"> </w:t>
      </w:r>
      <w:r w:rsidRPr="00347279">
        <w:rPr>
          <w:rFonts w:ascii="Times New Roman" w:eastAsia="Times New Roman" w:hAnsi="Times New Roman" w:cs="Times New Roman"/>
          <w:kern w:val="0"/>
          <w:sz w:val="24"/>
          <w:szCs w:val="24"/>
          <w:lang w:eastAsia="en-IN" w:bidi="gu-IN"/>
          <w14:ligatures w14:val="none"/>
        </w:rPr>
        <w:t xml:space="preserve">Yeasts and </w:t>
      </w:r>
      <w:proofErr w:type="spellStart"/>
      <w:r w:rsidRPr="00347279">
        <w:rPr>
          <w:rFonts w:ascii="Times New Roman" w:eastAsia="Times New Roman" w:hAnsi="Times New Roman" w:cs="Times New Roman"/>
          <w:kern w:val="0"/>
          <w:sz w:val="24"/>
          <w:szCs w:val="24"/>
          <w:lang w:eastAsia="en-IN" w:bidi="gu-IN"/>
          <w14:ligatures w14:val="none"/>
        </w:rPr>
        <w:t>molds</w:t>
      </w:r>
      <w:proofErr w:type="spellEnd"/>
      <w:r w:rsidRPr="00347279">
        <w:rPr>
          <w:rFonts w:ascii="Times New Roman" w:eastAsia="Times New Roman" w:hAnsi="Times New Roman" w:cs="Times New Roman"/>
          <w:kern w:val="0"/>
          <w:sz w:val="24"/>
          <w:szCs w:val="24"/>
          <w:lang w:eastAsia="en-IN" w:bidi="gu-IN"/>
          <w14:ligatures w14:val="none"/>
        </w:rPr>
        <w:t xml:space="preserve"> were absent in both formulations up to 60 days of frozen storage and were detected only at very low levels on the 75th day, suggesting minimal post-processing or aerial contamination and highlighting the fungistatic effect of frozen storage conditions. Coliforms were absent per gram of product throughout the entire storage period, confirming effective pasteurization, good manufacturing practices, and the absence of post-pasteurization contamination.</w:t>
      </w:r>
      <w:r>
        <w:rPr>
          <w:rFonts w:ascii="Times New Roman" w:eastAsia="Times New Roman" w:hAnsi="Times New Roman" w:cs="Times New Roman"/>
          <w:kern w:val="0"/>
          <w:sz w:val="24"/>
          <w:szCs w:val="24"/>
          <w:lang w:eastAsia="en-IN" w:bidi="gu-IN"/>
          <w14:ligatures w14:val="none"/>
        </w:rPr>
        <w:t xml:space="preserve"> </w:t>
      </w:r>
      <w:r w:rsidRPr="00347279">
        <w:rPr>
          <w:rFonts w:ascii="Times New Roman" w:eastAsia="Times New Roman" w:hAnsi="Times New Roman" w:cs="Times New Roman"/>
          <w:kern w:val="0"/>
          <w:sz w:val="24"/>
          <w:szCs w:val="24"/>
          <w:lang w:eastAsia="en-IN" w:bidi="gu-IN"/>
          <w14:ligatures w14:val="none"/>
        </w:rPr>
        <w:t xml:space="preserve">Overall, the findings establish that banana–coconut enriched ice cream can maintain acceptable microbiological stability and comply with food safety standards during extended frozen storage. The study provides scientific evidence supporting the development of safe, value-added dairy–plant composite ice creams and reinforces the importance of stringent </w:t>
      </w:r>
      <w:r w:rsidRPr="00347279">
        <w:rPr>
          <w:rFonts w:ascii="Times New Roman" w:eastAsia="Times New Roman" w:hAnsi="Times New Roman" w:cs="Times New Roman"/>
          <w:kern w:val="0"/>
          <w:sz w:val="24"/>
          <w:szCs w:val="24"/>
          <w:lang w:eastAsia="en-IN" w:bidi="gu-IN"/>
          <w14:ligatures w14:val="none"/>
        </w:rPr>
        <w:lastRenderedPageBreak/>
        <w:t>hygiene control and cold-chain maintenance in ensuring microbiological safety of functional frozen desserts.</w:t>
      </w:r>
    </w:p>
    <w:p w14:paraId="538EADC7" w14:textId="137272AF" w:rsidR="00B74125" w:rsidRDefault="00360526" w:rsidP="00DF7BDA">
      <w:pPr>
        <w:spacing w:line="480" w:lineRule="auto"/>
        <w:jc w:val="both"/>
        <w:rPr>
          <w:rFonts w:asciiTheme="majorBidi" w:hAnsiTheme="majorBidi" w:cstheme="majorBidi"/>
          <w:b/>
          <w:bCs/>
          <w:sz w:val="24"/>
          <w:szCs w:val="24"/>
        </w:rPr>
      </w:pPr>
      <w:r w:rsidRPr="00360526">
        <w:rPr>
          <w:rFonts w:asciiTheme="majorBidi" w:hAnsiTheme="majorBidi" w:cstheme="majorBidi"/>
          <w:b/>
          <w:bCs/>
          <w:sz w:val="24"/>
          <w:szCs w:val="24"/>
        </w:rPr>
        <w:t>REFERENCES</w:t>
      </w:r>
    </w:p>
    <w:p w14:paraId="169A3CA1" w14:textId="769A3187" w:rsidR="00730434" w:rsidRDefault="00730434" w:rsidP="00A45501">
      <w:pPr>
        <w:pStyle w:val="ListParagraph"/>
        <w:numPr>
          <w:ilvl w:val="0"/>
          <w:numId w:val="2"/>
        </w:numPr>
        <w:spacing w:after="0" w:line="600" w:lineRule="auto"/>
        <w:ind w:left="360"/>
        <w:jc w:val="both"/>
        <w:rPr>
          <w:rFonts w:ascii="Times New Roman" w:eastAsia="Times New Roman" w:hAnsi="Times New Roman" w:cs="Times New Roman"/>
          <w:kern w:val="0"/>
          <w:sz w:val="24"/>
          <w:szCs w:val="24"/>
          <w:lang w:eastAsia="en-IN" w:bidi="gu-IN"/>
          <w14:ligatures w14:val="none"/>
        </w:rPr>
      </w:pPr>
      <w:r w:rsidRPr="00730434">
        <w:rPr>
          <w:rFonts w:ascii="Times New Roman" w:eastAsia="Times New Roman" w:hAnsi="Times New Roman" w:cs="Times New Roman"/>
          <w:kern w:val="0"/>
          <w:sz w:val="24"/>
          <w:szCs w:val="24"/>
          <w:lang w:eastAsia="en-IN" w:bidi="gu-IN"/>
          <w14:ligatures w14:val="none"/>
        </w:rPr>
        <w:t xml:space="preserve">Adil, S., Jana, A. H., Mehta, B. M., </w:t>
      </w:r>
      <w:proofErr w:type="spellStart"/>
      <w:r w:rsidRPr="00730434">
        <w:rPr>
          <w:rFonts w:ascii="Times New Roman" w:eastAsia="Times New Roman" w:hAnsi="Times New Roman" w:cs="Times New Roman"/>
          <w:kern w:val="0"/>
          <w:sz w:val="24"/>
          <w:szCs w:val="24"/>
          <w:lang w:eastAsia="en-IN" w:bidi="gu-IN"/>
          <w14:ligatures w14:val="none"/>
        </w:rPr>
        <w:t>Bihola</w:t>
      </w:r>
      <w:proofErr w:type="spellEnd"/>
      <w:r w:rsidRPr="00730434">
        <w:rPr>
          <w:rFonts w:ascii="Times New Roman" w:eastAsia="Times New Roman" w:hAnsi="Times New Roman" w:cs="Times New Roman"/>
          <w:kern w:val="0"/>
          <w:sz w:val="24"/>
          <w:szCs w:val="24"/>
          <w:lang w:eastAsia="en-IN" w:bidi="gu-IN"/>
          <w14:ligatures w14:val="none"/>
        </w:rPr>
        <w:t xml:space="preserve">, A., Prasad, C., &amp; Rajani, B. (2025). Feasibility of utilising orange (Citrus sinensis) peel powder as a fat substitute in frozen yoghurt. International Journal of Dairy Technology, 78(2), e70034. </w:t>
      </w:r>
      <w:hyperlink r:id="rId7" w:history="1">
        <w:r w:rsidRPr="00C92FB5">
          <w:rPr>
            <w:rStyle w:val="Hyperlink"/>
            <w:rFonts w:ascii="Times New Roman" w:eastAsia="Times New Roman" w:hAnsi="Times New Roman" w:cs="Times New Roman"/>
            <w:kern w:val="0"/>
            <w:sz w:val="24"/>
            <w:szCs w:val="24"/>
            <w:lang w:eastAsia="en-IN" w:bidi="gu-IN"/>
            <w14:ligatures w14:val="none"/>
          </w:rPr>
          <w:t>https://doi.org/10.1111/1471-0307.70034</w:t>
        </w:r>
      </w:hyperlink>
    </w:p>
    <w:p w14:paraId="693E0BF9" w14:textId="01D502BC" w:rsidR="00730434" w:rsidRPr="00730434" w:rsidRDefault="00730434" w:rsidP="00A45501">
      <w:pPr>
        <w:pStyle w:val="NormalWeb"/>
        <w:numPr>
          <w:ilvl w:val="0"/>
          <w:numId w:val="2"/>
        </w:numPr>
        <w:spacing w:line="600" w:lineRule="auto"/>
        <w:ind w:left="360"/>
        <w:jc w:val="both"/>
      </w:pPr>
      <w:r w:rsidRPr="00730434">
        <w:rPr>
          <w:rFonts w:eastAsia="Times New Roman"/>
          <w:kern w:val="0"/>
          <w:lang w:eastAsia="en-IN" w:bidi="gu-IN"/>
          <w14:ligatures w14:val="none"/>
        </w:rPr>
        <w:t xml:space="preserve">Adil, S., Jana, A. H., Mehta, B. M., </w:t>
      </w:r>
      <w:proofErr w:type="spellStart"/>
      <w:r w:rsidRPr="00730434">
        <w:rPr>
          <w:rFonts w:eastAsia="Times New Roman"/>
          <w:kern w:val="0"/>
          <w:lang w:eastAsia="en-IN" w:bidi="gu-IN"/>
          <w14:ligatures w14:val="none"/>
        </w:rPr>
        <w:t>Bihola</w:t>
      </w:r>
      <w:proofErr w:type="spellEnd"/>
      <w:r w:rsidRPr="00730434">
        <w:rPr>
          <w:rFonts w:eastAsia="Times New Roman"/>
          <w:kern w:val="0"/>
          <w:lang w:eastAsia="en-IN" w:bidi="gu-IN"/>
          <w14:ligatures w14:val="none"/>
        </w:rPr>
        <w:t xml:space="preserve">, A., Singh, A., &amp; Rajani, B. (2024). Value addition to dietetic frozen yoghurt through use of fruit peel solids. Scientific Reports, 14(1), 18743. </w:t>
      </w:r>
      <w:hyperlink r:id="rId8" w:history="1">
        <w:r w:rsidRPr="00C92FB5">
          <w:rPr>
            <w:rStyle w:val="Hyperlink"/>
            <w:rFonts w:eastAsia="Times New Roman"/>
            <w:kern w:val="0"/>
            <w:lang w:eastAsia="en-IN" w:bidi="gu-IN"/>
            <w14:ligatures w14:val="none"/>
          </w:rPr>
          <w:t>https://doi.org/10.1038/s41598-024-69762-0</w:t>
        </w:r>
      </w:hyperlink>
    </w:p>
    <w:p w14:paraId="386D8320" w14:textId="47DA0641" w:rsidR="00730434" w:rsidRDefault="00730434" w:rsidP="00A45501">
      <w:pPr>
        <w:pStyle w:val="NormalWeb"/>
        <w:numPr>
          <w:ilvl w:val="0"/>
          <w:numId w:val="2"/>
        </w:numPr>
        <w:spacing w:line="600" w:lineRule="auto"/>
        <w:ind w:left="360"/>
        <w:jc w:val="both"/>
      </w:pPr>
      <w:r w:rsidRPr="00730434">
        <w:t xml:space="preserve">Ahmed, A. S. M., &amp; El-Zubeir, I. E. M. (2015). Microbiological and sensory properties of low-fat ice cream from camel milk using natural additives. Annals of Food Science and Technology. </w:t>
      </w:r>
      <w:hyperlink r:id="rId9" w:history="1">
        <w:r w:rsidRPr="00C92FB5">
          <w:rPr>
            <w:rStyle w:val="Hyperlink"/>
          </w:rPr>
          <w:t>http://www.afst.valahia.ro</w:t>
        </w:r>
      </w:hyperlink>
    </w:p>
    <w:p w14:paraId="4F143811" w14:textId="5C24A9A9" w:rsidR="00730434" w:rsidRDefault="00730434" w:rsidP="00A45501">
      <w:pPr>
        <w:pStyle w:val="NormalWeb"/>
        <w:numPr>
          <w:ilvl w:val="0"/>
          <w:numId w:val="2"/>
        </w:numPr>
        <w:spacing w:line="600" w:lineRule="auto"/>
        <w:ind w:left="360"/>
        <w:jc w:val="both"/>
      </w:pPr>
      <w:r w:rsidRPr="00730434">
        <w:t xml:space="preserve">Aurore, G., </w:t>
      </w:r>
      <w:proofErr w:type="spellStart"/>
      <w:r w:rsidRPr="00730434">
        <w:t>Ginies</w:t>
      </w:r>
      <w:proofErr w:type="spellEnd"/>
      <w:r w:rsidRPr="00730434">
        <w:t xml:space="preserve">, C., Ganou-Parfait, B., Renard, C. M., &amp; </w:t>
      </w:r>
      <w:proofErr w:type="spellStart"/>
      <w:r w:rsidRPr="00730434">
        <w:t>Fahrasmane</w:t>
      </w:r>
      <w:proofErr w:type="spellEnd"/>
      <w:r w:rsidRPr="00730434">
        <w:t xml:space="preserve">, L. (2011). Comparative study of free and </w:t>
      </w:r>
      <w:proofErr w:type="spellStart"/>
      <w:r w:rsidRPr="00730434">
        <w:t>glycoconjugated</w:t>
      </w:r>
      <w:proofErr w:type="spellEnd"/>
      <w:r w:rsidRPr="00730434">
        <w:t xml:space="preserve"> volatile compounds of three banana cultivars from French West Indies: Cavendish, </w:t>
      </w:r>
      <w:proofErr w:type="spellStart"/>
      <w:r w:rsidRPr="00730434">
        <w:t>Frayssinette</w:t>
      </w:r>
      <w:proofErr w:type="spellEnd"/>
      <w:r w:rsidRPr="00730434">
        <w:t xml:space="preserve"> and Plantain. Food Chemistry, 129(1), 28–34. </w:t>
      </w:r>
      <w:hyperlink r:id="rId10" w:history="1">
        <w:r w:rsidRPr="00C92FB5">
          <w:rPr>
            <w:rStyle w:val="Hyperlink"/>
          </w:rPr>
          <w:t>https://doi.org/10.1016/j.foodchem.2011.01.104</w:t>
        </w:r>
      </w:hyperlink>
    </w:p>
    <w:p w14:paraId="7EF569A2" w14:textId="44E78811" w:rsidR="00730434" w:rsidRDefault="00730434" w:rsidP="00A45501">
      <w:pPr>
        <w:pStyle w:val="NormalWeb"/>
        <w:numPr>
          <w:ilvl w:val="0"/>
          <w:numId w:val="2"/>
        </w:numPr>
        <w:spacing w:line="600" w:lineRule="auto"/>
        <w:ind w:left="360"/>
        <w:jc w:val="both"/>
      </w:pPr>
      <w:r w:rsidRPr="00730434">
        <w:t xml:space="preserve">Coconut Development Board. (2024). Annual report 2023–24. Ministry of Agriculture and Farmers Welfare, Government of India. </w:t>
      </w:r>
      <w:hyperlink r:id="rId11" w:history="1">
        <w:r w:rsidRPr="00C92FB5">
          <w:rPr>
            <w:rStyle w:val="Hyperlink"/>
          </w:rPr>
          <w:t>https://www.coconutboard.nic.in</w:t>
        </w:r>
      </w:hyperlink>
    </w:p>
    <w:p w14:paraId="08C99EFC" w14:textId="62734551" w:rsidR="00730434" w:rsidRDefault="00730434" w:rsidP="00A45501">
      <w:pPr>
        <w:pStyle w:val="NormalWeb"/>
        <w:numPr>
          <w:ilvl w:val="0"/>
          <w:numId w:val="2"/>
        </w:numPr>
        <w:spacing w:line="600" w:lineRule="auto"/>
        <w:ind w:left="360"/>
        <w:jc w:val="both"/>
      </w:pPr>
      <w:proofErr w:type="spellStart"/>
      <w:r w:rsidRPr="00730434">
        <w:lastRenderedPageBreak/>
        <w:t>Dineshkumar</w:t>
      </w:r>
      <w:proofErr w:type="spellEnd"/>
      <w:r w:rsidRPr="00730434">
        <w:t xml:space="preserve">, M., Preetha, D. J., &amp; Srinatha, T. N. (2024). Constraints in banana cultivation as perceived by farmers of Theni District, Tamil Nadu, India. Journal of Scientific Research and Reports, 30(9), 276–281. </w:t>
      </w:r>
      <w:hyperlink r:id="rId12" w:history="1">
        <w:r w:rsidRPr="00C92FB5">
          <w:rPr>
            <w:rStyle w:val="Hyperlink"/>
          </w:rPr>
          <w:t>https://doi.org/10.9734/jsrr/2024/v30i92352</w:t>
        </w:r>
      </w:hyperlink>
    </w:p>
    <w:p w14:paraId="63F299C4" w14:textId="08B0410F" w:rsidR="00730434" w:rsidRDefault="00730434" w:rsidP="00A45501">
      <w:pPr>
        <w:pStyle w:val="NormalWeb"/>
        <w:numPr>
          <w:ilvl w:val="0"/>
          <w:numId w:val="2"/>
        </w:numPr>
        <w:spacing w:line="600" w:lineRule="auto"/>
        <w:ind w:left="360"/>
        <w:jc w:val="both"/>
      </w:pPr>
      <w:r w:rsidRPr="00730434">
        <w:t xml:space="preserve">Food Safety and Standards Authority of India. (2024). Manual on methods of analysis of foods: Microbiological examination of food and water. </w:t>
      </w:r>
      <w:hyperlink r:id="rId13" w:history="1">
        <w:r w:rsidRPr="00C92FB5">
          <w:rPr>
            <w:rStyle w:val="Hyperlink"/>
          </w:rPr>
          <w:t>https://fssai.gov.in/upload/uploadfiles/files/Manual_of_Methods_of_Analysis_Microbiological_Examination_Food_Water_17_05_2024.pdf</w:t>
        </w:r>
      </w:hyperlink>
    </w:p>
    <w:p w14:paraId="5C911006" w14:textId="095E873D" w:rsidR="00730434" w:rsidRDefault="00730434" w:rsidP="00A45501">
      <w:pPr>
        <w:pStyle w:val="NormalWeb"/>
        <w:numPr>
          <w:ilvl w:val="0"/>
          <w:numId w:val="2"/>
        </w:numPr>
        <w:spacing w:line="600" w:lineRule="auto"/>
        <w:ind w:left="360"/>
        <w:jc w:val="both"/>
      </w:pPr>
      <w:r w:rsidRPr="00730434">
        <w:t xml:space="preserve">Food Safety and Standards Authority of India. (2020). Food Safety and Standards (Food Products Standards and Food Additives) Regulations, 2011 (Version XII). Government of India. </w:t>
      </w:r>
      <w:hyperlink r:id="rId14" w:history="1">
        <w:r w:rsidRPr="00C92FB5">
          <w:rPr>
            <w:rStyle w:val="Hyperlink"/>
          </w:rPr>
          <w:t>https://www.fssai.gov.in/upload/uploadfiles/files/Food_Products_Standards_Food_Additives_Regulations_08_09_2020.pdf</w:t>
        </w:r>
      </w:hyperlink>
    </w:p>
    <w:p w14:paraId="114A5BF9" w14:textId="65748765" w:rsidR="00730434" w:rsidRDefault="00730434" w:rsidP="00A45501">
      <w:pPr>
        <w:pStyle w:val="NormalWeb"/>
        <w:numPr>
          <w:ilvl w:val="0"/>
          <w:numId w:val="2"/>
        </w:numPr>
        <w:spacing w:line="600" w:lineRule="auto"/>
        <w:ind w:left="360"/>
        <w:jc w:val="both"/>
      </w:pPr>
      <w:r w:rsidRPr="00730434">
        <w:t xml:space="preserve">Goff, H. D., Hartel, R. W., &amp; Rankin, S. A. (2025). Ice Cream Structure. In H. D. Goff &amp; R. W. Hartel (Eds.), Ice Cream (8th ed., pp. 297–343). Springer Nature. </w:t>
      </w:r>
      <w:hyperlink r:id="rId15" w:history="1">
        <w:r w:rsidRPr="00C92FB5">
          <w:rPr>
            <w:rStyle w:val="Hyperlink"/>
          </w:rPr>
          <w:t>https://doi.org/10.1007/978-3-031-77872-8_9</w:t>
        </w:r>
      </w:hyperlink>
    </w:p>
    <w:p w14:paraId="317C30B2" w14:textId="230D07F2" w:rsidR="00730434" w:rsidRDefault="00730434" w:rsidP="00A45501">
      <w:pPr>
        <w:pStyle w:val="NormalWeb"/>
        <w:numPr>
          <w:ilvl w:val="0"/>
          <w:numId w:val="2"/>
        </w:numPr>
        <w:spacing w:line="600" w:lineRule="auto"/>
        <w:ind w:left="360"/>
        <w:jc w:val="both"/>
      </w:pPr>
      <w:proofErr w:type="spellStart"/>
      <w:r w:rsidRPr="00730434">
        <w:t>Güzeler</w:t>
      </w:r>
      <w:proofErr w:type="spellEnd"/>
      <w:r w:rsidRPr="00730434">
        <w:t xml:space="preserve">, N., Kaçar, A., </w:t>
      </w:r>
      <w:proofErr w:type="spellStart"/>
      <w:r w:rsidRPr="00730434">
        <w:t>Keçeli</w:t>
      </w:r>
      <w:proofErr w:type="spellEnd"/>
      <w:r w:rsidRPr="00730434">
        <w:t xml:space="preserve">, T., &amp; Say, D. (2012). Effect of different stabilizers, emulsifiers, and storage time on some properties of ice cream. </w:t>
      </w:r>
      <w:proofErr w:type="spellStart"/>
      <w:r w:rsidRPr="00730434">
        <w:t>Akademik</w:t>
      </w:r>
      <w:proofErr w:type="spellEnd"/>
      <w:r w:rsidRPr="00730434">
        <w:t xml:space="preserve"> </w:t>
      </w:r>
      <w:proofErr w:type="spellStart"/>
      <w:r w:rsidRPr="00730434">
        <w:t>Gıda</w:t>
      </w:r>
      <w:proofErr w:type="spellEnd"/>
      <w:r w:rsidRPr="00730434">
        <w:t xml:space="preserve">, 10(2), 26–30. </w:t>
      </w:r>
      <w:hyperlink r:id="rId16" w:history="1">
        <w:r w:rsidRPr="00C92FB5">
          <w:rPr>
            <w:rStyle w:val="Hyperlink"/>
          </w:rPr>
          <w:t>https://dergipark.org.tr/en/download/article-file/12600</w:t>
        </w:r>
      </w:hyperlink>
    </w:p>
    <w:p w14:paraId="2E2EE811" w14:textId="21A35787" w:rsidR="00730434" w:rsidRDefault="00730434" w:rsidP="00A45501">
      <w:pPr>
        <w:pStyle w:val="NormalWeb"/>
        <w:numPr>
          <w:ilvl w:val="0"/>
          <w:numId w:val="2"/>
        </w:numPr>
        <w:spacing w:line="600" w:lineRule="auto"/>
        <w:ind w:left="360"/>
        <w:jc w:val="both"/>
      </w:pPr>
      <w:r w:rsidRPr="00730434">
        <w:lastRenderedPageBreak/>
        <w:t xml:space="preserve">Hirpara, K., Jana, A. H., &amp; Patel, H. G. (2011). Synergy of dairy with non-dairy Ingredients or product: A review. African Journal of Food Science, 5(16), 817–832. </w:t>
      </w:r>
      <w:hyperlink r:id="rId17" w:history="1">
        <w:r w:rsidRPr="00C92FB5">
          <w:rPr>
            <w:rStyle w:val="Hyperlink"/>
          </w:rPr>
          <w:t>https://doi.org/10.5897/AJFSX11.003</w:t>
        </w:r>
      </w:hyperlink>
    </w:p>
    <w:p w14:paraId="1F41B5F5" w14:textId="0B3EC50A" w:rsidR="00730434" w:rsidRDefault="00730434" w:rsidP="00A45501">
      <w:pPr>
        <w:pStyle w:val="NormalWeb"/>
        <w:numPr>
          <w:ilvl w:val="0"/>
          <w:numId w:val="2"/>
        </w:numPr>
        <w:spacing w:line="600" w:lineRule="auto"/>
        <w:ind w:left="360"/>
        <w:jc w:val="both"/>
      </w:pPr>
      <w:r w:rsidRPr="00730434">
        <w:t xml:space="preserve">Marshall, R. T., Goff, H. D., &amp; Hartel, R. W. (2003). The freezing process. In Ice cream (6th ed., pp. 171–205). Kluwer Academic/Plenum Publishers. </w:t>
      </w:r>
      <w:hyperlink r:id="rId18" w:history="1">
        <w:r w:rsidRPr="00C92FB5">
          <w:rPr>
            <w:rStyle w:val="Hyperlink"/>
          </w:rPr>
          <w:t>https://doi.org/10.1007/978-1-4615-0163-3</w:t>
        </w:r>
      </w:hyperlink>
    </w:p>
    <w:p w14:paraId="55A1A4C0" w14:textId="16A84E22" w:rsidR="00730434" w:rsidRDefault="00730434" w:rsidP="00A45501">
      <w:pPr>
        <w:pStyle w:val="NormalWeb"/>
        <w:numPr>
          <w:ilvl w:val="0"/>
          <w:numId w:val="2"/>
        </w:numPr>
        <w:spacing w:line="600" w:lineRule="auto"/>
        <w:ind w:left="360"/>
        <w:jc w:val="both"/>
      </w:pPr>
      <w:r w:rsidRPr="00730434">
        <w:t xml:space="preserve">Mohapatra, D., Mishra, S., &amp; Sutar, N. (2010). Banana and its by-product utilisation: An overview. Journal of Scientific and Industrial Research, 69(5), 323–329. </w:t>
      </w:r>
      <w:hyperlink r:id="rId19" w:history="1">
        <w:r w:rsidRPr="00C92FB5">
          <w:rPr>
            <w:rStyle w:val="Hyperlink"/>
          </w:rPr>
          <w:t>http://nopr.niscpr.res.in/handle/123456789/8581</w:t>
        </w:r>
      </w:hyperlink>
    </w:p>
    <w:p w14:paraId="027C5B79" w14:textId="4C00F37D" w:rsidR="00730434" w:rsidRDefault="00730434" w:rsidP="00A45501">
      <w:pPr>
        <w:pStyle w:val="NormalWeb"/>
        <w:numPr>
          <w:ilvl w:val="0"/>
          <w:numId w:val="2"/>
        </w:numPr>
        <w:spacing w:line="600" w:lineRule="auto"/>
        <w:ind w:left="360"/>
        <w:jc w:val="both"/>
      </w:pPr>
      <w:r w:rsidRPr="00730434">
        <w:t xml:space="preserve">Mulwa, S. N., </w:t>
      </w:r>
      <w:proofErr w:type="spellStart"/>
      <w:r w:rsidRPr="00730434">
        <w:t>Mahungu</w:t>
      </w:r>
      <w:proofErr w:type="spellEnd"/>
      <w:r w:rsidRPr="00730434">
        <w:t xml:space="preserve">, S. M., &amp; Muinde, B. K. (2023). Effect of soursop puree and gum </w:t>
      </w:r>
      <w:proofErr w:type="spellStart"/>
      <w:r w:rsidRPr="00730434">
        <w:t>arabic</w:t>
      </w:r>
      <w:proofErr w:type="spellEnd"/>
      <w:r w:rsidRPr="00730434">
        <w:t xml:space="preserve"> on the sensory properties of non-dairy coconut milk–based ice cream. Food and Nutrition Sciences, 14(7), 670–686. </w:t>
      </w:r>
      <w:hyperlink r:id="rId20" w:history="1">
        <w:r w:rsidRPr="00C92FB5">
          <w:rPr>
            <w:rStyle w:val="Hyperlink"/>
          </w:rPr>
          <w:t>https://doi.org/10.4236/fns.2023.147044</w:t>
        </w:r>
      </w:hyperlink>
    </w:p>
    <w:p w14:paraId="002919E5" w14:textId="69E670E1" w:rsidR="00730434" w:rsidRDefault="00730434" w:rsidP="00A45501">
      <w:pPr>
        <w:pStyle w:val="NormalWeb"/>
        <w:numPr>
          <w:ilvl w:val="0"/>
          <w:numId w:val="2"/>
        </w:numPr>
        <w:spacing w:line="600" w:lineRule="auto"/>
        <w:ind w:left="360"/>
        <w:jc w:val="both"/>
      </w:pPr>
      <w:r w:rsidRPr="00730434">
        <w:t xml:space="preserve">Nalbone, L., Vallone, L., Giarratana, F., </w:t>
      </w:r>
      <w:proofErr w:type="spellStart"/>
      <w:r w:rsidRPr="00730434">
        <w:t>Virgone</w:t>
      </w:r>
      <w:proofErr w:type="spellEnd"/>
      <w:r w:rsidRPr="00730434">
        <w:t xml:space="preserve">, G., Lamberta, F., Marotta, S. M., Donato, G., Giuffrida, A., &amp; Ziino, G. (2022). Microbial risk assessment of industrial ice cream marketed in Italy. Applied Sciences, 12(4), 1988. </w:t>
      </w:r>
      <w:hyperlink r:id="rId21" w:history="1">
        <w:r w:rsidRPr="00C92FB5">
          <w:rPr>
            <w:rStyle w:val="Hyperlink"/>
          </w:rPr>
          <w:t>https://doi.org/10.3390/app12041988</w:t>
        </w:r>
      </w:hyperlink>
    </w:p>
    <w:p w14:paraId="04B5D93F" w14:textId="4D1934B7" w:rsidR="00730434" w:rsidRPr="00730434" w:rsidRDefault="00730434" w:rsidP="00A45501">
      <w:pPr>
        <w:pStyle w:val="NormalWeb"/>
        <w:numPr>
          <w:ilvl w:val="0"/>
          <w:numId w:val="2"/>
        </w:numPr>
        <w:spacing w:line="600" w:lineRule="auto"/>
        <w:ind w:left="360"/>
        <w:jc w:val="both"/>
        <w:rPr>
          <w:color w:val="0000FF"/>
          <w:u w:val="single"/>
        </w:rPr>
      </w:pPr>
      <w:r w:rsidRPr="00730434">
        <w:t xml:space="preserve">Pal, M., Tesfaye, S., &amp; </w:t>
      </w:r>
      <w:proofErr w:type="spellStart"/>
      <w:r w:rsidRPr="00730434">
        <w:t>Weldegebriel</w:t>
      </w:r>
      <w:proofErr w:type="spellEnd"/>
      <w:r w:rsidRPr="00730434">
        <w:t xml:space="preserve">, S. (2012). Hygienic and microbiological aspects of ice cream. Beverage &amp; Food World, 39, 42–43. </w:t>
      </w:r>
      <w:hyperlink r:id="rId22" w:history="1">
        <w:r w:rsidRPr="00C92FB5">
          <w:rPr>
            <w:rStyle w:val="Hyperlink"/>
          </w:rPr>
          <w:t>https://www.researchgate.net/publication/280920000_Hygienic_and_Microbiological_aspects_of_Ice_Cream</w:t>
        </w:r>
      </w:hyperlink>
    </w:p>
    <w:p w14:paraId="72016D63" w14:textId="708522B8" w:rsidR="00730434" w:rsidRDefault="00730434" w:rsidP="00A45501">
      <w:pPr>
        <w:pStyle w:val="ListParagraph"/>
        <w:numPr>
          <w:ilvl w:val="0"/>
          <w:numId w:val="2"/>
        </w:numPr>
        <w:spacing w:line="600" w:lineRule="auto"/>
        <w:ind w:left="360"/>
        <w:rPr>
          <w:rFonts w:ascii="Times New Roman" w:hAnsi="Times New Roman" w:cs="Times New Roman"/>
          <w:sz w:val="24"/>
          <w:szCs w:val="24"/>
        </w:rPr>
      </w:pPr>
      <w:r w:rsidRPr="00730434">
        <w:rPr>
          <w:rFonts w:ascii="Times New Roman" w:hAnsi="Times New Roman" w:cs="Times New Roman"/>
          <w:sz w:val="24"/>
          <w:szCs w:val="24"/>
        </w:rPr>
        <w:lastRenderedPageBreak/>
        <w:t xml:space="preserve">Perera, K. D. S. S., &amp; Perera, O. D. A. N. (2021). Development of coconut milk-based spicy ice cream as a </w:t>
      </w:r>
      <w:proofErr w:type="spellStart"/>
      <w:r w:rsidRPr="00730434">
        <w:rPr>
          <w:rFonts w:ascii="Times New Roman" w:hAnsi="Times New Roman" w:cs="Times New Roman"/>
          <w:sz w:val="24"/>
          <w:szCs w:val="24"/>
        </w:rPr>
        <w:t>nondairy</w:t>
      </w:r>
      <w:proofErr w:type="spellEnd"/>
      <w:r w:rsidRPr="00730434">
        <w:rPr>
          <w:rFonts w:ascii="Times New Roman" w:hAnsi="Times New Roman" w:cs="Times New Roman"/>
          <w:sz w:val="24"/>
          <w:szCs w:val="24"/>
        </w:rPr>
        <w:t xml:space="preserve"> alternative with desired physicochemical and sensory attributes. International Journal of Food Science. </w:t>
      </w:r>
      <w:hyperlink r:id="rId23" w:history="1">
        <w:r w:rsidRPr="00C92FB5">
          <w:rPr>
            <w:rStyle w:val="Hyperlink"/>
            <w:rFonts w:ascii="Times New Roman" w:hAnsi="Times New Roman" w:cs="Times New Roman"/>
            <w:sz w:val="24"/>
            <w:szCs w:val="24"/>
          </w:rPr>
          <w:t>https://doi.org/10.1155/2021/6661193</w:t>
        </w:r>
      </w:hyperlink>
    </w:p>
    <w:p w14:paraId="3CCB6D0F" w14:textId="25BF84D0" w:rsidR="00730434" w:rsidRDefault="00730434" w:rsidP="00A45501">
      <w:pPr>
        <w:pStyle w:val="NormalWeb"/>
        <w:numPr>
          <w:ilvl w:val="0"/>
          <w:numId w:val="2"/>
        </w:numPr>
        <w:spacing w:line="600" w:lineRule="auto"/>
        <w:ind w:left="360"/>
        <w:jc w:val="both"/>
      </w:pPr>
      <w:proofErr w:type="spellStart"/>
      <w:r w:rsidRPr="00730434">
        <w:t>Prades</w:t>
      </w:r>
      <w:proofErr w:type="spellEnd"/>
      <w:r w:rsidRPr="00730434">
        <w:t xml:space="preserve">, A., Dornier, M., Diop, N., &amp; Pain, J. P. (2012). Coconut water uses, composition and properties: A review. Fruits, 67(2), 87–107. </w:t>
      </w:r>
      <w:hyperlink r:id="rId24" w:history="1">
        <w:r w:rsidRPr="00C92FB5">
          <w:rPr>
            <w:rStyle w:val="Hyperlink"/>
          </w:rPr>
          <w:t>https://doi.org/10.1051/fruits/2012002</w:t>
        </w:r>
      </w:hyperlink>
    </w:p>
    <w:p w14:paraId="2F6BFE6E" w14:textId="4D596AD7" w:rsidR="00730434" w:rsidRDefault="00730434" w:rsidP="00A45501">
      <w:pPr>
        <w:pStyle w:val="NormalWeb"/>
        <w:numPr>
          <w:ilvl w:val="0"/>
          <w:numId w:val="2"/>
        </w:numPr>
        <w:spacing w:line="600" w:lineRule="auto"/>
        <w:ind w:left="360"/>
        <w:jc w:val="both"/>
      </w:pPr>
      <w:proofErr w:type="spellStart"/>
      <w:r w:rsidRPr="00730434">
        <w:t>Rupera</w:t>
      </w:r>
      <w:proofErr w:type="spellEnd"/>
      <w:r w:rsidRPr="00730434">
        <w:t xml:space="preserve">, P. (2024, November 11). India Dominates Global Banana Production: Gujarat Leads in Productivity. Times of India. </w:t>
      </w:r>
      <w:hyperlink r:id="rId25" w:history="1">
        <w:r w:rsidRPr="00C92FB5">
          <w:rPr>
            <w:rStyle w:val="Hyperlink"/>
          </w:rPr>
          <w:t>https://timesofindia.indiatimes.com/city/vadodara/india-dominates-global-banana-production-gujarat-leads-in-productivity/articleshow/114990000.cms</w:t>
        </w:r>
      </w:hyperlink>
    </w:p>
    <w:p w14:paraId="46624774" w14:textId="456ADB4D" w:rsidR="005A58DA" w:rsidRPr="00A45501" w:rsidRDefault="005A58DA" w:rsidP="00A45501">
      <w:pPr>
        <w:pStyle w:val="NormalWeb"/>
        <w:numPr>
          <w:ilvl w:val="0"/>
          <w:numId w:val="2"/>
        </w:numPr>
        <w:spacing w:line="600" w:lineRule="auto"/>
        <w:ind w:left="360"/>
        <w:jc w:val="both"/>
      </w:pPr>
      <w:r w:rsidRPr="00A45501">
        <w:t xml:space="preserve">Wang, W., Chen, H., Ke, D., Chen, W., Zhong, Q., Chen, W., &amp; Yun, Y. H. (2020). Effect of sterilization and storage on volatile compounds, sensory properties, and physicochemical properties of coconut milk. </w:t>
      </w:r>
      <w:r w:rsidRPr="00A45501">
        <w:rPr>
          <w:rStyle w:val="Emphasis"/>
        </w:rPr>
        <w:t>Microchemical Journal, 153</w:t>
      </w:r>
      <w:r w:rsidRPr="00A45501">
        <w:t xml:space="preserve">, Article 104532. </w:t>
      </w:r>
    </w:p>
    <w:p w14:paraId="00D2680F" w14:textId="4B29EA32" w:rsidR="00360526" w:rsidRPr="001E0F2D" w:rsidRDefault="00137FF8" w:rsidP="005A58DA">
      <w:pPr>
        <w:spacing w:line="480" w:lineRule="auto"/>
        <w:jc w:val="both"/>
        <w:rPr>
          <w:rFonts w:asciiTheme="majorBidi" w:hAnsiTheme="majorBidi" w:cstheme="majorBidi"/>
          <w:b/>
          <w:bCs/>
          <w:sz w:val="24"/>
          <w:szCs w:val="24"/>
        </w:rPr>
      </w:pPr>
      <w:r w:rsidRPr="005A58DA">
        <w:rPr>
          <w:rFonts w:asciiTheme="majorBidi" w:hAnsiTheme="majorBidi" w:cstheme="majorBidi"/>
          <w:sz w:val="24"/>
          <w:szCs w:val="24"/>
        </w:rPr>
        <w:t xml:space="preserve"> </w:t>
      </w:r>
      <w:r w:rsidR="00360526" w:rsidRPr="001E0F2D">
        <w:rPr>
          <w:rFonts w:asciiTheme="majorBidi" w:hAnsiTheme="majorBidi" w:cstheme="majorBidi"/>
          <w:b/>
          <w:bCs/>
          <w:sz w:val="24"/>
          <w:szCs w:val="24"/>
        </w:rPr>
        <w:t>Table 1 Effect of storage period on the Aerobic Plate Count (APC) of ice creams</w:t>
      </w:r>
    </w:p>
    <w:tbl>
      <w:tblPr>
        <w:tblW w:w="7834" w:type="dxa"/>
        <w:jc w:val="center"/>
        <w:tblCellMar>
          <w:top w:w="15" w:type="dxa"/>
          <w:left w:w="15" w:type="dxa"/>
          <w:bottom w:w="15" w:type="dxa"/>
          <w:right w:w="15" w:type="dxa"/>
        </w:tblCellMar>
        <w:tblLook w:val="04A0" w:firstRow="1" w:lastRow="0" w:firstColumn="1" w:lastColumn="0" w:noHBand="0" w:noVBand="1"/>
      </w:tblPr>
      <w:tblGrid>
        <w:gridCol w:w="1817"/>
        <w:gridCol w:w="2126"/>
        <w:gridCol w:w="2126"/>
        <w:gridCol w:w="1765"/>
      </w:tblGrid>
      <w:tr w:rsidR="00360526" w:rsidRPr="001E0F2D" w14:paraId="7DFE1E48" w14:textId="77777777" w:rsidTr="00FC6A09">
        <w:trPr>
          <w:trHeight w:val="510"/>
          <w:jc w:val="center"/>
        </w:trPr>
        <w:tc>
          <w:tcPr>
            <w:tcW w:w="1817"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EEBC93" w14:textId="77777777" w:rsidR="00360526" w:rsidRPr="001E0F2D" w:rsidRDefault="00360526" w:rsidP="005A58DA">
            <w:pPr>
              <w:spacing w:after="0" w:line="276" w:lineRule="auto"/>
              <w:rPr>
                <w:rFonts w:asciiTheme="majorBidi" w:hAnsiTheme="majorBidi" w:cstheme="majorBidi"/>
                <w:b/>
                <w:bCs/>
                <w:sz w:val="24"/>
                <w:szCs w:val="24"/>
              </w:rPr>
            </w:pPr>
          </w:p>
          <w:p w14:paraId="3BC524ED"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Storage period</w:t>
            </w:r>
          </w:p>
          <w:p w14:paraId="15266F0E"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(Days)</w:t>
            </w:r>
          </w:p>
        </w:tc>
        <w:tc>
          <w:tcPr>
            <w:tcW w:w="425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7F2ADF" w14:textId="77777777" w:rsidR="00360526" w:rsidRPr="001E0F2D" w:rsidRDefault="00360526" w:rsidP="005A58DA">
            <w:pPr>
              <w:spacing w:after="0" w:line="276" w:lineRule="auto"/>
              <w:jc w:val="center"/>
              <w:rPr>
                <w:rFonts w:asciiTheme="majorBidi" w:hAnsiTheme="majorBidi" w:cstheme="majorBidi"/>
                <w:b/>
                <w:bCs/>
                <w:sz w:val="10"/>
                <w:szCs w:val="10"/>
              </w:rPr>
            </w:pPr>
          </w:p>
          <w:p w14:paraId="6F9CB574" w14:textId="77777777" w:rsidR="00360526" w:rsidRPr="001E0F2D" w:rsidRDefault="00360526" w:rsidP="005A58DA">
            <w:pPr>
              <w:spacing w:after="0" w:line="276" w:lineRule="auto"/>
              <w:jc w:val="center"/>
              <w:rPr>
                <w:rFonts w:asciiTheme="majorBidi" w:hAnsiTheme="majorBidi" w:cstheme="majorBidi"/>
                <w:b/>
                <w:bCs/>
                <w:sz w:val="24"/>
                <w:szCs w:val="24"/>
              </w:rPr>
            </w:pPr>
            <w:r w:rsidRPr="001E0F2D">
              <w:rPr>
                <w:rFonts w:asciiTheme="majorBidi" w:hAnsiTheme="majorBidi" w:cstheme="majorBidi"/>
                <w:b/>
                <w:bCs/>
                <w:sz w:val="24"/>
                <w:szCs w:val="24"/>
              </w:rPr>
              <w:t>APC (log</w:t>
            </w:r>
            <w:r w:rsidRPr="001E0F2D">
              <w:rPr>
                <w:rFonts w:asciiTheme="majorBidi" w:hAnsiTheme="majorBidi" w:cstheme="majorBidi"/>
                <w:b/>
                <w:bCs/>
                <w:sz w:val="24"/>
                <w:szCs w:val="24"/>
                <w:vertAlign w:val="subscript"/>
              </w:rPr>
              <w:t>10</w:t>
            </w:r>
            <w:r w:rsidRPr="001E0F2D">
              <w:rPr>
                <w:rFonts w:asciiTheme="majorBidi" w:hAnsiTheme="majorBidi" w:cstheme="majorBidi"/>
                <w:b/>
                <w:bCs/>
                <w:sz w:val="24"/>
                <w:szCs w:val="24"/>
              </w:rPr>
              <w:t xml:space="preserve"> CFU/g)</w:t>
            </w:r>
          </w:p>
        </w:tc>
        <w:tc>
          <w:tcPr>
            <w:tcW w:w="176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EA1A80" w14:textId="77777777" w:rsidR="00360526" w:rsidRPr="001E0F2D" w:rsidRDefault="00360526" w:rsidP="005A58DA">
            <w:pPr>
              <w:spacing w:after="0" w:line="276" w:lineRule="auto"/>
              <w:jc w:val="center"/>
              <w:rPr>
                <w:rFonts w:asciiTheme="majorBidi" w:hAnsiTheme="majorBidi" w:cstheme="majorBidi"/>
                <w:b/>
                <w:bCs/>
                <w:sz w:val="24"/>
                <w:szCs w:val="24"/>
              </w:rPr>
            </w:pPr>
          </w:p>
          <w:p w14:paraId="550787FA" w14:textId="77777777" w:rsidR="00360526" w:rsidRPr="001E0F2D" w:rsidRDefault="00360526" w:rsidP="005A58DA">
            <w:pPr>
              <w:spacing w:after="0" w:line="276" w:lineRule="auto"/>
              <w:jc w:val="center"/>
              <w:rPr>
                <w:rFonts w:asciiTheme="majorBidi" w:hAnsiTheme="majorBidi" w:cstheme="majorBidi"/>
                <w:b/>
                <w:bCs/>
                <w:sz w:val="24"/>
                <w:szCs w:val="24"/>
              </w:rPr>
            </w:pPr>
            <w:r w:rsidRPr="001E0F2D">
              <w:rPr>
                <w:rFonts w:asciiTheme="majorBidi" w:hAnsiTheme="majorBidi" w:cstheme="majorBidi"/>
                <w:b/>
                <w:bCs/>
                <w:sz w:val="24"/>
                <w:szCs w:val="24"/>
              </w:rPr>
              <w:t xml:space="preserve">Mean </w:t>
            </w:r>
          </w:p>
          <w:p w14:paraId="1CF855BE"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(Period)</w:t>
            </w:r>
          </w:p>
        </w:tc>
      </w:tr>
      <w:tr w:rsidR="00360526" w:rsidRPr="001E0F2D" w14:paraId="208B9FF5" w14:textId="77777777" w:rsidTr="00FC6A09">
        <w:trPr>
          <w:trHeight w:val="435"/>
          <w:jc w:val="center"/>
        </w:trPr>
        <w:tc>
          <w:tcPr>
            <w:tcW w:w="1817" w:type="dxa"/>
            <w:vMerge/>
            <w:tcBorders>
              <w:top w:val="single" w:sz="4" w:space="0" w:color="000000"/>
              <w:left w:val="single" w:sz="4" w:space="0" w:color="000000"/>
              <w:bottom w:val="single" w:sz="4" w:space="0" w:color="000000"/>
              <w:right w:val="single" w:sz="4" w:space="0" w:color="000000"/>
            </w:tcBorders>
            <w:hideMark/>
          </w:tcPr>
          <w:p w14:paraId="18DC9C35" w14:textId="77777777" w:rsidR="00360526" w:rsidRPr="001E0F2D" w:rsidRDefault="00360526" w:rsidP="005A58DA">
            <w:pPr>
              <w:spacing w:after="0" w:line="276" w:lineRule="auto"/>
              <w:jc w:val="center"/>
              <w:rPr>
                <w:rFonts w:asciiTheme="majorBidi" w:hAnsiTheme="majorBidi" w:cstheme="majorBidi"/>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614E08"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FFC</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9FB6C43"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MFE</w:t>
            </w: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4D751AA2" w14:textId="77777777" w:rsidR="00360526" w:rsidRPr="001E0F2D" w:rsidRDefault="00360526" w:rsidP="005A58DA">
            <w:pPr>
              <w:spacing w:after="0" w:line="276" w:lineRule="auto"/>
              <w:jc w:val="center"/>
              <w:rPr>
                <w:rFonts w:asciiTheme="majorBidi" w:hAnsiTheme="majorBidi" w:cstheme="majorBidi"/>
                <w:sz w:val="24"/>
                <w:szCs w:val="24"/>
              </w:rPr>
            </w:pPr>
          </w:p>
        </w:tc>
      </w:tr>
      <w:tr w:rsidR="00360526" w:rsidRPr="001E0F2D" w14:paraId="324F014F"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7842B15"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 xml:space="preserve">  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759D7F"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4.58</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27D4F1"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4.63</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213084"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4.60</w:t>
            </w:r>
          </w:p>
        </w:tc>
      </w:tr>
      <w:tr w:rsidR="00360526" w:rsidRPr="001E0F2D" w14:paraId="6CB90298"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BF206DF"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15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FE6451"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5B3FF4"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4.69</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B16D3F"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4.67</w:t>
            </w:r>
          </w:p>
        </w:tc>
      </w:tr>
      <w:tr w:rsidR="00360526" w:rsidRPr="001E0F2D" w14:paraId="5CB03539"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A5730A"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30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3AF6D0"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4.68</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1B5B8A"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4.71</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9365AC"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4.69</w:t>
            </w:r>
          </w:p>
        </w:tc>
      </w:tr>
      <w:tr w:rsidR="00360526" w:rsidRPr="001E0F2D" w14:paraId="507B04DC"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EF6BF52"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45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16910C"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4.73</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C72E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4.78</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495CD4"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4.76</w:t>
            </w:r>
          </w:p>
        </w:tc>
      </w:tr>
      <w:tr w:rsidR="00360526" w:rsidRPr="001E0F2D" w14:paraId="1722ED3D"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764F94"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60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D7AA92"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B779A8"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4.84</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C2FAF9"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4.82</w:t>
            </w:r>
          </w:p>
        </w:tc>
      </w:tr>
      <w:tr w:rsidR="00360526" w:rsidRPr="001E0F2D" w14:paraId="6967AF0A"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F3FB47"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75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FB9C8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B090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4.91</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9DC3A7"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4.88</w:t>
            </w:r>
          </w:p>
        </w:tc>
      </w:tr>
      <w:tr w:rsidR="00360526" w:rsidRPr="001E0F2D" w14:paraId="645FA7CC"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9B2F683"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Mean (Treatment)</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A7DE4C"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4.71</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07FA3A"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4.76</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175D3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w:t>
            </w:r>
          </w:p>
        </w:tc>
      </w:tr>
      <w:tr w:rsidR="00360526" w:rsidRPr="001E0F2D" w14:paraId="757454F6" w14:textId="77777777" w:rsidTr="005A58DA">
        <w:trPr>
          <w:trHeight w:val="161"/>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B52C61" w14:textId="77777777" w:rsidR="00360526" w:rsidRPr="001E0F2D" w:rsidRDefault="00360526" w:rsidP="005A58DA">
            <w:pPr>
              <w:spacing w:after="0" w:line="276" w:lineRule="auto"/>
              <w:jc w:val="center"/>
              <w:rPr>
                <w:rFonts w:asciiTheme="majorBidi" w:hAnsiTheme="majorBidi" w:cstheme="majorBidi"/>
                <w:sz w:val="24"/>
                <w:szCs w:val="24"/>
              </w:rPr>
            </w:pPr>
          </w:p>
        </w:tc>
      </w:tr>
      <w:tr w:rsidR="00360526" w:rsidRPr="001E0F2D" w14:paraId="18E1B25B"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EC4566"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Source of Variation</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2F206A"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Treatment (T)</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FB4B7E"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Period (P)</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8BD11B"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T × P</w:t>
            </w:r>
          </w:p>
        </w:tc>
      </w:tr>
      <w:tr w:rsidR="00360526" w:rsidRPr="001E0F2D" w14:paraId="2BC73C03"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58413B8"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SEm ±</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F538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0.05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7F0174"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0.08</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677A2F"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0.12</w:t>
            </w:r>
          </w:p>
        </w:tc>
      </w:tr>
      <w:tr w:rsidR="00360526" w:rsidRPr="001E0F2D" w14:paraId="2953695A"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555F7E3"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CD (0.05)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138D2B"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1B6BF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097ED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r>
      <w:tr w:rsidR="00360526" w:rsidRPr="001E0F2D" w14:paraId="75FD181E"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FFD6F78"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CV,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AA3D43"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4.89</w:t>
            </w:r>
          </w:p>
        </w:tc>
      </w:tr>
      <w:tr w:rsidR="00360526" w:rsidRPr="001E0F2D" w14:paraId="6BB94007" w14:textId="77777777" w:rsidTr="00FC6A09">
        <w:trPr>
          <w:trHeight w:val="435"/>
          <w:jc w:val="center"/>
        </w:trPr>
        <w:tc>
          <w:tcPr>
            <w:tcW w:w="7834"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931C81" w14:textId="77777777" w:rsidR="00360526" w:rsidRPr="001E0F2D" w:rsidRDefault="00360526" w:rsidP="005A58DA">
            <w:pPr>
              <w:spacing w:after="0" w:line="276" w:lineRule="auto"/>
              <w:jc w:val="both"/>
              <w:rPr>
                <w:rFonts w:asciiTheme="majorBidi" w:hAnsiTheme="majorBidi" w:cstheme="majorBidi"/>
              </w:rPr>
            </w:pPr>
            <w:r w:rsidRPr="001E0F2D">
              <w:rPr>
                <w:rFonts w:asciiTheme="majorBidi" w:hAnsiTheme="majorBidi" w:cstheme="majorBidi"/>
              </w:rPr>
              <w:t>FFC = Full-fat control ice cream; MFE = Medium-fat experimental ice cream</w:t>
            </w:r>
          </w:p>
        </w:tc>
      </w:tr>
    </w:tbl>
    <w:p w14:paraId="36BEA244" w14:textId="1CA5E363" w:rsidR="00754130" w:rsidRPr="001E0F2D" w:rsidRDefault="00754130" w:rsidP="00DF7BDA">
      <w:pPr>
        <w:spacing w:before="120" w:after="0" w:line="480" w:lineRule="auto"/>
        <w:rPr>
          <w:rFonts w:asciiTheme="majorBidi" w:hAnsiTheme="majorBidi" w:cstheme="majorBidi"/>
          <w:b/>
          <w:bCs/>
          <w:sz w:val="24"/>
          <w:szCs w:val="24"/>
        </w:rPr>
      </w:pPr>
      <w:r w:rsidRPr="001E0F2D">
        <w:rPr>
          <w:rFonts w:asciiTheme="majorBidi" w:hAnsiTheme="majorBidi" w:cstheme="majorBidi"/>
          <w:b/>
          <w:bCs/>
          <w:sz w:val="24"/>
          <w:szCs w:val="24"/>
        </w:rPr>
        <w:t>Table 2</w:t>
      </w:r>
      <w:r w:rsidR="005A58DA">
        <w:rPr>
          <w:rFonts w:asciiTheme="majorBidi" w:hAnsiTheme="majorBidi" w:cstheme="majorBidi"/>
          <w:b/>
          <w:bCs/>
          <w:sz w:val="24"/>
          <w:szCs w:val="24"/>
        </w:rPr>
        <w:t xml:space="preserve"> </w:t>
      </w:r>
      <w:r w:rsidRPr="001E0F2D">
        <w:rPr>
          <w:rFonts w:asciiTheme="majorBidi" w:hAnsiTheme="majorBidi" w:cstheme="majorBidi"/>
          <w:b/>
          <w:bCs/>
          <w:sz w:val="24"/>
          <w:szCs w:val="24"/>
        </w:rPr>
        <w:t>Changes in the yeast and mold count of ice creams during storage</w:t>
      </w:r>
    </w:p>
    <w:tbl>
      <w:tblPr>
        <w:tblStyle w:val="TableGrid"/>
        <w:tblW w:w="0" w:type="auto"/>
        <w:jc w:val="center"/>
        <w:tblLook w:val="04A0" w:firstRow="1" w:lastRow="0" w:firstColumn="1" w:lastColumn="0" w:noHBand="0" w:noVBand="1"/>
      </w:tblPr>
      <w:tblGrid>
        <w:gridCol w:w="1244"/>
        <w:gridCol w:w="1341"/>
        <w:gridCol w:w="1341"/>
        <w:gridCol w:w="1419"/>
        <w:gridCol w:w="1262"/>
        <w:gridCol w:w="1263"/>
        <w:gridCol w:w="1146"/>
      </w:tblGrid>
      <w:tr w:rsidR="00754130" w:rsidRPr="001E0F2D" w14:paraId="2CB921E0" w14:textId="77777777" w:rsidTr="00FC6A09">
        <w:trPr>
          <w:trHeight w:val="454"/>
          <w:jc w:val="center"/>
        </w:trPr>
        <w:tc>
          <w:tcPr>
            <w:tcW w:w="1559" w:type="dxa"/>
            <w:vMerge w:val="restart"/>
          </w:tcPr>
          <w:p w14:paraId="4A63E165" w14:textId="77777777" w:rsidR="00754130" w:rsidRPr="001E0F2D" w:rsidRDefault="00754130" w:rsidP="005A58DA">
            <w:pPr>
              <w:spacing w:line="276" w:lineRule="auto"/>
              <w:rPr>
                <w:rFonts w:asciiTheme="majorBidi" w:hAnsiTheme="majorBidi" w:cstheme="majorBidi"/>
                <w:b/>
                <w:sz w:val="24"/>
                <w:szCs w:val="24"/>
              </w:rPr>
            </w:pPr>
            <w:r w:rsidRPr="001E0F2D">
              <w:rPr>
                <w:rFonts w:asciiTheme="majorBidi" w:hAnsiTheme="majorBidi" w:cstheme="majorBidi"/>
                <w:b/>
                <w:sz w:val="24"/>
                <w:szCs w:val="24"/>
              </w:rPr>
              <w:t>Ice cream type</w:t>
            </w:r>
          </w:p>
        </w:tc>
        <w:tc>
          <w:tcPr>
            <w:tcW w:w="9923" w:type="dxa"/>
            <w:gridSpan w:val="6"/>
            <w:vAlign w:val="center"/>
          </w:tcPr>
          <w:p w14:paraId="74CABF99"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Yeast and Mold count (</w:t>
            </w:r>
            <w:r w:rsidRPr="001E0F2D">
              <w:rPr>
                <w:rFonts w:asciiTheme="majorBidi" w:hAnsiTheme="majorBidi" w:cstheme="majorBidi"/>
                <w:b/>
                <w:bCs/>
                <w:sz w:val="24"/>
                <w:szCs w:val="24"/>
              </w:rPr>
              <w:t>log</w:t>
            </w:r>
            <w:r w:rsidRPr="001E0F2D">
              <w:rPr>
                <w:rFonts w:asciiTheme="majorBidi" w:hAnsiTheme="majorBidi" w:cstheme="majorBidi"/>
                <w:b/>
                <w:bCs/>
                <w:sz w:val="24"/>
                <w:szCs w:val="24"/>
                <w:vertAlign w:val="subscript"/>
              </w:rPr>
              <w:t xml:space="preserve">10 </w:t>
            </w:r>
            <w:r w:rsidRPr="001E0F2D">
              <w:rPr>
                <w:rFonts w:asciiTheme="majorBidi" w:hAnsiTheme="majorBidi" w:cstheme="majorBidi"/>
                <w:b/>
                <w:sz w:val="24"/>
                <w:szCs w:val="24"/>
              </w:rPr>
              <w:t xml:space="preserve">CFU/g) of ice creams at </w:t>
            </w:r>
          </w:p>
          <w:p w14:paraId="21253D9B"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storage period (days)</w:t>
            </w:r>
          </w:p>
        </w:tc>
      </w:tr>
      <w:tr w:rsidR="00754130" w:rsidRPr="001E0F2D" w14:paraId="158DDB1E" w14:textId="77777777" w:rsidTr="00FC6A09">
        <w:trPr>
          <w:trHeight w:val="419"/>
          <w:jc w:val="center"/>
        </w:trPr>
        <w:tc>
          <w:tcPr>
            <w:tcW w:w="1559" w:type="dxa"/>
            <w:vMerge/>
          </w:tcPr>
          <w:p w14:paraId="55555B8D" w14:textId="77777777" w:rsidR="00754130" w:rsidRPr="001E0F2D" w:rsidRDefault="00754130" w:rsidP="005A58DA">
            <w:pPr>
              <w:spacing w:line="276" w:lineRule="auto"/>
              <w:rPr>
                <w:rFonts w:asciiTheme="majorBidi" w:hAnsiTheme="majorBidi" w:cstheme="majorBidi"/>
                <w:b/>
                <w:sz w:val="24"/>
                <w:szCs w:val="24"/>
              </w:rPr>
            </w:pPr>
          </w:p>
        </w:tc>
        <w:tc>
          <w:tcPr>
            <w:tcW w:w="1701" w:type="dxa"/>
            <w:vAlign w:val="center"/>
          </w:tcPr>
          <w:p w14:paraId="46A60D82"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0</w:t>
            </w:r>
          </w:p>
        </w:tc>
        <w:tc>
          <w:tcPr>
            <w:tcW w:w="1701" w:type="dxa"/>
            <w:vAlign w:val="center"/>
          </w:tcPr>
          <w:p w14:paraId="6B611388"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15</w:t>
            </w:r>
          </w:p>
        </w:tc>
        <w:tc>
          <w:tcPr>
            <w:tcW w:w="1843" w:type="dxa"/>
            <w:vAlign w:val="center"/>
          </w:tcPr>
          <w:p w14:paraId="06374A69"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30</w:t>
            </w:r>
          </w:p>
        </w:tc>
        <w:tc>
          <w:tcPr>
            <w:tcW w:w="1559" w:type="dxa"/>
            <w:vAlign w:val="center"/>
          </w:tcPr>
          <w:p w14:paraId="122E5751"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45</w:t>
            </w:r>
          </w:p>
        </w:tc>
        <w:tc>
          <w:tcPr>
            <w:tcW w:w="1560" w:type="dxa"/>
            <w:vAlign w:val="center"/>
          </w:tcPr>
          <w:p w14:paraId="16D8889C"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60</w:t>
            </w:r>
          </w:p>
        </w:tc>
        <w:tc>
          <w:tcPr>
            <w:tcW w:w="1559" w:type="dxa"/>
            <w:vAlign w:val="center"/>
          </w:tcPr>
          <w:p w14:paraId="0BFD7568"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75</w:t>
            </w:r>
          </w:p>
        </w:tc>
      </w:tr>
      <w:tr w:rsidR="00754130" w:rsidRPr="001E0F2D" w14:paraId="68432641" w14:textId="77777777" w:rsidTr="00FC6A09">
        <w:trPr>
          <w:trHeight w:val="737"/>
          <w:jc w:val="center"/>
        </w:trPr>
        <w:tc>
          <w:tcPr>
            <w:tcW w:w="1559" w:type="dxa"/>
            <w:vAlign w:val="center"/>
          </w:tcPr>
          <w:p w14:paraId="7E1BDA8C" w14:textId="77777777" w:rsidR="00754130" w:rsidRPr="001E0F2D" w:rsidRDefault="00754130" w:rsidP="005A58DA">
            <w:pPr>
              <w:spacing w:line="276" w:lineRule="auto"/>
              <w:rPr>
                <w:rFonts w:asciiTheme="majorBidi" w:hAnsiTheme="majorBidi" w:cstheme="majorBidi"/>
                <w:b/>
                <w:bCs/>
                <w:sz w:val="24"/>
                <w:szCs w:val="24"/>
              </w:rPr>
            </w:pPr>
            <w:r w:rsidRPr="001E0F2D">
              <w:rPr>
                <w:rFonts w:asciiTheme="majorBidi" w:hAnsiTheme="majorBidi" w:cstheme="majorBidi"/>
                <w:b/>
                <w:bCs/>
                <w:sz w:val="24"/>
                <w:szCs w:val="24"/>
              </w:rPr>
              <w:t>FFC</w:t>
            </w:r>
          </w:p>
        </w:tc>
        <w:tc>
          <w:tcPr>
            <w:tcW w:w="1701" w:type="dxa"/>
            <w:vAlign w:val="center"/>
          </w:tcPr>
          <w:p w14:paraId="0D9C261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701" w:type="dxa"/>
            <w:vAlign w:val="center"/>
          </w:tcPr>
          <w:p w14:paraId="3A6E3CAA"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843" w:type="dxa"/>
            <w:vAlign w:val="center"/>
          </w:tcPr>
          <w:p w14:paraId="321A065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59" w:type="dxa"/>
            <w:vAlign w:val="center"/>
          </w:tcPr>
          <w:p w14:paraId="2B724DD7"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60" w:type="dxa"/>
            <w:vAlign w:val="center"/>
          </w:tcPr>
          <w:p w14:paraId="5B20EBD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59" w:type="dxa"/>
            <w:vAlign w:val="center"/>
          </w:tcPr>
          <w:p w14:paraId="1904CD42"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1.08</w:t>
            </w:r>
          </w:p>
        </w:tc>
      </w:tr>
      <w:tr w:rsidR="00754130" w:rsidRPr="001E0F2D" w14:paraId="7A4D9E6F" w14:textId="77777777" w:rsidTr="00FC6A09">
        <w:trPr>
          <w:trHeight w:val="737"/>
          <w:jc w:val="center"/>
        </w:trPr>
        <w:tc>
          <w:tcPr>
            <w:tcW w:w="1559" w:type="dxa"/>
            <w:vAlign w:val="center"/>
          </w:tcPr>
          <w:p w14:paraId="731F7E2D" w14:textId="77777777" w:rsidR="00754130" w:rsidRPr="001E0F2D" w:rsidRDefault="00754130" w:rsidP="005A58DA">
            <w:pPr>
              <w:spacing w:line="276" w:lineRule="auto"/>
              <w:rPr>
                <w:rFonts w:asciiTheme="majorBidi" w:hAnsiTheme="majorBidi" w:cstheme="majorBidi"/>
                <w:b/>
                <w:bCs/>
                <w:sz w:val="24"/>
                <w:szCs w:val="24"/>
              </w:rPr>
            </w:pPr>
            <w:r w:rsidRPr="001E0F2D">
              <w:rPr>
                <w:rFonts w:asciiTheme="majorBidi" w:hAnsiTheme="majorBidi" w:cstheme="majorBidi"/>
                <w:b/>
                <w:bCs/>
                <w:sz w:val="24"/>
                <w:szCs w:val="24"/>
              </w:rPr>
              <w:t>MFE</w:t>
            </w:r>
          </w:p>
        </w:tc>
        <w:tc>
          <w:tcPr>
            <w:tcW w:w="1701" w:type="dxa"/>
            <w:vAlign w:val="center"/>
          </w:tcPr>
          <w:p w14:paraId="1A387A23"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701" w:type="dxa"/>
            <w:vAlign w:val="center"/>
          </w:tcPr>
          <w:p w14:paraId="03B258E0"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843" w:type="dxa"/>
            <w:vAlign w:val="center"/>
          </w:tcPr>
          <w:p w14:paraId="6C0839C7"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59" w:type="dxa"/>
            <w:vAlign w:val="center"/>
          </w:tcPr>
          <w:p w14:paraId="129D6E2C"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60" w:type="dxa"/>
            <w:vAlign w:val="center"/>
          </w:tcPr>
          <w:p w14:paraId="3C98509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59" w:type="dxa"/>
            <w:vAlign w:val="center"/>
          </w:tcPr>
          <w:p w14:paraId="3A58C36A"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1.13</w:t>
            </w:r>
          </w:p>
        </w:tc>
      </w:tr>
      <w:tr w:rsidR="00754130" w:rsidRPr="001E0F2D" w14:paraId="0FA22AB9" w14:textId="77777777" w:rsidTr="00FC6A09">
        <w:trPr>
          <w:trHeight w:val="283"/>
          <w:jc w:val="center"/>
        </w:trPr>
        <w:tc>
          <w:tcPr>
            <w:tcW w:w="11482" w:type="dxa"/>
            <w:gridSpan w:val="7"/>
            <w:vAlign w:val="center"/>
          </w:tcPr>
          <w:p w14:paraId="0EC3FBDE" w14:textId="77777777" w:rsidR="00754130" w:rsidRPr="001E0F2D" w:rsidRDefault="00754130" w:rsidP="005A58DA">
            <w:pPr>
              <w:spacing w:before="120" w:line="276" w:lineRule="auto"/>
              <w:jc w:val="both"/>
              <w:rPr>
                <w:rFonts w:asciiTheme="majorBidi" w:hAnsiTheme="majorBidi" w:cstheme="majorBidi"/>
              </w:rPr>
            </w:pPr>
            <w:r w:rsidRPr="001E0F2D">
              <w:rPr>
                <w:rFonts w:asciiTheme="majorBidi" w:hAnsiTheme="majorBidi" w:cstheme="majorBidi"/>
              </w:rPr>
              <w:t>FFC = Full-fat control ice cream; MFE = Medium-fat experimental ice cream</w:t>
            </w:r>
          </w:p>
        </w:tc>
      </w:tr>
    </w:tbl>
    <w:p w14:paraId="2DF1F7DD" w14:textId="77777777" w:rsidR="00754130" w:rsidRPr="00145983" w:rsidRDefault="00754130" w:rsidP="00DF7BDA">
      <w:pPr>
        <w:spacing w:line="480" w:lineRule="auto"/>
        <w:jc w:val="both"/>
        <w:rPr>
          <w:rFonts w:asciiTheme="majorBidi" w:hAnsiTheme="majorBidi" w:cstheme="majorBidi"/>
          <w:sz w:val="24"/>
          <w:szCs w:val="24"/>
        </w:rPr>
      </w:pPr>
    </w:p>
    <w:sectPr w:rsidR="00754130" w:rsidRPr="00145983" w:rsidSect="00ED70D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C002D" w14:textId="77777777" w:rsidR="00284D4B" w:rsidRDefault="00284D4B" w:rsidP="00ED70D1">
      <w:pPr>
        <w:spacing w:after="0" w:line="240" w:lineRule="auto"/>
      </w:pPr>
      <w:r>
        <w:separator/>
      </w:r>
    </w:p>
  </w:endnote>
  <w:endnote w:type="continuationSeparator" w:id="0">
    <w:p w14:paraId="16F59B80" w14:textId="77777777" w:rsidR="00284D4B" w:rsidRDefault="00284D4B" w:rsidP="00ED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0E02" w14:textId="77777777" w:rsidR="00ED70D1" w:rsidRDefault="00ED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6B2D" w14:textId="77777777" w:rsidR="00ED70D1" w:rsidRDefault="00ED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FD38" w14:textId="77777777" w:rsidR="00ED70D1" w:rsidRDefault="00ED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AC035" w14:textId="77777777" w:rsidR="00284D4B" w:rsidRDefault="00284D4B" w:rsidP="00ED70D1">
      <w:pPr>
        <w:spacing w:after="0" w:line="240" w:lineRule="auto"/>
      </w:pPr>
      <w:r>
        <w:separator/>
      </w:r>
    </w:p>
  </w:footnote>
  <w:footnote w:type="continuationSeparator" w:id="0">
    <w:p w14:paraId="3D3E7999" w14:textId="77777777" w:rsidR="00284D4B" w:rsidRDefault="00284D4B" w:rsidP="00ED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D37B" w14:textId="50B96FBE" w:rsidR="00ED70D1" w:rsidRDefault="00ED70D1">
    <w:pPr>
      <w:pStyle w:val="Header"/>
    </w:pPr>
    <w:r>
      <w:rPr>
        <w:noProof/>
      </w:rPr>
      <w:pict w14:anchorId="43DB5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F367" w14:textId="7301EDF4" w:rsidR="00ED70D1" w:rsidRDefault="00ED70D1">
    <w:pPr>
      <w:pStyle w:val="Header"/>
    </w:pPr>
    <w:r>
      <w:rPr>
        <w:noProof/>
      </w:rPr>
      <w:pict w14:anchorId="771B7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CB1A" w14:textId="691D4571" w:rsidR="00ED70D1" w:rsidRDefault="00ED70D1">
    <w:pPr>
      <w:pStyle w:val="Header"/>
    </w:pPr>
    <w:r>
      <w:rPr>
        <w:noProof/>
      </w:rPr>
      <w:pict w14:anchorId="198D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7D0F"/>
    <w:multiLevelType w:val="hybridMultilevel"/>
    <w:tmpl w:val="2D881F02"/>
    <w:lvl w:ilvl="0" w:tplc="F84AB9A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CE24A5"/>
    <w:multiLevelType w:val="hybridMultilevel"/>
    <w:tmpl w:val="FE6869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B"/>
    <w:rsid w:val="000517DE"/>
    <w:rsid w:val="00137FF8"/>
    <w:rsid w:val="00145983"/>
    <w:rsid w:val="001D3B08"/>
    <w:rsid w:val="00212966"/>
    <w:rsid w:val="0024769B"/>
    <w:rsid w:val="00250134"/>
    <w:rsid w:val="00284D4B"/>
    <w:rsid w:val="003168AC"/>
    <w:rsid w:val="00324A6B"/>
    <w:rsid w:val="00347279"/>
    <w:rsid w:val="003543E4"/>
    <w:rsid w:val="00355AC9"/>
    <w:rsid w:val="00360526"/>
    <w:rsid w:val="003642F2"/>
    <w:rsid w:val="00367C76"/>
    <w:rsid w:val="00375258"/>
    <w:rsid w:val="00410092"/>
    <w:rsid w:val="004B1412"/>
    <w:rsid w:val="00536C21"/>
    <w:rsid w:val="0054300F"/>
    <w:rsid w:val="0054581C"/>
    <w:rsid w:val="005A58DA"/>
    <w:rsid w:val="00617734"/>
    <w:rsid w:val="00621DF7"/>
    <w:rsid w:val="00730434"/>
    <w:rsid w:val="0074204A"/>
    <w:rsid w:val="00754130"/>
    <w:rsid w:val="007F317D"/>
    <w:rsid w:val="0098693B"/>
    <w:rsid w:val="009B0D88"/>
    <w:rsid w:val="00A164AF"/>
    <w:rsid w:val="00A45501"/>
    <w:rsid w:val="00AC3FF6"/>
    <w:rsid w:val="00B063B2"/>
    <w:rsid w:val="00B301FF"/>
    <w:rsid w:val="00B74125"/>
    <w:rsid w:val="00B8143F"/>
    <w:rsid w:val="00BD7E5F"/>
    <w:rsid w:val="00C332D2"/>
    <w:rsid w:val="00C8599E"/>
    <w:rsid w:val="00DE63BE"/>
    <w:rsid w:val="00DF7BDA"/>
    <w:rsid w:val="00E26010"/>
    <w:rsid w:val="00E4416E"/>
    <w:rsid w:val="00E71668"/>
    <w:rsid w:val="00ED70D1"/>
    <w:rsid w:val="00EE243B"/>
    <w:rsid w:val="00FA50ED"/>
    <w:rsid w:val="00FF03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CEED66"/>
  <w15:chartTrackingRefBased/>
  <w15:docId w15:val="{6C3A7738-358E-4FD5-877E-8675723F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E2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E2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E2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2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3B"/>
    <w:rPr>
      <w:rFonts w:eastAsiaTheme="majorEastAsia" w:cstheme="majorBidi"/>
      <w:color w:val="272727" w:themeColor="text1" w:themeTint="D8"/>
    </w:rPr>
  </w:style>
  <w:style w:type="paragraph" w:styleId="Title">
    <w:name w:val="Title"/>
    <w:basedOn w:val="Normal"/>
    <w:next w:val="Normal"/>
    <w:link w:val="TitleChar"/>
    <w:uiPriority w:val="10"/>
    <w:qFormat/>
    <w:rsid w:val="00EE2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3B"/>
    <w:pPr>
      <w:spacing w:before="160"/>
      <w:jc w:val="center"/>
    </w:pPr>
    <w:rPr>
      <w:i/>
      <w:iCs/>
      <w:color w:val="404040" w:themeColor="text1" w:themeTint="BF"/>
    </w:rPr>
  </w:style>
  <w:style w:type="character" w:customStyle="1" w:styleId="QuoteChar">
    <w:name w:val="Quote Char"/>
    <w:basedOn w:val="DefaultParagraphFont"/>
    <w:link w:val="Quote"/>
    <w:uiPriority w:val="29"/>
    <w:rsid w:val="00EE243B"/>
    <w:rPr>
      <w:i/>
      <w:iCs/>
      <w:color w:val="404040" w:themeColor="text1" w:themeTint="BF"/>
    </w:rPr>
  </w:style>
  <w:style w:type="paragraph" w:styleId="ListParagraph">
    <w:name w:val="List Paragraph"/>
    <w:basedOn w:val="Normal"/>
    <w:uiPriority w:val="34"/>
    <w:qFormat/>
    <w:rsid w:val="00EE243B"/>
    <w:pPr>
      <w:ind w:left="720"/>
      <w:contextualSpacing/>
    </w:pPr>
  </w:style>
  <w:style w:type="character" w:styleId="IntenseEmphasis">
    <w:name w:val="Intense Emphasis"/>
    <w:basedOn w:val="DefaultParagraphFont"/>
    <w:uiPriority w:val="21"/>
    <w:qFormat/>
    <w:rsid w:val="00EE243B"/>
    <w:rPr>
      <w:i/>
      <w:iCs/>
      <w:color w:val="2F5496" w:themeColor="accent1" w:themeShade="BF"/>
    </w:rPr>
  </w:style>
  <w:style w:type="paragraph" w:styleId="IntenseQuote">
    <w:name w:val="Intense Quote"/>
    <w:basedOn w:val="Normal"/>
    <w:next w:val="Normal"/>
    <w:link w:val="IntenseQuoteChar"/>
    <w:uiPriority w:val="30"/>
    <w:qFormat/>
    <w:rsid w:val="00EE2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43B"/>
    <w:rPr>
      <w:i/>
      <w:iCs/>
      <w:color w:val="2F5496" w:themeColor="accent1" w:themeShade="BF"/>
    </w:rPr>
  </w:style>
  <w:style w:type="character" w:styleId="IntenseReference">
    <w:name w:val="Intense Reference"/>
    <w:basedOn w:val="DefaultParagraphFont"/>
    <w:uiPriority w:val="32"/>
    <w:qFormat/>
    <w:rsid w:val="00EE243B"/>
    <w:rPr>
      <w:b/>
      <w:bCs/>
      <w:smallCaps/>
      <w:color w:val="2F5496" w:themeColor="accent1" w:themeShade="BF"/>
      <w:spacing w:val="5"/>
    </w:rPr>
  </w:style>
  <w:style w:type="character" w:styleId="Hyperlink">
    <w:name w:val="Hyperlink"/>
    <w:basedOn w:val="DefaultParagraphFont"/>
    <w:uiPriority w:val="99"/>
    <w:unhideWhenUsed/>
    <w:rsid w:val="00536C21"/>
    <w:rPr>
      <w:color w:val="0000FF"/>
      <w:u w:val="single"/>
    </w:rPr>
  </w:style>
  <w:style w:type="character" w:styleId="UnresolvedMention">
    <w:name w:val="Unresolved Mention"/>
    <w:basedOn w:val="DefaultParagraphFont"/>
    <w:uiPriority w:val="99"/>
    <w:semiHidden/>
    <w:unhideWhenUsed/>
    <w:rsid w:val="00C8599E"/>
    <w:rPr>
      <w:color w:val="605E5C"/>
      <w:shd w:val="clear" w:color="auto" w:fill="E1DFDD"/>
    </w:rPr>
  </w:style>
  <w:style w:type="paragraph" w:styleId="NormalWeb">
    <w:name w:val="Normal (Web)"/>
    <w:basedOn w:val="Normal"/>
    <w:uiPriority w:val="99"/>
    <w:semiHidden/>
    <w:unhideWhenUsed/>
    <w:rsid w:val="0074204A"/>
    <w:rPr>
      <w:rFonts w:ascii="Times New Roman" w:hAnsi="Times New Roman" w:cs="Times New Roman"/>
      <w:sz w:val="24"/>
      <w:szCs w:val="24"/>
    </w:rPr>
  </w:style>
  <w:style w:type="table" w:styleId="TableGrid">
    <w:name w:val="Table Grid"/>
    <w:basedOn w:val="TableNormal"/>
    <w:uiPriority w:val="39"/>
    <w:rsid w:val="007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7BDA"/>
  </w:style>
  <w:style w:type="character" w:styleId="Emphasis">
    <w:name w:val="Emphasis"/>
    <w:basedOn w:val="DefaultParagraphFont"/>
    <w:uiPriority w:val="20"/>
    <w:qFormat/>
    <w:rsid w:val="005A58DA"/>
    <w:rPr>
      <w:i/>
      <w:iCs/>
    </w:rPr>
  </w:style>
  <w:style w:type="paragraph" w:styleId="Header">
    <w:name w:val="header"/>
    <w:basedOn w:val="Normal"/>
    <w:link w:val="HeaderChar"/>
    <w:uiPriority w:val="99"/>
    <w:unhideWhenUsed/>
    <w:rsid w:val="00ED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D1"/>
  </w:style>
  <w:style w:type="paragraph" w:styleId="Footer">
    <w:name w:val="footer"/>
    <w:basedOn w:val="Normal"/>
    <w:link w:val="FooterChar"/>
    <w:uiPriority w:val="99"/>
    <w:unhideWhenUsed/>
    <w:rsid w:val="00ED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05923">
      <w:bodyDiv w:val="1"/>
      <w:marLeft w:val="0"/>
      <w:marRight w:val="0"/>
      <w:marTop w:val="0"/>
      <w:marBottom w:val="0"/>
      <w:divBdr>
        <w:top w:val="none" w:sz="0" w:space="0" w:color="auto"/>
        <w:left w:val="none" w:sz="0" w:space="0" w:color="auto"/>
        <w:bottom w:val="none" w:sz="0" w:space="0" w:color="auto"/>
        <w:right w:val="none" w:sz="0" w:space="0" w:color="auto"/>
      </w:divBdr>
    </w:div>
    <w:div w:id="347103017">
      <w:bodyDiv w:val="1"/>
      <w:marLeft w:val="0"/>
      <w:marRight w:val="0"/>
      <w:marTop w:val="0"/>
      <w:marBottom w:val="0"/>
      <w:divBdr>
        <w:top w:val="none" w:sz="0" w:space="0" w:color="auto"/>
        <w:left w:val="none" w:sz="0" w:space="0" w:color="auto"/>
        <w:bottom w:val="none" w:sz="0" w:space="0" w:color="auto"/>
        <w:right w:val="none" w:sz="0" w:space="0" w:color="auto"/>
      </w:divBdr>
    </w:div>
    <w:div w:id="978458201">
      <w:bodyDiv w:val="1"/>
      <w:marLeft w:val="0"/>
      <w:marRight w:val="0"/>
      <w:marTop w:val="0"/>
      <w:marBottom w:val="0"/>
      <w:divBdr>
        <w:top w:val="none" w:sz="0" w:space="0" w:color="auto"/>
        <w:left w:val="none" w:sz="0" w:space="0" w:color="auto"/>
        <w:bottom w:val="none" w:sz="0" w:space="0" w:color="auto"/>
        <w:right w:val="none" w:sz="0" w:space="0" w:color="auto"/>
      </w:divBdr>
    </w:div>
    <w:div w:id="1115826807">
      <w:bodyDiv w:val="1"/>
      <w:marLeft w:val="0"/>
      <w:marRight w:val="0"/>
      <w:marTop w:val="0"/>
      <w:marBottom w:val="0"/>
      <w:divBdr>
        <w:top w:val="none" w:sz="0" w:space="0" w:color="auto"/>
        <w:left w:val="none" w:sz="0" w:space="0" w:color="auto"/>
        <w:bottom w:val="none" w:sz="0" w:space="0" w:color="auto"/>
        <w:right w:val="none" w:sz="0" w:space="0" w:color="auto"/>
      </w:divBdr>
    </w:div>
    <w:div w:id="1307398124">
      <w:bodyDiv w:val="1"/>
      <w:marLeft w:val="0"/>
      <w:marRight w:val="0"/>
      <w:marTop w:val="0"/>
      <w:marBottom w:val="0"/>
      <w:divBdr>
        <w:top w:val="none" w:sz="0" w:space="0" w:color="auto"/>
        <w:left w:val="none" w:sz="0" w:space="0" w:color="auto"/>
        <w:bottom w:val="none" w:sz="0" w:space="0" w:color="auto"/>
        <w:right w:val="none" w:sz="0" w:space="0" w:color="auto"/>
      </w:divBdr>
    </w:div>
    <w:div w:id="1445032023">
      <w:bodyDiv w:val="1"/>
      <w:marLeft w:val="0"/>
      <w:marRight w:val="0"/>
      <w:marTop w:val="0"/>
      <w:marBottom w:val="0"/>
      <w:divBdr>
        <w:top w:val="none" w:sz="0" w:space="0" w:color="auto"/>
        <w:left w:val="none" w:sz="0" w:space="0" w:color="auto"/>
        <w:bottom w:val="none" w:sz="0" w:space="0" w:color="auto"/>
        <w:right w:val="none" w:sz="0" w:space="0" w:color="auto"/>
      </w:divBdr>
    </w:div>
    <w:div w:id="1804230890">
      <w:bodyDiv w:val="1"/>
      <w:marLeft w:val="0"/>
      <w:marRight w:val="0"/>
      <w:marTop w:val="0"/>
      <w:marBottom w:val="0"/>
      <w:divBdr>
        <w:top w:val="none" w:sz="0" w:space="0" w:color="auto"/>
        <w:left w:val="none" w:sz="0" w:space="0" w:color="auto"/>
        <w:bottom w:val="none" w:sz="0" w:space="0" w:color="auto"/>
        <w:right w:val="none" w:sz="0" w:space="0" w:color="auto"/>
      </w:divBdr>
    </w:div>
    <w:div w:id="1901165628">
      <w:bodyDiv w:val="1"/>
      <w:marLeft w:val="0"/>
      <w:marRight w:val="0"/>
      <w:marTop w:val="0"/>
      <w:marBottom w:val="0"/>
      <w:divBdr>
        <w:top w:val="none" w:sz="0" w:space="0" w:color="auto"/>
        <w:left w:val="none" w:sz="0" w:space="0" w:color="auto"/>
        <w:bottom w:val="none" w:sz="0" w:space="0" w:color="auto"/>
        <w:right w:val="none" w:sz="0" w:space="0" w:color="auto"/>
      </w:divBdr>
    </w:div>
    <w:div w:id="1941450549">
      <w:bodyDiv w:val="1"/>
      <w:marLeft w:val="0"/>
      <w:marRight w:val="0"/>
      <w:marTop w:val="0"/>
      <w:marBottom w:val="0"/>
      <w:divBdr>
        <w:top w:val="none" w:sz="0" w:space="0" w:color="auto"/>
        <w:left w:val="none" w:sz="0" w:space="0" w:color="auto"/>
        <w:bottom w:val="none" w:sz="0" w:space="0" w:color="auto"/>
        <w:right w:val="none" w:sz="0" w:space="0" w:color="auto"/>
      </w:divBdr>
    </w:div>
    <w:div w:id="20190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sai.gov.in/upload/uploadfiles/files/Manual_of_Methods_of_Analysis_Microbiological_Examination_Food_Water_17_05_2024.pdf" TargetMode="External"/><Relationship Id="rId18" Type="http://schemas.openxmlformats.org/officeDocument/2006/relationships/hyperlink" Target="https://doi.org/10.1007/978-1-4615-0163-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app12041988" TargetMode="External"/><Relationship Id="rId7" Type="http://schemas.openxmlformats.org/officeDocument/2006/relationships/hyperlink" Target="https://doi.org/10.1111/1471-0307.70034" TargetMode="External"/><Relationship Id="rId12" Type="http://schemas.openxmlformats.org/officeDocument/2006/relationships/hyperlink" Target="https://doi.org/10.9734/jsrr/2024/v30i92352" TargetMode="External"/><Relationship Id="rId17" Type="http://schemas.openxmlformats.org/officeDocument/2006/relationships/hyperlink" Target="https://doi.org/10.5897/AJFSX11.003" TargetMode="External"/><Relationship Id="rId25" Type="http://schemas.openxmlformats.org/officeDocument/2006/relationships/hyperlink" Target="https://timesofindia.indiatimes.com/city/vadodara/india-dominates-global-banana-production-gujarat-leads-in-productivity/articleshow/114990000.cm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rgipark.org.tr/en/download/article-file/12600" TargetMode="External"/><Relationship Id="rId20" Type="http://schemas.openxmlformats.org/officeDocument/2006/relationships/hyperlink" Target="https://doi.org/10.4236/fns.2023.14704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onutboard.nic.in" TargetMode="External"/><Relationship Id="rId24" Type="http://schemas.openxmlformats.org/officeDocument/2006/relationships/hyperlink" Target="https://doi.org/10.1051/fruits/201200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031-77872-8_9" TargetMode="External"/><Relationship Id="rId23" Type="http://schemas.openxmlformats.org/officeDocument/2006/relationships/hyperlink" Target="https://doi.org/10.1155/2021/6661193" TargetMode="External"/><Relationship Id="rId28" Type="http://schemas.openxmlformats.org/officeDocument/2006/relationships/footer" Target="footer1.xml"/><Relationship Id="rId10" Type="http://schemas.openxmlformats.org/officeDocument/2006/relationships/hyperlink" Target="https://doi.org/10.1016/j.foodchem.2011.01.104" TargetMode="External"/><Relationship Id="rId19" Type="http://schemas.openxmlformats.org/officeDocument/2006/relationships/hyperlink" Target="http://nopr.niscpr.res.in/handle/123456789/858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fst.valahia.ro" TargetMode="External"/><Relationship Id="rId14" Type="http://schemas.openxmlformats.org/officeDocument/2006/relationships/hyperlink" Target="https://www.fssai.gov.in/upload/uploadfiles/files/Food_Products_Standards_Food_Additives_Regulations_08_09_2020.pdf" TargetMode="External"/><Relationship Id="rId22" Type="http://schemas.openxmlformats.org/officeDocument/2006/relationships/hyperlink" Target="https://www.researchgate.net/publication/280920000_Hygienic_and_Microbiological_aspects_of_Ice_Crea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38/s41598-024-697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19</Pages>
  <Words>5137</Words>
  <Characters>29283</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Microbiological Analysis</vt:lpstr>
      <vt:lpstr>        Aerobic Plate Count (APC)</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Khokhariya</dc:creator>
  <cp:keywords/>
  <dc:description/>
  <cp:lastModifiedBy>SDI 1084</cp:lastModifiedBy>
  <cp:revision>29</cp:revision>
  <dcterms:created xsi:type="dcterms:W3CDTF">2025-12-19T05:45:00Z</dcterms:created>
  <dcterms:modified xsi:type="dcterms:W3CDTF">2025-12-20T10:39:00Z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c7804f52-1f2d-492a-a4bd-d34446c96dc5</vt:lpwstr>
  </property>
</Properties>
</file>