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35DAD" w14:textId="77777777" w:rsidR="00C234D2" w:rsidRPr="00C234D2" w:rsidRDefault="00C234D2" w:rsidP="00C234D2">
      <w:pPr>
        <w:spacing w:before="100" w:beforeAutospacing="1" w:after="100" w:afterAutospacing="1" w:line="240" w:lineRule="auto"/>
        <w:jc w:val="center"/>
        <w:outlineLvl w:val="1"/>
        <w:rPr>
          <w:rFonts w:ascii="Times New Roman" w:eastAsia="Times New Roman" w:hAnsi="Times New Roman" w:cs="Times New Roman"/>
          <w:b/>
          <w:bCs/>
          <w:i/>
          <w:iCs/>
          <w:kern w:val="0"/>
          <w:sz w:val="36"/>
          <w:szCs w:val="36"/>
          <w:u w:val="single"/>
          <w:lang w:val="en-US" w:eastAsia="en-IN"/>
          <w14:ligatures w14:val="none"/>
        </w:rPr>
      </w:pPr>
      <w:bookmarkStart w:id="0" w:name="_Hlk219880375"/>
      <w:bookmarkStart w:id="1" w:name="_GoBack"/>
      <w:bookmarkEnd w:id="1"/>
      <w:r w:rsidRPr="00C234D2">
        <w:rPr>
          <w:rFonts w:ascii="Times New Roman" w:eastAsia="Times New Roman" w:hAnsi="Times New Roman" w:cs="Times New Roman"/>
          <w:b/>
          <w:bCs/>
          <w:i/>
          <w:iCs/>
          <w:kern w:val="0"/>
          <w:sz w:val="36"/>
          <w:szCs w:val="36"/>
          <w:u w:val="single"/>
          <w:lang w:val="en-US" w:eastAsia="en-IN"/>
          <w14:ligatures w14:val="none"/>
        </w:rPr>
        <w:t>Review Article</w:t>
      </w:r>
    </w:p>
    <w:p w14:paraId="34733C88" w14:textId="6E71835F" w:rsidR="00451F19" w:rsidRDefault="004502EB" w:rsidP="00F6642B">
      <w:pPr>
        <w:spacing w:before="100" w:beforeAutospacing="1" w:after="100" w:afterAutospacing="1" w:line="240" w:lineRule="auto"/>
        <w:jc w:val="center"/>
        <w:outlineLvl w:val="1"/>
        <w:rPr>
          <w:b/>
          <w:bCs/>
          <w:sz w:val="28"/>
          <w:szCs w:val="28"/>
        </w:rPr>
      </w:pPr>
      <w:r w:rsidRPr="00F6642B">
        <w:rPr>
          <w:rFonts w:ascii="Times New Roman" w:eastAsia="Times New Roman" w:hAnsi="Times New Roman" w:cs="Times New Roman"/>
          <w:b/>
          <w:bCs/>
          <w:kern w:val="0"/>
          <w:sz w:val="36"/>
          <w:szCs w:val="36"/>
          <w:lang w:eastAsia="en-IN"/>
          <w14:ligatures w14:val="none"/>
        </w:rPr>
        <w:t>A Review of Cultivation Practices and Therapeutic Applications of Ethnomedicinal Plants in India</w:t>
      </w:r>
      <w:bookmarkEnd w:id="0"/>
    </w:p>
    <w:p w14:paraId="2D239175" w14:textId="77777777" w:rsidR="00451F19" w:rsidRPr="00451F19" w:rsidRDefault="00451F19"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Abstract</w:t>
      </w:r>
    </w:p>
    <w:p w14:paraId="4890017B" w14:textId="406A17BF"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India’s ethnomedicinal heritage is sustained by an exceptional diversity of medicinal plant species used in household healthcare, community-based traditional healing, and codified systems such as Ayurveda, Siddha, and Unani. In parallel with rising domestic and global demand for botanical therapeutics, cultivation has become a central strategy to reduce pressure on wild populations while improving supply reliability, quality, and traceability. However, the therapeutic promise of ethnomedicinal plants is inseparable from agronomy and post-harvest management, because genotype, environment, cultivation inputs, harvest timing, and processing collectively shape phytochemical composition, safety, and clinical performance. This review synthesizes recent evidence on cultivation and value-chain practices relevant to Indian ethnomedicinal plants and critically examines therapeutic applications with emphasis on translational and clinical evidence. The review highlights cultivation determinants of quality (planting material, agroecological matching, soil–water management, pest and disease control, harvest indices, drying and storage), analytical quality assurance (marker-based methods, chromatographic fingerprints, and DNA-based authentication), and safety risks (heavy metals, adulteration, and herb-induced liver injury). Therapeutic applications are discussed through representative examples spanning stress and mental health, inflammation and musculoskeletal disorders, metabolic health, immunomodulation, and hepatoprotection, illustrating how </w:t>
      </w:r>
      <w:r w:rsidR="00717E34">
        <w:rPr>
          <w:rFonts w:ascii="Times New Roman" w:eastAsia="Times New Roman" w:hAnsi="Times New Roman" w:cs="Times New Roman"/>
          <w:kern w:val="0"/>
          <w:sz w:val="24"/>
          <w:szCs w:val="24"/>
          <w:lang w:eastAsia="en-IN"/>
          <w14:ligatures w14:val="none"/>
        </w:rPr>
        <w:t>the strength of evidence varies by indication and preparation standardisation</w:t>
      </w:r>
      <w:r w:rsidRPr="00451F19">
        <w:rPr>
          <w:rFonts w:ascii="Times New Roman" w:eastAsia="Times New Roman" w:hAnsi="Times New Roman" w:cs="Times New Roman"/>
          <w:kern w:val="0"/>
          <w:sz w:val="24"/>
          <w:szCs w:val="24"/>
          <w:lang w:eastAsia="en-IN"/>
          <w14:ligatures w14:val="none"/>
        </w:rPr>
        <w:t>. The review concludes by proposing integrative directions for India’s ethnomedicinal plant sector, including climate-resilient cultivation, community-centric benefit sharing, pharmacopeial alignment, and stronger pharmacovigilance to ensure safe, reproducible, and ethically grounded botanical therapeutics.</w:t>
      </w:r>
    </w:p>
    <w:p w14:paraId="240A0B32" w14:textId="3516C06A" w:rsidR="00451F19" w:rsidRPr="00451F19" w:rsidRDefault="00451F19" w:rsidP="00717E3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Keywords:</w:t>
      </w:r>
      <w:r w:rsidRPr="00451F19">
        <w:rPr>
          <w:rFonts w:ascii="Times New Roman" w:eastAsia="Times New Roman" w:hAnsi="Times New Roman" w:cs="Times New Roman"/>
          <w:kern w:val="0"/>
          <w:sz w:val="24"/>
          <w:szCs w:val="24"/>
          <w:lang w:eastAsia="en-IN"/>
          <w14:ligatures w14:val="none"/>
        </w:rPr>
        <w:t xml:space="preserve"> ethnomedicine; medicinal plant cultivation; India; quality control; DNA barcoding; phytochemical standardization; clinical evidence; safety; heavy metals; herb-induced liver injury</w:t>
      </w:r>
    </w:p>
    <w:p w14:paraId="305C52CF" w14:textId="77777777" w:rsidR="00451F19" w:rsidRPr="00451F19" w:rsidRDefault="00451F19"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1. Introduction</w:t>
      </w:r>
    </w:p>
    <w:p w14:paraId="60E19A47" w14:textId="3ECCEBCB"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India is one of the world’s most significant reservoirs of ethnomedicinal knowledge, supported by ecological heterogeneity that ranges from the Himalayan temperate belt to arid deserts, humid tropics, and coastal plains. This ecological breadth enables the use of thousands of plant species across diverse communities for </w:t>
      </w:r>
      <w:r w:rsidR="00717E34">
        <w:rPr>
          <w:rFonts w:ascii="Times New Roman" w:eastAsia="Times New Roman" w:hAnsi="Times New Roman" w:cs="Times New Roman"/>
          <w:kern w:val="0"/>
          <w:sz w:val="24"/>
          <w:szCs w:val="24"/>
          <w:lang w:eastAsia="en-IN"/>
          <w14:ligatures w14:val="none"/>
        </w:rPr>
        <w:t xml:space="preserve">the </w:t>
      </w:r>
      <w:r w:rsidRPr="00451F19">
        <w:rPr>
          <w:rFonts w:ascii="Times New Roman" w:eastAsia="Times New Roman" w:hAnsi="Times New Roman" w:cs="Times New Roman"/>
          <w:kern w:val="0"/>
          <w:sz w:val="24"/>
          <w:szCs w:val="24"/>
          <w:lang w:eastAsia="en-IN"/>
          <w14:ligatures w14:val="none"/>
        </w:rPr>
        <w:t xml:space="preserve">prevention and treatment of illness, with remedies often tailored to local availability, cultural preference, and perceived efficacy. Ethnomedicinal plant use in India has historically relied on wild collection; yet growing commercialization, habitat change, and market consolidation have intensified harvesting pressure on many taxa, prompting conservation and cultivation initiatives. Recent documentation from different Indian regions continues to reveal both high species richness </w:t>
      </w:r>
      <w:r w:rsidRPr="00451F19">
        <w:rPr>
          <w:rFonts w:ascii="Times New Roman" w:eastAsia="Times New Roman" w:hAnsi="Times New Roman" w:cs="Times New Roman"/>
          <w:kern w:val="0"/>
          <w:sz w:val="24"/>
          <w:szCs w:val="24"/>
          <w:lang w:eastAsia="en-IN"/>
          <w14:ligatures w14:val="none"/>
        </w:rPr>
        <w:lastRenderedPageBreak/>
        <w:t>and deep therapeutic pluralism, while also indicating threats associated with overharvesting, knowledge erosion, and shifting land-use patterns (</w:t>
      </w:r>
      <w:proofErr w:type="spellStart"/>
      <w:r w:rsidR="00065726">
        <w:rPr>
          <w:rFonts w:ascii="Times New Roman" w:eastAsia="Times New Roman" w:hAnsi="Times New Roman" w:cs="Times New Roman"/>
          <w:kern w:val="0"/>
          <w:sz w:val="24"/>
          <w:szCs w:val="24"/>
          <w:lang w:eastAsia="en-IN"/>
          <w14:ligatures w14:val="none"/>
        </w:rPr>
        <w:t>Ralte</w:t>
      </w:r>
      <w:proofErr w:type="spellEnd"/>
      <w:r w:rsidR="00065726">
        <w:rPr>
          <w:rFonts w:ascii="Times New Roman" w:eastAsia="Times New Roman" w:hAnsi="Times New Roman" w:cs="Times New Roman"/>
          <w:kern w:val="0"/>
          <w:sz w:val="24"/>
          <w:szCs w:val="24"/>
          <w:lang w:eastAsia="en-IN"/>
          <w14:ligatures w14:val="none"/>
        </w:rPr>
        <w:t xml:space="preserve"> and Singh</w:t>
      </w:r>
      <w:r w:rsidRPr="00451F19">
        <w:rPr>
          <w:rFonts w:ascii="Times New Roman" w:eastAsia="Times New Roman" w:hAnsi="Times New Roman" w:cs="Times New Roman"/>
          <w:kern w:val="0"/>
          <w:sz w:val="24"/>
          <w:szCs w:val="24"/>
          <w:lang w:eastAsia="en-IN"/>
          <w14:ligatures w14:val="none"/>
        </w:rPr>
        <w:t xml:space="preserve">, 2024; </w:t>
      </w:r>
      <w:proofErr w:type="spellStart"/>
      <w:r w:rsidR="00065726">
        <w:rPr>
          <w:rFonts w:ascii="Times New Roman" w:eastAsia="Times New Roman" w:hAnsi="Times New Roman" w:cs="Times New Roman"/>
          <w:kern w:val="0"/>
          <w:sz w:val="24"/>
          <w:szCs w:val="24"/>
          <w:lang w:eastAsia="en-IN"/>
          <w14:ligatures w14:val="none"/>
        </w:rPr>
        <w:t>Ralte</w:t>
      </w:r>
      <w:proofErr w:type="spellEnd"/>
      <w:r w:rsidR="00065726">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et al., 2023). </w:t>
      </w:r>
    </w:p>
    <w:p w14:paraId="49E86FC8"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The scientific and policy landscape around ethnomedicinal plants has also changed. Over the last two decades, demand for botanicals has expanded in nutraceutical, cosmeceutical, and integrative healthcare markets, encouraging intensified cultivation and greater use of standardized extracts. While this shift offers an opportunity to stabilize supply and improve livelihoods, it also introduces new risks: quality inconsistency across lots, adulteration and substitution in complex supply chains, contamination with heavy metals, and variability in bioactive constituents driven by genotype–environment interactions. Studies on heavy metals in traded herbal raw materials and finished products underscore that safety risks can be systemic when sourcing, processing, and quality oversight are weak, and that risk mitigation must begin upstream at cultivation sites and procurement hubs rather than only at final product testing (Bisht et al., 2022; Deswal et al., 2022). </w:t>
      </w:r>
    </w:p>
    <w:p w14:paraId="75152B43"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major scientific challenge is that therapeutic claims for ethnomedicinal plants are frequently extrapolated from traditional use, in vitro bioactivity, or animal models, whereas robust clinical evidence exists for only a subset of preparations and indications. Even when clinical data are available, differences in extraction method, dose, marker standardization, and trial design complicate synthesis and generalization. For example, Ashwagandha (</w:t>
      </w:r>
      <w:proofErr w:type="spellStart"/>
      <w:r w:rsidRPr="00451F19">
        <w:rPr>
          <w:rFonts w:ascii="Times New Roman" w:eastAsia="Times New Roman" w:hAnsi="Times New Roman" w:cs="Times New Roman"/>
          <w:kern w:val="0"/>
          <w:sz w:val="24"/>
          <w:szCs w:val="24"/>
          <w:lang w:eastAsia="en-IN"/>
          <w14:ligatures w14:val="none"/>
        </w:rPr>
        <w:t>Withania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somnifera</w:t>
      </w:r>
      <w:proofErr w:type="spellEnd"/>
      <w:r w:rsidRPr="00451F19">
        <w:rPr>
          <w:rFonts w:ascii="Times New Roman" w:eastAsia="Times New Roman" w:hAnsi="Times New Roman" w:cs="Times New Roman"/>
          <w:kern w:val="0"/>
          <w:sz w:val="24"/>
          <w:szCs w:val="24"/>
          <w:lang w:eastAsia="en-IN"/>
          <w14:ligatures w14:val="none"/>
        </w:rPr>
        <w:t xml:space="preserve">) has a comparatively strong evidence base for stress-related outcomes, including systematic reviews/meta-analyses and randomized controlled trials, but effect sizes and safety interpretations remain connected to the exact formulation and duration of use (Arumugam et al., 2024; Pandit et al., 2024). Similarly, turmeric-derived curcumin preparations have been evaluated across inflammatory conditions, yet clinical outcomes depend strongly on formulation and bioavailability-enhancing strategies, and evidence quality varies by indication (Zeng et al., 2021). </w:t>
      </w:r>
    </w:p>
    <w:p w14:paraId="4829A0DA" w14:textId="6DE8BD61"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India’s ethnomedicinal sector therefore</w:t>
      </w:r>
      <w:r w:rsidR="00717E34">
        <w:rPr>
          <w:rFonts w:ascii="Times New Roman" w:eastAsia="Times New Roman" w:hAnsi="Times New Roman" w:cs="Times New Roman"/>
          <w:kern w:val="0"/>
          <w:sz w:val="24"/>
          <w:szCs w:val="24"/>
          <w:lang w:eastAsia="en-IN"/>
          <w14:ligatures w14:val="none"/>
        </w:rPr>
        <w:t>,</w:t>
      </w:r>
      <w:r w:rsidRPr="00451F19">
        <w:rPr>
          <w:rFonts w:ascii="Times New Roman" w:eastAsia="Times New Roman" w:hAnsi="Times New Roman" w:cs="Times New Roman"/>
          <w:kern w:val="0"/>
          <w:sz w:val="24"/>
          <w:szCs w:val="24"/>
          <w:lang w:eastAsia="en-IN"/>
          <w14:ligatures w14:val="none"/>
        </w:rPr>
        <w:t xml:space="preserve"> sits at an interface where agronomy, ecology, analytical chemistry, and clinical science meet. Cultivation practices influence phytochemical profiles and contaminant exposure; post-harvest handling can preserve or degrade target compounds; and authentication and standardization determine whether a “plant name” in commerce corresponds to a reproducible therapeutic entity. This review argues that therapeutic applications must be evaluated together with cultivation and quality systems if ethnomedicinal plants are to be translated into safe and consistent interventions.</w:t>
      </w:r>
    </w:p>
    <w:p w14:paraId="000C9A40"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1.1 Ethnomedicinal plants as coupled ecological–health resources</w:t>
      </w:r>
    </w:p>
    <w:p w14:paraId="7E862E90" w14:textId="7F016E20"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Ethnomedicinal plants function simultaneously as cultural resources and ecological resources. Their availability and quality are shaped by climate, soil, and land management, while their social legitimacy is shaped by collective experience and intergenerational knowledge transfer. Documentation of ethnobotanical knowledge from Indian states and regions continues to identify multipurpose species used for gastrointestinal disorders, respiratory infections, dermatological problems, inflammatory complaints, and general “tonic” purposes, often in polyherbal combinations (</w:t>
      </w:r>
      <w:proofErr w:type="spellStart"/>
      <w:r w:rsidR="00065726" w:rsidRPr="00065726">
        <w:rPr>
          <w:rFonts w:ascii="Times New Roman" w:eastAsia="Times New Roman" w:hAnsi="Times New Roman" w:cs="Times New Roman"/>
          <w:kern w:val="0"/>
          <w:sz w:val="24"/>
          <w:szCs w:val="24"/>
          <w:lang w:eastAsia="en-IN"/>
          <w14:ligatures w14:val="none"/>
        </w:rPr>
        <w:t>Ralte</w:t>
      </w:r>
      <w:proofErr w:type="spellEnd"/>
      <w:r w:rsidR="00065726" w:rsidRPr="00065726">
        <w:rPr>
          <w:rFonts w:ascii="Times New Roman" w:eastAsia="Times New Roman" w:hAnsi="Times New Roman" w:cs="Times New Roman"/>
          <w:kern w:val="0"/>
          <w:sz w:val="24"/>
          <w:szCs w:val="24"/>
          <w:lang w:eastAsia="en-IN"/>
          <w14:ligatures w14:val="none"/>
        </w:rPr>
        <w:t xml:space="preserve"> and Singh, 2024</w:t>
      </w:r>
      <w:r w:rsidRPr="00451F19">
        <w:rPr>
          <w:rFonts w:ascii="Times New Roman" w:eastAsia="Times New Roman" w:hAnsi="Times New Roman" w:cs="Times New Roman"/>
          <w:kern w:val="0"/>
          <w:sz w:val="24"/>
          <w:szCs w:val="24"/>
          <w:lang w:eastAsia="en-IN"/>
          <w14:ligatures w14:val="none"/>
        </w:rPr>
        <w:t>; Kanika &amp; Panda, 2024;</w:t>
      </w:r>
      <w:r>
        <w:rPr>
          <w:rFonts w:ascii="Times New Roman" w:eastAsia="Times New Roman" w:hAnsi="Times New Roman" w:cs="Times New Roman"/>
          <w:kern w:val="0"/>
          <w:sz w:val="24"/>
          <w:szCs w:val="24"/>
          <w:lang w:eastAsia="en-IN"/>
          <w14:ligatures w14:val="none"/>
        </w:rPr>
        <w:t xml:space="preserve"> </w:t>
      </w:r>
      <w:proofErr w:type="spellStart"/>
      <w:r w:rsidR="00065726">
        <w:rPr>
          <w:rFonts w:ascii="Times New Roman" w:eastAsia="Times New Roman" w:hAnsi="Times New Roman" w:cs="Times New Roman"/>
          <w:kern w:val="0"/>
          <w:sz w:val="24"/>
          <w:szCs w:val="24"/>
          <w:lang w:eastAsia="en-IN"/>
          <w14:ligatures w14:val="none"/>
        </w:rPr>
        <w:t>Ralte</w:t>
      </w:r>
      <w:proofErr w:type="spellEnd"/>
      <w:r w:rsidR="00065726">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et al., 2023). These data are not only descriptive: they also provide leads for pharmacological research and inform conservation priorities when high-demand species are harvested from the wild.</w:t>
      </w:r>
    </w:p>
    <w:p w14:paraId="7CB535AF"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1.2 Why cultivation practices matter for therapeutic reproducibility</w:t>
      </w:r>
    </w:p>
    <w:p w14:paraId="4ED96D4A" w14:textId="3AEB5D04"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lastRenderedPageBreak/>
        <w:t>Cultivation is more than a supply strategy; it is a quality-determining process. Variability in active constituents can arise from genetic differences among planting materials, environmental differences among cultivation sites, and differences in agronomic inputs and harvest timing. Recent work on Ashwagandha illustrates how yield and quality attributes can be influenced by genotype and agroclimatic context, highlighting the need for cultivar selection and stability assessment when cultivation expands into new regions (</w:t>
      </w:r>
      <w:r w:rsidR="00065726" w:rsidRPr="00065726">
        <w:rPr>
          <w:rFonts w:ascii="Times New Roman" w:eastAsia="Times New Roman" w:hAnsi="Times New Roman" w:cs="Times New Roman"/>
          <w:kern w:val="0"/>
          <w:sz w:val="24"/>
          <w:szCs w:val="24"/>
          <w:lang w:eastAsia="en-IN"/>
          <w14:ligatures w14:val="none"/>
        </w:rPr>
        <w:t>Kumar</w:t>
      </w:r>
      <w:r w:rsidR="00065726" w:rsidRPr="00451F19">
        <w:rPr>
          <w:rFonts w:ascii="Times New Roman" w:eastAsia="Times New Roman" w:hAnsi="Times New Roman" w:cs="Times New Roman"/>
          <w:kern w:val="0"/>
          <w:sz w:val="24"/>
          <w:szCs w:val="24"/>
          <w:lang w:eastAsia="en-IN"/>
          <w14:ligatures w14:val="none"/>
        </w:rPr>
        <w:t xml:space="preserve"> et al., 202</w:t>
      </w:r>
      <w:r w:rsidR="00065726">
        <w:rPr>
          <w:rFonts w:ascii="Times New Roman" w:eastAsia="Times New Roman" w:hAnsi="Times New Roman" w:cs="Times New Roman"/>
          <w:kern w:val="0"/>
          <w:sz w:val="24"/>
          <w:szCs w:val="24"/>
          <w:lang w:eastAsia="en-IN"/>
          <w14:ligatures w14:val="none"/>
        </w:rPr>
        <w:t>0</w:t>
      </w:r>
      <w:r w:rsidRPr="00451F19">
        <w:rPr>
          <w:rFonts w:ascii="Times New Roman" w:eastAsia="Times New Roman" w:hAnsi="Times New Roman" w:cs="Times New Roman"/>
          <w:kern w:val="0"/>
          <w:sz w:val="24"/>
          <w:szCs w:val="24"/>
          <w:lang w:eastAsia="en-IN"/>
          <w14:ligatures w14:val="none"/>
        </w:rPr>
        <w:t>). Without such controls, clinical outcomes may not replicate because the chemical composition of preparations can drift across seasons and sourcing areas.</w:t>
      </w:r>
    </w:p>
    <w:p w14:paraId="06428D52"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1.3 Scope and objectives</w:t>
      </w:r>
    </w:p>
    <w:p w14:paraId="423449AC"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This review focuses on two interlinked dimensions of Indian ethnomedicinal plants: (</w:t>
      </w:r>
      <w:proofErr w:type="spellStart"/>
      <w:r w:rsidRPr="00451F19">
        <w:rPr>
          <w:rFonts w:ascii="Times New Roman" w:eastAsia="Times New Roman" w:hAnsi="Times New Roman" w:cs="Times New Roman"/>
          <w:kern w:val="0"/>
          <w:sz w:val="24"/>
          <w:szCs w:val="24"/>
          <w:lang w:eastAsia="en-IN"/>
          <w14:ligatures w14:val="none"/>
        </w:rPr>
        <w:t>i</w:t>
      </w:r>
      <w:proofErr w:type="spellEnd"/>
      <w:r w:rsidRPr="00451F19">
        <w:rPr>
          <w:rFonts w:ascii="Times New Roman" w:eastAsia="Times New Roman" w:hAnsi="Times New Roman" w:cs="Times New Roman"/>
          <w:kern w:val="0"/>
          <w:sz w:val="24"/>
          <w:szCs w:val="24"/>
          <w:lang w:eastAsia="en-IN"/>
          <w14:ligatures w14:val="none"/>
        </w:rPr>
        <w:t>) cultivation and value-chain practices that shape quality, safety, and sustainability, and (ii) therapeutic applications with emphasis on recent translational and clinical evidence, alongside safety considerations. The objectives are to synthesize recent peer-reviewed literature on cultivation determinants of phytochemical consistency, summarize representative therapeutic evidence for selected high-use ethnomedicinal plants, and propose integrative pathways to strengthen reproducibility, safety, and ethical sustainability in India’s ethnomedicinal plant sector.</w:t>
      </w:r>
    </w:p>
    <w:p w14:paraId="3EDC7DF2" w14:textId="77777777" w:rsidR="00451F19" w:rsidRPr="00451F19" w:rsidRDefault="00451F19"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2. Methods for literature selection</w:t>
      </w:r>
    </w:p>
    <w:p w14:paraId="2BD88F72"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targeted literature search was conducted using Scopus, Web of Science, PubMed, and Google Scholar. Search strings combined terms related to ethnomedicine and India with cultivation and quality terms, for example: “India” AND (ethnomedicinal OR ethnobotanical OR traditional medicine) AND (cultivation OR agronomy OR post-harvest OR “good agricultural” OR quality OR authentication OR adulteration), and plant-specific searches such as (“</w:t>
      </w:r>
      <w:proofErr w:type="spellStart"/>
      <w:r w:rsidRPr="00451F19">
        <w:rPr>
          <w:rFonts w:ascii="Times New Roman" w:eastAsia="Times New Roman" w:hAnsi="Times New Roman" w:cs="Times New Roman"/>
          <w:kern w:val="0"/>
          <w:sz w:val="24"/>
          <w:szCs w:val="24"/>
          <w:lang w:eastAsia="en-IN"/>
          <w14:ligatures w14:val="none"/>
        </w:rPr>
        <w:t>Withania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somnifera</w:t>
      </w:r>
      <w:proofErr w:type="spellEnd"/>
      <w:r w:rsidRPr="00451F19">
        <w:rPr>
          <w:rFonts w:ascii="Times New Roman" w:eastAsia="Times New Roman" w:hAnsi="Times New Roman" w:cs="Times New Roman"/>
          <w:kern w:val="0"/>
          <w:sz w:val="24"/>
          <w:szCs w:val="24"/>
          <w:lang w:eastAsia="en-IN"/>
          <w14:ligatures w14:val="none"/>
        </w:rPr>
        <w:t>” OR Ashwagandha) AND (cultivation OR genotype OR standardization OR trial). The primary date range emphasized 2020–2025, with selective inclusion of late-2018–2019 studies when directly relevant to clinical evidence or cultivation/quality frameworks. Inclusion criteria prioritized peer-reviewed journal articles in reputable scientific outlets that addressed cultivation determinants, quality control/authentication, safety/contamination, or therapeutic evidence (systematic reviews, meta-analyses, controlled clinical trials, or well-characterized mechanistic studies). Exclusion criteria included non-peer-reviewed outlets, articles lacking clear methodological detail, and sources without persistent identifiers required for reference verification. References were further screened to ensure that each cited item included a resolvable DOI and consistent bibliographic metadata.</w:t>
      </w:r>
    </w:p>
    <w:p w14:paraId="6539D2B9" w14:textId="77777777" w:rsidR="00451F19" w:rsidRPr="00451F19" w:rsidRDefault="00451F19"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3. Cultivation practices shaping quality and sustainability in India</w:t>
      </w:r>
    </w:p>
    <w:p w14:paraId="7655FCE3"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Cultivation of ethnomedicinal plants in India spans smallholder mixed farming, dedicated contract cultivation, agroforestry systems, and plantation-style production for a few high-demand species. Although the agronomic envelope differs across taxa, several cross-cutting determinants repeatedly emerge as primary drivers of both yield and phytochemical quality: planting material authenticity, agroecological suitability, nutrient and water management, pest and disease dynamics, harvest indices, and post-harvest processing. Increasingly, these </w:t>
      </w:r>
      <w:r w:rsidRPr="00451F19">
        <w:rPr>
          <w:rFonts w:ascii="Times New Roman" w:eastAsia="Times New Roman" w:hAnsi="Times New Roman" w:cs="Times New Roman"/>
          <w:kern w:val="0"/>
          <w:sz w:val="24"/>
          <w:szCs w:val="24"/>
          <w:lang w:eastAsia="en-IN"/>
          <w14:ligatures w14:val="none"/>
        </w:rPr>
        <w:lastRenderedPageBreak/>
        <w:t xml:space="preserve">determinants are being integrated into formal quality frameworks that emphasize traceability from field to finished extract. Comparative analyses of “good agricultural and collection” guideline frameworks in herbal medicine emphasize that quality cannot be “tested into” a product only at the end; instead, quality is built through documented upstream control points, including identity, cultivation inputs, and post-harvest handling (Zhang et al., 2021). </w:t>
      </w:r>
    </w:p>
    <w:p w14:paraId="5BD39011"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3.1 Species selection and agroecological matching</w:t>
      </w:r>
    </w:p>
    <w:p w14:paraId="5E4AC2E7" w14:textId="2CB9783A"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India’s medicinal plant cultivation is often promoted as a livelihood strategy, yet species selection is frequently driven by market signals rather than ecological matching. When a plant is expanded outside its typical ecological niche, growers may use higher inputs to maintain biomass yield, but such strategies do not necessarily preserve the phytochemical profile associated with traditional efficacy. In plants where a limited set of marker metabolites is linked to therapeutic rationale or standardization, ecological mismatch can alter marker ratios and reduce batch-to-batch consistency. The Ashwagandha example is instructive: evaluation of genotype–environment interactions across agroclimatic conditions suggests that cultivar choice and stability analysis are essential if both yield and quality attributes are to remain consistent across locations (</w:t>
      </w:r>
      <w:r w:rsidR="00065726" w:rsidRPr="00065726">
        <w:rPr>
          <w:rFonts w:ascii="Times New Roman" w:eastAsia="Times New Roman" w:hAnsi="Times New Roman" w:cs="Times New Roman"/>
          <w:kern w:val="0"/>
          <w:sz w:val="24"/>
          <w:szCs w:val="24"/>
          <w:lang w:eastAsia="en-IN"/>
          <w14:ligatures w14:val="none"/>
        </w:rPr>
        <w:t>Kumar</w:t>
      </w:r>
      <w:r w:rsidR="00065726" w:rsidRPr="00451F19">
        <w:rPr>
          <w:rFonts w:ascii="Times New Roman" w:eastAsia="Times New Roman" w:hAnsi="Times New Roman" w:cs="Times New Roman"/>
          <w:kern w:val="0"/>
          <w:sz w:val="24"/>
          <w:szCs w:val="24"/>
          <w:lang w:eastAsia="en-IN"/>
          <w14:ligatures w14:val="none"/>
        </w:rPr>
        <w:t xml:space="preserve"> et al., 202</w:t>
      </w:r>
      <w:r w:rsidR="00065726">
        <w:rPr>
          <w:rFonts w:ascii="Times New Roman" w:eastAsia="Times New Roman" w:hAnsi="Times New Roman" w:cs="Times New Roman"/>
          <w:kern w:val="0"/>
          <w:sz w:val="24"/>
          <w:szCs w:val="24"/>
          <w:lang w:eastAsia="en-IN"/>
          <w14:ligatures w14:val="none"/>
        </w:rPr>
        <w:t>0</w:t>
      </w:r>
      <w:r w:rsidRPr="00451F19">
        <w:rPr>
          <w:rFonts w:ascii="Times New Roman" w:eastAsia="Times New Roman" w:hAnsi="Times New Roman" w:cs="Times New Roman"/>
          <w:kern w:val="0"/>
          <w:sz w:val="24"/>
          <w:szCs w:val="24"/>
          <w:lang w:eastAsia="en-IN"/>
          <w14:ligatures w14:val="none"/>
        </w:rPr>
        <w:t xml:space="preserve">). </w:t>
      </w:r>
    </w:p>
    <w:p w14:paraId="7523F2E1"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3.2 Planting material authenticity and propagation strategies</w:t>
      </w:r>
    </w:p>
    <w:p w14:paraId="7F298F34" w14:textId="31ABD4EC"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The integrity of cultivation begins with identity. In India’s ethnomedicinal trade, substitution and adulteration may occur intentionally for economic reasons or unintentionally through misidentification, especially when dried plant parts are visually similar. DNA-based authentication is therefore increasingly used as a complementary safeguard to morphological and chemical approaches. Recent analytical work using DNA barcoding to validate Indian herbal medicines demonstrates both the feasibility and the necessity of genetic authentication in complex markets, where label claims may not always match biological identity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For cultivation programs, authentication of mother stock and seed/propagule sources helps ensure that cultivation does not inadvertently propagate incorrect species, which could compromise safety and efficacy.</w:t>
      </w:r>
    </w:p>
    <w:p w14:paraId="7867CCA0" w14:textId="14B62508"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Propagation systems also determine uniformity. Seed-propagated crops may show higher genetic variability unless improved cultivars are used, while clonal propagation can enhance uniformity but may increase susceptibility to pests/diseases if genetic diversity is too narrow. Practical cultivation strategies therefore</w:t>
      </w:r>
      <w:r w:rsidR="00717E34">
        <w:rPr>
          <w:rFonts w:ascii="Times New Roman" w:eastAsia="Times New Roman" w:hAnsi="Times New Roman" w:cs="Times New Roman"/>
          <w:kern w:val="0"/>
          <w:sz w:val="24"/>
          <w:szCs w:val="24"/>
          <w:lang w:eastAsia="en-IN"/>
          <w14:ligatures w14:val="none"/>
        </w:rPr>
        <w:t>,</w:t>
      </w:r>
      <w:r w:rsidRPr="00451F19">
        <w:rPr>
          <w:rFonts w:ascii="Times New Roman" w:eastAsia="Times New Roman" w:hAnsi="Times New Roman" w:cs="Times New Roman"/>
          <w:kern w:val="0"/>
          <w:sz w:val="24"/>
          <w:szCs w:val="24"/>
          <w:lang w:eastAsia="en-IN"/>
          <w14:ligatures w14:val="none"/>
        </w:rPr>
        <w:t xml:space="preserve"> involve balancing uniformity for standardization with enough diversity to maintain resilience. For species under high pressure, ex situ conservation and structured multiplication programs can reduce wild harvesting while ensuring planting material availability; research on ex situ conservation needs for threatened medicinal plants underscores that propagation and cultivation planning must be aligned with conservation priorities, not only commercial demand (Gowthami et al., 2021). </w:t>
      </w:r>
    </w:p>
    <w:p w14:paraId="41221760"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3.3 Soil fertility, water management, and input regimes</w:t>
      </w:r>
    </w:p>
    <w:p w14:paraId="53E7A473"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Nutrient management in medicinal plant cultivation differs from conventional food crops because “quality” includes chemical profiles, not only biomass. Excessive nitrogen can increase vegetative growth but dilute certain secondary metabolites; water stress can sometimes increase secondary metabolite accumulation but may reduce yield or increase variability. In India, cultivation frequently occurs under variable irrigation access, making standardized agronomic recommendations difficult across regions. Consequently, traceability </w:t>
      </w:r>
      <w:r w:rsidRPr="00451F19">
        <w:rPr>
          <w:rFonts w:ascii="Times New Roman" w:eastAsia="Times New Roman" w:hAnsi="Times New Roman" w:cs="Times New Roman"/>
          <w:kern w:val="0"/>
          <w:sz w:val="24"/>
          <w:szCs w:val="24"/>
          <w:lang w:eastAsia="en-IN"/>
          <w14:ligatures w14:val="none"/>
        </w:rPr>
        <w:lastRenderedPageBreak/>
        <w:t xml:space="preserve">systems increasingly seek to document input regimes and site conditions as part of quality assurance. Guideline comparisons for agricultural and collection practices emphasize that documentation of cultivation inputs, environmental conditions, and harvest parameters improves reproducibility and supports downstream claims about standardized quality (Zhang et al., 2021). </w:t>
      </w:r>
    </w:p>
    <w:p w14:paraId="789CC32A"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3.4 Pest and disease management with residue and safety implications</w:t>
      </w:r>
    </w:p>
    <w:p w14:paraId="30F817F9"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Pest and disease pressures in medicinal plant cultivation can be significant, particularly where monocultures replace diverse traditional systems. However, conventional pesticide use raises concerns about residues in medicinal raw material. While this review does not focus on residue chemistry, the broader logic is that cultivation systems should prioritize integrated pest management and good agricultural practice documentation, because the therapeutic acceptability of botanical products often depends on perceptions of “naturalness” and safety. In practice, residue and contaminant risks are managed through combined strategies: upstream input control, downstream testing, and supplier qualification.</w:t>
      </w:r>
    </w:p>
    <w:p w14:paraId="38BC6CB8"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3.5 Harvest indices, post-harvest processing, and storage</w:t>
      </w:r>
    </w:p>
    <w:p w14:paraId="2FA3B0B4"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Harvest timing and the selected plant part are among the strongest determinants of phytochemical composition. Many ethnomedicinal plants are harvested at specific phenological stages in traditional practice, often reflecting experiential knowledge about potency. In commercial cultivation, harvest is frequently optimized for biomass and </w:t>
      </w:r>
      <w:proofErr w:type="spellStart"/>
      <w:r w:rsidRPr="00451F19">
        <w:rPr>
          <w:rFonts w:ascii="Times New Roman" w:eastAsia="Times New Roman" w:hAnsi="Times New Roman" w:cs="Times New Roman"/>
          <w:kern w:val="0"/>
          <w:sz w:val="24"/>
          <w:szCs w:val="24"/>
          <w:lang w:eastAsia="en-IN"/>
          <w14:ligatures w14:val="none"/>
        </w:rPr>
        <w:t>labor</w:t>
      </w:r>
      <w:proofErr w:type="spellEnd"/>
      <w:r w:rsidRPr="00451F19">
        <w:rPr>
          <w:rFonts w:ascii="Times New Roman" w:eastAsia="Times New Roman" w:hAnsi="Times New Roman" w:cs="Times New Roman"/>
          <w:kern w:val="0"/>
          <w:sz w:val="24"/>
          <w:szCs w:val="24"/>
          <w:lang w:eastAsia="en-IN"/>
          <w14:ligatures w14:val="none"/>
        </w:rPr>
        <w:t xml:space="preserve"> logistics, which may not align with metabolite maxima. Post-harvest steps—washing, slicing, drying temperature, drying duration, and storage humidity—further influence chemical stability. Improper drying can promote microbial contamination and enzymatic degradation, while high temperatures can degrade heat-sensitive constituents. These practical realities strengthen the argument that “therapeutic application” should be assessed as an end-to-end system property, not a property of a botanical name alone.</w:t>
      </w:r>
    </w:p>
    <w:p w14:paraId="35BEA569"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3.6 Quality control, chemical standardization, and authentication</w:t>
      </w:r>
    </w:p>
    <w:p w14:paraId="6DDC7393" w14:textId="29CA4CDD"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Modern phytopharmaceutical and nutraceutical markets increasingly require analytical standardization to ensure that each lot meets defined specifications. For several Indian ethnomedicinal plants, standardization relies on marker compounds and chromatographic fingerprints. Method development studies for Ashwagandha markers, for instance, illustrate the role of validated analytical protocols in measuring key </w:t>
      </w:r>
      <w:proofErr w:type="spellStart"/>
      <w:r w:rsidRPr="00451F19">
        <w:rPr>
          <w:rFonts w:ascii="Times New Roman" w:eastAsia="Times New Roman" w:hAnsi="Times New Roman" w:cs="Times New Roman"/>
          <w:kern w:val="0"/>
          <w:sz w:val="24"/>
          <w:szCs w:val="24"/>
          <w:lang w:eastAsia="en-IN"/>
          <w14:ligatures w14:val="none"/>
        </w:rPr>
        <w:t>withanolide</w:t>
      </w:r>
      <w:proofErr w:type="spellEnd"/>
      <w:r w:rsidRPr="00451F19">
        <w:rPr>
          <w:rFonts w:ascii="Times New Roman" w:eastAsia="Times New Roman" w:hAnsi="Times New Roman" w:cs="Times New Roman"/>
          <w:kern w:val="0"/>
          <w:sz w:val="24"/>
          <w:szCs w:val="24"/>
          <w:lang w:eastAsia="en-IN"/>
          <w14:ligatures w14:val="none"/>
        </w:rPr>
        <w:t>-related constituents across plant parts and preparations, supporting reproducibility in extraction and dosage design (</w:t>
      </w:r>
      <w:r w:rsidR="00717E34" w:rsidRPr="00717E34">
        <w:rPr>
          <w:rFonts w:ascii="Times New Roman" w:eastAsia="Times New Roman" w:hAnsi="Times New Roman" w:cs="Times New Roman"/>
          <w:kern w:val="0"/>
          <w:sz w:val="24"/>
          <w:szCs w:val="24"/>
          <w:lang w:eastAsia="en-IN"/>
          <w14:ligatures w14:val="none"/>
        </w:rPr>
        <w:t>Ghoshal</w:t>
      </w:r>
      <w:r w:rsidR="00717E34">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et al., 2022). Yet marker-based approaches have limits: they may not capture synergistic profiles in whole extracts, and they can be gamed if adulterants mimic marker signals. DNA barcoding and metabolomic profiling are therefore increasingly used as complementary safeguards against </w:t>
      </w:r>
      <w:proofErr w:type="spellStart"/>
      <w:r w:rsidRPr="00451F19">
        <w:rPr>
          <w:rFonts w:ascii="Times New Roman" w:eastAsia="Times New Roman" w:hAnsi="Times New Roman" w:cs="Times New Roman"/>
          <w:kern w:val="0"/>
          <w:sz w:val="24"/>
          <w:szCs w:val="24"/>
          <w:lang w:eastAsia="en-IN"/>
          <w14:ligatures w14:val="none"/>
        </w:rPr>
        <w:t>mislabeling</w:t>
      </w:r>
      <w:proofErr w:type="spellEnd"/>
      <w:r w:rsidRPr="00451F19">
        <w:rPr>
          <w:rFonts w:ascii="Times New Roman" w:eastAsia="Times New Roman" w:hAnsi="Times New Roman" w:cs="Times New Roman"/>
          <w:kern w:val="0"/>
          <w:sz w:val="24"/>
          <w:szCs w:val="24"/>
          <w:lang w:eastAsia="en-IN"/>
          <w14:ligatures w14:val="none"/>
        </w:rPr>
        <w:t xml:space="preserve"> and substitution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xml:space="preserve">). </w:t>
      </w:r>
    </w:p>
    <w:p w14:paraId="3D4AC4B7"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3.7 Contamination risks: heavy metals and supply-chain realities</w:t>
      </w:r>
    </w:p>
    <w:p w14:paraId="78697320"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Heavy metal contamination has emerged as a persistent safety concern in parts of the herbal supply chain. Evidence from analyses of traded herbal raw materials and finished Ayurvedic products indicates that contamination can occur through environmental exposure (soil/water), processing, or storage, and that risk may vary by sourcing region and supply channel (Bisht et </w:t>
      </w:r>
      <w:r w:rsidRPr="00451F19">
        <w:rPr>
          <w:rFonts w:ascii="Times New Roman" w:eastAsia="Times New Roman" w:hAnsi="Times New Roman" w:cs="Times New Roman"/>
          <w:kern w:val="0"/>
          <w:sz w:val="24"/>
          <w:szCs w:val="24"/>
          <w:lang w:eastAsia="en-IN"/>
          <w14:ligatures w14:val="none"/>
        </w:rPr>
        <w:lastRenderedPageBreak/>
        <w:t>al., 2022; Deswal et al., 2022). These findings have practical implications for cultivation planning: site selection should consider baseline soil and irrigation water quality; post-harvest infrastructure should reduce dust and industrial exposure; and procurement systems should reward verified contaminant control rather than simply lowest price. From a public-health perspective, contamination undermines trust and may negate therapeutic benefits even when bioactive constituents are present.</w:t>
      </w:r>
    </w:p>
    <w:p w14:paraId="42BA6BE7" w14:textId="77777777" w:rsidR="00451F19" w:rsidRPr="00451F19" w:rsidRDefault="00451F19"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4. Therapeutic applications of Indian ethnomedicinal plants: evidence and exemplars</w:t>
      </w:r>
    </w:p>
    <w:p w14:paraId="04CA5B7C"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Ethnomedicinal plants in India are used across virtually all therapeutic domains, but evidence strength is uneven. This section discusses representative applications with a focus on plants that are widely cultivated or commercialized and that have recent clinical or systematic evidence. The intent is not to rank plants, but to illustrate how therapeutic plausibility and clinical evidence interact with cultivation, standardization, and safety.</w:t>
      </w:r>
    </w:p>
    <w:p w14:paraId="62244577"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4.1 Stress, sleep, and mental well-being: Ashwagandha and Tulsi</w:t>
      </w:r>
    </w:p>
    <w:p w14:paraId="2489C085"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Ashwagandha (</w:t>
      </w:r>
      <w:proofErr w:type="spellStart"/>
      <w:r w:rsidRPr="00451F19">
        <w:rPr>
          <w:rFonts w:ascii="Times New Roman" w:eastAsia="Times New Roman" w:hAnsi="Times New Roman" w:cs="Times New Roman"/>
          <w:kern w:val="0"/>
          <w:sz w:val="24"/>
          <w:szCs w:val="24"/>
          <w:lang w:eastAsia="en-IN"/>
          <w14:ligatures w14:val="none"/>
        </w:rPr>
        <w:t>Withania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somnifera</w:t>
      </w:r>
      <w:proofErr w:type="spellEnd"/>
      <w:r w:rsidRPr="00451F19">
        <w:rPr>
          <w:rFonts w:ascii="Times New Roman" w:eastAsia="Times New Roman" w:hAnsi="Times New Roman" w:cs="Times New Roman"/>
          <w:kern w:val="0"/>
          <w:sz w:val="24"/>
          <w:szCs w:val="24"/>
          <w:lang w:eastAsia="en-IN"/>
          <w14:ligatures w14:val="none"/>
        </w:rPr>
        <w:t xml:space="preserve">) is among the most prominent Indian ethnomedicinal plants in contemporary integrative health, traditionally used as a </w:t>
      </w:r>
      <w:proofErr w:type="spellStart"/>
      <w:r w:rsidRPr="00451F19">
        <w:rPr>
          <w:rFonts w:ascii="Times New Roman" w:eastAsia="Times New Roman" w:hAnsi="Times New Roman" w:cs="Times New Roman"/>
          <w:kern w:val="0"/>
          <w:sz w:val="24"/>
          <w:szCs w:val="24"/>
          <w:lang w:eastAsia="en-IN"/>
          <w14:ligatures w14:val="none"/>
        </w:rPr>
        <w:t>rasayana</w:t>
      </w:r>
      <w:proofErr w:type="spellEnd"/>
      <w:r w:rsidRPr="00451F19">
        <w:rPr>
          <w:rFonts w:ascii="Times New Roman" w:eastAsia="Times New Roman" w:hAnsi="Times New Roman" w:cs="Times New Roman"/>
          <w:kern w:val="0"/>
          <w:sz w:val="24"/>
          <w:szCs w:val="24"/>
          <w:lang w:eastAsia="en-IN"/>
          <w14:ligatures w14:val="none"/>
        </w:rPr>
        <w:t xml:space="preserve"> and adaptogen. Recent systematic review and meta-analysis evidence indicates that Ashwagandha formulations can reduce perceived stress, anxiety scores, and cortisol relative to placebo, though heterogeneity across trials reflects differences in formulation, dose, and outcome measures (Arumugam et al., 2024). Controlled trial evidence further supports stress-related benefits for standardized extracts over multi-week administration, with generally </w:t>
      </w:r>
      <w:proofErr w:type="spellStart"/>
      <w:r w:rsidRPr="00451F19">
        <w:rPr>
          <w:rFonts w:ascii="Times New Roman" w:eastAsia="Times New Roman" w:hAnsi="Times New Roman" w:cs="Times New Roman"/>
          <w:kern w:val="0"/>
          <w:sz w:val="24"/>
          <w:szCs w:val="24"/>
          <w:lang w:eastAsia="en-IN"/>
          <w14:ligatures w14:val="none"/>
        </w:rPr>
        <w:t>favorable</w:t>
      </w:r>
      <w:proofErr w:type="spellEnd"/>
      <w:r w:rsidRPr="00451F19">
        <w:rPr>
          <w:rFonts w:ascii="Times New Roman" w:eastAsia="Times New Roman" w:hAnsi="Times New Roman" w:cs="Times New Roman"/>
          <w:kern w:val="0"/>
          <w:sz w:val="24"/>
          <w:szCs w:val="24"/>
          <w:lang w:eastAsia="en-IN"/>
          <w14:ligatures w14:val="none"/>
        </w:rPr>
        <w:t xml:space="preserve"> short-term tolerability under monitored conditions (Pandit et al., 2024). A broader narrative review in neuropsychiatric contexts emphasizes proposed mechanisms involving stress-axis modulation, neuroinflammation, and antioxidant pathways, but also underscores the need to interpret mechanistic claims in light of clinical formulation specificity (Speers et al., 2021). </w:t>
      </w:r>
    </w:p>
    <w:p w14:paraId="53AB836F" w14:textId="7083D4BB"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From a cultivation perspective, Ashwagandha highlights a key translational issue: clinical evidence is tied to standardized extracts, but cultivation expansion across agroclimatic regions can alter yield and quality, necessitating cultivar selection and stability analysis to maintain consistency (</w:t>
      </w:r>
      <w:r w:rsidR="00065726" w:rsidRPr="00065726">
        <w:rPr>
          <w:rFonts w:ascii="Times New Roman" w:eastAsia="Times New Roman" w:hAnsi="Times New Roman" w:cs="Times New Roman"/>
          <w:kern w:val="0"/>
          <w:sz w:val="24"/>
          <w:szCs w:val="24"/>
          <w:lang w:eastAsia="en-IN"/>
          <w14:ligatures w14:val="none"/>
        </w:rPr>
        <w:t>Kumar</w:t>
      </w:r>
      <w:r w:rsidRPr="00451F19">
        <w:rPr>
          <w:rFonts w:ascii="Times New Roman" w:eastAsia="Times New Roman" w:hAnsi="Times New Roman" w:cs="Times New Roman"/>
          <w:kern w:val="0"/>
          <w:sz w:val="24"/>
          <w:szCs w:val="24"/>
          <w:lang w:eastAsia="en-IN"/>
          <w14:ligatures w14:val="none"/>
        </w:rPr>
        <w:t xml:space="preserve"> et al., 202</w:t>
      </w:r>
      <w:r w:rsidR="00065726">
        <w:rPr>
          <w:rFonts w:ascii="Times New Roman" w:eastAsia="Times New Roman" w:hAnsi="Times New Roman" w:cs="Times New Roman"/>
          <w:kern w:val="0"/>
          <w:sz w:val="24"/>
          <w:szCs w:val="24"/>
          <w:lang w:eastAsia="en-IN"/>
          <w14:ligatures w14:val="none"/>
        </w:rPr>
        <w:t>0</w:t>
      </w:r>
      <w:r w:rsidRPr="00451F19">
        <w:rPr>
          <w:rFonts w:ascii="Times New Roman" w:eastAsia="Times New Roman" w:hAnsi="Times New Roman" w:cs="Times New Roman"/>
          <w:kern w:val="0"/>
          <w:sz w:val="24"/>
          <w:szCs w:val="24"/>
          <w:lang w:eastAsia="en-IN"/>
          <w14:ligatures w14:val="none"/>
        </w:rPr>
        <w:t xml:space="preserve">). Analytical method development for </w:t>
      </w:r>
      <w:proofErr w:type="spellStart"/>
      <w:r w:rsidRPr="00451F19">
        <w:rPr>
          <w:rFonts w:ascii="Times New Roman" w:eastAsia="Times New Roman" w:hAnsi="Times New Roman" w:cs="Times New Roman"/>
          <w:kern w:val="0"/>
          <w:sz w:val="24"/>
          <w:szCs w:val="24"/>
          <w:lang w:eastAsia="en-IN"/>
          <w14:ligatures w14:val="none"/>
        </w:rPr>
        <w:t>withanolide</w:t>
      </w:r>
      <w:proofErr w:type="spellEnd"/>
      <w:r w:rsidRPr="00451F19">
        <w:rPr>
          <w:rFonts w:ascii="Times New Roman" w:eastAsia="Times New Roman" w:hAnsi="Times New Roman" w:cs="Times New Roman"/>
          <w:kern w:val="0"/>
          <w:sz w:val="24"/>
          <w:szCs w:val="24"/>
          <w:lang w:eastAsia="en-IN"/>
          <w14:ligatures w14:val="none"/>
        </w:rPr>
        <w:t>-related markers supports quality assurance, but also points to complexity because different plant parts (root versus leaf) may differ substantially in constituent profiles (</w:t>
      </w:r>
      <w:r w:rsidR="00717E34" w:rsidRPr="00717E34">
        <w:rPr>
          <w:rFonts w:ascii="Times New Roman" w:eastAsia="Times New Roman" w:hAnsi="Times New Roman" w:cs="Times New Roman"/>
          <w:kern w:val="0"/>
          <w:sz w:val="24"/>
          <w:szCs w:val="24"/>
          <w:lang w:eastAsia="en-IN"/>
          <w14:ligatures w14:val="none"/>
        </w:rPr>
        <w:t>Ghoshal</w:t>
      </w:r>
      <w:r w:rsidRPr="00451F19">
        <w:rPr>
          <w:rFonts w:ascii="Times New Roman" w:eastAsia="Times New Roman" w:hAnsi="Times New Roman" w:cs="Times New Roman"/>
          <w:kern w:val="0"/>
          <w:sz w:val="24"/>
          <w:szCs w:val="24"/>
          <w:lang w:eastAsia="en-IN"/>
          <w14:ligatures w14:val="none"/>
        </w:rPr>
        <w:t xml:space="preserve"> et al., 2022). </w:t>
      </w:r>
    </w:p>
    <w:p w14:paraId="75DE2059"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Ocimum</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tenuiflorum</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Tulsi</w:t>
      </w:r>
      <w:proofErr w:type="spellEnd"/>
      <w:r w:rsidRPr="00451F19">
        <w:rPr>
          <w:rFonts w:ascii="Times New Roman" w:eastAsia="Times New Roman" w:hAnsi="Times New Roman" w:cs="Times New Roman"/>
          <w:kern w:val="0"/>
          <w:sz w:val="24"/>
          <w:szCs w:val="24"/>
          <w:lang w:eastAsia="en-IN"/>
          <w14:ligatures w14:val="none"/>
        </w:rPr>
        <w:t>) is another culturally salient ethnomedicinal plant, used traditionally for respiratory complaints, stress, and general wellness. A randomized, double-blind, placebo-controlled trial of a Tulsi extract reported benefits on stress- and mood-related outcomes and sleep-related measures over an intervention period, supporting its potential as an adjunct for stress-associated symptoms (Lopresti et al., 2022). The Tulsi example again illustrates a cultivation–therapy linkage: essential oil composition and phenolic profiles are sensitive to environment and post-harvest handling, implying that clinical reproducibility may depend on careful sourcing and standardized extraction.</w:t>
      </w:r>
    </w:p>
    <w:p w14:paraId="658BED2B"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4.2 Inflammation and musculoskeletal disorders: Turmeric/curcumin preparations</w:t>
      </w:r>
    </w:p>
    <w:p w14:paraId="441667C2" w14:textId="54EA504C"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lastRenderedPageBreak/>
        <w:t xml:space="preserve">Curcuma longa (turmeric) is among India’s most widely used ethnomedicinal and culinary plants, with curcuminoids often positioned as anti-inflammatory agents. A systematic review and meta-analysis focusing on osteoarthritis found that Curcuma longa extract and curcumin supplements may reduce pain and improve function compared with placebo and may show comparable symptom improvement to non-steroidal anti-inflammatory comparators in some contexts, while exhibiting a generally </w:t>
      </w:r>
      <w:proofErr w:type="spellStart"/>
      <w:r w:rsidRPr="00451F19">
        <w:rPr>
          <w:rFonts w:ascii="Times New Roman" w:eastAsia="Times New Roman" w:hAnsi="Times New Roman" w:cs="Times New Roman"/>
          <w:kern w:val="0"/>
          <w:sz w:val="24"/>
          <w:szCs w:val="24"/>
          <w:lang w:eastAsia="en-IN"/>
          <w14:ligatures w14:val="none"/>
        </w:rPr>
        <w:t>favorable</w:t>
      </w:r>
      <w:proofErr w:type="spellEnd"/>
      <w:r w:rsidRPr="00451F19">
        <w:rPr>
          <w:rFonts w:ascii="Times New Roman" w:eastAsia="Times New Roman" w:hAnsi="Times New Roman" w:cs="Times New Roman"/>
          <w:kern w:val="0"/>
          <w:sz w:val="24"/>
          <w:szCs w:val="24"/>
          <w:lang w:eastAsia="en-IN"/>
          <w14:ligatures w14:val="none"/>
        </w:rPr>
        <w:t xml:space="preserve"> adverse-event profile in the </w:t>
      </w:r>
      <w:proofErr w:type="spellStart"/>
      <w:r w:rsidRPr="00451F19">
        <w:rPr>
          <w:rFonts w:ascii="Times New Roman" w:eastAsia="Times New Roman" w:hAnsi="Times New Roman" w:cs="Times New Roman"/>
          <w:kern w:val="0"/>
          <w:sz w:val="24"/>
          <w:szCs w:val="24"/>
          <w:lang w:eastAsia="en-IN"/>
          <w14:ligatures w14:val="none"/>
        </w:rPr>
        <w:t>analyzed</w:t>
      </w:r>
      <w:proofErr w:type="spellEnd"/>
      <w:r w:rsidRPr="00451F19">
        <w:rPr>
          <w:rFonts w:ascii="Times New Roman" w:eastAsia="Times New Roman" w:hAnsi="Times New Roman" w:cs="Times New Roman"/>
          <w:kern w:val="0"/>
          <w:sz w:val="24"/>
          <w:szCs w:val="24"/>
          <w:lang w:eastAsia="en-IN"/>
          <w14:ligatures w14:val="none"/>
        </w:rPr>
        <w:t xml:space="preserve"> trials (Zeng et al., 2021). However, the review also implicitly highlights a persistent issue: curcumin interventions vary widely in dose, formulation, and co-ingredients designed to improve bioavailability, which complicates generalization. Recent randomized clinical evidence in specific osteoarthritis phenotypes (e.g., hand osteoarthritis) continues to expand, but interpretation similarly depends on formulation and trial design (</w:t>
      </w:r>
      <w:proofErr w:type="spellStart"/>
      <w:r w:rsidR="00065726" w:rsidRPr="00065726">
        <w:rPr>
          <w:rFonts w:ascii="Times New Roman" w:eastAsia="Times New Roman" w:hAnsi="Times New Roman" w:cs="Times New Roman"/>
          <w:kern w:val="0"/>
          <w:sz w:val="24"/>
          <w:szCs w:val="24"/>
          <w:lang w:eastAsia="en-IN"/>
          <w14:ligatures w14:val="none"/>
        </w:rPr>
        <w:t>Tuntiyatorn</w:t>
      </w:r>
      <w:proofErr w:type="spellEnd"/>
      <w:r w:rsidR="00065726">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 xml:space="preserve">et al., 2025). </w:t>
      </w:r>
    </w:p>
    <w:p w14:paraId="2A974EDA"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From cultivation and processing perspectives, turmeric illustrates how value addition can shift therapeutic exposure. While raw turmeric rhizome is a traditional form, many clinical trials use extracts or enriched formulations. Rhizome maturity at harvest, curing conditions, drying temperature, and storage humidity can influence curcuminoid stability and contamination risk, implying that agronomic best practices are relevant even when the end product is an “extract.” Moreover, because turmeric is widely cultivated, contamination risks are often more connected to post-harvest handling and supply-chain mixing than to scarcity-driven adulteration, though both can occur.</w:t>
      </w:r>
    </w:p>
    <w:p w14:paraId="09B8BEB7"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4.3 Metabolic health and cardiometabolic risk: Neem and broader evidence cautions</w:t>
      </w:r>
    </w:p>
    <w:p w14:paraId="0F792AD4"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Azadirachta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indica</w:t>
      </w:r>
      <w:proofErr w:type="spellEnd"/>
      <w:r w:rsidRPr="00451F19">
        <w:rPr>
          <w:rFonts w:ascii="Times New Roman" w:eastAsia="Times New Roman" w:hAnsi="Times New Roman" w:cs="Times New Roman"/>
          <w:kern w:val="0"/>
          <w:sz w:val="24"/>
          <w:szCs w:val="24"/>
          <w:lang w:eastAsia="en-IN"/>
          <w14:ligatures w14:val="none"/>
        </w:rPr>
        <w:t xml:space="preserve"> (neem) is traditionally used in India for skin conditions, infections, and metabolic complaints, and neem-derived extracts have been studied for diverse biological activities. A broad scientific overview highlights putative anti-inflammatory, antidiabetic, and other health-relevant pathways, while also cautioning that unstandardized extracts and improper preparation conditions may pose health risks (Islas et al., 2020). Neem thereby represents a common pattern: extensive preclinical plausibility and wide traditional use, yet limited high-quality clinical evidence for specific metabolic endpoints relative to more intensively studied botanicals. For neem and many other ethnomedicinal plants used in diabetes or metabolic syndromes, the translational bottleneck often lies in the lack of well-powered, well-controlled trials using chemically characterized preparations.</w:t>
      </w:r>
    </w:p>
    <w:p w14:paraId="366CD145"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4.4 Immunomodulation and respiratory infections: lessons from the COVID-19 era</w:t>
      </w:r>
    </w:p>
    <w:p w14:paraId="07A51E22" w14:textId="7EBEAC71"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The COVID-19 era amplified public interest in “immune-boosting” ethnomedicinal plants in India and globally. Reviews of Indian medicinal plants in this context summarized a range of candidate species and mechanisms, frequently </w:t>
      </w:r>
      <w:proofErr w:type="spellStart"/>
      <w:r w:rsidRPr="00451F19">
        <w:rPr>
          <w:rFonts w:ascii="Times New Roman" w:eastAsia="Times New Roman" w:hAnsi="Times New Roman" w:cs="Times New Roman"/>
          <w:kern w:val="0"/>
          <w:sz w:val="24"/>
          <w:szCs w:val="24"/>
          <w:lang w:eastAsia="en-IN"/>
          <w14:ligatures w14:val="none"/>
        </w:rPr>
        <w:t>centered</w:t>
      </w:r>
      <w:proofErr w:type="spellEnd"/>
      <w:r w:rsidRPr="00451F19">
        <w:rPr>
          <w:rFonts w:ascii="Times New Roman" w:eastAsia="Times New Roman" w:hAnsi="Times New Roman" w:cs="Times New Roman"/>
          <w:kern w:val="0"/>
          <w:sz w:val="24"/>
          <w:szCs w:val="24"/>
          <w:lang w:eastAsia="en-IN"/>
          <w14:ligatures w14:val="none"/>
        </w:rPr>
        <w:t xml:space="preserve"> on anti-inflammatory, antiviral, and immunomodulatory pathways (</w:t>
      </w:r>
      <w:proofErr w:type="gramStart"/>
      <w:r w:rsidR="00717E34" w:rsidRPr="00717E34">
        <w:rPr>
          <w:rFonts w:ascii="Times New Roman" w:eastAsia="Times New Roman" w:hAnsi="Times New Roman" w:cs="Times New Roman"/>
          <w:kern w:val="0"/>
          <w:sz w:val="24"/>
          <w:szCs w:val="24"/>
          <w:lang w:eastAsia="en-IN"/>
          <w14:ligatures w14:val="none"/>
        </w:rPr>
        <w:t xml:space="preserve">Ahmad </w:t>
      </w:r>
      <w:r w:rsidRPr="00451F19">
        <w:rPr>
          <w:rFonts w:ascii="Times New Roman" w:eastAsia="Times New Roman" w:hAnsi="Times New Roman" w:cs="Times New Roman"/>
          <w:kern w:val="0"/>
          <w:sz w:val="24"/>
          <w:szCs w:val="24"/>
          <w:lang w:eastAsia="en-IN"/>
          <w14:ligatures w14:val="none"/>
        </w:rPr>
        <w:t xml:space="preserve"> et al.</w:t>
      </w:r>
      <w:proofErr w:type="gramEnd"/>
      <w:r w:rsidRPr="00451F19">
        <w:rPr>
          <w:rFonts w:ascii="Times New Roman" w:eastAsia="Times New Roman" w:hAnsi="Times New Roman" w:cs="Times New Roman"/>
          <w:kern w:val="0"/>
          <w:sz w:val="24"/>
          <w:szCs w:val="24"/>
          <w:lang w:eastAsia="en-IN"/>
          <w14:ligatures w14:val="none"/>
        </w:rPr>
        <w:t>, 202</w:t>
      </w:r>
      <w:r w:rsidR="00717E34">
        <w:rPr>
          <w:rFonts w:ascii="Times New Roman" w:eastAsia="Times New Roman" w:hAnsi="Times New Roman" w:cs="Times New Roman"/>
          <w:kern w:val="0"/>
          <w:sz w:val="24"/>
          <w:szCs w:val="24"/>
          <w:lang w:eastAsia="en-IN"/>
          <w14:ligatures w14:val="none"/>
        </w:rPr>
        <w:t>1</w:t>
      </w:r>
      <w:r w:rsidRPr="00451F19">
        <w:rPr>
          <w:rFonts w:ascii="Times New Roman" w:eastAsia="Times New Roman" w:hAnsi="Times New Roman" w:cs="Times New Roman"/>
          <w:kern w:val="0"/>
          <w:sz w:val="24"/>
          <w:szCs w:val="24"/>
          <w:lang w:eastAsia="en-IN"/>
          <w14:ligatures w14:val="none"/>
        </w:rPr>
        <w:t>). While such reviews helped organize hypotheses and traditional rationales, the period also revealed a major safety and governance challenge: rapid increases in consumption of certain botanicals occurred ahead of strong clinical evidence and sometimes outside supervised therapeutic contexts. This mismatch between public uptake and evidence strength underscores why pharmacovigilance and risk communication must be integral to ethnomedicinal translation, especially when products are marketed for immune enhancement.</w:t>
      </w:r>
    </w:p>
    <w:p w14:paraId="6481BE90"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lastRenderedPageBreak/>
        <w:t xml:space="preserve">4.5 Hepatoprotection and hepatotoxicity: </w:t>
      </w:r>
      <w:proofErr w:type="spellStart"/>
      <w:r w:rsidRPr="00451F19">
        <w:rPr>
          <w:rFonts w:ascii="Times New Roman" w:eastAsia="Times New Roman" w:hAnsi="Times New Roman" w:cs="Times New Roman"/>
          <w:b/>
          <w:bCs/>
          <w:kern w:val="0"/>
          <w:sz w:val="27"/>
          <w:szCs w:val="27"/>
          <w:lang w:eastAsia="en-IN"/>
          <w14:ligatures w14:val="none"/>
        </w:rPr>
        <w:t>Tinospora</w:t>
      </w:r>
      <w:proofErr w:type="spellEnd"/>
      <w:r w:rsidRPr="00451F19">
        <w:rPr>
          <w:rFonts w:ascii="Times New Roman" w:eastAsia="Times New Roman" w:hAnsi="Times New Roman" w:cs="Times New Roman"/>
          <w:b/>
          <w:bCs/>
          <w:kern w:val="0"/>
          <w:sz w:val="27"/>
          <w:szCs w:val="27"/>
          <w:lang w:eastAsia="en-IN"/>
          <w14:ligatures w14:val="none"/>
        </w:rPr>
        <w:t xml:space="preserve"> </w:t>
      </w:r>
      <w:proofErr w:type="spellStart"/>
      <w:r w:rsidRPr="00451F19">
        <w:rPr>
          <w:rFonts w:ascii="Times New Roman" w:eastAsia="Times New Roman" w:hAnsi="Times New Roman" w:cs="Times New Roman"/>
          <w:b/>
          <w:bCs/>
          <w:kern w:val="0"/>
          <w:sz w:val="27"/>
          <w:szCs w:val="27"/>
          <w:lang w:eastAsia="en-IN"/>
          <w14:ligatures w14:val="none"/>
        </w:rPr>
        <w:t>cordifolia</w:t>
      </w:r>
      <w:proofErr w:type="spellEnd"/>
      <w:r w:rsidRPr="00451F19">
        <w:rPr>
          <w:rFonts w:ascii="Times New Roman" w:eastAsia="Times New Roman" w:hAnsi="Times New Roman" w:cs="Times New Roman"/>
          <w:b/>
          <w:bCs/>
          <w:kern w:val="0"/>
          <w:sz w:val="27"/>
          <w:szCs w:val="27"/>
          <w:lang w:eastAsia="en-IN"/>
          <w14:ligatures w14:val="none"/>
        </w:rPr>
        <w:t xml:space="preserve"> as a dual-use case</w:t>
      </w:r>
    </w:p>
    <w:p w14:paraId="60788DB3"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Tinospora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cordifolia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w:t>
      </w:r>
      <w:proofErr w:type="spellStart"/>
      <w:r w:rsidRPr="00451F19">
        <w:rPr>
          <w:rFonts w:ascii="Times New Roman" w:eastAsia="Times New Roman" w:hAnsi="Times New Roman" w:cs="Times New Roman"/>
          <w:kern w:val="0"/>
          <w:sz w:val="24"/>
          <w:szCs w:val="24"/>
          <w:lang w:eastAsia="en-IN"/>
          <w14:ligatures w14:val="none"/>
        </w:rPr>
        <w:t>Guduchi</w:t>
      </w:r>
      <w:proofErr w:type="spellEnd"/>
      <w:r w:rsidRPr="00451F19">
        <w:rPr>
          <w:rFonts w:ascii="Times New Roman" w:eastAsia="Times New Roman" w:hAnsi="Times New Roman" w:cs="Times New Roman"/>
          <w:kern w:val="0"/>
          <w:sz w:val="24"/>
          <w:szCs w:val="24"/>
          <w:lang w:eastAsia="en-IN"/>
          <w14:ligatures w14:val="none"/>
        </w:rPr>
        <w:t xml:space="preserve">) is traditionally used for fever, metabolic complaints, and general rejuvenation, and it is often described as an immunomodulatory plant. A recent narrative review in a pharmacy/pharmacology journal discusses </w:t>
      </w:r>
      <w:proofErr w:type="spellStart"/>
      <w:r w:rsidRPr="00451F19">
        <w:rPr>
          <w:rFonts w:ascii="Times New Roman" w:eastAsia="Times New Roman" w:hAnsi="Times New Roman" w:cs="Times New Roman"/>
          <w:kern w:val="0"/>
          <w:sz w:val="24"/>
          <w:szCs w:val="24"/>
          <w:lang w:eastAsia="en-IN"/>
          <w14:ligatures w14:val="none"/>
        </w:rPr>
        <w:t>Tinospora’s</w:t>
      </w:r>
      <w:proofErr w:type="spellEnd"/>
      <w:r w:rsidRPr="00451F19">
        <w:rPr>
          <w:rFonts w:ascii="Times New Roman" w:eastAsia="Times New Roman" w:hAnsi="Times New Roman" w:cs="Times New Roman"/>
          <w:kern w:val="0"/>
          <w:sz w:val="24"/>
          <w:szCs w:val="24"/>
          <w:lang w:eastAsia="en-IN"/>
          <w14:ligatures w14:val="none"/>
        </w:rPr>
        <w:t xml:space="preserve"> traditional uses, proposed hepatoprotective mechanisms, bioactive constituents, and toxicity concerns, reflecting ongoing debate about how to reconcile traditional claims of safety with modern reports of harm under certain usage patterns (Balkrishna et al., 2024). The critical safety issue is herb-induced liver injury associated with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use during heightened consumption periods. A multi-</w:t>
      </w:r>
      <w:proofErr w:type="spellStart"/>
      <w:r w:rsidRPr="00451F19">
        <w:rPr>
          <w:rFonts w:ascii="Times New Roman" w:eastAsia="Times New Roman" w:hAnsi="Times New Roman" w:cs="Times New Roman"/>
          <w:kern w:val="0"/>
          <w:sz w:val="24"/>
          <w:szCs w:val="24"/>
          <w:lang w:eastAsia="en-IN"/>
          <w14:ligatures w14:val="none"/>
        </w:rPr>
        <w:t>center</w:t>
      </w:r>
      <w:proofErr w:type="spellEnd"/>
      <w:r w:rsidRPr="00451F19">
        <w:rPr>
          <w:rFonts w:ascii="Times New Roman" w:eastAsia="Times New Roman" w:hAnsi="Times New Roman" w:cs="Times New Roman"/>
          <w:kern w:val="0"/>
          <w:sz w:val="24"/>
          <w:szCs w:val="24"/>
          <w:lang w:eastAsia="en-IN"/>
          <w14:ligatures w14:val="none"/>
        </w:rPr>
        <w:t xml:space="preserve"> retrospective study </w:t>
      </w:r>
      <w:proofErr w:type="spellStart"/>
      <w:r w:rsidRPr="00451F19">
        <w:rPr>
          <w:rFonts w:ascii="Times New Roman" w:eastAsia="Times New Roman" w:hAnsi="Times New Roman" w:cs="Times New Roman"/>
          <w:kern w:val="0"/>
          <w:sz w:val="24"/>
          <w:szCs w:val="24"/>
          <w:lang w:eastAsia="en-IN"/>
          <w14:ligatures w14:val="none"/>
        </w:rPr>
        <w:t>analyzing</w:t>
      </w:r>
      <w:proofErr w:type="spellEnd"/>
      <w:r w:rsidRPr="00451F19">
        <w:rPr>
          <w:rFonts w:ascii="Times New Roman" w:eastAsia="Times New Roman" w:hAnsi="Times New Roman" w:cs="Times New Roman"/>
          <w:kern w:val="0"/>
          <w:sz w:val="24"/>
          <w:szCs w:val="24"/>
          <w:lang w:eastAsia="en-IN"/>
          <w14:ligatures w14:val="none"/>
        </w:rPr>
        <w:t xml:space="preserve"> liver injury temporally associated with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use reported autoimmune-like features in some cases and included chemical/toxicological analyses of retrieved samples, reinforcing that safety outcomes can be influenced by product composition, sourcing, and user context (Kulkarni et al., 2022). </w:t>
      </w:r>
    </w:p>
    <w:p w14:paraId="0BE101BE" w14:textId="58A6F2AE"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451F19">
        <w:rPr>
          <w:rFonts w:ascii="Times New Roman" w:eastAsia="Times New Roman" w:hAnsi="Times New Roman" w:cs="Times New Roman"/>
          <w:kern w:val="0"/>
          <w:sz w:val="24"/>
          <w:szCs w:val="24"/>
          <w:lang w:eastAsia="en-IN"/>
          <w14:ligatures w14:val="none"/>
        </w:rPr>
        <w:t>Tinospora</w:t>
      </w:r>
      <w:proofErr w:type="spellEnd"/>
      <w:r w:rsidRPr="00451F19">
        <w:rPr>
          <w:rFonts w:ascii="Times New Roman" w:eastAsia="Times New Roman" w:hAnsi="Times New Roman" w:cs="Times New Roman"/>
          <w:kern w:val="0"/>
          <w:sz w:val="24"/>
          <w:szCs w:val="24"/>
          <w:lang w:eastAsia="en-IN"/>
          <w14:ligatures w14:val="none"/>
        </w:rPr>
        <w:t xml:space="preserve"> therefore illustrates a key reality for ethnomedicinal plants: a single plant can have both plausible therapeutic roles and meaningful risk under uncontrolled, misidentified, or high-dose use. It also demonstrates the relevance of authentication: confusion with related species has been discussed in hepatotoxicity debates, and DNA-based identification tools can reduce </w:t>
      </w:r>
      <w:proofErr w:type="spellStart"/>
      <w:r w:rsidRPr="00451F19">
        <w:rPr>
          <w:rFonts w:ascii="Times New Roman" w:eastAsia="Times New Roman" w:hAnsi="Times New Roman" w:cs="Times New Roman"/>
          <w:kern w:val="0"/>
          <w:sz w:val="24"/>
          <w:szCs w:val="24"/>
          <w:lang w:eastAsia="en-IN"/>
          <w14:ligatures w14:val="none"/>
        </w:rPr>
        <w:t>mislabeling</w:t>
      </w:r>
      <w:proofErr w:type="spellEnd"/>
      <w:r w:rsidRPr="00451F19">
        <w:rPr>
          <w:rFonts w:ascii="Times New Roman" w:eastAsia="Times New Roman" w:hAnsi="Times New Roman" w:cs="Times New Roman"/>
          <w:kern w:val="0"/>
          <w:sz w:val="24"/>
          <w:szCs w:val="24"/>
          <w:lang w:eastAsia="en-IN"/>
          <w14:ligatures w14:val="none"/>
        </w:rPr>
        <w:t xml:space="preserve"> risks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xml:space="preserve">). For cultivation systems, </w:t>
      </w:r>
      <w:proofErr w:type="spellStart"/>
      <w:r w:rsidRPr="00451F19">
        <w:rPr>
          <w:rFonts w:ascii="Times New Roman" w:eastAsia="Times New Roman" w:hAnsi="Times New Roman" w:cs="Times New Roman"/>
          <w:kern w:val="0"/>
          <w:sz w:val="24"/>
          <w:szCs w:val="24"/>
          <w:lang w:eastAsia="en-IN"/>
          <w14:ligatures w14:val="none"/>
        </w:rPr>
        <w:t>Tinospora</w:t>
      </w:r>
      <w:proofErr w:type="spellEnd"/>
      <w:r w:rsidRPr="00451F19">
        <w:rPr>
          <w:rFonts w:ascii="Times New Roman" w:eastAsia="Times New Roman" w:hAnsi="Times New Roman" w:cs="Times New Roman"/>
          <w:kern w:val="0"/>
          <w:sz w:val="24"/>
          <w:szCs w:val="24"/>
          <w:lang w:eastAsia="en-IN"/>
          <w14:ligatures w14:val="none"/>
        </w:rPr>
        <w:t xml:space="preserve"> emphasizes that scaling production must be coupled with stronger identity and quality assurance, not merely increased biomass supply.</w:t>
      </w:r>
    </w:p>
    <w:p w14:paraId="520C9736"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4.6 High-altitude and region-specific ethnomedicinal plants: sustainability and clinical gaps</w:t>
      </w:r>
    </w:p>
    <w:p w14:paraId="6E05B45D" w14:textId="4F077A42" w:rsidR="00451F19" w:rsidRPr="00451F19" w:rsidRDefault="00451F19" w:rsidP="00717E3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India’s mountainous regions contribute unique ethnomedicinal taxa, many of which face collection pressure due to slow growth and restricted habitats. Reviews of high-altitude medicinal plants, such as </w:t>
      </w:r>
      <w:proofErr w:type="spellStart"/>
      <w:r w:rsidRPr="00717E34">
        <w:rPr>
          <w:rFonts w:ascii="Times New Roman" w:eastAsia="Times New Roman" w:hAnsi="Times New Roman" w:cs="Times New Roman"/>
          <w:i/>
          <w:iCs/>
          <w:kern w:val="0"/>
          <w:sz w:val="24"/>
          <w:szCs w:val="24"/>
          <w:lang w:eastAsia="en-IN"/>
          <w14:ligatures w14:val="none"/>
        </w:rPr>
        <w:t>Nardostachys</w:t>
      </w:r>
      <w:proofErr w:type="spellEnd"/>
      <w:r w:rsidRPr="00717E34">
        <w:rPr>
          <w:rFonts w:ascii="Times New Roman" w:eastAsia="Times New Roman" w:hAnsi="Times New Roman" w:cs="Times New Roman"/>
          <w:i/>
          <w:iCs/>
          <w:kern w:val="0"/>
          <w:sz w:val="24"/>
          <w:szCs w:val="24"/>
          <w:lang w:eastAsia="en-IN"/>
          <w14:ligatures w14:val="none"/>
        </w:rPr>
        <w:t xml:space="preserve"> </w:t>
      </w:r>
      <w:proofErr w:type="spellStart"/>
      <w:r w:rsidRPr="00717E34">
        <w:rPr>
          <w:rFonts w:ascii="Times New Roman" w:eastAsia="Times New Roman" w:hAnsi="Times New Roman" w:cs="Times New Roman"/>
          <w:i/>
          <w:iCs/>
          <w:kern w:val="0"/>
          <w:sz w:val="24"/>
          <w:szCs w:val="24"/>
          <w:lang w:eastAsia="en-IN"/>
          <w14:ligatures w14:val="none"/>
        </w:rPr>
        <w:t>jatamansi</w:t>
      </w:r>
      <w:proofErr w:type="spellEnd"/>
      <w:r w:rsidRPr="00451F19">
        <w:rPr>
          <w:rFonts w:ascii="Times New Roman" w:eastAsia="Times New Roman" w:hAnsi="Times New Roman" w:cs="Times New Roman"/>
          <w:kern w:val="0"/>
          <w:sz w:val="24"/>
          <w:szCs w:val="24"/>
          <w:lang w:eastAsia="en-IN"/>
          <w14:ligatures w14:val="none"/>
        </w:rPr>
        <w:t>, highlight pharmacological potential and traditional relevance while also underscoring conservation and cultivation challenges (</w:t>
      </w:r>
      <w:r w:rsidR="00717E34">
        <w:rPr>
          <w:rFonts w:ascii="Times New Roman" w:eastAsia="Times New Roman" w:hAnsi="Times New Roman" w:cs="Times New Roman"/>
          <w:kern w:val="0"/>
          <w:sz w:val="24"/>
          <w:szCs w:val="24"/>
          <w:lang w:eastAsia="en-IN"/>
          <w14:ligatures w14:val="none"/>
        </w:rPr>
        <w:t xml:space="preserve">Pathak and </w:t>
      </w:r>
      <w:proofErr w:type="spellStart"/>
      <w:r w:rsidR="00717E34">
        <w:rPr>
          <w:rFonts w:ascii="Times New Roman" w:eastAsia="Times New Roman" w:hAnsi="Times New Roman" w:cs="Times New Roman"/>
          <w:kern w:val="0"/>
          <w:sz w:val="24"/>
          <w:szCs w:val="24"/>
          <w:lang w:eastAsia="en-IN"/>
          <w14:ligatures w14:val="none"/>
        </w:rPr>
        <w:t>Godela</w:t>
      </w:r>
      <w:proofErr w:type="spellEnd"/>
      <w:r w:rsidR="00717E34">
        <w:rPr>
          <w:rFonts w:ascii="Times New Roman" w:eastAsia="Times New Roman" w:hAnsi="Times New Roman" w:cs="Times New Roman"/>
          <w:kern w:val="0"/>
          <w:sz w:val="24"/>
          <w:szCs w:val="24"/>
          <w:lang w:eastAsia="en-IN"/>
          <w14:ligatures w14:val="none"/>
        </w:rPr>
        <w:t>, 2024</w:t>
      </w:r>
      <w:r w:rsidRPr="00451F19">
        <w:rPr>
          <w:rFonts w:ascii="Times New Roman" w:eastAsia="Times New Roman" w:hAnsi="Times New Roman" w:cs="Times New Roman"/>
          <w:kern w:val="0"/>
          <w:sz w:val="24"/>
          <w:szCs w:val="24"/>
          <w:lang w:eastAsia="en-IN"/>
          <w14:ligatures w14:val="none"/>
        </w:rPr>
        <w:t xml:space="preserve">). These plants often have limited clinical evidence relative to widely commercialized species, making sustainability and ethical sourcing even more critical: when evidence is preliminary, overharvesting cannot be justified by speculative benefits. Ex situ conservation planning for threatened medicinal plants provides a framework for aligning cultivation and conservation priorities, particularly for taxa that are difficult to cultivate or slow to regenerate (Gowthami et al., 2021). </w:t>
      </w:r>
    </w:p>
    <w:p w14:paraId="6BE54034" w14:textId="77777777" w:rsidR="00451F19" w:rsidRPr="00451F19" w:rsidRDefault="00451F19"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5. Integrating cultivation, quality systems, and therapeutic translation</w:t>
      </w:r>
    </w:p>
    <w:p w14:paraId="735C0759" w14:textId="1EE59768"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5.1 From “plant name” to clinically reproducible material</w:t>
      </w:r>
    </w:p>
    <w:p w14:paraId="18E621E6" w14:textId="1A9375A8"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Integrating cultivation with therapeutic translation requires treating medicinal-plant interventions as end-to-end systems rather than as static “plant names.” In practice, the same ethnomedicinal plant can yield materially different therapeutic exposures depending on germplasm identity, agroecological conditions, agronomic inputs, harvest indices, and post-harvest processing. Quality therefore must be designed upstream, not merely tested downstream. Comparative analyses of good agricultural and collection practice frameworks </w:t>
      </w:r>
      <w:r w:rsidRPr="00451F19">
        <w:rPr>
          <w:rFonts w:ascii="Times New Roman" w:eastAsia="Times New Roman" w:hAnsi="Times New Roman" w:cs="Times New Roman"/>
          <w:kern w:val="0"/>
          <w:sz w:val="24"/>
          <w:szCs w:val="24"/>
          <w:lang w:eastAsia="en-IN"/>
          <w14:ligatures w14:val="none"/>
        </w:rPr>
        <w:lastRenderedPageBreak/>
        <w:t>emphasize that consistent clinical performance depends on documented control points across production environments, raw-material identity, harvest/processing, and traceability, because gaps at any stage can yield inconsistent or unsafe products (Zhang et al., 2021). This logic is directly relevant in India, where cultivation expansion is often geographically diverse and supply chains can involve multiple intermediaries; without process-level controls and auditable records, even well-designed clinical evidence may fail to translate into real-world effectiveness because the marketed material drifts chemically and biologically from trial material.</w:t>
      </w:r>
    </w:p>
    <w:p w14:paraId="11348354" w14:textId="3F6ED94F" w:rsidR="00451F19" w:rsidRPr="00451F19" w:rsidRDefault="00451F19" w:rsidP="00451F19">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5.2 Multi-modal authentication and specification setting</w:t>
      </w:r>
    </w:p>
    <w:p w14:paraId="368F3471" w14:textId="6897EFAE"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core integration challenge is identity assurance. Morphology-based identification is vulnerable when raw material is traded as dried slices or powders, and this vulnerability increases when demand rises quickly. DNA-based tools are increasingly positioned as complementary safeguards to classical pharmacognosy and chemistry. A recent Microchemical Journal review focused on DNA barcoding for adulteration detection in the Indian herbal medicine market highlights how sequence-based identification can help detect substitution and protect consumers, particularly when combined with other analytical approaches (Aswin et al., 202</w:t>
      </w:r>
      <w:r w:rsidR="00065726">
        <w:rPr>
          <w:rFonts w:ascii="Times New Roman" w:eastAsia="Times New Roman" w:hAnsi="Times New Roman" w:cs="Times New Roman"/>
          <w:kern w:val="0"/>
          <w:sz w:val="24"/>
          <w:szCs w:val="24"/>
          <w:lang w:eastAsia="en-IN"/>
          <w14:ligatures w14:val="none"/>
        </w:rPr>
        <w:t>6</w:t>
      </w:r>
      <w:r w:rsidRPr="00451F19">
        <w:rPr>
          <w:rFonts w:ascii="Times New Roman" w:eastAsia="Times New Roman" w:hAnsi="Times New Roman" w:cs="Times New Roman"/>
          <w:kern w:val="0"/>
          <w:sz w:val="24"/>
          <w:szCs w:val="24"/>
          <w:lang w:eastAsia="en-IN"/>
          <w14:ligatures w14:val="none"/>
        </w:rPr>
        <w:t>). However, identity alone is not sufficient for therapeutic reproducibility; specification setting requires chemistry. For widely commercialized Indian ethnomedicinal plants, validated chromatographic methods enable manufacturers and researchers to define what constitutes an acceptable batch. For example, a robust high-performance thin-layer chromatography method for quantifying key Ashwagandha constituents illustrates how marker-based assays support batch release, adulteration screening, and comparability across plant parts and preparations (</w:t>
      </w:r>
      <w:r w:rsidR="00717E34" w:rsidRPr="00717E34">
        <w:rPr>
          <w:rFonts w:ascii="Times New Roman" w:eastAsia="Times New Roman" w:hAnsi="Times New Roman" w:cs="Times New Roman"/>
          <w:kern w:val="0"/>
          <w:sz w:val="24"/>
          <w:szCs w:val="24"/>
          <w:lang w:eastAsia="en-IN"/>
          <w14:ligatures w14:val="none"/>
        </w:rPr>
        <w:t>Ghoshal</w:t>
      </w:r>
      <w:r w:rsidRPr="00451F19">
        <w:rPr>
          <w:rFonts w:ascii="Times New Roman" w:eastAsia="Times New Roman" w:hAnsi="Times New Roman" w:cs="Times New Roman"/>
          <w:kern w:val="0"/>
          <w:sz w:val="24"/>
          <w:szCs w:val="24"/>
          <w:lang w:eastAsia="en-IN"/>
          <w14:ligatures w14:val="none"/>
        </w:rPr>
        <w:t xml:space="preserve"> et al., 2022). At the same time, reliance on a small number of markers can miss broader phytochemical shifts, especially where multiple constituents contribute to bioactivity. Metabolomics-based fingerprinting is therefore increasingly discussed as a “whole-profile” quality approach that can complement marker assays and improve linkage between cultivation conditions, chemical composition, and expected biological activity (Ji et al., 2024).</w:t>
      </w:r>
    </w:p>
    <w:p w14:paraId="38C74391" w14:textId="26156C39"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5.3 Safety as a cultivation-to-clinic continuity requirement</w:t>
      </w:r>
    </w:p>
    <w:p w14:paraId="45316888" w14:textId="4EEBC8B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Integration also demands that safety be treated as a continuous property across the value chain. Heavy-metal contamination is a concrete example of how upstream conditions can undermine downstream therapeutic goals. Empirical analyses of herbal raw drugs traded in India show that a measurable fraction of samples can exceed </w:t>
      </w:r>
      <w:proofErr w:type="spellStart"/>
      <w:r w:rsidRPr="00451F19">
        <w:rPr>
          <w:rFonts w:ascii="Times New Roman" w:eastAsia="Times New Roman" w:hAnsi="Times New Roman" w:cs="Times New Roman"/>
          <w:kern w:val="0"/>
          <w:sz w:val="24"/>
          <w:szCs w:val="24"/>
          <w:lang w:eastAsia="en-IN"/>
          <w14:ligatures w14:val="none"/>
        </w:rPr>
        <w:t>pharmacopoeial</w:t>
      </w:r>
      <w:proofErr w:type="spellEnd"/>
      <w:r w:rsidRPr="00451F19">
        <w:rPr>
          <w:rFonts w:ascii="Times New Roman" w:eastAsia="Times New Roman" w:hAnsi="Times New Roman" w:cs="Times New Roman"/>
          <w:kern w:val="0"/>
          <w:sz w:val="24"/>
          <w:szCs w:val="24"/>
          <w:lang w:eastAsia="en-IN"/>
          <w14:ligatures w14:val="none"/>
        </w:rPr>
        <w:t xml:space="preserve"> limits for metals such as cadmium, mercury, lead, or arsenic, and that risk varies across materials and sourcing contexts (Bisht et al., 2022). Complementary work evaluating marketed Ayurvedic herbal products similarly demonstrates that heavy metals can be detected and that risk assessment depends on the measured concentrations and recommended intake levels, underscoring the need for routine monitoring and supplier qualification (Deswal et al., 2022). These findings reinforce that “therapeutic translation” is not simply the transfer of efficacy claims into products; it is the transfer of an evidence-backed benefit–risk profile into a reproducible, verifiably safe commodity. The practical implication is that cultivation site selection (soil/water quality baselining), post-harvest infrastructure (dust and cross-contamination control), and procurement contracts (incentivizing compliant lots) must be embedded into quality systems rather than treated as optional add-ons.</w:t>
      </w:r>
    </w:p>
    <w:p w14:paraId="4BA56C3D" w14:textId="467FF523" w:rsidR="00451F19" w:rsidRPr="00451F19" w:rsidRDefault="00451F19" w:rsidP="00451F19">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451F19">
        <w:rPr>
          <w:rFonts w:ascii="Times New Roman" w:eastAsia="Times New Roman" w:hAnsi="Times New Roman" w:cs="Times New Roman"/>
          <w:b/>
          <w:bCs/>
          <w:kern w:val="0"/>
          <w:sz w:val="24"/>
          <w:szCs w:val="24"/>
          <w:lang w:eastAsia="en-IN"/>
          <w14:ligatures w14:val="none"/>
        </w:rPr>
        <w:t>5.4 Pharmacovigilance feedback loops and adaptive quality management</w:t>
      </w:r>
    </w:p>
    <w:p w14:paraId="4D2D4BED" w14:textId="68EE3C4F"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lastRenderedPageBreak/>
        <w:t xml:space="preserve">Finally, integration must include feedback loops from clinics and consumers back to cultivation and manufacturing. The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Tinospora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cordifolia</w:t>
      </w:r>
      <w:proofErr w:type="spellEnd"/>
      <w:r w:rsidRPr="00451F19">
        <w:rPr>
          <w:rFonts w:ascii="Times New Roman" w:eastAsia="Times New Roman" w:hAnsi="Times New Roman" w:cs="Times New Roman"/>
          <w:kern w:val="0"/>
          <w:sz w:val="24"/>
          <w:szCs w:val="24"/>
          <w:lang w:eastAsia="en-IN"/>
          <w14:ligatures w14:val="none"/>
        </w:rPr>
        <w:t xml:space="preserve">) experience illustrates why. A </w:t>
      </w:r>
      <w:proofErr w:type="spellStart"/>
      <w:r w:rsidRPr="00451F19">
        <w:rPr>
          <w:rFonts w:ascii="Times New Roman" w:eastAsia="Times New Roman" w:hAnsi="Times New Roman" w:cs="Times New Roman"/>
          <w:kern w:val="0"/>
          <w:sz w:val="24"/>
          <w:szCs w:val="24"/>
          <w:lang w:eastAsia="en-IN"/>
          <w14:ligatures w14:val="none"/>
        </w:rPr>
        <w:t>multicenter</w:t>
      </w:r>
      <w:proofErr w:type="spellEnd"/>
      <w:r w:rsidRPr="00451F19">
        <w:rPr>
          <w:rFonts w:ascii="Times New Roman" w:eastAsia="Times New Roman" w:hAnsi="Times New Roman" w:cs="Times New Roman"/>
          <w:kern w:val="0"/>
          <w:sz w:val="24"/>
          <w:szCs w:val="24"/>
          <w:lang w:eastAsia="en-IN"/>
          <w14:ligatures w14:val="none"/>
        </w:rPr>
        <w:t xml:space="preserve"> study on liver injury temporally associated with </w:t>
      </w:r>
      <w:proofErr w:type="spellStart"/>
      <w:r w:rsidRPr="00451F19">
        <w:rPr>
          <w:rFonts w:ascii="Times New Roman" w:eastAsia="Times New Roman" w:hAnsi="Times New Roman" w:cs="Times New Roman"/>
          <w:kern w:val="0"/>
          <w:sz w:val="24"/>
          <w:szCs w:val="24"/>
          <w:lang w:eastAsia="en-IN"/>
          <w14:ligatures w14:val="none"/>
        </w:rPr>
        <w:t>Giloy</w:t>
      </w:r>
      <w:proofErr w:type="spellEnd"/>
      <w:r w:rsidRPr="00451F19">
        <w:rPr>
          <w:rFonts w:ascii="Times New Roman" w:eastAsia="Times New Roman" w:hAnsi="Times New Roman" w:cs="Times New Roman"/>
          <w:kern w:val="0"/>
          <w:sz w:val="24"/>
          <w:szCs w:val="24"/>
          <w:lang w:eastAsia="en-IN"/>
          <w14:ligatures w14:val="none"/>
        </w:rPr>
        <w:t xml:space="preserve"> use during the COVID-19 period reported autoimmune-like features in a subset of cases and included chemical/toxicological assessments of retrieved samples, emphasizing that real-world harm signals can emerge when usage increases rapidly and products vary in composition or identity (Kulkarni et al., 2022). Such evidence argues for adaptive quality management: when adverse-event clusters appear, the response should not stop at clinical advisories. It should trigger targeted audits of raw material identity (including DNA-based checks where appropriate), batch chemistry, contaminant screening, and traceability back to cultivation geographies and processors. In this way, cultivation and therapeutic translation become coupled through continuous learning: agronomic choices and sourcing decisions are iteratively refined based on analytical outcomes and post-market safety data, aligning the ethnomedicinal sector with the reproducibility expectations of high-quality clinical science (Zhang et al., 2021; Ji et al., 2024).</w:t>
      </w:r>
    </w:p>
    <w:p w14:paraId="5DC6AA7F" w14:textId="77777777" w:rsidR="00451F19" w:rsidRPr="00451F19" w:rsidRDefault="00451F19"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451F19">
        <w:rPr>
          <w:rFonts w:ascii="Times New Roman" w:eastAsia="Times New Roman" w:hAnsi="Times New Roman" w:cs="Times New Roman"/>
          <w:b/>
          <w:bCs/>
          <w:kern w:val="0"/>
          <w:sz w:val="36"/>
          <w:szCs w:val="36"/>
          <w:lang w:eastAsia="en-IN"/>
          <w14:ligatures w14:val="none"/>
        </w:rPr>
        <w:t>6. Challenges and emerging directions for India’s ethnomedicinal plant sector</w:t>
      </w:r>
    </w:p>
    <w:p w14:paraId="6E1395EA"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6.1. Resource pressure, biodiversity loss, and conservation triage</w:t>
      </w:r>
    </w:p>
    <w:p w14:paraId="006B2F11" w14:textId="633613BF"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A persistent structural challenge for India’s ethnomedicinal plant sector is the imbalance between demand growth and the ecological limits of wild collection. Even where cultivation has expanded, a large fraction of commercial biomass for many botanicals still originates from forests and other common-use landscapes, creating chronic risks of local depletion, genetic erosion, and supply volatility. A consolidated national assessment of threatened medicinal plants underscores that a sizeable subset of India’s medicinal flora is already under measurable threat, and it emphasizes the need for prioritization frameworks that connect threat status to targeted conservation actions (Gowthami et al., 2021). A forward-looking priority is to move from ad hoc “species rescue” to an integrated triage model that couples (</w:t>
      </w:r>
      <w:proofErr w:type="spellStart"/>
      <w:r w:rsidRPr="00451F19">
        <w:rPr>
          <w:rFonts w:ascii="Times New Roman" w:eastAsia="Times New Roman" w:hAnsi="Times New Roman" w:cs="Times New Roman"/>
          <w:kern w:val="0"/>
          <w:sz w:val="24"/>
          <w:szCs w:val="24"/>
          <w:lang w:eastAsia="en-IN"/>
          <w14:ligatures w14:val="none"/>
        </w:rPr>
        <w:t>i</w:t>
      </w:r>
      <w:proofErr w:type="spellEnd"/>
      <w:r w:rsidRPr="00451F19">
        <w:rPr>
          <w:rFonts w:ascii="Times New Roman" w:eastAsia="Times New Roman" w:hAnsi="Times New Roman" w:cs="Times New Roman"/>
          <w:kern w:val="0"/>
          <w:sz w:val="24"/>
          <w:szCs w:val="24"/>
          <w:lang w:eastAsia="en-IN"/>
          <w14:ligatures w14:val="none"/>
        </w:rPr>
        <w:t>) landscape-level habitat protection, (ii) community-led stewardship and regulated harvest protocols, and (iii) species-specific propagation pipelines for high-risk taxa. This integration is particularly important because threatened species are often those with narrow ecological niches and/or slow regeneration—traits that amplify vulnerability when commercial demand surges</w:t>
      </w:r>
      <w:r w:rsidR="00717E34">
        <w:rPr>
          <w:rFonts w:ascii="Times New Roman" w:eastAsia="Times New Roman" w:hAnsi="Times New Roman" w:cs="Times New Roman"/>
          <w:kern w:val="0"/>
          <w:sz w:val="24"/>
          <w:szCs w:val="24"/>
          <w:lang w:eastAsia="en-IN"/>
          <w14:ligatures w14:val="none"/>
        </w:rPr>
        <w:t xml:space="preserve"> (</w:t>
      </w:r>
      <w:r w:rsidR="00717E34" w:rsidRPr="00717E34">
        <w:rPr>
          <w:rFonts w:ascii="Times New Roman" w:eastAsia="Times New Roman" w:hAnsi="Times New Roman" w:cs="Times New Roman"/>
          <w:kern w:val="0"/>
          <w:sz w:val="24"/>
          <w:szCs w:val="24"/>
          <w:lang w:eastAsia="en-IN"/>
          <w14:ligatures w14:val="none"/>
        </w:rPr>
        <w:t>Sahu et al., 2025</w:t>
      </w:r>
      <w:r w:rsidR="00717E34">
        <w:rPr>
          <w:rFonts w:ascii="Times New Roman" w:eastAsia="Times New Roman" w:hAnsi="Times New Roman" w:cs="Times New Roman"/>
          <w:kern w:val="0"/>
          <w:sz w:val="24"/>
          <w:szCs w:val="24"/>
          <w:lang w:eastAsia="en-IN"/>
          <w14:ligatures w14:val="none"/>
        </w:rPr>
        <w:t>)</w:t>
      </w:r>
      <w:r w:rsidRPr="00451F19">
        <w:rPr>
          <w:rFonts w:ascii="Times New Roman" w:eastAsia="Times New Roman" w:hAnsi="Times New Roman" w:cs="Times New Roman"/>
          <w:kern w:val="0"/>
          <w:sz w:val="24"/>
          <w:szCs w:val="24"/>
          <w:lang w:eastAsia="en-IN"/>
          <w14:ligatures w14:val="none"/>
        </w:rPr>
        <w:t>.</w:t>
      </w:r>
    </w:p>
    <w:p w14:paraId="2AF958CC"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6.2. Climate stress, shifting suitability, and phytochemical uncertainty</w:t>
      </w:r>
    </w:p>
    <w:p w14:paraId="3AD057BD"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Climate change adds a new layer of complexity by altering cultivation suitability, phenology, pest–pathogen pressure, and—critically for therapeutics—secondary metabolite profiles. Reviews synthesizing global evidence show that climate-driven changes can shift distributions and affect both productivity and phytochemical composition, with downstream implications for standardization and clinical reproducibility (Zaman et al., 2025). Translating this to India’s ethnomedicinal pipeline implies that “place-based” traditional knowledge and sourcing norms may face rapid ecological re-mapping, while industrial buyers may see increased batch-to-batch variability unless climate-smart agronomy and adaptive quality systems are implemented. Emerging directions include climate-resilient cultivar development, assisted migration trials for select species, and predictive suitability mapping linked to metabolomic benchmarks. More broadly, there is a growing call for “new” research </w:t>
      </w:r>
      <w:r w:rsidRPr="00451F19">
        <w:rPr>
          <w:rFonts w:ascii="Times New Roman" w:eastAsia="Times New Roman" w:hAnsi="Times New Roman" w:cs="Times New Roman"/>
          <w:kern w:val="0"/>
          <w:sz w:val="24"/>
          <w:szCs w:val="24"/>
          <w:lang w:eastAsia="en-IN"/>
          <w14:ligatures w14:val="none"/>
        </w:rPr>
        <w:lastRenderedPageBreak/>
        <w:t>strategies that connect climate vulnerability assessment, conservation planning, and supply-chain governance into a single sustainability science agenda for medicinal plants (Mykhailenko et al., 2025).</w:t>
      </w:r>
    </w:p>
    <w:p w14:paraId="65C2B387"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6.3. Adulteration, substitution, and the credibility gap in markets</w:t>
      </w:r>
    </w:p>
    <w:p w14:paraId="796E3DAC"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Quality and authenticity remain central bottlenecks, especially where long, fragmented supply chains separate collectors and smallholders from processors and brand owners. Adulteration and substitution can be economically motivated, accidental (misidentification), or culturally embedded (local replacements), but all can undermine safety, efficacy, and global credibility. Recent syntheses highlight DNA barcoding as a practical response for detecting adulterants in the Indian herbal marketplace and for strengthening authentication where morphology-based identification fails after drying, powdering, or extraction (Aswin et al., 2026). In parallel, broader methodological reviews describe the maturation of DNA barcoding into “post-barcoding” workflows—such as mini-barcodes for degraded DNA, plastid genome “super-barcodes,” and metabarcoding approaches for complex mixtures—thereby expanding feasibility for routine quality assurance (Chen et al., 2023). The emerging direction is not merely adopting molecular tools, but embedding them into risk-based quality systems: verifying raw materials at entry, auditing intermediaries, and aligning molecular authentication with chemical fingerprinting and contaminant testing in a harmonized release protocol.</w:t>
      </w:r>
    </w:p>
    <w:p w14:paraId="1540E473"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6.4. Standardization and regulatory modernization for translational legitimacy</w:t>
      </w:r>
    </w:p>
    <w:p w14:paraId="7588D815" w14:textId="77777777"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Therapeutic translation requires a credible bridge from traditional use to reproducible products that meet stringent quality and safety expectations. A critical review of standardization needs for Indian medicinal plants emphasizes persistent gaps in robust monographs, validated analytical parameters, and consistent implementation of quality control across the value chain (</w:t>
      </w:r>
      <w:proofErr w:type="spellStart"/>
      <w:r w:rsidRPr="00451F19">
        <w:rPr>
          <w:rFonts w:ascii="Times New Roman" w:eastAsia="Times New Roman" w:hAnsi="Times New Roman" w:cs="Times New Roman"/>
          <w:kern w:val="0"/>
          <w:sz w:val="24"/>
          <w:szCs w:val="24"/>
          <w:lang w:eastAsia="en-IN"/>
          <w14:ligatures w14:val="none"/>
        </w:rPr>
        <w:t>Kaundal</w:t>
      </w:r>
      <w:proofErr w:type="spellEnd"/>
      <w:r w:rsidRPr="00451F19">
        <w:rPr>
          <w:rFonts w:ascii="Times New Roman" w:eastAsia="Times New Roman" w:hAnsi="Times New Roman" w:cs="Times New Roman"/>
          <w:kern w:val="0"/>
          <w:sz w:val="24"/>
          <w:szCs w:val="24"/>
          <w:lang w:eastAsia="en-IN"/>
          <w14:ligatures w14:val="none"/>
        </w:rPr>
        <w:t xml:space="preserve"> &amp; Kumar, 2025). This points to a sector-wide challenge: India’s ethnomedicinal strengths—diversity of </w:t>
      </w:r>
      <w:proofErr w:type="spellStart"/>
      <w:r w:rsidRPr="00451F19">
        <w:rPr>
          <w:rFonts w:ascii="Times New Roman" w:eastAsia="Times New Roman" w:hAnsi="Times New Roman" w:cs="Times New Roman"/>
          <w:kern w:val="0"/>
          <w:sz w:val="24"/>
          <w:szCs w:val="24"/>
          <w:lang w:eastAsia="en-IN"/>
          <w14:ligatures w14:val="none"/>
        </w:rPr>
        <w:t>materia</w:t>
      </w:r>
      <w:proofErr w:type="spellEnd"/>
      <w:r w:rsidRPr="00451F19">
        <w:rPr>
          <w:rFonts w:ascii="Times New Roman" w:eastAsia="Times New Roman" w:hAnsi="Times New Roman" w:cs="Times New Roman"/>
          <w:kern w:val="0"/>
          <w:sz w:val="24"/>
          <w:szCs w:val="24"/>
          <w:lang w:eastAsia="en-IN"/>
          <w14:ligatures w14:val="none"/>
        </w:rPr>
        <w:t xml:space="preserve"> </w:t>
      </w:r>
      <w:proofErr w:type="spellStart"/>
      <w:r w:rsidRPr="00451F19">
        <w:rPr>
          <w:rFonts w:ascii="Times New Roman" w:eastAsia="Times New Roman" w:hAnsi="Times New Roman" w:cs="Times New Roman"/>
          <w:kern w:val="0"/>
          <w:sz w:val="24"/>
          <w:szCs w:val="24"/>
          <w:lang w:eastAsia="en-IN"/>
          <w14:ligatures w14:val="none"/>
        </w:rPr>
        <w:t>medica</w:t>
      </w:r>
      <w:proofErr w:type="spellEnd"/>
      <w:r w:rsidRPr="00451F19">
        <w:rPr>
          <w:rFonts w:ascii="Times New Roman" w:eastAsia="Times New Roman" w:hAnsi="Times New Roman" w:cs="Times New Roman"/>
          <w:kern w:val="0"/>
          <w:sz w:val="24"/>
          <w:szCs w:val="24"/>
          <w:lang w:eastAsia="en-IN"/>
          <w14:ligatures w14:val="none"/>
        </w:rPr>
        <w:t>, pluralistic medical systems, and deep local knowledge—must be matched by modern quality-by-design thinking, traceability, and manufacturing discipline. Strengthening pharmacovigilance is part of this modernization. A dedicated review on herbal pharmacovigilance highlights that adverse reactions and toxicity signals are often under-detected due to under-reporting, variable product composition, and unregulated distribution channels, and it argues for stronger systems-level monitoring to protect patients and enhance public trust (Choudhury et al., 2023). For India, the emerging direction is a “regulatory-science” ecosystem that connects standardization, authentication, and pharmacovigilance with transparent reporting and iterative risk management.</w:t>
      </w:r>
    </w:p>
    <w:p w14:paraId="1DD68256" w14:textId="77777777" w:rsidR="00451F19" w:rsidRPr="00451F19" w:rsidRDefault="00451F19" w:rsidP="00451F19">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451F19">
        <w:rPr>
          <w:rFonts w:ascii="Times New Roman" w:eastAsia="Times New Roman" w:hAnsi="Times New Roman" w:cs="Times New Roman"/>
          <w:b/>
          <w:bCs/>
          <w:kern w:val="0"/>
          <w:sz w:val="27"/>
          <w:szCs w:val="27"/>
          <w:lang w:eastAsia="en-IN"/>
          <w14:ligatures w14:val="none"/>
        </w:rPr>
        <w:t>6.5. Inclusive cultivation economics, governance capacity, and data infrastructure</w:t>
      </w:r>
    </w:p>
    <w:p w14:paraId="4952D583" w14:textId="5BD9F110" w:rsidR="00451F19" w:rsidRPr="00451F19"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A final cross-cutting challenge is that economic incentives and governance capacity are unevenly distributed. Many cultivation initiatives operate in smallholder settings with limited access to irrigation, extension services, post-harvest infrastructure, and formal buyers; simultaneously, forest-dependent communities may lack secure benefit pathways from sustainable harvest. A national review focusing on long-term availability of medicinal plants </w:t>
      </w:r>
      <w:r w:rsidRPr="00451F19">
        <w:rPr>
          <w:rFonts w:ascii="Times New Roman" w:eastAsia="Times New Roman" w:hAnsi="Times New Roman" w:cs="Times New Roman"/>
          <w:kern w:val="0"/>
          <w:sz w:val="24"/>
          <w:szCs w:val="24"/>
          <w:lang w:eastAsia="en-IN"/>
          <w14:ligatures w14:val="none"/>
        </w:rPr>
        <w:lastRenderedPageBreak/>
        <w:t>in India highlights policy, institutional, and market drivers that shape sustainability outcomes, reinforcing the need for coherent governance that spans biodiversity protection, trade, and rural livelihoods (Singh et al., 2024). Looking ahead, the sector would benefit from interoperable data systems that link geo-referenced sourcing, batch identity, quality testing, and safety signals</w:t>
      </w:r>
      <w:r>
        <w:rPr>
          <w:rFonts w:ascii="Times New Roman" w:eastAsia="Times New Roman" w:hAnsi="Times New Roman" w:cs="Times New Roman"/>
          <w:kern w:val="0"/>
          <w:sz w:val="24"/>
          <w:szCs w:val="24"/>
          <w:lang w:eastAsia="en-IN"/>
          <w14:ligatures w14:val="none"/>
        </w:rPr>
        <w:t xml:space="preserve"> (</w:t>
      </w:r>
      <w:r w:rsidRPr="00451F19">
        <w:rPr>
          <w:rFonts w:ascii="Times New Roman" w:eastAsia="Times New Roman" w:hAnsi="Times New Roman" w:cs="Times New Roman"/>
          <w:kern w:val="0"/>
          <w:sz w:val="24"/>
          <w:szCs w:val="24"/>
          <w:lang w:eastAsia="en-IN"/>
          <w14:ligatures w14:val="none"/>
        </w:rPr>
        <w:t>Mishra et al., 2024</w:t>
      </w:r>
      <w:r>
        <w:rPr>
          <w:rFonts w:ascii="Times New Roman" w:eastAsia="Times New Roman" w:hAnsi="Times New Roman" w:cs="Times New Roman"/>
          <w:kern w:val="0"/>
          <w:sz w:val="24"/>
          <w:szCs w:val="24"/>
          <w:lang w:eastAsia="en-IN"/>
          <w14:ligatures w14:val="none"/>
        </w:rPr>
        <w:t>)</w:t>
      </w:r>
      <w:r w:rsidRPr="00451F19">
        <w:rPr>
          <w:rFonts w:ascii="Times New Roman" w:eastAsia="Times New Roman" w:hAnsi="Times New Roman" w:cs="Times New Roman"/>
          <w:kern w:val="0"/>
          <w:sz w:val="24"/>
          <w:szCs w:val="24"/>
          <w:lang w:eastAsia="en-IN"/>
          <w14:ligatures w14:val="none"/>
        </w:rPr>
        <w:t>. Such infrastructure can support traceability, enable targeted interventions for threatened taxa, and help stabilize therapeutic translation by making variability visible, measurable, and manageable across time and geography.</w:t>
      </w:r>
    </w:p>
    <w:p w14:paraId="2E4AD8C0" w14:textId="77777777" w:rsidR="00F6642B" w:rsidRPr="00451F19" w:rsidRDefault="00F6642B" w:rsidP="00F6642B">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7</w:t>
      </w:r>
      <w:r w:rsidRPr="00451F19">
        <w:rPr>
          <w:rFonts w:ascii="Times New Roman" w:eastAsia="Times New Roman" w:hAnsi="Times New Roman" w:cs="Times New Roman"/>
          <w:b/>
          <w:bCs/>
          <w:kern w:val="0"/>
          <w:sz w:val="36"/>
          <w:szCs w:val="36"/>
          <w:lang w:eastAsia="en-IN"/>
          <w14:ligatures w14:val="none"/>
        </w:rPr>
        <w:t>. Limitations</w:t>
      </w:r>
    </w:p>
    <w:p w14:paraId="0869F7C0" w14:textId="77777777" w:rsidR="00F6642B" w:rsidRPr="00451F19" w:rsidRDefault="00F6642B" w:rsidP="00F6642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This review synthesizes recent peer-reviewed literature but does not constitute a systematic review with formal risk-of-bias scoring across all included studies. Therapeutic evidence is presented through representative exemplars rather than an exhaustive </w:t>
      </w:r>
      <w:proofErr w:type="spellStart"/>
      <w:r w:rsidRPr="00451F19">
        <w:rPr>
          <w:rFonts w:ascii="Times New Roman" w:eastAsia="Times New Roman" w:hAnsi="Times New Roman" w:cs="Times New Roman"/>
          <w:kern w:val="0"/>
          <w:sz w:val="24"/>
          <w:szCs w:val="24"/>
          <w:lang w:eastAsia="en-IN"/>
          <w14:ligatures w14:val="none"/>
        </w:rPr>
        <w:t>catalog</w:t>
      </w:r>
      <w:proofErr w:type="spellEnd"/>
      <w:r w:rsidRPr="00451F19">
        <w:rPr>
          <w:rFonts w:ascii="Times New Roman" w:eastAsia="Times New Roman" w:hAnsi="Times New Roman" w:cs="Times New Roman"/>
          <w:kern w:val="0"/>
          <w:sz w:val="24"/>
          <w:szCs w:val="24"/>
          <w:lang w:eastAsia="en-IN"/>
          <w14:ligatures w14:val="none"/>
        </w:rPr>
        <w:t xml:space="preserve"> of India’s ethnomedicinal flora. Because clinical outcomes depend strongly on formulation and trial design, generalization across products sold under the same plant name remains limited. Additionally, cultivation recommendations are discussed at a cross-cutting conceptual level; species-specific agronomic packages may differ substantially by region, cultivar, and farming system. Finally, rapidly evolving market dynamics and regulatory practices may change the practical landscape of cultivation and quality assurance beyond the time window emphasized here.</w:t>
      </w:r>
    </w:p>
    <w:p w14:paraId="5E57446C" w14:textId="6F266BC0" w:rsidR="00451F19" w:rsidRPr="00451F19" w:rsidRDefault="00F6642B"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8</w:t>
      </w:r>
      <w:r w:rsidR="00451F19" w:rsidRPr="00451F19">
        <w:rPr>
          <w:rFonts w:ascii="Times New Roman" w:eastAsia="Times New Roman" w:hAnsi="Times New Roman" w:cs="Times New Roman"/>
          <w:b/>
          <w:bCs/>
          <w:kern w:val="0"/>
          <w:sz w:val="36"/>
          <w:szCs w:val="36"/>
          <w:lang w:eastAsia="en-IN"/>
          <w14:ligatures w14:val="none"/>
        </w:rPr>
        <w:t>. Future research priorities</w:t>
      </w:r>
    </w:p>
    <w:p w14:paraId="021737A5" w14:textId="77B9FC73" w:rsidR="00451F19" w:rsidRPr="00451F19" w:rsidRDefault="00451F19" w:rsidP="00717E34">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Future research should increasingly treat cultivation, chemistry, and clinical endpoints as a connected system. For widely used plants with existing clinical evidence (e.g., Ashwagandha, turmeric/curcumin, Tulsi), multi-site cultivation trials that track how agronomic variables influence marker profiles could directly support clinical reproducibility and reduce industry reliance on post-hoc blending. For plants with promising but preliminary evidence (including many region-specific taxa), research should focus on establishing safe, authenticated supply and building stepwise evidence from well-characterized extracts rather than rushing to broad health claims. Additionally, safety science must expand beyond isolated toxicity case reports to include systematic monitoring frameworks, particularly where public uptake is high and product diversity is large, as illustrated by Giloy-associated liver injury signals (Kulkarni et al., 2022). </w:t>
      </w:r>
    </w:p>
    <w:p w14:paraId="4FBE602D" w14:textId="208BFB6E" w:rsidR="00451F19" w:rsidRPr="00451F19" w:rsidRDefault="00F6642B" w:rsidP="00451F19">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Pr>
          <w:rFonts w:ascii="Times New Roman" w:eastAsia="Times New Roman" w:hAnsi="Times New Roman" w:cs="Times New Roman"/>
          <w:b/>
          <w:bCs/>
          <w:kern w:val="0"/>
          <w:sz w:val="36"/>
          <w:szCs w:val="36"/>
          <w:lang w:eastAsia="en-IN"/>
          <w14:ligatures w14:val="none"/>
        </w:rPr>
        <w:t>9</w:t>
      </w:r>
      <w:r w:rsidR="00451F19" w:rsidRPr="00451F19">
        <w:rPr>
          <w:rFonts w:ascii="Times New Roman" w:eastAsia="Times New Roman" w:hAnsi="Times New Roman" w:cs="Times New Roman"/>
          <w:b/>
          <w:bCs/>
          <w:kern w:val="0"/>
          <w:sz w:val="36"/>
          <w:szCs w:val="36"/>
          <w:lang w:eastAsia="en-IN"/>
          <w14:ligatures w14:val="none"/>
        </w:rPr>
        <w:t>. Conclusions</w:t>
      </w:r>
    </w:p>
    <w:p w14:paraId="188694BB" w14:textId="14E030BA" w:rsidR="00717E34" w:rsidRDefault="00451F19" w:rsidP="00451F19">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51F19">
        <w:rPr>
          <w:rFonts w:ascii="Times New Roman" w:eastAsia="Times New Roman" w:hAnsi="Times New Roman" w:cs="Times New Roman"/>
          <w:kern w:val="0"/>
          <w:sz w:val="24"/>
          <w:szCs w:val="24"/>
          <w:lang w:eastAsia="en-IN"/>
          <w14:ligatures w14:val="none"/>
        </w:rPr>
        <w:t xml:space="preserve">Ethnomedicinal plants in India represent a living interface between biodiversity, culture, and healthcare. This review shows that therapeutic applications cannot be meaningfully separated from cultivation and value-chain practices, because identity, phytochemical composition, and contaminant exposure are all shaped by upstream decisions. Recent clinical and systematic evidence supports the potential of selected plants and preparations—particularly standardized Ashwagandha extracts for stress-related outcomes and certain curcumin preparations for osteoarthritis-related symptoms—yet these benefits are conditional on preparation quality and appropriate use contexts. At the same time, evidence on contamination and herb-induced liver injury demonstrates that safety risks are real and can undermine both public health and confidence in traditional medicine. Advancing India’s ethnomedicinal plant sector therefore requires integrated strategies: ecologically matched cultivation using authenticated planting </w:t>
      </w:r>
      <w:r w:rsidRPr="00451F19">
        <w:rPr>
          <w:rFonts w:ascii="Times New Roman" w:eastAsia="Times New Roman" w:hAnsi="Times New Roman" w:cs="Times New Roman"/>
          <w:kern w:val="0"/>
          <w:sz w:val="24"/>
          <w:szCs w:val="24"/>
          <w:lang w:eastAsia="en-IN"/>
          <w14:ligatures w14:val="none"/>
        </w:rPr>
        <w:lastRenderedPageBreak/>
        <w:t>materials, robust post-harvest handling, multi-modal authentication and standardization, and stronger safety surveillance. When these components are aligned, ethnomedicinal plants can more credibly transition from culturally valued remedies to reproducible, safe, and ethically sustainable therapeutic options.</w:t>
      </w:r>
    </w:p>
    <w:p w14:paraId="20067C84" w14:textId="77777777" w:rsidR="00717E34" w:rsidRPr="00EF5388" w:rsidRDefault="00717E34" w:rsidP="00717E34">
      <w:pPr>
        <w:pStyle w:val="NormalWeb"/>
        <w:rPr>
          <w:b/>
          <w:bCs/>
          <w:sz w:val="32"/>
          <w:szCs w:val="32"/>
        </w:rPr>
      </w:pPr>
      <w:r w:rsidRPr="00EF5388">
        <w:rPr>
          <w:b/>
          <w:bCs/>
          <w:sz w:val="32"/>
          <w:szCs w:val="32"/>
        </w:rPr>
        <w:t>References</w:t>
      </w:r>
    </w:p>
    <w:p w14:paraId="33E38735" w14:textId="77777777" w:rsidR="00717E34" w:rsidRDefault="00717E34" w:rsidP="00717E34">
      <w:pPr>
        <w:pStyle w:val="NormalWeb"/>
      </w:pPr>
      <w:r>
        <w:t xml:space="preserve">Ahmad, S., Zahiruddin, S., Parveen, B., </w:t>
      </w:r>
      <w:proofErr w:type="spellStart"/>
      <w:r>
        <w:t>Basist</w:t>
      </w:r>
      <w:proofErr w:type="spellEnd"/>
      <w:r>
        <w:t xml:space="preserve">, P., Parveen, A., Gaurav, Parveen, R., &amp; Ahmad, M. (2021). Indian medicinal plants and formulations and their potential against COVID-19—Preclinical and clinical research. </w:t>
      </w:r>
      <w:r>
        <w:rPr>
          <w:rStyle w:val="Emphasis"/>
          <w:rFonts w:eastAsiaTheme="majorEastAsia"/>
        </w:rPr>
        <w:t>Frontiers in Pharmacology, 11</w:t>
      </w:r>
      <w:r>
        <w:t xml:space="preserve">, 578970. </w:t>
      </w:r>
      <w:hyperlink r:id="rId6" w:tgtFrame="_new" w:history="1">
        <w:r>
          <w:rPr>
            <w:rStyle w:val="Hyperlink"/>
            <w:rFonts w:eastAsiaTheme="majorEastAsia"/>
          </w:rPr>
          <w:t>https://doi.org/10.3389/fphar.2020.578970</w:t>
        </w:r>
      </w:hyperlink>
    </w:p>
    <w:p w14:paraId="3AC6B905" w14:textId="77777777" w:rsidR="00717E34" w:rsidRDefault="00717E34" w:rsidP="00717E34">
      <w:pPr>
        <w:pStyle w:val="NormalWeb"/>
      </w:pPr>
      <w:r>
        <w:t xml:space="preserve">Arumugam, V., Vijayakumar, V., Balakrishnan, A., Bhandari, R. B., Boopalan, D., </w:t>
      </w:r>
      <w:proofErr w:type="spellStart"/>
      <w:r>
        <w:t>Ponnurangam</w:t>
      </w:r>
      <w:proofErr w:type="spellEnd"/>
      <w:r>
        <w:t xml:space="preserve">, R., &amp; </w:t>
      </w:r>
      <w:proofErr w:type="spellStart"/>
      <w:r>
        <w:t>Thirupathy</w:t>
      </w:r>
      <w:proofErr w:type="spellEnd"/>
      <w:r>
        <w:t>, V. S. (2024). Effects of Ashwagandha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on stress and anxiety: A systematic review and meta-analysis. </w:t>
      </w:r>
      <w:r>
        <w:rPr>
          <w:rStyle w:val="Emphasis"/>
          <w:rFonts w:eastAsiaTheme="majorEastAsia"/>
        </w:rPr>
        <w:t>Explore, 20</w:t>
      </w:r>
      <w:r>
        <w:t xml:space="preserve">(6), 103062. </w:t>
      </w:r>
      <w:hyperlink r:id="rId7" w:tgtFrame="_new" w:history="1">
        <w:r>
          <w:rPr>
            <w:rStyle w:val="Hyperlink"/>
            <w:rFonts w:eastAsiaTheme="majorEastAsia"/>
          </w:rPr>
          <w:t>https://doi.org/10.1016/j.explore.2024.103062</w:t>
        </w:r>
      </w:hyperlink>
    </w:p>
    <w:p w14:paraId="74B4DA91" w14:textId="77777777" w:rsidR="00717E34" w:rsidRDefault="00717E34" w:rsidP="00717E34">
      <w:pPr>
        <w:pStyle w:val="NormalWeb"/>
      </w:pPr>
      <w:r>
        <w:t xml:space="preserve">Aswin, P. P., Shukla, S., &amp; Dalal, J. (2026). Enhancing authentication: A review of DNA barcoding technique for detecting adulterants in Indian herbal medicines. </w:t>
      </w:r>
      <w:r>
        <w:rPr>
          <w:rStyle w:val="Emphasis"/>
          <w:rFonts w:eastAsiaTheme="majorEastAsia"/>
        </w:rPr>
        <w:t>Microchemical Journal, 220</w:t>
      </w:r>
      <w:r>
        <w:t xml:space="preserve">, 116655. </w:t>
      </w:r>
      <w:hyperlink r:id="rId8" w:tgtFrame="_new" w:history="1">
        <w:r>
          <w:rPr>
            <w:rStyle w:val="Hyperlink"/>
            <w:rFonts w:eastAsiaTheme="majorEastAsia"/>
          </w:rPr>
          <w:t>https://doi.org/10.1016/j.microc.2025.116655</w:t>
        </w:r>
      </w:hyperlink>
    </w:p>
    <w:p w14:paraId="5931E024" w14:textId="77777777" w:rsidR="00717E34" w:rsidRDefault="00717E34" w:rsidP="00717E34">
      <w:pPr>
        <w:pStyle w:val="NormalWeb"/>
      </w:pPr>
      <w:r>
        <w:t xml:space="preserve">Balkrishna, A., Kumar, A., </w:t>
      </w:r>
      <w:proofErr w:type="spellStart"/>
      <w:r>
        <w:t>Rohela</w:t>
      </w:r>
      <w:proofErr w:type="spellEnd"/>
      <w:r>
        <w:t xml:space="preserve">, A., Arya, V., Gautam, A. K., Sharma, H., Rai, P., Kumari, A., &amp; </w:t>
      </w:r>
      <w:proofErr w:type="spellStart"/>
      <w:r>
        <w:t>Amarowicz</w:t>
      </w:r>
      <w:proofErr w:type="spellEnd"/>
      <w:r>
        <w:t xml:space="preserve">, R. (2024). Traditional uses, hepatoprotective potential, and phytopharmacology of </w:t>
      </w:r>
      <w:proofErr w:type="spellStart"/>
      <w:r>
        <w:rPr>
          <w:rStyle w:val="Emphasis"/>
          <w:rFonts w:eastAsiaTheme="majorEastAsia"/>
        </w:rPr>
        <w:t>Tinospora</w:t>
      </w:r>
      <w:proofErr w:type="spellEnd"/>
      <w:r>
        <w:rPr>
          <w:rStyle w:val="Emphasis"/>
          <w:rFonts w:eastAsiaTheme="majorEastAsia"/>
        </w:rPr>
        <w:t xml:space="preserve"> </w:t>
      </w:r>
      <w:proofErr w:type="spellStart"/>
      <w:r>
        <w:rPr>
          <w:rStyle w:val="Emphasis"/>
          <w:rFonts w:eastAsiaTheme="majorEastAsia"/>
        </w:rPr>
        <w:t>cordifolia</w:t>
      </w:r>
      <w:proofErr w:type="spellEnd"/>
      <w:r>
        <w:t xml:space="preserve">: A narrative review. </w:t>
      </w:r>
      <w:r>
        <w:rPr>
          <w:rStyle w:val="Emphasis"/>
          <w:rFonts w:eastAsiaTheme="majorEastAsia"/>
        </w:rPr>
        <w:t>Journal of Pharmacy and Pharmacology, 76</w:t>
      </w:r>
      <w:r>
        <w:t xml:space="preserve">(3), 183–200. </w:t>
      </w:r>
      <w:hyperlink r:id="rId9" w:tgtFrame="_new" w:history="1">
        <w:r>
          <w:rPr>
            <w:rStyle w:val="Hyperlink"/>
            <w:rFonts w:eastAsiaTheme="majorEastAsia"/>
          </w:rPr>
          <w:t>https://doi.org/10.1093/jpp/rgae013</w:t>
        </w:r>
      </w:hyperlink>
    </w:p>
    <w:p w14:paraId="69709B78" w14:textId="77777777" w:rsidR="00717E34" w:rsidRDefault="00717E34" w:rsidP="00717E34">
      <w:pPr>
        <w:pStyle w:val="NormalWeb"/>
      </w:pPr>
      <w:r>
        <w:t xml:space="preserve">Bisht, V. K., Uniyal, R. C., &amp; Sharma, S. M. (2022). Assessment of heavy metal content in herbal raw materials traded in India. </w:t>
      </w:r>
      <w:r>
        <w:rPr>
          <w:rStyle w:val="Emphasis"/>
          <w:rFonts w:eastAsiaTheme="majorEastAsia"/>
        </w:rPr>
        <w:t>South African Journal of Botany, 148</w:t>
      </w:r>
      <w:r>
        <w:t xml:space="preserve">, 154–161. </w:t>
      </w:r>
      <w:hyperlink r:id="rId10" w:tgtFrame="_new" w:history="1">
        <w:r>
          <w:rPr>
            <w:rStyle w:val="Hyperlink"/>
            <w:rFonts w:eastAsiaTheme="majorEastAsia"/>
          </w:rPr>
          <w:t>https://doi.org/10.1016/j.sajb.2022.01.045</w:t>
        </w:r>
      </w:hyperlink>
    </w:p>
    <w:p w14:paraId="200934FF" w14:textId="77777777" w:rsidR="00717E34" w:rsidRDefault="00717E34" w:rsidP="00717E34">
      <w:pPr>
        <w:pStyle w:val="NormalWeb"/>
      </w:pPr>
      <w:r>
        <w:t xml:space="preserve">Chen, S., Yin, X., Han, J., Sun, W., Yao, H., Song, J., &amp; Li, X. (2023). DNA barcoding in herbal medicine: Retrospective and prospective. </w:t>
      </w:r>
      <w:r>
        <w:rPr>
          <w:rStyle w:val="Emphasis"/>
          <w:rFonts w:eastAsiaTheme="majorEastAsia"/>
        </w:rPr>
        <w:t>Journal of Pharmaceutical Analysis, 13</w:t>
      </w:r>
      <w:r>
        <w:t xml:space="preserve">(5), 431–441. </w:t>
      </w:r>
      <w:hyperlink r:id="rId11" w:tgtFrame="_new" w:history="1">
        <w:r>
          <w:rPr>
            <w:rStyle w:val="Hyperlink"/>
            <w:rFonts w:eastAsiaTheme="majorEastAsia"/>
          </w:rPr>
          <w:t>https://doi.org/10.1016/j.jpha.2023.03.008</w:t>
        </w:r>
      </w:hyperlink>
    </w:p>
    <w:p w14:paraId="1C42CB6B" w14:textId="77777777" w:rsidR="00717E34" w:rsidRDefault="00717E34" w:rsidP="00717E34">
      <w:pPr>
        <w:pStyle w:val="NormalWeb"/>
      </w:pPr>
      <w:r>
        <w:t xml:space="preserve">Choudhury, A., Singh, P. A., Bajwa, N., Dash, S., &amp; Bisht, P. (2023). Pharmacovigilance of herbal medicines: Concerns and future prospects. </w:t>
      </w:r>
      <w:r>
        <w:rPr>
          <w:rStyle w:val="Emphasis"/>
          <w:rFonts w:eastAsiaTheme="majorEastAsia"/>
        </w:rPr>
        <w:t>Journal of Ethnopharmacology, 309</w:t>
      </w:r>
      <w:r>
        <w:t xml:space="preserve">, 116383. </w:t>
      </w:r>
      <w:hyperlink r:id="rId12" w:tgtFrame="_new" w:history="1">
        <w:r>
          <w:rPr>
            <w:rStyle w:val="Hyperlink"/>
            <w:rFonts w:eastAsiaTheme="majorEastAsia"/>
          </w:rPr>
          <w:t>https://doi.org/10.1016/j.jep.2023.116383</w:t>
        </w:r>
      </w:hyperlink>
    </w:p>
    <w:p w14:paraId="498284DD" w14:textId="77777777" w:rsidR="00717E34" w:rsidRDefault="00717E34" w:rsidP="00717E34">
      <w:pPr>
        <w:pStyle w:val="NormalWeb"/>
      </w:pPr>
      <w:r>
        <w:t xml:space="preserve">Deswal, M., Deswal, P., &amp; Laura, J. S. (2022). Study on heavy metals in some Ayurvedic herbal products and risk assessment of their calculated average daily dose intake in humans. </w:t>
      </w:r>
      <w:r>
        <w:rPr>
          <w:rStyle w:val="Emphasis"/>
          <w:rFonts w:eastAsiaTheme="majorEastAsia"/>
        </w:rPr>
        <w:t>Journal of Herbal Medicine, 34</w:t>
      </w:r>
      <w:r>
        <w:t xml:space="preserve">, 100569. </w:t>
      </w:r>
      <w:hyperlink r:id="rId13" w:tgtFrame="_new" w:history="1">
        <w:r>
          <w:rPr>
            <w:rStyle w:val="Hyperlink"/>
            <w:rFonts w:eastAsiaTheme="majorEastAsia"/>
          </w:rPr>
          <w:t>https://doi.org/10.1016/j.hermed.2022.100569</w:t>
        </w:r>
      </w:hyperlink>
    </w:p>
    <w:p w14:paraId="2F2FE695" w14:textId="77777777" w:rsidR="00717E34" w:rsidRDefault="00717E34" w:rsidP="00717E34">
      <w:pPr>
        <w:pStyle w:val="NormalWeb"/>
      </w:pPr>
      <w:r>
        <w:t xml:space="preserve">Gowthami, R., Sharma, N., Pandey, R., &amp; Agrawal, A. (2021). Status and consolidated list of threatened medicinal plants of India. </w:t>
      </w:r>
      <w:r>
        <w:rPr>
          <w:rStyle w:val="Emphasis"/>
          <w:rFonts w:eastAsiaTheme="majorEastAsia"/>
        </w:rPr>
        <w:t>Genetic Resources and Crop Evolution, 68</w:t>
      </w:r>
      <w:r>
        <w:t xml:space="preserve">, 2235–2263. </w:t>
      </w:r>
      <w:hyperlink r:id="rId14" w:tgtFrame="_new" w:history="1">
        <w:r>
          <w:rPr>
            <w:rStyle w:val="Hyperlink"/>
            <w:rFonts w:eastAsiaTheme="majorEastAsia"/>
          </w:rPr>
          <w:t>https://doi.org/10.1007/s10722-021-01199-0</w:t>
        </w:r>
      </w:hyperlink>
    </w:p>
    <w:p w14:paraId="5BADA2DE" w14:textId="77777777" w:rsidR="00717E34" w:rsidRDefault="00717E34" w:rsidP="00717E34">
      <w:pPr>
        <w:pStyle w:val="NormalWeb"/>
      </w:pPr>
      <w:r>
        <w:t xml:space="preserve">Ghoshal, S., Ghule, C., </w:t>
      </w:r>
      <w:proofErr w:type="spellStart"/>
      <w:r>
        <w:t>Mirgal</w:t>
      </w:r>
      <w:proofErr w:type="spellEnd"/>
      <w:r>
        <w:t xml:space="preserve">, A., </w:t>
      </w:r>
      <w:proofErr w:type="spellStart"/>
      <w:r>
        <w:t>Girme</w:t>
      </w:r>
      <w:proofErr w:type="spellEnd"/>
      <w:r>
        <w:t xml:space="preserve">, A., &amp; Hingorani, L. (2022). Recent findings by high-performance thin-layer chromatographic separation for a comprehensive analysis of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by densitometry and mass spectrometry: An assessment to quality and </w:t>
      </w:r>
      <w:r>
        <w:lastRenderedPageBreak/>
        <w:t xml:space="preserve">adulteration. </w:t>
      </w:r>
      <w:r>
        <w:rPr>
          <w:rStyle w:val="Emphasis"/>
          <w:rFonts w:eastAsiaTheme="majorEastAsia"/>
        </w:rPr>
        <w:t>JPC – Journal of Planar Chromatography – Modern TLC, 35</w:t>
      </w:r>
      <w:r>
        <w:t xml:space="preserve">, 439–451. </w:t>
      </w:r>
      <w:hyperlink r:id="rId15" w:tgtFrame="_new" w:history="1">
        <w:r>
          <w:rPr>
            <w:rStyle w:val="Hyperlink"/>
            <w:rFonts w:eastAsiaTheme="majorEastAsia"/>
          </w:rPr>
          <w:t>https://doi.org/10.1007/s00764-022-00187-z</w:t>
        </w:r>
      </w:hyperlink>
    </w:p>
    <w:p w14:paraId="2F4DF617" w14:textId="77777777" w:rsidR="00717E34" w:rsidRDefault="00717E34" w:rsidP="00717E34">
      <w:pPr>
        <w:pStyle w:val="NormalWeb"/>
      </w:pPr>
      <w:r>
        <w:t>Islas, J. F., Acosta, E., G-Buentello, Z., Delgado-Gallegos, J. L., Moreno-Treviño, M. G., Escalante, B., &amp; Moreno-Cuevas, J. E. (2020). An overview of Neem (</w:t>
      </w:r>
      <w:proofErr w:type="spellStart"/>
      <w:r>
        <w:rPr>
          <w:rStyle w:val="Emphasis"/>
          <w:rFonts w:eastAsiaTheme="majorEastAsia"/>
        </w:rPr>
        <w:t>Azadirachta</w:t>
      </w:r>
      <w:proofErr w:type="spellEnd"/>
      <w:r>
        <w:rPr>
          <w:rStyle w:val="Emphasis"/>
          <w:rFonts w:eastAsiaTheme="majorEastAsia"/>
        </w:rPr>
        <w:t xml:space="preserve"> </w:t>
      </w:r>
      <w:proofErr w:type="spellStart"/>
      <w:r>
        <w:rPr>
          <w:rStyle w:val="Emphasis"/>
          <w:rFonts w:eastAsiaTheme="majorEastAsia"/>
        </w:rPr>
        <w:t>indica</w:t>
      </w:r>
      <w:proofErr w:type="spellEnd"/>
      <w:r>
        <w:t xml:space="preserve">) and its potential impact on health. </w:t>
      </w:r>
      <w:r>
        <w:rPr>
          <w:rStyle w:val="Emphasis"/>
          <w:rFonts w:eastAsiaTheme="majorEastAsia"/>
        </w:rPr>
        <w:t>Journal of Functional Foods, 74</w:t>
      </w:r>
      <w:r>
        <w:t xml:space="preserve">, 104171. </w:t>
      </w:r>
      <w:hyperlink r:id="rId16" w:tgtFrame="_new" w:history="1">
        <w:r>
          <w:rPr>
            <w:rStyle w:val="Hyperlink"/>
            <w:rFonts w:eastAsiaTheme="majorEastAsia"/>
          </w:rPr>
          <w:t>https://doi.org/10.1016/j.jff.2020.104171</w:t>
        </w:r>
      </w:hyperlink>
    </w:p>
    <w:p w14:paraId="5CE6A938" w14:textId="77777777" w:rsidR="00717E34" w:rsidRDefault="00717E34" w:rsidP="00717E34">
      <w:pPr>
        <w:pStyle w:val="NormalWeb"/>
      </w:pPr>
      <w:r>
        <w:t xml:space="preserve">Ji, P., Yang, X., &amp; Zhao, X. (2024). Application of metabolomics in quality control of traditional Chinese medicines: A review. </w:t>
      </w:r>
      <w:r>
        <w:rPr>
          <w:rStyle w:val="Emphasis"/>
          <w:rFonts w:eastAsiaTheme="majorEastAsia"/>
        </w:rPr>
        <w:t>Frontiers in Plant Science, 15</w:t>
      </w:r>
      <w:r>
        <w:t xml:space="preserve">, 1463666. </w:t>
      </w:r>
      <w:hyperlink r:id="rId17" w:tgtFrame="_new" w:history="1">
        <w:r>
          <w:rPr>
            <w:rStyle w:val="Hyperlink"/>
            <w:rFonts w:eastAsiaTheme="majorEastAsia"/>
          </w:rPr>
          <w:t>https://doi.org/10.3389/fpls.2024.1463666</w:t>
        </w:r>
      </w:hyperlink>
    </w:p>
    <w:p w14:paraId="17F6B385" w14:textId="77777777" w:rsidR="00717E34" w:rsidRDefault="00717E34" w:rsidP="00717E34">
      <w:pPr>
        <w:pStyle w:val="NormalWeb"/>
      </w:pPr>
      <w:r>
        <w:t xml:space="preserve">Kanika, &amp; Panda, L. R. L. (2024). An ethnobotanical survey of plants used by communities around </w:t>
      </w:r>
      <w:proofErr w:type="spellStart"/>
      <w:r>
        <w:t>Jaunsar-Bawar</w:t>
      </w:r>
      <w:proofErr w:type="spellEnd"/>
      <w:r>
        <w:t xml:space="preserve"> Region of Uttarakhand, India. </w:t>
      </w:r>
      <w:r>
        <w:rPr>
          <w:rStyle w:val="Emphasis"/>
          <w:rFonts w:eastAsiaTheme="majorEastAsia"/>
        </w:rPr>
        <w:t>Asian Journal of Environment &amp; Ecology, 23</w:t>
      </w:r>
      <w:r>
        <w:t xml:space="preserve">(7), 95–109. </w:t>
      </w:r>
      <w:hyperlink r:id="rId18" w:tgtFrame="_new" w:history="1">
        <w:r>
          <w:rPr>
            <w:rStyle w:val="Hyperlink"/>
            <w:rFonts w:eastAsiaTheme="majorEastAsia"/>
          </w:rPr>
          <w:t>https://doi.org/10.9734/ajee/2024/v23i7566</w:t>
        </w:r>
      </w:hyperlink>
    </w:p>
    <w:p w14:paraId="6E51B78D" w14:textId="77777777" w:rsidR="00717E34" w:rsidRDefault="00717E34" w:rsidP="00717E34">
      <w:pPr>
        <w:pStyle w:val="NormalWeb"/>
      </w:pPr>
      <w:proofErr w:type="spellStart"/>
      <w:r>
        <w:t>Kaundal</w:t>
      </w:r>
      <w:proofErr w:type="spellEnd"/>
      <w:r>
        <w:t xml:space="preserve">, R., &amp; Kumar, D. (2025). Current demands for standardization of Indian medicinal plants: A critical review. </w:t>
      </w:r>
      <w:r>
        <w:rPr>
          <w:rStyle w:val="Emphasis"/>
          <w:rFonts w:eastAsiaTheme="majorEastAsia"/>
        </w:rPr>
        <w:t>Medicine in Drug Discovery, 27</w:t>
      </w:r>
      <w:r>
        <w:t xml:space="preserve">, 100211. </w:t>
      </w:r>
      <w:hyperlink r:id="rId19" w:tgtFrame="_new" w:history="1">
        <w:r>
          <w:rPr>
            <w:rStyle w:val="Hyperlink"/>
            <w:rFonts w:eastAsiaTheme="majorEastAsia"/>
          </w:rPr>
          <w:t>https://doi.org/10.1016/j.medidd.2025.100211</w:t>
        </w:r>
      </w:hyperlink>
    </w:p>
    <w:p w14:paraId="4FFB8BF1" w14:textId="77777777" w:rsidR="00717E34" w:rsidRDefault="00717E34" w:rsidP="00717E34">
      <w:pPr>
        <w:pStyle w:val="NormalWeb"/>
      </w:pPr>
      <w:r>
        <w:t xml:space="preserve">Kulkarni, A. V., </w:t>
      </w:r>
      <w:proofErr w:type="spellStart"/>
      <w:r>
        <w:t>Hanchanale</w:t>
      </w:r>
      <w:proofErr w:type="spellEnd"/>
      <w:r>
        <w:t xml:space="preserve">, P., Prakash, V., Kalal, C., Sharma, M., Kumar, K., Bishnu, S., Kulkarni, A. V., Anand, L., Patwa, A. K., Kumbar, S., Kainth, S., &amp; Philips, C. A. (2022). </w:t>
      </w:r>
      <w:proofErr w:type="spellStart"/>
      <w:r>
        <w:rPr>
          <w:rStyle w:val="Emphasis"/>
          <w:rFonts w:eastAsiaTheme="majorEastAsia"/>
        </w:rPr>
        <w:t>Tinospora</w:t>
      </w:r>
      <w:proofErr w:type="spellEnd"/>
      <w:r>
        <w:rPr>
          <w:rStyle w:val="Emphasis"/>
          <w:rFonts w:eastAsiaTheme="majorEastAsia"/>
        </w:rPr>
        <w:t xml:space="preserve"> </w:t>
      </w:r>
      <w:proofErr w:type="spellStart"/>
      <w:r>
        <w:rPr>
          <w:rStyle w:val="Emphasis"/>
          <w:rFonts w:eastAsiaTheme="majorEastAsia"/>
        </w:rPr>
        <w:t>cordifolia</w:t>
      </w:r>
      <w:proofErr w:type="spellEnd"/>
      <w:r>
        <w:t xml:space="preserve"> (</w:t>
      </w:r>
      <w:proofErr w:type="spellStart"/>
      <w:r>
        <w:t>Giloy</w:t>
      </w:r>
      <w:proofErr w:type="spellEnd"/>
      <w:r>
        <w:t>)–induced liver injury during the COVID-19 pandemic—</w:t>
      </w:r>
      <w:proofErr w:type="spellStart"/>
      <w:r>
        <w:t>Multicenter</w:t>
      </w:r>
      <w:proofErr w:type="spellEnd"/>
      <w:r>
        <w:t xml:space="preserve"> nationwide study from India. </w:t>
      </w:r>
      <w:r>
        <w:rPr>
          <w:rStyle w:val="Emphasis"/>
          <w:rFonts w:eastAsiaTheme="majorEastAsia"/>
        </w:rPr>
        <w:t>Hepatology Communications, 6</w:t>
      </w:r>
      <w:r>
        <w:t xml:space="preserve">(6), 1289–1300. </w:t>
      </w:r>
      <w:hyperlink r:id="rId20" w:tgtFrame="_new" w:history="1">
        <w:r>
          <w:rPr>
            <w:rStyle w:val="Hyperlink"/>
            <w:rFonts w:eastAsiaTheme="majorEastAsia"/>
          </w:rPr>
          <w:t>https://doi.org/10.1002/hep4.1904</w:t>
        </w:r>
      </w:hyperlink>
    </w:p>
    <w:p w14:paraId="00346FCD" w14:textId="77777777" w:rsidR="00717E34" w:rsidRDefault="00717E34" w:rsidP="00717E34">
      <w:pPr>
        <w:pStyle w:val="NormalWeb"/>
      </w:pPr>
      <w:r>
        <w:t xml:space="preserve">Kumar, M., Patel, M., Chauhan, R., Tank, C., Solanki, S., Patel, P., </w:t>
      </w:r>
      <w:proofErr w:type="spellStart"/>
      <w:r>
        <w:t>Bhadauria</w:t>
      </w:r>
      <w:proofErr w:type="spellEnd"/>
      <w:r>
        <w:t xml:space="preserve">, H., Gami, R., </w:t>
      </w:r>
      <w:proofErr w:type="spellStart"/>
      <w:r>
        <w:t>Pachchigar</w:t>
      </w:r>
      <w:proofErr w:type="spellEnd"/>
      <w:r>
        <w:t xml:space="preserve">, K., Soni, N., Patel, P., Singh, A., Patel, N., &amp; Patel, R. (2020). Elucidation of genotype–environment interactions and genetic stability parameters for yield, quality and </w:t>
      </w:r>
      <w:proofErr w:type="spellStart"/>
      <w:r>
        <w:t>agromorphological</w:t>
      </w:r>
      <w:proofErr w:type="spellEnd"/>
      <w:r>
        <w:t xml:space="preserve"> traits in ashwagandha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(L.) </w:t>
      </w:r>
      <w:proofErr w:type="spellStart"/>
      <w:r>
        <w:t>Dunal</w:t>
      </w:r>
      <w:proofErr w:type="spellEnd"/>
      <w:r>
        <w:t xml:space="preserve">). </w:t>
      </w:r>
      <w:r>
        <w:rPr>
          <w:rStyle w:val="Emphasis"/>
          <w:rFonts w:eastAsiaTheme="majorEastAsia"/>
        </w:rPr>
        <w:t>Journal of Genetics, 99</w:t>
      </w:r>
      <w:r>
        <w:t xml:space="preserve">, 59. </w:t>
      </w:r>
      <w:hyperlink r:id="rId21" w:tgtFrame="_new" w:history="1">
        <w:r>
          <w:rPr>
            <w:rStyle w:val="Hyperlink"/>
            <w:rFonts w:eastAsiaTheme="majorEastAsia"/>
          </w:rPr>
          <w:t>https://doi.org/10.1007/s12041-020-01207-9</w:t>
        </w:r>
      </w:hyperlink>
    </w:p>
    <w:p w14:paraId="76B1B761" w14:textId="77777777" w:rsidR="00717E34" w:rsidRDefault="00717E34" w:rsidP="00717E34">
      <w:pPr>
        <w:pStyle w:val="NormalWeb"/>
      </w:pPr>
      <w:r>
        <w:t xml:space="preserve">Lopresti, A. L., Smith, S. J., </w:t>
      </w:r>
      <w:proofErr w:type="spellStart"/>
      <w:r>
        <w:t>Metse</w:t>
      </w:r>
      <w:proofErr w:type="spellEnd"/>
      <w:r>
        <w:t xml:space="preserve">, A. P., &amp; Drummond, P. D. (2022). A randomized, double-blind, placebo-controlled trial investigating the effects of an </w:t>
      </w:r>
      <w:proofErr w:type="spellStart"/>
      <w:r>
        <w:rPr>
          <w:rStyle w:val="Emphasis"/>
          <w:rFonts w:eastAsiaTheme="majorEastAsia"/>
        </w:rPr>
        <w:t>Ocimum</w:t>
      </w:r>
      <w:proofErr w:type="spellEnd"/>
      <w:r>
        <w:rPr>
          <w:rStyle w:val="Emphasis"/>
          <w:rFonts w:eastAsiaTheme="majorEastAsia"/>
        </w:rPr>
        <w:t xml:space="preserve"> </w:t>
      </w:r>
      <w:proofErr w:type="spellStart"/>
      <w:r>
        <w:rPr>
          <w:rStyle w:val="Emphasis"/>
          <w:rFonts w:eastAsiaTheme="majorEastAsia"/>
        </w:rPr>
        <w:t>tenuiflorum</w:t>
      </w:r>
      <w:proofErr w:type="spellEnd"/>
      <w:r>
        <w:t xml:space="preserve"> extract on stress, mood, and sleep. </w:t>
      </w:r>
      <w:r>
        <w:rPr>
          <w:rStyle w:val="Emphasis"/>
          <w:rFonts w:eastAsiaTheme="majorEastAsia"/>
        </w:rPr>
        <w:t>Frontiers in Nutrition, 9</w:t>
      </w:r>
      <w:r>
        <w:t xml:space="preserve">, 965130. </w:t>
      </w:r>
      <w:hyperlink r:id="rId22" w:tgtFrame="_new" w:history="1">
        <w:r>
          <w:rPr>
            <w:rStyle w:val="Hyperlink"/>
            <w:rFonts w:eastAsiaTheme="majorEastAsia"/>
          </w:rPr>
          <w:t>https://doi.org/10.3389/fnut.2022.965130</w:t>
        </w:r>
      </w:hyperlink>
    </w:p>
    <w:p w14:paraId="1AD4EF04" w14:textId="77777777" w:rsidR="00717E34" w:rsidRDefault="00717E34" w:rsidP="00717E34">
      <w:pPr>
        <w:pStyle w:val="NormalWeb"/>
      </w:pPr>
      <w:r>
        <w:t xml:space="preserve">Mishra, S. P., </w:t>
      </w:r>
      <w:proofErr w:type="spellStart"/>
      <w:r>
        <w:t>Bohidar</w:t>
      </w:r>
      <w:proofErr w:type="spellEnd"/>
      <w:r>
        <w:t xml:space="preserve">, S., Padhi, S., Sethi, K. C., Manna, S., &amp; Pattnayak, S. K. (2024). Geo-hydrobiology and geoinformatics mapping of ethnobotany in the </w:t>
      </w:r>
      <w:proofErr w:type="spellStart"/>
      <w:r>
        <w:t>Gandhamardan</w:t>
      </w:r>
      <w:proofErr w:type="spellEnd"/>
      <w:r>
        <w:t xml:space="preserve"> Hills, Odisha, India. </w:t>
      </w:r>
      <w:r>
        <w:rPr>
          <w:rStyle w:val="Emphasis"/>
          <w:rFonts w:eastAsiaTheme="majorEastAsia"/>
        </w:rPr>
        <w:t>Journal of Scientific Research and Reports, 30</w:t>
      </w:r>
      <w:r>
        <w:t xml:space="preserve">(10), 28–38. </w:t>
      </w:r>
      <w:hyperlink r:id="rId23" w:tgtFrame="_new" w:history="1">
        <w:r>
          <w:rPr>
            <w:rStyle w:val="Hyperlink"/>
            <w:rFonts w:eastAsiaTheme="majorEastAsia"/>
          </w:rPr>
          <w:t>https://doi.org/10.9734/jsrr/2024/v30i102510</w:t>
        </w:r>
      </w:hyperlink>
    </w:p>
    <w:p w14:paraId="75E2282B" w14:textId="77777777" w:rsidR="00717E34" w:rsidRDefault="00717E34" w:rsidP="00717E34">
      <w:pPr>
        <w:pStyle w:val="NormalWeb"/>
      </w:pPr>
      <w:r>
        <w:t xml:space="preserve">Muyumba, N. W., Mutombo, S. C., Sheridan, H., </w:t>
      </w:r>
      <w:proofErr w:type="spellStart"/>
      <w:r>
        <w:t>Nachtergael</w:t>
      </w:r>
      <w:proofErr w:type="spellEnd"/>
      <w:r>
        <w:t xml:space="preserve">, A., &amp; Duez, P. (2021). Quality control of herbal drugs and preparations: The methods of analysis, their relevance and applications. </w:t>
      </w:r>
      <w:proofErr w:type="spellStart"/>
      <w:r>
        <w:rPr>
          <w:rStyle w:val="Emphasis"/>
          <w:rFonts w:eastAsiaTheme="majorEastAsia"/>
        </w:rPr>
        <w:t>Talanta</w:t>
      </w:r>
      <w:proofErr w:type="spellEnd"/>
      <w:r>
        <w:rPr>
          <w:rStyle w:val="Emphasis"/>
          <w:rFonts w:eastAsiaTheme="majorEastAsia"/>
        </w:rPr>
        <w:t xml:space="preserve"> Open, 4</w:t>
      </w:r>
      <w:r>
        <w:t xml:space="preserve">, 100070. </w:t>
      </w:r>
      <w:hyperlink r:id="rId24" w:tgtFrame="_new" w:history="1">
        <w:r>
          <w:rPr>
            <w:rStyle w:val="Hyperlink"/>
            <w:rFonts w:eastAsiaTheme="majorEastAsia"/>
          </w:rPr>
          <w:t>https://doi.org/10.1016/j.talo.2021.100070</w:t>
        </w:r>
      </w:hyperlink>
    </w:p>
    <w:p w14:paraId="002BF0E9" w14:textId="77777777" w:rsidR="00717E34" w:rsidRDefault="00717E34" w:rsidP="00717E34">
      <w:pPr>
        <w:pStyle w:val="NormalWeb"/>
      </w:pPr>
      <w:r>
        <w:t xml:space="preserve">Mykhailenko, O., Jalil, B., McGaw, L. J., Echeverría, J., </w:t>
      </w:r>
      <w:proofErr w:type="spellStart"/>
      <w:r>
        <w:t>Takubessi</w:t>
      </w:r>
      <w:proofErr w:type="spellEnd"/>
      <w:r>
        <w:t xml:space="preserve">, M., &amp; Heinrich, M. (2025). Climate change and the sustainable use of medicinal plants: A call for “new” research strategies. </w:t>
      </w:r>
      <w:r>
        <w:rPr>
          <w:rStyle w:val="Emphasis"/>
          <w:rFonts w:eastAsiaTheme="majorEastAsia"/>
        </w:rPr>
        <w:t>Frontiers in Pharmacology, 15</w:t>
      </w:r>
      <w:r>
        <w:t xml:space="preserve">, 1496792. </w:t>
      </w:r>
      <w:hyperlink r:id="rId25" w:tgtFrame="_new" w:history="1">
        <w:r>
          <w:rPr>
            <w:rStyle w:val="Hyperlink"/>
            <w:rFonts w:eastAsiaTheme="majorEastAsia"/>
          </w:rPr>
          <w:t>https://doi.org/10.3389/fphar.2024.1496792</w:t>
        </w:r>
      </w:hyperlink>
    </w:p>
    <w:p w14:paraId="30C5D4B7" w14:textId="77777777" w:rsidR="00717E34" w:rsidRDefault="00717E34" w:rsidP="00717E34">
      <w:pPr>
        <w:pStyle w:val="NormalWeb"/>
      </w:pPr>
      <w:r>
        <w:lastRenderedPageBreak/>
        <w:t xml:space="preserve">Pandit, S., Srivastav, A. K., Sur, T. K., Chaudhuri, S., Wang, Y., &amp; Biswas, T. K. (2024). Effects of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extract in chronically stressed adults: A randomized controlled trial. </w:t>
      </w:r>
      <w:r>
        <w:rPr>
          <w:rStyle w:val="Emphasis"/>
          <w:rFonts w:eastAsiaTheme="majorEastAsia"/>
        </w:rPr>
        <w:t>Nutrients, 16</w:t>
      </w:r>
      <w:r>
        <w:t xml:space="preserve">(9), 1293. </w:t>
      </w:r>
      <w:hyperlink r:id="rId26" w:tgtFrame="_new" w:history="1">
        <w:r>
          <w:rPr>
            <w:rStyle w:val="Hyperlink"/>
            <w:rFonts w:eastAsiaTheme="majorEastAsia"/>
          </w:rPr>
          <w:t>https://doi.org/10.3390/nu16091293</w:t>
        </w:r>
      </w:hyperlink>
    </w:p>
    <w:p w14:paraId="307E418E" w14:textId="77777777" w:rsidR="00717E34" w:rsidRDefault="00717E34" w:rsidP="00717E34">
      <w:pPr>
        <w:pStyle w:val="NormalWeb"/>
      </w:pPr>
      <w:r>
        <w:t xml:space="preserve">Pathak, S., &amp; </w:t>
      </w:r>
      <w:proofErr w:type="spellStart"/>
      <w:r>
        <w:t>Godela</w:t>
      </w:r>
      <w:proofErr w:type="spellEnd"/>
      <w:r>
        <w:t xml:space="preserve">, R. (2024). </w:t>
      </w:r>
      <w:proofErr w:type="spellStart"/>
      <w:r>
        <w:rPr>
          <w:rStyle w:val="Emphasis"/>
          <w:rFonts w:eastAsiaTheme="majorEastAsia"/>
        </w:rPr>
        <w:t>Nardostachys</w:t>
      </w:r>
      <w:proofErr w:type="spellEnd"/>
      <w:r>
        <w:rPr>
          <w:rStyle w:val="Emphasis"/>
          <w:rFonts w:eastAsiaTheme="majorEastAsia"/>
        </w:rPr>
        <w:t xml:space="preserve"> </w:t>
      </w:r>
      <w:proofErr w:type="spellStart"/>
      <w:r>
        <w:rPr>
          <w:rStyle w:val="Emphasis"/>
          <w:rFonts w:eastAsiaTheme="majorEastAsia"/>
        </w:rPr>
        <w:t>jatamansi</w:t>
      </w:r>
      <w:proofErr w:type="spellEnd"/>
      <w:r>
        <w:t xml:space="preserve">: Phytochemistry, ethnomedicinal uses, and pharmacological activities: A comprehensive review. </w:t>
      </w:r>
      <w:proofErr w:type="spellStart"/>
      <w:r>
        <w:rPr>
          <w:rStyle w:val="Emphasis"/>
          <w:rFonts w:eastAsiaTheme="majorEastAsia"/>
        </w:rPr>
        <w:t>Fitoterapia</w:t>
      </w:r>
      <w:proofErr w:type="spellEnd"/>
      <w:r>
        <w:rPr>
          <w:rStyle w:val="Emphasis"/>
          <w:rFonts w:eastAsiaTheme="majorEastAsia"/>
        </w:rPr>
        <w:t>, 172</w:t>
      </w:r>
      <w:r>
        <w:t xml:space="preserve">, 105764. </w:t>
      </w:r>
      <w:hyperlink r:id="rId27" w:tgtFrame="_new" w:history="1">
        <w:r>
          <w:rPr>
            <w:rStyle w:val="Hyperlink"/>
            <w:rFonts w:eastAsiaTheme="majorEastAsia"/>
          </w:rPr>
          <w:t>https://doi.org/10.1016/j.fitote.2023.105764</w:t>
        </w:r>
      </w:hyperlink>
    </w:p>
    <w:p w14:paraId="76A5BAFA" w14:textId="77777777" w:rsidR="00717E34" w:rsidRDefault="00717E34" w:rsidP="00717E34">
      <w:pPr>
        <w:pStyle w:val="NormalWeb"/>
      </w:pPr>
      <w:proofErr w:type="spellStart"/>
      <w:r>
        <w:t>Ralte</w:t>
      </w:r>
      <w:proofErr w:type="spellEnd"/>
      <w:r>
        <w:t xml:space="preserve">, L., &amp; Singh, Y. T. (2024). Ethnobotanical survey of medicinal plants used by various ethnic tribes of Mizoram, India. </w:t>
      </w:r>
      <w:r>
        <w:rPr>
          <w:rStyle w:val="Emphasis"/>
          <w:rFonts w:eastAsiaTheme="majorEastAsia"/>
        </w:rPr>
        <w:t>PLOS ONE, 19</w:t>
      </w:r>
      <w:r>
        <w:t xml:space="preserve">(5), e0302792. </w:t>
      </w:r>
      <w:hyperlink r:id="rId28" w:tgtFrame="_new" w:history="1">
        <w:r>
          <w:rPr>
            <w:rStyle w:val="Hyperlink"/>
            <w:rFonts w:eastAsiaTheme="majorEastAsia"/>
          </w:rPr>
          <w:t>https://doi.org/10.1371/journal.pone.0302792</w:t>
        </w:r>
      </w:hyperlink>
    </w:p>
    <w:p w14:paraId="4F02F338" w14:textId="77777777" w:rsidR="00717E34" w:rsidRDefault="00717E34" w:rsidP="00717E34">
      <w:pPr>
        <w:pStyle w:val="NormalWeb"/>
      </w:pPr>
      <w:proofErr w:type="spellStart"/>
      <w:r>
        <w:t>Ralte</w:t>
      </w:r>
      <w:proofErr w:type="spellEnd"/>
      <w:r>
        <w:t xml:space="preserve">, L., </w:t>
      </w:r>
      <w:proofErr w:type="spellStart"/>
      <w:r>
        <w:t>Sailo</w:t>
      </w:r>
      <w:proofErr w:type="spellEnd"/>
      <w:r>
        <w:t xml:space="preserve">, H., &amp; Singh, Y. T. (2024). Ethnobotanical study of medicinal plants used by the indigenous community of the western region of Mizoram, India. </w:t>
      </w:r>
      <w:r>
        <w:rPr>
          <w:rStyle w:val="Emphasis"/>
          <w:rFonts w:eastAsiaTheme="majorEastAsia"/>
        </w:rPr>
        <w:t>Journal of Ethnobiology and Ethnomedicine, 20</w:t>
      </w:r>
      <w:r>
        <w:t xml:space="preserve">, 2. </w:t>
      </w:r>
      <w:hyperlink r:id="rId29" w:tgtFrame="_new" w:history="1">
        <w:r>
          <w:rPr>
            <w:rStyle w:val="Hyperlink"/>
            <w:rFonts w:eastAsiaTheme="majorEastAsia"/>
          </w:rPr>
          <w:t>https://doi.org/10.1186/s13002-023-00642-z</w:t>
        </w:r>
      </w:hyperlink>
    </w:p>
    <w:p w14:paraId="3F39827C" w14:textId="77777777" w:rsidR="00717E34" w:rsidRDefault="00717E34" w:rsidP="00717E34">
      <w:pPr>
        <w:pStyle w:val="NormalWeb"/>
      </w:pPr>
      <w:r>
        <w:t xml:space="preserve">Sahu, J. K., Das, A., Das, K., Behera, B., Sharma, S., Kukreti, S., &amp; Kumar, S. (2025). Ethnomedicinal and phytochemical studies on sacred plants of Eastern and Northern India. </w:t>
      </w:r>
      <w:r>
        <w:rPr>
          <w:rStyle w:val="Emphasis"/>
          <w:rFonts w:eastAsiaTheme="majorEastAsia"/>
        </w:rPr>
        <w:t>BIONATURE, 45</w:t>
      </w:r>
      <w:r>
        <w:t xml:space="preserve">(2), 122–131. </w:t>
      </w:r>
      <w:hyperlink r:id="rId30" w:tgtFrame="_new" w:history="1">
        <w:r>
          <w:rPr>
            <w:rStyle w:val="Hyperlink"/>
            <w:rFonts w:eastAsiaTheme="majorEastAsia"/>
          </w:rPr>
          <w:t>https://doi.org/10.56557/bn/2025/v45i22076</w:t>
        </w:r>
      </w:hyperlink>
    </w:p>
    <w:p w14:paraId="1C4FB267" w14:textId="77777777" w:rsidR="00717E34" w:rsidRDefault="00717E34" w:rsidP="00717E34">
      <w:pPr>
        <w:pStyle w:val="NormalWeb"/>
      </w:pPr>
      <w:r>
        <w:t xml:space="preserve">Singh, P. A., Dash, S., Choudhury, A., &amp; Bajwa, N. (2024). Factors affecting long-term availability of medicinal plants in India. </w:t>
      </w:r>
      <w:r>
        <w:rPr>
          <w:rStyle w:val="Emphasis"/>
          <w:rFonts w:eastAsiaTheme="majorEastAsia"/>
        </w:rPr>
        <w:t>Journal of Crop Science and Biotechnology, 27</w:t>
      </w:r>
      <w:r>
        <w:t xml:space="preserve">, 145–173. </w:t>
      </w:r>
      <w:hyperlink r:id="rId31" w:tgtFrame="_new" w:history="1">
        <w:r>
          <w:rPr>
            <w:rStyle w:val="Hyperlink"/>
            <w:rFonts w:eastAsiaTheme="majorEastAsia"/>
          </w:rPr>
          <w:t>https://doi.org/10.1007/s12892-023-00219-y</w:t>
        </w:r>
      </w:hyperlink>
    </w:p>
    <w:p w14:paraId="387BEDB7" w14:textId="77777777" w:rsidR="00717E34" w:rsidRDefault="00717E34" w:rsidP="00717E34">
      <w:pPr>
        <w:pStyle w:val="NormalWeb"/>
      </w:pPr>
      <w:r>
        <w:t xml:space="preserve">Speers, A. B., Cabey, K. A., </w:t>
      </w:r>
      <w:proofErr w:type="spellStart"/>
      <w:r>
        <w:t>Soumyanath</w:t>
      </w:r>
      <w:proofErr w:type="spellEnd"/>
      <w:r>
        <w:t xml:space="preserve">, A., &amp; Wright, K. M. (2021). Effects of </w:t>
      </w:r>
      <w:proofErr w:type="spellStart"/>
      <w:r>
        <w:rPr>
          <w:rStyle w:val="Emphasis"/>
          <w:rFonts w:eastAsiaTheme="majorEastAsia"/>
        </w:rPr>
        <w:t>Withania</w:t>
      </w:r>
      <w:proofErr w:type="spellEnd"/>
      <w:r>
        <w:rPr>
          <w:rStyle w:val="Emphasis"/>
          <w:rFonts w:eastAsiaTheme="majorEastAsia"/>
        </w:rPr>
        <w:t xml:space="preserve"> </w:t>
      </w:r>
      <w:proofErr w:type="spellStart"/>
      <w:r>
        <w:rPr>
          <w:rStyle w:val="Emphasis"/>
          <w:rFonts w:eastAsiaTheme="majorEastAsia"/>
        </w:rPr>
        <w:t>somnifera</w:t>
      </w:r>
      <w:proofErr w:type="spellEnd"/>
      <w:r>
        <w:t xml:space="preserve"> (Ashwagandha) on stress and stress-related neuropsychiatric disorders. </w:t>
      </w:r>
      <w:r>
        <w:rPr>
          <w:rStyle w:val="Emphasis"/>
          <w:rFonts w:eastAsiaTheme="majorEastAsia"/>
        </w:rPr>
        <w:t>Current Neuropharmacology, 19</w:t>
      </w:r>
      <w:r>
        <w:t xml:space="preserve">(9), 1468–1495. </w:t>
      </w:r>
      <w:hyperlink r:id="rId32" w:tgtFrame="_new" w:history="1">
        <w:r>
          <w:rPr>
            <w:rStyle w:val="Hyperlink"/>
            <w:rFonts w:eastAsiaTheme="majorEastAsia"/>
          </w:rPr>
          <w:t>https://doi.org/10.2174/1570159X19666210712151556</w:t>
        </w:r>
      </w:hyperlink>
    </w:p>
    <w:p w14:paraId="055B4639" w14:textId="77777777" w:rsidR="00717E34" w:rsidRDefault="00717E34" w:rsidP="00717E34">
      <w:pPr>
        <w:pStyle w:val="NormalWeb"/>
      </w:pPr>
      <w:proofErr w:type="spellStart"/>
      <w:r>
        <w:t>Tuntiyatorn</w:t>
      </w:r>
      <w:proofErr w:type="spellEnd"/>
      <w:r>
        <w:t xml:space="preserve">, P., </w:t>
      </w:r>
      <w:proofErr w:type="spellStart"/>
      <w:r>
        <w:t>Lerspongpaibool</w:t>
      </w:r>
      <w:proofErr w:type="spellEnd"/>
      <w:r>
        <w:t xml:space="preserve">, C., </w:t>
      </w:r>
      <w:proofErr w:type="spellStart"/>
      <w:r>
        <w:t>Kanchanathepsak</w:t>
      </w:r>
      <w:proofErr w:type="spellEnd"/>
      <w:r>
        <w:t xml:space="preserve">, T., </w:t>
      </w:r>
      <w:proofErr w:type="spellStart"/>
      <w:r>
        <w:t>Watcharananan</w:t>
      </w:r>
      <w:proofErr w:type="spellEnd"/>
      <w:r>
        <w:t xml:space="preserve">, I., &amp; </w:t>
      </w:r>
      <w:proofErr w:type="spellStart"/>
      <w:r>
        <w:t>Tawonsawatruk</w:t>
      </w:r>
      <w:proofErr w:type="spellEnd"/>
      <w:r>
        <w:t xml:space="preserve">, T. (2025). Efficacy and safety of curcumin in patients with hand osteoarthritis: A pilot double-blinded randomised controlled trial. </w:t>
      </w:r>
      <w:r>
        <w:rPr>
          <w:rStyle w:val="Emphasis"/>
          <w:rFonts w:eastAsiaTheme="majorEastAsia"/>
        </w:rPr>
        <w:t>BMC Complementary Medicine and Therapies, 25</w:t>
      </w:r>
      <w:r>
        <w:t xml:space="preserve">, 356. </w:t>
      </w:r>
      <w:hyperlink r:id="rId33" w:tgtFrame="_new" w:history="1">
        <w:r>
          <w:rPr>
            <w:rStyle w:val="Hyperlink"/>
            <w:rFonts w:eastAsiaTheme="majorEastAsia"/>
          </w:rPr>
          <w:t>https://doi.org/10.1186/s12906-025-05096-2</w:t>
        </w:r>
      </w:hyperlink>
    </w:p>
    <w:p w14:paraId="19A1A9CA" w14:textId="77777777" w:rsidR="00717E34" w:rsidRDefault="00717E34" w:rsidP="00717E34">
      <w:pPr>
        <w:pStyle w:val="NormalWeb"/>
      </w:pPr>
      <w:r>
        <w:t xml:space="preserve">Zaman, W., Ayaz, A., &amp; Park, S. (2025). Climate change and medicinal plant biodiversity: Conservation strategies for sustainable use and genetic resource preservation. </w:t>
      </w:r>
      <w:r>
        <w:rPr>
          <w:rStyle w:val="Emphasis"/>
          <w:rFonts w:eastAsiaTheme="majorEastAsia"/>
        </w:rPr>
        <w:t>Genetic Resources and Crop Evolution, 72</w:t>
      </w:r>
      <w:r>
        <w:t xml:space="preserve">, 6275–6308. </w:t>
      </w:r>
      <w:hyperlink r:id="rId34" w:tgtFrame="_new" w:history="1">
        <w:r>
          <w:rPr>
            <w:rStyle w:val="Hyperlink"/>
            <w:rFonts w:eastAsiaTheme="majorEastAsia"/>
          </w:rPr>
          <w:t>https://doi.org/10.1007/s10722-025-02410-2</w:t>
        </w:r>
      </w:hyperlink>
    </w:p>
    <w:p w14:paraId="69FB5CE2" w14:textId="77777777" w:rsidR="00717E34" w:rsidRDefault="00717E34" w:rsidP="00717E34">
      <w:pPr>
        <w:pStyle w:val="NormalWeb"/>
      </w:pPr>
      <w:r>
        <w:t xml:space="preserve">Zeng, L., Yu, G., Hao, W., Yang, K., &amp; Chen, H. (2021). The efficacy and safety of </w:t>
      </w:r>
      <w:r>
        <w:rPr>
          <w:rStyle w:val="Emphasis"/>
          <w:rFonts w:eastAsiaTheme="majorEastAsia"/>
        </w:rPr>
        <w:t>Curcuma longa</w:t>
      </w:r>
      <w:r>
        <w:t xml:space="preserve"> extract and curcumin supplements on osteoarthritis: A systematic review and meta-analysis. </w:t>
      </w:r>
      <w:r>
        <w:rPr>
          <w:rStyle w:val="Emphasis"/>
          <w:rFonts w:eastAsiaTheme="majorEastAsia"/>
        </w:rPr>
        <w:t>Bioscience Reports, 41</w:t>
      </w:r>
      <w:r>
        <w:t xml:space="preserve">(6), BSR20210817. </w:t>
      </w:r>
      <w:hyperlink r:id="rId35" w:tgtFrame="_new" w:history="1">
        <w:r>
          <w:rPr>
            <w:rStyle w:val="Hyperlink"/>
            <w:rFonts w:eastAsiaTheme="majorEastAsia"/>
          </w:rPr>
          <w:t>https://doi.org/10.1042/BSR20210817</w:t>
        </w:r>
      </w:hyperlink>
    </w:p>
    <w:p w14:paraId="10E0ED91" w14:textId="38821D8A" w:rsidR="00717E34" w:rsidRPr="00451F19" w:rsidRDefault="00717E34" w:rsidP="00270DDD">
      <w:pPr>
        <w:pStyle w:val="NormalWeb"/>
        <w:rPr>
          <w14:ligatures w14:val="none"/>
        </w:rPr>
      </w:pPr>
      <w:r>
        <w:t xml:space="preserve">Zhang, M., Wang, C., Zhang, R., Chen, Y., Zhang, C., Heuberger, H., &amp; Li, M. (2021). Comparison of the guidelines on good agricultural and collection practices in herbal medicine of the European Union, China, the WHO, and the United States of America. </w:t>
      </w:r>
      <w:r>
        <w:rPr>
          <w:rStyle w:val="Emphasis"/>
          <w:rFonts w:eastAsiaTheme="majorEastAsia"/>
        </w:rPr>
        <w:t>Pharmacological Research, 167</w:t>
      </w:r>
      <w:r>
        <w:t xml:space="preserve">, 105533. </w:t>
      </w:r>
      <w:hyperlink r:id="rId36" w:tgtFrame="_new" w:history="1">
        <w:r>
          <w:rPr>
            <w:rStyle w:val="Hyperlink"/>
            <w:rFonts w:eastAsiaTheme="majorEastAsia"/>
          </w:rPr>
          <w:t>https://doi.org/10.1016/j.phrs.2021.105533</w:t>
        </w:r>
      </w:hyperlink>
    </w:p>
    <w:p w14:paraId="21FF1EEB" w14:textId="6045CE0B" w:rsidR="00451F19" w:rsidRPr="00451F19" w:rsidRDefault="00451F19" w:rsidP="00451F19">
      <w:pPr>
        <w:spacing w:after="0" w:line="240" w:lineRule="auto"/>
        <w:rPr>
          <w:rFonts w:ascii="Times New Roman" w:eastAsia="Times New Roman" w:hAnsi="Times New Roman" w:cs="Times New Roman"/>
          <w:kern w:val="0"/>
          <w:sz w:val="24"/>
          <w:szCs w:val="24"/>
          <w:lang w:eastAsia="en-IN"/>
          <w14:ligatures w14:val="none"/>
        </w:rPr>
      </w:pPr>
    </w:p>
    <w:p w14:paraId="6A719067" w14:textId="77777777" w:rsidR="00451F19" w:rsidRPr="004502EB" w:rsidRDefault="00451F19" w:rsidP="004502EB">
      <w:pPr>
        <w:jc w:val="center"/>
        <w:rPr>
          <w:b/>
          <w:bCs/>
          <w:sz w:val="28"/>
          <w:szCs w:val="28"/>
        </w:rPr>
      </w:pPr>
    </w:p>
    <w:sectPr w:rsidR="00451F19" w:rsidRPr="004502EB" w:rsidSect="001E337C">
      <w:headerReference w:type="even" r:id="rId37"/>
      <w:headerReference w:type="default" r:id="rId38"/>
      <w:footerReference w:type="even" r:id="rId39"/>
      <w:footerReference w:type="default" r:id="rId40"/>
      <w:headerReference w:type="first" r:id="rId41"/>
      <w:footerReference w:type="firs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45440" w14:textId="77777777" w:rsidR="00E32D49" w:rsidRDefault="00E32D49" w:rsidP="00045A87">
      <w:pPr>
        <w:spacing w:after="0" w:line="240" w:lineRule="auto"/>
      </w:pPr>
      <w:r>
        <w:separator/>
      </w:r>
    </w:p>
  </w:endnote>
  <w:endnote w:type="continuationSeparator" w:id="0">
    <w:p w14:paraId="285DCDC4" w14:textId="77777777" w:rsidR="00E32D49" w:rsidRDefault="00E32D49" w:rsidP="000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F5A3B" w14:textId="77777777" w:rsidR="00045A87" w:rsidRDefault="00045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5D0E" w14:textId="77777777" w:rsidR="00045A87" w:rsidRDefault="00045A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386D" w14:textId="77777777" w:rsidR="00045A87" w:rsidRDefault="00045A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7D560" w14:textId="77777777" w:rsidR="00E32D49" w:rsidRDefault="00E32D49" w:rsidP="00045A87">
      <w:pPr>
        <w:spacing w:after="0" w:line="240" w:lineRule="auto"/>
      </w:pPr>
      <w:r>
        <w:separator/>
      </w:r>
    </w:p>
  </w:footnote>
  <w:footnote w:type="continuationSeparator" w:id="0">
    <w:p w14:paraId="4969527A" w14:textId="77777777" w:rsidR="00E32D49" w:rsidRDefault="00E32D49" w:rsidP="0004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75A82" w14:textId="726D2DCC" w:rsidR="00045A87" w:rsidRDefault="00045A87">
    <w:pPr>
      <w:pStyle w:val="Header"/>
    </w:pPr>
    <w:r>
      <w:rPr>
        <w:noProof/>
      </w:rPr>
      <w:pict w14:anchorId="57DDC8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512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5379" w14:textId="277C7765" w:rsidR="00045A87" w:rsidRDefault="00045A87">
    <w:pPr>
      <w:pStyle w:val="Header"/>
    </w:pPr>
    <w:r>
      <w:rPr>
        <w:noProof/>
      </w:rPr>
      <w:pict w14:anchorId="41A9B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512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E656" w14:textId="0F30430B" w:rsidR="00045A87" w:rsidRDefault="00045A87">
    <w:pPr>
      <w:pStyle w:val="Header"/>
    </w:pPr>
    <w:r>
      <w:rPr>
        <w:noProof/>
      </w:rPr>
      <w:pict w14:anchorId="49DF1B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512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BIhNDUyAwMAMxlHSUglOLizPz80AKjGsBfe++bywAAAA="/>
  </w:docVars>
  <w:rsids>
    <w:rsidRoot w:val="00930AD9"/>
    <w:rsid w:val="00045A87"/>
    <w:rsid w:val="00065726"/>
    <w:rsid w:val="00122CB2"/>
    <w:rsid w:val="001C69F9"/>
    <w:rsid w:val="001E337C"/>
    <w:rsid w:val="002109EA"/>
    <w:rsid w:val="00270DDD"/>
    <w:rsid w:val="004502EB"/>
    <w:rsid w:val="00451F19"/>
    <w:rsid w:val="005C5D1C"/>
    <w:rsid w:val="00717E34"/>
    <w:rsid w:val="00804FD1"/>
    <w:rsid w:val="00930AD9"/>
    <w:rsid w:val="00AC093C"/>
    <w:rsid w:val="00B04FBC"/>
    <w:rsid w:val="00C234D2"/>
    <w:rsid w:val="00C83548"/>
    <w:rsid w:val="00CD6081"/>
    <w:rsid w:val="00D5437D"/>
    <w:rsid w:val="00E32D49"/>
    <w:rsid w:val="00F6642B"/>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FE8B32"/>
  <w15:chartTrackingRefBased/>
  <w15:docId w15:val="{C6CE9B7C-A89C-4AE2-8A76-D4D734CC1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930A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30A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30A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0A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0A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0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A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30A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30A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0A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0A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0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AD9"/>
    <w:rPr>
      <w:rFonts w:eastAsiaTheme="majorEastAsia" w:cstheme="majorBidi"/>
      <w:color w:val="272727" w:themeColor="text1" w:themeTint="D8"/>
    </w:rPr>
  </w:style>
  <w:style w:type="paragraph" w:styleId="Title">
    <w:name w:val="Title"/>
    <w:basedOn w:val="Normal"/>
    <w:next w:val="Normal"/>
    <w:link w:val="TitleChar"/>
    <w:uiPriority w:val="10"/>
    <w:qFormat/>
    <w:rsid w:val="00930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AD9"/>
    <w:pPr>
      <w:spacing w:before="160"/>
      <w:jc w:val="center"/>
    </w:pPr>
    <w:rPr>
      <w:i/>
      <w:iCs/>
      <w:color w:val="404040" w:themeColor="text1" w:themeTint="BF"/>
    </w:rPr>
  </w:style>
  <w:style w:type="character" w:customStyle="1" w:styleId="QuoteChar">
    <w:name w:val="Quote Char"/>
    <w:basedOn w:val="DefaultParagraphFont"/>
    <w:link w:val="Quote"/>
    <w:uiPriority w:val="29"/>
    <w:rsid w:val="00930AD9"/>
    <w:rPr>
      <w:i/>
      <w:iCs/>
      <w:color w:val="404040" w:themeColor="text1" w:themeTint="BF"/>
    </w:rPr>
  </w:style>
  <w:style w:type="paragraph" w:styleId="ListParagraph">
    <w:name w:val="List Paragraph"/>
    <w:basedOn w:val="Normal"/>
    <w:uiPriority w:val="34"/>
    <w:qFormat/>
    <w:rsid w:val="00930AD9"/>
    <w:pPr>
      <w:ind w:left="720"/>
      <w:contextualSpacing/>
    </w:pPr>
  </w:style>
  <w:style w:type="character" w:styleId="IntenseEmphasis">
    <w:name w:val="Intense Emphasis"/>
    <w:basedOn w:val="DefaultParagraphFont"/>
    <w:uiPriority w:val="21"/>
    <w:qFormat/>
    <w:rsid w:val="00930AD9"/>
    <w:rPr>
      <w:i/>
      <w:iCs/>
      <w:color w:val="2F5496" w:themeColor="accent1" w:themeShade="BF"/>
    </w:rPr>
  </w:style>
  <w:style w:type="paragraph" w:styleId="IntenseQuote">
    <w:name w:val="Intense Quote"/>
    <w:basedOn w:val="Normal"/>
    <w:next w:val="Normal"/>
    <w:link w:val="IntenseQuoteChar"/>
    <w:uiPriority w:val="30"/>
    <w:qFormat/>
    <w:rsid w:val="00930A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0AD9"/>
    <w:rPr>
      <w:i/>
      <w:iCs/>
      <w:color w:val="2F5496" w:themeColor="accent1" w:themeShade="BF"/>
    </w:rPr>
  </w:style>
  <w:style w:type="character" w:styleId="IntenseReference">
    <w:name w:val="Intense Reference"/>
    <w:basedOn w:val="DefaultParagraphFont"/>
    <w:uiPriority w:val="32"/>
    <w:qFormat/>
    <w:rsid w:val="00930AD9"/>
    <w:rPr>
      <w:b/>
      <w:bCs/>
      <w:smallCaps/>
      <w:color w:val="2F5496" w:themeColor="accent1" w:themeShade="BF"/>
      <w:spacing w:val="5"/>
    </w:rPr>
  </w:style>
  <w:style w:type="paragraph" w:styleId="NormalWeb">
    <w:name w:val="Normal (Web)"/>
    <w:basedOn w:val="Normal"/>
    <w:uiPriority w:val="99"/>
    <w:unhideWhenUsed/>
    <w:rsid w:val="00451F19"/>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451F19"/>
    <w:rPr>
      <w:b/>
      <w:bCs/>
    </w:rPr>
  </w:style>
  <w:style w:type="character" w:styleId="Emphasis">
    <w:name w:val="Emphasis"/>
    <w:basedOn w:val="DefaultParagraphFont"/>
    <w:uiPriority w:val="20"/>
    <w:qFormat/>
    <w:rsid w:val="00717E34"/>
    <w:rPr>
      <w:i/>
      <w:iCs/>
    </w:rPr>
  </w:style>
  <w:style w:type="character" w:styleId="Hyperlink">
    <w:name w:val="Hyperlink"/>
    <w:basedOn w:val="DefaultParagraphFont"/>
    <w:uiPriority w:val="99"/>
    <w:unhideWhenUsed/>
    <w:rsid w:val="00717E34"/>
    <w:rPr>
      <w:color w:val="0000FF"/>
      <w:u w:val="single"/>
    </w:rPr>
  </w:style>
  <w:style w:type="paragraph" w:styleId="Header">
    <w:name w:val="header"/>
    <w:basedOn w:val="Normal"/>
    <w:link w:val="HeaderChar"/>
    <w:uiPriority w:val="99"/>
    <w:unhideWhenUsed/>
    <w:rsid w:val="00045A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A87"/>
  </w:style>
  <w:style w:type="paragraph" w:styleId="Footer">
    <w:name w:val="footer"/>
    <w:basedOn w:val="Normal"/>
    <w:link w:val="FooterChar"/>
    <w:uiPriority w:val="99"/>
    <w:unhideWhenUsed/>
    <w:rsid w:val="00045A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hermed.2022.100569" TargetMode="External"/><Relationship Id="rId18" Type="http://schemas.openxmlformats.org/officeDocument/2006/relationships/hyperlink" Target="https://doi.org/10.9734/ajee/2024/v23i7566?utm_source=chatgpt.com" TargetMode="External"/><Relationship Id="rId26" Type="http://schemas.openxmlformats.org/officeDocument/2006/relationships/hyperlink" Target="https://doi.org/10.3390/nu16091293" TargetMode="External"/><Relationship Id="rId39" Type="http://schemas.openxmlformats.org/officeDocument/2006/relationships/footer" Target="footer1.xml"/><Relationship Id="rId21" Type="http://schemas.openxmlformats.org/officeDocument/2006/relationships/hyperlink" Target="https://doi.org/10.1007/s12041-020-01207-9" TargetMode="External"/><Relationship Id="rId34" Type="http://schemas.openxmlformats.org/officeDocument/2006/relationships/hyperlink" Target="https://doi.org/10.1007/s10722-025-02410-2" TargetMode="External"/><Relationship Id="rId42" Type="http://schemas.openxmlformats.org/officeDocument/2006/relationships/footer" Target="footer3.xml"/><Relationship Id="rId7" Type="http://schemas.openxmlformats.org/officeDocument/2006/relationships/hyperlink" Target="https://doi.org/10.1016/j.explore.2024.103062" TargetMode="External"/><Relationship Id="rId2" Type="http://schemas.openxmlformats.org/officeDocument/2006/relationships/settings" Target="settings.xml"/><Relationship Id="rId16" Type="http://schemas.openxmlformats.org/officeDocument/2006/relationships/hyperlink" Target="https://doi.org/10.1016/j.jff.2020.104171" TargetMode="External"/><Relationship Id="rId20" Type="http://schemas.openxmlformats.org/officeDocument/2006/relationships/hyperlink" Target="https://doi.org/10.1002/hep4.1904" TargetMode="External"/><Relationship Id="rId29" Type="http://schemas.openxmlformats.org/officeDocument/2006/relationships/hyperlink" Target="https://doi.org/10.1186/s13002-023-00642-z" TargetMode="External"/><Relationship Id="rId41"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doi.org/10.3389/fphar.2020.578970" TargetMode="External"/><Relationship Id="rId11" Type="http://schemas.openxmlformats.org/officeDocument/2006/relationships/hyperlink" Target="https://doi.org/10.1016/j.jpha.2023.03.008" TargetMode="External"/><Relationship Id="rId24" Type="http://schemas.openxmlformats.org/officeDocument/2006/relationships/hyperlink" Target="https://doi.org/10.1016/j.talo.2021.100070" TargetMode="External"/><Relationship Id="rId32" Type="http://schemas.openxmlformats.org/officeDocument/2006/relationships/hyperlink" Target="https://doi.org/10.2174/1570159X1966621071215155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doi.org/10.1007/s00764-022-00187-z" TargetMode="External"/><Relationship Id="rId23" Type="http://schemas.openxmlformats.org/officeDocument/2006/relationships/hyperlink" Target="https://doi.org/10.9734/jsrr/2024/v30i102510?utm_source=chatgpt.com" TargetMode="External"/><Relationship Id="rId28" Type="http://schemas.openxmlformats.org/officeDocument/2006/relationships/hyperlink" Target="https://doi.org/10.1371/journal.pone.0302792" TargetMode="External"/><Relationship Id="rId36" Type="http://schemas.openxmlformats.org/officeDocument/2006/relationships/hyperlink" Target="https://doi.org/10.1016/j.phrs.2021.105533" TargetMode="External"/><Relationship Id="rId10" Type="http://schemas.openxmlformats.org/officeDocument/2006/relationships/hyperlink" Target="https://doi.org/10.1016/j.sajb.2022.01.045" TargetMode="External"/><Relationship Id="rId19" Type="http://schemas.openxmlformats.org/officeDocument/2006/relationships/hyperlink" Target="https://doi.org/10.1016/j.medidd.2025.100211" TargetMode="External"/><Relationship Id="rId31" Type="http://schemas.openxmlformats.org/officeDocument/2006/relationships/hyperlink" Target="https://doi.org/10.1007/s12892-023-00219-y"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oi.org/10.1093/jpp/rgae013" TargetMode="External"/><Relationship Id="rId14" Type="http://schemas.openxmlformats.org/officeDocument/2006/relationships/hyperlink" Target="https://doi.org/10.1007/s10722-021-01199-0" TargetMode="External"/><Relationship Id="rId22" Type="http://schemas.openxmlformats.org/officeDocument/2006/relationships/hyperlink" Target="https://doi.org/10.3389/fnut.2022.965130" TargetMode="External"/><Relationship Id="rId27" Type="http://schemas.openxmlformats.org/officeDocument/2006/relationships/hyperlink" Target="https://doi.org/10.1016/j.fitote.2023.105764" TargetMode="External"/><Relationship Id="rId30" Type="http://schemas.openxmlformats.org/officeDocument/2006/relationships/hyperlink" Target="https://doi.org/10.56557/bn/2025/v45i22076?utm_source=chatgpt.com" TargetMode="External"/><Relationship Id="rId35" Type="http://schemas.openxmlformats.org/officeDocument/2006/relationships/hyperlink" Target="https://doi.org/10.1042/BSR20210817" TargetMode="External"/><Relationship Id="rId43" Type="http://schemas.openxmlformats.org/officeDocument/2006/relationships/fontTable" Target="fontTable.xml"/><Relationship Id="rId8" Type="http://schemas.openxmlformats.org/officeDocument/2006/relationships/hyperlink" Target="https://doi.org/10.1016/j.microc.2025.116655" TargetMode="External"/><Relationship Id="rId3" Type="http://schemas.openxmlformats.org/officeDocument/2006/relationships/webSettings" Target="webSettings.xml"/><Relationship Id="rId12" Type="http://schemas.openxmlformats.org/officeDocument/2006/relationships/hyperlink" Target="https://doi.org/10.1016/j.jep.2023.116383" TargetMode="External"/><Relationship Id="rId17" Type="http://schemas.openxmlformats.org/officeDocument/2006/relationships/hyperlink" Target="https://doi.org/10.3389/fpls.2024.1463666" TargetMode="External"/><Relationship Id="rId25" Type="http://schemas.openxmlformats.org/officeDocument/2006/relationships/hyperlink" Target="https://doi.org/10.3389/fphar.2024.1496792" TargetMode="External"/><Relationship Id="rId33" Type="http://schemas.openxmlformats.org/officeDocument/2006/relationships/hyperlink" Target="https://doi.org/10.1186/s12906-025-05096-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15</Pages>
  <Words>7899</Words>
  <Characters>45029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SDI PC 1170</cp:lastModifiedBy>
  <cp:revision>10</cp:revision>
  <dcterms:created xsi:type="dcterms:W3CDTF">2026-01-21T03:59:00Z</dcterms:created>
  <dcterms:modified xsi:type="dcterms:W3CDTF">2026-01-22T09:41:00Z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2de8ac46-94a3-4389-88d5-23a75897c6c7</vt:lpwstr>
  </property>
</Properties>
</file>