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1B64B" w14:textId="77777777" w:rsidR="00754C9A" w:rsidRDefault="00754C9A" w:rsidP="00441B6F">
      <w:pPr>
        <w:pStyle w:val="Title"/>
        <w:spacing w:after="0"/>
        <w:jc w:val="both"/>
        <w:rPr>
          <w:rFonts w:ascii="Arial" w:hAnsi="Arial" w:cs="Arial"/>
        </w:rPr>
      </w:pPr>
    </w:p>
    <w:p w14:paraId="1E3B2308" w14:textId="7F316958" w:rsidR="00163BC4" w:rsidRPr="00163BC4" w:rsidRDefault="009C7EC0" w:rsidP="00441B6F">
      <w:pPr>
        <w:pStyle w:val="Author"/>
        <w:spacing w:line="240" w:lineRule="auto"/>
        <w:rPr>
          <w:rFonts w:ascii="Arial" w:hAnsi="Arial" w:cs="Arial"/>
          <w:bCs/>
          <w:iCs/>
          <w:kern w:val="28"/>
          <w:sz w:val="36"/>
        </w:rPr>
      </w:pPr>
      <w:r w:rsidRPr="009C7EC0">
        <w:rPr>
          <w:rFonts w:ascii="Arial" w:hAnsi="Arial" w:cs="Arial"/>
          <w:bCs/>
          <w:iCs/>
          <w:kern w:val="28"/>
          <w:sz w:val="36"/>
        </w:rPr>
        <w:t xml:space="preserve">Ethnobotanical Study of Domesticated Edible Plants </w:t>
      </w:r>
      <w:r w:rsidR="008B5177">
        <w:rPr>
          <w:rFonts w:ascii="Arial" w:hAnsi="Arial" w:cs="Arial"/>
          <w:bCs/>
          <w:iCs/>
          <w:kern w:val="28"/>
          <w:sz w:val="36"/>
        </w:rPr>
        <w:t xml:space="preserve">in Mali </w:t>
      </w:r>
      <w:r w:rsidRPr="009C7EC0">
        <w:rPr>
          <w:rFonts w:ascii="Arial" w:hAnsi="Arial" w:cs="Arial"/>
          <w:bCs/>
          <w:iCs/>
          <w:kern w:val="28"/>
          <w:sz w:val="36"/>
        </w:rPr>
        <w:t xml:space="preserve">and Biochemical Characterization of </w:t>
      </w:r>
      <w:r w:rsidRPr="009C7EC0">
        <w:rPr>
          <w:rFonts w:ascii="Arial" w:hAnsi="Arial" w:cs="Arial"/>
          <w:bCs/>
          <w:i/>
          <w:kern w:val="28"/>
          <w:sz w:val="36"/>
        </w:rPr>
        <w:t>Mangifera indica</w:t>
      </w:r>
      <w:r w:rsidRPr="009C7EC0">
        <w:rPr>
          <w:rFonts w:ascii="Arial" w:hAnsi="Arial" w:cs="Arial"/>
          <w:bCs/>
          <w:iCs/>
          <w:kern w:val="28"/>
          <w:sz w:val="36"/>
        </w:rPr>
        <w:t xml:space="preserve"> L.</w:t>
      </w:r>
      <w:r w:rsidR="00231920">
        <w:rPr>
          <w:rFonts w:ascii="Arial" w:hAnsi="Arial" w:cs="Arial"/>
          <w:bCs/>
          <w:iCs/>
          <w:kern w:val="28"/>
          <w:sz w:val="36"/>
        </w:rPr>
        <w:t xml:space="preserve"> </w:t>
      </w:r>
    </w:p>
    <w:p w14:paraId="5DBB9DD4" w14:textId="77777777" w:rsidR="00A258C3" w:rsidRPr="00790ADA" w:rsidRDefault="00A258C3" w:rsidP="00441B6F">
      <w:pPr>
        <w:pStyle w:val="Author"/>
        <w:spacing w:line="240" w:lineRule="auto"/>
        <w:jc w:val="both"/>
        <w:rPr>
          <w:rFonts w:ascii="Arial" w:hAnsi="Arial" w:cs="Arial"/>
          <w:sz w:val="36"/>
        </w:rPr>
      </w:pPr>
    </w:p>
    <w:p w14:paraId="0DDF5103" w14:textId="77777777" w:rsidR="002C57D2" w:rsidRPr="00FB3A86" w:rsidRDefault="002C57D2" w:rsidP="00441B6F">
      <w:pPr>
        <w:pStyle w:val="Affiliation"/>
        <w:spacing w:after="0" w:line="240" w:lineRule="auto"/>
        <w:jc w:val="both"/>
        <w:rPr>
          <w:rFonts w:ascii="Arial" w:hAnsi="Arial" w:cs="Arial"/>
        </w:rPr>
      </w:pPr>
    </w:p>
    <w:p w14:paraId="4B33894D" w14:textId="2E72E5E6" w:rsidR="00B01FCD" w:rsidRPr="00FB3A86" w:rsidRDefault="00ED1611" w:rsidP="00441B6F">
      <w:pPr>
        <w:pStyle w:val="Copyright"/>
        <w:spacing w:after="0" w:line="240" w:lineRule="auto"/>
        <w:jc w:val="both"/>
        <w:rPr>
          <w:rFonts w:ascii="Arial" w:hAnsi="Arial" w:cs="Arial"/>
        </w:rPr>
        <w:sectPr w:rsidR="00B01FCD" w:rsidRPr="00FB3A86" w:rsidSect="00A028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AE61490" wp14:editId="2AA59C88">
                <wp:extent cx="5303520" cy="635"/>
                <wp:effectExtent l="17145" t="15240" r="13335" b="13335"/>
                <wp:docPr id="11180051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500FA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3272511" w14:textId="083272FA" w:rsidR="00B01FCD" w:rsidRDefault="00B01FCD" w:rsidP="008510D8">
      <w:pPr>
        <w:pStyle w:val="AbstHead"/>
        <w:spacing w:after="0"/>
        <w:jc w:val="both"/>
        <w:outlineLvl w:val="0"/>
        <w:rPr>
          <w:rFonts w:ascii="Arial" w:hAnsi="Arial" w:cs="Arial"/>
        </w:rPr>
      </w:pPr>
      <w:r w:rsidRPr="00FB3A86">
        <w:rPr>
          <w:rFonts w:ascii="Arial" w:hAnsi="Arial" w:cs="Arial"/>
        </w:rPr>
        <w:t>ABSTRACT</w:t>
      </w:r>
    </w:p>
    <w:p w14:paraId="5FC5CBB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08D425D" w14:textId="77777777" w:rsidTr="001E44FE">
        <w:tc>
          <w:tcPr>
            <w:tcW w:w="9576" w:type="dxa"/>
            <w:shd w:val="clear" w:color="auto" w:fill="F2F2F2"/>
          </w:tcPr>
          <w:p w14:paraId="29E99682" w14:textId="13585E49" w:rsidR="008830CE" w:rsidRDefault="00ED1611" w:rsidP="008830CE">
            <w:pPr>
              <w:pStyle w:val="Body"/>
              <w:spacing w:after="0"/>
              <w:rPr>
                <w:rFonts w:ascii="Arial" w:eastAsia="Calibri" w:hAnsi="Arial" w:cs="Arial"/>
                <w:szCs w:val="22"/>
              </w:rPr>
            </w:pPr>
            <w:r w:rsidRPr="00ED1611">
              <w:rPr>
                <w:rFonts w:ascii="Arial" w:eastAsia="Calibri" w:hAnsi="Arial" w:cs="Arial"/>
                <w:b/>
                <w:bCs/>
                <w:szCs w:val="22"/>
              </w:rPr>
              <w:t xml:space="preserve">Introduction: </w:t>
            </w:r>
            <w:r w:rsidR="008830CE" w:rsidRPr="008830CE">
              <w:rPr>
                <w:rFonts w:ascii="Arial" w:eastAsia="Calibri" w:hAnsi="Arial" w:cs="Arial"/>
                <w:szCs w:val="22"/>
              </w:rPr>
              <w:t xml:space="preserve">In Mali, several domesticated edible plants are commonly used for their nutritional and therapeutic properties. </w:t>
            </w:r>
            <w:r w:rsidR="00670D21">
              <w:rPr>
                <w:rFonts w:ascii="Arial" w:eastAsia="Calibri" w:hAnsi="Arial" w:cs="Arial"/>
                <w:szCs w:val="22"/>
              </w:rPr>
              <w:t xml:space="preserve">But their usage </w:t>
            </w:r>
            <w:r w:rsidR="00670D21">
              <w:rPr>
                <w:rFonts w:ascii="Arial" w:hAnsi="Arial" w:cs="Arial"/>
              </w:rPr>
              <w:t xml:space="preserve">are </w:t>
            </w:r>
            <w:r w:rsidR="00670D21" w:rsidRPr="00F831F1">
              <w:rPr>
                <w:rFonts w:ascii="Arial" w:hAnsi="Arial" w:cs="Arial"/>
              </w:rPr>
              <w:t>poorly documented in terms of their chemical composition and pharmacological properties. This highlights the urgent need for ethnobotanical, phytochemical, and pharmacological investigations.</w:t>
            </w:r>
          </w:p>
          <w:p w14:paraId="6139C920" w14:textId="77777777" w:rsidR="008830CE" w:rsidRDefault="008830CE" w:rsidP="008830CE">
            <w:pPr>
              <w:pStyle w:val="Body"/>
              <w:spacing w:after="0"/>
              <w:rPr>
                <w:rFonts w:ascii="Arial" w:eastAsia="Calibri" w:hAnsi="Arial" w:cs="Arial"/>
                <w:szCs w:val="22"/>
              </w:rPr>
            </w:pPr>
            <w:r w:rsidRPr="00BA1B01">
              <w:rPr>
                <w:rFonts w:ascii="Arial" w:eastAsia="Calibri" w:hAnsi="Arial" w:cs="Arial"/>
                <w:b/>
                <w:szCs w:val="22"/>
              </w:rPr>
              <w:t>Aims:</w:t>
            </w:r>
            <w:r>
              <w:rPr>
                <w:rFonts w:ascii="Arial" w:eastAsia="Calibri" w:hAnsi="Arial" w:cs="Arial"/>
                <w:b/>
                <w:szCs w:val="22"/>
              </w:rPr>
              <w:t xml:space="preserve"> </w:t>
            </w:r>
            <w:r w:rsidRPr="008830CE">
              <w:rPr>
                <w:rFonts w:ascii="Arial" w:eastAsia="Calibri" w:hAnsi="Arial" w:cs="Arial"/>
                <w:szCs w:val="22"/>
              </w:rPr>
              <w:t xml:space="preserve">This study aimed to establish an ethnobotanical inventory of domesticated edible plants in Bamako and surrounding areas, document their therapeutic uses, and evaluate the phytochemical composition and biological activities of the most relevant species. </w:t>
            </w:r>
          </w:p>
          <w:p w14:paraId="21B22393" w14:textId="25373DBF" w:rsidR="009C7EC0" w:rsidRDefault="009C7EC0" w:rsidP="008830CE">
            <w:pPr>
              <w:pStyle w:val="Body"/>
              <w:spacing w:after="0"/>
              <w:rPr>
                <w:rFonts w:ascii="Arial" w:eastAsia="Calibri" w:hAnsi="Arial" w:cs="Arial"/>
                <w:szCs w:val="22"/>
              </w:rPr>
            </w:pPr>
            <w:r w:rsidRPr="00BA1B01">
              <w:rPr>
                <w:rFonts w:ascii="Arial" w:eastAsia="Calibri" w:hAnsi="Arial" w:cs="Arial"/>
                <w:b/>
                <w:szCs w:val="22"/>
              </w:rPr>
              <w:t>Place and Duration of Study</w:t>
            </w:r>
            <w:r>
              <w:rPr>
                <w:rFonts w:ascii="Arial" w:eastAsia="Calibri" w:hAnsi="Arial" w:cs="Arial"/>
                <w:b/>
                <w:szCs w:val="22"/>
              </w:rPr>
              <w:t xml:space="preserve">: </w:t>
            </w:r>
            <w:r w:rsidRPr="009C7EC0">
              <w:rPr>
                <w:rFonts w:ascii="Arial" w:eastAsia="Calibri" w:hAnsi="Arial" w:cs="Arial"/>
                <w:szCs w:val="22"/>
              </w:rPr>
              <w:t xml:space="preserve">The ethnobotanical survey was conducted in Bamako (District of Bamako), Kati, and </w:t>
            </w:r>
            <w:proofErr w:type="spellStart"/>
            <w:r w:rsidRPr="009C7EC0">
              <w:rPr>
                <w:rFonts w:ascii="Arial" w:eastAsia="Calibri" w:hAnsi="Arial" w:cs="Arial"/>
                <w:szCs w:val="22"/>
              </w:rPr>
              <w:t>Sanankoroba</w:t>
            </w:r>
            <w:proofErr w:type="spellEnd"/>
            <w:r w:rsidRPr="009C7EC0">
              <w:rPr>
                <w:rFonts w:ascii="Arial" w:eastAsia="Calibri" w:hAnsi="Arial" w:cs="Arial"/>
                <w:szCs w:val="22"/>
              </w:rPr>
              <w:t xml:space="preserve"> (</w:t>
            </w:r>
            <w:proofErr w:type="spellStart"/>
            <w:r w:rsidRPr="009C7EC0">
              <w:rPr>
                <w:rFonts w:ascii="Arial" w:eastAsia="Calibri" w:hAnsi="Arial" w:cs="Arial"/>
                <w:szCs w:val="22"/>
              </w:rPr>
              <w:t>Koulikoro</w:t>
            </w:r>
            <w:proofErr w:type="spellEnd"/>
            <w:r w:rsidRPr="009C7EC0">
              <w:rPr>
                <w:rFonts w:ascii="Arial" w:eastAsia="Calibri" w:hAnsi="Arial" w:cs="Arial"/>
                <w:szCs w:val="22"/>
              </w:rPr>
              <w:t xml:space="preserve"> region), </w:t>
            </w:r>
            <w:r>
              <w:rPr>
                <w:rFonts w:ascii="Arial" w:eastAsia="Calibri" w:hAnsi="Arial" w:cs="Arial"/>
                <w:szCs w:val="22"/>
              </w:rPr>
              <w:t>in</w:t>
            </w:r>
            <w:r w:rsidRPr="009C7EC0">
              <w:rPr>
                <w:rFonts w:ascii="Arial" w:eastAsia="Calibri" w:hAnsi="Arial" w:cs="Arial"/>
                <w:szCs w:val="22"/>
              </w:rPr>
              <w:t xml:space="preserve"> Mali</w:t>
            </w:r>
            <w:r>
              <w:rPr>
                <w:rFonts w:ascii="Arial" w:eastAsia="Calibri" w:hAnsi="Arial" w:cs="Arial"/>
                <w:szCs w:val="22"/>
              </w:rPr>
              <w:t xml:space="preserve">, </w:t>
            </w:r>
            <w:r w:rsidRPr="009C7EC0">
              <w:rPr>
                <w:rFonts w:ascii="Arial" w:eastAsia="Calibri" w:hAnsi="Arial" w:cs="Arial"/>
                <w:szCs w:val="22"/>
              </w:rPr>
              <w:t xml:space="preserve">from November 7, 2022, to March 2, 2023. </w:t>
            </w:r>
          </w:p>
          <w:p w14:paraId="1EBA62F3" w14:textId="25A28A69" w:rsidR="008830CE" w:rsidRPr="00A12AC6" w:rsidRDefault="009C7EC0" w:rsidP="008830CE">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sidR="008830CE" w:rsidRPr="008830CE">
              <w:rPr>
                <w:rFonts w:ascii="Arial" w:eastAsia="Calibri" w:hAnsi="Arial" w:cs="Arial"/>
                <w:szCs w:val="22"/>
              </w:rPr>
              <w:t xml:space="preserve">Samples (roots, stem bark, and leaves) of </w:t>
            </w:r>
            <w:r w:rsidR="008830CE" w:rsidRPr="008830CE">
              <w:rPr>
                <w:rFonts w:ascii="Arial" w:eastAsia="Calibri" w:hAnsi="Arial" w:cs="Arial"/>
                <w:i/>
                <w:iCs/>
                <w:szCs w:val="22"/>
              </w:rPr>
              <w:t>Mangifera indica</w:t>
            </w:r>
            <w:r w:rsidR="008830CE" w:rsidRPr="008830CE">
              <w:rPr>
                <w:rFonts w:ascii="Arial" w:eastAsia="Calibri" w:hAnsi="Arial" w:cs="Arial"/>
                <w:szCs w:val="22"/>
              </w:rPr>
              <w:t xml:space="preserve"> L. were collected and subjected to qualitative phytochemical </w:t>
            </w:r>
            <w:r w:rsidR="008830CE" w:rsidRPr="00A12AC6">
              <w:rPr>
                <w:rFonts w:ascii="Arial" w:eastAsia="Calibri" w:hAnsi="Arial" w:cs="Arial"/>
                <w:szCs w:val="22"/>
              </w:rPr>
              <w:t xml:space="preserve">screening </w:t>
            </w:r>
            <w:r w:rsidR="004A34E8" w:rsidRPr="00A12AC6">
              <w:rPr>
                <w:rFonts w:ascii="Arial" w:eastAsia="Calibri" w:hAnsi="Arial" w:cs="Arial"/>
                <w:szCs w:val="22"/>
              </w:rPr>
              <w:t xml:space="preserve">using the coloring and precipitation reactions </w:t>
            </w:r>
            <w:r w:rsidR="008830CE" w:rsidRPr="00A12AC6">
              <w:rPr>
                <w:rFonts w:ascii="Arial" w:eastAsia="Calibri" w:hAnsi="Arial" w:cs="Arial"/>
                <w:szCs w:val="22"/>
              </w:rPr>
              <w:t xml:space="preserve">Antioxidant and anti-amylase activities were assessed using DPPH and </w:t>
            </w:r>
            <w:r w:rsidR="008830CE" w:rsidRPr="00A12AC6">
              <w:rPr>
                <w:rFonts w:ascii="Arial" w:eastAsia="Calibri" w:hAnsi="Arial" w:cs="Arial"/>
                <w:szCs w:val="22"/>
                <w:lang w:val="fr-FR"/>
              </w:rPr>
              <w:t>α</w:t>
            </w:r>
            <w:r w:rsidR="008830CE" w:rsidRPr="00A12AC6">
              <w:rPr>
                <w:rFonts w:ascii="Arial" w:eastAsia="Calibri" w:hAnsi="Arial" w:cs="Arial"/>
                <w:szCs w:val="22"/>
              </w:rPr>
              <w:t>-amylase inhibition assay.</w:t>
            </w:r>
          </w:p>
          <w:p w14:paraId="6F72B7D3" w14:textId="12F9AB76" w:rsidR="008830CE" w:rsidRPr="00A12AC6" w:rsidRDefault="009C7EC0" w:rsidP="008830CE">
            <w:pPr>
              <w:pStyle w:val="Body"/>
              <w:spacing w:after="0"/>
              <w:rPr>
                <w:rFonts w:ascii="Arial" w:eastAsia="Calibri" w:hAnsi="Arial" w:cs="Arial"/>
                <w:szCs w:val="22"/>
              </w:rPr>
            </w:pPr>
            <w:r w:rsidRPr="00A12AC6">
              <w:rPr>
                <w:rFonts w:ascii="Arial" w:eastAsia="Calibri" w:hAnsi="Arial" w:cs="Arial"/>
                <w:b/>
                <w:bCs/>
                <w:szCs w:val="22"/>
              </w:rPr>
              <w:t xml:space="preserve">Results: </w:t>
            </w:r>
            <w:r w:rsidR="008830CE" w:rsidRPr="00A12AC6">
              <w:rPr>
                <w:rFonts w:ascii="Arial" w:eastAsia="Calibri" w:hAnsi="Arial" w:cs="Arial"/>
                <w:szCs w:val="22"/>
              </w:rPr>
              <w:t xml:space="preserve">The survey documented 253 </w:t>
            </w:r>
            <w:r w:rsidR="004A34E8" w:rsidRPr="00A12AC6">
              <w:rPr>
                <w:rFonts w:ascii="Arial" w:eastAsia="Calibri" w:hAnsi="Arial" w:cs="Arial"/>
                <w:szCs w:val="22"/>
              </w:rPr>
              <w:t xml:space="preserve">domesticated edible </w:t>
            </w:r>
            <w:r w:rsidR="008830CE" w:rsidRPr="00A12AC6">
              <w:rPr>
                <w:rFonts w:ascii="Arial" w:eastAsia="Calibri" w:hAnsi="Arial" w:cs="Arial"/>
                <w:szCs w:val="22"/>
              </w:rPr>
              <w:t>plant species distributed across 24 families</w:t>
            </w:r>
            <w:r w:rsidR="00A12AC6" w:rsidRPr="00A12AC6">
              <w:rPr>
                <w:rFonts w:ascii="Arial" w:eastAsia="Calibri" w:hAnsi="Arial" w:cs="Arial"/>
                <w:szCs w:val="22"/>
              </w:rPr>
              <w:t xml:space="preserve"> </w:t>
            </w:r>
            <w:proofErr w:type="spellStart"/>
            <w:r w:rsidR="00AC56D3" w:rsidRPr="00A12AC6">
              <w:rPr>
                <w:rFonts w:ascii="Arial" w:eastAsia="Calibri" w:hAnsi="Arial" w:cs="Arial"/>
                <w:szCs w:val="22"/>
              </w:rPr>
              <w:t>leaded</w:t>
            </w:r>
            <w:proofErr w:type="spellEnd"/>
            <w:r w:rsidR="00AC56D3" w:rsidRPr="00A12AC6">
              <w:rPr>
                <w:rFonts w:ascii="Arial" w:eastAsia="Calibri" w:hAnsi="Arial" w:cs="Arial"/>
                <w:szCs w:val="22"/>
              </w:rPr>
              <w:t xml:space="preserve"> by </w:t>
            </w:r>
            <w:proofErr w:type="spellStart"/>
            <w:r w:rsidR="008830CE" w:rsidRPr="00A12AC6">
              <w:rPr>
                <w:rFonts w:ascii="Arial" w:eastAsia="Calibri" w:hAnsi="Arial" w:cs="Arial"/>
                <w:szCs w:val="22"/>
              </w:rPr>
              <w:t>Anacardiaceae</w:t>
            </w:r>
            <w:proofErr w:type="spellEnd"/>
            <w:r w:rsidR="008830CE" w:rsidRPr="00A12AC6">
              <w:rPr>
                <w:rFonts w:ascii="Arial" w:eastAsia="Calibri" w:hAnsi="Arial" w:cs="Arial"/>
                <w:szCs w:val="22"/>
              </w:rPr>
              <w:t xml:space="preserve"> (66.07%), </w:t>
            </w:r>
            <w:proofErr w:type="spellStart"/>
            <w:r w:rsidR="008830CE" w:rsidRPr="00A12AC6">
              <w:rPr>
                <w:rFonts w:ascii="Arial" w:eastAsia="Calibri" w:hAnsi="Arial" w:cs="Arial"/>
                <w:szCs w:val="22"/>
              </w:rPr>
              <w:t>Caricaceae</w:t>
            </w:r>
            <w:proofErr w:type="spellEnd"/>
            <w:r w:rsidR="008830CE" w:rsidRPr="00A12AC6">
              <w:rPr>
                <w:rFonts w:ascii="Arial" w:eastAsia="Calibri" w:hAnsi="Arial" w:cs="Arial"/>
                <w:szCs w:val="22"/>
              </w:rPr>
              <w:t xml:space="preserve"> (12.65%), and </w:t>
            </w:r>
            <w:proofErr w:type="spellStart"/>
            <w:r w:rsidR="008830CE" w:rsidRPr="00A12AC6">
              <w:rPr>
                <w:rFonts w:ascii="Arial" w:eastAsia="Calibri" w:hAnsi="Arial" w:cs="Arial"/>
                <w:szCs w:val="22"/>
              </w:rPr>
              <w:t>Rutaceae</w:t>
            </w:r>
            <w:proofErr w:type="spellEnd"/>
            <w:r w:rsidR="008830CE" w:rsidRPr="00A12AC6">
              <w:rPr>
                <w:rFonts w:ascii="Arial" w:eastAsia="Calibri" w:hAnsi="Arial" w:cs="Arial"/>
                <w:szCs w:val="22"/>
              </w:rPr>
              <w:t xml:space="preserve"> (11.10%). </w:t>
            </w:r>
            <w:r w:rsidR="008830CE" w:rsidRPr="00A12AC6">
              <w:rPr>
                <w:rFonts w:ascii="Arial" w:eastAsia="Calibri" w:hAnsi="Arial" w:cs="Arial"/>
                <w:i/>
                <w:iCs/>
                <w:szCs w:val="22"/>
              </w:rPr>
              <w:t>Mangifera indica</w:t>
            </w:r>
            <w:r w:rsidR="008830CE" w:rsidRPr="00A12AC6">
              <w:rPr>
                <w:rFonts w:ascii="Arial" w:eastAsia="Calibri" w:hAnsi="Arial" w:cs="Arial"/>
                <w:szCs w:val="22"/>
              </w:rPr>
              <w:t xml:space="preserve"> L. was identified as the most domesticated plant and the second most frequently used species for diabetes treatment. Phytochemical screening revealed that </w:t>
            </w:r>
            <w:r w:rsidR="00ED1611" w:rsidRPr="00A12AC6">
              <w:rPr>
                <w:rFonts w:ascii="Arial" w:eastAsia="Calibri" w:hAnsi="Arial" w:cs="Arial"/>
                <w:szCs w:val="22"/>
              </w:rPr>
              <w:t xml:space="preserve">tannins, flavonoids, coumarins, terpenes, and reducing sugars were detected in all organs </w:t>
            </w:r>
            <w:r w:rsidR="00AC56D3" w:rsidRPr="00A12AC6">
              <w:rPr>
                <w:rFonts w:ascii="Arial" w:eastAsia="Calibri" w:hAnsi="Arial" w:cs="Arial"/>
                <w:szCs w:val="22"/>
              </w:rPr>
              <w:t xml:space="preserve">of </w:t>
            </w:r>
            <w:r w:rsidR="00AC56D3" w:rsidRPr="00A12AC6">
              <w:rPr>
                <w:rFonts w:ascii="Arial" w:eastAsia="Calibri" w:hAnsi="Arial" w:cs="Arial"/>
                <w:i/>
                <w:iCs/>
                <w:szCs w:val="22"/>
              </w:rPr>
              <w:t>M.</w:t>
            </w:r>
            <w:r w:rsidR="00AC56D3" w:rsidRPr="00A12AC6">
              <w:rPr>
                <w:rFonts w:ascii="Arial" w:eastAsia="Calibri" w:hAnsi="Arial" w:cs="Arial"/>
                <w:szCs w:val="22"/>
              </w:rPr>
              <w:t xml:space="preserve"> i</w:t>
            </w:r>
            <w:r w:rsidR="00AC56D3" w:rsidRPr="00A12AC6">
              <w:rPr>
                <w:rFonts w:ascii="Arial" w:eastAsia="Calibri" w:hAnsi="Arial" w:cs="Arial"/>
                <w:i/>
                <w:iCs/>
                <w:szCs w:val="22"/>
              </w:rPr>
              <w:t>ndica</w:t>
            </w:r>
            <w:r w:rsidR="00AC56D3" w:rsidRPr="00A12AC6">
              <w:rPr>
                <w:rFonts w:ascii="Arial" w:eastAsia="Calibri" w:hAnsi="Arial" w:cs="Arial"/>
                <w:szCs w:val="22"/>
              </w:rPr>
              <w:t xml:space="preserve"> </w:t>
            </w:r>
            <w:r w:rsidR="00ED1611" w:rsidRPr="00A12AC6">
              <w:rPr>
                <w:rFonts w:ascii="Arial" w:eastAsia="Calibri" w:hAnsi="Arial" w:cs="Arial"/>
                <w:szCs w:val="22"/>
              </w:rPr>
              <w:t xml:space="preserve">(roots, stem bark, and leaves) across both aqueous and hydroalcoholic extracts. </w:t>
            </w:r>
            <w:r w:rsidR="008830CE" w:rsidRPr="00A12AC6">
              <w:rPr>
                <w:rFonts w:ascii="Arial" w:eastAsia="Calibri" w:hAnsi="Arial" w:cs="Arial"/>
                <w:szCs w:val="22"/>
              </w:rPr>
              <w:t>Saponins were absent in all tested organs. The strongest antioxidant activity was observed in the hydroalcoholic extract of the stem bark (IC</w:t>
            </w:r>
            <w:r w:rsidR="008830CE" w:rsidRPr="00A12AC6">
              <w:rPr>
                <w:rFonts w:ascii="Cambria Math" w:eastAsia="Calibri" w:hAnsi="Cambria Math" w:cs="Cambria Math"/>
                <w:szCs w:val="22"/>
              </w:rPr>
              <w:t>₅₀</w:t>
            </w:r>
            <w:r w:rsidR="008830CE" w:rsidRPr="00A12AC6">
              <w:rPr>
                <w:rFonts w:ascii="Arial" w:eastAsia="Calibri" w:hAnsi="Arial" w:cs="Arial"/>
                <w:szCs w:val="22"/>
              </w:rPr>
              <w:t xml:space="preserve"> = 1.88 ± 0.41 </w:t>
            </w:r>
            <w:r w:rsidR="008830CE" w:rsidRPr="00A12AC6">
              <w:rPr>
                <w:rFonts w:ascii="Arial" w:eastAsia="Calibri" w:hAnsi="Arial" w:cs="Arial"/>
                <w:szCs w:val="22"/>
                <w:lang w:val="fr-FR"/>
              </w:rPr>
              <w:t>μ</w:t>
            </w:r>
            <w:r w:rsidR="008830CE" w:rsidRPr="00A12AC6">
              <w:rPr>
                <w:rFonts w:ascii="Arial" w:eastAsia="Calibri" w:hAnsi="Arial" w:cs="Arial"/>
                <w:szCs w:val="22"/>
              </w:rPr>
              <w:t xml:space="preserve">g/mL), while the aqueous leaf extract exhibited the highest </w:t>
            </w:r>
            <w:r w:rsidR="008830CE" w:rsidRPr="00A12AC6">
              <w:rPr>
                <w:rFonts w:ascii="Arial" w:eastAsia="Calibri" w:hAnsi="Arial" w:cs="Arial"/>
                <w:szCs w:val="22"/>
                <w:lang w:val="fr-FR"/>
              </w:rPr>
              <w:t>α</w:t>
            </w:r>
            <w:r w:rsidR="008830CE" w:rsidRPr="00A12AC6">
              <w:rPr>
                <w:rFonts w:ascii="Arial" w:eastAsia="Calibri" w:hAnsi="Arial" w:cs="Arial"/>
                <w:szCs w:val="22"/>
              </w:rPr>
              <w:t>-amylase inhibition (IC</w:t>
            </w:r>
            <w:r w:rsidR="008830CE" w:rsidRPr="00A12AC6">
              <w:rPr>
                <w:rFonts w:ascii="Cambria Math" w:eastAsia="Calibri" w:hAnsi="Cambria Math" w:cs="Cambria Math"/>
                <w:szCs w:val="22"/>
              </w:rPr>
              <w:t>₅₀</w:t>
            </w:r>
            <w:r w:rsidR="008830CE" w:rsidRPr="00A12AC6">
              <w:rPr>
                <w:rFonts w:ascii="Arial" w:eastAsia="Calibri" w:hAnsi="Arial" w:cs="Arial"/>
                <w:szCs w:val="22"/>
              </w:rPr>
              <w:t xml:space="preserve"> = 3.34 ± 0.09 </w:t>
            </w:r>
            <w:r w:rsidR="008830CE" w:rsidRPr="00A12AC6">
              <w:rPr>
                <w:rFonts w:ascii="Arial" w:eastAsia="Calibri" w:hAnsi="Arial" w:cs="Arial"/>
                <w:szCs w:val="22"/>
                <w:lang w:val="fr-FR"/>
              </w:rPr>
              <w:t>μ</w:t>
            </w:r>
            <w:r w:rsidR="008830CE" w:rsidRPr="00A12AC6">
              <w:rPr>
                <w:rFonts w:ascii="Arial" w:eastAsia="Calibri" w:hAnsi="Arial" w:cs="Arial"/>
                <w:szCs w:val="22"/>
              </w:rPr>
              <w:t>g/mL).</w:t>
            </w:r>
          </w:p>
          <w:p w14:paraId="1DE4E0B5" w14:textId="0A65140A" w:rsidR="00505F06" w:rsidRPr="00BA1B01" w:rsidRDefault="009C7EC0" w:rsidP="00441B6F">
            <w:pPr>
              <w:pStyle w:val="Body"/>
              <w:spacing w:after="0"/>
              <w:rPr>
                <w:rFonts w:ascii="Arial" w:eastAsia="Calibri" w:hAnsi="Arial" w:cs="Arial"/>
                <w:szCs w:val="22"/>
              </w:rPr>
            </w:pPr>
            <w:r w:rsidRPr="00A12AC6">
              <w:rPr>
                <w:rFonts w:ascii="Arial" w:eastAsia="Calibri" w:hAnsi="Arial" w:cs="Arial"/>
                <w:b/>
                <w:bCs/>
                <w:szCs w:val="22"/>
              </w:rPr>
              <w:t xml:space="preserve">Conclusion: </w:t>
            </w:r>
            <w:r w:rsidR="008830CE" w:rsidRPr="00A12AC6">
              <w:rPr>
                <w:rFonts w:ascii="Arial" w:eastAsia="Calibri" w:hAnsi="Arial" w:cs="Arial"/>
                <w:szCs w:val="22"/>
              </w:rPr>
              <w:t xml:space="preserve">This study highlights the </w:t>
            </w:r>
            <w:r w:rsidR="004F54E9" w:rsidRPr="00A12AC6">
              <w:rPr>
                <w:rFonts w:ascii="Arial" w:eastAsia="Calibri" w:hAnsi="Arial" w:cs="Arial"/>
                <w:szCs w:val="22"/>
              </w:rPr>
              <w:t xml:space="preserve">hidden therapeutic objective of the domestication of food plants, </w:t>
            </w:r>
            <w:r w:rsidR="008830CE" w:rsidRPr="00A12AC6">
              <w:rPr>
                <w:rFonts w:ascii="Arial" w:eastAsia="Calibri" w:hAnsi="Arial" w:cs="Arial"/>
                <w:szCs w:val="22"/>
              </w:rPr>
              <w:t>particularly in the management of diabetes.</w:t>
            </w:r>
          </w:p>
        </w:tc>
      </w:tr>
    </w:tbl>
    <w:p w14:paraId="7637D5FB" w14:textId="77777777" w:rsidR="00636EB2" w:rsidRDefault="00636EB2" w:rsidP="00441B6F">
      <w:pPr>
        <w:pStyle w:val="Body"/>
        <w:spacing w:after="0"/>
        <w:rPr>
          <w:rFonts w:ascii="Arial" w:hAnsi="Arial" w:cs="Arial"/>
          <w:i/>
        </w:rPr>
      </w:pPr>
    </w:p>
    <w:p w14:paraId="5718E31C" w14:textId="69D5D676" w:rsidR="00A24E7E" w:rsidRDefault="00A24E7E" w:rsidP="00441B6F">
      <w:pPr>
        <w:pStyle w:val="Body"/>
        <w:spacing w:after="0"/>
        <w:rPr>
          <w:rFonts w:ascii="Arial" w:hAnsi="Arial" w:cs="Arial"/>
          <w:i/>
        </w:rPr>
      </w:pPr>
      <w:r w:rsidRPr="00ED1611">
        <w:rPr>
          <w:rFonts w:ascii="Arial" w:hAnsi="Arial" w:cs="Arial"/>
          <w:b/>
          <w:bCs/>
          <w:i/>
        </w:rPr>
        <w:t>Keywords:</w:t>
      </w:r>
      <w:r>
        <w:rPr>
          <w:rFonts w:ascii="Arial" w:hAnsi="Arial" w:cs="Arial"/>
          <w:i/>
        </w:rPr>
        <w:t xml:space="preserve"> </w:t>
      </w:r>
      <w:r w:rsidR="009C7EC0" w:rsidRPr="009C7EC0">
        <w:rPr>
          <w:rFonts w:ascii="Arial" w:hAnsi="Arial" w:cs="Arial"/>
          <w:i/>
        </w:rPr>
        <w:t xml:space="preserve">Diabetes, </w:t>
      </w:r>
      <w:r w:rsidR="009C7EC0" w:rsidRPr="009C7EC0">
        <w:rPr>
          <w:rFonts w:ascii="Arial" w:hAnsi="Arial" w:cs="Arial"/>
          <w:i/>
          <w:iCs/>
        </w:rPr>
        <w:t>Mangifera indica</w:t>
      </w:r>
      <w:r w:rsidR="009C7EC0" w:rsidRPr="009C7EC0">
        <w:rPr>
          <w:rFonts w:ascii="Arial" w:hAnsi="Arial" w:cs="Arial"/>
          <w:i/>
        </w:rPr>
        <w:t xml:space="preserve"> L., antidiabetic, antioxidant, ethnobotan</w:t>
      </w:r>
      <w:r w:rsidR="009C7EC0">
        <w:rPr>
          <w:rFonts w:ascii="Arial" w:hAnsi="Arial" w:cs="Arial"/>
          <w:i/>
        </w:rPr>
        <w:t>ical survey</w:t>
      </w:r>
      <w:r w:rsidR="009C7EC0" w:rsidRPr="009C7EC0">
        <w:rPr>
          <w:rFonts w:ascii="Arial" w:hAnsi="Arial" w:cs="Arial"/>
          <w:i/>
        </w:rPr>
        <w:t>, Mali</w:t>
      </w:r>
    </w:p>
    <w:p w14:paraId="70CD9CC9" w14:textId="77777777" w:rsidR="00790ADA" w:rsidRDefault="00790ADA" w:rsidP="00441B6F">
      <w:pPr>
        <w:pStyle w:val="Body"/>
        <w:spacing w:after="0"/>
        <w:rPr>
          <w:rFonts w:ascii="Arial" w:hAnsi="Arial" w:cs="Arial"/>
          <w:i/>
        </w:rPr>
      </w:pPr>
    </w:p>
    <w:p w14:paraId="100A276A" w14:textId="6B1432C5" w:rsidR="007F7B32" w:rsidRDefault="00902823" w:rsidP="008510D8">
      <w:pPr>
        <w:pStyle w:val="AbstHead"/>
        <w:spacing w:after="0"/>
        <w:jc w:val="both"/>
        <w:outlineLvl w:val="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096BD02" w14:textId="77777777" w:rsidR="00790ADA" w:rsidRPr="00FB3A86" w:rsidRDefault="00790ADA" w:rsidP="00441B6F">
      <w:pPr>
        <w:pStyle w:val="AbstHead"/>
        <w:spacing w:after="0"/>
        <w:jc w:val="both"/>
        <w:rPr>
          <w:rFonts w:ascii="Arial" w:hAnsi="Arial" w:cs="Arial"/>
        </w:rPr>
      </w:pPr>
    </w:p>
    <w:p w14:paraId="17F3E13B" w14:textId="44D1D786" w:rsidR="008B5177" w:rsidRDefault="008B5177" w:rsidP="00441B6F">
      <w:pPr>
        <w:pStyle w:val="Body"/>
        <w:spacing w:after="0"/>
        <w:rPr>
          <w:rFonts w:ascii="Arial" w:hAnsi="Arial" w:cs="Arial"/>
        </w:rPr>
      </w:pPr>
      <w:r w:rsidRPr="008B5177">
        <w:rPr>
          <w:rFonts w:ascii="Arial" w:hAnsi="Arial" w:cs="Arial"/>
        </w:rPr>
        <w:t>Humans have long maintained close relationships with plants, the nature and extent of which vary widely according to their uses</w:t>
      </w:r>
      <w:r w:rsidR="00667D37">
        <w:rPr>
          <w:rFonts w:ascii="Arial" w:hAnsi="Arial" w:cs="Arial"/>
        </w:rPr>
        <w:t xml:space="preserve"> </w:t>
      </w:r>
      <w:r w:rsidR="00667D37">
        <w:rPr>
          <w:rFonts w:ascii="Arial" w:hAnsi="Arial" w:cs="Arial"/>
        </w:rPr>
        <w:fldChar w:fldCharType="begin" w:fldLock="1"/>
      </w:r>
      <w:r w:rsidR="00261A37">
        <w:rPr>
          <w:rFonts w:ascii="Arial" w:hAnsi="Arial" w:cs="Arial"/>
        </w:rPr>
        <w:instrText>ADDIN CSL_CITATION {"citationItems":[{"id":"ITEM-1","itemData":{"DOI":"10.35248/2167-0412.24.13.498","author":[{"dropping-particle":"","family":"Lamy","given":"Elsa","non-dropping-particle":"","parse-names":false,"suffix":""}],"container-title":"Medicinal &amp; Aromatic Plants","id":"ITEM-1","issue":"3","issued":{"date-parts":[["2024"]]},"page":"1-2","title":"Ethnobotany : Preserving Plants Cultural Significance for Sustainable Medicine and Conservation","type":"article-journal","volume":"13"},"uris":["http://www.mendeley.com/documents/?uuid=6c07e58f-963f-4fd9-bbc8-1250c557370e"]}],"mendeley":{"formattedCitation":"[1]","plainTextFormattedCitation":"[1]","previouslyFormattedCitation":"[1]"},"properties":{"noteIndex":0},"schema":"https://github.com/citation-style-language/schema/raw/master/csl-citation.json"}</w:instrText>
      </w:r>
      <w:r w:rsidR="00667D37">
        <w:rPr>
          <w:rFonts w:ascii="Arial" w:hAnsi="Arial" w:cs="Arial"/>
        </w:rPr>
        <w:fldChar w:fldCharType="separate"/>
      </w:r>
      <w:r w:rsidR="008510D8" w:rsidRPr="008510D8">
        <w:rPr>
          <w:rFonts w:ascii="Arial" w:hAnsi="Arial" w:cs="Arial"/>
          <w:noProof/>
        </w:rPr>
        <w:t>[1]</w:t>
      </w:r>
      <w:r w:rsidR="00667D37">
        <w:rPr>
          <w:rFonts w:ascii="Arial" w:hAnsi="Arial" w:cs="Arial"/>
        </w:rPr>
        <w:fldChar w:fldCharType="end"/>
      </w:r>
      <w:r w:rsidRPr="008B5177">
        <w:rPr>
          <w:rFonts w:ascii="Arial" w:hAnsi="Arial" w:cs="Arial"/>
        </w:rPr>
        <w:t xml:space="preserve">. These relationships involve medicinal plants, edible plants, species of cultural or artisanal significance, as well as plant resources used for firewood, charcoal production, and construction purposes </w:t>
      </w:r>
      <w:r w:rsidR="00667D37">
        <w:rPr>
          <w:rFonts w:ascii="Arial" w:hAnsi="Arial" w:cs="Arial"/>
        </w:rPr>
        <w:fldChar w:fldCharType="begin" w:fldLock="1"/>
      </w:r>
      <w:r w:rsidR="00261A37">
        <w:rPr>
          <w:rFonts w:ascii="Arial" w:hAnsi="Arial" w:cs="Arial"/>
        </w:rPr>
        <w:instrText>ADDIN CSL_CITATION {"citationItems":[{"id":"ITEM-1","itemData":{"DOI":"http://dx.doi.org/10.32859/era.26.15.1-24","author":[{"dropping-particle":"","family":"Paul Kwame","given":"Essandoh","non-dropping-particle":"","parse-names":false,"suffix":""},{"dropping-particle":"","family":"Gertrude Lucky Aku","given":"Dali","non-dropping-particle":"","parse-names":false,"suffix":""},{"dropping-particle":"","family":"Isaac Mbir","given":"Bryant","non-dropping-particle":"","parse-names":false,"suffix":""}],"container-title":"Ethnobotany Research and Applications","id":"ITEM-1","issue":"15","issued":{"date-parts":[["2023"]]},"page":"1-24","title":"Medicinal plant use and integration of traditional healers into health care system : A case study at Ankasa Forest Reserve and catchment communities in Ghana","type":"article-journal","volume":"26"},"uris":["http://www.mendeley.com/documents/?uuid=25721fb9-8781-4bb6-a579-c8d564b5b52f"]}],"mendeley":{"formattedCitation":"[2]","plainTextFormattedCitation":"[2]","previouslyFormattedCitation":"[2]"},"properties":{"noteIndex":0},"schema":"https://github.com/citation-style-language/schema/raw/master/csl-citation.json"}</w:instrText>
      </w:r>
      <w:r w:rsidR="00667D37">
        <w:rPr>
          <w:rFonts w:ascii="Arial" w:hAnsi="Arial" w:cs="Arial"/>
        </w:rPr>
        <w:fldChar w:fldCharType="separate"/>
      </w:r>
      <w:r w:rsidR="008510D8" w:rsidRPr="008510D8">
        <w:rPr>
          <w:rFonts w:ascii="Arial" w:hAnsi="Arial" w:cs="Arial"/>
          <w:noProof/>
        </w:rPr>
        <w:t>[2]</w:t>
      </w:r>
      <w:r w:rsidR="00667D37">
        <w:rPr>
          <w:rFonts w:ascii="Arial" w:hAnsi="Arial" w:cs="Arial"/>
        </w:rPr>
        <w:fldChar w:fldCharType="end"/>
      </w:r>
      <w:r w:rsidR="00667D37">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{"citationItems":[{"id":"ITEM-1","itemData":{"author":[{"dropping-particle":"","family":"Perumal","given":"G","non-dropping-particle":"","parse-names":false,"suffix":""}],"container-title":"Ethnobotanical Leaflets","id":"ITEM-1","issued":{"date-parts":[["2010"]]},"page":"161-72","title":"Ethnomedicinal Use of Pteridophyte from Kolli Hills , Namakkal District , Tamil Nadu , India","type":"article-journal","volume":"14"},"uris":["http://www.mendeley.com/documents/?uuid=dba48e83-bf58-4199-a49b-e9bb8516c3c4"]}],"mendeley":{"formattedCitation":"[3]","plainTextFormattedCitation":"[3]","previouslyFormattedCitation":"[3]"},"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[3]</w:t>
      </w:r>
      <w:r w:rsidR="00067CEE">
        <w:rPr>
          <w:rFonts w:ascii="Arial" w:hAnsi="Arial" w:cs="Arial"/>
        </w:rPr>
        <w:fldChar w:fldCharType="end"/>
      </w:r>
      <w:r w:rsidRPr="008B5177">
        <w:rPr>
          <w:rFonts w:ascii="Arial" w:hAnsi="Arial" w:cs="Arial"/>
        </w:rPr>
        <w:t>. In addition, ornamental plants have attracted human interest primarily for their role in enhancing and improving the living environment</w:t>
      </w:r>
      <w:r w:rsidR="00067CEE">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{"citationItems":[{"id":"ITEM-1","itemData":{"DOI":"10.22271/allresearch.2021.v7.i6a.8616","ISSN":"23947500","abstract":"La présente étude porte sur l’intérêt ethnobotanique et phytochimique d’une plante ornementale (Terminalia catappa L.) utilisée au Mali. Pour ce faire, il a été réalisé une enquête par questionnaire auprès de 65 tradi-praticiens de santé de Bamako, un screening phytochimique et une évaluation de l’activité antioxydante du fruit de la plante. Il ressort des résultats que seulement 23,03% des personnes interrogées utilisent Terminalia catappa à des fins thérapeutiques. L’espèce est utilisée dans la prise en charge du diabète, de l’hypertension artérielle, du paludisme et de l’ulcère gastrique. Les feuilles (57%), fruits (38%) et l’écorce du tronc (5%) sont tous utilisés et la majorité des remèdes est préparée sous forme de décoction. L’analyse phytochimique montre que le fruit contient beaucoup de métabolites notamment les composés phénoliques totaux (95,01 ± 0,35 mgEAG/g) dans l’épicarpe et les flavonoïdes totaux (21,66 ± 0,47 mgEQ/g) dans le mésocarpe. Ces deux couches possèdent une bonne activité antioxydante, cependant, l’épicarpe (IC50 = 171,04 ± 2,08 µg/ml) présente un pouvoir oxydant nettement supérieur à celui du mésocarpe (IC50 = 273,82 ± 17,75 µg/ml). Il importe de connaitre les constituantes biochimiques des plantes ornementales du pays et les valoriser à des fins utiles.","author":[{"dropping-particle":"","family":"Dembele","given":"Fousseyni","non-dropping-particle":"","parse-names":false,"suffix":""},{"dropping-particle":"","family":"Samake","given":"Savio","non-dropping-particle":"","parse-names":false,"suffix":""},{"dropping-particle":"","family":"Togola","given":"Issiaka","non-dropping-particle":"","parse-names":false,"suffix":""},{"dropping-particle":"","family":"Karembe","given":"Moussa","non-dropping-particle":"","parse-names":false,"suffix":""}],"container-title":"International Journal of Applied Research","id":"ITEM-1","issue":"6","issued":{"date-parts":[["2021","6","1"]]},"page":"01-07","publisher":"AkiNik Publications","title":"Etudes ethnobotanique et phytochimique despeces ornementales utilisees au Mali: cas de Terminalia catappa (L.) dans le district de Bamako","type":"article-journal","volume":"7"},"uris":["http://www.mendeley.com/documents/?uuid=922ff54f-4e38-33dc-8b39-dfb45c75491a"]}],"mendeley":{"formattedCitation":"[4]","plainTextFormattedCitation":"[4]","previouslyFormattedCitation":"[4]"},"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[4]</w:t>
      </w:r>
      <w:r w:rsidR="00067CEE">
        <w:rPr>
          <w:rFonts w:ascii="Arial" w:hAnsi="Arial" w:cs="Arial"/>
        </w:rPr>
        <w:fldChar w:fldCharType="end"/>
      </w:r>
      <w:r w:rsidRPr="008B5177">
        <w:rPr>
          <w:rFonts w:ascii="Arial" w:hAnsi="Arial" w:cs="Arial"/>
        </w:rPr>
        <w:t xml:space="preserve">. </w:t>
      </w:r>
      <w:r w:rsidR="009F0974">
        <w:rPr>
          <w:rFonts w:ascii="Arial" w:hAnsi="Arial" w:cs="Arial"/>
        </w:rPr>
        <w:t>O</w:t>
      </w:r>
      <w:r w:rsidRPr="008B5177">
        <w:rPr>
          <w:rFonts w:ascii="Arial" w:hAnsi="Arial" w:cs="Arial"/>
        </w:rPr>
        <w:t xml:space="preserve">rnamental plant species also possess therapeutic properties and are used in the management of various diseases, including malaria, hypertension, dermatoses, and </w:t>
      </w:r>
      <w:r w:rsidRPr="008B5177">
        <w:rPr>
          <w:rFonts w:ascii="Arial" w:hAnsi="Arial" w:cs="Arial"/>
        </w:rPr>
        <w:lastRenderedPageBreak/>
        <w:t>diabetes</w:t>
      </w:r>
      <w:r w:rsidR="008A4DE5">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DOI":"10.21474/IJAR01/11487","ISSN":"23205407","author":[{"dropping-particle":"","family":"Samake","given":"Savio","non-dropping-particle":"","parse-names":false,"suffix":""},{"dropping-particle":"","family":"Togola","given":"Issiaka","non-dropping-particle":"","parse-names":false,"suffix":""},{"dropping-particle":"","family":"Diarra","given":"Nouhoum","non-dropping-particle":"","parse-names":false,"suffix":""},{"dropping-particle":"","family":"Samake","given":"Moussa","non-dropping-particle":"","parse-names":false,"suffix":""},{"dropping-particle":"","family":"Sanogo","given":"Rokia","non-dropping-particle":"","parse-names":false,"suffix":""}],"container-title":"International Journal of Advanced Research","id":"ITEM-1","issue":"8","issued":{"date-parts":[["2020","8","31"]]},"page":"251-262","title":"Etude Ethnobotanique Et Screening Phytochimique De Plantes Ornementales A Usage Therapeutique Du District De Bamako, Mali","type":"article-journal","volume":"8"},"uris":["http://www.mendeley.com/documents/?uuid=edc52d10-862f-3880-8b93-ed3812ac753f"]}],"mendeley":{"formattedCitation":"[5]","plainTextFormattedCitation":"[5]","previouslyFormattedCitation":"[5]"},"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[5]</w:t>
      </w:r>
      <w:r w:rsidR="00067CEE">
        <w:rPr>
          <w:rFonts w:ascii="Arial" w:hAnsi="Arial" w:cs="Arial"/>
        </w:rPr>
        <w:fldChar w:fldCharType="end"/>
      </w:r>
      <w:r w:rsidRPr="008B5177">
        <w:rPr>
          <w:rFonts w:ascii="Arial" w:hAnsi="Arial" w:cs="Arial"/>
        </w:rPr>
        <w:t>.</w:t>
      </w:r>
      <w:r>
        <w:rPr>
          <w:rFonts w:ascii="Arial" w:hAnsi="Arial" w:cs="Arial"/>
        </w:rPr>
        <w:t xml:space="preserve"> </w:t>
      </w:r>
      <w:r w:rsidR="009F0974">
        <w:rPr>
          <w:rFonts w:ascii="Arial" w:hAnsi="Arial" w:cs="Arial"/>
        </w:rPr>
        <w:t>This is the reason why many plants are increasingly domesticated, especially in urban areas.</w:t>
      </w:r>
    </w:p>
    <w:p w14:paraId="63B5BCED" w14:textId="77777777" w:rsidR="008B5177" w:rsidRDefault="008B5177" w:rsidP="00441B6F">
      <w:pPr>
        <w:pStyle w:val="Body"/>
        <w:spacing w:after="0"/>
        <w:rPr>
          <w:rFonts w:ascii="Arial" w:hAnsi="Arial" w:cs="Arial"/>
        </w:rPr>
      </w:pPr>
    </w:p>
    <w:p w14:paraId="6C630361" w14:textId="1D13ECD3" w:rsidR="008C3327" w:rsidRDefault="008C3327" w:rsidP="00441B6F">
      <w:pPr>
        <w:pStyle w:val="Body"/>
        <w:spacing w:after="0"/>
        <w:rPr>
          <w:rFonts w:ascii="Arial" w:hAnsi="Arial" w:cs="Arial"/>
        </w:rPr>
      </w:pPr>
      <w:r w:rsidRPr="008C3327">
        <w:rPr>
          <w:rFonts w:ascii="Arial" w:hAnsi="Arial" w:cs="Arial"/>
        </w:rPr>
        <w:t>Chronic metabolic diseases, such as diabetes, are characterized by imbalances in carbohydrate, lipid, or protein metabolism, leading to severe complications including cardiovascular, renal, ocular, and neurological damage</w:t>
      </w:r>
      <w:r w:rsidR="00067CEE">
        <w:rPr>
          <w:rFonts w:ascii="Arial" w:hAnsi="Arial" w:cs="Arial"/>
        </w:rPr>
        <w:t xml:space="preserve"> </w:t>
      </w:r>
      <w:r w:rsidR="00067CEE">
        <w:rPr>
          <w:rFonts w:ascii="Arial" w:hAnsi="Arial" w:cs="Arial"/>
        </w:rPr>
        <w:fldChar w:fldCharType="begin" w:fldLock="1"/>
      </w:r>
      <w:r w:rsidR="00261A37">
        <w:rPr>
          <w:rFonts w:ascii="Arial" w:hAnsi="Arial" w:cs="Arial"/>
        </w:rPr>
        <w:instrText xml:space="preserve">ADDIN CSL_CITATION {"citationItems":[{"id":"ITEM-1","itemData":{"DOI":"10.1038/s41598-023-29743-1","ISBN":"0123456789","ISSN":"2045-2322","author":[{"dropping-particle":"","family":"Diawara","given":"Abdoulaye","non-dropping-particle":"","parse-names":false,"suffix":""},{"dropping-particle":"","family":"Coulibaly","given":"Djibril Mamadou","non-dropping-particle":"","parse-names":false,"suffix":""},{"dropping-particle":"","family":"Yusuf","given":"Talib","non-dropping-particle":"","parse-names":false,"suffix":""},{"dropping-particle":"","family":"Hussain","given":"Abbas","non-dropping-particle":"","parse-names":false,"suffix":""},{"dropping-particle":"","family":"Cisse","given":"Cheickna","non-dropping-particle":"","parse-names":false,"suffix":""},{"dropping-particle":"","family":"Li","given":"Jian","non-dropping-particle":"","parse-names":false,"suffix":""},{"dropping-particle":"","family":"Wele","given":"Mamadou","non-dropping-particle":"","parse-names":false,"suffix":""},{"dropping-particle":"","family":"Diakite","given":"Mahamadou","non-dropping-particle":"","parse-names":false,"suffix":""},{"dropping-particle":"","family":"Traore","given":"Kassim","non-dropping-particle":"","parse-names":false,"suffix":""},{"dropping-particle":"","family":"Doumbia","given":"Seydou O","non-dropping-particle":"","parse-names":false,"suffix":""},{"dropping-particle":"","family":"Shaffer","given":"Jeffrey G","non-dropping-particle":"","parse-names":false,"suffix":""}],"container-title":"Scientific Reports","id":"ITEM-1","issue":"0123456789","issued":{"date-parts":[["2023"]]},"page":"1-10","publisher":"Nature Publishing Group UK","title":"Type 2 diabetes prevalence , awareness , and risk factors in rural Mali : a cross </w:instrText>
      </w:r>
      <w:r w:rsidR="00261A37">
        <w:rPr>
          <w:rFonts w:ascii="Cambria Math" w:hAnsi="Cambria Math" w:cs="Cambria Math"/>
        </w:rPr>
        <w:instrText>‑</w:instrText>
      </w:r>
      <w:r w:rsidR="00261A37">
        <w:rPr>
          <w:rFonts w:ascii="Arial" w:hAnsi="Arial" w:cs="Arial"/>
        </w:rPr>
        <w:instrText xml:space="preserve"> sectional study","type":"article-journal"},"uris":["http://www.mendeley.com/documents/?uuid=acc45309-ee21-4dd0-9884-807ab54f63bf"]}],"mendeley":{"formattedCitation":"[6]","plainTextFormattedCitation":"[6]","previouslyFormattedCitation":"[6]"},"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[6]</w:t>
      </w:r>
      <w:r w:rsidR="00067CEE">
        <w:rPr>
          <w:rFonts w:ascii="Arial" w:hAnsi="Arial" w:cs="Arial"/>
        </w:rPr>
        <w:fldChar w:fldCharType="end"/>
      </w:r>
      <w:r w:rsidRPr="008C3327">
        <w:rPr>
          <w:rFonts w:ascii="Arial" w:hAnsi="Arial" w:cs="Arial"/>
        </w:rPr>
        <w:t xml:space="preserve">. Diabetes, in particular, stems from persistent hyperglycemia due to insulin deficiency or resistance to this hormone, with normal fasting blood glucose levels ranging from 0.8 to 1.2 g/L </w:t>
      </w:r>
      <w:r w:rsidR="005159EB">
        <w:rPr>
          <w:rFonts w:ascii="Arial" w:hAnsi="Arial" w:cs="Arial"/>
        </w:rPr>
        <w:fldChar w:fldCharType="begin" w:fldLock="1"/>
      </w:r>
      <w:r w:rsidR="00261A37">
        <w:rPr>
          <w:rFonts w:ascii="Arial" w:hAnsi="Arial" w:cs="Arial"/>
        </w:rPr>
        <w:instrText>ADDIN CSL_CITATION {"citationItems":[{"id":"ITEM-1","itemData":{"DOI":"https://www.researchsquare.com/article/rs-3956597/v1","author":[{"dropping-particle":"","family":"Diawara","given":"Abdoulaye","non-dropping-particle":"","parse-names":false,"suffix":""},{"dropping-particle":"","family":"Traore","given":"Mariam","non-dropping-particle":"","parse-names":false,"suffix":""},{"dropping-particle":"","family":"Diabaté","given":"Oudou","non-dropping-particle":"","parse-names":false,"suffix":""},{"dropping-particle":"","family":"Kintu","given":"Christopher","non-dropping-particle":"","parse-names":false,"suffix":""},{"dropping-particle":"","family":"Saeed","given":"Ali Awadallah","non-dropping-particle":"","parse-names":false,"suffix":""},{"dropping-particle":"","family":"Abiola","given":"Julianah Ore","non-dropping-particle":"","parse-names":false,"suffix":""},{"dropping-particle":"","family":"Cisse","given":"Cheickna","non-dropping-particle":"","parse-names":false,"suffix":""},{"dropping-particle":"","family":"Traore","given":"Kassim","non-dropping-particle":"","parse-names":false,"suffix":""},{"dropping-particle":"","family":"Wele","given":"Mamadou","non-dropping-particle":"","parse-names":false,"suffix":""},{"dropping-particle":"","family":"Nash","given":"Oyekanmi","non-dropping-particle":"","parse-names":false,"suffix":""},{"dropping-particle":"","family":"Doumbia","given":"Seydou O.","non-dropping-particle":"","parse-names":false,"suffix":""},{"dropping-particle":"","family":"Abbas","given":"Talib Yusuf","non-dropping-particle":"","parse-names":false,"suffix":""},{"dropping-particle":"","family":"Shaffer","given":"Jeffrey G.","non-dropping-particle":"","parse-names":false,"suffix":""},{"dropping-particle":"","family":"Diakité","given":"Mahamadou","non-dropping-particle":"","parse-names":false,"suffix":""},{"dropping-particle":"","family":"Fatumo","given":"Segun","non-dropping-particle":"","parse-names":false,"suffix":""},{"dropping-particle":"","family":"Soremekun","given":"Opeyemi","non-dropping-particle":"","parse-names":false,"suffix":""}],"container-title":"research square","id":"ITEM-1","issued":{"date-parts":[["2024"]]},"title":"Genetically proxied therapeutic inhibition of kidney function drug targets and type 2 diabetes in Africans: A Mendelian randomization study","type":"article-journal"},"uris":["http://www.mendeley.com/documents/?uuid=0bd7d335-cb99-4d14-b214-173c078dc68c"]}],"mendeley":{"formattedCitation":"[7]","plainTextFormattedCitation":"[7]","previouslyFormattedCitation":"[7]"},"properties":{"noteIndex":0},"schema":"https://github.com/citation-style-language/schema/raw/master/csl-citation.json"}</w:instrText>
      </w:r>
      <w:r w:rsidR="005159EB">
        <w:rPr>
          <w:rFonts w:ascii="Arial" w:hAnsi="Arial" w:cs="Arial"/>
        </w:rPr>
        <w:fldChar w:fldCharType="separate"/>
      </w:r>
      <w:r w:rsidR="008510D8" w:rsidRPr="008510D8">
        <w:rPr>
          <w:rFonts w:ascii="Arial" w:hAnsi="Arial" w:cs="Arial"/>
          <w:noProof/>
        </w:rPr>
        <w:t>[7]</w:t>
      </w:r>
      <w:r w:rsidR="005159EB">
        <w:rPr>
          <w:rFonts w:ascii="Arial" w:hAnsi="Arial" w:cs="Arial"/>
        </w:rPr>
        <w:fldChar w:fldCharType="end"/>
      </w:r>
      <w:r w:rsidRPr="008C3327">
        <w:rPr>
          <w:rFonts w:ascii="Arial" w:hAnsi="Arial" w:cs="Arial"/>
        </w:rPr>
        <w:t>. Other conditions like obesity, dyslipidemia, or arterial hypertension exacerbate these risks by promoting systemic inflammation and vascular disorders.</w:t>
      </w:r>
    </w:p>
    <w:p w14:paraId="4533F17C" w14:textId="77777777" w:rsidR="008C3327" w:rsidRDefault="008C3327" w:rsidP="00441B6F">
      <w:pPr>
        <w:pStyle w:val="Body"/>
        <w:spacing w:after="0"/>
        <w:rPr>
          <w:rFonts w:ascii="Arial" w:hAnsi="Arial" w:cs="Arial"/>
        </w:rPr>
      </w:pPr>
    </w:p>
    <w:p w14:paraId="10C824CA" w14:textId="2561BE92" w:rsidR="008C3327" w:rsidRDefault="008C3327" w:rsidP="00B34474">
      <w:pPr>
        <w:pStyle w:val="Body"/>
        <w:spacing w:after="0"/>
        <w:rPr>
          <w:rFonts w:ascii="Arial" w:hAnsi="Arial" w:cs="Arial"/>
        </w:rPr>
      </w:pPr>
      <w:r w:rsidRPr="008C3327">
        <w:rPr>
          <w:rFonts w:ascii="Arial" w:hAnsi="Arial" w:cs="Arial"/>
        </w:rPr>
        <w:t xml:space="preserve">In sub-Saharan Africa, metabolic diseases pose a growing public health challenge, with type </w:t>
      </w:r>
      <w:r w:rsidRPr="009F0974">
        <w:rPr>
          <w:rFonts w:ascii="Arial" w:hAnsi="Arial" w:cs="Arial"/>
        </w:rPr>
        <w:t>2 diabetes being the most prevalent. The International Diabetes Federation (IDF) estimates that</w:t>
      </w:r>
      <w:r w:rsidRPr="009F0974">
        <w:rPr>
          <w:rFonts w:ascii="Arial" w:hAnsi="Arial" w:cs="Arial"/>
          <w:color w:val="FF0000"/>
        </w:rPr>
        <w:t xml:space="preserve"> </w:t>
      </w:r>
      <w:r w:rsidR="004F54E9" w:rsidRPr="009F0974">
        <w:rPr>
          <w:rFonts w:ascii="Arial" w:hAnsi="Arial" w:cs="Arial"/>
        </w:rPr>
        <w:t xml:space="preserve">25 </w:t>
      </w:r>
      <w:r w:rsidRPr="009F0974">
        <w:rPr>
          <w:rFonts w:ascii="Arial" w:hAnsi="Arial" w:cs="Arial"/>
        </w:rPr>
        <w:t xml:space="preserve">million adults in the African Region had diabetes in </w:t>
      </w:r>
      <w:r w:rsidR="004F54E9" w:rsidRPr="009F0974">
        <w:rPr>
          <w:rFonts w:ascii="Arial" w:hAnsi="Arial" w:cs="Arial"/>
        </w:rPr>
        <w:t>2025</w:t>
      </w:r>
      <w:r w:rsidRPr="009F0974">
        <w:rPr>
          <w:rFonts w:ascii="Arial" w:hAnsi="Arial" w:cs="Arial"/>
        </w:rPr>
        <w:t xml:space="preserve">, with </w:t>
      </w:r>
      <w:r w:rsidR="004F54E9" w:rsidRPr="009F0974">
        <w:rPr>
          <w:rFonts w:ascii="Arial" w:hAnsi="Arial" w:cs="Arial"/>
          <w:color w:val="FF0000"/>
        </w:rPr>
        <w:t xml:space="preserve"> </w:t>
      </w:r>
      <w:r w:rsidR="00DE3949" w:rsidRPr="009F0974">
        <w:rPr>
          <w:rFonts w:ascii="Arial" w:hAnsi="Arial" w:cs="Arial"/>
        </w:rPr>
        <w:t xml:space="preserve">a high proportion (73%) of cases remaining </w:t>
      </w:r>
      <w:r w:rsidRPr="00712BF0">
        <w:rPr>
          <w:rFonts w:ascii="Arial" w:hAnsi="Arial" w:cs="Arial"/>
        </w:rPr>
        <w:t>undiagnosed</w:t>
      </w:r>
      <w:r>
        <w:rPr>
          <w:rFonts w:ascii="Arial" w:hAnsi="Arial" w:cs="Arial"/>
        </w:rPr>
        <w:t xml:space="preserve"> </w:t>
      </w:r>
      <w:r w:rsidR="005159EB">
        <w:rPr>
          <w:rFonts w:ascii="Arial" w:hAnsi="Arial" w:cs="Arial"/>
        </w:rPr>
        <w:fldChar w:fldCharType="begin" w:fldLock="1"/>
      </w:r>
      <w:r w:rsidR="00261A37">
        <w:rPr>
          <w:rFonts w:ascii="Arial" w:hAnsi="Arial" w:cs="Arial"/>
        </w:rPr>
        <w:instrText>ADDIN CSL_CITATION {"citationItems":[{"id":"ITEM-1","itemData":{"author":[{"dropping-particle":"","family":"FID","given":"","non-dropping-particle":"","parse-names":false,"suffix":""}],"id":"ITEM-1","issued":{"date-parts":[["2024","5","7"]]},"publisher-place":"Brussels","title":"Faits et chiffres sur le diabète","type":"report"},"uris":["http://www.mendeley.com/documents/?uuid=b147a4e7-5bb3-3497-8079-fb1f9ae464d3"]}],"mendeley":{"formattedCitation":"[8]","plainTextFormattedCitation":"[8]","previouslyFormattedCitation":"[8]"},"properties":{"noteIndex":0},"schema":"https://github.com/citation-style-language/schema/raw/master/csl-citation.json"}</w:instrText>
      </w:r>
      <w:r w:rsidR="005159EB">
        <w:rPr>
          <w:rFonts w:ascii="Arial" w:hAnsi="Arial" w:cs="Arial"/>
        </w:rPr>
        <w:fldChar w:fldCharType="separate"/>
      </w:r>
      <w:r w:rsidR="008510D8" w:rsidRPr="008510D8">
        <w:rPr>
          <w:rFonts w:ascii="Arial" w:hAnsi="Arial" w:cs="Arial"/>
          <w:noProof/>
        </w:rPr>
        <w:t>[8]</w:t>
      </w:r>
      <w:r w:rsidR="005159EB">
        <w:rPr>
          <w:rFonts w:ascii="Arial" w:hAnsi="Arial" w:cs="Arial"/>
        </w:rPr>
        <w:fldChar w:fldCharType="end"/>
      </w:r>
      <w:r w:rsidRPr="00712BF0">
        <w:rPr>
          <w:rFonts w:ascii="Arial" w:hAnsi="Arial" w:cs="Arial"/>
        </w:rPr>
        <w:t>.</w:t>
      </w:r>
      <w:r>
        <w:rPr>
          <w:rFonts w:ascii="Arial" w:hAnsi="Arial" w:cs="Arial"/>
        </w:rPr>
        <w:t xml:space="preserve"> </w:t>
      </w:r>
      <w:r w:rsidRPr="00712BF0">
        <w:rPr>
          <w:rFonts w:ascii="Arial" w:hAnsi="Arial" w:cs="Arial"/>
        </w:rPr>
        <w:t>The region faces a projected 129% increase in type 2 diabetes by 2045, exacerbating existing challenges</w:t>
      </w:r>
      <w:r>
        <w:rPr>
          <w:rFonts w:ascii="Arial" w:hAnsi="Arial" w:cs="Arial"/>
        </w:rPr>
        <w:t xml:space="preserve"> </w:t>
      </w:r>
      <w:r>
        <w:rPr>
          <w:rFonts w:ascii="Arial" w:hAnsi="Arial" w:cs="Arial"/>
        </w:rPr>
        <w:fldChar w:fldCharType="begin" w:fldLock="1"/>
      </w:r>
      <w:r w:rsidR="00261A37">
        <w:rPr>
          <w:rFonts w:ascii="Arial" w:hAnsi="Arial" w:cs="Arial"/>
        </w:rPr>
        <w:instrText>ADDIN CSL_CITATION {"citationItems":[{"id":"ITEM-1","itemData":{"DOI":"10.1007/s00125-022-05795-2","ISSN":"1432-0428 (Electronic)","PMID":"36166072","abstract":"Sub-Saharan Africa (SSA) is the region with the highest projected rates of  increase in type 2 diabetes (129% by 2045), which will exacerbate the already high prevalence of type 2 diabetes complications and comorbidities in SSA. In addition, SSA is grappling with poverty-related health problems and infectious diseases and is also undergoing the most rapid rates of urbanisation globally. These socioenvironmental and lifestyle factors may interact with genetic factors to alter the pathophysiological sequence leading to type 2 diabetes in sub-Saharan African populations. Indeed, current evidence from SSA and the diaspora suggests that the pathophysiology of type 2 diabetes in Black Africans is different from that in their European counterparts. Studies from the diaspora suggest that insulin clearance is the primary defect underlying the development of type 2 diabetes. We propose that, among Black Africans from SSA, hyperinsulinaemia due to a combination of both increased insulin secretion and reduced hepatic insulin clearance is the primary defect, which promotes obesity and insulin resistance, exacerbating the hyperinsulinaemia and eventually leading to beta cell failure and type 2 diabetes. Nonetheless, the current understanding of the pathogenesis of type 2 diabetes and the clinical guidelines for preventing and managing the disease are largely based on studies including participants of predominately White European ancestry. In this review, we summarise the existing knowledge base and data from the only non-pharmacological intervention that explores the pathophysiology of type 2 diabetes in SSA. We also highlight factors that may influence the pathogenesis of type 2 diabetes in SSA, such as social determinants, infectious diseases and genetic and epigenetic influences.","author":[{"dropping-particle":"","family":"Goedecke","given":"Julia H","non-dropping-particle":"","parse-names":false,"suffix":""},{"dropping-particle":"","family":"Mendham","given":"Amy E","non-dropping-particle":"","parse-names":false,"suffix":""}],"container-title":"Diabetologia","id":"ITEM-1","issue":"12","issued":{"date-parts":[["2022","12"]]},"language":"eng","page":"1967-1980","publisher-place":"Germany","title":"Pathophysiology of type 2 diabetes in sub-Saharan Africans.","type":"article-journal","volume":"65"},"uris":["http://www.mendeley.com/documents/?uuid=95d4dafd-0d7a-49e9-ba42-044a522d986f"]}],"mendeley":{"formattedCitation":"[9]","plainTextFormattedCitation":"[9]","previouslyFormattedCitation":"[9]"},"properties":{"noteIndex":0},"schema":"https://github.com/citation-style-language/schema/raw/master/csl-citation.json"}</w:instrText>
      </w:r>
      <w:r>
        <w:rPr>
          <w:rFonts w:ascii="Arial" w:hAnsi="Arial" w:cs="Arial"/>
        </w:rPr>
        <w:fldChar w:fldCharType="separate"/>
      </w:r>
      <w:r w:rsidR="008510D8" w:rsidRPr="008510D8">
        <w:rPr>
          <w:rFonts w:ascii="Arial" w:hAnsi="Arial" w:cs="Arial"/>
          <w:noProof/>
        </w:rPr>
        <w:t>[9]</w:t>
      </w:r>
      <w:r>
        <w:rPr>
          <w:rFonts w:ascii="Arial" w:hAnsi="Arial" w:cs="Arial"/>
        </w:rPr>
        <w:fldChar w:fldCharType="end"/>
      </w:r>
      <w:r w:rsidRPr="00712BF0">
        <w:rPr>
          <w:rFonts w:ascii="Arial" w:hAnsi="Arial" w:cs="Arial"/>
        </w:rPr>
        <w:t>.</w:t>
      </w:r>
      <w:r>
        <w:rPr>
          <w:rFonts w:ascii="Arial" w:hAnsi="Arial" w:cs="Arial"/>
        </w:rPr>
        <w:t xml:space="preserve"> </w:t>
      </w:r>
      <w:r w:rsidRPr="008C3327">
        <w:rPr>
          <w:rFonts w:ascii="Arial" w:hAnsi="Arial" w:cs="Arial"/>
        </w:rPr>
        <w:t>Urbanization, dietary shifts, and sedentary lifestyles accelerate this epidemic, also affecting obesity and associated metabolic syndromes</w:t>
      </w:r>
      <w:r w:rsidR="008A4DE5">
        <w:rPr>
          <w:rFonts w:ascii="Arial" w:hAnsi="Arial" w:cs="Arial"/>
        </w:rPr>
        <w:t xml:space="preserve"> </w:t>
      </w:r>
      <w:r w:rsidR="008A4DE5">
        <w:rPr>
          <w:rFonts w:ascii="Arial" w:hAnsi="Arial" w:cs="Arial"/>
        </w:rPr>
        <w:fldChar w:fldCharType="begin" w:fldLock="1"/>
      </w:r>
      <w:r w:rsidR="00261A37">
        <w:rPr>
          <w:rFonts w:ascii="Arial" w:hAnsi="Arial" w:cs="Arial"/>
        </w:rPr>
        <w:instrText>ADDIN CSL_CITATION {"citationItems":[{"id":"ITEM-1","itemData":{"DOI":"10.1038/s41574-021-00613-y","ISSN":"1759-5037","abstract":"Type 2 diabetes mellitus (T2DM), which was once thought to be rare in sub-Saharan Africa (SSA), is now well established in this region. The SSA region is undergoing a rapid but variable epidemiological transition fuelled by the pace of urbanization, with disease burden profiles shifting from communicable diseases to non-communicable diseases (NCDs). Information on the epidemiology of T2DM has increased, but wide variations in study methods, diagnostic biomarkers and criteria hamper analytical comparison, and data from high-quality studies are limited. The prevalence of T2DM is still low in some rural populations but moderate or high rates are reported in many countries/regions, with evidence for an increase in some. In addition, the proportion of undiagnosed T2DM is still high. The prevalence of T2DM is highest in African people living in urban areas, and the gradient between African people living in urban areas and people in the African diaspora is rapidly fading. However, data from longitudinal studies are lacking and there is limited information on chronic complications and the genetics of T2DM. The large unmet needs for T2DM care call for greater investment of resources into health systems to manage NCDs in SSA. Proposed health-system paradigms are being developed in some countries/regions. However, national NCD programmes need to be adequately funded and coordinated to stem the tide of T2DM and its complications.","author":[{"dropping-particle":"","family":"Motala","given":"Ayesha A","non-dropping-particle":"","parse-names":false,"suffix":""},{"dropping-particle":"","family":"Mbanya","given":"Jean Claude","non-dropping-particle":"","parse-names":false,"suffix":""},{"dropping-particle":"","family":"Ramaiya","given":"Kaushik","non-dropping-particle":"","parse-names":false,"suffix":""},{"dropping-particle":"","family":"Pirie","given":"Fraser J","non-dropping-particle":"","parse-names":false,"suffix":""},{"dropping-particle":"","family":"Ekoru","given":"Kenneth","non-dropping-particle":"","parse-names":false,"suffix":""}],"container-title":"Nature Reviews Endocrinology","id":"ITEM-1","issue":"4","issued":{"date-parts":[["2022"]]},"page":"219-229","title":"Type 2 diabetes mellitus in sub-Saharan Africa: challenges and opportunities","type":"article-journal","volume":"18"},"uris":["http://www.mendeley.com/documents/?uuid=fa517273-fbd1-458d-ac47-ae295729d0cf"]}],"mendeley":{"formattedCitation":"[10]","plainTextFormattedCitation":"[10]","previouslyFormattedCitation":"[10]"},"properties":{"noteIndex":0},"schema":"https://github.com/citation-style-language/schema/raw/master/csl-citation.json"}</w:instrText>
      </w:r>
      <w:r w:rsidR="008A4DE5">
        <w:rPr>
          <w:rFonts w:ascii="Arial" w:hAnsi="Arial" w:cs="Arial"/>
        </w:rPr>
        <w:fldChar w:fldCharType="separate"/>
      </w:r>
      <w:r w:rsidR="008510D8" w:rsidRPr="008510D8">
        <w:rPr>
          <w:rFonts w:ascii="Arial" w:hAnsi="Arial" w:cs="Arial"/>
          <w:noProof/>
        </w:rPr>
        <w:t>[10]</w:t>
      </w:r>
      <w:r w:rsidR="008A4DE5">
        <w:rPr>
          <w:rFonts w:ascii="Arial" w:hAnsi="Arial" w:cs="Arial"/>
        </w:rPr>
        <w:fldChar w:fldCharType="end"/>
      </w:r>
      <w:r w:rsidRPr="008C3327">
        <w:rPr>
          <w:rFonts w:ascii="Arial" w:hAnsi="Arial" w:cs="Arial"/>
        </w:rPr>
        <w:t xml:space="preserve">. Investigating urban areas and local management strategies, including ethnobotanical and traditional approaches, is therefore essential. </w:t>
      </w:r>
    </w:p>
    <w:p w14:paraId="7EE8F7B6" w14:textId="4CA72970" w:rsidR="008C3327" w:rsidRDefault="008C3327" w:rsidP="00B34474">
      <w:pPr>
        <w:pStyle w:val="Body"/>
        <w:spacing w:after="0"/>
        <w:rPr>
          <w:rFonts w:ascii="Arial" w:hAnsi="Arial" w:cs="Arial"/>
        </w:rPr>
      </w:pPr>
    </w:p>
    <w:p w14:paraId="6C1814BD" w14:textId="535C5E19" w:rsidR="00B34474" w:rsidRDefault="001C2CE0" w:rsidP="00B34474">
      <w:pPr>
        <w:pStyle w:val="Body"/>
        <w:spacing w:after="0"/>
        <w:rPr>
          <w:rFonts w:ascii="Arial" w:hAnsi="Arial" w:cs="Arial"/>
        </w:rPr>
      </w:pPr>
      <w:r w:rsidRPr="00652B13">
        <w:rPr>
          <w:rFonts w:ascii="Arial" w:hAnsi="Arial" w:cs="Arial"/>
        </w:rPr>
        <w:t>Curiously following the increasing of metabolic prevalence, we have observed for several years</w:t>
      </w:r>
      <w:r w:rsidR="009E0C45" w:rsidRPr="00652B13">
        <w:rPr>
          <w:rFonts w:ascii="Arial" w:hAnsi="Arial" w:cs="Arial"/>
        </w:rPr>
        <w:t xml:space="preserve"> </w:t>
      </w:r>
      <w:r w:rsidRPr="00652B13">
        <w:rPr>
          <w:rFonts w:ascii="Arial" w:hAnsi="Arial" w:cs="Arial"/>
        </w:rPr>
        <w:t xml:space="preserve">an intensive domestication of food plant species by local populations in Bamako and surrounding. </w:t>
      </w:r>
      <w:r w:rsidR="009E0C45" w:rsidRPr="00652B13">
        <w:rPr>
          <w:rFonts w:ascii="Arial" w:hAnsi="Arial" w:cs="Arial"/>
        </w:rPr>
        <w:t>To understand this trend, a fundamental interrogation arises: what’s the real motivation of growing domestication interest of edible plant? Data curated from the literature reported tha</w:t>
      </w:r>
      <w:r w:rsidR="00066BE3" w:rsidRPr="00652B13">
        <w:rPr>
          <w:rFonts w:ascii="Arial" w:hAnsi="Arial" w:cs="Arial"/>
        </w:rPr>
        <w:t>t the</w:t>
      </w:r>
      <w:r w:rsidR="00B304A2" w:rsidRPr="00652B13">
        <w:rPr>
          <w:rFonts w:ascii="Arial" w:hAnsi="Arial" w:cs="Arial"/>
        </w:rPr>
        <w:t xml:space="preserve"> edible plant species </w:t>
      </w:r>
      <w:r w:rsidR="00FF4C74" w:rsidRPr="00652B13">
        <w:rPr>
          <w:rFonts w:ascii="Arial" w:hAnsi="Arial" w:cs="Arial"/>
        </w:rPr>
        <w:t>hold major sociocultural and socio-economic importance</w:t>
      </w:r>
      <w:r w:rsidR="00B304A2" w:rsidRPr="00652B13">
        <w:rPr>
          <w:rFonts w:ascii="Arial" w:hAnsi="Arial" w:cs="Arial"/>
        </w:rPr>
        <w:t xml:space="preserve"> in addition to their nutritional value</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{"citationItems":[{"id":"ITEM-1","itemData":{"DOI":"10.9734/ejnfs/2023/v15i11289","abstract":"Aims: This study aimed to assess the in vitro antibacterial effects of extracts from four wild food fruits: Balanites aegyptiaca, Saba senegalensis, Ziziphus mauritiana, and Raphia sudanica.\r Place and Duration of Study: The samples of plant material were collected at Banamba and Sikasso, Mali between January and May 2018. The bacterial strains were collected at Research Centre for Biological Food and Nutritional Sciences (CRSBAN), University Professor Joseph Ki-Zerbo; Ouagadougou, Burkina Faso. The experimental parts were also carried out at CRSBAN from October 2019 to January 2020.\r Methodology: The fruit extracts were screened for antibacterial activity against Escherichia coli, Salmonella typhi, S. aureus, B. cereus, and L. monocytogenes strains. The diameters of the inhibition zones (ID), the minimum inhibitory concentrations (MIC) as well as the minimum bactericidal concentrations (MBC) were evaluated using agar diffusion method.\r Results: The findings revealed that these parameters have varied as a function of fruit species and/or their zones of provenances. All fruit extracts showed significant growth reducing effect against all the tested bacteria. The extracts from R. sudanica have exhibited the strongest growth-inhibiting activity specifically against E. coli (ID = 15.33±0.58 mm) and Salmonella typhi (ID = 18.00±1.00 mm) with lower MIC (from 2.08±1.44 to 5.83±1.44 mg/mL). Moreover, the MBC/MIC ratios revealed that the extracts from the studied fruits possess mainly bacteriostatic effects towards the tested strains.\r Conclusion: These findings support local therapeutics properties attributed to these fruits. They also demonstrate that, in addition to their nutritional values, these edible fruits could be used for developing antibiotics to treat infectious diseases and food poisoning.","author":[{"dropping-particle":"","family":"Konaré","given":"Mamadou Abdoulaye","non-dropping-particle":"","parse-names":false,"suffix":""},{"dropping-particle":"","family":"Keita","given":"Singou","non-dropping-particle":"","parse-names":false,"suffix":""},{"dropping-particle":"","family":"Somda","given":"Marius K.","non-dropping-particle":"","parse-names":false,"suffix":""},{"dropping-particle":"","family":"Togola","given":"Issiaka","non-dropping-particle":"","parse-names":false,"suffix":""},{"dropping-particle":"","family":"Diarra","given":"Nouhoum","non-dropping-particle":"","parse-names":false,"suffix":""},{"dropping-particle":"","family":"Sanogo","given":"Rokia","non-dropping-particle":"","parse-names":false,"suffix":""}],"container-title":"European Journal of Nutrition &amp; Food Safety","id":"ITEM-1","issued":{"date-parts":[["2023","1","31"]]},"page":"62-71","publisher":"Sciencedomain International","title":"Antibacterial Activities of Extracts from four Wild Food Fruits","type":"article-journal"},"uris":["http://www.mendeley.com/documents/?uuid=7f283d46-f7ac-3173-b638-9c9bb17f468f"]}],"mendeley":{"formattedCitation":"[12]","plainTextFormattedCitation":"[12]","previouslyFormattedCitation":"[12]"},"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[12]</w:t>
      </w:r>
      <w:r w:rsidR="008A4DE5" w:rsidRPr="00652B13">
        <w:rPr>
          <w:rFonts w:ascii="Arial" w:hAnsi="Arial" w:cs="Arial"/>
        </w:rPr>
        <w:fldChar w:fldCharType="end"/>
      </w:r>
      <w:r w:rsidR="00FF4C74" w:rsidRPr="00652B13">
        <w:rPr>
          <w:rFonts w:ascii="Arial" w:hAnsi="Arial" w:cs="Arial"/>
        </w:rPr>
        <w:t>. They are valued for therapeutic properties</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{"citationItems":[{"id":"ITEM-1","itemData":{"DOI":"10.3390/plants12020267","ISSN":"22237747","abstract":"Currently, microencapsulation has become a viable method of nutrient delivery for the food industry. This work microencapsulated the bioactive compounds extracted from two neglected species (Balanites aegyptiaca and Ziziphus mauritiana) by freeze-drying. A combination of wall materials (whey protein and pectin; soy protein and maltodextrin) was chosen to prepare the microcapsules. The phytochemical and physicochemical characterization of the microcapsules was then carried out. The encapsulation yield ranged from 82.77% to 96.05% for Balanites and Ziziphus, respectively, whereas the efficiency was 76.18 ± 1.39% and 80.93 ± 1.71%. The stimulated in vitro gastrointestinal test showed that encapsulation increased the bioavailability of the bioactive compounds. The total carotenoids were the most bioavailable compounds with 85.89 ± 0.06% for Ziziphus and 70.46 ± 1.10% for Balanites, followed by total flavonoids for Zizyphus with 63.27 ± 1.56%. Furthermore, regardless of species or wavelengths, the HPLC analysis resulted in the identification of 17 bioactive metabolites. The predominant one was epicatechin, whose level ranged from 231.52 ± 5.06 to 250.99 ± 3.72 mg/100 g DW in Ziziphus and 91.80 ± 3.85 to 116.40 ± 4.09 mg/100 g DW in Balanites. In estimating the enzyme inhibition and antioxidant power, both studied fruits showed antidiabetic, inflammatory, and antioxidant effects. These findings suggest that natural bioactive compounds are abundant in the fruits of Z. mauritiana and B. aegyptiaca and could be a valuable source for the food and pharmaceutical industries.","author":[{"dropping-particle":"","family":"Konaré","given":"Mamadou Abdoulaye","non-dropping-particle":"","parse-names":false,"suffix":""},{"dropping-particle":"","family":"Condurache","given":"Nina Nicoleta","non-dropping-particle":"","parse-names":false,"suffix":""},{"dropping-particle":"","family":"Togola","given":"Issiaka","non-dropping-particle":"","parse-names":false,"suffix":""},{"dropping-particle":"","family":"Păcularu-Burada","given":"Bogdan","non-dropping-particle":"","parse-names":false,"suffix":""},{"dropping-particle":"","family":"Diarra","given":"Nouhoum","non-dropping-particle":"","parse-names":false,"suffix":""},{"dropping-particle":"","family":"Stănciuc","given":"Nicoleta","non-dropping-particle":"","parse-names":false,"suffix":""},{"dropping-particle":"","family":"Râpeanu","given":"Gabriela","non-dropping-particle":"","parse-names":false,"suffix":""}],"container-title":"Plants","id":"ITEM-1","issue":"2","issued":{"date-parts":[["2023"]]},"title":"Valorization of Bioactive Compounds from Two Underutilized Wild Fruits by Microencapsulation in Order to Formulate Value-Added Food Products","type":"article-journal","volume":"12"},"uris":["http://www.mendeley.com/documents/?uuid=4afeb5a2-bcc3-49d6-9c3c-3ec128fcc7c0"]}],"mendeley":{"formattedCitation":"[13]","plainTextFormattedCitation":"[13]","previouslyFormattedCitation":"[13]"},"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[13]</w:t>
      </w:r>
      <w:r w:rsidR="008A4DE5" w:rsidRPr="00652B13">
        <w:rPr>
          <w:rFonts w:ascii="Arial" w:hAnsi="Arial" w:cs="Arial"/>
        </w:rPr>
        <w:fldChar w:fldCharType="end"/>
      </w:r>
      <w:r w:rsidR="00FF4C74" w:rsidRPr="00652B13">
        <w:rPr>
          <w:rFonts w:ascii="Arial" w:hAnsi="Arial" w:cs="Arial"/>
        </w:rPr>
        <w:t xml:space="preserve">, which are especially crucial for rural populations and increasingly for urban communities. These plants </w:t>
      </w:r>
      <w:r w:rsidR="00AB7333" w:rsidRPr="00652B13">
        <w:rPr>
          <w:rFonts w:ascii="Arial" w:hAnsi="Arial" w:cs="Arial"/>
        </w:rPr>
        <w:t xml:space="preserve">with </w:t>
      </w:r>
      <w:r w:rsidR="00FF4C74" w:rsidRPr="00652B13">
        <w:rPr>
          <w:rFonts w:ascii="Arial" w:hAnsi="Arial" w:cs="Arial"/>
        </w:rPr>
        <w:t>a significant role in combating malnutrition and metabolic diseases</w:t>
      </w:r>
      <w:r w:rsidR="00B304A2" w:rsidRPr="00652B13">
        <w:rPr>
          <w:rFonts w:ascii="Arial" w:hAnsi="Arial" w:cs="Arial"/>
        </w:rPr>
        <w:t xml:space="preserve"> </w:t>
      </w:r>
      <w:r w:rsidR="00B304A2" w:rsidRPr="00652B13">
        <w:rPr>
          <w:rFonts w:ascii="Arial" w:hAnsi="Arial" w:cs="Arial"/>
        </w:rPr>
        <w:fldChar w:fldCharType="begin" w:fldLock="1"/>
      </w:r>
      <w:r w:rsidR="00B304A2" w:rsidRPr="00652B13">
        <w:rPr>
          <w:rFonts w:ascii="Arial" w:hAnsi="Arial" w:cs="Arial"/>
        </w:rPr>
        <w:instrText>ADDIN CSL_CITATION {"citationItems":[{"id":"ITEM-1","itemData":{"DOI":"10.1186/s13002-023-00607-2","ISSN":"1746-4269 (Electronic)","PMID":"37658453","abstract":"BACKGROUND: In traditional food systems, especially those of rural populations  around the world, wild food plants remain crucial. These resources need to be urgently documented to lay the foundations for sustainable livelihoods and food security. METHODS: In the present field study, we gathered information about wild food plants and mushrooms consumed by four ethnic groups (Turis, Khushis, Hazaras, and Christians) living in Kurram District, NW Pakistan, by conducting semi-structured interviews and holding group discussions. RESULTS: A total of 57 wild edible plants and mushrooms were reported, with the documented taxa belonging to 50 genera and 34 families. Turis reported the highest number of wild food plants (41), followed by Hazaras (37), Khushis (35), and then Christians, who reported only 11 plants. The most dominant families were Rosaceae, followed by Polygonaceae, Brassicaceae, Fabaceae, Lamiaceae, Moraceae, and Plantaginaceae. The comparative analysis we conducted with the pre-existing Pakistani ethnobotanical studies revealed that 23 wild edible plants have not been previously reported as food items in the area under study, which included Fragaria nubicola, Lepidium draba, Pinus wallichiana, Podophyllum emodi, Prunus jacquemontii, Sambucus nigra, Sideroxylon mascatense, and Thymus linearis. Four wild edible mushrooms are also reported for the area for the first time: Calvatia gigantea, Morchella esculenta, Pisolithus albus, and Tulostoma squamosum. The cross-cultural analysis of wild edible plants and their uses revealed remarkable similarity between Khushis and Hazaras. The overlapping pattern of wild edible plant use among these two groups, as well as Turis, confirms the existence of cross-cultural interactions among these communities, which have shared the same environmental and socio-cultural space for several decades. Food heritage and some unique dishes are linked to wild edible plants in the area, such as Zamda, prepared by Turis, and Saba, famous among Khushis and Hazaras. CONCLUSION: This study suggests that some wild edible plants could be cultivated to protect a few threatened species from overexploitation, while the overall wild food plant heritage should be promoted and revitalized; for example, within educational platforms aimed at improving the wellbeing of local communities and the global ecological transition we must deal with.","author":[{"dropping-particle":"","family":"Hussain","given":"Sayed Taufiq","non-dropping-particle":"","parse-names":false,"suffix":""},{"dropping-particle":"","family":"Muhammad","given":"Sayed","non-dropping-particle":"","parse-names":false,"suffix":""},{"dropping-particle":"","family":"Khan","given":"Sheharyar","non-dropping-particle":"","parse-names":false,"suffix":""},{"dropping-particle":"","family":"Hussain","given":"Wahid","non-dropping-particle":"","parse-names":false,"suffix":""},{"dropping-particle":"","family":"Pieroni","given":"Andrea","non-dropping-particle":"","parse-names":false,"suffix":""}],"container-title":"Journal of ethnobiology and ethnomedicine","id":"ITEM-1","issue":"1","issued":{"date-parts":[["2023","9"]]},"language":"eng","page":"35","publisher-place":"England","title":"Ethnobotany for food security and ecological transition: wild food plant  gathering and consumption among four cultural groups in Kurram District, NW Pakistan.","type":"article-journal","volume":"19"},"uris":["http://www.mendeley.com/documents/?uuid=8ae9a20e-20e4-4ef2-87bf-1e80993d37a3"]}],"mendeley":{"formattedCitation":"[14]","plainTextFormattedCitation":"[14]","previouslyFormattedCitation":"[14]"},"properties":{"noteIndex":0},"schema":"https://github.com/citation-style-language/schema/raw/master/csl-citation.json"}</w:instrText>
      </w:r>
      <w:r w:rsidR="00B304A2" w:rsidRPr="00652B13">
        <w:rPr>
          <w:rFonts w:ascii="Arial" w:hAnsi="Arial" w:cs="Arial"/>
        </w:rPr>
        <w:fldChar w:fldCharType="separate"/>
      </w:r>
      <w:r w:rsidR="00B304A2" w:rsidRPr="00652B13">
        <w:rPr>
          <w:rFonts w:ascii="Arial" w:hAnsi="Arial" w:cs="Arial"/>
          <w:noProof/>
        </w:rPr>
        <w:t>[14]</w:t>
      </w:r>
      <w:r w:rsidR="00B304A2" w:rsidRPr="00652B13">
        <w:rPr>
          <w:rFonts w:ascii="Arial" w:hAnsi="Arial" w:cs="Arial"/>
        </w:rPr>
        <w:fldChar w:fldCharType="end"/>
      </w:r>
      <w:r w:rsidR="00FF4C74" w:rsidRPr="00652B13">
        <w:rPr>
          <w:rFonts w:ascii="Arial" w:hAnsi="Arial" w:cs="Arial"/>
        </w:rPr>
        <w:t>, are often consumed as snacks, vegetables, spices, or condiments</w:t>
      </w:r>
      <w:r w:rsidR="00354E2A" w:rsidRPr="00652B13">
        <w:rPr>
          <w:rFonts w:ascii="Arial" w:hAnsi="Arial" w:cs="Arial"/>
          <w:lang w:val="fr-FR"/>
        </w:rPr>
        <w:fldChar w:fldCharType="begin"/>
      </w:r>
      <w:r w:rsidR="00354E2A" w:rsidRPr="00652B13">
        <w:rPr>
          <w:rFonts w:ascii="Arial" w:hAnsi="Arial" w:cs="Arial"/>
        </w:rPr>
        <w:instrText xml:space="preserve">CITATION Bet111 \l 1036 </w:instrText>
      </w:r>
      <w:r w:rsidR="00354E2A" w:rsidRPr="00652B13">
        <w:rPr>
          <w:rFonts w:ascii="Arial" w:hAnsi="Arial" w:cs="Arial"/>
          <w:lang w:val="fr-FR"/>
        </w:rPr>
        <w:fldChar w:fldCharType="end"/>
      </w:r>
      <w:r w:rsidR="00FF4C74" w:rsidRPr="00652B13">
        <w:rPr>
          <w:rFonts w:ascii="Arial" w:hAnsi="Arial" w:cs="Arial"/>
        </w:rPr>
        <w:t xml:space="preserve">, and represent an effective means of poverty </w:t>
      </w:r>
      <w:r w:rsidR="008C3327" w:rsidRPr="00652B13">
        <w:rPr>
          <w:rFonts w:ascii="Arial" w:hAnsi="Arial" w:cs="Arial"/>
        </w:rPr>
        <w:t>reduction</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{"citationItems":[{"id":"ITEM-1","itemData":{"DOI":"10.4314/ijbcs.v5i1.68105","abstract":"L’enquête ethnobotanique conduite sur les produits forestiers non ligneux du 1er avril au 30 septembre 2005 dans les ménages des villages basés autour du parc national de Kalamaloué a permis de recenser 26&amp;lt;br /&amp;gt;espèces végétales utilisées comme plantes alimentaires par les populations Arabes choa, Bornoa, Kotoko, et Mousgoum. Ces espèces sont distribuées dans 20 genres, 15 familles et interviennent dans 49 recettes&amp;lt;br /&amp;gt;alimentaires différentes. Les fruits, graines et feuilles sont les organes végétaux les plus cités, tandis que les amuse-gueule sont les modes de consommation des plantes les plus mentionnés. Les espèces telles que&amp;lt;br /&amp;gt;Balanites aegyptiaca, Tamarindus indica, Boscia senegalensis, Diospyros mespiliformis et Ziziphus mauritiana apparaissent comme les plantes les plus utilisées comme alimentaires. Les fruits produits par les espèces&amp;lt;br /&amp;gt;comme B. senegalensis et Z. mauritiana permettent aux communautés de survivre même pendant les périodes de disette. Les espèces indiquées à Kalamaloué sont également mentionnées pour les mêmes usages dans&amp;lt;br /&amp;gt;d’autres pays africains. L’administration en charge de la gestion des parcs devrait tenir compte de l’importance des produits forestiers non ligneux de nature végétale dans la vie des populations riveraines du parc national de&amp;lt;br /&amp;gt;Kalamaoué pour éviter des conflits.","author":[{"dropping-particle":"","family":"Betti","given":"J L","non-dropping-particle":"","parse-names":false,"suffix":""},{"dropping-particle":"","family":"Yemefa’a","given":"S R M","non-dropping-particle":"","parse-names":false,"suffix":""}],"container-title":"International Journal of Biological and Chemical Sciences","id":"ITEM-1","issue":"1 SE  - Articles","issued":{"date-parts":[["2011","7","20"]]},"title":"Contribution à la connaissance des produits forestiers non ligneux du parc national de Kalamaloué, Extrême-Nord Cameroun: Les plantes alimentaires","type":"article-journal","volume":"5"},"uris":["http://www.mendeley.com/documents/?uuid=d082f8e0-4db2-4334-8cfd-c975f7fd1ce8"]}],"mendeley":{"formattedCitation":"[15]","plainTextFormattedCitation":"[15]","previouslyFormattedCitation":"[15]"},"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[15]</w:t>
      </w:r>
      <w:r w:rsidR="008A4DE5" w:rsidRPr="00652B13">
        <w:rPr>
          <w:rFonts w:ascii="Arial" w:hAnsi="Arial" w:cs="Arial"/>
        </w:rPr>
        <w:fldChar w:fldCharType="end"/>
      </w:r>
      <w:r w:rsidR="00FF4C74" w:rsidRPr="00652B13">
        <w:rPr>
          <w:rFonts w:ascii="Arial" w:hAnsi="Arial" w:cs="Arial"/>
        </w:rPr>
        <w:t>.</w:t>
      </w:r>
      <w:r w:rsidR="00780106" w:rsidRPr="00652B13">
        <w:rPr>
          <w:rFonts w:ascii="Arial" w:hAnsi="Arial" w:cs="Arial"/>
        </w:rPr>
        <w:t xml:space="preserve"> While some edible plants have shown </w:t>
      </w:r>
      <w:r w:rsidR="003A35B3" w:rsidRPr="00652B13">
        <w:rPr>
          <w:rFonts w:ascii="Arial" w:hAnsi="Arial" w:cs="Arial"/>
        </w:rPr>
        <w:t>promising</w:t>
      </w:r>
      <w:r w:rsidR="00780106" w:rsidRPr="00652B13">
        <w:rPr>
          <w:rFonts w:ascii="Arial" w:hAnsi="Arial" w:cs="Arial"/>
        </w:rPr>
        <w:t xml:space="preserve"> medicinal properties</w:t>
      </w:r>
      <w:r w:rsidR="003A35B3" w:rsidRPr="00652B13">
        <w:rPr>
          <w:rFonts w:ascii="Arial" w:hAnsi="Arial" w:cs="Arial"/>
        </w:rPr>
        <w:t xml:space="preserve"> </w:t>
      </w:r>
      <w:r w:rsidR="003A35B3" w:rsidRPr="00652B13">
        <w:rPr>
          <w:rFonts w:ascii="Arial" w:hAnsi="Arial" w:cs="Arial"/>
        </w:rPr>
        <w:fldChar w:fldCharType="begin" w:fldLock="1"/>
      </w:r>
      <w:r w:rsidR="00261A37" w:rsidRPr="00652B13">
        <w:rPr>
          <w:rFonts w:ascii="Arial" w:hAnsi="Arial" w:cs="Arial"/>
        </w:rPr>
        <w:instrText>ADDIN CSL_CITATION {"citationItems":[{"id":"ITEM-1","itemData":{"DOI":"10.21010/ajtcamv17i2.3","ISSN":"0189-6016","abstract":"Background: Moringa oleifera Lam. (Moringaceae) leaves are commonly used for diabetes in Mali. This pilot clinical study aimed to evaluate its effect on post-prandial blood glucose in preparation for a larger trial. Methods: Diabetic patients and non-diabetic healthy volunteers (35 each) were asked to fast for 13 hours on three occasions. Blood glucose was measured before and after eating 100g of white bread (at 30, 60, 90, 120, 150 and 180 minutes). On their second and third study visits, they were given 1g and 2g respectively, of M. oleifera leaf powder, 30 minutes after eating the bread.  The mean paired reduction in blood glucose at each time interval and the incremental area under the curve were calculated. Results: Ingestion of Moringa powder had no effect on blood glucose in non-diabetic participants, but in diabetic patients, it lowered blood glucose at 90 minutes. There was a trend towards lower incremental area under the curve when diabetic patients took 2g of Moringa. No side-effects were reported by any participant. Conclusions: Moringa oleifera leaf powder reduced post-prandial glycaemia in diabetic patients. A larger study is needed to define the optimal dose and to assess whether this translates into longer-term benefits.","author":[{"dropping-particle":"","family":"Sissoko","given":"Lassana","non-dropping-particle":"","parse-names":false,"suffix":""},{"dropping-particle":"","family":"Diarra","given":"Nouhoum","non-dropping-particle":"","parse-names":false,"suffix":""},{"dropping-particle":"","family":"Nientao","given":"Ibrahim","non-dropping-particle":"","parse-names":false,"suffix":""},{"dropping-particle":"","family":"Stuart","given":"Beth","non-dropping-particle":"","parse-names":false,"suffix":""},{"dropping-particle":"","family":"Togola","given":"Adiaratou","non-dropping-particle":"","parse-names":false,"suffix":""},{"dropping-particle":"","family":"Diallo","given":"Drissa","non-dropping-particle":"","parse-names":false,"suffix":""},{"dropping-particle":"","family":"Willcox","given":"Merlin Luke","non-dropping-particle":"","parse-names":false,"suffix":""}],"container-title":"African Journal of Traditional, Complementary and Alternative Medicines","id":"ITEM-1","issue":"2","issued":{"date-parts":[["2023"]]},"page":"29-36","title":"Moringa Oleifera Leaf Powder for Type 2 Diabetes: a Pilot Clinical Trial","type":"article-journal","volume":"17"},"uris":["http://www.mendeley.com/documents/?uuid=afec2361-6b26-4558-ba95-f203c09e0a58"]},{"id":"ITEM-2","itemData":{"author":[{"dropping-particle":"","family":"Togola","given":"Issiaka","non-dropping-particle":"","parse-names":false,"suffix":""},{"dropping-particle":"","family":"Konare","given":"Mamadou Abdoulaye","non-dropping-particle":"","parse-names":false,"suffix":""},{"dropping-particle":"","family":"Cisse","given":"Cheickna","non-dropping-particle":"","parse-names":false,"suffix":""},{"dropping-particle":"","family":"Diarra","given":"Nouhoum","non-dropping-particle":"","parse-names":false,"suffix":""}],"container-title":"Journal of Applied Life Sciences International","id":"ITEM-2","issue":"6","issued":{"date-parts":[["2023"]]},"page":"88-97","title":"Anti-Inflammatory and Anti-cancer Activities of Leaf Extracts from Three Datura Species Found in Mali","type":"article-journal","volume":"26"},"uris":["http://www.mendeley.com/documents/?uuid=65afa6ae-8f24-4518-84b5-9050563fb24b"]},{"id":"ITEM-3","itemData":{"author":[{"dropping-particle":"","family":"Konaré","given":"Mamadou A","non-dropping-particle":"","parse-names":false,"suffix":""},{"dropping-particle":"","family":"Cissé","given":"Cheickna","non-dropping-particle":"","parse-names":false,"suffix":""},{"dropping-particle":"","family":"Togola","given":"Issiaka","non-dropping-particle":"","parse-names":false,"suffix":""},{"dropping-particle":"","family":"Fomba","given":"Moussa","non-dropping-particle":"","parse-names":false,"suffix":""}],"container-title":"Annual Research &amp; Review in Biology","id":"ITEM-3","issued":{"date-parts":[["2024"]]},"page":"11-18","title":"Inhibitory Effects of Datura innoxia Mill Extracts on Two Enzymes Involved in the Control of Diabetes and Inflammation","type":"article-journal","volume":"39"},"uris":["http://www.mendeley.com/documents/?uuid=75aac14b-ed90-489d-b349-f8171edacbd7"]},{"id":"ITEM-4","itemData":{"DOI":"10.5281/hsd.v23i3.3500","abstract":"&amp;lt;p&amp;gt;RÉSUMÉ&amp;lt;br /&amp;gt;Introduction. La poudre de feuilles de moringa séchées aurait un impact positif dans les variations du taux des antioxydants enzymatiques plasmatiques et érythrocytaires telles que la superoxyde dismutase (SOD), la glutathion peroxydase (GPx) la glutathion réductase (GR) et les antioxydants totaux (TAS) chez les diabétiques de type 2. L’objectif de notre travail était d’étudier les activités antioxydantes des feuilles de Moringa oléifera chez les patients diabétiques de type 2. Méthodologie. Il s’agit d’un essai clinique ouvert non randomisé chez des diabétiques de type 2 qui ont été mis sous régime alimentaire supplémentaire à base de poudre de feuille de Moringa oleifera « Modia », en raison de 10 g par jour et pendant six mois. A l’inclusion avant instauration de toute supplémentation avec le Modia, les patients inclus constituaient le groupe témoin, le deuxième groupe était constitué par les patients qui revenaient au contrôle de trois mois de supplémentation (groupe M3) et le troisième groupe au contrôle de six mois de supplémentation Modia (groupe M6). Cent quarante-quatre (144) patients au total répartis entre : Témoins (48), Groupe M3 (48) et groupe M6 (48) patients. Les paramètres biochimiques mesurés étaient les marqueurs du stress oxydatif (TAS, SOD, GPx, le GR) dans le plasma et érythrocytaire. Les mesures ont été réalisées à l’aide d’un spectrophotomètre UV et visible par les méthodes enzymatiques. Résultats. Les patients de sexe féminin représentaient 75% de l’effectif. L’âge moyen était de 50 ± 11,55 ans (extrêmes 22 à 72 ans). Les statuts oxydatifs des patients ont été améliorées positivement, le TAS a diminué de 1,80±0,78 à 1,56±0,36 UI/L (P=0,00000), la SOD plasmatique a augmenté de 226,90±36,96 à 233,29±17,99 UI/L (P=0,00000), la SOD érythrocytaire de 225,27±39,08 à 1556,04±291,05 UI/L (P=0,00000) la GPX plasmatique (UI/L) de 2177,0±2517,19 à 17249,10±3220,0 (P=0,00865), et la GR plasmatique (UI/L) de 43,62±27,99 à 66,89±16,98 (P=0,00049) ont significativement augmenté après l’instauration du traitement à base de Modia (P-value&amp;amp;lt;0,05). Conclusion. Notre étude a montré que les feuilles du Moringa oleifera ont une capacité anti oxydante sur la stabilisation du système redox des diabétiques de type 2.&amp;lt;/p&amp;gt;&amp;lt;p&amp;gt;ABSTRACT&amp;lt;br /&amp;gt;Introduction. Powder of dry leaves of moringa olifeira have ben reported to influence positively the variations of plasma and red cell antioxidant enzymes such as supero…","author":[{"dropping-particle":"","family":"DRAME","given":"Boubacar Sidiki I","non-dropping-particle":"","parse-names":false,"suffix":""},{"dropping-particle":"","family":"KONE","given":"Adama","non-dropping-particle":"","parse-names":false,"suffix":""},{"dropping-particle":"","family":"SYLLA","given":"Sow Djénéba","non-dropping-particle":"","parse-names":false,"suffix":""},{"dropping-particle":"","family":"GOITA","given":"Yaya","non-dropping-particle":"","parse-names":false,"suffix":""},{"dropping-particle":"","family":"COULIBALY","given":"Djibril Mamadou","non-dropping-particle":"","parse-names":false,"suffix":""},{"dropping-particle":"","family":"SANOGO","given":"Rokia","non-dropping-particle":"","parse-names":false,"suffix":""},{"dropping-particle":"","family":"CISSE","given":"Bakary M","non-dropping-particle":"","parse-names":false,"suffix":""}],"container-title":"HEALTH SCIENCES AND DISEASE","id":"ITEM-4","issue":"3 SE  - Pharmacy and Pharmaceutical Sciences","issued":{"date-parts":[["2022","3","3"]]},"title":"Capacité Anti Oxydante des Feuilles du Moringa Oleifera chez les Diabétiques de Type 2","type":"article-journal","volume":"23"},"uris":["http://www.mendeley.com/documents/?uuid=ffa378bd-1dd5-441c-a8a4-eaf0a8e238e0"]}],"mendeley":{"formattedCitation":"[16–19]","plainTextFormattedCitation":"[16–19]","previouslyFormattedCitation":"[16–19]"},"properties":{"noteIndex":0},"schema":"https://github.com/citation-style-language/schema/raw/master/csl-citation.json"}</w:instrText>
      </w:r>
      <w:r w:rsidR="003A35B3" w:rsidRPr="00652B13">
        <w:rPr>
          <w:rFonts w:ascii="Arial" w:hAnsi="Arial" w:cs="Arial"/>
        </w:rPr>
        <w:fldChar w:fldCharType="separate"/>
      </w:r>
      <w:r w:rsidR="008510D8" w:rsidRPr="00652B13">
        <w:rPr>
          <w:rFonts w:ascii="Arial" w:hAnsi="Arial" w:cs="Arial"/>
          <w:noProof/>
        </w:rPr>
        <w:t>[16–19]</w:t>
      </w:r>
      <w:r w:rsidR="003A35B3" w:rsidRPr="00652B13">
        <w:rPr>
          <w:rFonts w:ascii="Arial" w:hAnsi="Arial" w:cs="Arial"/>
        </w:rPr>
        <w:fldChar w:fldCharType="end"/>
      </w:r>
      <w:r w:rsidR="00780106" w:rsidRPr="00652B13">
        <w:rPr>
          <w:rFonts w:ascii="Arial" w:hAnsi="Arial" w:cs="Arial"/>
        </w:rPr>
        <w:t xml:space="preserve">, it's crucial to approach their use with caution, as the safety and effectiveness of many </w:t>
      </w:r>
      <w:r w:rsidR="003A35B3" w:rsidRPr="00652B13">
        <w:rPr>
          <w:rFonts w:ascii="Arial" w:hAnsi="Arial" w:cs="Arial"/>
        </w:rPr>
        <w:t>traditional</w:t>
      </w:r>
      <w:r w:rsidR="00780106" w:rsidRPr="00652B13">
        <w:rPr>
          <w:rFonts w:ascii="Arial" w:hAnsi="Arial" w:cs="Arial"/>
        </w:rPr>
        <w:t xml:space="preserve"> remedies are not fully established. </w:t>
      </w:r>
      <w:r w:rsidR="00FF4C74" w:rsidRPr="00652B13">
        <w:rPr>
          <w:rFonts w:ascii="Arial" w:hAnsi="Arial" w:cs="Arial"/>
        </w:rPr>
        <w:t>Although widely used by diabetic patients</w:t>
      </w:r>
      <w:r w:rsidR="003A35B3" w:rsidRPr="00652B13">
        <w:rPr>
          <w:rFonts w:ascii="Arial" w:hAnsi="Arial" w:cs="Arial"/>
        </w:rPr>
        <w:t xml:space="preserve"> in Mali</w:t>
      </w:r>
      <w:r w:rsidR="00D67E19" w:rsidRPr="00652B13">
        <w:rPr>
          <w:rFonts w:ascii="Arial" w:hAnsi="Arial" w:cs="Arial"/>
        </w:rPr>
        <w:t xml:space="preserve"> </w:t>
      </w:r>
      <w:r w:rsidR="00D67E19" w:rsidRPr="00652B13">
        <w:rPr>
          <w:rFonts w:ascii="Arial" w:hAnsi="Arial" w:cs="Arial"/>
        </w:rPr>
        <w:fldChar w:fldCharType="begin" w:fldLock="1"/>
      </w:r>
      <w:r w:rsidR="00261A37" w:rsidRPr="00652B13">
        <w:rPr>
          <w:rFonts w:ascii="Arial" w:hAnsi="Arial" w:cs="Arial"/>
        </w:rPr>
        <w:instrText>ADDIN CSL_CITATION {"citationItems":[{"id":"ITEM-1","itemData":{"DOI":"10.5281/hsd.v23i3.3500","abstract":"&amp;lt;p&amp;gt;RÉSUMÉ&amp;lt;br /&amp;gt;Introduction. La poudre de feuilles de moringa séchées aurait un impact positif dans les variations du taux des antioxydants enzymatiques plasmatiques et érythrocytaires telles que la superoxyde dismutase (SOD), la glutathion peroxydase (GPx) la glutathion réductase (GR) et les antioxydants totaux (TAS) chez les diabétiques de type 2. L’objectif de notre travail était d’étudier les activités antioxydantes des feuilles de Moringa oléifera chez les patients diabétiques de type 2. Méthodologie. Il s’agit d’un essai clinique ouvert non randomisé chez des diabétiques de type 2 qui ont été mis sous régime alimentaire supplémentaire à base de poudre de feuille de Moringa oleifera « Modia », en raison de 10 g par jour et pendant six mois. A l’inclusion avant instauration de toute supplémentation avec le Modia, les patients inclus constituaient le groupe témoin, le deuxième groupe était constitué par les patients qui revenaient au contrôle de trois mois de supplémentation (groupe M3) et le troisième groupe au contrôle de six mois de supplémentation Modia (groupe M6). Cent quarante-quatre (144) patients au total répartis entre : Témoins (48), Groupe M3 (48) et groupe M6 (48) patients. Les paramètres biochimiques mesurés étaient les marqueurs du stress oxydatif (TAS, SOD, GPx, le GR) dans le plasma et érythrocytaire. Les mesures ont été réalisées à l’aide d’un spectrophotomètre UV et visible par les méthodes enzymatiques. Résultats. Les patients de sexe féminin représentaient 75% de l’effectif. L’âge moyen était de 50 ± 11,55 ans (extrêmes 22 à 72 ans). Les statuts oxydatifs des patients ont été améliorées positivement, le TAS a diminué de 1,80±0,78 à 1,56±0,36 UI/L (P=0,00000), la SOD plasmatique a augmenté de 226,90±36,96 à 233,29±17,99 UI/L (P=0,00000), la SOD érythrocytaire de 225,27±39,08 à 1556,04±291,05 UI/L (P=0,00000) la GPX plasmatique (UI/L) de 2177,0±2517,19 à 17249,10±3220,0 (P=0,00865), et la GR plasmatique (UI/L) de 43,62±27,99 à 66,89±16,98 (P=0,00049) ont significativement augmenté après l’instauration du traitement à base de Modia (P-value&amp;amp;lt;0,05). Conclusion. Notre étude a montré que les feuilles du Moringa oleifera ont une capacité anti oxydante sur la stabilisation du système redox des diabétiques de type 2.&amp;lt;/p&amp;gt;&amp;lt;p&amp;gt;ABSTRACT&amp;lt;br /&amp;gt;Introduction. Powder of dry leaves of moringa olifeira have ben reported to influence positively the variations of plasma and red cell antioxidant enzymes such as supero…","author":[{"dropping-particle":"","family":"DRAME","given":"Boubacar Sidiki I","non-dropping-particle":"","parse-names":false,"suffix":""},{"dropping-particle":"","family":"KONE","given":"Adama","non-dropping-particle":"","parse-names":false,"suffix":""},{"dropping-particle":"","family":"SYLLA","given":"Sow Djénéba","non-dropping-particle":"","parse-names":false,"suffix":""},{"dropping-particle":"","family":"GOITA","given":"Yaya","non-dropping-particle":"","parse-names":false,"suffix":""},{"dropping-particle":"","family":"COULIBALY","given":"Djibril Mamadou","non-dropping-particle":"","parse-names":false,"suffix":""},{"dropping-particle":"","family":"SANOGO","given":"Rokia","non-dropping-particle":"","parse-names":false,"suffix":""},{"dropping-particle":"","family":"CISSE","given":"Bakary M","non-dropping-particle":"","parse-names":false,"suffix":""}],"container-title":"HEALTH SCIENCES AND DISEASE","id":"ITEM-1","issue":"3 SE  - Pharmacy and Pharmaceutical Sciences","issued":{"date-parts":[["2022","3","3"]]},"title":"Capacité Anti Oxydante des Feuilles du Moringa Oleifera chez les Diabétiques de Type 2","type":"article-journal","volume":"23"},"uris":["http://www.mendeley.com/documents/?uuid=ffa378bd-1dd5-441c-a8a4-eaf0a8e238e0"]},{"id":"ITEM-2","itemData":{"DOI":"10.21010/ajtcamv17i2.3","ISSN":"0189-6016","abstract":"Background: Moringa oleifera Lam. (Moringaceae) leaves are commonly used for diabetes in Mali. This pilot clinical study aimed to evaluate its effect on post-prandial blood glucose in preparation for a larger trial. Methods: Diabetic patients and non-diabetic healthy volunteers (35 each) were asked to fast for 13 hours on three occasions. Blood glucose was measured before and after eating 100g of white bread (at 30, 60, 90, 120, 150 and 180 minutes). On their second and third study visits, they were given 1g and 2g respectively, of M. oleifera leaf powder, 30 minutes after eating the bread.  The mean paired reduction in blood glucose at each time interval and the incremental area under the curve were calculated. Results: Ingestion of Moringa powder had no effect on blood glucose in non-diabetic participants, but in diabetic patients, it lowered blood glucose at 90 minutes. There was a trend towards lower incremental area under the curve when diabetic patients took 2g of Moringa. No side-effects were reported by any participant. Conclusions: Moringa oleifera leaf powder reduced post-prandial glycaemia in diabetic patients. A larger study is needed to define the optimal dose and to assess whether this translates into longer-term benefits.","author":[{"dropping-particle":"","family":"Sissoko","given":"Lassana","non-dropping-particle":"","parse-names":false,"suffix":""},{"dropping-particle":"","family":"Diarra","given":"Nouhoum","non-dropping-particle":"","parse-names":false,"suffix":""},{"dropping-particle":"","family":"Nientao","given":"Ibrahim","non-dropping-particle":"","parse-names":false,"suffix":""},{"dropping-particle":"","family":"Stuart","given":"Beth","non-dropping-particle":"","parse-names":false,"suffix":""},{"dropping-particle":"","family":"Togola","given":"Adiaratou","non-dropping-particle":"","parse-names":false,"suffix":""},{"dropping-particle":"","family":"Diallo","given":"Drissa","non-dropping-particle":"","parse-names":false,"suffix":""},{"dropping-particle":"","family":"Willcox","given":"Merlin Luke","non-dropping-particle":"","parse-names":false,"suffix":""}],"container-title":"African Journal of Traditional, Complementary and Alternative Medicines","id":"ITEM-2","issue":"2","issued":{"date-parts":[["2023"]]},"page":"29-36","title":"Moringa Oleifera Leaf Powder for Type 2 Diabetes: a Pilot Clinical Trial","type":"article-journal","volume":"17"},"uris":["http://www.mendeley.com/documents/?uuid=afec2361-6b26-4558-ba95-f203c09e0a58"]}],"mendeley":{"formattedCitation":"[16, 19]","plainTextFormattedCitation":"[16, 19]","previouslyFormattedCitation":"[16, 19]"},"properties":{"noteIndex":0},"schema":"https://github.com/citation-style-language/schema/raw/master/csl-citation.json"}</w:instrText>
      </w:r>
      <w:r w:rsidR="00D67E19" w:rsidRPr="00652B13">
        <w:rPr>
          <w:rFonts w:ascii="Arial" w:hAnsi="Arial" w:cs="Arial"/>
        </w:rPr>
        <w:fldChar w:fldCharType="separate"/>
      </w:r>
      <w:r w:rsidR="008510D8" w:rsidRPr="00652B13">
        <w:rPr>
          <w:rFonts w:ascii="Arial" w:hAnsi="Arial" w:cs="Arial"/>
          <w:noProof/>
        </w:rPr>
        <w:t>[16, 19]</w:t>
      </w:r>
      <w:r w:rsidR="00D67E19" w:rsidRPr="00652B13">
        <w:rPr>
          <w:rFonts w:ascii="Arial" w:hAnsi="Arial" w:cs="Arial"/>
        </w:rPr>
        <w:fldChar w:fldCharType="end"/>
      </w:r>
      <w:r w:rsidR="00FF4C74" w:rsidRPr="00652B13">
        <w:rPr>
          <w:rFonts w:ascii="Arial" w:hAnsi="Arial" w:cs="Arial"/>
        </w:rPr>
        <w:t xml:space="preserve">, </w:t>
      </w:r>
      <w:r w:rsidR="003A35B3" w:rsidRPr="00652B13">
        <w:rPr>
          <w:rFonts w:ascii="Arial" w:hAnsi="Arial" w:cs="Arial"/>
        </w:rPr>
        <w:t>many</w:t>
      </w:r>
      <w:r w:rsidR="00FF4C74" w:rsidRPr="00652B13">
        <w:rPr>
          <w:rFonts w:ascii="Arial" w:hAnsi="Arial" w:cs="Arial"/>
        </w:rPr>
        <w:t xml:space="preserve"> </w:t>
      </w:r>
      <w:r w:rsidR="003A35B3" w:rsidRPr="00652B13">
        <w:rPr>
          <w:rFonts w:ascii="Arial" w:hAnsi="Arial" w:cs="Arial"/>
        </w:rPr>
        <w:t xml:space="preserve">local </w:t>
      </w:r>
      <w:r w:rsidR="00FF4C74" w:rsidRPr="00652B13">
        <w:rPr>
          <w:rFonts w:ascii="Arial" w:hAnsi="Arial" w:cs="Arial"/>
        </w:rPr>
        <w:t>preparations remain poorly documented in terms of their chemical composition and pharmacological properties. This highlights the urgent need for ethnobotanical, phytochemical, and pharmacological investigations to provide a scientific basis for their therapeutic claims.</w:t>
      </w:r>
    </w:p>
    <w:p w14:paraId="450AB02C" w14:textId="7E4F7AFA" w:rsidR="00D67E19" w:rsidRPr="00B34474" w:rsidRDefault="00D67E19" w:rsidP="00D426A6">
      <w:pPr>
        <w:pStyle w:val="Body"/>
        <w:spacing w:before="240" w:after="0"/>
        <w:rPr>
          <w:rFonts w:ascii="Arial" w:hAnsi="Arial" w:cs="Arial"/>
        </w:rPr>
      </w:pPr>
      <w:r w:rsidRPr="00D67E19">
        <w:rPr>
          <w:rFonts w:ascii="Arial" w:hAnsi="Arial" w:cs="Arial"/>
        </w:rPr>
        <w:t xml:space="preserve">The present study aims to identify domesticated edible plants </w:t>
      </w:r>
      <w:r w:rsidR="00B304A2" w:rsidRPr="00652B13">
        <w:rPr>
          <w:rFonts w:ascii="Arial" w:hAnsi="Arial" w:cs="Arial"/>
        </w:rPr>
        <w:t xml:space="preserve">and to understand the </w:t>
      </w:r>
      <w:r w:rsidR="001317A7" w:rsidRPr="00652B13">
        <w:rPr>
          <w:rFonts w:ascii="Arial" w:hAnsi="Arial" w:cs="Arial"/>
        </w:rPr>
        <w:t>profound</w:t>
      </w:r>
      <w:r w:rsidR="00B304A2" w:rsidRPr="00652B13">
        <w:rPr>
          <w:rFonts w:ascii="Arial" w:hAnsi="Arial" w:cs="Arial"/>
        </w:rPr>
        <w:t xml:space="preserve"> motivation</w:t>
      </w:r>
      <w:r w:rsidR="001317A7" w:rsidRPr="00652B13">
        <w:rPr>
          <w:rFonts w:ascii="Arial" w:hAnsi="Arial" w:cs="Arial"/>
        </w:rPr>
        <w:t>s</w:t>
      </w:r>
      <w:r w:rsidR="00B304A2" w:rsidRPr="00652B13">
        <w:rPr>
          <w:rFonts w:ascii="Arial" w:hAnsi="Arial" w:cs="Arial"/>
        </w:rPr>
        <w:t xml:space="preserve"> of their intensive domesticatio</w:t>
      </w:r>
      <w:r w:rsidR="001317A7" w:rsidRPr="00652B13">
        <w:rPr>
          <w:rFonts w:ascii="Arial" w:hAnsi="Arial" w:cs="Arial"/>
        </w:rPr>
        <w:t xml:space="preserve">n in addition to their </w:t>
      </w:r>
      <w:r w:rsidRPr="00652B13">
        <w:rPr>
          <w:rFonts w:ascii="Arial" w:hAnsi="Arial" w:cs="Arial"/>
        </w:rPr>
        <w:t xml:space="preserve">potential therapeutic applications in </w:t>
      </w:r>
      <w:r w:rsidR="004D647B" w:rsidRPr="00652B13">
        <w:rPr>
          <w:rFonts w:ascii="Arial" w:hAnsi="Arial" w:cs="Arial"/>
        </w:rPr>
        <w:t>metabolic diseases</w:t>
      </w:r>
      <w:r w:rsidRPr="00652B13">
        <w:rPr>
          <w:rFonts w:ascii="Arial" w:hAnsi="Arial" w:cs="Arial"/>
        </w:rPr>
        <w:t xml:space="preserve"> management. A particular emphasis is placed on </w:t>
      </w:r>
      <w:r w:rsidRPr="00652B13">
        <w:rPr>
          <w:rFonts w:ascii="Arial" w:hAnsi="Arial" w:cs="Arial"/>
          <w:i/>
          <w:iCs/>
        </w:rPr>
        <w:t>Mangifera indica L.</w:t>
      </w:r>
      <w:r w:rsidRPr="00652B13">
        <w:rPr>
          <w:rFonts w:ascii="Arial" w:hAnsi="Arial" w:cs="Arial"/>
        </w:rPr>
        <w:t xml:space="preserve"> (mango tree), a widely distributed and highly consumed</w:t>
      </w:r>
      <w:r w:rsidRPr="00D67E19">
        <w:rPr>
          <w:rFonts w:ascii="Arial" w:hAnsi="Arial" w:cs="Arial"/>
        </w:rPr>
        <w:t xml:space="preserve"> species, whose biochemical properties warrant detailed characterization.</w:t>
      </w:r>
    </w:p>
    <w:p w14:paraId="35FA8535" w14:textId="77777777" w:rsidR="00B34474" w:rsidRPr="00712BF0" w:rsidRDefault="00B34474" w:rsidP="00441B6F">
      <w:pPr>
        <w:pStyle w:val="Body"/>
        <w:spacing w:after="0"/>
        <w:rPr>
          <w:rFonts w:ascii="Arial" w:hAnsi="Arial" w:cs="Arial"/>
        </w:rPr>
      </w:pPr>
    </w:p>
    <w:p w14:paraId="7F8713C3" w14:textId="77777777" w:rsidR="00790ADA" w:rsidRPr="00712BF0" w:rsidRDefault="00790ADA" w:rsidP="00441B6F">
      <w:pPr>
        <w:pStyle w:val="Body"/>
        <w:spacing w:after="0"/>
        <w:rPr>
          <w:rFonts w:ascii="Arial" w:hAnsi="Arial" w:cs="Arial"/>
        </w:rPr>
      </w:pPr>
    </w:p>
    <w:p w14:paraId="7C0E2476" w14:textId="5353D6E3" w:rsidR="007F7B32" w:rsidRDefault="00902823" w:rsidP="00D67E19">
      <w:pPr>
        <w:pStyle w:val="AbstHead"/>
        <w:spacing w:after="0"/>
        <w:jc w:val="both"/>
        <w:outlineLvl w:val="0"/>
        <w:rPr>
          <w:rFonts w:ascii="Arial" w:hAnsi="Arial" w:cs="Arial"/>
        </w:rPr>
      </w:pPr>
      <w:r>
        <w:rPr>
          <w:rFonts w:ascii="Arial" w:hAnsi="Arial" w:cs="Arial"/>
        </w:rPr>
        <w:t>2. material and method</w:t>
      </w:r>
      <w:r w:rsidR="00000F8F">
        <w:rPr>
          <w:rFonts w:ascii="Arial" w:hAnsi="Arial" w:cs="Arial"/>
        </w:rPr>
        <w:t xml:space="preserve">s </w:t>
      </w:r>
    </w:p>
    <w:p w14:paraId="4599BB94" w14:textId="77777777" w:rsidR="00790ADA" w:rsidRPr="00FB3A86" w:rsidRDefault="00790ADA" w:rsidP="00441B6F">
      <w:pPr>
        <w:pStyle w:val="AbstHead"/>
        <w:spacing w:after="0"/>
        <w:jc w:val="both"/>
        <w:rPr>
          <w:rFonts w:ascii="Arial" w:hAnsi="Arial" w:cs="Arial"/>
        </w:rPr>
      </w:pPr>
    </w:p>
    <w:p w14:paraId="05DD1CEB" w14:textId="16DD10A2" w:rsidR="00AA74E0" w:rsidRDefault="00AA74E0" w:rsidP="00D67E19">
      <w:pPr>
        <w:pStyle w:val="Body"/>
        <w:spacing w:after="0"/>
        <w:outlineLvl w:val="1"/>
        <w:rPr>
          <w:rFonts w:ascii="Arial" w:hAnsi="Arial" w:cs="Arial"/>
        </w:rPr>
      </w:pPr>
      <w:bookmarkStart w:id="0" w:name="_Hlk206247333"/>
      <w:r w:rsidRPr="00C30A0F">
        <w:rPr>
          <w:rFonts w:ascii="Arial" w:hAnsi="Arial" w:cs="Arial"/>
          <w:b/>
          <w:caps/>
          <w:sz w:val="22"/>
        </w:rPr>
        <w:t xml:space="preserve">2.1 </w:t>
      </w:r>
      <w:r w:rsidR="00290D59" w:rsidRPr="00290D59">
        <w:rPr>
          <w:rFonts w:ascii="Arial" w:hAnsi="Arial" w:cs="Arial"/>
          <w:b/>
          <w:sz w:val="22"/>
        </w:rPr>
        <w:t>Study Sites</w:t>
      </w:r>
      <w:bookmarkEnd w:id="0"/>
      <w:r w:rsidRPr="00FB3A86">
        <w:rPr>
          <w:rFonts w:ascii="Arial" w:hAnsi="Arial" w:cs="Arial"/>
        </w:rPr>
        <w:t xml:space="preserve">  </w:t>
      </w:r>
    </w:p>
    <w:p w14:paraId="5D810623" w14:textId="465CA8C1" w:rsidR="00290D59" w:rsidRDefault="00290D59" w:rsidP="004D647B">
      <w:pPr>
        <w:spacing w:after="240"/>
        <w:jc w:val="both"/>
        <w:rPr>
          <w:rFonts w:ascii="Arial" w:hAnsi="Arial" w:cs="Arial"/>
        </w:rPr>
      </w:pPr>
      <w:r w:rsidRPr="00290D59">
        <w:rPr>
          <w:rFonts w:ascii="Arial" w:hAnsi="Arial" w:cs="Arial"/>
        </w:rPr>
        <w:t xml:space="preserve">The ethnobotanical survey was conducted in </w:t>
      </w:r>
      <w:r>
        <w:rPr>
          <w:rFonts w:ascii="Arial" w:hAnsi="Arial" w:cs="Arial"/>
        </w:rPr>
        <w:t xml:space="preserve">three different urban areas: </w:t>
      </w:r>
      <w:r w:rsidRPr="00290D59">
        <w:rPr>
          <w:rFonts w:ascii="Arial" w:hAnsi="Arial" w:cs="Arial"/>
        </w:rPr>
        <w:t xml:space="preserve">Bamako (District of Bamako), Kati, and </w:t>
      </w:r>
      <w:proofErr w:type="spellStart"/>
      <w:r w:rsidRPr="00290D59">
        <w:rPr>
          <w:rFonts w:ascii="Arial" w:hAnsi="Arial" w:cs="Arial"/>
        </w:rPr>
        <w:t>Sanankoroba</w:t>
      </w:r>
      <w:proofErr w:type="spellEnd"/>
      <w:r w:rsidRPr="00290D59">
        <w:rPr>
          <w:rFonts w:ascii="Arial" w:hAnsi="Arial" w:cs="Arial"/>
        </w:rPr>
        <w:t xml:space="preserve"> (</w:t>
      </w:r>
      <w:proofErr w:type="spellStart"/>
      <w:r w:rsidRPr="00290D59">
        <w:rPr>
          <w:rFonts w:ascii="Arial" w:hAnsi="Arial" w:cs="Arial"/>
        </w:rPr>
        <w:t>Koulikoro</w:t>
      </w:r>
      <w:proofErr w:type="spellEnd"/>
      <w:r w:rsidRPr="00290D59">
        <w:rPr>
          <w:rFonts w:ascii="Arial" w:hAnsi="Arial" w:cs="Arial"/>
        </w:rPr>
        <w:t xml:space="preserve"> Region), </w:t>
      </w:r>
      <w:r>
        <w:rPr>
          <w:rFonts w:ascii="Arial" w:hAnsi="Arial" w:cs="Arial"/>
        </w:rPr>
        <w:t xml:space="preserve">in </w:t>
      </w:r>
      <w:r w:rsidRPr="00290D59">
        <w:rPr>
          <w:rFonts w:ascii="Arial" w:hAnsi="Arial" w:cs="Arial"/>
        </w:rPr>
        <w:t>Mali, from November 7, 2022, to March 2, 2023</w:t>
      </w:r>
      <w:r w:rsidR="00E3523A">
        <w:rPr>
          <w:rFonts w:ascii="Arial" w:hAnsi="Arial" w:cs="Arial"/>
        </w:rPr>
        <w:t xml:space="preserve"> (</w:t>
      </w:r>
      <w:r w:rsidR="00E3523A">
        <w:rPr>
          <w:rFonts w:ascii="Arial" w:hAnsi="Arial" w:cs="Arial"/>
        </w:rPr>
        <w:fldChar w:fldCharType="begin"/>
      </w:r>
      <w:r w:rsidR="00E3523A">
        <w:rPr>
          <w:rFonts w:ascii="Arial" w:hAnsi="Arial" w:cs="Arial"/>
        </w:rPr>
        <w:instrText xml:space="preserve"> REF _Ref218457303 \h </w:instrText>
      </w:r>
      <w:r w:rsidR="00E3523A">
        <w:rPr>
          <w:rFonts w:ascii="Arial" w:hAnsi="Arial" w:cs="Arial"/>
        </w:rPr>
      </w:r>
      <w:r w:rsidR="00E3523A">
        <w:rPr>
          <w:rFonts w:ascii="Arial" w:hAnsi="Arial" w:cs="Arial"/>
        </w:rPr>
        <w:fldChar w:fldCharType="separate"/>
      </w:r>
      <w:r w:rsidR="00E3523A" w:rsidRPr="00E3523A">
        <w:rPr>
          <w:rFonts w:ascii="Arial" w:hAnsi="Arial" w:cs="Arial"/>
          <w:b/>
          <w:bCs/>
        </w:rPr>
        <w:t>Fig</w:t>
      </w:r>
      <w:r w:rsidR="00E3523A">
        <w:rPr>
          <w:rFonts w:ascii="Arial" w:hAnsi="Arial" w:cs="Arial"/>
          <w:b/>
          <w:bCs/>
        </w:rPr>
        <w:t xml:space="preserve">. </w:t>
      </w:r>
      <w:r w:rsidR="00E3523A" w:rsidRPr="00E3523A">
        <w:rPr>
          <w:rFonts w:ascii="Arial" w:hAnsi="Arial" w:cs="Arial"/>
          <w:b/>
          <w:bCs/>
          <w:noProof/>
        </w:rPr>
        <w:t>1</w:t>
      </w:r>
      <w:r w:rsidR="00E3523A">
        <w:rPr>
          <w:rFonts w:ascii="Arial" w:hAnsi="Arial" w:cs="Arial"/>
        </w:rPr>
        <w:fldChar w:fldCharType="end"/>
      </w:r>
      <w:r w:rsidR="00E3523A">
        <w:rPr>
          <w:rFonts w:ascii="Arial" w:hAnsi="Arial" w:cs="Arial"/>
        </w:rPr>
        <w:t>)</w:t>
      </w:r>
      <w:r w:rsidRPr="00290D59">
        <w:rPr>
          <w:rFonts w:ascii="Arial" w:hAnsi="Arial" w:cs="Arial"/>
        </w:rPr>
        <w:t xml:space="preserve">. These locations were selected </w:t>
      </w:r>
      <w:r w:rsidR="001317A7" w:rsidRPr="00652B13">
        <w:rPr>
          <w:rFonts w:ascii="Arial" w:hAnsi="Arial" w:cs="Arial"/>
        </w:rPr>
        <w:t xml:space="preserve">due to their high domestication rates of </w:t>
      </w:r>
      <w:r w:rsidR="00652B13" w:rsidRPr="00652B13">
        <w:rPr>
          <w:rFonts w:ascii="Arial" w:hAnsi="Arial" w:cs="Arial"/>
        </w:rPr>
        <w:t>edible</w:t>
      </w:r>
      <w:r w:rsidR="001317A7" w:rsidRPr="00652B13">
        <w:rPr>
          <w:rFonts w:ascii="Arial" w:hAnsi="Arial" w:cs="Arial"/>
        </w:rPr>
        <w:t xml:space="preserve"> plant species</w:t>
      </w:r>
      <w:r w:rsidRPr="00652B13">
        <w:rPr>
          <w:rFonts w:ascii="Arial" w:hAnsi="Arial" w:cs="Arial"/>
        </w:rPr>
        <w:t>. Plant</w:t>
      </w:r>
      <w:r w:rsidRPr="00290D59">
        <w:rPr>
          <w:rFonts w:ascii="Arial" w:hAnsi="Arial" w:cs="Arial"/>
        </w:rPr>
        <w:t xml:space="preserve"> collection was carried out in </w:t>
      </w:r>
      <w:proofErr w:type="spellStart"/>
      <w:r w:rsidRPr="00290D59">
        <w:rPr>
          <w:rFonts w:ascii="Arial" w:hAnsi="Arial" w:cs="Arial"/>
        </w:rPr>
        <w:t>Dougourakoro</w:t>
      </w:r>
      <w:proofErr w:type="spellEnd"/>
      <w:r w:rsidRPr="00290D59">
        <w:rPr>
          <w:rFonts w:ascii="Arial" w:hAnsi="Arial" w:cs="Arial"/>
        </w:rPr>
        <w:t xml:space="preserve">, a neighborhood of Bamako located in Commune V. </w:t>
      </w:r>
      <w:proofErr w:type="spellStart"/>
      <w:r w:rsidRPr="00290D59">
        <w:rPr>
          <w:rFonts w:ascii="Arial" w:hAnsi="Arial" w:cs="Arial"/>
        </w:rPr>
        <w:t>Dougourakoro</w:t>
      </w:r>
      <w:proofErr w:type="spellEnd"/>
      <w:r w:rsidRPr="00290D59">
        <w:rPr>
          <w:rFonts w:ascii="Arial" w:hAnsi="Arial" w:cs="Arial"/>
        </w:rPr>
        <w:t xml:space="preserve"> is well known for its lively atmosphere and bustling market, which is an important commercial hub of the city. The area lies at an elevation </w:t>
      </w:r>
      <w:r w:rsidRPr="00290D59">
        <w:rPr>
          <w:rFonts w:ascii="Arial" w:hAnsi="Arial" w:cs="Arial"/>
        </w:rPr>
        <w:lastRenderedPageBreak/>
        <w:t xml:space="preserve">of 349 meters, with geographic coordinates of 12°28′31″ N and 7°27′18″ W (12.4753, –7.455 in decimal degrees). </w:t>
      </w:r>
    </w:p>
    <w:p w14:paraId="03D8FB99" w14:textId="77777777" w:rsidR="00E3523A" w:rsidRDefault="00E3523A" w:rsidP="00E3523A">
      <w:pPr>
        <w:keepNext/>
        <w:spacing w:after="240"/>
        <w:jc w:val="both"/>
      </w:pPr>
      <w:r w:rsidRPr="00E3523A">
        <w:rPr>
          <w:rFonts w:ascii="Arial" w:hAnsi="Arial" w:cs="Arial"/>
          <w:noProof/>
          <w:lang w:val="fr-FR"/>
        </w:rPr>
        <w:drawing>
          <wp:inline distT="0" distB="0" distL="0" distR="0" wp14:anchorId="4029BF8B" wp14:editId="594A3838">
            <wp:extent cx="5266944" cy="2962657"/>
            <wp:effectExtent l="0" t="0" r="0" b="9525"/>
            <wp:docPr id="1994905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9590" cy="2981020"/>
                    </a:xfrm>
                    <a:prstGeom prst="rect">
                      <a:avLst/>
                    </a:prstGeom>
                    <a:noFill/>
                    <a:ln>
                      <a:noFill/>
                    </a:ln>
                  </pic:spPr>
                </pic:pic>
              </a:graphicData>
            </a:graphic>
          </wp:inline>
        </w:drawing>
      </w:r>
    </w:p>
    <w:p w14:paraId="1A3259DD" w14:textId="3158B153" w:rsidR="00E3523A" w:rsidRDefault="00E3523A" w:rsidP="00E3523A">
      <w:pPr>
        <w:pStyle w:val="Caption"/>
        <w:jc w:val="both"/>
        <w:rPr>
          <w:rFonts w:ascii="Arial" w:hAnsi="Arial" w:cs="Arial"/>
        </w:rPr>
      </w:pPr>
      <w:bookmarkStart w:id="1" w:name="_Ref218457303"/>
      <w:r w:rsidRPr="00E3523A">
        <w:rPr>
          <w:rFonts w:ascii="Arial" w:hAnsi="Arial" w:cs="Arial"/>
          <w:b/>
          <w:bCs/>
          <w:color w:val="auto"/>
          <w:sz w:val="20"/>
          <w:szCs w:val="20"/>
        </w:rPr>
        <w:t>Fig</w:t>
      </w:r>
      <w:r>
        <w:rPr>
          <w:rFonts w:ascii="Arial" w:hAnsi="Arial" w:cs="Arial"/>
          <w:b/>
          <w:bCs/>
          <w:color w:val="auto"/>
          <w:sz w:val="20"/>
          <w:szCs w:val="20"/>
        </w:rPr>
        <w:t xml:space="preserve">. </w:t>
      </w:r>
      <w:r w:rsidRPr="00E3523A">
        <w:rPr>
          <w:rFonts w:ascii="Arial" w:hAnsi="Arial" w:cs="Arial"/>
          <w:b/>
          <w:bCs/>
          <w:color w:val="auto"/>
          <w:sz w:val="20"/>
          <w:szCs w:val="20"/>
        </w:rPr>
        <w:fldChar w:fldCharType="begin"/>
      </w:r>
      <w:r w:rsidRPr="00E3523A">
        <w:rPr>
          <w:rFonts w:ascii="Arial" w:hAnsi="Arial" w:cs="Arial"/>
          <w:b/>
          <w:bCs/>
          <w:color w:val="auto"/>
          <w:sz w:val="20"/>
          <w:szCs w:val="20"/>
        </w:rPr>
        <w:instrText xml:space="preserve"> SEQ Figure \* ARABIC </w:instrText>
      </w:r>
      <w:r w:rsidRPr="00E3523A">
        <w:rPr>
          <w:rFonts w:ascii="Arial" w:hAnsi="Arial" w:cs="Arial"/>
          <w:b/>
          <w:bCs/>
          <w:color w:val="auto"/>
          <w:sz w:val="20"/>
          <w:szCs w:val="20"/>
        </w:rPr>
        <w:fldChar w:fldCharType="separate"/>
      </w:r>
      <w:r w:rsidRPr="00E3523A">
        <w:rPr>
          <w:rFonts w:ascii="Arial" w:hAnsi="Arial" w:cs="Arial"/>
          <w:b/>
          <w:bCs/>
          <w:noProof/>
          <w:color w:val="auto"/>
          <w:sz w:val="20"/>
          <w:szCs w:val="20"/>
        </w:rPr>
        <w:t>1</w:t>
      </w:r>
      <w:r w:rsidRPr="00E3523A">
        <w:rPr>
          <w:rFonts w:ascii="Arial" w:hAnsi="Arial" w:cs="Arial"/>
          <w:b/>
          <w:bCs/>
          <w:color w:val="auto"/>
          <w:sz w:val="20"/>
          <w:szCs w:val="20"/>
        </w:rPr>
        <w:fldChar w:fldCharType="end"/>
      </w:r>
      <w:bookmarkEnd w:id="1"/>
      <w:r w:rsidRPr="00E3523A">
        <w:rPr>
          <w:rFonts w:ascii="Arial" w:hAnsi="Arial" w:cs="Arial"/>
          <w:b/>
          <w:bCs/>
          <w:color w:val="auto"/>
          <w:sz w:val="20"/>
          <w:szCs w:val="20"/>
        </w:rPr>
        <w:t xml:space="preserve">: Location map of the ethnobotanical survey sites (Kati, Bamako, </w:t>
      </w:r>
      <w:proofErr w:type="spellStart"/>
      <w:r w:rsidRPr="00E3523A">
        <w:rPr>
          <w:rFonts w:ascii="Arial" w:hAnsi="Arial" w:cs="Arial"/>
          <w:b/>
          <w:bCs/>
          <w:color w:val="auto"/>
          <w:sz w:val="20"/>
          <w:szCs w:val="20"/>
        </w:rPr>
        <w:t>Sanankoroba</w:t>
      </w:r>
      <w:proofErr w:type="spellEnd"/>
      <w:r w:rsidRPr="00E3523A">
        <w:rPr>
          <w:rFonts w:ascii="Arial" w:hAnsi="Arial" w:cs="Arial"/>
          <w:b/>
          <w:bCs/>
          <w:color w:val="auto"/>
          <w:sz w:val="20"/>
          <w:szCs w:val="20"/>
        </w:rPr>
        <w:t>) and the plant material collection site (</w:t>
      </w:r>
      <w:proofErr w:type="spellStart"/>
      <w:r w:rsidRPr="00E3523A">
        <w:rPr>
          <w:rFonts w:ascii="Arial" w:hAnsi="Arial" w:cs="Arial"/>
          <w:b/>
          <w:bCs/>
          <w:color w:val="auto"/>
          <w:sz w:val="20"/>
          <w:szCs w:val="20"/>
        </w:rPr>
        <w:t>Dougourakoro</w:t>
      </w:r>
      <w:proofErr w:type="spellEnd"/>
      <w:r w:rsidRPr="00E3523A">
        <w:rPr>
          <w:rFonts w:ascii="Arial" w:hAnsi="Arial" w:cs="Arial"/>
          <w:b/>
          <w:bCs/>
          <w:color w:val="auto"/>
          <w:sz w:val="20"/>
          <w:szCs w:val="20"/>
        </w:rPr>
        <w:t>, Mali).</w:t>
      </w:r>
    </w:p>
    <w:p w14:paraId="05C1A2AE" w14:textId="2E0AB1D7" w:rsidR="00290D59" w:rsidRPr="00290D59" w:rsidRDefault="00290D59" w:rsidP="00D67E19">
      <w:pPr>
        <w:pStyle w:val="Body"/>
        <w:spacing w:after="0"/>
        <w:outlineLvl w:val="1"/>
        <w:rPr>
          <w:rFonts w:ascii="Arial" w:hAnsi="Arial" w:cs="Arial"/>
          <w:b/>
          <w:sz w:val="22"/>
        </w:rPr>
      </w:pPr>
      <w:r w:rsidRPr="00290D59">
        <w:rPr>
          <w:rFonts w:ascii="Arial" w:hAnsi="Arial" w:cs="Arial"/>
          <w:b/>
          <w:sz w:val="22"/>
        </w:rPr>
        <w:t xml:space="preserve">2.2 </w:t>
      </w:r>
      <w:r>
        <w:rPr>
          <w:rFonts w:ascii="Arial" w:hAnsi="Arial" w:cs="Arial"/>
          <w:b/>
          <w:sz w:val="22"/>
        </w:rPr>
        <w:t>Material</w:t>
      </w:r>
    </w:p>
    <w:p w14:paraId="1DBB0E1F" w14:textId="24695DE4" w:rsidR="00E10B7A" w:rsidRDefault="00E10B7A" w:rsidP="00E10B7A">
      <w:pPr>
        <w:jc w:val="both"/>
      </w:pPr>
      <w:r w:rsidRPr="00E10B7A">
        <w:rPr>
          <w:rFonts w:ascii="Arial" w:hAnsi="Arial" w:cs="Arial"/>
        </w:rPr>
        <w:t xml:space="preserve">The biological material consisted of leaves, trunk bark, </w:t>
      </w:r>
      <w:r w:rsidRPr="00652B13">
        <w:rPr>
          <w:rFonts w:ascii="Arial" w:hAnsi="Arial" w:cs="Arial"/>
        </w:rPr>
        <w:t xml:space="preserve">and root bark of </w:t>
      </w:r>
      <w:r w:rsidRPr="00652B13">
        <w:rPr>
          <w:rFonts w:ascii="Arial" w:hAnsi="Arial" w:cs="Arial"/>
          <w:i/>
          <w:iCs/>
        </w:rPr>
        <w:t>Mangifera indica</w:t>
      </w:r>
      <w:r w:rsidRPr="00652B13">
        <w:rPr>
          <w:rFonts w:ascii="Arial" w:hAnsi="Arial" w:cs="Arial"/>
        </w:rPr>
        <w:t xml:space="preserve"> L. (mango), collected in </w:t>
      </w:r>
      <w:proofErr w:type="spellStart"/>
      <w:r w:rsidRPr="00652B13">
        <w:rPr>
          <w:rFonts w:ascii="Arial" w:hAnsi="Arial" w:cs="Arial"/>
        </w:rPr>
        <w:t>Dougourakoro</w:t>
      </w:r>
      <w:proofErr w:type="spellEnd"/>
      <w:r w:rsidRPr="00652B13">
        <w:rPr>
          <w:rFonts w:ascii="Arial" w:hAnsi="Arial" w:cs="Arial"/>
        </w:rPr>
        <w:t xml:space="preserve"> on January 10, 2024. The samples were carefully washed and air-dried for several days at room temperature at the Laboratory of Food Biochemistry and Natural Substances (LBASNa), Faculty of Science</w:t>
      </w:r>
      <w:r w:rsidR="001317A7" w:rsidRPr="00652B13">
        <w:rPr>
          <w:rFonts w:ascii="Arial" w:hAnsi="Arial" w:cs="Arial"/>
        </w:rPr>
        <w:t>s</w:t>
      </w:r>
      <w:r w:rsidRPr="00652B13">
        <w:rPr>
          <w:rFonts w:ascii="Arial" w:hAnsi="Arial" w:cs="Arial"/>
        </w:rPr>
        <w:t xml:space="preserve"> and </w:t>
      </w:r>
      <w:r w:rsidR="001317A7" w:rsidRPr="00652B13">
        <w:rPr>
          <w:rFonts w:ascii="Arial" w:hAnsi="Arial" w:cs="Arial"/>
        </w:rPr>
        <w:t>Techniques</w:t>
      </w:r>
      <w:r w:rsidRPr="00652B13">
        <w:rPr>
          <w:rFonts w:ascii="Arial" w:hAnsi="Arial" w:cs="Arial"/>
          <w:color w:val="FF0000"/>
        </w:rPr>
        <w:t xml:space="preserve"> </w:t>
      </w:r>
      <w:r w:rsidRPr="00652B13">
        <w:rPr>
          <w:rFonts w:ascii="Arial" w:hAnsi="Arial" w:cs="Arial"/>
        </w:rPr>
        <w:t>(FST), University of Science</w:t>
      </w:r>
      <w:r w:rsidR="001317A7" w:rsidRPr="00652B13">
        <w:rPr>
          <w:rFonts w:ascii="Arial" w:hAnsi="Arial" w:cs="Arial"/>
        </w:rPr>
        <w:t>s</w:t>
      </w:r>
      <w:r w:rsidRPr="00652B13">
        <w:rPr>
          <w:rFonts w:ascii="Arial" w:hAnsi="Arial" w:cs="Arial"/>
        </w:rPr>
        <w:t>, Techniques, and Technolog</w:t>
      </w:r>
      <w:r w:rsidR="001317A7" w:rsidRPr="00652B13">
        <w:rPr>
          <w:rFonts w:ascii="Arial" w:hAnsi="Arial" w:cs="Arial"/>
        </w:rPr>
        <w:t>ies</w:t>
      </w:r>
      <w:r w:rsidRPr="00652B13">
        <w:rPr>
          <w:rFonts w:ascii="Arial" w:hAnsi="Arial" w:cs="Arial"/>
        </w:rPr>
        <w:t xml:space="preserve"> of Bamako (USTTB).</w:t>
      </w:r>
      <w:r>
        <w:rPr>
          <w:rFonts w:ascii="Arial" w:hAnsi="Arial" w:cs="Arial"/>
        </w:rPr>
        <w:t xml:space="preserve"> </w:t>
      </w:r>
    </w:p>
    <w:p w14:paraId="0EAB1A4C" w14:textId="42D23677" w:rsidR="00505F06" w:rsidRPr="00684715" w:rsidRDefault="00E10B7A" w:rsidP="00E10B7A">
      <w:pPr>
        <w:jc w:val="both"/>
        <w:rPr>
          <w:rFonts w:ascii="Arial" w:hAnsi="Arial" w:cs="Arial"/>
        </w:rPr>
      </w:pPr>
      <w:r w:rsidRPr="00684715">
        <w:rPr>
          <w:rFonts w:ascii="Arial" w:hAnsi="Arial" w:cs="Arial"/>
        </w:rPr>
        <w:t>After drying, the samples were ground by an electronic grinder. The resulting powders were sieved and stored in conditions protected from light and moisture to prevent sample degradation. These powders were subsequently used for characterization studies</w:t>
      </w:r>
      <w:r>
        <w:t>.</w:t>
      </w:r>
      <w:r w:rsidR="00D82C48">
        <w:t xml:space="preserve"> </w:t>
      </w:r>
      <w:r w:rsidR="00D82C48">
        <w:fldChar w:fldCharType="begin"/>
      </w:r>
      <w:r w:rsidR="00D82C48">
        <w:instrText xml:space="preserve"> REF _Ref206252569 \h </w:instrText>
      </w:r>
      <w:r w:rsidR="00D82C48">
        <w:fldChar w:fldCharType="separate"/>
      </w:r>
      <w:r w:rsidR="00E3523A" w:rsidRPr="00D82C48">
        <w:rPr>
          <w:rFonts w:ascii="Arial" w:hAnsi="Arial" w:cs="Arial"/>
          <w:b/>
          <w:bCs/>
        </w:rPr>
        <w:t>Fig</w:t>
      </w:r>
      <w:r w:rsidR="00E3523A">
        <w:rPr>
          <w:rFonts w:ascii="Arial" w:hAnsi="Arial" w:cs="Arial"/>
          <w:b/>
          <w:bCs/>
        </w:rPr>
        <w:t>.</w:t>
      </w:r>
      <w:r w:rsidR="00E3523A" w:rsidRPr="00D82C48">
        <w:rPr>
          <w:rFonts w:ascii="Arial" w:hAnsi="Arial" w:cs="Arial"/>
          <w:b/>
          <w:bCs/>
        </w:rPr>
        <w:t xml:space="preserve"> </w:t>
      </w:r>
      <w:r w:rsidR="00E3523A">
        <w:rPr>
          <w:rFonts w:ascii="Arial" w:hAnsi="Arial" w:cs="Arial"/>
          <w:b/>
          <w:bCs/>
          <w:i/>
          <w:iCs/>
          <w:noProof/>
        </w:rPr>
        <w:t>2</w:t>
      </w:r>
      <w:r w:rsidR="00D82C48">
        <w:fldChar w:fldCharType="end"/>
      </w:r>
      <w:r w:rsidR="00D82C48">
        <w:t xml:space="preserve"> </w:t>
      </w:r>
      <w:r w:rsidR="00D82C48" w:rsidRPr="00684715">
        <w:rPr>
          <w:rFonts w:ascii="Arial" w:hAnsi="Arial" w:cs="Arial"/>
        </w:rPr>
        <w:t>below shows the biological samples used for characterization.</w:t>
      </w:r>
    </w:p>
    <w:p w14:paraId="22D92B42" w14:textId="77777777" w:rsidR="00A84F23" w:rsidRPr="00684715" w:rsidRDefault="00A84F23" w:rsidP="00E10B7A">
      <w:pPr>
        <w:jc w:val="both"/>
        <w:rPr>
          <w:rFonts w:ascii="Arial" w:hAnsi="Arial" w:cs="Arial"/>
        </w:rPr>
      </w:pPr>
    </w:p>
    <w:p w14:paraId="57970318" w14:textId="47B70CF5" w:rsidR="00A84F23" w:rsidRDefault="00366D7D" w:rsidP="00D82C48">
      <w:pPr>
        <w:ind w:left="-426"/>
        <w:jc w:val="center"/>
      </w:pPr>
      <w:r>
        <w:rPr>
          <w:noProof/>
        </w:rPr>
        <w:lastRenderedPageBreak/>
        <w:drawing>
          <wp:inline distT="0" distB="0" distL="0" distR="0" wp14:anchorId="4F86D3DD" wp14:editId="30EC57E6">
            <wp:extent cx="4410283" cy="3450336"/>
            <wp:effectExtent l="0" t="0" r="0" b="0"/>
            <wp:docPr id="11258926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5077" cy="3477557"/>
                    </a:xfrm>
                    <a:prstGeom prst="rect">
                      <a:avLst/>
                    </a:prstGeom>
                    <a:noFill/>
                  </pic:spPr>
                </pic:pic>
              </a:graphicData>
            </a:graphic>
          </wp:inline>
        </w:drawing>
      </w:r>
    </w:p>
    <w:p w14:paraId="71531418" w14:textId="666385F8" w:rsidR="00A84F23" w:rsidRPr="00B65ED9" w:rsidRDefault="00A84F23" w:rsidP="00A84F23">
      <w:pPr>
        <w:pStyle w:val="Caption"/>
        <w:rPr>
          <w:rFonts w:ascii="Arial" w:hAnsi="Arial" w:cs="Arial"/>
          <w:color w:val="auto"/>
        </w:rPr>
      </w:pPr>
      <w:bookmarkStart w:id="2" w:name="_Ref206252569"/>
      <w:r w:rsidRPr="00D82C48">
        <w:rPr>
          <w:rFonts w:ascii="Arial" w:hAnsi="Arial" w:cs="Arial"/>
          <w:b/>
          <w:bCs/>
          <w:i w:val="0"/>
          <w:iCs w:val="0"/>
          <w:color w:val="auto"/>
          <w:sz w:val="20"/>
          <w:szCs w:val="20"/>
        </w:rPr>
        <w:t>Fig</w:t>
      </w:r>
      <w:r w:rsidR="00B65ED9">
        <w:rPr>
          <w:rFonts w:ascii="Arial" w:hAnsi="Arial" w:cs="Arial"/>
          <w:b/>
          <w:bCs/>
          <w:i w:val="0"/>
          <w:iCs w:val="0"/>
          <w:color w:val="auto"/>
          <w:sz w:val="20"/>
          <w:szCs w:val="20"/>
        </w:rPr>
        <w:t>.</w:t>
      </w:r>
      <w:r w:rsidRPr="00D82C48">
        <w:rPr>
          <w:rFonts w:ascii="Arial" w:hAnsi="Arial" w:cs="Arial"/>
          <w:b/>
          <w:bCs/>
          <w:i w:val="0"/>
          <w:iCs w:val="0"/>
          <w:color w:val="auto"/>
          <w:sz w:val="20"/>
          <w:szCs w:val="20"/>
        </w:rPr>
        <w:t xml:space="preserve"> </w:t>
      </w:r>
      <w:r w:rsidRPr="00D82C48">
        <w:rPr>
          <w:rFonts w:ascii="Arial" w:hAnsi="Arial" w:cs="Arial"/>
          <w:b/>
          <w:bCs/>
          <w:i w:val="0"/>
          <w:iCs w:val="0"/>
          <w:color w:val="auto"/>
          <w:sz w:val="20"/>
          <w:szCs w:val="20"/>
        </w:rPr>
        <w:fldChar w:fldCharType="begin"/>
      </w:r>
      <w:r w:rsidRPr="00D82C48">
        <w:rPr>
          <w:rFonts w:ascii="Arial" w:hAnsi="Arial" w:cs="Arial"/>
          <w:b/>
          <w:bCs/>
          <w:i w:val="0"/>
          <w:iCs w:val="0"/>
          <w:color w:val="auto"/>
          <w:sz w:val="20"/>
          <w:szCs w:val="20"/>
        </w:rPr>
        <w:instrText xml:space="preserve"> SEQ Figure \* ARABIC </w:instrText>
      </w:r>
      <w:r w:rsidRPr="00D82C48">
        <w:rPr>
          <w:rFonts w:ascii="Arial" w:hAnsi="Arial" w:cs="Arial"/>
          <w:b/>
          <w:bCs/>
          <w:i w:val="0"/>
          <w:iCs w:val="0"/>
          <w:color w:val="auto"/>
          <w:sz w:val="20"/>
          <w:szCs w:val="20"/>
        </w:rPr>
        <w:fldChar w:fldCharType="separate"/>
      </w:r>
      <w:r w:rsidR="00E3523A">
        <w:rPr>
          <w:rFonts w:ascii="Arial" w:hAnsi="Arial" w:cs="Arial"/>
          <w:b/>
          <w:bCs/>
          <w:i w:val="0"/>
          <w:iCs w:val="0"/>
          <w:noProof/>
          <w:color w:val="auto"/>
          <w:sz w:val="20"/>
          <w:szCs w:val="20"/>
        </w:rPr>
        <w:t>2</w:t>
      </w:r>
      <w:r w:rsidRPr="00D82C48">
        <w:rPr>
          <w:rFonts w:ascii="Arial" w:hAnsi="Arial" w:cs="Arial"/>
          <w:b/>
          <w:bCs/>
          <w:i w:val="0"/>
          <w:iCs w:val="0"/>
          <w:color w:val="auto"/>
          <w:sz w:val="20"/>
          <w:szCs w:val="20"/>
        </w:rPr>
        <w:fldChar w:fldCharType="end"/>
      </w:r>
      <w:bookmarkEnd w:id="2"/>
      <w:r w:rsidR="00B65ED9">
        <w:rPr>
          <w:rFonts w:ascii="Arial" w:hAnsi="Arial" w:cs="Arial"/>
          <w:b/>
          <w:bCs/>
          <w:i w:val="0"/>
          <w:iCs w:val="0"/>
          <w:color w:val="auto"/>
          <w:sz w:val="20"/>
          <w:szCs w:val="20"/>
        </w:rPr>
        <w:t>.</w:t>
      </w:r>
      <w:r>
        <w:t xml:space="preserve"> </w:t>
      </w:r>
      <w:r w:rsidRPr="00B65ED9">
        <w:rPr>
          <w:rFonts w:ascii="Arial" w:hAnsi="Arial" w:cs="Arial"/>
          <w:b/>
          <w:bCs/>
          <w:i w:val="0"/>
          <w:iCs w:val="0"/>
          <w:color w:val="auto"/>
          <w:sz w:val="20"/>
          <w:szCs w:val="22"/>
        </w:rPr>
        <w:t xml:space="preserve">Biological samples of </w:t>
      </w:r>
      <w:r w:rsidR="00D426A6" w:rsidRPr="00D426A6">
        <w:rPr>
          <w:rFonts w:ascii="Arial" w:hAnsi="Arial" w:cs="Arial"/>
          <w:b/>
          <w:bCs/>
          <w:iCs w:val="0"/>
          <w:color w:val="auto"/>
          <w:sz w:val="20"/>
          <w:szCs w:val="22"/>
        </w:rPr>
        <w:t>Mangifera indica L</w:t>
      </w:r>
      <w:r w:rsidRPr="00B65ED9">
        <w:rPr>
          <w:rFonts w:ascii="Arial" w:hAnsi="Arial" w:cs="Arial"/>
          <w:b/>
          <w:bCs/>
          <w:i w:val="0"/>
          <w:iCs w:val="0"/>
          <w:color w:val="auto"/>
          <w:sz w:val="20"/>
          <w:szCs w:val="22"/>
        </w:rPr>
        <w:t xml:space="preserve">. </w:t>
      </w:r>
      <w:r w:rsidRPr="00366D7D">
        <w:rPr>
          <w:rFonts w:ascii="Arial" w:hAnsi="Arial" w:cs="Arial"/>
          <w:b/>
          <w:bCs/>
          <w:i w:val="0"/>
          <w:iCs w:val="0"/>
          <w:color w:val="auto"/>
          <w:sz w:val="20"/>
          <w:szCs w:val="22"/>
        </w:rPr>
        <w:t>used for characterization.</w:t>
      </w:r>
      <w:r w:rsidRPr="00366D7D">
        <w:rPr>
          <w:rFonts w:ascii="Arial" w:hAnsi="Arial" w:cs="Arial"/>
          <w:i w:val="0"/>
          <w:iCs w:val="0"/>
          <w:color w:val="auto"/>
          <w:sz w:val="20"/>
          <w:szCs w:val="20"/>
        </w:rPr>
        <w:t xml:space="preserve"> </w:t>
      </w:r>
      <w:r w:rsidRPr="00366D7D">
        <w:rPr>
          <w:rFonts w:ascii="Arial" w:hAnsi="Arial" w:cs="Arial"/>
          <w:color w:val="auto"/>
        </w:rPr>
        <w:t>(A) Leaves: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 (B) Trunk bark: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 (C) Root bark: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w:t>
      </w:r>
      <w:r w:rsidR="009E1084">
        <w:rPr>
          <w:rFonts w:ascii="Arial" w:hAnsi="Arial" w:cs="Arial"/>
          <w:color w:val="auto"/>
        </w:rPr>
        <w:t xml:space="preserve"> </w:t>
      </w:r>
    </w:p>
    <w:p w14:paraId="61EF9F2A" w14:textId="1FC1F04E" w:rsidR="00AA74E0" w:rsidRDefault="00AA74E0" w:rsidP="00441B6F">
      <w:pPr>
        <w:pStyle w:val="Body"/>
        <w:spacing w:after="0"/>
        <w:rPr>
          <w:rFonts w:ascii="Arial" w:hAnsi="Arial" w:cs="Arial"/>
        </w:rPr>
      </w:pPr>
      <w:r w:rsidRPr="00FB3A86">
        <w:rPr>
          <w:rFonts w:ascii="Arial" w:hAnsi="Arial" w:cs="Arial"/>
        </w:rPr>
        <w:t xml:space="preserve">  </w:t>
      </w:r>
    </w:p>
    <w:p w14:paraId="5E18C267" w14:textId="0C8C3066" w:rsidR="00D67E19" w:rsidRDefault="00D67E19" w:rsidP="00D67E19">
      <w:pPr>
        <w:pStyle w:val="Body"/>
        <w:spacing w:after="0"/>
        <w:outlineLvl w:val="1"/>
        <w:rPr>
          <w:rFonts w:ascii="Arial" w:hAnsi="Arial" w:cs="Arial"/>
          <w:b/>
          <w:sz w:val="22"/>
        </w:rPr>
      </w:pPr>
      <w:r w:rsidRPr="00C30A0F">
        <w:rPr>
          <w:rFonts w:ascii="Arial" w:hAnsi="Arial" w:cs="Arial"/>
          <w:b/>
          <w:caps/>
          <w:sz w:val="22"/>
        </w:rPr>
        <w:t>2.</w:t>
      </w:r>
      <w:r w:rsidR="00290D59">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77E1975C" w14:textId="1DE9C4E4" w:rsidR="00D67E19" w:rsidRPr="00F21E51" w:rsidRDefault="00290D59" w:rsidP="00290D59">
      <w:pPr>
        <w:pStyle w:val="Body"/>
        <w:spacing w:after="0"/>
        <w:outlineLvl w:val="1"/>
        <w:rPr>
          <w:rFonts w:ascii="Arial" w:hAnsi="Arial" w:cs="Arial"/>
          <w:b/>
          <w:u w:val="single"/>
        </w:rPr>
      </w:pPr>
      <w:r w:rsidRPr="00F21E51">
        <w:rPr>
          <w:rFonts w:ascii="Arial" w:hAnsi="Arial" w:cs="Arial"/>
          <w:b/>
          <w:u w:val="single"/>
        </w:rPr>
        <w:t>2.</w:t>
      </w:r>
      <w:r w:rsidR="00F21E51" w:rsidRPr="00F21E51">
        <w:rPr>
          <w:rFonts w:ascii="Arial" w:hAnsi="Arial" w:cs="Arial"/>
          <w:b/>
          <w:u w:val="single"/>
        </w:rPr>
        <w:t>3</w:t>
      </w:r>
      <w:r w:rsidRPr="00F21E51">
        <w:rPr>
          <w:rFonts w:ascii="Arial" w:hAnsi="Arial" w:cs="Arial"/>
          <w:b/>
          <w:u w:val="single"/>
        </w:rPr>
        <w:t>.1</w:t>
      </w:r>
      <w:r w:rsidR="00F21E51" w:rsidRPr="00F21E51">
        <w:rPr>
          <w:rFonts w:ascii="Arial" w:hAnsi="Arial" w:cs="Arial"/>
          <w:b/>
          <w:u w:val="single"/>
        </w:rPr>
        <w:t xml:space="preserve"> Ethnobotanical Survey</w:t>
      </w:r>
    </w:p>
    <w:p w14:paraId="77ECA073" w14:textId="7DB38D57" w:rsidR="00290D59" w:rsidRDefault="00F21E51" w:rsidP="00F21E51">
      <w:pPr>
        <w:jc w:val="both"/>
      </w:pPr>
      <w:r w:rsidRPr="00F21E51">
        <w:rPr>
          <w:rFonts w:ascii="Arial" w:hAnsi="Arial" w:cs="Arial"/>
        </w:rPr>
        <w:t xml:space="preserve">The study population consisted of members of various families in Bamako, and its surrounding areas. Data were collected using a structured questionnaire from November 7, 2022, to March 2, 2023. It involved visiting </w:t>
      </w:r>
      <w:r w:rsidR="00D426A6" w:rsidRPr="00F21E51">
        <w:rPr>
          <w:rFonts w:ascii="Arial" w:hAnsi="Arial" w:cs="Arial"/>
        </w:rPr>
        <w:t>household</w:t>
      </w:r>
      <w:r w:rsidRPr="00F21E51">
        <w:rPr>
          <w:rFonts w:ascii="Arial" w:hAnsi="Arial" w:cs="Arial"/>
        </w:rPr>
        <w:t xml:space="preserve"> door-to-door and asking questions about domesticated plants, their uses, and those specifically employed in the traditional treatment of diabetes, including the plant parts used, preparation methods, and modes of administration</w:t>
      </w:r>
      <w:r w:rsidRPr="00F21E51">
        <w:t>.</w:t>
      </w:r>
    </w:p>
    <w:p w14:paraId="340249AA" w14:textId="5B698D14" w:rsidR="00F21E51" w:rsidRPr="00F21E51" w:rsidRDefault="00F21E51" w:rsidP="00F21E51">
      <w:pPr>
        <w:pStyle w:val="Body"/>
        <w:spacing w:after="0"/>
        <w:outlineLvl w:val="1"/>
        <w:rPr>
          <w:rFonts w:ascii="Arial" w:hAnsi="Arial" w:cs="Arial"/>
          <w:b/>
          <w:u w:val="single"/>
        </w:rPr>
      </w:pPr>
      <w:r>
        <w:rPr>
          <w:rFonts w:ascii="Arial" w:hAnsi="Arial" w:cs="Arial"/>
          <w:b/>
          <w:u w:val="single"/>
        </w:rPr>
        <w:t xml:space="preserve">2.3.2 </w:t>
      </w:r>
      <w:r w:rsidRPr="00F21E51">
        <w:rPr>
          <w:rFonts w:ascii="Arial" w:hAnsi="Arial" w:cs="Arial"/>
          <w:b/>
          <w:u w:val="single"/>
        </w:rPr>
        <w:t>Phytochemical Screening</w:t>
      </w:r>
    </w:p>
    <w:p w14:paraId="00A94778" w14:textId="7F2E0100" w:rsidR="008326C4" w:rsidRDefault="00F21E51" w:rsidP="008326C4">
      <w:pPr>
        <w:jc w:val="both"/>
      </w:pPr>
      <w:r>
        <w:t>For the characterization of chemical groups, four types of extracts were prepared: Aqueous maceration (AM), Hydroalcoholic maceration (HAM), Aqueous decoction (AD) and Hydroalcoholic decoction (HAD).</w:t>
      </w:r>
      <w:r w:rsidR="008326C4">
        <w:t xml:space="preserve"> </w:t>
      </w:r>
      <w:r w:rsidR="008326C4" w:rsidRPr="008326C4">
        <w:t xml:space="preserve">To determine the presence or absence of specific secondary metabolites, standard procedures were employed as described by </w:t>
      </w:r>
      <w:r w:rsidR="008326C4" w:rsidRPr="00D426A6">
        <w:rPr>
          <w:lang w:val="fr-FR"/>
        </w:rPr>
        <w:fldChar w:fldCharType="begin"/>
      </w:r>
      <w:r w:rsidR="008326C4" w:rsidRPr="00D426A6">
        <w:instrText xml:space="preserve">CITATION Bru09 \l 1036 </w:instrText>
      </w:r>
      <w:r w:rsidR="008326C4" w:rsidRPr="00D426A6">
        <w:rPr>
          <w:lang w:val="fr-FR"/>
        </w:rPr>
        <w:fldChar w:fldCharType="separate"/>
      </w:r>
      <w:r w:rsidR="008326C4" w:rsidRPr="00D426A6">
        <w:t xml:space="preserve"> (Bruneton, 2009)</w:t>
      </w:r>
      <w:r w:rsidR="008326C4" w:rsidRPr="00D426A6">
        <w:fldChar w:fldCharType="end"/>
      </w:r>
      <w:r w:rsidR="008326C4" w:rsidRPr="00D426A6">
        <w:rPr>
          <w:lang w:val="fr-FR"/>
        </w:rPr>
        <w:fldChar w:fldCharType="begin"/>
      </w:r>
      <w:r w:rsidR="008326C4" w:rsidRPr="00D426A6">
        <w:instrText xml:space="preserve">CITATION Har98 \l 1036 </w:instrText>
      </w:r>
      <w:r w:rsidR="008326C4" w:rsidRPr="00D426A6">
        <w:rPr>
          <w:lang w:val="fr-FR"/>
        </w:rPr>
        <w:fldChar w:fldCharType="separate"/>
      </w:r>
      <w:r w:rsidR="008326C4" w:rsidRPr="00D426A6">
        <w:t xml:space="preserve"> (Harbone, 1998)</w:t>
      </w:r>
      <w:r w:rsidR="008326C4" w:rsidRPr="00D426A6">
        <w:fldChar w:fldCharType="end"/>
      </w:r>
      <w:r w:rsidR="008326C4">
        <w:t xml:space="preserve"> slightly modified by </w:t>
      </w:r>
      <w:r w:rsidR="008326C4">
        <w:fldChar w:fldCharType="begin" w:fldLock="1"/>
      </w:r>
      <w:r w:rsidR="00261A37">
        <w:instrText>ADDIN CSL_CITATION {"citationItems":[{"id":"ITEM-1","itemData":{"DOI":"10.5897/jmpr2019.6874","author":[{"dropping-particle":"","family":"Mamadou","given":"Abdoulaye Konaré","non-dropping-particle":"","parse-names":false,"suffix":""},{"dropping-particle":"","family":"Nouhoum","given":"Diarra","non-dropping-particle":"","parse-names":false,"suffix":""},{"dropping-particle":"","family":"Cheickna","given":"Cissé","non-dropping-particle":"","parse-names":false,"suffix":""},{"dropping-particle":"","family":"Daouda","given":"Abdoul Karim Traoré","non-dropping-particle":"","parse-names":false,"suffix":""},{"dropping-particle":"","family":"Issiaka","given":"Togola","non-dropping-particle":"","parse-names":false,"suffix":""},{"dropping-particle":"","family":"Adounigna","given":"Kassogué","non-dropping-particle":"","parse-names":false,"suffix":""},{"dropping-particle":"","family":"Rokia","given":"Sanogo","non-dropping-particle":"","parse-names":false,"suffix":""},{"dropping-particle":"","family":"Aboubacar","given":"Sidiki Ouattara","non-dropping-particle":"","parse-names":false,"suffix":""},{"dropping-particle":"","family":"Konaré","given":"Mamadou Abdoulaye","non-dropping-particle":"","parse-names":false,"suffix":""},{"dropping-particle":"","family":"Diarra","given":"Nouhoum","non-dropping-particle":"","parse-names":false,"suffix":""},{"dropping-particle":"","family":"Cissé","given":"Cheickna","non-dropping-particle":"","parse-names":false,"suffix":""},{"dropping-particle":"","family":"Abdoul","given":"Daouda","non-dropping-particle":"","parse-names":false,"suffix":""},{"dropping-particle":"","family":"Traoré","given":"Karim","non-dropping-particle":"","parse-names":false,"suffix":""},{"dropping-particle":"","family":"Togola","given":"Issiaka","non-dropping-particle":"","parse-names":false,"suffix":""},{"dropping-particle":"","family":"Kassogué","given":"Adounigna","non-dropping-particle":"","parse-names":false,"suffix":""},{"dropping-particle":"","family":"Sanogo","given":"Rokia","non-dropping-particle":"","parse-names":false,"suffix":""}],"container-title":"Journal of Medicinal Plants Research","id":"ITEM-1","issue":"3","issued":{"date-parts":[["2020"]]},"page":"118-128","title":"Evaluation of the biological activities of leaf and bark extracts of Ficus platiphylla Delile, a medicinal plant used in Mali","type":"article-journal","volume":"14"},"uris":["http://www.mendeley.com/documents/?uuid=983fa471-82fb-415a-ab67-ed2dcaca214a"]}],"mendeley":{"formattedCitation":"[20]","plainTextFormattedCitation":"[20]","previouslyFormattedCitation":"[20]"},"properties":{"noteIndex":0},"schema":"https://github.com/citation-style-language/schema/raw/master/csl-citation.json"}</w:instrText>
      </w:r>
      <w:r w:rsidR="008326C4">
        <w:fldChar w:fldCharType="separate"/>
      </w:r>
      <w:r w:rsidR="008510D8" w:rsidRPr="008510D8">
        <w:rPr>
          <w:noProof/>
        </w:rPr>
        <w:t>[20]</w:t>
      </w:r>
      <w:r w:rsidR="008326C4">
        <w:fldChar w:fldCharType="end"/>
      </w:r>
      <w:r w:rsidR="008326C4">
        <w:t>.</w:t>
      </w:r>
    </w:p>
    <w:p w14:paraId="28DAAA88" w14:textId="4DDC7E2D" w:rsidR="008326C4" w:rsidRPr="008326C4" w:rsidRDefault="008326C4" w:rsidP="008326C4">
      <w:pPr>
        <w:jc w:val="both"/>
        <w:rPr>
          <w:rFonts w:ascii="Arial" w:hAnsi="Arial" w:cs="Arial"/>
          <w:b/>
          <w:u w:val="single"/>
        </w:rPr>
      </w:pPr>
      <w:r>
        <w:rPr>
          <w:rFonts w:ascii="Arial" w:hAnsi="Arial" w:cs="Arial"/>
          <w:b/>
          <w:u w:val="single"/>
        </w:rPr>
        <w:t xml:space="preserve">2.3.3 </w:t>
      </w:r>
      <w:r w:rsidRPr="008326C4">
        <w:rPr>
          <w:rFonts w:ascii="Arial" w:hAnsi="Arial" w:cs="Arial"/>
          <w:b/>
          <w:u w:val="single"/>
        </w:rPr>
        <w:t>DPPH Radical Scavenging Assay</w:t>
      </w:r>
    </w:p>
    <w:p w14:paraId="3449BECD" w14:textId="74889C5B" w:rsidR="008326C4" w:rsidRDefault="008326C4" w:rsidP="008326C4">
      <w:pPr>
        <w:jc w:val="both"/>
      </w:pPr>
      <w:r>
        <w:t xml:space="preserve">The antioxidant activity was evaluated using the DPPH (2,2-diphenyl-1-picrylhydrazyl) method, following the protocol described by </w:t>
      </w:r>
      <w:r w:rsidR="00684715" w:rsidRPr="00684715">
        <w:t xml:space="preserve">Williams et al. </w:t>
      </w:r>
      <w:r w:rsidR="00684715">
        <w:t>(</w:t>
      </w:r>
      <w:r w:rsidR="00684715" w:rsidRPr="00684715">
        <w:t>1995)</w:t>
      </w:r>
      <w:r>
        <w:t xml:space="preserve">, with slight modifications according to </w:t>
      </w:r>
      <w:r w:rsidR="00684715">
        <w:fldChar w:fldCharType="begin" w:fldLock="1"/>
      </w:r>
      <w:r w:rsidR="00261A37">
        <w:instrText>ADDIN CSL_CITATION {"citationItems":[{"id":"ITEM-1","itemData":{"author":[{"dropping-particle":"","family":"Togola","given":"Issiaka","non-dropping-particle":"","parse-names":false,"suffix":""},{"dropping-particle":"","family":"Konare","given":"Mamadou Abdoulaye","non-dropping-particle":"","parse-names":false,"suffix":""},{"dropping-particle":"","family":"Cisse","given":"Cheickna","non-dropping-particle":"","parse-names":false,"suffix":""},{"dropping-particle":"","family":"Diarra","given":"Nouhoum","non-dropping-particle":"","parse-names":false,"suffix":""}],"container-title":"Journal of Applied Life Sciences International","id":"ITEM-1","issue":"6","issued":{"date-parts":[["2023"]]},"page":"88-97","title":"Anti-Inflammatory and Anti-cancer Activities of Leaf Extracts from Three Datura Species Found in Mali","type":"article-journal","volume":"26"},"uris":["http://www.mendeley.com/documents/?uuid=65afa6ae-8f24-4518-84b5-9050563fb24b"]}],"mendeley":{"formattedCitation":"[17]","plainTextFormattedCitation":"[17]","previouslyFormattedCitation":"[17]"},"properties":{"noteIndex":0},"schema":"https://github.com/citation-style-language/schema/raw/master/csl-citation.json"}</w:instrText>
      </w:r>
      <w:r w:rsidR="00684715">
        <w:fldChar w:fldCharType="separate"/>
      </w:r>
      <w:r w:rsidR="008510D8" w:rsidRPr="008510D8">
        <w:rPr>
          <w:noProof/>
        </w:rPr>
        <w:t>[17]</w:t>
      </w:r>
      <w:r w:rsidR="00684715">
        <w:fldChar w:fldCharType="end"/>
      </w:r>
      <w:r>
        <w:t>. Briefly, 50 µL of each extract solution at different concentrations was added to 1.95 mL of ethanolic DPPH solution (0.024 g/L). A negative control was prepared by mixing 50 µL of ethanol with 1.95 mL of the DPPH solution. The mixtures were incubated for 30 min in the dark at room temperature, and absorbance was measured at 515 nm against a blank using a spectrophotometer. Ascorbic acid, prepared under the same conditions, was used as a positive control. The antioxidant activity, corresponding to the radical scavenging effect on DPPH, was expressed as the percentage of inhibition (PI) calculated according to the formula:</w:t>
      </w:r>
    </w:p>
    <w:p w14:paraId="0EAE6532" w14:textId="516215DB" w:rsidR="008326C4" w:rsidRPr="008326C4" w:rsidRDefault="008326C4" w:rsidP="008326C4">
      <w:pPr>
        <w:jc w:val="both"/>
      </w:pPr>
      <m:oMathPara>
        <m:oMath>
          <m:r>
            <w:rPr>
              <w:rFonts w:ascii="Cambria Math" w:hAnsi="Cambria Math"/>
            </w:rPr>
            <m:t>PI</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×100</m:t>
          </m:r>
        </m:oMath>
      </m:oMathPara>
    </w:p>
    <w:p w14:paraId="72522076" w14:textId="223570DF" w:rsidR="008326C4" w:rsidRPr="008326C4" w:rsidRDefault="008326C4" w:rsidP="008326C4">
      <w:pPr>
        <w:pStyle w:val="Body"/>
        <w:spacing w:after="0"/>
        <w:rPr>
          <w:rFonts w:ascii="Arial" w:hAnsi="Arial" w:cs="Arial"/>
        </w:rPr>
      </w:pPr>
      <w:r w:rsidRPr="008326C4">
        <w:rPr>
          <w:rFonts w:ascii="Arial" w:hAnsi="Arial" w:cs="Arial"/>
        </w:rPr>
        <w:lastRenderedPageBreak/>
        <w:t>where A</w:t>
      </w:r>
      <w:r w:rsidRPr="008326C4">
        <w:rPr>
          <w:rFonts w:ascii="Arial" w:hAnsi="Arial" w:cs="Arial"/>
          <w:vertAlign w:val="subscript"/>
        </w:rPr>
        <w:t>0</w:t>
      </w:r>
      <w:r w:rsidR="00684715">
        <w:rPr>
          <w:rFonts w:ascii="Arial" w:hAnsi="Arial" w:cs="Arial"/>
        </w:rPr>
        <w:t xml:space="preserve"> </w:t>
      </w:r>
      <w:r w:rsidRPr="008326C4">
        <w:rPr>
          <w:rFonts w:ascii="Arial" w:hAnsi="Arial" w:cs="Arial"/>
        </w:rPr>
        <w:t>is the absorbance of the control (DPPH solution without extract) and A</w:t>
      </w:r>
      <w:r w:rsidRPr="008326C4">
        <w:rPr>
          <w:rFonts w:ascii="Arial" w:hAnsi="Arial" w:cs="Arial"/>
          <w:vertAlign w:val="subscript"/>
        </w:rPr>
        <w:t>1</w:t>
      </w:r>
      <w:r w:rsidR="00684715">
        <w:rPr>
          <w:rFonts w:ascii="Arial" w:hAnsi="Arial" w:cs="Arial"/>
        </w:rPr>
        <w:t xml:space="preserve"> </w:t>
      </w:r>
      <w:r w:rsidRPr="008326C4">
        <w:rPr>
          <w:rFonts w:ascii="Arial" w:hAnsi="Arial" w:cs="Arial"/>
        </w:rPr>
        <w:t>is the absorbance in the presence of the extract.</w:t>
      </w:r>
    </w:p>
    <w:p w14:paraId="53B4464D" w14:textId="5191C4B4" w:rsidR="008326C4" w:rsidRPr="008326C4" w:rsidRDefault="008326C4" w:rsidP="008326C4">
      <w:pPr>
        <w:pStyle w:val="Body"/>
        <w:spacing w:after="0"/>
        <w:rPr>
          <w:rFonts w:ascii="Arial" w:hAnsi="Arial" w:cs="Arial"/>
        </w:rPr>
      </w:pPr>
      <w:r w:rsidRPr="008326C4">
        <w:rPr>
          <w:rFonts w:ascii="Arial" w:hAnsi="Arial" w:cs="Arial"/>
        </w:rPr>
        <w:t>The IC</w:t>
      </w:r>
      <w:r w:rsidRPr="008326C4">
        <w:rPr>
          <w:rFonts w:ascii="Arial" w:hAnsi="Arial" w:cs="Arial"/>
          <w:vertAlign w:val="subscript"/>
        </w:rPr>
        <w:t>50</w:t>
      </w:r>
      <w:r w:rsidRPr="008326C4">
        <w:rPr>
          <w:rFonts w:ascii="Arial" w:hAnsi="Arial" w:cs="Arial"/>
        </w:rPr>
        <w:t>​ values (concentration required to inhibit 50% of the DPPH radical) were determined from the linear regression curve plotting inhibition percentage against extract concentration.</w:t>
      </w:r>
    </w:p>
    <w:p w14:paraId="40B9F7D5" w14:textId="3A58C5C1" w:rsidR="00790ADA" w:rsidRDefault="00684715" w:rsidP="00441B6F">
      <w:pPr>
        <w:pStyle w:val="Body"/>
        <w:spacing w:after="0"/>
        <w:rPr>
          <w:rFonts w:ascii="Arial" w:hAnsi="Arial" w:cs="Arial"/>
          <w:b/>
          <w:u w:val="single"/>
        </w:rPr>
      </w:pPr>
      <w:r w:rsidRPr="00684715">
        <w:rPr>
          <w:rFonts w:ascii="Arial" w:hAnsi="Arial" w:cs="Arial"/>
          <w:b/>
          <w:u w:val="single"/>
        </w:rPr>
        <w:t>2.3.4 Antidiabetic Activity (α-Amylase Inhibition Assay)</w:t>
      </w:r>
    </w:p>
    <w:p w14:paraId="13F06D78" w14:textId="336415E3" w:rsidR="00684715" w:rsidRPr="00684715" w:rsidRDefault="00684715" w:rsidP="00684715">
      <w:pPr>
        <w:jc w:val="both"/>
        <w:rPr>
          <w:rFonts w:ascii="Arial" w:hAnsi="Arial" w:cs="Arial"/>
        </w:rPr>
      </w:pPr>
      <w:r w:rsidRPr="00684715">
        <w:rPr>
          <w:rFonts w:ascii="Arial" w:hAnsi="Arial" w:cs="Arial"/>
        </w:rPr>
        <w:t xml:space="preserve">The antidiabetic potential was assessed using the </w:t>
      </w:r>
      <w:r w:rsidRPr="00684715">
        <w:rPr>
          <w:rFonts w:ascii="Arial" w:hAnsi="Arial" w:cs="Arial"/>
          <w:lang w:val="fr-FR"/>
        </w:rPr>
        <w:t>α</w:t>
      </w:r>
      <w:r w:rsidRPr="00684715">
        <w:rPr>
          <w:rFonts w:ascii="Arial" w:hAnsi="Arial" w:cs="Arial"/>
        </w:rPr>
        <w:t>-amylase inhibition assay, following the protocol described by Williams et al. (1995), with slight modifications according to</w:t>
      </w:r>
      <w:r>
        <w:rPr>
          <w:rFonts w:ascii="Arial" w:hAnsi="Arial" w:cs="Arial"/>
        </w:rPr>
        <w:t xml:space="preserve"> </w:t>
      </w:r>
      <w:r>
        <w:rPr>
          <w:rFonts w:ascii="Arial" w:hAnsi="Arial" w:cs="Arial"/>
        </w:rPr>
        <w:fldChar w:fldCharType="begin" w:fldLock="1"/>
      </w:r>
      <w:r w:rsidR="00261A37">
        <w:rPr>
          <w:rFonts w:ascii="Arial" w:hAnsi="Arial" w:cs="Arial"/>
        </w:rPr>
        <w:instrText>ADDIN CSL_CITATION {"citationItems":[{"id":"ITEM-1","itemData":{"DOI":"10.51847/zpFCZqyBFX","ISSN":"0974-2328","abstract":"Anacardium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Technol","id":"ITEM-1","issue":"3","issued":{"date-parts":[["2024"]]},"page":"15-24","title":"Antioxidant and Antidiabetic Potential of Extracts from Anacardium occidentale and Sclerocarya birrea","type":"article-journal","volume":"15"},"uris":["http://www.mendeley.com/documents/?uuid=6882b7af-b6e1-35f4-ac02-4378b081c01c"]}],"mendeley":{"formattedCitation":"[21]","plainTextFormattedCitation":"[21]","previouslyFormattedCitation":"[21]"},"properties":{"noteIndex":0},"schema":"https://github.com/citation-style-language/schema/raw/master/csl-citation.json"}</w:instrText>
      </w:r>
      <w:r>
        <w:rPr>
          <w:rFonts w:ascii="Arial" w:hAnsi="Arial" w:cs="Arial"/>
        </w:rPr>
        <w:fldChar w:fldCharType="separate"/>
      </w:r>
      <w:r w:rsidR="008510D8" w:rsidRPr="008510D8">
        <w:rPr>
          <w:rFonts w:ascii="Arial" w:hAnsi="Arial" w:cs="Arial"/>
          <w:noProof/>
        </w:rPr>
        <w:t>[21]</w:t>
      </w:r>
      <w:r>
        <w:rPr>
          <w:rFonts w:ascii="Arial" w:hAnsi="Arial" w:cs="Arial"/>
        </w:rPr>
        <w:fldChar w:fldCharType="end"/>
      </w:r>
      <w:r w:rsidRPr="00684715">
        <w:rPr>
          <w:rFonts w:ascii="Arial" w:hAnsi="Arial" w:cs="Arial"/>
        </w:rPr>
        <w:t>.</w:t>
      </w:r>
      <w:r>
        <w:rPr>
          <w:rFonts w:ascii="Arial" w:hAnsi="Arial" w:cs="Arial"/>
        </w:rPr>
        <w:t xml:space="preserve"> </w:t>
      </w:r>
      <w:r w:rsidRPr="00684715">
        <w:rPr>
          <w:rFonts w:ascii="Arial" w:hAnsi="Arial" w:cs="Arial"/>
        </w:rPr>
        <w:t xml:space="preserve">Briefly, different concentrations of each extract solution were mixed with 100 µL of starch solution and incubated for 10 min. Subsequently, 100 µL of </w:t>
      </w:r>
      <w:r w:rsidRPr="00684715">
        <w:rPr>
          <w:rFonts w:ascii="Arial" w:hAnsi="Arial" w:cs="Arial"/>
          <w:lang w:val="fr-FR"/>
        </w:rPr>
        <w:t>α</w:t>
      </w:r>
      <w:r w:rsidRPr="00684715">
        <w:rPr>
          <w:rFonts w:ascii="Arial" w:hAnsi="Arial" w:cs="Arial"/>
        </w:rPr>
        <w:t>-amylase solution was added, followed by a second incubation of 10 min. Then, 200 µL of DNS (3,5-dinitrosalicylic acid) reagent was added, and the mixture was boiled in a water bath for 5 min. After cooling to room temperature, 2 mL of distilled water was added, and absorbance was measured at 540 nm.</w:t>
      </w:r>
    </w:p>
    <w:p w14:paraId="09A4551C" w14:textId="77777777" w:rsidR="00684715" w:rsidRDefault="00684715" w:rsidP="00684715">
      <w:pPr>
        <w:jc w:val="both"/>
        <w:rPr>
          <w:rFonts w:ascii="Arial" w:hAnsi="Arial" w:cs="Arial"/>
        </w:rPr>
      </w:pPr>
      <w:r w:rsidRPr="00684715">
        <w:rPr>
          <w:rFonts w:ascii="Arial" w:hAnsi="Arial" w:cs="Arial"/>
        </w:rPr>
        <w:t xml:space="preserve">The inhibitory activity against </w:t>
      </w:r>
      <w:r w:rsidRPr="00684715">
        <w:rPr>
          <w:rFonts w:ascii="Arial" w:hAnsi="Arial" w:cs="Arial"/>
          <w:lang w:val="fr-FR"/>
        </w:rPr>
        <w:t>α</w:t>
      </w:r>
      <w:r w:rsidRPr="00684715">
        <w:rPr>
          <w:rFonts w:ascii="Arial" w:hAnsi="Arial" w:cs="Arial"/>
        </w:rPr>
        <w:t>-amylase was expressed as a percentage of inhibition (PI), calculated using the following formula:</w:t>
      </w:r>
    </w:p>
    <w:p w14:paraId="18BAA1A4" w14:textId="3C3A19E5" w:rsidR="00684715" w:rsidRPr="00684715" w:rsidRDefault="00684715" w:rsidP="00684715">
      <w:pPr>
        <w:jc w:val="both"/>
        <w:rPr>
          <w:rFonts w:ascii="Arial" w:hAnsi="Arial" w:cs="Arial"/>
        </w:rPr>
      </w:pPr>
      <m:oMathPara>
        <m:oMath>
          <m:r>
            <w:rPr>
              <w:rFonts w:ascii="Cambria Math" w:hAnsi="Cambria Math"/>
            </w:rPr>
            <m:t>PI</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×100</m:t>
          </m:r>
        </m:oMath>
      </m:oMathPara>
    </w:p>
    <w:p w14:paraId="2D7F1CED" w14:textId="1FE1988D" w:rsidR="00684715" w:rsidRPr="00684715" w:rsidRDefault="00684715" w:rsidP="00684715">
      <w:pPr>
        <w:jc w:val="both"/>
        <w:rPr>
          <w:rFonts w:ascii="Arial" w:hAnsi="Arial" w:cs="Arial"/>
        </w:rPr>
      </w:pPr>
      <w:r w:rsidRPr="00684715">
        <w:rPr>
          <w:rFonts w:ascii="Arial" w:hAnsi="Arial" w:cs="Arial"/>
        </w:rPr>
        <w:t xml:space="preserve">where </w:t>
      </w:r>
      <w:r w:rsidRPr="008326C4">
        <w:rPr>
          <w:rFonts w:ascii="Arial" w:hAnsi="Arial" w:cs="Arial"/>
        </w:rPr>
        <w:t>A</w:t>
      </w:r>
      <w:r w:rsidRPr="008326C4">
        <w:rPr>
          <w:rFonts w:ascii="Arial" w:hAnsi="Arial" w:cs="Arial"/>
          <w:vertAlign w:val="subscript"/>
        </w:rPr>
        <w:t>0</w:t>
      </w:r>
      <w:r w:rsidRPr="00684715">
        <w:rPr>
          <w:rFonts w:ascii="Arial" w:hAnsi="Arial" w:cs="Arial"/>
        </w:rPr>
        <w:t xml:space="preserve"> is the absorbance of the control (</w:t>
      </w:r>
      <w:r w:rsidRPr="00684715">
        <w:rPr>
          <w:rFonts w:ascii="Arial" w:hAnsi="Arial" w:cs="Arial"/>
          <w:lang w:val="fr-FR"/>
        </w:rPr>
        <w:t>α</w:t>
      </w:r>
      <w:r w:rsidRPr="00684715">
        <w:rPr>
          <w:rFonts w:ascii="Arial" w:hAnsi="Arial" w:cs="Arial"/>
        </w:rPr>
        <w:t xml:space="preserve">-amylase without extract) and </w:t>
      </w:r>
      <w:r w:rsidRPr="008326C4">
        <w:rPr>
          <w:rFonts w:ascii="Arial" w:hAnsi="Arial" w:cs="Arial"/>
        </w:rPr>
        <w:t>A</w:t>
      </w:r>
      <w:r w:rsidRPr="008326C4">
        <w:rPr>
          <w:rFonts w:ascii="Arial" w:hAnsi="Arial" w:cs="Arial"/>
          <w:vertAlign w:val="subscript"/>
        </w:rPr>
        <w:t>1</w:t>
      </w:r>
      <w:r w:rsidRPr="00684715">
        <w:rPr>
          <w:rFonts w:ascii="Arial" w:hAnsi="Arial" w:cs="Arial"/>
        </w:rPr>
        <w:t>​ is the absorbance in the presence of the extract.</w:t>
      </w:r>
    </w:p>
    <w:p w14:paraId="00857BB4" w14:textId="5FC8F9A6" w:rsidR="00684715" w:rsidRDefault="00684715" w:rsidP="00684715">
      <w:pPr>
        <w:jc w:val="both"/>
        <w:rPr>
          <w:rFonts w:ascii="Arial" w:hAnsi="Arial" w:cs="Arial"/>
        </w:rPr>
      </w:pPr>
      <w:r w:rsidRPr="00684715">
        <w:rPr>
          <w:rFonts w:ascii="Arial" w:hAnsi="Arial" w:cs="Arial"/>
        </w:rPr>
        <w:t xml:space="preserve">The </w:t>
      </w:r>
      <w:r w:rsidRPr="008326C4">
        <w:rPr>
          <w:rFonts w:ascii="Arial" w:hAnsi="Arial" w:cs="Arial"/>
        </w:rPr>
        <w:t>IC</w:t>
      </w:r>
      <w:r w:rsidRPr="008326C4">
        <w:rPr>
          <w:rFonts w:ascii="Arial" w:hAnsi="Arial" w:cs="Arial"/>
          <w:vertAlign w:val="subscript"/>
        </w:rPr>
        <w:t>50</w:t>
      </w:r>
      <w:r w:rsidRPr="00684715">
        <w:rPr>
          <w:rFonts w:ascii="Arial" w:hAnsi="Arial" w:cs="Arial"/>
        </w:rPr>
        <w:t xml:space="preserve"> values (concentration required to inhibit 50% of </w:t>
      </w:r>
      <w:r w:rsidRPr="00684715">
        <w:rPr>
          <w:rFonts w:ascii="Arial" w:hAnsi="Arial" w:cs="Arial"/>
          <w:lang w:val="fr-FR"/>
        </w:rPr>
        <w:t>α</w:t>
      </w:r>
      <w:r w:rsidRPr="00684715">
        <w:rPr>
          <w:rFonts w:ascii="Arial" w:hAnsi="Arial" w:cs="Arial"/>
        </w:rPr>
        <w:t>-amylase activity) were determined from the linear regression curve obtained by plotting the percentage of inhibition against extract concentration.</w:t>
      </w:r>
    </w:p>
    <w:p w14:paraId="7EDDE176" w14:textId="77777777" w:rsidR="00023AF0" w:rsidRDefault="00023AF0" w:rsidP="00023AF0">
      <w:pPr>
        <w:jc w:val="both"/>
        <w:rPr>
          <w:rFonts w:ascii="Arial" w:hAnsi="Arial" w:cs="Arial"/>
          <w:b/>
          <w:u w:val="single"/>
        </w:rPr>
      </w:pPr>
      <w:r>
        <w:rPr>
          <w:rFonts w:ascii="Arial" w:hAnsi="Arial" w:cs="Arial"/>
          <w:b/>
          <w:u w:val="single"/>
        </w:rPr>
        <w:t xml:space="preserve">2.3.5 </w:t>
      </w:r>
      <w:r w:rsidRPr="00023AF0">
        <w:rPr>
          <w:rFonts w:ascii="Arial" w:hAnsi="Arial" w:cs="Arial"/>
          <w:b/>
          <w:u w:val="single"/>
        </w:rPr>
        <w:t>Data Analysis</w:t>
      </w:r>
    </w:p>
    <w:p w14:paraId="238E89A4" w14:textId="59CF2126" w:rsidR="00684715" w:rsidRPr="00684715" w:rsidRDefault="00023AF0" w:rsidP="00023AF0">
      <w:pPr>
        <w:jc w:val="both"/>
        <w:rPr>
          <w:rFonts w:ascii="Arial" w:hAnsi="Arial" w:cs="Arial"/>
        </w:rPr>
      </w:pPr>
      <w:r w:rsidRPr="00023AF0">
        <w:rPr>
          <w:rFonts w:ascii="Arial" w:hAnsi="Arial" w:cs="Arial"/>
        </w:rPr>
        <w:t>Survey data were processed using Microsoft Excel version 2019. For the statistical analysis of quantitative variables, Minitab version 18.1 was employed. Analysis of variance (ANOVA) was performed to compare mean values of the different variables, and Fisher’s test was applied at a probability threshold of p=0.05.</w:t>
      </w:r>
    </w:p>
    <w:p w14:paraId="6C59E130" w14:textId="77777777" w:rsidR="00684715" w:rsidRPr="00684715" w:rsidRDefault="00684715" w:rsidP="00684715">
      <w:pPr>
        <w:jc w:val="both"/>
        <w:rPr>
          <w:rFonts w:ascii="Arial" w:hAnsi="Arial" w:cs="Arial"/>
        </w:rPr>
      </w:pPr>
    </w:p>
    <w:p w14:paraId="39657D99" w14:textId="77777777" w:rsidR="00902823" w:rsidRDefault="00000F8F" w:rsidP="00D67E19">
      <w:pPr>
        <w:pStyle w:val="Head1"/>
        <w:spacing w:after="0"/>
        <w:jc w:val="both"/>
        <w:outlineLvl w:val="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6EC0B6A" w14:textId="507EE9E5" w:rsidR="00C30A0F" w:rsidRDefault="00C30A0F" w:rsidP="0028304F">
      <w:pPr>
        <w:pStyle w:val="Body"/>
        <w:spacing w:after="0"/>
        <w:outlineLvl w:val="1"/>
        <w:rPr>
          <w:rFonts w:ascii="Arial" w:hAnsi="Arial" w:cs="Arial"/>
        </w:rPr>
      </w:pPr>
      <w:r>
        <w:rPr>
          <w:rFonts w:ascii="Arial" w:hAnsi="Arial" w:cs="Arial"/>
          <w:b/>
          <w:caps/>
          <w:sz w:val="22"/>
        </w:rPr>
        <w:t>3</w:t>
      </w:r>
      <w:r w:rsidRPr="00C30A0F">
        <w:rPr>
          <w:rFonts w:ascii="Arial" w:hAnsi="Arial" w:cs="Arial"/>
          <w:b/>
          <w:caps/>
          <w:sz w:val="22"/>
        </w:rPr>
        <w:t xml:space="preserve">.1 </w:t>
      </w:r>
      <w:r w:rsidR="0028304F" w:rsidRPr="0028304F">
        <w:rPr>
          <w:rFonts w:ascii="Arial" w:hAnsi="Arial" w:cs="Arial"/>
          <w:b/>
          <w:sz w:val="22"/>
        </w:rPr>
        <w:t xml:space="preserve">Domesticated </w:t>
      </w:r>
      <w:r w:rsidR="008F05F1">
        <w:rPr>
          <w:rFonts w:ascii="Arial" w:hAnsi="Arial" w:cs="Arial"/>
          <w:b/>
          <w:sz w:val="22"/>
        </w:rPr>
        <w:t>P</w:t>
      </w:r>
      <w:r w:rsidR="0028304F" w:rsidRPr="0028304F">
        <w:rPr>
          <w:rFonts w:ascii="Arial" w:hAnsi="Arial" w:cs="Arial"/>
          <w:b/>
          <w:sz w:val="22"/>
        </w:rPr>
        <w:t xml:space="preserve">lant </w:t>
      </w:r>
      <w:r w:rsidR="008F05F1">
        <w:rPr>
          <w:rFonts w:ascii="Arial" w:hAnsi="Arial" w:cs="Arial"/>
          <w:b/>
          <w:sz w:val="22"/>
        </w:rPr>
        <w:t xml:space="preserve">Species </w:t>
      </w:r>
      <w:r w:rsidR="0028304F" w:rsidRPr="0028304F">
        <w:rPr>
          <w:rFonts w:ascii="Arial" w:hAnsi="Arial" w:cs="Arial"/>
          <w:b/>
          <w:sz w:val="22"/>
        </w:rPr>
        <w:t>and Their Uses</w:t>
      </w:r>
      <w:r w:rsidRPr="00FB3A86">
        <w:rPr>
          <w:rFonts w:ascii="Arial" w:hAnsi="Arial" w:cs="Arial"/>
        </w:rPr>
        <w:t xml:space="preserve">.  </w:t>
      </w:r>
    </w:p>
    <w:p w14:paraId="1540CBD7" w14:textId="27681E18" w:rsidR="001A7C67" w:rsidRPr="00B3360C" w:rsidRDefault="0028304F" w:rsidP="001A7C67">
      <w:pPr>
        <w:pStyle w:val="Body"/>
        <w:rPr>
          <w:rFonts w:ascii="Arial" w:hAnsi="Arial" w:cs="Arial"/>
        </w:rPr>
      </w:pPr>
      <w:r w:rsidRPr="0028304F">
        <w:rPr>
          <w:rFonts w:ascii="Arial" w:hAnsi="Arial" w:cs="Arial"/>
        </w:rPr>
        <w:t>Our survey was conducted among 101 households, of which 84 practiced plant domestication, while 17 did not.</w:t>
      </w:r>
      <w:r>
        <w:rPr>
          <w:rFonts w:ascii="Arial" w:hAnsi="Arial" w:cs="Arial"/>
        </w:rPr>
        <w:t xml:space="preserve"> </w:t>
      </w:r>
      <w:r w:rsidRPr="0028304F">
        <w:rPr>
          <w:rFonts w:ascii="Arial" w:hAnsi="Arial" w:cs="Arial"/>
        </w:rPr>
        <w:t xml:space="preserve">The different domesticated plants and their citation counts are presented in </w:t>
      </w:r>
      <w:r>
        <w:rPr>
          <w:rFonts w:ascii="Arial" w:hAnsi="Arial" w:cs="Arial"/>
        </w:rPr>
        <w:fldChar w:fldCharType="begin"/>
      </w:r>
      <w:r>
        <w:rPr>
          <w:rFonts w:ascii="Arial" w:hAnsi="Arial" w:cs="Arial"/>
        </w:rPr>
        <w:instrText xml:space="preserve"> REF _Ref207291928 \h </w:instrText>
      </w:r>
      <w:r>
        <w:rPr>
          <w:rFonts w:ascii="Arial" w:hAnsi="Arial" w:cs="Arial"/>
        </w:rPr>
      </w:r>
      <w:r>
        <w:rPr>
          <w:rFonts w:ascii="Arial" w:hAnsi="Arial" w:cs="Arial"/>
        </w:rPr>
        <w:fldChar w:fldCharType="separate"/>
      </w:r>
      <w:r w:rsidRPr="0028304F">
        <w:rPr>
          <w:rFonts w:ascii="Arial" w:hAnsi="Arial"/>
          <w:b/>
          <w:i/>
          <w:iCs/>
        </w:rPr>
        <w:t>Table 1</w:t>
      </w:r>
      <w:r>
        <w:rPr>
          <w:rFonts w:ascii="Arial" w:hAnsi="Arial" w:cs="Arial"/>
        </w:rPr>
        <w:fldChar w:fldCharType="end"/>
      </w:r>
      <w:r w:rsidRPr="0028304F">
        <w:rPr>
          <w:rFonts w:ascii="Arial" w:hAnsi="Arial" w:cs="Arial"/>
        </w:rPr>
        <w:t xml:space="preserve"> below.</w:t>
      </w:r>
      <w:r>
        <w:rPr>
          <w:rFonts w:ascii="Arial" w:hAnsi="Arial" w:cs="Arial"/>
        </w:rPr>
        <w:t xml:space="preserve"> </w:t>
      </w:r>
      <w:r w:rsidRPr="0028304F">
        <w:rPr>
          <w:rFonts w:ascii="Arial" w:hAnsi="Arial" w:cs="Arial"/>
        </w:rPr>
        <w:t xml:space="preserve">The different plants identified belong to a total of 25 major plant families, of which the </w:t>
      </w:r>
      <w:r w:rsidRPr="0028304F">
        <w:rPr>
          <w:rFonts w:ascii="Arial" w:hAnsi="Arial" w:cs="Arial"/>
          <w:i/>
          <w:iCs/>
        </w:rPr>
        <w:t>Anacardiaceae</w:t>
      </w:r>
      <w:r w:rsidRPr="0028304F">
        <w:rPr>
          <w:rFonts w:ascii="Arial" w:hAnsi="Arial" w:cs="Arial"/>
        </w:rPr>
        <w:t xml:space="preserve"> family was the most cited</w:t>
      </w:r>
      <w:r w:rsidR="008F05F1">
        <w:rPr>
          <w:rFonts w:ascii="Arial" w:hAnsi="Arial" w:cs="Arial"/>
        </w:rPr>
        <w:t>, due to the Mango Tree (</w:t>
      </w:r>
      <w:r w:rsidR="008F05F1" w:rsidRPr="008F05F1">
        <w:rPr>
          <w:rFonts w:ascii="Arial" w:hAnsi="Arial" w:cs="Arial"/>
          <w:i/>
          <w:iCs/>
        </w:rPr>
        <w:t>Mangifera indica L</w:t>
      </w:r>
      <w:r w:rsidR="008F05F1">
        <w:rPr>
          <w:rFonts w:ascii="Arial" w:hAnsi="Arial" w:cs="Arial"/>
          <w:i/>
          <w:iCs/>
        </w:rPr>
        <w:t>.</w:t>
      </w:r>
      <w:r w:rsidR="008F05F1">
        <w:rPr>
          <w:rFonts w:ascii="Arial" w:hAnsi="Arial" w:cs="Arial"/>
        </w:rPr>
        <w:t xml:space="preserve">). </w:t>
      </w:r>
      <w:r w:rsidR="008F05F1" w:rsidRPr="008F05F1">
        <w:rPr>
          <w:rFonts w:ascii="Arial" w:hAnsi="Arial" w:cs="Arial"/>
        </w:rPr>
        <w:t>The</w:t>
      </w:r>
      <w:r w:rsidR="008F05F1">
        <w:rPr>
          <w:rFonts w:ascii="Arial" w:hAnsi="Arial" w:cs="Arial"/>
        </w:rPr>
        <w:t xml:space="preserve"> </w:t>
      </w:r>
      <w:r w:rsidR="008F05F1" w:rsidRPr="0028304F">
        <w:rPr>
          <w:rFonts w:ascii="Arial" w:hAnsi="Arial" w:cs="Arial"/>
          <w:i/>
          <w:iCs/>
        </w:rPr>
        <w:t>Anacardiaceae</w:t>
      </w:r>
      <w:r w:rsidR="008F05F1" w:rsidRPr="008F05F1">
        <w:rPr>
          <w:rFonts w:ascii="Arial" w:hAnsi="Arial" w:cs="Arial"/>
        </w:rPr>
        <w:t xml:space="preserve"> family is known to contain a variety of bioactive compounds, such as flavonoids, tannins, and phenolic acids, which have demonstrated therapeutic properties</w:t>
      </w:r>
      <w:r w:rsidR="008F05F1">
        <w:rPr>
          <w:rFonts w:ascii="Arial" w:hAnsi="Arial" w:cs="Arial"/>
        </w:rPr>
        <w:t xml:space="preserve"> </w:t>
      </w:r>
      <w:r w:rsidR="008F05F1">
        <w:rPr>
          <w:rFonts w:ascii="Arial" w:hAnsi="Arial" w:cs="Arial"/>
        </w:rPr>
        <w:fldChar w:fldCharType="begin" w:fldLock="1"/>
      </w:r>
      <w:r w:rsidR="00261A37">
        <w:rPr>
          <w:rFonts w:ascii="Arial" w:hAnsi="Arial" w:cs="Arial"/>
        </w:rPr>
        <w:instrText>ADDIN CSL_CITATION {"citationItems":[{"id":"ITEM-1","itemData":{"DOI":"10.3390/antiox10020299","ISBN":"2076-3921","abstract":"Mangifera indica L. belongs to the family of Anacardiaceae and is an important fruit from South and Southeast Asia. India, China, Thailand, Indonesia, Pakistan, Mexico, Brazil, Bangladesh, Nigeria, and the Philippines are among the top mango producer countries. Leaves of the mango plant have been studied for their health benefits, which are attributed to a plethora of phytochemicals such as mangiferin, followed by phenolic acids, benzophenones, and other antioxidants such as flavonoids, ascorbic acid, carotenoids, and tocopherols. The extracts from mango leaves (MLs) have been studied for their biological activities, including anti-cancer, anti-diabetic, anti-oxidant, anti-microbial, anti-obesity, lipid-lowering, hepato-protection, and anti-diarrheal. In the present review, we have elaborated on the nutritional and phytochemical profile of the MLs. Further, various bioactivities of the ML extracts are also critically discussed. Considering the phytochemical profile and beneficial effects of the MLs, they can be used as a potential ingredient for the development of functional foods and pharmaceutical drugs. However, more detailed clinical trials still needed to be conducted for establishing the actual efficacy of the ML extracts.","author":[{"dropping-particle":"","family":"Kumar","given":"Manoj","non-dropping-particle":"","parse-names":false,"suffix":""},{"dropping-particle":"","family":"Saurabh","given":"Vivek","non-dropping-particle":"","parse-names":false,"suffix":""},{"dropping-particle":"","family":"Tomar","given":"Maharishi","non-dropping-particle":"","parse-names":false,"suffix":""},{"dropping-particle":"","family":"Hasan","given":"Muzaffar","non-dropping-particle":"","parse-names":false,"suffix":""},{"dropping-particle":"","family":"Changan","given":"Sushil","non-dropping-particle":"","parse-names":false,"suffix":""},{"dropping-particle":"","family":"Sasi","given":"Minnu","non-dropping-particle":"","parse-names":false,"suffix":""},{"dropping-particle":"","family":"Maheshwari","given":"Chirag","non-dropping-particle":"","parse-names":false,"suffix":""},{"dropping-particle":"","family":"Prajapati","given":"Uma","non-dropping-particle":"","parse-names":false,"suffix":""},{"dropping-particle":"","family":"Singh","given":"Surinder","non-dropping-particle":"","parse-names":false,"suffix":""},{"dropping-particle":"","family":"Prajapat","given":"Rakesh K","non-dropping-particle":"","parse-names":false,"suffix":""},{"dropping-particle":"","family":"Dhumal","given":"Sangram","non-dropping-particle":"","parse-names":false,"suffix":""},{"dropping-particle":"","family":"Punia","given":"Sneh","non-dropping-particle":"","parse-names":false,"suffix":""},{"dropping-particle":"","family":"Amarowicz","given":"Ryszard","non-dropping-particle":"","parse-names":false,"suffix":""},{"dropping-particle":"","family":"Mekhemar","given":"Mohamed","non-dropping-particle":"","parse-names":false,"suffix":""}],"container-title":"Antioxidants","id":"ITEM-1","issue":"2","issued":{"date-parts":[["2021"]]},"title":"Mango (Mangifera indica L.) Leaves: Nutritional Composition, Phytochemical Profile, and Health-Promoting Bioactivities","type":"article","volume":"10"},"uris":["http://www.mendeley.com/documents/?uuid=93bd6559-9d53-4ae8-a829-f9e2b6dc78fa"]},{"id":"ITEM-2","itemData":{"DOI":"10.3892/ijfn.2025.46","ISSN":"2634-7989 2634-7237","abstract":"Mango (&lt;em&gt;Mangifera indica L.&lt;/em&gt;), a member of the Anacardiaceae family, is one of the most economically significant tropical fruit crops worldwide. Both mango leaves and bark have been traditionally used for their medicinal properties. Locally, individuals tend to combine different parts of medicinal plants in an attempt to increase their therapeutic potency; however, the adverse effects of such combinations are mostly unreported. The present study investigated the biochemical activities and phytoconstituents of ethanol extracts from the leaves and bark of &lt;em&gt;Mangifera indica&lt;/em&gt; individually and in combination. The antioxidant properties of these extracts were evaluated using various assays, including 2,2</w:instrText>
      </w:r>
      <w:r w:rsidR="00261A37">
        <w:rPr>
          <w:rFonts w:ascii="Cambria Math" w:hAnsi="Cambria Math" w:cs="Cambria Math"/>
        </w:rPr>
        <w:instrText>‑</w:instrText>
      </w:r>
      <w:r w:rsidR="00261A37">
        <w:rPr>
          <w:rFonts w:ascii="Arial" w:hAnsi="Arial" w:cs="Arial"/>
        </w:rPr>
        <w:instrText>diphenyl</w:instrText>
      </w:r>
      <w:r w:rsidR="00261A37">
        <w:rPr>
          <w:rFonts w:ascii="Cambria Math" w:hAnsi="Cambria Math" w:cs="Cambria Math"/>
        </w:rPr>
        <w:instrText>‑</w:instrText>
      </w:r>
      <w:r w:rsidR="00261A37">
        <w:rPr>
          <w:rFonts w:ascii="Arial" w:hAnsi="Arial" w:cs="Arial"/>
        </w:rPr>
        <w:instrText>l</w:instrText>
      </w:r>
      <w:r w:rsidR="00261A37">
        <w:rPr>
          <w:rFonts w:ascii="Cambria Math" w:hAnsi="Cambria Math" w:cs="Cambria Math"/>
        </w:rPr>
        <w:instrText>‑</w:instrText>
      </w:r>
      <w:r w:rsidR="00261A37">
        <w:rPr>
          <w:rFonts w:ascii="Arial" w:hAnsi="Arial" w:cs="Arial"/>
        </w:rPr>
        <w:instrText>picrylhydrazyl, 2,2'</w:instrText>
      </w:r>
      <w:r w:rsidR="00261A37">
        <w:rPr>
          <w:rFonts w:ascii="Cambria Math" w:hAnsi="Cambria Math" w:cs="Cambria Math"/>
        </w:rPr>
        <w:instrText>‑</w:instrText>
      </w:r>
      <w:r w:rsidR="00261A37">
        <w:rPr>
          <w:rFonts w:ascii="Arial" w:hAnsi="Arial" w:cs="Arial"/>
        </w:rPr>
        <w:instrText>azinobis(3</w:instrText>
      </w:r>
      <w:r w:rsidR="00261A37">
        <w:rPr>
          <w:rFonts w:ascii="Cambria Math" w:hAnsi="Cambria Math" w:cs="Cambria Math"/>
        </w:rPr>
        <w:instrText>‑</w:instrText>
      </w:r>
      <w:r w:rsidR="00261A37">
        <w:rPr>
          <w:rFonts w:ascii="Arial" w:hAnsi="Arial" w:cs="Arial"/>
        </w:rPr>
        <w:instrText>ethylbenzothiazoline</w:instrText>
      </w:r>
      <w:r w:rsidR="00261A37">
        <w:rPr>
          <w:rFonts w:ascii="Cambria Math" w:hAnsi="Cambria Math" w:cs="Cambria Math"/>
        </w:rPr>
        <w:instrText>‑</w:instrText>
      </w:r>
      <w:r w:rsidR="00261A37">
        <w:rPr>
          <w:rFonts w:ascii="Arial" w:hAnsi="Arial" w:cs="Arial"/>
        </w:rPr>
        <w:instrText>6</w:instrText>
      </w:r>
      <w:r w:rsidR="00261A37">
        <w:rPr>
          <w:rFonts w:ascii="Cambria Math" w:hAnsi="Cambria Math" w:cs="Cambria Math"/>
        </w:rPr>
        <w:instrText>‑</w:instrText>
      </w:r>
      <w:r w:rsidR="00261A37">
        <w:rPr>
          <w:rFonts w:ascii="Arial" w:hAnsi="Arial" w:cs="Arial"/>
        </w:rPr>
        <w:instrText>sulphonic acid radical scavenging assays, ferric reducing antioxidant power assay and total antioxidant activity assay along with the analysis of total phenolic and flavonoid contents. The anti</w:instrText>
      </w:r>
      <w:r w:rsidR="00261A37">
        <w:rPr>
          <w:rFonts w:ascii="Cambria Math" w:hAnsi="Cambria Math" w:cs="Cambria Math"/>
        </w:rPr>
        <w:instrText>‑</w:instrText>
      </w:r>
      <w:r w:rsidR="00261A37">
        <w:rPr>
          <w:rFonts w:ascii="Arial" w:hAnsi="Arial" w:cs="Arial"/>
        </w:rPr>
        <w:instrText>diabetic activity was evaluated through &lt;em&gt;in vitro&lt;/em&gt; assays of &amp;alpha;</w:instrText>
      </w:r>
      <w:r w:rsidR="00261A37">
        <w:rPr>
          <w:rFonts w:ascii="Cambria Math" w:hAnsi="Cambria Math" w:cs="Cambria Math"/>
        </w:rPr>
        <w:instrText>‑</w:instrText>
      </w:r>
      <w:r w:rsidR="00261A37">
        <w:rPr>
          <w:rFonts w:ascii="Arial" w:hAnsi="Arial" w:cs="Arial"/>
        </w:rPr>
        <w:instrText>glucosidase and &amp;alpha;</w:instrText>
      </w:r>
      <w:r w:rsidR="00261A37">
        <w:rPr>
          <w:rFonts w:ascii="Cambria Math" w:hAnsi="Cambria Math" w:cs="Cambria Math"/>
        </w:rPr>
        <w:instrText>‑</w:instrText>
      </w:r>
      <w:r w:rsidR="00261A37">
        <w:rPr>
          <w:rFonts w:ascii="Arial" w:hAnsi="Arial" w:cs="Arial"/>
        </w:rPr>
        <w:instrText>amylase inhibition and antifungal properties were assessed against the fungal pathogen, &lt;em&gt;Fusarium solani&lt;/em&gt;. Gas chromatography</w:instrText>
      </w:r>
      <w:r w:rsidR="00261A37">
        <w:rPr>
          <w:rFonts w:ascii="Cambria Math" w:hAnsi="Cambria Math" w:cs="Cambria Math"/>
        </w:rPr>
        <w:instrText>‑</w:instrText>
      </w:r>
      <w:r w:rsidR="00261A37">
        <w:rPr>
          <w:rFonts w:ascii="Arial" w:hAnsi="Arial" w:cs="Arial"/>
        </w:rPr>
        <w:instrText>mass spectrometry analysis revealed numerous bioactive compounds, such as phenols, sesquiterpenes, terpenoids, fatty acids and esters. The results demonstrated marked antioxidant, anti</w:instrText>
      </w:r>
      <w:r w:rsidR="00261A37">
        <w:rPr>
          <w:rFonts w:ascii="Cambria Math" w:hAnsi="Cambria Math" w:cs="Cambria Math"/>
        </w:rPr>
        <w:instrText>‑</w:instrText>
      </w:r>
      <w:r w:rsidR="00261A37">
        <w:rPr>
          <w:rFonts w:ascii="Arial" w:hAnsi="Arial" w:cs="Arial"/>
        </w:rPr>
        <w:instrText>diabetic and antifungal activities which were highest in the bark extract. However, combining the bark with leaf extract of &lt;em&gt;Mangifera indica&lt;/em&gt; was antagonistic as the biochemical activities were significantly reduced.","author":[{"dropping-particle":"","family":"Karigidi Esther","given":"Mojisola","non-dropping-particle":"","parse-names":false,"suffix":""},{"dropping-particle":"","family":"Fakunle Ewaoluwa","given":"Oluwalonimi","non-dropping-particle":"","parse-names":false,"suffix":""},{"dropping-particle":"","family":"Karigidi Olayele","given":"Kayode","non-dropping-particle":"","parse-names":false,"suffix":""}],"container-title":"Int J Funct Nutr","id":"ITEM-2","issue":"1","issued":{"date-parts":[["2025"]]},"page":"5","publisher-place":"Department of Biological Sciences (Biochemistry Programme), KolaDaisi University, Ibadan, Onidundun 200138, Oyo State, Nigeria Department of Chemical Sciences, Olusegun Agagu University of Science and Technology, Okitipupa 350105, Ondo State, Nigeria","title":"Antioxidant, antidiabetic and antifungal activities of leaf and bark ethanol extracts of &lt;em&gt;Mangifera indica&lt;/em&gt; and their antagonistic biochemical effects","type":"article-journal","volume":"6"},"uris":["http://www.mendeley.com/documents/?uuid=e5799264-6fa6-4c20-9027-069bbe24b7af"]},{"id":"ITEM-3","itemData":{"DOI":"10.51847/zpFCZqyBFX","ISSN":"0974-2328","abstract":"Anacardium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Technol","id":"ITEM-3","issue":"3","issued":{"date-parts":[["2024"]]},"page":"15-24","title":"Antioxidant and Antidiabetic Potential of Extracts from Anacardium occidentale and Sclerocarya birrea","type":"article-journal","volume":"15"},"uris":["http://www.mendeley.com/documents/?uuid=6882b7af-b6e1-35f4-ac02-4378b081c01c"]}],"mendeley":{"formattedCitation":"[21–23]","plainTextFormattedCitation":"[21–23]","previouslyFormattedCitation":"[21–23]"},"properties":{"noteIndex":0},"schema":"https://github.com/citation-style-language/schema/raw/master/csl-citation.json"}</w:instrText>
      </w:r>
      <w:r w:rsidR="008F05F1">
        <w:rPr>
          <w:rFonts w:ascii="Arial" w:hAnsi="Arial" w:cs="Arial"/>
        </w:rPr>
        <w:fldChar w:fldCharType="separate"/>
      </w:r>
      <w:r w:rsidR="008510D8" w:rsidRPr="008510D8">
        <w:rPr>
          <w:rFonts w:ascii="Arial" w:hAnsi="Arial" w:cs="Arial"/>
          <w:noProof/>
        </w:rPr>
        <w:t>[21–23]</w:t>
      </w:r>
      <w:r w:rsidR="008F05F1">
        <w:rPr>
          <w:rFonts w:ascii="Arial" w:hAnsi="Arial" w:cs="Arial"/>
        </w:rPr>
        <w:fldChar w:fldCharType="end"/>
      </w:r>
      <w:r w:rsidR="008F05F1" w:rsidRPr="008510D8">
        <w:rPr>
          <w:rFonts w:ascii="Arial" w:hAnsi="Arial" w:cs="Arial"/>
        </w:rPr>
        <w:t xml:space="preserve">. </w:t>
      </w:r>
      <w:r w:rsidR="00B3360C">
        <w:rPr>
          <w:rFonts w:ascii="Arial" w:hAnsi="Arial" w:cs="Arial"/>
        </w:rPr>
        <w:t>In addition, the</w:t>
      </w:r>
      <w:r w:rsidR="00DC15F1" w:rsidRPr="00DC15F1">
        <w:rPr>
          <w:rFonts w:ascii="Arial" w:hAnsi="Arial" w:cs="Arial"/>
        </w:rPr>
        <w:t xml:space="preserve"> survey revealed that leaves </w:t>
      </w:r>
      <w:r w:rsidR="00DC15F1" w:rsidRPr="00366D7D">
        <w:rPr>
          <w:rFonts w:ascii="Arial" w:hAnsi="Arial" w:cs="Arial"/>
        </w:rPr>
        <w:t xml:space="preserve">were the most </w:t>
      </w:r>
      <w:r w:rsidR="00DC15F1" w:rsidRPr="00DC15F1">
        <w:rPr>
          <w:rFonts w:ascii="Arial" w:hAnsi="Arial" w:cs="Arial"/>
        </w:rPr>
        <w:t xml:space="preserve">frequently cited part, accounting for </w:t>
      </w:r>
      <w:r w:rsidR="00DC15F1" w:rsidRPr="00DC15F1">
        <w:rPr>
          <w:rFonts w:ascii="Arial" w:hAnsi="Arial" w:cs="Arial"/>
          <w:b/>
          <w:bCs/>
        </w:rPr>
        <w:t>50.4%</w:t>
      </w:r>
      <w:r w:rsidR="00B3360C">
        <w:rPr>
          <w:rFonts w:ascii="Arial" w:hAnsi="Arial" w:cs="Arial"/>
        </w:rPr>
        <w:t>, mainly by decoction</w:t>
      </w:r>
      <w:r w:rsidR="00DC15F1" w:rsidRPr="00DC15F1">
        <w:rPr>
          <w:rFonts w:ascii="Arial" w:hAnsi="Arial" w:cs="Arial"/>
        </w:rPr>
        <w:t xml:space="preserve">. This was followed by barks at </w:t>
      </w:r>
      <w:r w:rsidR="00DC15F1" w:rsidRPr="00DC15F1">
        <w:rPr>
          <w:rFonts w:ascii="Arial" w:hAnsi="Arial" w:cs="Arial"/>
          <w:b/>
          <w:bCs/>
        </w:rPr>
        <w:t>27.2%</w:t>
      </w:r>
      <w:r w:rsidR="00DC15F1" w:rsidRPr="00DC15F1">
        <w:rPr>
          <w:rFonts w:ascii="Arial" w:hAnsi="Arial" w:cs="Arial"/>
        </w:rPr>
        <w:t xml:space="preserve">. Seeds and fruits were also commonly cited at </w:t>
      </w:r>
      <w:r w:rsidR="00DC15F1" w:rsidRPr="00DC15F1">
        <w:rPr>
          <w:rFonts w:ascii="Arial" w:hAnsi="Arial" w:cs="Arial"/>
          <w:b/>
          <w:bCs/>
        </w:rPr>
        <w:t>12.8%</w:t>
      </w:r>
      <w:r w:rsidR="00DC15F1" w:rsidRPr="00DC15F1">
        <w:rPr>
          <w:rFonts w:ascii="Arial" w:hAnsi="Arial" w:cs="Arial"/>
        </w:rPr>
        <w:t xml:space="preserve">, while roots represented only </w:t>
      </w:r>
      <w:r w:rsidR="00DC15F1" w:rsidRPr="00DC15F1">
        <w:rPr>
          <w:rFonts w:ascii="Arial" w:hAnsi="Arial" w:cs="Arial"/>
          <w:b/>
          <w:bCs/>
        </w:rPr>
        <w:t>7.2%</w:t>
      </w:r>
      <w:r w:rsidR="00DC15F1" w:rsidRPr="00DC15F1">
        <w:rPr>
          <w:rFonts w:ascii="Arial" w:hAnsi="Arial" w:cs="Arial"/>
        </w:rPr>
        <w:t>.</w:t>
      </w:r>
      <w:r w:rsidR="00DC15F1">
        <w:rPr>
          <w:rFonts w:ascii="Arial" w:hAnsi="Arial" w:cs="Arial"/>
        </w:rPr>
        <w:t xml:space="preserve"> </w:t>
      </w:r>
      <w:r w:rsidR="00DC15F1" w:rsidRPr="00DC15F1">
        <w:rPr>
          <w:rFonts w:ascii="Arial" w:hAnsi="Arial" w:cs="Arial"/>
        </w:rPr>
        <w:t xml:space="preserve">This high frequency of </w:t>
      </w:r>
      <w:r w:rsidR="00DC15F1">
        <w:rPr>
          <w:rFonts w:ascii="Arial" w:hAnsi="Arial" w:cs="Arial"/>
        </w:rPr>
        <w:t>leave</w:t>
      </w:r>
      <w:r w:rsidR="00407476">
        <w:rPr>
          <w:rFonts w:ascii="Arial" w:hAnsi="Arial" w:cs="Arial"/>
        </w:rPr>
        <w:t xml:space="preserve">s </w:t>
      </w:r>
      <w:r w:rsidR="00DC15F1" w:rsidRPr="00DC15F1">
        <w:rPr>
          <w:rFonts w:ascii="Arial" w:hAnsi="Arial" w:cs="Arial"/>
        </w:rPr>
        <w:t>us</w:t>
      </w:r>
      <w:r w:rsidR="00407476">
        <w:rPr>
          <w:rFonts w:ascii="Arial" w:hAnsi="Arial" w:cs="Arial"/>
        </w:rPr>
        <w:t>age</w:t>
      </w:r>
      <w:r w:rsidR="00DC15F1" w:rsidRPr="00DC15F1">
        <w:rPr>
          <w:rFonts w:ascii="Arial" w:hAnsi="Arial" w:cs="Arial"/>
        </w:rPr>
        <w:t xml:space="preserve"> can be attributed to the ease of access and collection of leaves, their renewability throughout the year, and their established richness in secondary metabolites and bioactive compounds</w:t>
      </w:r>
      <w:r w:rsidR="00407476">
        <w:rPr>
          <w:rFonts w:ascii="Arial" w:hAnsi="Arial" w:cs="Arial"/>
        </w:rPr>
        <w:t xml:space="preserve"> </w:t>
      </w:r>
      <w:r w:rsidR="00407476">
        <w:rPr>
          <w:rFonts w:ascii="Arial" w:hAnsi="Arial" w:cs="Arial"/>
        </w:rPr>
        <w:fldChar w:fldCharType="begin" w:fldLock="1"/>
      </w:r>
      <w:r w:rsidR="00261A37">
        <w:rPr>
          <w:rFonts w:ascii="Arial" w:hAnsi="Arial" w:cs="Arial"/>
        </w:rPr>
        <w:instrText>ADDIN CSL_CITATION {"citationItems":[{"id":"ITEM-1","itemData":{"DOI":"10.9734/arrb/2019/v33i230115","abstract":"Aims: The purpose of this study was to evaluate the in vitro antioxidant activities of Datura innoxia Mill. leaves and seeds harvested in Mali.\r Place and Duration of Study: Collection of plant materials were done at Kolondieba (Mali) in june 2016. Evaluation of polyphenols and flavonoids contents, determination of antioxidant activities were done at Laboratory of Plant and Food Biochemistry and Biotechnology of University of Sciences, Techniques and Technologies of Bamako (Mali) between august 2016 and March 2017.\r Methodology: The leaves and seeds were collected in Kolondieba, Mali. The phytochemical screening based on the standard methods of tube reactions has been performed with ethanol extracts. The quantitative estimation of total polyphenols was made by the Folin-Ciocalteu method and that of flavonoids by the use of aluminum trichloride. The in vitro antioxidant activities of the ethanol extracts was determined by three methods: the 1,1- diphenyl - 2- picrylhydrazyl (DPPH) test, the ferric reducing ability power (FRAP) test and the Phosphomolybdate test (PPM).\r Results: The phytochemical screening revealed that leaves and seeds of this plant contains alkaloids, polyphenols, flavonoids, coumarins, tannins, triterpenes and saponin. Phenolic contents of ethanol extracts are 30.97 ± 0.33 mg equivalent gallic acid / g in leaves and 14.02 ± 0.15 mg equivalent gallic acid / g in seeds; those of flavonoids are 15.13 ± 0.2 mg equivalent of quercetin / g in the leaves and 4.93 ± 0.41 mg equivalent of quercetin / g in the seeds. The three tests showed that the leaves have a higher level of antiradical activity in vitro than seeds.\r Conclusion: The results of this work showed that Datura innoxia Mill. has a good antioxidant activity which would justify its use as a potential source of natural antioxidants.","author":[{"dropping-particle":"","family":"Togola","given":"Issiaka","non-dropping-particle":"","parse-names":false,"suffix":""},{"dropping-particle":"","family":"Dembélé","given":"Abdramane Ansoumany","non-dropping-particle":"","parse-names":false,"suffix":""},{"dropping-particle":"","family":"Tounkara","given":"Fatoumata","non-dropping-particle":"","parse-names":false,"suffix":""},{"dropping-particle":"","family":"Diarra","given":"Nouhoum","non-dropping-particle":"","parse-names":false,"suffix":""},{"dropping-particle":"","family":"Konaré","given":"Mamadou Abdoulaye","non-dropping-particle":"","parse-names":false,"suffix":""},{"dropping-particle":"","family":"Karembé","given":"Moussa","non-dropping-particle":"","parse-names":false,"suffix":""},{"dropping-particle":"","family":"Maïga","given":"Seydou Zibba","non-dropping-particle":"","parse-names":false,"suffix":""},{"dropping-particle":"","family":"Dembélé","given":"Doulaye","non-dropping-particle":"","parse-names":false,"suffix":""}],"container-title":"Annual Research &amp; Review in Biology","id":"ITEM-1","issued":{"date-parts":[["2019"]]},"title":"Evaluation of in vitro Antioxidant Activities of Ethanol Extracts of Datura innoxia Mill. Leaves and Seeds Harvested in Mali","type":"article-journal"},"uris":["http://www.mendeley.com/documents/?uuid=cef24e2d-edbb-30af-a993-b129312fc244"]},{"id":"ITEM-2","itemData":{"DOI":"10.51847/zpFCZqyBFX","ISSN":"0974-2328","abstract":"Anacardium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Technol","id":"ITEM-2","issue":"3","issued":{"date-parts":[["2024"]]},"page":"15-24","title":"Antioxidant and Antidiabetic Potential of Extracts from Anacardium occidentale and Sclerocarya birrea","type":"article-journal","volume":"15"},"uris":["http://www.mendeley.com/documents/?uuid=6882b7af-b6e1-35f4-ac02-4378b081c01c"]},{"id":"ITEM-3","itemData":{"DOI":"10.5296/jfs.v11i1.20464","abstract":"The baobab (Adansonia digitata) occupies an important place in the diet of local populations in Mali. This work aimed to conduct an ethnobotanical survey in two regions of Mali: Ségou (municipality of Cinzana) and Mopti (municipalities of Bankass and Kopropin) in order to determine the forms of use of baobab organs. The survey was conducted using a semi-structured questionnaire and direct interviews. The results showed that all parts of the baobab were used, with the leaves (100%) and the fruit pulp (98.30%) as the most consumed. In addition, the barks (68.30%), the branches, and the trunks (60%) were also widely used for socio-economic and therapeutic needs. All the edible organs were consumed in the sauce. The pulp was mainly consumed in the form of cream (96.70%), porridge (43.30%), and juice and syrup (10%). Despite their nutritional values, the seeds were little used (8.30%) and transformed into soap, oil \"soumbala\" and \"datou\" (forms of local spices). The taste (30-66.70%) and the color (1.70-38.30%) were the main criteria used to assess the quality of edible organs. The sun drying (100%) was the main method of preservation. Due to the bad storage conditions, the populations are facing problems of termite and worm infestation (20%). These results indicate the need to develop improved technologies to better preserve the nutritional quality of baobab products.","author":[{"dropping-particle":"","family":"Guindo","given":"Fanta","non-dropping-particle":"","parse-names":false,"suffix":""},{"dropping-particle":"","family":"Konaré","given":"Mamadou Abdoulaye","non-dropping-particle":"","parse-names":false,"suffix":""},{"dropping-particle":"","family":"Daou","given":"Cheickna","non-dropping-particle":"","parse-names":false,"suffix":""},{"dropping-particle":"","family":"Cissé","given":"Fatimata","non-dropping-particle":"","parse-names":false,"suffix":""}],"container-title":"Journal of Food Studies","id":"ITEM-3","issue":"1","issued":{"date-parts":[["2022"]]},"title":"Inventory of Local Practices of Use and Conservation of Baobab Products in Two Regions of Mali","type":"article-journal","volume":"11"},"uris":["http://www.mendeley.com/documents/?uuid=f77a46bb-c811-358b-9d52-0990ac3c6521"]}],"mendeley":{"formattedCitation":"[21, 24, 25]","plainTextFormattedCitation":"[21, 24, 25]","previouslyFormattedCitation":"[21, 24, 25]"},"properties":{"noteIndex":0},"schema":"https://github.com/citation-style-language/schema/raw/master/csl-citation.json"}</w:instrText>
      </w:r>
      <w:r w:rsidR="00407476">
        <w:rPr>
          <w:rFonts w:ascii="Arial" w:hAnsi="Arial" w:cs="Arial"/>
        </w:rPr>
        <w:fldChar w:fldCharType="separate"/>
      </w:r>
      <w:r w:rsidR="008510D8" w:rsidRPr="008510D8">
        <w:rPr>
          <w:rFonts w:ascii="Arial" w:hAnsi="Arial" w:cs="Arial"/>
          <w:noProof/>
        </w:rPr>
        <w:t>[21, 24, 25]</w:t>
      </w:r>
      <w:r w:rsidR="00407476">
        <w:rPr>
          <w:rFonts w:ascii="Arial" w:hAnsi="Arial" w:cs="Arial"/>
        </w:rPr>
        <w:fldChar w:fldCharType="end"/>
      </w:r>
      <w:r w:rsidR="00DC15F1" w:rsidRPr="008510D8">
        <w:rPr>
          <w:rFonts w:ascii="Arial" w:hAnsi="Arial" w:cs="Arial"/>
        </w:rPr>
        <w:t>.</w:t>
      </w:r>
      <w:r w:rsidR="001A7C67" w:rsidRPr="008510D8">
        <w:rPr>
          <w:rFonts w:ascii="Arial" w:hAnsi="Arial" w:cs="Arial"/>
        </w:rPr>
        <w:t xml:space="preserve"> </w:t>
      </w:r>
      <w:r w:rsidR="001A7C67" w:rsidRPr="001A7C67">
        <w:rPr>
          <w:rFonts w:ascii="Arial" w:hAnsi="Arial" w:cs="Arial"/>
        </w:rPr>
        <w:t>The domesticated plants are also used for their therapeutic properties. Our survey revealed that these plants are primarily used to treat malaria (50 citations), followed by diabetes (24 citations) and hypertension (14 citations)</w:t>
      </w:r>
      <w:r w:rsidR="001A7C67">
        <w:rPr>
          <w:rFonts w:ascii="Arial" w:hAnsi="Arial" w:cs="Arial"/>
        </w:rPr>
        <w:t>.</w:t>
      </w:r>
    </w:p>
    <w:p w14:paraId="3973D524" w14:textId="71D8C0E8" w:rsidR="00DC15F1" w:rsidRPr="00DC15F1" w:rsidRDefault="00DC15F1" w:rsidP="00DC15F1">
      <w:pPr>
        <w:pStyle w:val="Body"/>
        <w:rPr>
          <w:rFonts w:ascii="Arial" w:hAnsi="Arial" w:cs="Arial"/>
        </w:rPr>
      </w:pPr>
    </w:p>
    <w:p w14:paraId="24FB99DC" w14:textId="50D31D64" w:rsidR="00B01FCD" w:rsidRDefault="00B01FCD" w:rsidP="00441B6F">
      <w:pPr>
        <w:pStyle w:val="Body"/>
        <w:spacing w:after="0"/>
        <w:rPr>
          <w:rFonts w:ascii="Arial" w:hAnsi="Arial" w:cs="Arial"/>
        </w:rPr>
      </w:pPr>
    </w:p>
    <w:p w14:paraId="05BC973A" w14:textId="77777777" w:rsidR="0028304F" w:rsidRDefault="0028304F" w:rsidP="00441B6F">
      <w:pPr>
        <w:pStyle w:val="Body"/>
        <w:spacing w:after="0"/>
        <w:rPr>
          <w:rFonts w:ascii="Arial" w:hAnsi="Arial" w:cs="Arial"/>
        </w:rPr>
        <w:sectPr w:rsidR="0028304F" w:rsidSect="00A028F8">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634A620A" w14:textId="69BDC603" w:rsidR="00790ADA" w:rsidRPr="0028304F" w:rsidRDefault="0028304F" w:rsidP="0028304F">
      <w:pPr>
        <w:pStyle w:val="Caption"/>
        <w:rPr>
          <w:rFonts w:ascii="Arial" w:hAnsi="Arial"/>
          <w:b/>
          <w:i w:val="0"/>
          <w:iCs w:val="0"/>
          <w:color w:val="auto"/>
          <w:sz w:val="20"/>
          <w:szCs w:val="20"/>
        </w:rPr>
      </w:pPr>
      <w:bookmarkStart w:id="3" w:name="_Ref207291928"/>
      <w:r w:rsidRPr="0028304F">
        <w:rPr>
          <w:rFonts w:ascii="Arial" w:hAnsi="Arial"/>
          <w:b/>
          <w:i w:val="0"/>
          <w:iCs w:val="0"/>
          <w:color w:val="auto"/>
          <w:sz w:val="20"/>
          <w:szCs w:val="20"/>
        </w:rPr>
        <w:lastRenderedPageBreak/>
        <w:t xml:space="preserve">Table </w:t>
      </w:r>
      <w:r w:rsidRPr="0028304F">
        <w:rPr>
          <w:rFonts w:ascii="Arial" w:hAnsi="Arial"/>
          <w:b/>
          <w:i w:val="0"/>
          <w:iCs w:val="0"/>
          <w:color w:val="auto"/>
          <w:sz w:val="20"/>
          <w:szCs w:val="20"/>
        </w:rPr>
        <w:fldChar w:fldCharType="begin"/>
      </w:r>
      <w:r w:rsidRPr="0028304F">
        <w:rPr>
          <w:rFonts w:ascii="Arial" w:hAnsi="Arial"/>
          <w:b/>
          <w:i w:val="0"/>
          <w:iCs w:val="0"/>
          <w:color w:val="auto"/>
          <w:sz w:val="20"/>
          <w:szCs w:val="20"/>
        </w:rPr>
        <w:instrText xml:space="preserve"> SEQ Table \* ARABIC </w:instrText>
      </w:r>
      <w:r w:rsidRPr="0028304F">
        <w:rPr>
          <w:rFonts w:ascii="Arial" w:hAnsi="Arial"/>
          <w:b/>
          <w:i w:val="0"/>
          <w:iCs w:val="0"/>
          <w:color w:val="auto"/>
          <w:sz w:val="20"/>
          <w:szCs w:val="20"/>
        </w:rPr>
        <w:fldChar w:fldCharType="separate"/>
      </w:r>
      <w:r w:rsidR="00491D86">
        <w:rPr>
          <w:rFonts w:ascii="Arial" w:hAnsi="Arial"/>
          <w:b/>
          <w:i w:val="0"/>
          <w:iCs w:val="0"/>
          <w:noProof/>
          <w:color w:val="auto"/>
          <w:sz w:val="20"/>
          <w:szCs w:val="20"/>
        </w:rPr>
        <w:t>1</w:t>
      </w:r>
      <w:r w:rsidRPr="0028304F">
        <w:rPr>
          <w:rFonts w:ascii="Arial" w:hAnsi="Arial"/>
          <w:b/>
          <w:i w:val="0"/>
          <w:iCs w:val="0"/>
          <w:color w:val="auto"/>
          <w:sz w:val="20"/>
          <w:szCs w:val="20"/>
        </w:rPr>
        <w:fldChar w:fldCharType="end"/>
      </w:r>
      <w:bookmarkEnd w:id="3"/>
      <w:r>
        <w:rPr>
          <w:rFonts w:ascii="Arial" w:hAnsi="Arial"/>
          <w:b/>
          <w:i w:val="0"/>
          <w:iCs w:val="0"/>
          <w:color w:val="auto"/>
          <w:sz w:val="20"/>
          <w:szCs w:val="20"/>
        </w:rPr>
        <w:t>.</w:t>
      </w:r>
      <w:r>
        <w:rPr>
          <w:rFonts w:ascii="Arial" w:hAnsi="Arial"/>
          <w:b/>
          <w:i w:val="0"/>
          <w:iCs w:val="0"/>
          <w:color w:val="auto"/>
          <w:sz w:val="20"/>
          <w:szCs w:val="20"/>
        </w:rPr>
        <w:tab/>
      </w:r>
      <w:r w:rsidRPr="0028304F">
        <w:rPr>
          <w:rFonts w:ascii="Arial" w:hAnsi="Arial"/>
          <w:b/>
          <w:i w:val="0"/>
          <w:iCs w:val="0"/>
          <w:color w:val="auto"/>
          <w:sz w:val="20"/>
          <w:szCs w:val="20"/>
        </w:rPr>
        <w:t>Domesticated Plants species and Percentage of Citations</w:t>
      </w:r>
      <w:r>
        <w:rPr>
          <w:rFonts w:ascii="Arial" w:hAnsi="Arial"/>
          <w:b/>
          <w:i w:val="0"/>
          <w:iCs w:val="0"/>
          <w:color w:val="auto"/>
          <w:sz w:val="20"/>
          <w:szCs w:val="20"/>
        </w:rPr>
        <w:t xml:space="preserve"> from the survey</w:t>
      </w:r>
    </w:p>
    <w:tbl>
      <w:tblPr>
        <w:tblW w:w="0" w:type="auto"/>
        <w:tblCellMar>
          <w:left w:w="70" w:type="dxa"/>
          <w:right w:w="70" w:type="dxa"/>
        </w:tblCellMar>
        <w:tblLook w:val="04A0" w:firstRow="1" w:lastRow="0" w:firstColumn="1" w:lastColumn="0" w:noHBand="0" w:noVBand="1"/>
      </w:tblPr>
      <w:tblGrid>
        <w:gridCol w:w="2353"/>
        <w:gridCol w:w="1786"/>
        <w:gridCol w:w="3486"/>
        <w:gridCol w:w="2018"/>
        <w:gridCol w:w="1585"/>
      </w:tblGrid>
      <w:tr w:rsidR="001F7E86" w:rsidRPr="001F7E86" w14:paraId="67342F73"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C2BD5E1"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Scientific </w:t>
            </w:r>
            <w:proofErr w:type="spellStart"/>
            <w:r w:rsidRPr="007C0956">
              <w:rPr>
                <w:rFonts w:ascii="Arial" w:hAnsi="Arial" w:cs="Arial"/>
                <w:b/>
                <w:bCs/>
                <w:color w:val="000000"/>
                <w:lang w:val="fr-FR" w:eastAsia="fr-FR"/>
              </w:rPr>
              <w:t>Names</w:t>
            </w:r>
            <w:proofErr w:type="spellEnd"/>
          </w:p>
        </w:tc>
        <w:tc>
          <w:tcPr>
            <w:tcW w:w="0" w:type="auto"/>
            <w:tcBorders>
              <w:top w:val="single" w:sz="8" w:space="0" w:color="7F7F7F"/>
              <w:left w:val="nil"/>
              <w:bottom w:val="single" w:sz="8" w:space="0" w:color="7F7F7F"/>
              <w:right w:val="nil"/>
            </w:tcBorders>
            <w:vAlign w:val="center"/>
            <w:hideMark/>
          </w:tcPr>
          <w:p w14:paraId="18B8FEB8" w14:textId="77777777" w:rsidR="007C0956" w:rsidRPr="007C0956" w:rsidRDefault="007C0956" w:rsidP="001F7E86">
            <w:pPr>
              <w:jc w:val="both"/>
              <w:rPr>
                <w:rFonts w:ascii="Arial" w:hAnsi="Arial" w:cs="Arial"/>
                <w:b/>
                <w:bCs/>
                <w:color w:val="000000"/>
                <w:lang w:val="fr-FR" w:eastAsia="fr-FR"/>
              </w:rPr>
            </w:pPr>
            <w:proofErr w:type="spellStart"/>
            <w:r w:rsidRPr="007C0956">
              <w:rPr>
                <w:rFonts w:ascii="Arial" w:hAnsi="Arial" w:cs="Arial"/>
                <w:b/>
                <w:bCs/>
                <w:color w:val="000000"/>
                <w:lang w:val="fr-FR" w:eastAsia="fr-FR"/>
              </w:rPr>
              <w:t>Families</w:t>
            </w:r>
            <w:proofErr w:type="spellEnd"/>
          </w:p>
        </w:tc>
        <w:tc>
          <w:tcPr>
            <w:tcW w:w="0" w:type="auto"/>
            <w:tcBorders>
              <w:top w:val="single" w:sz="8" w:space="0" w:color="7F7F7F"/>
              <w:left w:val="nil"/>
              <w:bottom w:val="single" w:sz="8" w:space="0" w:color="7F7F7F"/>
              <w:right w:val="nil"/>
            </w:tcBorders>
            <w:vAlign w:val="center"/>
            <w:hideMark/>
          </w:tcPr>
          <w:p w14:paraId="0C10947D"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Common </w:t>
            </w:r>
            <w:proofErr w:type="spellStart"/>
            <w:r w:rsidRPr="007C0956">
              <w:rPr>
                <w:rFonts w:ascii="Arial" w:hAnsi="Arial" w:cs="Arial"/>
                <w:b/>
                <w:bCs/>
                <w:color w:val="000000"/>
                <w:lang w:val="fr-FR" w:eastAsia="fr-FR"/>
              </w:rPr>
              <w:t>Names</w:t>
            </w:r>
            <w:proofErr w:type="spellEnd"/>
            <w:r w:rsidRPr="007C0956">
              <w:rPr>
                <w:rFonts w:ascii="Arial" w:hAnsi="Arial" w:cs="Arial"/>
                <w:b/>
                <w:bCs/>
                <w:color w:val="000000"/>
                <w:lang w:val="fr-FR" w:eastAsia="fr-FR"/>
              </w:rPr>
              <w:t xml:space="preserve"> (French/Bambara)</w:t>
            </w:r>
          </w:p>
        </w:tc>
        <w:tc>
          <w:tcPr>
            <w:tcW w:w="0" w:type="auto"/>
            <w:tcBorders>
              <w:top w:val="single" w:sz="8" w:space="0" w:color="7F7F7F"/>
              <w:left w:val="nil"/>
              <w:bottom w:val="single" w:sz="8" w:space="0" w:color="7F7F7F"/>
              <w:right w:val="nil"/>
            </w:tcBorders>
            <w:vAlign w:val="center"/>
            <w:hideMark/>
          </w:tcPr>
          <w:p w14:paraId="731D495D" w14:textId="77777777" w:rsidR="007C0956" w:rsidRPr="007C0956" w:rsidRDefault="007C0956" w:rsidP="001F7E86">
            <w:pPr>
              <w:rPr>
                <w:rFonts w:ascii="Arial" w:hAnsi="Arial" w:cs="Arial"/>
                <w:b/>
                <w:bCs/>
                <w:color w:val="000000"/>
                <w:lang w:val="fr-FR" w:eastAsia="fr-FR"/>
              </w:rPr>
            </w:pPr>
            <w:proofErr w:type="spellStart"/>
            <w:r w:rsidRPr="007C0956">
              <w:rPr>
                <w:rFonts w:ascii="Arial" w:hAnsi="Arial" w:cs="Arial"/>
                <w:b/>
                <w:bCs/>
                <w:color w:val="000000"/>
                <w:lang w:val="fr-FR" w:eastAsia="fr-FR"/>
              </w:rPr>
              <w:t>Number</w:t>
            </w:r>
            <w:proofErr w:type="spellEnd"/>
            <w:r w:rsidRPr="007C0956">
              <w:rPr>
                <w:rFonts w:ascii="Arial" w:hAnsi="Arial" w:cs="Arial"/>
                <w:b/>
                <w:bCs/>
                <w:color w:val="000000"/>
                <w:lang w:val="fr-FR" w:eastAsia="fr-FR"/>
              </w:rPr>
              <w:t xml:space="preserve"> of citations</w:t>
            </w:r>
          </w:p>
        </w:tc>
        <w:tc>
          <w:tcPr>
            <w:tcW w:w="0" w:type="auto"/>
            <w:tcBorders>
              <w:top w:val="single" w:sz="8" w:space="0" w:color="7F7F7F"/>
              <w:left w:val="nil"/>
              <w:bottom w:val="single" w:sz="8" w:space="0" w:color="7F7F7F"/>
              <w:right w:val="nil"/>
            </w:tcBorders>
            <w:vAlign w:val="center"/>
            <w:hideMark/>
          </w:tcPr>
          <w:p w14:paraId="45945957"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Percentage (%)</w:t>
            </w:r>
          </w:p>
        </w:tc>
      </w:tr>
      <w:tr w:rsidR="001F7E86" w:rsidRPr="001F7E86" w14:paraId="274BF8B7" w14:textId="77777777" w:rsidTr="001F7E86">
        <w:trPr>
          <w:trHeight w:val="227"/>
        </w:trPr>
        <w:tc>
          <w:tcPr>
            <w:tcW w:w="0" w:type="auto"/>
            <w:tcBorders>
              <w:top w:val="nil"/>
              <w:left w:val="nil"/>
              <w:bottom w:val="single" w:sz="8" w:space="0" w:color="7F7F7F"/>
              <w:right w:val="nil"/>
            </w:tcBorders>
            <w:vAlign w:val="center"/>
            <w:hideMark/>
          </w:tcPr>
          <w:p w14:paraId="580D4E9B" w14:textId="77777777" w:rsidR="007C0956" w:rsidRPr="007C0956" w:rsidRDefault="007C0956" w:rsidP="001F7E86">
            <w:pPr>
              <w:jc w:val="both"/>
              <w:rPr>
                <w:rFonts w:ascii="Arial" w:hAnsi="Arial" w:cs="Arial"/>
                <w:b/>
                <w:bCs/>
                <w:i/>
                <w:iCs/>
                <w:color w:val="000000"/>
                <w:lang w:val="fr-FR" w:eastAsia="fr-FR"/>
              </w:rPr>
            </w:pPr>
            <w:proofErr w:type="spellStart"/>
            <w:r w:rsidRPr="007C0956">
              <w:rPr>
                <w:rFonts w:ascii="Arial" w:hAnsi="Arial" w:cs="Arial"/>
                <w:b/>
                <w:bCs/>
                <w:i/>
                <w:iCs/>
                <w:color w:val="000000"/>
                <w:lang w:val="fr-FR" w:eastAsia="fr-FR"/>
              </w:rPr>
              <w:t>Mangifera</w:t>
            </w:r>
            <w:proofErr w:type="spellEnd"/>
            <w:r w:rsidRPr="007C0956">
              <w:rPr>
                <w:rFonts w:ascii="Arial" w:hAnsi="Arial" w:cs="Arial"/>
                <w:b/>
                <w:bCs/>
                <w:i/>
                <w:iCs/>
                <w:color w:val="000000"/>
                <w:lang w:val="fr-FR" w:eastAsia="fr-FR"/>
              </w:rPr>
              <w:t xml:space="preserve"> </w:t>
            </w:r>
            <w:proofErr w:type="spellStart"/>
            <w:r w:rsidRPr="007C0956">
              <w:rPr>
                <w:rFonts w:ascii="Arial" w:hAnsi="Arial" w:cs="Arial"/>
                <w:b/>
                <w:bCs/>
                <w:i/>
                <w:iCs/>
                <w:color w:val="000000"/>
                <w:lang w:val="fr-FR" w:eastAsia="fr-FR"/>
              </w:rPr>
              <w:t>indica</w:t>
            </w:r>
            <w:proofErr w:type="spellEnd"/>
            <w:r w:rsidRPr="007C0956">
              <w:rPr>
                <w:rFonts w:ascii="Arial" w:hAnsi="Arial" w:cs="Arial"/>
                <w:b/>
                <w:bCs/>
                <w:i/>
                <w:iCs/>
                <w:color w:val="000000"/>
                <w:lang w:val="fr-FR" w:eastAsia="fr-FR"/>
              </w:rPr>
              <w:t xml:space="preserve"> L</w:t>
            </w:r>
          </w:p>
        </w:tc>
        <w:tc>
          <w:tcPr>
            <w:tcW w:w="0" w:type="auto"/>
            <w:tcBorders>
              <w:top w:val="nil"/>
              <w:left w:val="nil"/>
              <w:bottom w:val="single" w:sz="8" w:space="0" w:color="7F7F7F"/>
              <w:right w:val="nil"/>
            </w:tcBorders>
            <w:vAlign w:val="center"/>
            <w:hideMark/>
          </w:tcPr>
          <w:p w14:paraId="118D6581" w14:textId="77777777" w:rsidR="007C0956" w:rsidRPr="007C0956" w:rsidRDefault="007C0956" w:rsidP="001F7E86">
            <w:pPr>
              <w:jc w:val="both"/>
              <w:rPr>
                <w:rFonts w:ascii="Arial" w:hAnsi="Arial" w:cs="Arial"/>
                <w:b/>
                <w:bCs/>
                <w:color w:val="000000"/>
                <w:lang w:val="fr-FR" w:eastAsia="fr-FR"/>
              </w:rPr>
            </w:pPr>
            <w:proofErr w:type="spellStart"/>
            <w:r w:rsidRPr="007C0956">
              <w:rPr>
                <w:rFonts w:ascii="Arial" w:hAnsi="Arial" w:cs="Arial"/>
                <w:b/>
                <w:bCs/>
                <w:color w:val="000000"/>
                <w:lang w:val="fr-FR" w:eastAsia="fr-FR"/>
              </w:rPr>
              <w:t>Anacardiaceae</w:t>
            </w:r>
            <w:proofErr w:type="spellEnd"/>
          </w:p>
        </w:tc>
        <w:tc>
          <w:tcPr>
            <w:tcW w:w="0" w:type="auto"/>
            <w:tcBorders>
              <w:top w:val="nil"/>
              <w:left w:val="nil"/>
              <w:bottom w:val="single" w:sz="8" w:space="0" w:color="7F7F7F"/>
              <w:right w:val="nil"/>
            </w:tcBorders>
            <w:vAlign w:val="center"/>
            <w:hideMark/>
          </w:tcPr>
          <w:p w14:paraId="787BCD7E"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Manguier / </w:t>
            </w:r>
            <w:proofErr w:type="spellStart"/>
            <w:r w:rsidRPr="007C0956">
              <w:rPr>
                <w:rFonts w:ascii="Arial" w:hAnsi="Arial" w:cs="Arial"/>
                <w:b/>
                <w:bCs/>
                <w:color w:val="000000"/>
                <w:lang w:val="fr-FR" w:eastAsia="fr-FR"/>
              </w:rPr>
              <w:t>Mangoro</w:t>
            </w:r>
            <w:proofErr w:type="spellEnd"/>
            <w:r w:rsidRPr="007C0956">
              <w:rPr>
                <w:rFonts w:ascii="Arial" w:hAnsi="Arial" w:cs="Arial"/>
                <w:b/>
                <w:bCs/>
                <w:color w:val="000000"/>
                <w:lang w:val="fr-FR" w:eastAsia="fr-FR"/>
              </w:rPr>
              <w:t xml:space="preserve"> </w:t>
            </w:r>
            <w:proofErr w:type="spellStart"/>
            <w:r w:rsidRPr="007C0956">
              <w:rPr>
                <w:rFonts w:ascii="Arial" w:hAnsi="Arial" w:cs="Arial"/>
                <w:b/>
                <w:bCs/>
                <w:color w:val="000000"/>
                <w:lang w:val="fr-FR" w:eastAsia="fr-FR"/>
              </w:rPr>
              <w:t>sun</w:t>
            </w:r>
            <w:proofErr w:type="spellEnd"/>
          </w:p>
        </w:tc>
        <w:tc>
          <w:tcPr>
            <w:tcW w:w="0" w:type="auto"/>
            <w:tcBorders>
              <w:top w:val="nil"/>
              <w:left w:val="nil"/>
              <w:bottom w:val="single" w:sz="8" w:space="0" w:color="7F7F7F"/>
              <w:right w:val="nil"/>
            </w:tcBorders>
            <w:vAlign w:val="center"/>
            <w:hideMark/>
          </w:tcPr>
          <w:p w14:paraId="40874D7D"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66</w:t>
            </w:r>
          </w:p>
        </w:tc>
        <w:tc>
          <w:tcPr>
            <w:tcW w:w="0" w:type="auto"/>
            <w:tcBorders>
              <w:top w:val="nil"/>
              <w:left w:val="nil"/>
              <w:bottom w:val="single" w:sz="8" w:space="0" w:color="7F7F7F"/>
              <w:right w:val="nil"/>
            </w:tcBorders>
            <w:vAlign w:val="center"/>
            <w:hideMark/>
          </w:tcPr>
          <w:p w14:paraId="21B491D9"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66.06</w:t>
            </w:r>
          </w:p>
        </w:tc>
      </w:tr>
      <w:tr w:rsidR="001F7E86" w:rsidRPr="001F7E86" w14:paraId="36DF4EBA" w14:textId="77777777" w:rsidTr="001F7E86">
        <w:trPr>
          <w:trHeight w:val="227"/>
        </w:trPr>
        <w:tc>
          <w:tcPr>
            <w:tcW w:w="0" w:type="auto"/>
            <w:tcBorders>
              <w:top w:val="nil"/>
              <w:left w:val="nil"/>
              <w:bottom w:val="nil"/>
              <w:right w:val="nil"/>
            </w:tcBorders>
            <w:vAlign w:val="center"/>
            <w:hideMark/>
          </w:tcPr>
          <w:p w14:paraId="289157E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Carica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papaya</w:t>
            </w:r>
            <w:proofErr w:type="spellEnd"/>
            <w:r w:rsidRPr="007C0956">
              <w:rPr>
                <w:rFonts w:ascii="Arial" w:hAnsi="Arial" w:cs="Arial"/>
                <w:i/>
                <w:iCs/>
                <w:color w:val="000000"/>
                <w:lang w:val="fr-FR" w:eastAsia="fr-FR"/>
              </w:rPr>
              <w:t xml:space="preserve"> L </w:t>
            </w:r>
          </w:p>
        </w:tc>
        <w:tc>
          <w:tcPr>
            <w:tcW w:w="0" w:type="auto"/>
            <w:tcBorders>
              <w:top w:val="nil"/>
              <w:left w:val="nil"/>
              <w:bottom w:val="nil"/>
              <w:right w:val="nil"/>
            </w:tcBorders>
            <w:vAlign w:val="center"/>
            <w:hideMark/>
          </w:tcPr>
          <w:p w14:paraId="6AE50C95"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Caricaceae</w:t>
            </w:r>
            <w:proofErr w:type="spellEnd"/>
          </w:p>
        </w:tc>
        <w:tc>
          <w:tcPr>
            <w:tcW w:w="0" w:type="auto"/>
            <w:tcBorders>
              <w:top w:val="nil"/>
              <w:left w:val="nil"/>
              <w:bottom w:val="nil"/>
              <w:right w:val="nil"/>
            </w:tcBorders>
            <w:vAlign w:val="center"/>
            <w:hideMark/>
          </w:tcPr>
          <w:p w14:paraId="702092A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Papayer / </w:t>
            </w:r>
            <w:proofErr w:type="spellStart"/>
            <w:r w:rsidRPr="007C0956">
              <w:rPr>
                <w:rFonts w:ascii="Arial" w:hAnsi="Arial" w:cs="Arial"/>
                <w:color w:val="000000"/>
                <w:lang w:val="fr-FR" w:eastAsia="fr-FR"/>
              </w:rPr>
              <w:t>mandjé</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CA731D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32</w:t>
            </w:r>
          </w:p>
        </w:tc>
        <w:tc>
          <w:tcPr>
            <w:tcW w:w="0" w:type="auto"/>
            <w:tcBorders>
              <w:top w:val="nil"/>
              <w:left w:val="nil"/>
              <w:bottom w:val="nil"/>
              <w:right w:val="nil"/>
            </w:tcBorders>
            <w:vAlign w:val="center"/>
            <w:hideMark/>
          </w:tcPr>
          <w:p w14:paraId="252FD3D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12.64</w:t>
            </w:r>
          </w:p>
        </w:tc>
      </w:tr>
      <w:tr w:rsidR="001F7E86" w:rsidRPr="001F7E86" w14:paraId="029FEC62"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FDC0B11"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Citrus (Limon)</w:t>
            </w:r>
          </w:p>
        </w:tc>
        <w:tc>
          <w:tcPr>
            <w:tcW w:w="0" w:type="auto"/>
            <w:tcBorders>
              <w:top w:val="single" w:sz="8" w:space="0" w:color="7F7F7F"/>
              <w:left w:val="nil"/>
              <w:bottom w:val="single" w:sz="8" w:space="0" w:color="7F7F7F"/>
              <w:right w:val="nil"/>
            </w:tcBorders>
            <w:vAlign w:val="center"/>
            <w:hideMark/>
          </w:tcPr>
          <w:p w14:paraId="27A14852" w14:textId="7CF67CBA"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Rutaceae</w:t>
            </w:r>
            <w:proofErr w:type="spellEnd"/>
          </w:p>
        </w:tc>
        <w:tc>
          <w:tcPr>
            <w:tcW w:w="0" w:type="auto"/>
            <w:tcBorders>
              <w:top w:val="single" w:sz="8" w:space="0" w:color="7F7F7F"/>
              <w:left w:val="nil"/>
              <w:bottom w:val="single" w:sz="8" w:space="0" w:color="7F7F7F"/>
              <w:right w:val="nil"/>
            </w:tcBorders>
            <w:vAlign w:val="center"/>
            <w:hideMark/>
          </w:tcPr>
          <w:p w14:paraId="71602DA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Citronnier / </w:t>
            </w:r>
            <w:proofErr w:type="spellStart"/>
            <w:r w:rsidRPr="007C0956">
              <w:rPr>
                <w:rFonts w:ascii="Arial" w:hAnsi="Arial" w:cs="Arial"/>
                <w:color w:val="000000"/>
                <w:lang w:val="fr-FR" w:eastAsia="fr-FR"/>
              </w:rPr>
              <w:t>lémouroukoumouni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11C464E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28</w:t>
            </w:r>
          </w:p>
        </w:tc>
        <w:tc>
          <w:tcPr>
            <w:tcW w:w="0" w:type="auto"/>
            <w:tcBorders>
              <w:top w:val="single" w:sz="8" w:space="0" w:color="7F7F7F"/>
              <w:left w:val="nil"/>
              <w:bottom w:val="single" w:sz="8" w:space="0" w:color="7F7F7F"/>
              <w:right w:val="nil"/>
            </w:tcBorders>
            <w:vAlign w:val="center"/>
            <w:hideMark/>
          </w:tcPr>
          <w:p w14:paraId="365F572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11.09</w:t>
            </w:r>
          </w:p>
        </w:tc>
      </w:tr>
      <w:tr w:rsidR="001F7E86" w:rsidRPr="001F7E86" w14:paraId="0BE9E439" w14:textId="77777777" w:rsidTr="001F7E86">
        <w:trPr>
          <w:trHeight w:val="227"/>
        </w:trPr>
        <w:tc>
          <w:tcPr>
            <w:tcW w:w="0" w:type="auto"/>
            <w:tcBorders>
              <w:top w:val="nil"/>
              <w:left w:val="nil"/>
              <w:bottom w:val="nil"/>
              <w:right w:val="nil"/>
            </w:tcBorders>
            <w:vAlign w:val="center"/>
            <w:hideMark/>
          </w:tcPr>
          <w:p w14:paraId="4C3C2452"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Mentha</w:t>
            </w:r>
            <w:proofErr w:type="spellEnd"/>
            <w:r w:rsidRPr="007C0956">
              <w:rPr>
                <w:rFonts w:ascii="Arial" w:hAnsi="Arial" w:cs="Arial"/>
                <w:i/>
                <w:iCs/>
                <w:color w:val="000000"/>
                <w:lang w:val="fr-FR" w:eastAsia="fr-FR"/>
              </w:rPr>
              <w:t xml:space="preserve"> L</w:t>
            </w:r>
          </w:p>
        </w:tc>
        <w:tc>
          <w:tcPr>
            <w:tcW w:w="0" w:type="auto"/>
            <w:tcBorders>
              <w:top w:val="nil"/>
              <w:left w:val="nil"/>
              <w:bottom w:val="nil"/>
              <w:right w:val="nil"/>
            </w:tcBorders>
            <w:vAlign w:val="center"/>
            <w:hideMark/>
          </w:tcPr>
          <w:p w14:paraId="3A4A4AE3"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Lamiaceae</w:t>
            </w:r>
            <w:proofErr w:type="spellEnd"/>
          </w:p>
        </w:tc>
        <w:tc>
          <w:tcPr>
            <w:tcW w:w="0" w:type="auto"/>
            <w:tcBorders>
              <w:top w:val="nil"/>
              <w:left w:val="nil"/>
              <w:bottom w:val="nil"/>
              <w:right w:val="nil"/>
            </w:tcBorders>
            <w:vAlign w:val="center"/>
            <w:hideMark/>
          </w:tcPr>
          <w:p w14:paraId="4F27C2E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Menthe / </w:t>
            </w:r>
            <w:proofErr w:type="spellStart"/>
            <w:r w:rsidRPr="007C0956">
              <w:rPr>
                <w:rFonts w:ascii="Arial" w:hAnsi="Arial" w:cs="Arial"/>
                <w:color w:val="000000"/>
                <w:lang w:val="fr-FR" w:eastAsia="fr-FR"/>
              </w:rPr>
              <w:t>nanayé</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436DDD7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19</w:t>
            </w:r>
          </w:p>
        </w:tc>
        <w:tc>
          <w:tcPr>
            <w:tcW w:w="0" w:type="auto"/>
            <w:tcBorders>
              <w:top w:val="nil"/>
              <w:left w:val="nil"/>
              <w:bottom w:val="nil"/>
              <w:right w:val="nil"/>
            </w:tcBorders>
            <w:vAlign w:val="center"/>
            <w:hideMark/>
          </w:tcPr>
          <w:p w14:paraId="68D69A4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7.50</w:t>
            </w:r>
          </w:p>
        </w:tc>
      </w:tr>
      <w:tr w:rsidR="001F7E86" w:rsidRPr="001F7E86" w14:paraId="319C7F67"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6E5224B"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Moringa </w:t>
            </w:r>
            <w:proofErr w:type="spellStart"/>
            <w:r w:rsidRPr="007C0956">
              <w:rPr>
                <w:rFonts w:ascii="Arial" w:hAnsi="Arial" w:cs="Arial"/>
                <w:i/>
                <w:iCs/>
                <w:color w:val="000000"/>
                <w:lang w:val="fr-FR" w:eastAsia="fr-FR"/>
              </w:rPr>
              <w:t>oleifera</w:t>
            </w:r>
            <w:proofErr w:type="spellEnd"/>
            <w:r w:rsidRPr="007C0956">
              <w:rPr>
                <w:rFonts w:ascii="Arial" w:hAnsi="Arial" w:cs="Arial"/>
                <w:i/>
                <w:iCs/>
                <w:color w:val="000000"/>
                <w:lang w:val="fr-FR" w:eastAsia="fr-FR"/>
              </w:rPr>
              <w:t xml:space="preserve"> L</w:t>
            </w:r>
          </w:p>
        </w:tc>
        <w:tc>
          <w:tcPr>
            <w:tcW w:w="0" w:type="auto"/>
            <w:tcBorders>
              <w:top w:val="single" w:sz="8" w:space="0" w:color="7F7F7F"/>
              <w:left w:val="nil"/>
              <w:bottom w:val="single" w:sz="8" w:space="0" w:color="7F7F7F"/>
              <w:right w:val="nil"/>
            </w:tcBorders>
            <w:vAlign w:val="center"/>
            <w:hideMark/>
          </w:tcPr>
          <w:p w14:paraId="3F616AF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Moringaceae</w:t>
            </w:r>
            <w:proofErr w:type="spellEnd"/>
          </w:p>
        </w:tc>
        <w:tc>
          <w:tcPr>
            <w:tcW w:w="0" w:type="auto"/>
            <w:tcBorders>
              <w:top w:val="single" w:sz="8" w:space="0" w:color="7F7F7F"/>
              <w:left w:val="nil"/>
              <w:bottom w:val="single" w:sz="8" w:space="0" w:color="7F7F7F"/>
              <w:right w:val="nil"/>
            </w:tcBorders>
            <w:vAlign w:val="center"/>
            <w:hideMark/>
          </w:tcPr>
          <w:p w14:paraId="17507546"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Moringa / </w:t>
            </w:r>
            <w:proofErr w:type="spellStart"/>
            <w:r w:rsidRPr="007C0956">
              <w:rPr>
                <w:rFonts w:ascii="Arial" w:hAnsi="Arial" w:cs="Arial"/>
                <w:color w:val="000000"/>
                <w:lang w:val="fr-FR" w:eastAsia="fr-FR"/>
              </w:rPr>
              <w:t>bachiyirini</w:t>
            </w:r>
            <w:proofErr w:type="spellEnd"/>
            <w:r w:rsidRPr="007C0956">
              <w:rPr>
                <w:rFonts w:ascii="Arial" w:hAnsi="Arial" w:cs="Arial"/>
                <w:color w:val="000000"/>
                <w:lang w:val="fr-FR" w:eastAsia="fr-FR"/>
              </w:rPr>
              <w:t xml:space="preserve"> </w:t>
            </w:r>
          </w:p>
        </w:tc>
        <w:tc>
          <w:tcPr>
            <w:tcW w:w="0" w:type="auto"/>
            <w:tcBorders>
              <w:top w:val="single" w:sz="8" w:space="0" w:color="7F7F7F"/>
              <w:left w:val="nil"/>
              <w:bottom w:val="single" w:sz="8" w:space="0" w:color="7F7F7F"/>
              <w:right w:val="nil"/>
            </w:tcBorders>
            <w:vAlign w:val="center"/>
            <w:hideMark/>
          </w:tcPr>
          <w:p w14:paraId="04AFAA1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18</w:t>
            </w:r>
          </w:p>
        </w:tc>
        <w:tc>
          <w:tcPr>
            <w:tcW w:w="0" w:type="auto"/>
            <w:tcBorders>
              <w:top w:val="single" w:sz="8" w:space="0" w:color="7F7F7F"/>
              <w:left w:val="nil"/>
              <w:bottom w:val="single" w:sz="8" w:space="0" w:color="7F7F7F"/>
              <w:right w:val="nil"/>
            </w:tcBorders>
            <w:vAlign w:val="center"/>
            <w:hideMark/>
          </w:tcPr>
          <w:p w14:paraId="621DF06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7.11</w:t>
            </w:r>
          </w:p>
        </w:tc>
      </w:tr>
      <w:tr w:rsidR="001F7E86" w:rsidRPr="001F7E86" w14:paraId="2A900C5C" w14:textId="77777777" w:rsidTr="001F7E86">
        <w:trPr>
          <w:trHeight w:val="227"/>
        </w:trPr>
        <w:tc>
          <w:tcPr>
            <w:tcW w:w="0" w:type="auto"/>
            <w:tcBorders>
              <w:top w:val="nil"/>
              <w:left w:val="nil"/>
              <w:bottom w:val="nil"/>
              <w:right w:val="nil"/>
            </w:tcBorders>
            <w:vAlign w:val="center"/>
            <w:hideMark/>
          </w:tcPr>
          <w:p w14:paraId="5BD0600B"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Musa L</w:t>
            </w:r>
          </w:p>
        </w:tc>
        <w:tc>
          <w:tcPr>
            <w:tcW w:w="0" w:type="auto"/>
            <w:tcBorders>
              <w:top w:val="nil"/>
              <w:left w:val="nil"/>
              <w:bottom w:val="nil"/>
              <w:right w:val="nil"/>
            </w:tcBorders>
            <w:vAlign w:val="center"/>
            <w:hideMark/>
          </w:tcPr>
          <w:p w14:paraId="640166BA"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Musaceae</w:t>
            </w:r>
            <w:proofErr w:type="spellEnd"/>
          </w:p>
        </w:tc>
        <w:tc>
          <w:tcPr>
            <w:tcW w:w="0" w:type="auto"/>
            <w:tcBorders>
              <w:top w:val="nil"/>
              <w:left w:val="nil"/>
              <w:bottom w:val="nil"/>
              <w:right w:val="nil"/>
            </w:tcBorders>
            <w:vAlign w:val="center"/>
            <w:hideMark/>
          </w:tcPr>
          <w:p w14:paraId="24CEDA8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Bananier / </w:t>
            </w:r>
            <w:proofErr w:type="spellStart"/>
            <w:r w:rsidRPr="007C0956">
              <w:rPr>
                <w:rFonts w:ascii="Arial" w:hAnsi="Arial" w:cs="Arial"/>
                <w:color w:val="000000"/>
                <w:lang w:val="fr-FR" w:eastAsia="fr-FR"/>
              </w:rPr>
              <w:t>namassa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EA1D7D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15</w:t>
            </w:r>
          </w:p>
        </w:tc>
        <w:tc>
          <w:tcPr>
            <w:tcW w:w="0" w:type="auto"/>
            <w:tcBorders>
              <w:top w:val="nil"/>
              <w:left w:val="nil"/>
              <w:bottom w:val="nil"/>
              <w:right w:val="nil"/>
            </w:tcBorders>
            <w:vAlign w:val="center"/>
            <w:hideMark/>
          </w:tcPr>
          <w:p w14:paraId="11E21D7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5.92</w:t>
            </w:r>
          </w:p>
        </w:tc>
      </w:tr>
      <w:tr w:rsidR="001F7E86" w:rsidRPr="001F7E86" w14:paraId="29FC0874" w14:textId="77777777" w:rsidTr="001F7E86">
        <w:trPr>
          <w:trHeight w:val="227"/>
        </w:trPr>
        <w:tc>
          <w:tcPr>
            <w:tcW w:w="0" w:type="auto"/>
            <w:tcBorders>
              <w:top w:val="single" w:sz="8" w:space="0" w:color="7F7F7F"/>
              <w:left w:val="nil"/>
              <w:bottom w:val="single" w:sz="8" w:space="0" w:color="7F7F7F"/>
              <w:right w:val="nil"/>
            </w:tcBorders>
            <w:vAlign w:val="center"/>
            <w:hideMark/>
          </w:tcPr>
          <w:p w14:paraId="7336E183"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Citrus </w:t>
            </w:r>
            <w:proofErr w:type="spellStart"/>
            <w:r w:rsidRPr="007C0956">
              <w:rPr>
                <w:rFonts w:ascii="Arial" w:hAnsi="Arial" w:cs="Arial"/>
                <w:i/>
                <w:iCs/>
                <w:color w:val="000000"/>
                <w:lang w:val="fr-FR" w:eastAsia="fr-FR"/>
              </w:rPr>
              <w:t>sinensis</w:t>
            </w:r>
            <w:proofErr w:type="spellEnd"/>
            <w:r w:rsidRPr="007C0956">
              <w:rPr>
                <w:rFonts w:ascii="Arial" w:hAnsi="Arial" w:cs="Arial"/>
                <w:i/>
                <w:iCs/>
                <w:color w:val="000000"/>
                <w:lang w:val="fr-FR" w:eastAsia="fr-FR"/>
              </w:rPr>
              <w:t xml:space="preserve"> L</w:t>
            </w:r>
          </w:p>
        </w:tc>
        <w:tc>
          <w:tcPr>
            <w:tcW w:w="0" w:type="auto"/>
            <w:tcBorders>
              <w:top w:val="single" w:sz="8" w:space="0" w:color="7F7F7F"/>
              <w:left w:val="nil"/>
              <w:bottom w:val="single" w:sz="8" w:space="0" w:color="7F7F7F"/>
              <w:right w:val="nil"/>
            </w:tcBorders>
            <w:vAlign w:val="center"/>
            <w:hideMark/>
          </w:tcPr>
          <w:p w14:paraId="1B76525B"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Rutaceae</w:t>
            </w:r>
            <w:proofErr w:type="spellEnd"/>
          </w:p>
        </w:tc>
        <w:tc>
          <w:tcPr>
            <w:tcW w:w="0" w:type="auto"/>
            <w:tcBorders>
              <w:top w:val="single" w:sz="8" w:space="0" w:color="7F7F7F"/>
              <w:left w:val="nil"/>
              <w:bottom w:val="single" w:sz="8" w:space="0" w:color="7F7F7F"/>
              <w:right w:val="nil"/>
            </w:tcBorders>
            <w:vAlign w:val="center"/>
            <w:hideMark/>
          </w:tcPr>
          <w:p w14:paraId="254238F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Orangier</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lémourouba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78900F4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10</w:t>
            </w:r>
          </w:p>
        </w:tc>
        <w:tc>
          <w:tcPr>
            <w:tcW w:w="0" w:type="auto"/>
            <w:tcBorders>
              <w:top w:val="single" w:sz="8" w:space="0" w:color="7F7F7F"/>
              <w:left w:val="nil"/>
              <w:bottom w:val="single" w:sz="8" w:space="0" w:color="7F7F7F"/>
              <w:right w:val="nil"/>
            </w:tcBorders>
            <w:vAlign w:val="center"/>
            <w:hideMark/>
          </w:tcPr>
          <w:p w14:paraId="49A715C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3.95</w:t>
            </w:r>
          </w:p>
        </w:tc>
      </w:tr>
      <w:tr w:rsidR="001F7E86" w:rsidRPr="001F7E86" w14:paraId="1557B2B6" w14:textId="77777777" w:rsidTr="001F7E86">
        <w:trPr>
          <w:trHeight w:val="227"/>
        </w:trPr>
        <w:tc>
          <w:tcPr>
            <w:tcW w:w="0" w:type="auto"/>
            <w:tcBorders>
              <w:top w:val="nil"/>
              <w:left w:val="nil"/>
              <w:bottom w:val="nil"/>
              <w:right w:val="nil"/>
            </w:tcBorders>
            <w:vAlign w:val="center"/>
            <w:hideMark/>
          </w:tcPr>
          <w:p w14:paraId="44DD1FB5"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Annona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muricata</w:t>
            </w:r>
            <w:proofErr w:type="spellEnd"/>
          </w:p>
        </w:tc>
        <w:tc>
          <w:tcPr>
            <w:tcW w:w="0" w:type="auto"/>
            <w:tcBorders>
              <w:top w:val="single" w:sz="8" w:space="0" w:color="7F7F7F"/>
              <w:left w:val="nil"/>
              <w:bottom w:val="single" w:sz="4" w:space="0" w:color="auto"/>
              <w:right w:val="nil"/>
            </w:tcBorders>
            <w:vAlign w:val="center"/>
            <w:hideMark/>
          </w:tcPr>
          <w:p w14:paraId="72164D39"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Annonaceae</w:t>
            </w:r>
            <w:proofErr w:type="spellEnd"/>
          </w:p>
        </w:tc>
        <w:tc>
          <w:tcPr>
            <w:tcW w:w="0" w:type="auto"/>
            <w:tcBorders>
              <w:top w:val="nil"/>
              <w:left w:val="nil"/>
              <w:bottom w:val="nil"/>
              <w:right w:val="nil"/>
            </w:tcBorders>
            <w:vAlign w:val="center"/>
            <w:hideMark/>
          </w:tcPr>
          <w:p w14:paraId="5C9D882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Corossolier/ </w:t>
            </w:r>
            <w:proofErr w:type="spellStart"/>
            <w:r w:rsidRPr="007C0956">
              <w:rPr>
                <w:rFonts w:ascii="Arial" w:hAnsi="Arial" w:cs="Arial"/>
                <w:color w:val="000000"/>
                <w:lang w:val="fr-FR" w:eastAsia="fr-FR"/>
              </w:rPr>
              <w:t>sunsun</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27E2BF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9</w:t>
            </w:r>
          </w:p>
        </w:tc>
        <w:tc>
          <w:tcPr>
            <w:tcW w:w="0" w:type="auto"/>
            <w:tcBorders>
              <w:top w:val="nil"/>
              <w:left w:val="nil"/>
              <w:bottom w:val="nil"/>
              <w:right w:val="nil"/>
            </w:tcBorders>
            <w:vAlign w:val="center"/>
            <w:hideMark/>
          </w:tcPr>
          <w:p w14:paraId="5D68B79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3.55</w:t>
            </w:r>
          </w:p>
        </w:tc>
      </w:tr>
      <w:tr w:rsidR="001F7E86" w:rsidRPr="001F7E86" w14:paraId="640D9C8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606FB2F4"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Psidium</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guajava</w:t>
            </w:r>
            <w:proofErr w:type="spellEnd"/>
          </w:p>
        </w:tc>
        <w:tc>
          <w:tcPr>
            <w:tcW w:w="0" w:type="auto"/>
            <w:tcBorders>
              <w:top w:val="single" w:sz="4" w:space="0" w:color="auto"/>
              <w:left w:val="nil"/>
              <w:bottom w:val="single" w:sz="4" w:space="0" w:color="auto"/>
              <w:right w:val="nil"/>
            </w:tcBorders>
            <w:vAlign w:val="center"/>
            <w:hideMark/>
          </w:tcPr>
          <w:p w14:paraId="3831156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Mirtaceae</w:t>
            </w:r>
            <w:proofErr w:type="spellEnd"/>
          </w:p>
        </w:tc>
        <w:tc>
          <w:tcPr>
            <w:tcW w:w="0" w:type="auto"/>
            <w:tcBorders>
              <w:top w:val="single" w:sz="8" w:space="0" w:color="7F7F7F"/>
              <w:left w:val="nil"/>
              <w:bottom w:val="single" w:sz="8" w:space="0" w:color="7F7F7F"/>
              <w:right w:val="nil"/>
            </w:tcBorders>
            <w:vAlign w:val="center"/>
            <w:hideMark/>
          </w:tcPr>
          <w:p w14:paraId="4E0E02C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Goyavier / </w:t>
            </w:r>
            <w:proofErr w:type="spellStart"/>
            <w:r w:rsidRPr="007C0956">
              <w:rPr>
                <w:rFonts w:ascii="Arial" w:hAnsi="Arial" w:cs="Arial"/>
                <w:color w:val="000000"/>
                <w:lang w:val="fr-FR" w:eastAsia="fr-FR"/>
              </w:rPr>
              <w:t>bouyaki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A8E672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9</w:t>
            </w:r>
          </w:p>
        </w:tc>
        <w:tc>
          <w:tcPr>
            <w:tcW w:w="0" w:type="auto"/>
            <w:tcBorders>
              <w:top w:val="single" w:sz="8" w:space="0" w:color="7F7F7F"/>
              <w:left w:val="nil"/>
              <w:bottom w:val="single" w:sz="8" w:space="0" w:color="7F7F7F"/>
              <w:right w:val="nil"/>
            </w:tcBorders>
            <w:vAlign w:val="center"/>
            <w:hideMark/>
          </w:tcPr>
          <w:p w14:paraId="14177C7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3.55</w:t>
            </w:r>
          </w:p>
        </w:tc>
      </w:tr>
      <w:tr w:rsidR="001F7E86" w:rsidRPr="001F7E86" w14:paraId="5D385874" w14:textId="77777777" w:rsidTr="001F7E86">
        <w:trPr>
          <w:trHeight w:val="227"/>
        </w:trPr>
        <w:tc>
          <w:tcPr>
            <w:tcW w:w="0" w:type="auto"/>
            <w:tcBorders>
              <w:top w:val="nil"/>
              <w:left w:val="nil"/>
              <w:bottom w:val="nil"/>
              <w:right w:val="nil"/>
            </w:tcBorders>
            <w:vAlign w:val="center"/>
            <w:hideMark/>
          </w:tcPr>
          <w:p w14:paraId="793B61C0"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Cymbopogon</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citratus</w:t>
            </w:r>
            <w:proofErr w:type="spellEnd"/>
          </w:p>
        </w:tc>
        <w:tc>
          <w:tcPr>
            <w:tcW w:w="0" w:type="auto"/>
            <w:tcBorders>
              <w:top w:val="single" w:sz="4" w:space="0" w:color="auto"/>
              <w:left w:val="nil"/>
              <w:bottom w:val="single" w:sz="4" w:space="0" w:color="auto"/>
              <w:right w:val="nil"/>
            </w:tcBorders>
            <w:vAlign w:val="center"/>
            <w:hideMark/>
          </w:tcPr>
          <w:p w14:paraId="7621FA1C"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Poaceae</w:t>
            </w:r>
            <w:proofErr w:type="spellEnd"/>
          </w:p>
        </w:tc>
        <w:tc>
          <w:tcPr>
            <w:tcW w:w="0" w:type="auto"/>
            <w:tcBorders>
              <w:top w:val="nil"/>
              <w:left w:val="nil"/>
              <w:bottom w:val="nil"/>
              <w:right w:val="nil"/>
            </w:tcBorders>
            <w:vAlign w:val="center"/>
            <w:hideMark/>
          </w:tcPr>
          <w:p w14:paraId="1084EBA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Citronnel</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binblouni</w:t>
            </w:r>
            <w:proofErr w:type="spellEnd"/>
          </w:p>
        </w:tc>
        <w:tc>
          <w:tcPr>
            <w:tcW w:w="0" w:type="auto"/>
            <w:tcBorders>
              <w:top w:val="nil"/>
              <w:left w:val="nil"/>
              <w:bottom w:val="nil"/>
              <w:right w:val="nil"/>
            </w:tcBorders>
            <w:vAlign w:val="center"/>
            <w:hideMark/>
          </w:tcPr>
          <w:p w14:paraId="5651134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w:t>
            </w:r>
          </w:p>
        </w:tc>
        <w:tc>
          <w:tcPr>
            <w:tcW w:w="0" w:type="auto"/>
            <w:tcBorders>
              <w:top w:val="nil"/>
              <w:left w:val="nil"/>
              <w:bottom w:val="nil"/>
              <w:right w:val="nil"/>
            </w:tcBorders>
            <w:vAlign w:val="center"/>
            <w:hideMark/>
          </w:tcPr>
          <w:p w14:paraId="7F5E3C3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2.76</w:t>
            </w:r>
          </w:p>
        </w:tc>
      </w:tr>
      <w:tr w:rsidR="001F7E86" w:rsidRPr="001F7E86" w14:paraId="39380B5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5A63195"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Aloe </w:t>
            </w:r>
            <w:proofErr w:type="spellStart"/>
            <w:r w:rsidRPr="007C0956">
              <w:rPr>
                <w:rFonts w:ascii="Arial" w:hAnsi="Arial" w:cs="Arial"/>
                <w:i/>
                <w:iCs/>
                <w:color w:val="000000"/>
                <w:lang w:val="fr-FR" w:eastAsia="fr-FR"/>
              </w:rPr>
              <w:t>vera</w:t>
            </w:r>
            <w:proofErr w:type="spellEnd"/>
            <w:r w:rsidRPr="007C0956">
              <w:rPr>
                <w:rFonts w:ascii="Arial" w:hAnsi="Arial" w:cs="Arial"/>
                <w:i/>
                <w:iCs/>
                <w:color w:val="000000"/>
                <w:lang w:val="fr-FR" w:eastAsia="fr-FR"/>
              </w:rPr>
              <w:t xml:space="preserve"> L</w:t>
            </w:r>
          </w:p>
        </w:tc>
        <w:tc>
          <w:tcPr>
            <w:tcW w:w="0" w:type="auto"/>
            <w:tcBorders>
              <w:top w:val="single" w:sz="4" w:space="0" w:color="auto"/>
              <w:left w:val="nil"/>
              <w:bottom w:val="single" w:sz="8" w:space="0" w:color="7F7F7F"/>
              <w:right w:val="nil"/>
            </w:tcBorders>
            <w:vAlign w:val="center"/>
            <w:hideMark/>
          </w:tcPr>
          <w:p w14:paraId="63C8F9F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Xanthorrhoeaceae</w:t>
            </w:r>
            <w:proofErr w:type="spellEnd"/>
          </w:p>
        </w:tc>
        <w:tc>
          <w:tcPr>
            <w:tcW w:w="0" w:type="auto"/>
            <w:tcBorders>
              <w:top w:val="single" w:sz="8" w:space="0" w:color="7F7F7F"/>
              <w:left w:val="nil"/>
              <w:bottom w:val="single" w:sz="8" w:space="0" w:color="7F7F7F"/>
              <w:right w:val="nil"/>
            </w:tcBorders>
            <w:vAlign w:val="center"/>
            <w:hideMark/>
          </w:tcPr>
          <w:p w14:paraId="302B6F73"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it-IT" w:eastAsia="fr-FR"/>
              </w:rPr>
              <w:t>Aloe vera / aloe vera sun</w:t>
            </w:r>
          </w:p>
        </w:tc>
        <w:tc>
          <w:tcPr>
            <w:tcW w:w="0" w:type="auto"/>
            <w:tcBorders>
              <w:top w:val="single" w:sz="8" w:space="0" w:color="7F7F7F"/>
              <w:left w:val="nil"/>
              <w:bottom w:val="single" w:sz="8" w:space="0" w:color="7F7F7F"/>
              <w:right w:val="nil"/>
            </w:tcBorders>
            <w:vAlign w:val="center"/>
            <w:hideMark/>
          </w:tcPr>
          <w:p w14:paraId="0D5F510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6</w:t>
            </w:r>
          </w:p>
        </w:tc>
        <w:tc>
          <w:tcPr>
            <w:tcW w:w="0" w:type="auto"/>
            <w:tcBorders>
              <w:top w:val="single" w:sz="8" w:space="0" w:color="7F7F7F"/>
              <w:left w:val="nil"/>
              <w:bottom w:val="single" w:sz="8" w:space="0" w:color="7F7F7F"/>
              <w:right w:val="nil"/>
            </w:tcBorders>
            <w:vAlign w:val="center"/>
            <w:hideMark/>
          </w:tcPr>
          <w:p w14:paraId="1CB3CFC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2.37</w:t>
            </w:r>
          </w:p>
        </w:tc>
      </w:tr>
      <w:tr w:rsidR="001F7E86" w:rsidRPr="001F7E86" w14:paraId="4C39673D" w14:textId="77777777" w:rsidTr="001F7E86">
        <w:trPr>
          <w:trHeight w:val="227"/>
        </w:trPr>
        <w:tc>
          <w:tcPr>
            <w:tcW w:w="0" w:type="auto"/>
            <w:tcBorders>
              <w:top w:val="nil"/>
              <w:left w:val="nil"/>
              <w:bottom w:val="nil"/>
              <w:right w:val="nil"/>
            </w:tcBorders>
            <w:vAlign w:val="center"/>
            <w:hideMark/>
          </w:tcPr>
          <w:p w14:paraId="361906D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Tamarindus</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indica</w:t>
            </w:r>
            <w:proofErr w:type="spellEnd"/>
          </w:p>
        </w:tc>
        <w:tc>
          <w:tcPr>
            <w:tcW w:w="0" w:type="auto"/>
            <w:tcBorders>
              <w:top w:val="nil"/>
              <w:left w:val="nil"/>
              <w:bottom w:val="nil"/>
              <w:right w:val="nil"/>
            </w:tcBorders>
            <w:vAlign w:val="center"/>
            <w:hideMark/>
          </w:tcPr>
          <w:p w14:paraId="79274874"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Fabaceae</w:t>
            </w:r>
            <w:proofErr w:type="spellEnd"/>
          </w:p>
        </w:tc>
        <w:tc>
          <w:tcPr>
            <w:tcW w:w="0" w:type="auto"/>
            <w:tcBorders>
              <w:top w:val="nil"/>
              <w:left w:val="nil"/>
              <w:bottom w:val="nil"/>
              <w:right w:val="nil"/>
            </w:tcBorders>
            <w:vAlign w:val="center"/>
            <w:hideMark/>
          </w:tcPr>
          <w:p w14:paraId="731383B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Tamarin / </w:t>
            </w:r>
            <w:proofErr w:type="spellStart"/>
            <w:r w:rsidRPr="007C0956">
              <w:rPr>
                <w:rFonts w:ascii="Arial" w:hAnsi="Arial" w:cs="Arial"/>
                <w:color w:val="000000"/>
                <w:lang w:val="fr-FR" w:eastAsia="fr-FR"/>
              </w:rPr>
              <w:t>tomi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4EB22F1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4</w:t>
            </w:r>
          </w:p>
        </w:tc>
        <w:tc>
          <w:tcPr>
            <w:tcW w:w="0" w:type="auto"/>
            <w:tcBorders>
              <w:top w:val="nil"/>
              <w:left w:val="nil"/>
              <w:bottom w:val="nil"/>
              <w:right w:val="nil"/>
            </w:tcBorders>
            <w:vAlign w:val="center"/>
            <w:hideMark/>
          </w:tcPr>
          <w:p w14:paraId="24C59D8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1.58</w:t>
            </w:r>
          </w:p>
        </w:tc>
      </w:tr>
      <w:tr w:rsidR="001F7E86" w:rsidRPr="001F7E86" w14:paraId="54736A87"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13A5A2A"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Spinacia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oleracea</w:t>
            </w:r>
            <w:proofErr w:type="spellEnd"/>
          </w:p>
        </w:tc>
        <w:tc>
          <w:tcPr>
            <w:tcW w:w="0" w:type="auto"/>
            <w:tcBorders>
              <w:top w:val="single" w:sz="8" w:space="0" w:color="7F7F7F"/>
              <w:left w:val="nil"/>
              <w:bottom w:val="single" w:sz="8" w:space="0" w:color="7F7F7F"/>
              <w:right w:val="nil"/>
            </w:tcBorders>
            <w:vAlign w:val="center"/>
            <w:hideMark/>
          </w:tcPr>
          <w:p w14:paraId="46A1D04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Amaranthaceae</w:t>
            </w:r>
            <w:proofErr w:type="spellEnd"/>
          </w:p>
        </w:tc>
        <w:tc>
          <w:tcPr>
            <w:tcW w:w="0" w:type="auto"/>
            <w:tcBorders>
              <w:top w:val="single" w:sz="8" w:space="0" w:color="7F7F7F"/>
              <w:left w:val="nil"/>
              <w:bottom w:val="single" w:sz="8" w:space="0" w:color="7F7F7F"/>
              <w:right w:val="nil"/>
            </w:tcBorders>
            <w:vAlign w:val="center"/>
            <w:hideMark/>
          </w:tcPr>
          <w:p w14:paraId="48C01786"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Epinard / </w:t>
            </w:r>
            <w:proofErr w:type="spellStart"/>
            <w:r w:rsidRPr="007C0956">
              <w:rPr>
                <w:rFonts w:ascii="Arial" w:hAnsi="Arial" w:cs="Arial"/>
                <w:color w:val="000000"/>
                <w:lang w:val="fr-FR" w:eastAsia="fr-FR"/>
              </w:rPr>
              <w:t>pinari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C53407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70DC74A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0FAA85B4" w14:textId="77777777" w:rsidTr="001F7E86">
        <w:trPr>
          <w:trHeight w:val="227"/>
        </w:trPr>
        <w:tc>
          <w:tcPr>
            <w:tcW w:w="0" w:type="auto"/>
            <w:tcBorders>
              <w:top w:val="nil"/>
              <w:left w:val="nil"/>
              <w:bottom w:val="nil"/>
              <w:right w:val="nil"/>
            </w:tcBorders>
            <w:vAlign w:val="center"/>
            <w:hideMark/>
          </w:tcPr>
          <w:p w14:paraId="6ACAAAA9"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Punica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granatum</w:t>
            </w:r>
            <w:proofErr w:type="spellEnd"/>
          </w:p>
        </w:tc>
        <w:tc>
          <w:tcPr>
            <w:tcW w:w="0" w:type="auto"/>
            <w:tcBorders>
              <w:top w:val="nil"/>
              <w:left w:val="nil"/>
              <w:bottom w:val="nil"/>
              <w:right w:val="nil"/>
            </w:tcBorders>
            <w:vAlign w:val="center"/>
            <w:hideMark/>
          </w:tcPr>
          <w:p w14:paraId="7C020BA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Punicaceae</w:t>
            </w:r>
            <w:proofErr w:type="spellEnd"/>
          </w:p>
        </w:tc>
        <w:tc>
          <w:tcPr>
            <w:tcW w:w="0" w:type="auto"/>
            <w:tcBorders>
              <w:top w:val="nil"/>
              <w:left w:val="nil"/>
              <w:bottom w:val="nil"/>
              <w:right w:val="nil"/>
            </w:tcBorders>
            <w:vAlign w:val="center"/>
            <w:hideMark/>
          </w:tcPr>
          <w:p w14:paraId="7585119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Grenadier / </w:t>
            </w:r>
            <w:proofErr w:type="spellStart"/>
            <w:r w:rsidRPr="007C0956">
              <w:rPr>
                <w:rFonts w:ascii="Arial" w:hAnsi="Arial" w:cs="Arial"/>
                <w:color w:val="000000"/>
                <w:lang w:val="fr-FR" w:eastAsia="fr-FR"/>
              </w:rPr>
              <w:t>grenadini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r w:rsidRPr="007C0956">
              <w:rPr>
                <w:rFonts w:ascii="Arial" w:hAnsi="Arial" w:cs="Arial"/>
                <w:color w:val="000000"/>
                <w:lang w:val="fr-FR" w:eastAsia="fr-FR"/>
              </w:rPr>
              <w:t xml:space="preserve"> </w:t>
            </w:r>
          </w:p>
        </w:tc>
        <w:tc>
          <w:tcPr>
            <w:tcW w:w="0" w:type="auto"/>
            <w:tcBorders>
              <w:top w:val="nil"/>
              <w:left w:val="nil"/>
              <w:bottom w:val="nil"/>
              <w:right w:val="nil"/>
            </w:tcBorders>
            <w:vAlign w:val="center"/>
            <w:hideMark/>
          </w:tcPr>
          <w:p w14:paraId="0D01335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nil"/>
              <w:left w:val="nil"/>
              <w:bottom w:val="nil"/>
              <w:right w:val="nil"/>
            </w:tcBorders>
            <w:vAlign w:val="center"/>
            <w:hideMark/>
          </w:tcPr>
          <w:p w14:paraId="021C385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262F95B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BD7F5EE"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Hibiscus L</w:t>
            </w:r>
          </w:p>
        </w:tc>
        <w:tc>
          <w:tcPr>
            <w:tcW w:w="0" w:type="auto"/>
            <w:tcBorders>
              <w:top w:val="single" w:sz="8" w:space="0" w:color="7F7F7F"/>
              <w:left w:val="nil"/>
              <w:bottom w:val="single" w:sz="8" w:space="0" w:color="7F7F7F"/>
              <w:right w:val="nil"/>
            </w:tcBorders>
            <w:vAlign w:val="center"/>
            <w:hideMark/>
          </w:tcPr>
          <w:p w14:paraId="47026408"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Malvaceae</w:t>
            </w:r>
            <w:proofErr w:type="spellEnd"/>
          </w:p>
        </w:tc>
        <w:tc>
          <w:tcPr>
            <w:tcW w:w="0" w:type="auto"/>
            <w:tcBorders>
              <w:top w:val="single" w:sz="8" w:space="0" w:color="7F7F7F"/>
              <w:left w:val="nil"/>
              <w:bottom w:val="single" w:sz="8" w:space="0" w:color="7F7F7F"/>
              <w:right w:val="nil"/>
            </w:tcBorders>
            <w:vAlign w:val="center"/>
            <w:hideMark/>
          </w:tcPr>
          <w:p w14:paraId="41C4661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Hibiscus / da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268C67E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7379E413"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5D43F299" w14:textId="77777777" w:rsidTr="001F7E86">
        <w:trPr>
          <w:trHeight w:val="227"/>
        </w:trPr>
        <w:tc>
          <w:tcPr>
            <w:tcW w:w="0" w:type="auto"/>
            <w:tcBorders>
              <w:top w:val="nil"/>
              <w:left w:val="nil"/>
              <w:bottom w:val="nil"/>
              <w:right w:val="nil"/>
            </w:tcBorders>
            <w:vAlign w:val="center"/>
            <w:hideMark/>
          </w:tcPr>
          <w:p w14:paraId="0A8FDEE9"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Abelmoschus</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esculentus</w:t>
            </w:r>
            <w:proofErr w:type="spellEnd"/>
          </w:p>
        </w:tc>
        <w:tc>
          <w:tcPr>
            <w:tcW w:w="0" w:type="auto"/>
            <w:tcBorders>
              <w:top w:val="nil"/>
              <w:left w:val="nil"/>
              <w:bottom w:val="nil"/>
              <w:right w:val="nil"/>
            </w:tcBorders>
            <w:vAlign w:val="center"/>
            <w:hideMark/>
          </w:tcPr>
          <w:p w14:paraId="4C67380E" w14:textId="69839F0E" w:rsidR="007C0956" w:rsidRPr="007C0956" w:rsidRDefault="001F7E86" w:rsidP="001F7E86">
            <w:pPr>
              <w:jc w:val="both"/>
              <w:rPr>
                <w:rFonts w:ascii="Arial" w:hAnsi="Arial" w:cs="Arial"/>
                <w:i/>
                <w:iCs/>
                <w:color w:val="000000"/>
                <w:lang w:val="fr-FR" w:eastAsia="fr-FR"/>
              </w:rPr>
            </w:pPr>
            <w:proofErr w:type="spellStart"/>
            <w:r w:rsidRPr="001F7E86">
              <w:rPr>
                <w:rFonts w:ascii="Arial" w:hAnsi="Arial" w:cs="Arial"/>
                <w:lang w:val="fr-FR"/>
              </w:rPr>
              <w:t>Malvaceae</w:t>
            </w:r>
            <w:proofErr w:type="spellEnd"/>
          </w:p>
        </w:tc>
        <w:tc>
          <w:tcPr>
            <w:tcW w:w="0" w:type="auto"/>
            <w:tcBorders>
              <w:top w:val="nil"/>
              <w:left w:val="nil"/>
              <w:bottom w:val="nil"/>
              <w:right w:val="nil"/>
            </w:tcBorders>
            <w:vAlign w:val="center"/>
            <w:hideMark/>
          </w:tcPr>
          <w:p w14:paraId="2EDE5FC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Gombo / gan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40C53D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nil"/>
              <w:left w:val="nil"/>
              <w:bottom w:val="nil"/>
              <w:right w:val="nil"/>
            </w:tcBorders>
            <w:vAlign w:val="center"/>
            <w:hideMark/>
          </w:tcPr>
          <w:p w14:paraId="07F8579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2CC4AE90"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2BEB5C5"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Daucus </w:t>
            </w:r>
            <w:proofErr w:type="spellStart"/>
            <w:r w:rsidRPr="007C0956">
              <w:rPr>
                <w:rFonts w:ascii="Arial" w:hAnsi="Arial" w:cs="Arial"/>
                <w:i/>
                <w:iCs/>
                <w:color w:val="000000"/>
                <w:lang w:val="fr-FR" w:eastAsia="fr-FR"/>
              </w:rPr>
              <w:t>carota</w:t>
            </w:r>
            <w:proofErr w:type="spellEnd"/>
          </w:p>
        </w:tc>
        <w:tc>
          <w:tcPr>
            <w:tcW w:w="0" w:type="auto"/>
            <w:tcBorders>
              <w:top w:val="single" w:sz="8" w:space="0" w:color="7F7F7F"/>
              <w:left w:val="nil"/>
              <w:bottom w:val="single" w:sz="8" w:space="0" w:color="7F7F7F"/>
              <w:right w:val="nil"/>
            </w:tcBorders>
            <w:vAlign w:val="center"/>
            <w:hideMark/>
          </w:tcPr>
          <w:p w14:paraId="39500668"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Apiaceae</w:t>
            </w:r>
            <w:proofErr w:type="spellEnd"/>
          </w:p>
        </w:tc>
        <w:tc>
          <w:tcPr>
            <w:tcW w:w="0" w:type="auto"/>
            <w:tcBorders>
              <w:top w:val="single" w:sz="8" w:space="0" w:color="7F7F7F"/>
              <w:left w:val="nil"/>
              <w:bottom w:val="single" w:sz="8" w:space="0" w:color="7F7F7F"/>
              <w:right w:val="nil"/>
            </w:tcBorders>
            <w:vAlign w:val="center"/>
            <w:hideMark/>
          </w:tcPr>
          <w:p w14:paraId="4E129454"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Caotier</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caroti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39D13E7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2B566746"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6069A86F" w14:textId="77777777" w:rsidTr="001F7E86">
        <w:trPr>
          <w:trHeight w:val="227"/>
        </w:trPr>
        <w:tc>
          <w:tcPr>
            <w:tcW w:w="0" w:type="auto"/>
            <w:tcBorders>
              <w:top w:val="nil"/>
              <w:left w:val="nil"/>
              <w:bottom w:val="nil"/>
              <w:right w:val="nil"/>
            </w:tcBorders>
            <w:vAlign w:val="center"/>
            <w:hideMark/>
          </w:tcPr>
          <w:p w14:paraId="1069A4C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Persea</w:t>
            </w:r>
            <w:proofErr w:type="spellEnd"/>
            <w:r w:rsidRPr="007C0956">
              <w:rPr>
                <w:rFonts w:ascii="Arial" w:hAnsi="Arial" w:cs="Arial"/>
                <w:i/>
                <w:iCs/>
                <w:color w:val="000000"/>
                <w:lang w:val="fr-FR" w:eastAsia="fr-FR"/>
              </w:rPr>
              <w:t xml:space="preserve"> americana</w:t>
            </w:r>
          </w:p>
        </w:tc>
        <w:tc>
          <w:tcPr>
            <w:tcW w:w="0" w:type="auto"/>
            <w:tcBorders>
              <w:top w:val="nil"/>
              <w:left w:val="nil"/>
              <w:bottom w:val="nil"/>
              <w:right w:val="nil"/>
            </w:tcBorders>
            <w:vAlign w:val="center"/>
            <w:hideMark/>
          </w:tcPr>
          <w:p w14:paraId="3FE23CC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Lauraceae</w:t>
            </w:r>
            <w:proofErr w:type="spellEnd"/>
          </w:p>
        </w:tc>
        <w:tc>
          <w:tcPr>
            <w:tcW w:w="0" w:type="auto"/>
            <w:tcBorders>
              <w:top w:val="nil"/>
              <w:left w:val="nil"/>
              <w:bottom w:val="nil"/>
              <w:right w:val="nil"/>
            </w:tcBorders>
            <w:vAlign w:val="center"/>
            <w:hideMark/>
          </w:tcPr>
          <w:p w14:paraId="6543899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Avocatier / </w:t>
            </w:r>
            <w:proofErr w:type="spellStart"/>
            <w:r w:rsidRPr="007C0956">
              <w:rPr>
                <w:rFonts w:ascii="Arial" w:hAnsi="Arial" w:cs="Arial"/>
                <w:color w:val="000000"/>
                <w:lang w:val="fr-FR" w:eastAsia="fr-FR"/>
              </w:rPr>
              <w:t>avoca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yiri</w:t>
            </w:r>
            <w:proofErr w:type="spellEnd"/>
          </w:p>
        </w:tc>
        <w:tc>
          <w:tcPr>
            <w:tcW w:w="0" w:type="auto"/>
            <w:tcBorders>
              <w:top w:val="nil"/>
              <w:left w:val="nil"/>
              <w:bottom w:val="nil"/>
              <w:right w:val="nil"/>
            </w:tcBorders>
            <w:vAlign w:val="center"/>
            <w:hideMark/>
          </w:tcPr>
          <w:p w14:paraId="6B0369F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nil"/>
              <w:left w:val="nil"/>
              <w:bottom w:val="nil"/>
              <w:right w:val="nil"/>
            </w:tcBorders>
            <w:vAlign w:val="center"/>
            <w:hideMark/>
          </w:tcPr>
          <w:p w14:paraId="7D05BE7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73318FA9"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06FA13C"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Manihot </w:t>
            </w:r>
            <w:proofErr w:type="spellStart"/>
            <w:r w:rsidRPr="007C0956">
              <w:rPr>
                <w:rFonts w:ascii="Arial" w:hAnsi="Arial" w:cs="Arial"/>
                <w:i/>
                <w:iCs/>
                <w:color w:val="000000"/>
                <w:lang w:val="fr-FR" w:eastAsia="fr-FR"/>
              </w:rPr>
              <w:t>esculenta</w:t>
            </w:r>
            <w:proofErr w:type="spellEnd"/>
          </w:p>
        </w:tc>
        <w:tc>
          <w:tcPr>
            <w:tcW w:w="0" w:type="auto"/>
            <w:tcBorders>
              <w:top w:val="nil"/>
              <w:left w:val="nil"/>
              <w:bottom w:val="single" w:sz="8" w:space="0" w:color="7F7F7F"/>
              <w:right w:val="nil"/>
            </w:tcBorders>
            <w:vAlign w:val="center"/>
            <w:hideMark/>
          </w:tcPr>
          <w:p w14:paraId="65895EC0"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Euphorbiaceae</w:t>
            </w:r>
            <w:proofErr w:type="spellEnd"/>
          </w:p>
        </w:tc>
        <w:tc>
          <w:tcPr>
            <w:tcW w:w="0" w:type="auto"/>
            <w:tcBorders>
              <w:top w:val="single" w:sz="8" w:space="0" w:color="7F7F7F"/>
              <w:left w:val="nil"/>
              <w:bottom w:val="single" w:sz="8" w:space="0" w:color="7F7F7F"/>
              <w:right w:val="nil"/>
            </w:tcBorders>
            <w:vAlign w:val="center"/>
            <w:hideMark/>
          </w:tcPr>
          <w:p w14:paraId="6204D16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Manioc / </w:t>
            </w:r>
            <w:proofErr w:type="spellStart"/>
            <w:r w:rsidRPr="007C0956">
              <w:rPr>
                <w:rFonts w:ascii="Arial" w:hAnsi="Arial" w:cs="Arial"/>
                <w:color w:val="000000"/>
                <w:lang w:val="fr-FR" w:eastAsia="fr-FR"/>
              </w:rPr>
              <w:t>banaku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DE32F1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single" w:sz="8" w:space="0" w:color="7F7F7F"/>
              <w:left w:val="nil"/>
              <w:bottom w:val="single" w:sz="8" w:space="0" w:color="7F7F7F"/>
              <w:right w:val="nil"/>
            </w:tcBorders>
            <w:vAlign w:val="center"/>
            <w:hideMark/>
          </w:tcPr>
          <w:p w14:paraId="3F92862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5780196A" w14:textId="77777777" w:rsidTr="001F7E86">
        <w:trPr>
          <w:trHeight w:val="227"/>
        </w:trPr>
        <w:tc>
          <w:tcPr>
            <w:tcW w:w="0" w:type="auto"/>
            <w:tcBorders>
              <w:top w:val="nil"/>
              <w:left w:val="nil"/>
              <w:bottom w:val="nil"/>
              <w:right w:val="nil"/>
            </w:tcBorders>
            <w:vAlign w:val="center"/>
            <w:hideMark/>
          </w:tcPr>
          <w:p w14:paraId="4F612C26"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Phoenix </w:t>
            </w:r>
            <w:proofErr w:type="spellStart"/>
            <w:r w:rsidRPr="007C0956">
              <w:rPr>
                <w:rFonts w:ascii="Arial" w:hAnsi="Arial" w:cs="Arial"/>
                <w:i/>
                <w:iCs/>
                <w:color w:val="000000"/>
                <w:lang w:val="fr-FR" w:eastAsia="fr-FR"/>
              </w:rPr>
              <w:t>dactylifera</w:t>
            </w:r>
            <w:proofErr w:type="spellEnd"/>
          </w:p>
        </w:tc>
        <w:tc>
          <w:tcPr>
            <w:tcW w:w="0" w:type="auto"/>
            <w:tcBorders>
              <w:top w:val="nil"/>
              <w:left w:val="nil"/>
              <w:bottom w:val="nil"/>
              <w:right w:val="nil"/>
            </w:tcBorders>
            <w:vAlign w:val="center"/>
            <w:hideMark/>
          </w:tcPr>
          <w:p w14:paraId="5DE77B0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Arecaceae</w:t>
            </w:r>
            <w:proofErr w:type="spellEnd"/>
          </w:p>
        </w:tc>
        <w:tc>
          <w:tcPr>
            <w:tcW w:w="0" w:type="auto"/>
            <w:tcBorders>
              <w:top w:val="nil"/>
              <w:left w:val="nil"/>
              <w:bottom w:val="nil"/>
              <w:right w:val="nil"/>
            </w:tcBorders>
            <w:vAlign w:val="center"/>
            <w:hideMark/>
          </w:tcPr>
          <w:p w14:paraId="1468AC5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Dattier / </w:t>
            </w:r>
            <w:proofErr w:type="spellStart"/>
            <w:r w:rsidRPr="007C0956">
              <w:rPr>
                <w:rFonts w:ascii="Arial" w:hAnsi="Arial" w:cs="Arial"/>
                <w:color w:val="000000"/>
                <w:lang w:val="fr-FR" w:eastAsia="fr-FR"/>
              </w:rPr>
              <w:t>tamaro</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yiri</w:t>
            </w:r>
            <w:proofErr w:type="spellEnd"/>
          </w:p>
        </w:tc>
        <w:tc>
          <w:tcPr>
            <w:tcW w:w="0" w:type="auto"/>
            <w:tcBorders>
              <w:top w:val="nil"/>
              <w:left w:val="nil"/>
              <w:bottom w:val="nil"/>
              <w:right w:val="nil"/>
            </w:tcBorders>
            <w:vAlign w:val="center"/>
            <w:hideMark/>
          </w:tcPr>
          <w:p w14:paraId="0EA860C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nil"/>
              <w:left w:val="nil"/>
              <w:bottom w:val="nil"/>
              <w:right w:val="nil"/>
            </w:tcBorders>
            <w:vAlign w:val="center"/>
            <w:hideMark/>
          </w:tcPr>
          <w:p w14:paraId="6C9627C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32076664" w14:textId="77777777" w:rsidTr="001F7E86">
        <w:trPr>
          <w:trHeight w:val="227"/>
        </w:trPr>
        <w:tc>
          <w:tcPr>
            <w:tcW w:w="0" w:type="auto"/>
            <w:tcBorders>
              <w:top w:val="single" w:sz="8" w:space="0" w:color="7F7F7F"/>
              <w:left w:val="nil"/>
              <w:bottom w:val="single" w:sz="8" w:space="0" w:color="7F7F7F"/>
              <w:right w:val="nil"/>
            </w:tcBorders>
            <w:vAlign w:val="center"/>
            <w:hideMark/>
          </w:tcPr>
          <w:p w14:paraId="685BCC8D"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Ziziphus </w:t>
            </w:r>
          </w:p>
        </w:tc>
        <w:tc>
          <w:tcPr>
            <w:tcW w:w="0" w:type="auto"/>
            <w:tcBorders>
              <w:top w:val="single" w:sz="8" w:space="0" w:color="7F7F7F"/>
              <w:left w:val="nil"/>
              <w:bottom w:val="single" w:sz="8" w:space="0" w:color="7F7F7F"/>
              <w:right w:val="nil"/>
            </w:tcBorders>
            <w:vAlign w:val="center"/>
            <w:hideMark/>
          </w:tcPr>
          <w:p w14:paraId="24C31D48"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Zingiberaceae</w:t>
            </w:r>
            <w:proofErr w:type="spellEnd"/>
          </w:p>
        </w:tc>
        <w:tc>
          <w:tcPr>
            <w:tcW w:w="0" w:type="auto"/>
            <w:tcBorders>
              <w:top w:val="single" w:sz="8" w:space="0" w:color="7F7F7F"/>
              <w:left w:val="nil"/>
              <w:bottom w:val="single" w:sz="8" w:space="0" w:color="7F7F7F"/>
              <w:right w:val="nil"/>
            </w:tcBorders>
            <w:vAlign w:val="center"/>
            <w:hideMark/>
          </w:tcPr>
          <w:p w14:paraId="6C4727B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Jujubier / </w:t>
            </w:r>
            <w:proofErr w:type="spellStart"/>
            <w:r w:rsidRPr="007C0956">
              <w:rPr>
                <w:rFonts w:ascii="Arial" w:hAnsi="Arial" w:cs="Arial"/>
                <w:color w:val="000000"/>
                <w:lang w:val="fr-FR" w:eastAsia="fr-FR"/>
              </w:rPr>
              <w:t>tomonon</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0CCCD5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4BEF2FB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3BCFC8BF" w14:textId="77777777" w:rsidTr="001F7E86">
        <w:trPr>
          <w:trHeight w:val="227"/>
        </w:trPr>
        <w:tc>
          <w:tcPr>
            <w:tcW w:w="0" w:type="auto"/>
            <w:tcBorders>
              <w:top w:val="nil"/>
              <w:left w:val="nil"/>
              <w:bottom w:val="nil"/>
              <w:right w:val="nil"/>
            </w:tcBorders>
            <w:vAlign w:val="center"/>
            <w:hideMark/>
          </w:tcPr>
          <w:p w14:paraId="60EFCB84"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Olea </w:t>
            </w:r>
            <w:proofErr w:type="spellStart"/>
            <w:r w:rsidRPr="007C0956">
              <w:rPr>
                <w:rFonts w:ascii="Arial" w:hAnsi="Arial" w:cs="Arial"/>
                <w:i/>
                <w:iCs/>
                <w:color w:val="000000"/>
                <w:lang w:val="fr-FR" w:eastAsia="fr-FR"/>
              </w:rPr>
              <w:t>europaea</w:t>
            </w:r>
            <w:proofErr w:type="spellEnd"/>
          </w:p>
        </w:tc>
        <w:tc>
          <w:tcPr>
            <w:tcW w:w="0" w:type="auto"/>
            <w:tcBorders>
              <w:top w:val="nil"/>
              <w:left w:val="nil"/>
              <w:bottom w:val="nil"/>
              <w:right w:val="nil"/>
            </w:tcBorders>
            <w:vAlign w:val="center"/>
            <w:hideMark/>
          </w:tcPr>
          <w:p w14:paraId="6A5F61D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Oleaceae</w:t>
            </w:r>
            <w:proofErr w:type="spellEnd"/>
          </w:p>
        </w:tc>
        <w:tc>
          <w:tcPr>
            <w:tcW w:w="0" w:type="auto"/>
            <w:tcBorders>
              <w:top w:val="nil"/>
              <w:left w:val="nil"/>
              <w:bottom w:val="nil"/>
              <w:right w:val="nil"/>
            </w:tcBorders>
            <w:vAlign w:val="center"/>
            <w:hideMark/>
          </w:tcPr>
          <w:p w14:paraId="68395B9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Olive / olive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7B7C35B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67261A6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37230DA5"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D550D5F"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Solanum </w:t>
            </w:r>
            <w:proofErr w:type="spellStart"/>
            <w:r w:rsidRPr="007C0956">
              <w:rPr>
                <w:rFonts w:ascii="Arial" w:hAnsi="Arial" w:cs="Arial"/>
                <w:i/>
                <w:iCs/>
                <w:color w:val="000000"/>
                <w:lang w:val="fr-FR" w:eastAsia="fr-FR"/>
              </w:rPr>
              <w:t>lycopersicum</w:t>
            </w:r>
            <w:proofErr w:type="spellEnd"/>
            <w:r w:rsidRPr="007C0956">
              <w:rPr>
                <w:rFonts w:ascii="Arial" w:hAnsi="Arial" w:cs="Arial"/>
                <w:i/>
                <w:iCs/>
                <w:color w:val="000000"/>
                <w:lang w:val="fr-FR" w:eastAsia="fr-FR"/>
              </w:rPr>
              <w:t xml:space="preserve"> L </w:t>
            </w:r>
          </w:p>
        </w:tc>
        <w:tc>
          <w:tcPr>
            <w:tcW w:w="0" w:type="auto"/>
            <w:tcBorders>
              <w:top w:val="single" w:sz="8" w:space="0" w:color="7F7F7F"/>
              <w:left w:val="nil"/>
              <w:bottom w:val="single" w:sz="8" w:space="0" w:color="7F7F7F"/>
              <w:right w:val="nil"/>
            </w:tcBorders>
            <w:vAlign w:val="center"/>
            <w:hideMark/>
          </w:tcPr>
          <w:p w14:paraId="32EEC204"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Solanaceae</w:t>
            </w:r>
            <w:proofErr w:type="spellEnd"/>
          </w:p>
        </w:tc>
        <w:tc>
          <w:tcPr>
            <w:tcW w:w="0" w:type="auto"/>
            <w:tcBorders>
              <w:top w:val="single" w:sz="8" w:space="0" w:color="7F7F7F"/>
              <w:left w:val="nil"/>
              <w:bottom w:val="single" w:sz="8" w:space="0" w:color="7F7F7F"/>
              <w:right w:val="nil"/>
            </w:tcBorders>
            <w:vAlign w:val="center"/>
            <w:hideMark/>
          </w:tcPr>
          <w:p w14:paraId="0C95D86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Tomate / </w:t>
            </w:r>
            <w:proofErr w:type="spellStart"/>
            <w:r w:rsidRPr="007C0956">
              <w:rPr>
                <w:rFonts w:ascii="Arial" w:hAnsi="Arial" w:cs="Arial"/>
                <w:color w:val="000000"/>
                <w:lang w:val="fr-FR" w:eastAsia="fr-FR"/>
              </w:rPr>
              <w:t>tamati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B9B2BF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AF3D44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174E61F8" w14:textId="77777777" w:rsidTr="001F7E86">
        <w:trPr>
          <w:trHeight w:val="227"/>
        </w:trPr>
        <w:tc>
          <w:tcPr>
            <w:tcW w:w="0" w:type="auto"/>
            <w:tcBorders>
              <w:top w:val="nil"/>
              <w:left w:val="nil"/>
              <w:bottom w:val="nil"/>
              <w:right w:val="nil"/>
            </w:tcBorders>
            <w:vAlign w:val="center"/>
            <w:hideMark/>
          </w:tcPr>
          <w:p w14:paraId="56CF3DB8"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Ipomoea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batatas</w:t>
            </w:r>
            <w:proofErr w:type="spellEnd"/>
          </w:p>
        </w:tc>
        <w:tc>
          <w:tcPr>
            <w:tcW w:w="0" w:type="auto"/>
            <w:tcBorders>
              <w:top w:val="nil"/>
              <w:left w:val="nil"/>
              <w:bottom w:val="single" w:sz="8" w:space="0" w:color="7F7F7F"/>
              <w:right w:val="nil"/>
            </w:tcBorders>
            <w:vAlign w:val="center"/>
            <w:hideMark/>
          </w:tcPr>
          <w:p w14:paraId="677FA052"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Convulvulaceae</w:t>
            </w:r>
            <w:proofErr w:type="spellEnd"/>
          </w:p>
        </w:tc>
        <w:tc>
          <w:tcPr>
            <w:tcW w:w="0" w:type="auto"/>
            <w:tcBorders>
              <w:top w:val="nil"/>
              <w:left w:val="nil"/>
              <w:bottom w:val="nil"/>
              <w:right w:val="nil"/>
            </w:tcBorders>
            <w:vAlign w:val="center"/>
            <w:hideMark/>
          </w:tcPr>
          <w:p w14:paraId="263659E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Patate / </w:t>
            </w:r>
            <w:proofErr w:type="spellStart"/>
            <w:r w:rsidRPr="007C0956">
              <w:rPr>
                <w:rFonts w:ascii="Arial" w:hAnsi="Arial" w:cs="Arial"/>
                <w:color w:val="000000"/>
                <w:lang w:val="fr-FR" w:eastAsia="fr-FR"/>
              </w:rPr>
              <w:t>wosso</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0E2302C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702D5CC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591CD86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351128CF"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Vitis </w:t>
            </w:r>
            <w:proofErr w:type="spellStart"/>
            <w:r w:rsidRPr="007C0956">
              <w:rPr>
                <w:rFonts w:ascii="Arial" w:hAnsi="Arial" w:cs="Arial"/>
                <w:i/>
                <w:iCs/>
                <w:color w:val="000000"/>
                <w:lang w:val="fr-FR" w:eastAsia="fr-FR"/>
              </w:rPr>
              <w:t>vea</w:t>
            </w:r>
            <w:proofErr w:type="spellEnd"/>
          </w:p>
        </w:tc>
        <w:tc>
          <w:tcPr>
            <w:tcW w:w="0" w:type="auto"/>
            <w:tcBorders>
              <w:top w:val="single" w:sz="8" w:space="0" w:color="7F7F7F"/>
              <w:left w:val="nil"/>
              <w:bottom w:val="single" w:sz="4" w:space="0" w:color="auto"/>
              <w:right w:val="nil"/>
            </w:tcBorders>
            <w:vAlign w:val="center"/>
            <w:hideMark/>
          </w:tcPr>
          <w:p w14:paraId="6E574C23"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Vitaceae</w:t>
            </w:r>
            <w:proofErr w:type="spellEnd"/>
          </w:p>
        </w:tc>
        <w:tc>
          <w:tcPr>
            <w:tcW w:w="0" w:type="auto"/>
            <w:tcBorders>
              <w:top w:val="single" w:sz="8" w:space="0" w:color="7F7F7F"/>
              <w:left w:val="nil"/>
              <w:bottom w:val="single" w:sz="8" w:space="0" w:color="7F7F7F"/>
              <w:right w:val="nil"/>
            </w:tcBorders>
            <w:vAlign w:val="center"/>
            <w:hideMark/>
          </w:tcPr>
          <w:p w14:paraId="2610CAB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Raisin / toubabou </w:t>
            </w:r>
            <w:proofErr w:type="spellStart"/>
            <w:r w:rsidRPr="007C0956">
              <w:rPr>
                <w:rFonts w:ascii="Arial" w:hAnsi="Arial" w:cs="Arial"/>
                <w:color w:val="000000"/>
                <w:lang w:val="fr-FR" w:eastAsia="fr-FR"/>
              </w:rPr>
              <w:t>pekou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D3E570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0B9E75E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7EBFA0FD" w14:textId="77777777" w:rsidTr="001F7E86">
        <w:trPr>
          <w:trHeight w:val="227"/>
        </w:trPr>
        <w:tc>
          <w:tcPr>
            <w:tcW w:w="0" w:type="auto"/>
            <w:tcBorders>
              <w:top w:val="nil"/>
              <w:left w:val="nil"/>
              <w:bottom w:val="nil"/>
              <w:right w:val="nil"/>
            </w:tcBorders>
            <w:vAlign w:val="center"/>
            <w:hideMark/>
          </w:tcPr>
          <w:p w14:paraId="42A7EDCB"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Parkia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biglobosa</w:t>
            </w:r>
            <w:proofErr w:type="spellEnd"/>
          </w:p>
        </w:tc>
        <w:tc>
          <w:tcPr>
            <w:tcW w:w="0" w:type="auto"/>
            <w:tcBorders>
              <w:top w:val="single" w:sz="4" w:space="0" w:color="auto"/>
              <w:left w:val="nil"/>
              <w:bottom w:val="single" w:sz="8" w:space="0" w:color="7F7F7F"/>
              <w:right w:val="nil"/>
            </w:tcBorders>
            <w:vAlign w:val="center"/>
            <w:hideMark/>
          </w:tcPr>
          <w:p w14:paraId="3F5A6BEC" w14:textId="27DBECCD"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Fabaceae</w:t>
            </w:r>
            <w:proofErr w:type="spellEnd"/>
          </w:p>
        </w:tc>
        <w:tc>
          <w:tcPr>
            <w:tcW w:w="0" w:type="auto"/>
            <w:tcBorders>
              <w:top w:val="nil"/>
              <w:left w:val="nil"/>
              <w:bottom w:val="nil"/>
              <w:right w:val="nil"/>
            </w:tcBorders>
            <w:vAlign w:val="center"/>
            <w:hideMark/>
          </w:tcPr>
          <w:p w14:paraId="0AEB1B26"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Porkia</w:t>
            </w:r>
            <w:proofErr w:type="spellEnd"/>
            <w:r w:rsidRPr="007C0956">
              <w:rPr>
                <w:rFonts w:ascii="Arial" w:hAnsi="Arial" w:cs="Arial"/>
                <w:color w:val="000000"/>
                <w:lang w:val="fr-FR" w:eastAsia="fr-FR"/>
              </w:rPr>
              <w:t> / néré</w:t>
            </w:r>
          </w:p>
        </w:tc>
        <w:tc>
          <w:tcPr>
            <w:tcW w:w="0" w:type="auto"/>
            <w:tcBorders>
              <w:top w:val="nil"/>
              <w:left w:val="nil"/>
              <w:bottom w:val="nil"/>
              <w:right w:val="nil"/>
            </w:tcBorders>
            <w:vAlign w:val="center"/>
            <w:hideMark/>
          </w:tcPr>
          <w:p w14:paraId="787D2F2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7588089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0A70F60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88FF30A"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Zingibier</w:t>
            </w:r>
            <w:proofErr w:type="spellEnd"/>
            <w:r w:rsidRPr="007C0956">
              <w:rPr>
                <w:rFonts w:ascii="Arial" w:hAnsi="Arial" w:cs="Arial"/>
                <w:i/>
                <w:iCs/>
                <w:color w:val="000000"/>
                <w:lang w:val="fr-FR" w:eastAsia="fr-FR"/>
              </w:rPr>
              <w:t xml:space="preserve"> officinale</w:t>
            </w:r>
          </w:p>
        </w:tc>
        <w:tc>
          <w:tcPr>
            <w:tcW w:w="0" w:type="auto"/>
            <w:tcBorders>
              <w:top w:val="nil"/>
              <w:left w:val="nil"/>
              <w:bottom w:val="single" w:sz="8" w:space="0" w:color="7F7F7F"/>
              <w:right w:val="nil"/>
            </w:tcBorders>
            <w:vAlign w:val="center"/>
            <w:hideMark/>
          </w:tcPr>
          <w:p w14:paraId="656B741D"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Rhamnaceae</w:t>
            </w:r>
            <w:proofErr w:type="spellEnd"/>
          </w:p>
        </w:tc>
        <w:tc>
          <w:tcPr>
            <w:tcW w:w="0" w:type="auto"/>
            <w:tcBorders>
              <w:top w:val="single" w:sz="8" w:space="0" w:color="7F7F7F"/>
              <w:left w:val="nil"/>
              <w:bottom w:val="single" w:sz="8" w:space="0" w:color="7F7F7F"/>
              <w:right w:val="nil"/>
            </w:tcBorders>
            <w:vAlign w:val="center"/>
            <w:hideMark/>
          </w:tcPr>
          <w:p w14:paraId="66526030"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Jingembre</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yanmakou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141019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5E76DE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04532085" w14:textId="77777777" w:rsidTr="001F7E86">
        <w:trPr>
          <w:trHeight w:val="227"/>
        </w:trPr>
        <w:tc>
          <w:tcPr>
            <w:tcW w:w="0" w:type="auto"/>
            <w:tcBorders>
              <w:top w:val="nil"/>
              <w:left w:val="nil"/>
              <w:bottom w:val="nil"/>
              <w:right w:val="nil"/>
            </w:tcBorders>
            <w:vAlign w:val="center"/>
            <w:hideMark/>
          </w:tcPr>
          <w:p w14:paraId="2A9BB3E0"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Allium </w:t>
            </w:r>
            <w:proofErr w:type="spellStart"/>
            <w:r w:rsidRPr="007C0956">
              <w:rPr>
                <w:rFonts w:ascii="Arial" w:hAnsi="Arial" w:cs="Arial"/>
                <w:i/>
                <w:iCs/>
                <w:color w:val="000000"/>
                <w:lang w:val="fr-FR" w:eastAsia="fr-FR"/>
              </w:rPr>
              <w:t>cepa</w:t>
            </w:r>
            <w:proofErr w:type="spellEnd"/>
            <w:r w:rsidRPr="007C0956">
              <w:rPr>
                <w:rFonts w:ascii="Arial" w:hAnsi="Arial" w:cs="Arial"/>
                <w:i/>
                <w:iCs/>
                <w:color w:val="000000"/>
                <w:lang w:val="fr-FR" w:eastAsia="fr-FR"/>
              </w:rPr>
              <w:t xml:space="preserve"> L</w:t>
            </w:r>
          </w:p>
        </w:tc>
        <w:tc>
          <w:tcPr>
            <w:tcW w:w="0" w:type="auto"/>
            <w:tcBorders>
              <w:top w:val="nil"/>
              <w:left w:val="nil"/>
              <w:bottom w:val="nil"/>
              <w:right w:val="nil"/>
            </w:tcBorders>
            <w:vAlign w:val="center"/>
            <w:hideMark/>
          </w:tcPr>
          <w:p w14:paraId="325074D6"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Liliaceae</w:t>
            </w:r>
            <w:proofErr w:type="spellEnd"/>
          </w:p>
        </w:tc>
        <w:tc>
          <w:tcPr>
            <w:tcW w:w="0" w:type="auto"/>
            <w:tcBorders>
              <w:top w:val="nil"/>
              <w:left w:val="nil"/>
              <w:bottom w:val="nil"/>
              <w:right w:val="nil"/>
            </w:tcBorders>
            <w:vAlign w:val="center"/>
            <w:hideMark/>
          </w:tcPr>
          <w:p w14:paraId="539F152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Oignon / </w:t>
            </w:r>
            <w:proofErr w:type="spellStart"/>
            <w:r w:rsidRPr="007C0956">
              <w:rPr>
                <w:rFonts w:ascii="Arial" w:hAnsi="Arial" w:cs="Arial"/>
                <w:color w:val="000000"/>
                <w:lang w:val="fr-FR" w:eastAsia="fr-FR"/>
              </w:rPr>
              <w:t>djaba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18FA4F3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55BE65C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4802CD5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04133BA7"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Citrus maxima</w:t>
            </w:r>
          </w:p>
        </w:tc>
        <w:tc>
          <w:tcPr>
            <w:tcW w:w="0" w:type="auto"/>
            <w:tcBorders>
              <w:top w:val="single" w:sz="8" w:space="0" w:color="7F7F7F"/>
              <w:left w:val="nil"/>
              <w:bottom w:val="single" w:sz="8" w:space="0" w:color="7F7F7F"/>
              <w:right w:val="nil"/>
            </w:tcBorders>
            <w:vAlign w:val="center"/>
            <w:hideMark/>
          </w:tcPr>
          <w:p w14:paraId="70E42505" w14:textId="5C8903C4"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Rutaceae</w:t>
            </w:r>
            <w:proofErr w:type="spellEnd"/>
          </w:p>
        </w:tc>
        <w:tc>
          <w:tcPr>
            <w:tcW w:w="0" w:type="auto"/>
            <w:tcBorders>
              <w:top w:val="single" w:sz="8" w:space="0" w:color="7F7F7F"/>
              <w:left w:val="nil"/>
              <w:bottom w:val="single" w:sz="8" w:space="0" w:color="7F7F7F"/>
              <w:right w:val="nil"/>
            </w:tcBorders>
            <w:vAlign w:val="center"/>
            <w:hideMark/>
          </w:tcPr>
          <w:p w14:paraId="7B6D293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Pamplemousse / </w:t>
            </w:r>
            <w:proofErr w:type="spellStart"/>
            <w:r w:rsidRPr="007C0956">
              <w:rPr>
                <w:rFonts w:ascii="Arial" w:hAnsi="Arial" w:cs="Arial"/>
                <w:color w:val="000000"/>
                <w:lang w:val="fr-FR" w:eastAsia="fr-FR"/>
              </w:rPr>
              <w:t>pampulemusi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25D36C0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AE3961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bl>
    <w:p w14:paraId="1BB90397" w14:textId="61AF87E8" w:rsidR="007C0956" w:rsidRDefault="007C0956" w:rsidP="00441B6F">
      <w:pPr>
        <w:pStyle w:val="Body"/>
        <w:spacing w:after="0"/>
        <w:rPr>
          <w:rFonts w:ascii="Arial" w:hAnsi="Arial" w:cs="Arial"/>
        </w:rPr>
        <w:sectPr w:rsidR="007C0956" w:rsidSect="00A028F8">
          <w:headerReference w:type="even" r:id="rId20"/>
          <w:headerReference w:type="default" r:id="rId21"/>
          <w:headerReference w:type="first" r:id="rId22"/>
          <w:pgSz w:w="15840" w:h="12240" w:orient="landscape"/>
          <w:pgMar w:top="2016" w:right="1440" w:bottom="2016" w:left="2016" w:header="720" w:footer="1123" w:gutter="0"/>
          <w:cols w:space="720"/>
          <w:docGrid w:linePitch="272"/>
        </w:sectPr>
      </w:pPr>
    </w:p>
    <w:p w14:paraId="71641E95" w14:textId="2818CDAA" w:rsidR="00B3360C" w:rsidRDefault="00B3360C" w:rsidP="00566C44">
      <w:pPr>
        <w:spacing w:line="276" w:lineRule="auto"/>
        <w:outlineLvl w:val="1"/>
      </w:pPr>
      <w:r w:rsidRPr="00B3360C">
        <w:rPr>
          <w:b/>
        </w:rPr>
        <w:lastRenderedPageBreak/>
        <w:t>3.</w:t>
      </w:r>
      <w:r w:rsidR="001A7C67">
        <w:rPr>
          <w:b/>
        </w:rPr>
        <w:t>2</w:t>
      </w:r>
      <w:r w:rsidRPr="00B3360C">
        <w:rPr>
          <w:b/>
        </w:rPr>
        <w:t xml:space="preserve"> </w:t>
      </w:r>
      <w:r>
        <w:rPr>
          <w:b/>
        </w:rPr>
        <w:t xml:space="preserve">Antidiabetic Plants among </w:t>
      </w:r>
      <w:r w:rsidRPr="00B3360C">
        <w:rPr>
          <w:b/>
        </w:rPr>
        <w:t xml:space="preserve">Domesticated </w:t>
      </w:r>
      <w:r w:rsidR="00097F28">
        <w:rPr>
          <w:b/>
        </w:rPr>
        <w:t>edible</w:t>
      </w:r>
      <w:r w:rsidR="00F31EDA" w:rsidRPr="00097F28">
        <w:rPr>
          <w:b/>
        </w:rPr>
        <w:t xml:space="preserve"> Plant</w:t>
      </w:r>
      <w:r w:rsidR="00F31EDA">
        <w:rPr>
          <w:b/>
        </w:rPr>
        <w:t xml:space="preserve"> </w:t>
      </w:r>
      <w:r w:rsidR="001A7C67">
        <w:rPr>
          <w:b/>
        </w:rPr>
        <w:t>Species</w:t>
      </w:r>
      <w:r w:rsidRPr="00B3360C">
        <w:t xml:space="preserve">.  </w:t>
      </w:r>
    </w:p>
    <w:p w14:paraId="5A96C6D3" w14:textId="77777777" w:rsidR="00FE2DF9" w:rsidRDefault="00FE2DF9" w:rsidP="00566C44">
      <w:pPr>
        <w:spacing w:line="276" w:lineRule="auto"/>
        <w:outlineLvl w:val="1"/>
      </w:pPr>
    </w:p>
    <w:p w14:paraId="5AD390DF" w14:textId="1D71FE4E" w:rsidR="00FE2DF9" w:rsidRDefault="00FE2DF9" w:rsidP="00566C44">
      <w:pPr>
        <w:spacing w:line="276" w:lineRule="auto"/>
        <w:outlineLvl w:val="1"/>
      </w:pPr>
      <w:r w:rsidRPr="00FE2DF9">
        <w:t xml:space="preserve">Fig. </w:t>
      </w:r>
      <w:r w:rsidR="00841676">
        <w:t>3</w:t>
      </w:r>
      <w:r w:rsidRPr="00FE2DF9">
        <w:t xml:space="preserve"> highlights the most cited antidiabetic plants among domesticated edible plant species.</w:t>
      </w:r>
    </w:p>
    <w:p w14:paraId="2AF605B7" w14:textId="257966EA" w:rsidR="00FE2DF9" w:rsidRDefault="00FE2DF9" w:rsidP="00566C44">
      <w:pPr>
        <w:spacing w:line="276" w:lineRule="auto"/>
        <w:outlineLvl w:val="1"/>
      </w:pPr>
    </w:p>
    <w:p w14:paraId="3D6DDE8C" w14:textId="77777777" w:rsidR="00FE2DF9" w:rsidRDefault="00FE2DF9" w:rsidP="00566C44">
      <w:pPr>
        <w:spacing w:line="276" w:lineRule="auto"/>
        <w:outlineLvl w:val="1"/>
      </w:pPr>
    </w:p>
    <w:p w14:paraId="16550BB4" w14:textId="741B7A25" w:rsidR="00FE2DF9" w:rsidRDefault="00FE2DF9" w:rsidP="00566C44">
      <w:pPr>
        <w:spacing w:line="276" w:lineRule="auto"/>
        <w:outlineLvl w:val="1"/>
      </w:pPr>
    </w:p>
    <w:p w14:paraId="5D29C5F7" w14:textId="77777777" w:rsidR="00FE2DF9" w:rsidRPr="00B3360C" w:rsidRDefault="00FE2DF9" w:rsidP="00566C44">
      <w:pPr>
        <w:spacing w:line="276" w:lineRule="auto"/>
        <w:outlineLvl w:val="1"/>
      </w:pPr>
    </w:p>
    <w:p w14:paraId="28B69695" w14:textId="77777777" w:rsidR="00FE2DF9" w:rsidRDefault="006542EA" w:rsidP="00B3360C">
      <w:pPr>
        <w:pStyle w:val="Body"/>
        <w:rPr>
          <w:rFonts w:ascii="Arial" w:hAnsi="Arial" w:cs="Arial"/>
        </w:rPr>
      </w:pPr>
      <w:r>
        <w:rPr>
          <w:noProof/>
        </w:rPr>
        <mc:AlternateContent>
          <mc:Choice Requires="wps">
            <w:drawing>
              <wp:anchor distT="0" distB="0" distL="114300" distR="114300" simplePos="0" relativeHeight="251661312" behindDoc="0" locked="0" layoutInCell="1" allowOverlap="1" wp14:anchorId="3973BD2E" wp14:editId="4CA7D9E5">
                <wp:simplePos x="0" y="0"/>
                <wp:positionH relativeFrom="column">
                  <wp:posOffset>46990</wp:posOffset>
                </wp:positionH>
                <wp:positionV relativeFrom="paragraph">
                  <wp:posOffset>3135630</wp:posOffset>
                </wp:positionV>
                <wp:extent cx="5260975" cy="258445"/>
                <wp:effectExtent l="0" t="0" r="0" b="8255"/>
                <wp:wrapSquare wrapText="bothSides"/>
                <wp:docPr id="1941746984" name="Zone de texte 1"/>
                <wp:cNvGraphicFramePr/>
                <a:graphic xmlns:a="http://schemas.openxmlformats.org/drawingml/2006/main">
                  <a:graphicData uri="http://schemas.microsoft.com/office/word/2010/wordprocessingShape">
                    <wps:wsp>
                      <wps:cNvSpPr txBox="1"/>
                      <wps:spPr>
                        <a:xfrm>
                          <a:off x="0" y="0"/>
                          <a:ext cx="5260975" cy="258445"/>
                        </a:xfrm>
                        <a:prstGeom prst="rect">
                          <a:avLst/>
                        </a:prstGeom>
                        <a:solidFill>
                          <a:prstClr val="white"/>
                        </a:solidFill>
                        <a:ln>
                          <a:noFill/>
                        </a:ln>
                      </wps:spPr>
                      <wps:txbx>
                        <w:txbxContent>
                          <w:p w14:paraId="20FC4501" w14:textId="58C7F647" w:rsidR="00B65ED9" w:rsidRPr="00B65ED9" w:rsidRDefault="00B65ED9" w:rsidP="00B65ED9">
                            <w:pPr>
                              <w:rPr>
                                <w:rFonts w:ascii="Arial" w:hAnsi="Arial" w:cs="Arial"/>
                                <w:b/>
                                <w:bCs/>
                                <w:i/>
                                <w:iCs/>
                                <w:noProof/>
                                <w:sz w:val="22"/>
                                <w:szCs w:val="22"/>
                              </w:rPr>
                            </w:pPr>
                            <w:bookmarkStart w:id="4" w:name="_Ref207295824"/>
                            <w:r w:rsidRPr="00B65ED9">
                              <w:rPr>
                                <w:rFonts w:ascii="Arial" w:hAnsi="Arial" w:cs="Arial"/>
                                <w:b/>
                                <w:bCs/>
                                <w:i/>
                                <w:iCs/>
                              </w:rPr>
                              <w:t xml:space="preserve">Fig. </w:t>
                            </w:r>
                            <w:r w:rsidRPr="00B65ED9">
                              <w:rPr>
                                <w:rFonts w:ascii="Arial" w:hAnsi="Arial" w:cs="Arial"/>
                                <w:b/>
                                <w:bCs/>
                                <w:i/>
                                <w:iCs/>
                              </w:rPr>
                              <w:fldChar w:fldCharType="begin"/>
                            </w:r>
                            <w:r w:rsidRPr="00B65ED9">
                              <w:rPr>
                                <w:rFonts w:ascii="Arial" w:hAnsi="Arial" w:cs="Arial"/>
                                <w:b/>
                                <w:bCs/>
                                <w:i/>
                                <w:iCs/>
                              </w:rPr>
                              <w:instrText xml:space="preserve"> SEQ Figure \* ARABIC </w:instrText>
                            </w:r>
                            <w:r w:rsidRPr="00B65ED9">
                              <w:rPr>
                                <w:rFonts w:ascii="Arial" w:hAnsi="Arial" w:cs="Arial"/>
                                <w:b/>
                                <w:bCs/>
                                <w:i/>
                                <w:iCs/>
                              </w:rPr>
                              <w:fldChar w:fldCharType="separate"/>
                            </w:r>
                            <w:r w:rsidR="00E3523A">
                              <w:rPr>
                                <w:rFonts w:ascii="Arial" w:hAnsi="Arial" w:cs="Arial"/>
                                <w:b/>
                                <w:bCs/>
                                <w:i/>
                                <w:iCs/>
                                <w:noProof/>
                              </w:rPr>
                              <w:t>3</w:t>
                            </w:r>
                            <w:r w:rsidRPr="00B65ED9">
                              <w:rPr>
                                <w:rFonts w:ascii="Arial" w:hAnsi="Arial" w:cs="Arial"/>
                                <w:b/>
                                <w:bCs/>
                                <w:i/>
                                <w:iCs/>
                              </w:rPr>
                              <w:fldChar w:fldCharType="end"/>
                            </w:r>
                            <w:bookmarkEnd w:id="4"/>
                            <w:r>
                              <w:rPr>
                                <w:rFonts w:ascii="Arial" w:hAnsi="Arial" w:cs="Arial"/>
                                <w:b/>
                                <w:bCs/>
                                <w:i/>
                                <w:iCs/>
                              </w:rPr>
                              <w:t xml:space="preserve">. </w:t>
                            </w:r>
                            <w:r w:rsidRPr="00B65ED9">
                              <w:rPr>
                                <w:rFonts w:ascii="Arial" w:hAnsi="Arial" w:cs="Arial"/>
                                <w:b/>
                                <w:bCs/>
                              </w:rPr>
                              <w:t xml:space="preserve">Number of citations for antidiabetic Plants among domesticated </w:t>
                            </w:r>
                            <w:r>
                              <w:rPr>
                                <w:rFonts w:ascii="Arial" w:hAnsi="Arial" w:cs="Arial"/>
                                <w:b/>
                                <w:bCs/>
                              </w:rPr>
                              <w:t>Species</w:t>
                            </w:r>
                          </w:p>
                          <w:p w14:paraId="0DC367A0" w14:textId="3E71357F" w:rsidR="00B65ED9" w:rsidRPr="00B65ED9" w:rsidRDefault="00B65ED9" w:rsidP="00B65ED9">
                            <w:pPr>
                              <w:pStyle w:val="Caption"/>
                              <w:jc w:val="center"/>
                              <w:rPr>
                                <w:rFonts w:ascii="Arial" w:hAnsi="Arial" w:cs="Arial"/>
                                <w:b/>
                                <w:bCs/>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73BD2E" id="_x0000_t202" coordsize="21600,21600" o:spt="202" path="m,l,21600r21600,l21600,xe">
                <v:stroke joinstyle="miter"/>
                <v:path gradientshapeok="t" o:connecttype="rect"/>
              </v:shapetype>
              <v:shape id="Zone de texte 1" o:spid="_x0000_s1026" type="#_x0000_t202" style="position:absolute;left:0;text-align:left;margin-left:3.7pt;margin-top:246.9pt;width:414.25pt;height:20.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" stroked="f">
                <v:textbox inset="0,0,0,0">
                  <w:txbxContent>
                    <w:p w14:paraId="20FC4501" w14:textId="58C7F647" w:rsidR="00B65ED9" w:rsidRPr="00B65ED9" w:rsidRDefault="00B65ED9" w:rsidP="00B65ED9">
                      <w:pPr>
                        <w:rPr>
                          <w:rFonts w:ascii="Arial" w:hAnsi="Arial" w:cs="Arial"/>
                          <w:b/>
                          <w:bCs/>
                          <w:i/>
                          <w:iCs/>
                          <w:noProof/>
                          <w:sz w:val="22"/>
                          <w:szCs w:val="22"/>
                        </w:rPr>
                      </w:pPr>
                      <w:bookmarkStart w:id="5" w:name="_Ref207295824"/>
                      <w:r w:rsidRPr="00B65ED9">
                        <w:rPr>
                          <w:rFonts w:ascii="Arial" w:hAnsi="Arial" w:cs="Arial"/>
                          <w:b/>
                          <w:bCs/>
                          <w:i/>
                          <w:iCs/>
                        </w:rPr>
                        <w:t xml:space="preserve">Fig. </w:t>
                      </w:r>
                      <w:r w:rsidRPr="00B65ED9">
                        <w:rPr>
                          <w:rFonts w:ascii="Arial" w:hAnsi="Arial" w:cs="Arial"/>
                          <w:b/>
                          <w:bCs/>
                          <w:i/>
                          <w:iCs/>
                        </w:rPr>
                        <w:fldChar w:fldCharType="begin"/>
                      </w:r>
                      <w:r w:rsidRPr="00B65ED9">
                        <w:rPr>
                          <w:rFonts w:ascii="Arial" w:hAnsi="Arial" w:cs="Arial"/>
                          <w:b/>
                          <w:bCs/>
                          <w:i/>
                          <w:iCs/>
                        </w:rPr>
                        <w:instrText xml:space="preserve"> SEQ Figure \* ARABIC </w:instrText>
                      </w:r>
                      <w:r w:rsidRPr="00B65ED9">
                        <w:rPr>
                          <w:rFonts w:ascii="Arial" w:hAnsi="Arial" w:cs="Arial"/>
                          <w:b/>
                          <w:bCs/>
                          <w:i/>
                          <w:iCs/>
                        </w:rPr>
                        <w:fldChar w:fldCharType="separate"/>
                      </w:r>
                      <w:r w:rsidR="00E3523A">
                        <w:rPr>
                          <w:rFonts w:ascii="Arial" w:hAnsi="Arial" w:cs="Arial"/>
                          <w:b/>
                          <w:bCs/>
                          <w:i/>
                          <w:iCs/>
                          <w:noProof/>
                        </w:rPr>
                        <w:t>3</w:t>
                      </w:r>
                      <w:r w:rsidRPr="00B65ED9">
                        <w:rPr>
                          <w:rFonts w:ascii="Arial" w:hAnsi="Arial" w:cs="Arial"/>
                          <w:b/>
                          <w:bCs/>
                          <w:i/>
                          <w:iCs/>
                        </w:rPr>
                        <w:fldChar w:fldCharType="end"/>
                      </w:r>
                      <w:bookmarkEnd w:id="5"/>
                      <w:r>
                        <w:rPr>
                          <w:rFonts w:ascii="Arial" w:hAnsi="Arial" w:cs="Arial"/>
                          <w:b/>
                          <w:bCs/>
                          <w:i/>
                          <w:iCs/>
                        </w:rPr>
                        <w:t xml:space="preserve">. </w:t>
                      </w:r>
                      <w:r w:rsidRPr="00B65ED9">
                        <w:rPr>
                          <w:rFonts w:ascii="Arial" w:hAnsi="Arial" w:cs="Arial"/>
                          <w:b/>
                          <w:bCs/>
                        </w:rPr>
                        <w:t xml:space="preserve">Number of citations for antidiabetic Plants among domesticated </w:t>
                      </w:r>
                      <w:r>
                        <w:rPr>
                          <w:rFonts w:ascii="Arial" w:hAnsi="Arial" w:cs="Arial"/>
                          <w:b/>
                          <w:bCs/>
                        </w:rPr>
                        <w:t>Species</w:t>
                      </w:r>
                    </w:p>
                    <w:p w14:paraId="0DC367A0" w14:textId="3E71357F" w:rsidR="00B65ED9" w:rsidRPr="00B65ED9" w:rsidRDefault="00B65ED9" w:rsidP="00B65ED9">
                      <w:pPr>
                        <w:pStyle w:val="Caption"/>
                        <w:jc w:val="center"/>
                        <w:rPr>
                          <w:rFonts w:ascii="Arial" w:hAnsi="Arial" w:cs="Arial"/>
                          <w:b/>
                          <w:bCs/>
                          <w:i w:val="0"/>
                          <w:iCs w:val="0"/>
                          <w:noProof/>
                          <w:color w:val="auto"/>
                          <w:sz w:val="22"/>
                          <w:szCs w:val="22"/>
                        </w:rPr>
                      </w:pPr>
                    </w:p>
                  </w:txbxContent>
                </v:textbox>
                <w10:wrap type="square"/>
              </v:shape>
            </w:pict>
          </mc:Fallback>
        </mc:AlternateContent>
      </w:r>
      <w:r>
        <w:rPr>
          <w:noProof/>
        </w:rPr>
        <w:drawing>
          <wp:inline distT="0" distB="0" distL="0" distR="0" wp14:anchorId="680278DD" wp14:editId="0EDB3213">
            <wp:extent cx="5260975" cy="2809875"/>
            <wp:effectExtent l="0" t="0" r="15875" b="9525"/>
            <wp:docPr id="116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2EA9BB" w14:textId="77777777" w:rsidR="00FE2DF9" w:rsidRDefault="00FE2DF9" w:rsidP="00B3360C">
      <w:pPr>
        <w:pStyle w:val="Body"/>
        <w:rPr>
          <w:rFonts w:ascii="Arial" w:hAnsi="Arial" w:cs="Arial"/>
        </w:rPr>
      </w:pPr>
    </w:p>
    <w:p w14:paraId="23491D6B" w14:textId="77777777" w:rsidR="00FE2DF9" w:rsidRDefault="00FE2DF9" w:rsidP="00B3360C">
      <w:pPr>
        <w:pStyle w:val="Body"/>
        <w:rPr>
          <w:rFonts w:ascii="Arial" w:hAnsi="Arial" w:cs="Arial"/>
        </w:rPr>
      </w:pPr>
    </w:p>
    <w:p w14:paraId="208A38F3" w14:textId="18F62F33" w:rsidR="006542EA" w:rsidRPr="006542EA" w:rsidRDefault="006542EA" w:rsidP="00B3360C">
      <w:pPr>
        <w:pStyle w:val="Body"/>
        <w:rPr>
          <w:rFonts w:ascii="Arial" w:hAnsi="Arial" w:cs="Arial"/>
        </w:rPr>
      </w:pPr>
      <w:r>
        <w:rPr>
          <w:rFonts w:ascii="Arial" w:hAnsi="Arial" w:cs="Arial"/>
        </w:rPr>
        <w:t>The Figure shows</w:t>
      </w:r>
      <w:r w:rsidR="00543FDB">
        <w:rPr>
          <w:rFonts w:ascii="Arial" w:hAnsi="Arial" w:cs="Arial"/>
        </w:rPr>
        <w:t xml:space="preserve"> that</w:t>
      </w:r>
      <w:r>
        <w:rPr>
          <w:rFonts w:ascii="Arial" w:hAnsi="Arial" w:cs="Arial"/>
        </w:rPr>
        <w:t xml:space="preserve"> </w:t>
      </w:r>
      <w:r w:rsidRPr="006542EA">
        <w:rPr>
          <w:rFonts w:ascii="Arial" w:hAnsi="Arial" w:cs="Arial"/>
          <w:i/>
          <w:iCs/>
        </w:rPr>
        <w:t>Moringa</w:t>
      </w:r>
      <w:r w:rsidRPr="006542EA">
        <w:rPr>
          <w:rFonts w:ascii="Arial" w:hAnsi="Arial" w:cs="Arial"/>
        </w:rPr>
        <w:t xml:space="preserve"> stands out as the most frequently cited plant, with a total of 38 citations</w:t>
      </w:r>
      <w:r>
        <w:rPr>
          <w:rFonts w:ascii="Arial" w:hAnsi="Arial" w:cs="Arial"/>
        </w:rPr>
        <w:t xml:space="preserve"> followed by </w:t>
      </w:r>
      <w:r w:rsidRPr="006542EA">
        <w:rPr>
          <w:rFonts w:ascii="Arial" w:hAnsi="Arial" w:cs="Arial"/>
          <w:i/>
          <w:iCs/>
        </w:rPr>
        <w:t>Papaya</w:t>
      </w:r>
      <w:r w:rsidRPr="006542EA">
        <w:rPr>
          <w:rFonts w:ascii="Arial" w:hAnsi="Arial" w:cs="Arial"/>
        </w:rPr>
        <w:t xml:space="preserve"> (13 citations), </w:t>
      </w:r>
      <w:r w:rsidRPr="006542EA">
        <w:rPr>
          <w:rFonts w:ascii="Arial" w:hAnsi="Arial" w:cs="Arial"/>
          <w:i/>
          <w:iCs/>
        </w:rPr>
        <w:t>Aloe Vera</w:t>
      </w:r>
      <w:r w:rsidRPr="006542EA">
        <w:rPr>
          <w:rFonts w:ascii="Arial" w:hAnsi="Arial" w:cs="Arial"/>
        </w:rPr>
        <w:t xml:space="preserve"> (12 citations), and </w:t>
      </w:r>
      <w:r w:rsidRPr="006542EA">
        <w:rPr>
          <w:rFonts w:ascii="Arial" w:hAnsi="Arial" w:cs="Arial"/>
          <w:i/>
          <w:iCs/>
        </w:rPr>
        <w:t>Mango</w:t>
      </w:r>
      <w:r w:rsidRPr="006542EA">
        <w:rPr>
          <w:rFonts w:ascii="Arial" w:hAnsi="Arial" w:cs="Arial"/>
        </w:rPr>
        <w:t xml:space="preserve"> (12 citations).</w:t>
      </w:r>
      <w:r>
        <w:rPr>
          <w:rFonts w:ascii="Arial" w:hAnsi="Arial" w:cs="Arial"/>
        </w:rPr>
        <w:t xml:space="preserve"> Results </w:t>
      </w:r>
      <w:r w:rsidR="00566C44">
        <w:rPr>
          <w:rFonts w:ascii="Arial" w:hAnsi="Arial" w:cs="Arial"/>
        </w:rPr>
        <w:t>highlight</w:t>
      </w:r>
      <w:r>
        <w:rPr>
          <w:rFonts w:ascii="Arial" w:hAnsi="Arial" w:cs="Arial"/>
        </w:rPr>
        <w:t xml:space="preserve"> importance of these plants in local </w:t>
      </w:r>
      <w:r w:rsidR="00566C44">
        <w:rPr>
          <w:rFonts w:ascii="Arial" w:hAnsi="Arial" w:cs="Arial"/>
        </w:rPr>
        <w:t xml:space="preserve">usage, justifying </w:t>
      </w:r>
      <w:r w:rsidR="00566C44" w:rsidRPr="00566C44">
        <w:rPr>
          <w:rFonts w:ascii="Arial" w:hAnsi="Arial" w:cs="Arial"/>
        </w:rPr>
        <w:t xml:space="preserve">a more in-depth investigation of their phytochemical and </w:t>
      </w:r>
      <w:r w:rsidR="00566C44">
        <w:rPr>
          <w:rFonts w:ascii="Arial" w:hAnsi="Arial" w:cs="Arial"/>
        </w:rPr>
        <w:t>bio</w:t>
      </w:r>
      <w:r w:rsidR="00566C44" w:rsidRPr="00566C44">
        <w:rPr>
          <w:rFonts w:ascii="Arial" w:hAnsi="Arial" w:cs="Arial"/>
        </w:rPr>
        <w:t>logical properties.</w:t>
      </w:r>
      <w:r w:rsidR="00566C44">
        <w:rPr>
          <w:rFonts w:ascii="Arial" w:hAnsi="Arial" w:cs="Arial"/>
        </w:rPr>
        <w:t xml:space="preserve"> As t</w:t>
      </w:r>
      <w:r w:rsidR="00566C44" w:rsidRPr="00566C44">
        <w:rPr>
          <w:rFonts w:ascii="Arial" w:hAnsi="Arial" w:cs="Arial"/>
        </w:rPr>
        <w:t>he mango tree (</w:t>
      </w:r>
      <w:r w:rsidR="00566C44" w:rsidRPr="00566C44">
        <w:rPr>
          <w:rFonts w:ascii="Arial" w:hAnsi="Arial" w:cs="Arial"/>
          <w:i/>
          <w:iCs/>
        </w:rPr>
        <w:t>Mangifera indica</w:t>
      </w:r>
      <w:r w:rsidR="00566C44" w:rsidRPr="00566C44">
        <w:rPr>
          <w:rFonts w:ascii="Arial" w:hAnsi="Arial" w:cs="Arial"/>
        </w:rPr>
        <w:t xml:space="preserve"> L.) emerged as the most frequently cited species among domesticated edible plants </w:t>
      </w:r>
      <w:r w:rsidR="00566C44">
        <w:rPr>
          <w:rFonts w:ascii="Arial" w:hAnsi="Arial" w:cs="Arial"/>
        </w:rPr>
        <w:t>(</w:t>
      </w:r>
      <w:r w:rsidR="00566C44">
        <w:rPr>
          <w:rFonts w:ascii="Arial" w:hAnsi="Arial" w:cs="Arial"/>
        </w:rPr>
        <w:fldChar w:fldCharType="begin"/>
      </w:r>
      <w:r w:rsidR="00566C44">
        <w:rPr>
          <w:rFonts w:ascii="Arial" w:hAnsi="Arial" w:cs="Arial"/>
        </w:rPr>
        <w:instrText xml:space="preserve"> REF _Ref207291928 \h </w:instrText>
      </w:r>
      <w:r w:rsidR="00566C44">
        <w:rPr>
          <w:rFonts w:ascii="Arial" w:hAnsi="Arial" w:cs="Arial"/>
        </w:rPr>
      </w:r>
      <w:r w:rsidR="00566C44">
        <w:rPr>
          <w:rFonts w:ascii="Arial" w:hAnsi="Arial" w:cs="Arial"/>
        </w:rPr>
        <w:fldChar w:fldCharType="separate"/>
      </w:r>
      <w:r w:rsidR="00566C44" w:rsidRPr="0028304F">
        <w:rPr>
          <w:rFonts w:ascii="Arial" w:hAnsi="Arial"/>
          <w:b/>
          <w:i/>
          <w:iCs/>
        </w:rPr>
        <w:t>Table 1</w:t>
      </w:r>
      <w:r w:rsidR="00566C44">
        <w:rPr>
          <w:rFonts w:ascii="Arial" w:hAnsi="Arial" w:cs="Arial"/>
        </w:rPr>
        <w:fldChar w:fldCharType="end"/>
      </w:r>
      <w:r w:rsidR="00566C44">
        <w:rPr>
          <w:rFonts w:ascii="Arial" w:hAnsi="Arial" w:cs="Arial"/>
        </w:rPr>
        <w:t xml:space="preserve">) </w:t>
      </w:r>
      <w:r w:rsidR="00566C44" w:rsidRPr="00566C44">
        <w:rPr>
          <w:rFonts w:ascii="Arial" w:hAnsi="Arial" w:cs="Arial"/>
        </w:rPr>
        <w:t>and ranked among the most commonly employed species in the treatment of diabetes</w:t>
      </w:r>
      <w:r w:rsidR="00566C44">
        <w:rPr>
          <w:rFonts w:ascii="Arial" w:hAnsi="Arial" w:cs="Arial"/>
        </w:rPr>
        <w:t xml:space="preserve"> </w:t>
      </w:r>
      <w:r w:rsidR="00D426A6">
        <w:rPr>
          <w:rFonts w:ascii="Arial" w:hAnsi="Arial" w:cs="Arial"/>
        </w:rPr>
        <w:t>(</w:t>
      </w:r>
      <w:r w:rsidR="00566C44">
        <w:rPr>
          <w:rFonts w:ascii="Arial" w:hAnsi="Arial" w:cs="Arial"/>
        </w:rPr>
        <w:fldChar w:fldCharType="begin"/>
      </w:r>
      <w:r w:rsidR="00566C44">
        <w:rPr>
          <w:rFonts w:ascii="Arial" w:hAnsi="Arial" w:cs="Arial"/>
        </w:rPr>
        <w:instrText xml:space="preserve"> REF _Ref207295824 \h </w:instrText>
      </w:r>
      <w:r w:rsidR="00566C44">
        <w:rPr>
          <w:rFonts w:ascii="Arial" w:hAnsi="Arial" w:cs="Arial"/>
        </w:rPr>
      </w:r>
      <w:r w:rsidR="00566C44">
        <w:rPr>
          <w:rFonts w:ascii="Arial" w:hAnsi="Arial" w:cs="Arial"/>
        </w:rPr>
        <w:fldChar w:fldCharType="separate"/>
      </w:r>
      <w:r w:rsidR="00566C44" w:rsidRPr="00B65ED9">
        <w:rPr>
          <w:rFonts w:ascii="Arial" w:hAnsi="Arial" w:cs="Arial"/>
          <w:b/>
          <w:bCs/>
          <w:i/>
          <w:iCs/>
        </w:rPr>
        <w:t>Fig.</w:t>
      </w:r>
      <w:r w:rsidR="00841676">
        <w:rPr>
          <w:rFonts w:ascii="Arial" w:hAnsi="Arial" w:cs="Arial"/>
          <w:b/>
          <w:bCs/>
          <w:i/>
          <w:iCs/>
        </w:rPr>
        <w:t>3</w:t>
      </w:r>
      <w:r w:rsidR="00566C44">
        <w:rPr>
          <w:rFonts w:ascii="Arial" w:hAnsi="Arial" w:cs="Arial"/>
        </w:rPr>
        <w:fldChar w:fldCharType="end"/>
      </w:r>
      <w:r w:rsidR="00D426A6">
        <w:rPr>
          <w:rFonts w:ascii="Arial" w:hAnsi="Arial" w:cs="Arial"/>
        </w:rPr>
        <w:t>)</w:t>
      </w:r>
      <w:r w:rsidR="00566C44">
        <w:rPr>
          <w:rFonts w:ascii="Arial" w:hAnsi="Arial" w:cs="Arial"/>
        </w:rPr>
        <w:t xml:space="preserve">, </w:t>
      </w:r>
      <w:r w:rsidR="00543FDB">
        <w:rPr>
          <w:rFonts w:ascii="Arial" w:hAnsi="Arial" w:cs="Arial"/>
        </w:rPr>
        <w:t>it</w:t>
      </w:r>
      <w:r w:rsidR="00566C44" w:rsidRPr="00566C44">
        <w:rPr>
          <w:rFonts w:ascii="Arial" w:hAnsi="Arial" w:cs="Arial"/>
        </w:rPr>
        <w:t xml:space="preserve"> was selected for further investigations. </w:t>
      </w:r>
    </w:p>
    <w:p w14:paraId="56D55A5C" w14:textId="77162A2D" w:rsidR="00566C44" w:rsidRDefault="00566C44" w:rsidP="00A125E9">
      <w:pPr>
        <w:pStyle w:val="Body"/>
        <w:spacing w:after="0"/>
        <w:outlineLvl w:val="1"/>
      </w:pPr>
      <w:r w:rsidRPr="00B3360C">
        <w:rPr>
          <w:b/>
        </w:rPr>
        <w:t>3.</w:t>
      </w:r>
      <w:r>
        <w:rPr>
          <w:b/>
        </w:rPr>
        <w:t>3</w:t>
      </w:r>
      <w:r w:rsidRPr="00B3360C">
        <w:rPr>
          <w:b/>
        </w:rPr>
        <w:t xml:space="preserve"> </w:t>
      </w:r>
      <w:r>
        <w:rPr>
          <w:b/>
        </w:rPr>
        <w:t>P</w:t>
      </w:r>
      <w:r w:rsidRPr="00566C44">
        <w:rPr>
          <w:b/>
        </w:rPr>
        <w:t xml:space="preserve">hytochemical Investigation of </w:t>
      </w:r>
      <w:r w:rsidRPr="00566C44">
        <w:rPr>
          <w:b/>
          <w:i/>
          <w:iCs/>
        </w:rPr>
        <w:t>Mangifera indica</w:t>
      </w:r>
      <w:r w:rsidRPr="00566C44">
        <w:rPr>
          <w:b/>
        </w:rPr>
        <w:t xml:space="preserve"> L. (Mango Tree)</w:t>
      </w:r>
      <w:r w:rsidRPr="00B3360C">
        <w:t>.</w:t>
      </w:r>
    </w:p>
    <w:p w14:paraId="5EC3B9B7" w14:textId="656FC707" w:rsidR="00566C44" w:rsidRDefault="00A125E9" w:rsidP="00B3360C">
      <w:pPr>
        <w:pStyle w:val="Body"/>
        <w:spacing w:after="0"/>
        <w:rPr>
          <w:rFonts w:ascii="Arial" w:hAnsi="Arial" w:cs="Arial"/>
          <w:bCs/>
        </w:rPr>
      </w:pPr>
      <w:r w:rsidRPr="00A125E9">
        <w:rPr>
          <w:rFonts w:ascii="Arial" w:hAnsi="Arial" w:cs="Arial"/>
          <w:bCs/>
        </w:rPr>
        <w:t>The results of the phytochemical screening of the ethanolic and aqueous extracts from the three plant organs (leaves, bark, and roots) are summarized in</w:t>
      </w:r>
      <w:r w:rsidR="00543FDB">
        <w:rPr>
          <w:rFonts w:ascii="Arial" w:hAnsi="Arial" w:cs="Arial"/>
          <w:bCs/>
        </w:rPr>
        <w:t xml:space="preserve"> </w:t>
      </w:r>
      <w:r w:rsidR="00543FDB">
        <w:rPr>
          <w:rFonts w:ascii="Arial" w:hAnsi="Arial" w:cs="Arial"/>
          <w:bCs/>
        </w:rPr>
        <w:fldChar w:fldCharType="begin"/>
      </w:r>
      <w:r w:rsidR="00543FDB">
        <w:rPr>
          <w:rFonts w:ascii="Arial" w:hAnsi="Arial" w:cs="Arial"/>
          <w:bCs/>
        </w:rPr>
        <w:instrText xml:space="preserve"> REF _Ref207298102 \h </w:instrText>
      </w:r>
      <w:r w:rsidR="00543FDB">
        <w:rPr>
          <w:rFonts w:ascii="Arial" w:hAnsi="Arial" w:cs="Arial"/>
          <w:bCs/>
        </w:rPr>
      </w:r>
      <w:r w:rsidR="00543FDB">
        <w:rPr>
          <w:rFonts w:ascii="Arial" w:hAnsi="Arial" w:cs="Arial"/>
          <w:bCs/>
        </w:rPr>
        <w:fldChar w:fldCharType="separate"/>
      </w:r>
      <w:r w:rsidR="00543FDB" w:rsidRPr="00543FDB">
        <w:rPr>
          <w:rFonts w:ascii="Arial" w:hAnsi="Arial" w:cs="Arial"/>
          <w:b/>
          <w:bCs/>
          <w:i/>
          <w:iCs/>
        </w:rPr>
        <w:t xml:space="preserve">Table </w:t>
      </w:r>
      <w:r w:rsidR="00543FDB" w:rsidRPr="00543FDB">
        <w:rPr>
          <w:rFonts w:ascii="Arial" w:hAnsi="Arial" w:cs="Arial"/>
          <w:b/>
          <w:bCs/>
          <w:i/>
          <w:iCs/>
          <w:noProof/>
        </w:rPr>
        <w:t>2</w:t>
      </w:r>
      <w:r w:rsidR="00543FDB">
        <w:rPr>
          <w:rFonts w:ascii="Arial" w:hAnsi="Arial" w:cs="Arial"/>
          <w:bCs/>
        </w:rPr>
        <w:fldChar w:fldCharType="end"/>
      </w:r>
      <w:r w:rsidR="00543FDB">
        <w:rPr>
          <w:rFonts w:ascii="Arial" w:hAnsi="Arial" w:cs="Arial"/>
          <w:bCs/>
        </w:rPr>
        <w:t>.</w:t>
      </w:r>
    </w:p>
    <w:p w14:paraId="24E98026" w14:textId="77777777" w:rsidR="00A125E9" w:rsidRDefault="00A125E9" w:rsidP="00B3360C">
      <w:pPr>
        <w:pStyle w:val="Body"/>
        <w:spacing w:after="0"/>
        <w:rPr>
          <w:rFonts w:ascii="Arial" w:hAnsi="Arial" w:cs="Arial"/>
          <w:bCs/>
        </w:rPr>
      </w:pPr>
    </w:p>
    <w:p w14:paraId="2139C25B" w14:textId="6BA16420" w:rsidR="00543FDB" w:rsidRPr="00543FDB" w:rsidRDefault="00543FDB" w:rsidP="00543FDB">
      <w:pPr>
        <w:pStyle w:val="Caption"/>
        <w:keepNext/>
        <w:rPr>
          <w:rFonts w:ascii="Arial" w:hAnsi="Arial" w:cs="Arial"/>
          <w:b/>
          <w:bCs/>
          <w:color w:val="auto"/>
          <w:sz w:val="20"/>
          <w:szCs w:val="20"/>
        </w:rPr>
      </w:pPr>
      <w:bookmarkStart w:id="6" w:name="_Ref207298102"/>
      <w:r w:rsidRPr="00543FDB">
        <w:rPr>
          <w:rFonts w:ascii="Arial" w:hAnsi="Arial" w:cs="Arial"/>
          <w:b/>
          <w:bCs/>
          <w:i w:val="0"/>
          <w:iCs w:val="0"/>
          <w:color w:val="auto"/>
          <w:sz w:val="20"/>
          <w:szCs w:val="20"/>
        </w:rPr>
        <w:t xml:space="preserve">Table </w:t>
      </w:r>
      <w:r w:rsidRPr="00543FDB">
        <w:rPr>
          <w:rFonts w:ascii="Arial" w:hAnsi="Arial" w:cs="Arial"/>
          <w:b/>
          <w:bCs/>
          <w:i w:val="0"/>
          <w:iCs w:val="0"/>
          <w:color w:val="auto"/>
          <w:sz w:val="20"/>
          <w:szCs w:val="20"/>
        </w:rPr>
        <w:fldChar w:fldCharType="begin"/>
      </w:r>
      <w:r w:rsidRPr="00543FDB">
        <w:rPr>
          <w:rFonts w:ascii="Arial" w:hAnsi="Arial" w:cs="Arial"/>
          <w:b/>
          <w:bCs/>
          <w:i w:val="0"/>
          <w:iCs w:val="0"/>
          <w:color w:val="auto"/>
          <w:sz w:val="20"/>
          <w:szCs w:val="20"/>
        </w:rPr>
        <w:instrText xml:space="preserve"> SEQ Table \* ARABIC </w:instrText>
      </w:r>
      <w:r w:rsidRPr="00543FDB">
        <w:rPr>
          <w:rFonts w:ascii="Arial" w:hAnsi="Arial" w:cs="Arial"/>
          <w:b/>
          <w:bCs/>
          <w:i w:val="0"/>
          <w:iCs w:val="0"/>
          <w:color w:val="auto"/>
          <w:sz w:val="20"/>
          <w:szCs w:val="20"/>
        </w:rPr>
        <w:fldChar w:fldCharType="separate"/>
      </w:r>
      <w:r w:rsidR="00491D86">
        <w:rPr>
          <w:rFonts w:ascii="Arial" w:hAnsi="Arial" w:cs="Arial"/>
          <w:b/>
          <w:bCs/>
          <w:i w:val="0"/>
          <w:iCs w:val="0"/>
          <w:noProof/>
          <w:color w:val="auto"/>
          <w:sz w:val="20"/>
          <w:szCs w:val="20"/>
        </w:rPr>
        <w:t>2</w:t>
      </w:r>
      <w:r w:rsidRPr="00543FDB">
        <w:rPr>
          <w:rFonts w:ascii="Arial" w:hAnsi="Arial" w:cs="Arial"/>
          <w:b/>
          <w:bCs/>
          <w:i w:val="0"/>
          <w:iCs w:val="0"/>
          <w:color w:val="auto"/>
          <w:sz w:val="20"/>
          <w:szCs w:val="20"/>
        </w:rPr>
        <w:fldChar w:fldCharType="end"/>
      </w:r>
      <w:bookmarkEnd w:id="6"/>
      <w:r w:rsidRPr="00543FDB">
        <w:rPr>
          <w:rFonts w:ascii="Arial" w:hAnsi="Arial" w:cs="Arial"/>
          <w:b/>
          <w:bCs/>
          <w:i w:val="0"/>
          <w:iCs w:val="0"/>
          <w:color w:val="auto"/>
          <w:sz w:val="20"/>
          <w:szCs w:val="20"/>
        </w:rPr>
        <w:t xml:space="preserve">. Phytochemical characterization of </w:t>
      </w:r>
      <w:r w:rsidRPr="00543FDB">
        <w:rPr>
          <w:rFonts w:ascii="Arial" w:hAnsi="Arial" w:cs="Arial"/>
          <w:b/>
          <w:bCs/>
          <w:color w:val="auto"/>
          <w:sz w:val="20"/>
          <w:szCs w:val="20"/>
        </w:rPr>
        <w:t>Mangifera indica L</w:t>
      </w:r>
      <w:r>
        <w:rPr>
          <w:rFonts w:ascii="Arial" w:hAnsi="Arial" w:cs="Arial"/>
          <w:b/>
          <w:bCs/>
          <w:color w:val="auto"/>
          <w:sz w:val="20"/>
          <w:szCs w:val="20"/>
        </w:rPr>
        <w:t>.</w:t>
      </w:r>
    </w:p>
    <w:tbl>
      <w:tblPr>
        <w:tblStyle w:val="PlainTable2"/>
        <w:tblW w:w="0" w:type="auto"/>
        <w:tblLayout w:type="fixed"/>
        <w:tblLook w:val="04A0" w:firstRow="1" w:lastRow="0" w:firstColumn="1" w:lastColumn="0" w:noHBand="0" w:noVBand="1"/>
      </w:tblPr>
      <w:tblGrid>
        <w:gridCol w:w="2263"/>
        <w:gridCol w:w="851"/>
        <w:gridCol w:w="709"/>
        <w:gridCol w:w="992"/>
        <w:gridCol w:w="992"/>
        <w:gridCol w:w="851"/>
        <w:gridCol w:w="1275"/>
      </w:tblGrid>
      <w:tr w:rsidR="00A125E9" w14:paraId="691CD7B2" w14:textId="77777777" w:rsidTr="00A125E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4797FFE" w14:textId="6AE40996" w:rsidR="00A125E9" w:rsidRDefault="00543FDB" w:rsidP="00136AC9">
            <w:pPr>
              <w:spacing w:after="153" w:line="266" w:lineRule="auto"/>
              <w:ind w:right="596"/>
              <w:jc w:val="center"/>
              <w:rPr>
                <w:b w:val="0"/>
                <w:szCs w:val="24"/>
              </w:rPr>
            </w:pPr>
            <w:r>
              <w:rPr>
                <w:szCs w:val="24"/>
              </w:rPr>
              <w:t>Phytochemical groups</w:t>
            </w:r>
          </w:p>
        </w:tc>
        <w:tc>
          <w:tcPr>
            <w:tcW w:w="2552" w:type="dxa"/>
            <w:gridSpan w:val="3"/>
          </w:tcPr>
          <w:p w14:paraId="24301D86" w14:textId="5F98D292" w:rsidR="00A125E9" w:rsidRDefault="00543FDB" w:rsidP="00C23D04">
            <w:pPr>
              <w:spacing w:after="153" w:line="266" w:lineRule="auto"/>
              <w:cnfStyle w:val="100000000000" w:firstRow="1" w:lastRow="0" w:firstColumn="0" w:lastColumn="0" w:oddVBand="0" w:evenVBand="0" w:oddHBand="0" w:evenHBand="0" w:firstRowFirstColumn="0" w:firstRowLastColumn="0" w:lastRowFirstColumn="0" w:lastRowLastColumn="0"/>
              <w:rPr>
                <w:b w:val="0"/>
                <w:szCs w:val="24"/>
              </w:rPr>
            </w:pPr>
            <w:r>
              <w:rPr>
                <w:rFonts w:ascii="Arial" w:hAnsi="Arial" w:cs="Arial"/>
                <w:bCs w:val="0"/>
              </w:rPr>
              <w:t>A</w:t>
            </w:r>
            <w:r w:rsidRPr="00A125E9">
              <w:rPr>
                <w:rFonts w:ascii="Arial" w:hAnsi="Arial" w:cs="Arial"/>
                <w:bCs w:val="0"/>
              </w:rPr>
              <w:t>queous</w:t>
            </w:r>
            <w:r>
              <w:rPr>
                <w:rFonts w:ascii="Arial" w:hAnsi="Arial" w:cs="Arial"/>
                <w:bCs w:val="0"/>
              </w:rPr>
              <w:t xml:space="preserve"> </w:t>
            </w:r>
            <w:r w:rsidR="00C23D04">
              <w:rPr>
                <w:rFonts w:ascii="Arial" w:hAnsi="Arial" w:cs="Arial"/>
                <w:bCs w:val="0"/>
              </w:rPr>
              <w:t>s</w:t>
            </w:r>
            <w:r>
              <w:rPr>
                <w:rFonts w:ascii="Arial" w:hAnsi="Arial" w:cs="Arial"/>
                <w:bCs w:val="0"/>
              </w:rPr>
              <w:t>olution</w:t>
            </w:r>
          </w:p>
        </w:tc>
        <w:tc>
          <w:tcPr>
            <w:tcW w:w="3118" w:type="dxa"/>
            <w:gridSpan w:val="3"/>
          </w:tcPr>
          <w:p w14:paraId="64E966E2" w14:textId="5581CCD8" w:rsidR="00A125E9" w:rsidRDefault="00543FDB" w:rsidP="00136AC9">
            <w:pPr>
              <w:spacing w:after="153" w:line="266" w:lineRule="auto"/>
              <w:ind w:right="749"/>
              <w:jc w:val="center"/>
              <w:cnfStyle w:val="100000000000" w:firstRow="1" w:lastRow="0" w:firstColumn="0" w:lastColumn="0" w:oddVBand="0" w:evenVBand="0" w:oddHBand="0" w:evenHBand="0" w:firstRowFirstColumn="0" w:firstRowLastColumn="0" w:lastRowFirstColumn="0" w:lastRowLastColumn="0"/>
              <w:rPr>
                <w:b w:val="0"/>
                <w:szCs w:val="24"/>
              </w:rPr>
            </w:pPr>
            <w:r>
              <w:rPr>
                <w:rFonts w:ascii="Arial" w:hAnsi="Arial" w:cs="Arial"/>
                <w:bCs w:val="0"/>
              </w:rPr>
              <w:t>E</w:t>
            </w:r>
            <w:r w:rsidRPr="00A125E9">
              <w:rPr>
                <w:rFonts w:ascii="Arial" w:hAnsi="Arial" w:cs="Arial"/>
                <w:bCs w:val="0"/>
              </w:rPr>
              <w:t xml:space="preserve">thanolic </w:t>
            </w:r>
            <w:r w:rsidR="00A125E9">
              <w:rPr>
                <w:szCs w:val="24"/>
              </w:rPr>
              <w:t>Solution</w:t>
            </w:r>
          </w:p>
        </w:tc>
      </w:tr>
      <w:tr w:rsidR="00A125E9" w14:paraId="4C36C0F7" w14:textId="77777777" w:rsidTr="00A125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63" w:type="dxa"/>
            <w:vMerge/>
          </w:tcPr>
          <w:p w14:paraId="128BC193" w14:textId="77777777" w:rsidR="00A125E9" w:rsidRDefault="00A125E9" w:rsidP="00136AC9">
            <w:pPr>
              <w:spacing w:after="153" w:line="266" w:lineRule="auto"/>
              <w:ind w:right="749"/>
              <w:jc w:val="center"/>
              <w:rPr>
                <w:b w:val="0"/>
                <w:szCs w:val="24"/>
              </w:rPr>
            </w:pPr>
          </w:p>
        </w:tc>
        <w:tc>
          <w:tcPr>
            <w:tcW w:w="851" w:type="dxa"/>
          </w:tcPr>
          <w:p w14:paraId="168DEC30" w14:textId="14F7B427" w:rsidR="00A125E9" w:rsidRDefault="00543FDB" w:rsidP="00136AC9">
            <w:pPr>
              <w:spacing w:after="153" w:line="266" w:lineRule="auto"/>
              <w:ind w:right="-105"/>
              <w:cnfStyle w:val="000000100000" w:firstRow="0" w:lastRow="0" w:firstColumn="0" w:lastColumn="0" w:oddVBand="0" w:evenVBand="0" w:oddHBand="1" w:evenHBand="0" w:firstRowFirstColumn="0" w:firstRowLastColumn="0" w:lastRowFirstColumn="0" w:lastRowLastColumn="0"/>
              <w:rPr>
                <w:bCs/>
                <w:szCs w:val="24"/>
              </w:rPr>
            </w:pPr>
            <w:r>
              <w:rPr>
                <w:bCs/>
                <w:szCs w:val="24"/>
              </w:rPr>
              <w:t>Leaves</w:t>
            </w:r>
          </w:p>
        </w:tc>
        <w:tc>
          <w:tcPr>
            <w:tcW w:w="709" w:type="dxa"/>
          </w:tcPr>
          <w:p w14:paraId="5DAAA15C" w14:textId="733D19B4" w:rsidR="00A125E9" w:rsidRDefault="00543FDB" w:rsidP="00136AC9">
            <w:pPr>
              <w:spacing w:after="153" w:line="266" w:lineRule="auto"/>
              <w:ind w:right="-102"/>
              <w:cnfStyle w:val="000000100000" w:firstRow="0" w:lastRow="0" w:firstColumn="0" w:lastColumn="0" w:oddVBand="0" w:evenVBand="0" w:oddHBand="1" w:evenHBand="0" w:firstRowFirstColumn="0" w:firstRowLastColumn="0" w:lastRowFirstColumn="0" w:lastRowLastColumn="0"/>
              <w:rPr>
                <w:bCs/>
                <w:szCs w:val="24"/>
              </w:rPr>
            </w:pPr>
            <w:r>
              <w:rPr>
                <w:bCs/>
                <w:szCs w:val="24"/>
              </w:rPr>
              <w:t>Barks</w:t>
            </w:r>
          </w:p>
        </w:tc>
        <w:tc>
          <w:tcPr>
            <w:tcW w:w="992" w:type="dxa"/>
          </w:tcPr>
          <w:p w14:paraId="75FD41E7" w14:textId="7E21E3B2" w:rsidR="00A125E9" w:rsidRDefault="00543FDB" w:rsidP="00136AC9">
            <w:pPr>
              <w:spacing w:after="153" w:line="266" w:lineRule="auto"/>
              <w:ind w:right="-111"/>
              <w:cnfStyle w:val="000000100000" w:firstRow="0" w:lastRow="0" w:firstColumn="0" w:lastColumn="0" w:oddVBand="0" w:evenVBand="0" w:oddHBand="1" w:evenHBand="0" w:firstRowFirstColumn="0" w:firstRowLastColumn="0" w:lastRowFirstColumn="0" w:lastRowLastColumn="0"/>
              <w:rPr>
                <w:bCs/>
                <w:szCs w:val="24"/>
              </w:rPr>
            </w:pPr>
            <w:r>
              <w:rPr>
                <w:bCs/>
                <w:szCs w:val="24"/>
              </w:rPr>
              <w:t>Roots</w:t>
            </w:r>
          </w:p>
        </w:tc>
        <w:tc>
          <w:tcPr>
            <w:tcW w:w="992" w:type="dxa"/>
          </w:tcPr>
          <w:p w14:paraId="0FD621F3" w14:textId="3A0A4DC5" w:rsidR="00A125E9" w:rsidRDefault="00543FDB" w:rsidP="00136AC9">
            <w:pPr>
              <w:spacing w:after="153" w:line="266" w:lineRule="auto"/>
              <w:ind w:right="-108"/>
              <w:cnfStyle w:val="000000100000" w:firstRow="0" w:lastRow="0" w:firstColumn="0" w:lastColumn="0" w:oddVBand="0" w:evenVBand="0" w:oddHBand="1" w:evenHBand="0" w:firstRowFirstColumn="0" w:firstRowLastColumn="0" w:lastRowFirstColumn="0" w:lastRowLastColumn="0"/>
              <w:rPr>
                <w:bCs/>
                <w:szCs w:val="24"/>
              </w:rPr>
            </w:pPr>
            <w:r>
              <w:rPr>
                <w:bCs/>
                <w:szCs w:val="24"/>
              </w:rPr>
              <w:t>Leaves</w:t>
            </w:r>
          </w:p>
        </w:tc>
        <w:tc>
          <w:tcPr>
            <w:tcW w:w="851" w:type="dxa"/>
          </w:tcPr>
          <w:p w14:paraId="24E11177" w14:textId="1F4DBEBA" w:rsidR="00A125E9" w:rsidRDefault="00543FDB" w:rsidP="00136AC9">
            <w:pPr>
              <w:spacing w:after="153" w:line="266" w:lineRule="auto"/>
              <w:ind w:right="-103"/>
              <w:cnfStyle w:val="000000100000" w:firstRow="0" w:lastRow="0" w:firstColumn="0" w:lastColumn="0" w:oddVBand="0" w:evenVBand="0" w:oddHBand="1" w:evenHBand="0" w:firstRowFirstColumn="0" w:firstRowLastColumn="0" w:lastRowFirstColumn="0" w:lastRowLastColumn="0"/>
              <w:rPr>
                <w:bCs/>
                <w:szCs w:val="24"/>
              </w:rPr>
            </w:pPr>
            <w:r>
              <w:rPr>
                <w:bCs/>
                <w:szCs w:val="24"/>
              </w:rPr>
              <w:t>Barks</w:t>
            </w:r>
          </w:p>
        </w:tc>
        <w:tc>
          <w:tcPr>
            <w:tcW w:w="1275" w:type="dxa"/>
          </w:tcPr>
          <w:p w14:paraId="6967BFD2" w14:textId="3C803A49" w:rsidR="00A125E9" w:rsidRDefault="00543FDB" w:rsidP="00136AC9">
            <w:pPr>
              <w:spacing w:after="153" w:line="266" w:lineRule="auto"/>
              <w:ind w:right="-102"/>
              <w:cnfStyle w:val="000000100000" w:firstRow="0" w:lastRow="0" w:firstColumn="0" w:lastColumn="0" w:oddVBand="0" w:evenVBand="0" w:oddHBand="1" w:evenHBand="0" w:firstRowFirstColumn="0" w:firstRowLastColumn="0" w:lastRowFirstColumn="0" w:lastRowLastColumn="0"/>
              <w:rPr>
                <w:bCs/>
                <w:szCs w:val="24"/>
              </w:rPr>
            </w:pPr>
            <w:r>
              <w:rPr>
                <w:bCs/>
                <w:szCs w:val="24"/>
              </w:rPr>
              <w:t>Roots</w:t>
            </w:r>
          </w:p>
        </w:tc>
      </w:tr>
      <w:tr w:rsidR="00A125E9" w14:paraId="55143D9F"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6B95B039" w14:textId="06AC45FF" w:rsidR="00A125E9" w:rsidRDefault="00A125E9" w:rsidP="00136AC9">
            <w:pPr>
              <w:spacing w:after="153" w:line="266" w:lineRule="auto"/>
              <w:ind w:right="454"/>
              <w:jc w:val="center"/>
              <w:rPr>
                <w:b w:val="0"/>
                <w:szCs w:val="24"/>
              </w:rPr>
            </w:pPr>
            <w:r>
              <w:rPr>
                <w:szCs w:val="24"/>
              </w:rPr>
              <w:t>Al</w:t>
            </w:r>
            <w:r w:rsidR="00543FDB">
              <w:rPr>
                <w:szCs w:val="24"/>
              </w:rPr>
              <w:t>k</w:t>
            </w:r>
            <w:r>
              <w:rPr>
                <w:szCs w:val="24"/>
              </w:rPr>
              <w:t>alo</w:t>
            </w:r>
            <w:r w:rsidR="00543FDB">
              <w:rPr>
                <w:szCs w:val="24"/>
              </w:rPr>
              <w:t>ids</w:t>
            </w:r>
          </w:p>
        </w:tc>
        <w:tc>
          <w:tcPr>
            <w:tcW w:w="851" w:type="dxa"/>
          </w:tcPr>
          <w:p w14:paraId="68967B82" w14:textId="77777777" w:rsidR="00A125E9" w:rsidRDefault="00A125E9" w:rsidP="00136AC9">
            <w:pPr>
              <w:spacing w:after="153" w:line="266" w:lineRule="auto"/>
              <w:ind w:right="749"/>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700D0D5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FC641D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3D795D1"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709B30D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0CAC9D1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212009BD"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8CDFAC" w14:textId="3B2B864B" w:rsidR="00A125E9" w:rsidRDefault="00A125E9" w:rsidP="00136AC9">
            <w:pPr>
              <w:spacing w:after="153" w:line="266" w:lineRule="auto"/>
              <w:ind w:right="749"/>
              <w:jc w:val="center"/>
              <w:rPr>
                <w:b w:val="0"/>
                <w:szCs w:val="24"/>
              </w:rPr>
            </w:pPr>
            <w:r>
              <w:rPr>
                <w:szCs w:val="24"/>
              </w:rPr>
              <w:t>Tan</w:t>
            </w:r>
            <w:r w:rsidR="00543FDB">
              <w:rPr>
                <w:szCs w:val="24"/>
              </w:rPr>
              <w:t>n</w:t>
            </w:r>
            <w:r>
              <w:rPr>
                <w:szCs w:val="24"/>
              </w:rPr>
              <w:t>ins</w:t>
            </w:r>
          </w:p>
        </w:tc>
        <w:tc>
          <w:tcPr>
            <w:tcW w:w="851" w:type="dxa"/>
          </w:tcPr>
          <w:p w14:paraId="2B6D73F8"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2106CA8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1C95A52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33ED441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30595941"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6EC1EFF9"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223D97D3"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652248E3" w14:textId="10646A6C" w:rsidR="00A125E9" w:rsidRDefault="00A125E9" w:rsidP="00136AC9">
            <w:pPr>
              <w:spacing w:after="153" w:line="266" w:lineRule="auto"/>
              <w:ind w:right="454"/>
              <w:jc w:val="center"/>
              <w:rPr>
                <w:b w:val="0"/>
                <w:szCs w:val="24"/>
              </w:rPr>
            </w:pPr>
            <w:r>
              <w:rPr>
                <w:szCs w:val="24"/>
              </w:rPr>
              <w:t>Flavono</w:t>
            </w:r>
            <w:r w:rsidR="00543FDB">
              <w:rPr>
                <w:szCs w:val="24"/>
              </w:rPr>
              <w:t>ids</w:t>
            </w:r>
          </w:p>
        </w:tc>
        <w:tc>
          <w:tcPr>
            <w:tcW w:w="851" w:type="dxa"/>
          </w:tcPr>
          <w:p w14:paraId="6F531344"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6116F9A2"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4973A547"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74985E12"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145DCB1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6D459A4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14081020"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F64C4D" w14:textId="77777777" w:rsidR="00A125E9" w:rsidRDefault="00A125E9" w:rsidP="00136AC9">
            <w:pPr>
              <w:spacing w:after="153" w:line="266" w:lineRule="auto"/>
              <w:ind w:right="749"/>
              <w:jc w:val="center"/>
              <w:rPr>
                <w:b w:val="0"/>
                <w:szCs w:val="24"/>
              </w:rPr>
            </w:pPr>
            <w:r>
              <w:rPr>
                <w:szCs w:val="24"/>
              </w:rPr>
              <w:t>Mucilage</w:t>
            </w:r>
          </w:p>
        </w:tc>
        <w:tc>
          <w:tcPr>
            <w:tcW w:w="851" w:type="dxa"/>
          </w:tcPr>
          <w:p w14:paraId="16D9E6D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407A6B4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33733999"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66756724"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4102B1A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1F6580BA"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3435DCDB"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145F6A14" w14:textId="6C34FDD1" w:rsidR="00A125E9" w:rsidRDefault="00A125E9" w:rsidP="00136AC9">
            <w:pPr>
              <w:spacing w:after="153" w:line="266" w:lineRule="auto"/>
              <w:ind w:right="454"/>
              <w:jc w:val="center"/>
              <w:rPr>
                <w:b w:val="0"/>
                <w:szCs w:val="24"/>
              </w:rPr>
            </w:pPr>
            <w:r>
              <w:rPr>
                <w:szCs w:val="24"/>
              </w:rPr>
              <w:t>Coumarins</w:t>
            </w:r>
          </w:p>
        </w:tc>
        <w:tc>
          <w:tcPr>
            <w:tcW w:w="851" w:type="dxa"/>
          </w:tcPr>
          <w:p w14:paraId="2B753B90"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4B7AC2ED"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F94E01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4D6635C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65295E64"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7F17196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0F759B68"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669AFF" w14:textId="31504CE4" w:rsidR="00A125E9" w:rsidRDefault="00A125E9" w:rsidP="00136AC9">
            <w:pPr>
              <w:spacing w:after="153" w:line="266" w:lineRule="auto"/>
              <w:ind w:right="454"/>
              <w:jc w:val="center"/>
              <w:rPr>
                <w:b w:val="0"/>
                <w:szCs w:val="24"/>
              </w:rPr>
            </w:pPr>
            <w:r>
              <w:rPr>
                <w:szCs w:val="24"/>
              </w:rPr>
              <w:t>Saponins</w:t>
            </w:r>
          </w:p>
        </w:tc>
        <w:tc>
          <w:tcPr>
            <w:tcW w:w="851" w:type="dxa"/>
          </w:tcPr>
          <w:p w14:paraId="2854EF8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5D7594B6"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02D6EA54"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09E854B0"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310591F2"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3DBCCF9D"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0F922486"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2DD7AD03" w14:textId="59473E88" w:rsidR="00A125E9" w:rsidRDefault="00A125E9" w:rsidP="00136AC9">
            <w:pPr>
              <w:spacing w:after="153" w:line="266" w:lineRule="auto"/>
              <w:ind w:right="749"/>
              <w:jc w:val="center"/>
              <w:rPr>
                <w:b w:val="0"/>
                <w:szCs w:val="24"/>
              </w:rPr>
            </w:pPr>
            <w:r>
              <w:rPr>
                <w:szCs w:val="24"/>
              </w:rPr>
              <w:lastRenderedPageBreak/>
              <w:t>Terp</w:t>
            </w:r>
            <w:r w:rsidR="00543FDB">
              <w:rPr>
                <w:szCs w:val="24"/>
              </w:rPr>
              <w:t>e</w:t>
            </w:r>
            <w:r>
              <w:rPr>
                <w:szCs w:val="24"/>
              </w:rPr>
              <w:t>n</w:t>
            </w:r>
            <w:r w:rsidR="00543FDB">
              <w:rPr>
                <w:szCs w:val="24"/>
              </w:rPr>
              <w:t>oids</w:t>
            </w:r>
          </w:p>
        </w:tc>
        <w:tc>
          <w:tcPr>
            <w:tcW w:w="851" w:type="dxa"/>
          </w:tcPr>
          <w:p w14:paraId="461529D3"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34F26669"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524F8D0E"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50E333CB"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3746C731"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3154717A" w14:textId="77777777" w:rsidR="00A125E9" w:rsidRDefault="00A125E9" w:rsidP="00136AC9">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31E4D0D3"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8FDBEE" w14:textId="3FF61D2F" w:rsidR="00A125E9" w:rsidRDefault="00543FDB" w:rsidP="00C23D04">
            <w:pPr>
              <w:spacing w:after="153" w:line="266" w:lineRule="auto"/>
              <w:jc w:val="center"/>
              <w:rPr>
                <w:b w:val="0"/>
                <w:szCs w:val="24"/>
              </w:rPr>
            </w:pPr>
            <w:r>
              <w:rPr>
                <w:szCs w:val="24"/>
              </w:rPr>
              <w:t xml:space="preserve">Reducing </w:t>
            </w:r>
            <w:r w:rsidR="00A125E9">
              <w:rPr>
                <w:szCs w:val="24"/>
              </w:rPr>
              <w:t>Su</w:t>
            </w:r>
            <w:r>
              <w:rPr>
                <w:szCs w:val="24"/>
              </w:rPr>
              <w:t>gars</w:t>
            </w:r>
          </w:p>
        </w:tc>
        <w:tc>
          <w:tcPr>
            <w:tcW w:w="851" w:type="dxa"/>
          </w:tcPr>
          <w:p w14:paraId="4DF51C97"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4F56B2A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4C11B7A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5EBF0723"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6181AD85"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46EA9F0F" w14:textId="77777777" w:rsidR="00A125E9" w:rsidRDefault="00A125E9" w:rsidP="00136AC9">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bl>
    <w:p w14:paraId="632109F5" w14:textId="631FCC7E" w:rsidR="00A125E9" w:rsidRDefault="00543FDB" w:rsidP="00B3360C">
      <w:pPr>
        <w:pStyle w:val="Body"/>
        <w:spacing w:after="0"/>
        <w:rPr>
          <w:rFonts w:ascii="Arial" w:hAnsi="Arial" w:cs="Arial"/>
          <w:bCs/>
        </w:rPr>
      </w:pPr>
      <w:r w:rsidRPr="00543FDB">
        <w:rPr>
          <w:rFonts w:ascii="Arial" w:hAnsi="Arial" w:cs="Arial"/>
          <w:bCs/>
        </w:rPr>
        <w:t>(+): presence et (-): absence</w:t>
      </w:r>
    </w:p>
    <w:p w14:paraId="07F3AE2A" w14:textId="0ABECA10" w:rsidR="00255959" w:rsidRPr="00097F28" w:rsidRDefault="007A79ED" w:rsidP="00FC76A0">
      <w:pPr>
        <w:pStyle w:val="Body"/>
        <w:spacing w:before="240" w:after="0"/>
        <w:rPr>
          <w:rFonts w:ascii="Arial" w:hAnsi="Arial" w:cs="Arial"/>
        </w:rPr>
      </w:pPr>
      <w:r>
        <w:rPr>
          <w:rFonts w:ascii="Arial" w:hAnsi="Arial" w:cs="Arial"/>
          <w:bCs/>
        </w:rPr>
        <w:t>The p</w:t>
      </w:r>
      <w:r w:rsidRPr="007A79ED">
        <w:rPr>
          <w:rFonts w:ascii="Arial" w:hAnsi="Arial" w:cs="Arial"/>
          <w:bCs/>
        </w:rPr>
        <w:t xml:space="preserve">hytochemical screening of </w:t>
      </w:r>
      <w:r w:rsidRPr="007A79ED">
        <w:rPr>
          <w:rFonts w:ascii="Arial" w:hAnsi="Arial" w:cs="Arial"/>
          <w:bCs/>
          <w:i/>
          <w:iCs/>
        </w:rPr>
        <w:t>Mangifera indica</w:t>
      </w:r>
      <w:r w:rsidRPr="007A79ED">
        <w:rPr>
          <w:rFonts w:ascii="Arial" w:hAnsi="Arial" w:cs="Arial"/>
          <w:bCs/>
        </w:rPr>
        <w:t xml:space="preserve"> L. revealed that the plant </w:t>
      </w:r>
      <w:r>
        <w:rPr>
          <w:rFonts w:ascii="Arial" w:hAnsi="Arial" w:cs="Arial"/>
          <w:bCs/>
        </w:rPr>
        <w:t>contains</w:t>
      </w:r>
      <w:r w:rsidRPr="007A79ED">
        <w:rPr>
          <w:rFonts w:ascii="Arial" w:hAnsi="Arial" w:cs="Arial"/>
          <w:bCs/>
        </w:rPr>
        <w:t xml:space="preserve"> tannins, flavonoids, coumarins, terpenes, and reducing sugars, while saponins were absent in all organs.</w:t>
      </w:r>
      <w:r w:rsidRPr="007A79ED">
        <w:rPr>
          <w:rFonts w:ascii="Arial" w:hAnsi="Arial" w:cs="Arial"/>
          <w:b/>
          <w:bCs/>
        </w:rPr>
        <w:t xml:space="preserve"> </w:t>
      </w:r>
      <w:r w:rsidRPr="007A79ED">
        <w:rPr>
          <w:rFonts w:ascii="Arial" w:hAnsi="Arial" w:cs="Arial"/>
        </w:rPr>
        <w:t>Alkaloids</w:t>
      </w:r>
      <w:r>
        <w:rPr>
          <w:rFonts w:ascii="Arial" w:hAnsi="Arial" w:cs="Arial"/>
        </w:rPr>
        <w:t xml:space="preserve"> are</w:t>
      </w:r>
      <w:r w:rsidRPr="007A79ED">
        <w:rPr>
          <w:rFonts w:ascii="Arial" w:hAnsi="Arial" w:cs="Arial"/>
          <w:bCs/>
        </w:rPr>
        <w:t xml:space="preserve"> detected </w:t>
      </w:r>
      <w:r w:rsidRPr="00097F28">
        <w:rPr>
          <w:rFonts w:ascii="Arial" w:hAnsi="Arial" w:cs="Arial"/>
          <w:bCs/>
        </w:rPr>
        <w:t>only in the barks (aqueous and hydroalcoholic extracts), but absent in leaves</w:t>
      </w:r>
      <w:r w:rsidR="00255959" w:rsidRPr="00097F28">
        <w:rPr>
          <w:rFonts w:ascii="Arial" w:hAnsi="Arial" w:cs="Arial"/>
          <w:bCs/>
        </w:rPr>
        <w:t xml:space="preserve">, </w:t>
      </w:r>
      <w:r w:rsidRPr="00097F28">
        <w:rPr>
          <w:rFonts w:ascii="Arial" w:hAnsi="Arial" w:cs="Arial"/>
          <w:bCs/>
        </w:rPr>
        <w:t>consistent with</w:t>
      </w:r>
      <w:r w:rsidR="00C23D04" w:rsidRPr="00097F28">
        <w:rPr>
          <w:rFonts w:ascii="Arial" w:hAnsi="Arial" w:cs="Arial"/>
          <w:bCs/>
        </w:rPr>
        <w:t xml:space="preserve"> </w:t>
      </w:r>
      <w:r w:rsidR="00C23D04" w:rsidRPr="00097F28">
        <w:rPr>
          <w:rFonts w:cs="Helvetica"/>
          <w:noProof/>
        </w:rPr>
        <w:t>Liberata et al.</w:t>
      </w:r>
      <w:r w:rsidR="00261A37" w:rsidRPr="00097F28">
        <w:rPr>
          <w:rFonts w:ascii="Arial" w:hAnsi="Arial" w:cs="Arial"/>
          <w:bCs/>
        </w:rPr>
        <w:t xml:space="preserve"> </w:t>
      </w:r>
      <w:r w:rsidR="00261A37" w:rsidRPr="00097F28">
        <w:rPr>
          <w:rFonts w:ascii="Arial" w:hAnsi="Arial" w:cs="Arial"/>
          <w:bCs/>
        </w:rPr>
        <w:fldChar w:fldCharType="begin" w:fldLock="1"/>
      </w:r>
      <w:r w:rsidR="00F703DF" w:rsidRPr="00097F28">
        <w:rPr>
          <w:rFonts w:ascii="Arial" w:hAnsi="Arial" w:cs="Arial"/>
          <w:bCs/>
        </w:rPr>
        <w:instrText>ADDIN CSL_CITATION {"citationItems":[{"id":"ITEM-1","itemData":{"author":[{"dropping-particle":"","family":"Liberata","given":"Nizigiyimana","non-dropping-particle":"","parse-names":false,"suffix":""},{"dropping-particle":"","family":"Nahimana","given":"Stanislas","non-dropping-particle":"","parse-names":false,"suffix":""},{"dropping-particle":"","family":"Léonard","given":"Ndayiziga","non-dropping-particle":"","parse-names":false,"suffix":""}],"container-title":"Série : Sciences Exactes Et Naturelles","id":"ITEM-1","issue":"29","issued":{"date-parts":[["2024"]]},"page":"13-22","title":"Tests d’activités antiparasitaires et antibactériennes des extraits des feuilles de Psidium guajava L. (ipera)du Burundi","type":"article-journal","volume":"2"},"uris":["http://www.mendeley.com/documents/?uuid=7119dfe6-ed3c-46ce-b921-3de598f0724d"]}],"mendeley":{"formattedCitation":"[26]","plainTextFormattedCitation":"[26]","previouslyFormattedCitation":"[26]"},"properties":{"noteIndex":0},"schema":"https://github.com/citation-style-language/schema/raw/master/csl-citation.json"}</w:instrText>
      </w:r>
      <w:r w:rsidR="00261A37" w:rsidRPr="00097F28">
        <w:rPr>
          <w:rFonts w:ascii="Arial" w:hAnsi="Arial" w:cs="Arial"/>
          <w:bCs/>
        </w:rPr>
        <w:fldChar w:fldCharType="separate"/>
      </w:r>
      <w:r w:rsidR="00261A37" w:rsidRPr="00097F28">
        <w:rPr>
          <w:rFonts w:ascii="Arial" w:hAnsi="Arial" w:cs="Arial"/>
          <w:bCs/>
          <w:noProof/>
        </w:rPr>
        <w:t>[26]</w:t>
      </w:r>
      <w:r w:rsidR="00261A37" w:rsidRPr="00097F28">
        <w:rPr>
          <w:rFonts w:ascii="Arial" w:hAnsi="Arial" w:cs="Arial"/>
          <w:bCs/>
        </w:rPr>
        <w:fldChar w:fldCharType="end"/>
      </w:r>
      <w:r w:rsidR="00255959" w:rsidRPr="00097F28">
        <w:rPr>
          <w:rFonts w:ascii="Arial" w:hAnsi="Arial" w:cs="Arial"/>
          <w:bCs/>
        </w:rPr>
        <w:t>. Saponins are absent in all organs. These results indicated that</w:t>
      </w:r>
      <w:r w:rsidR="00255959" w:rsidRPr="00097F28">
        <w:rPr>
          <w:rFonts w:ascii="Arial" w:hAnsi="Arial" w:cs="Arial"/>
          <w:bCs/>
          <w:i/>
          <w:iCs/>
          <w:color w:val="FF0000"/>
        </w:rPr>
        <w:t xml:space="preserve"> </w:t>
      </w:r>
      <w:r w:rsidR="00C23D04" w:rsidRPr="00097F28">
        <w:rPr>
          <w:rFonts w:ascii="Arial" w:hAnsi="Arial" w:cs="Arial"/>
          <w:bCs/>
          <w:i/>
          <w:iCs/>
        </w:rPr>
        <w:t xml:space="preserve">M. </w:t>
      </w:r>
      <w:r w:rsidR="00255959" w:rsidRPr="00097F28">
        <w:rPr>
          <w:rFonts w:ascii="Arial" w:hAnsi="Arial" w:cs="Arial"/>
          <w:bCs/>
          <w:i/>
          <w:iCs/>
        </w:rPr>
        <w:t>indica</w:t>
      </w:r>
      <w:r w:rsidR="00255959" w:rsidRPr="00097F28">
        <w:rPr>
          <w:rFonts w:ascii="Arial" w:hAnsi="Arial" w:cs="Arial"/>
          <w:bCs/>
        </w:rPr>
        <w:t xml:space="preserve"> is a valuable source of polyphenols (tannins, flavonoids, coumarins) and terpenes through the leaves and barks.</w:t>
      </w:r>
      <w:r w:rsidR="00255959" w:rsidRPr="00097F28">
        <w:rPr>
          <w:rFonts w:ascii="Arial" w:hAnsi="Arial" w:cs="Arial"/>
          <w:b/>
          <w:bCs/>
        </w:rPr>
        <w:t xml:space="preserve"> </w:t>
      </w:r>
      <w:r w:rsidR="00B14125" w:rsidRPr="00097F28">
        <w:rPr>
          <w:rFonts w:ascii="Arial" w:hAnsi="Arial" w:cs="Arial"/>
        </w:rPr>
        <w:t xml:space="preserve">These results are consistent with recent studies that have shown </w:t>
      </w:r>
      <w:r w:rsidR="00C23D04" w:rsidRPr="00097F28">
        <w:rPr>
          <w:rFonts w:ascii="Arial" w:hAnsi="Arial" w:cs="Arial"/>
        </w:rPr>
        <w:t xml:space="preserve">the </w:t>
      </w:r>
      <w:r w:rsidR="00B14125" w:rsidRPr="00097F28">
        <w:rPr>
          <w:rFonts w:ascii="Arial" w:hAnsi="Arial" w:cs="Arial"/>
        </w:rPr>
        <w:t xml:space="preserve">leaves to be the richest organs in secondary metabolites and bioactive compounds </w:t>
      </w:r>
      <w:r w:rsidR="00B14125" w:rsidRPr="00097F28">
        <w:rPr>
          <w:rFonts w:ascii="Arial" w:hAnsi="Arial" w:cs="Arial"/>
        </w:rPr>
        <w:fldChar w:fldCharType="begin" w:fldLock="1"/>
      </w:r>
      <w:r w:rsidR="00F703DF" w:rsidRPr="00097F28">
        <w:rPr>
          <w:rFonts w:ascii="Arial" w:hAnsi="Arial" w:cs="Arial"/>
        </w:rPr>
        <w:instrText>ADDIN CSL_CITATION {"citationItems":[{"id":"ITEM-1","itemData":{"DOI":"10.5897/jmpr2019.6874","author":[{"dropping-particle":"","family":"Mamadou","given":"Abdoulaye Konaré","non-dropping-particle":"","parse-names":false,"suffix":""},{"dropping-particle":"","family":"Nouhoum","given":"Diarra","non-dropping-particle":"","parse-names":false,"suffix":""},{"dropping-particle":"","family":"Cheickna","given":"Cissé","non-dropping-particle":"","parse-names":false,"suffix":""},{"dropping-particle":"","family":"Daouda","given":"Abdoul Karim Traoré","non-dropping-particle":"","parse-names":false,"suffix":""},{"dropping-particle":"","family":"Issiaka","given":"Togola","non-dropping-particle":"","parse-names":false,"suffix":""},{"dropping-particle":"","family":"Adounigna","given":"Kassogué","non-dropping-particle":"","parse-names":false,"suffix":""},{"dropping-particle":"","family":"Rokia","given":"Sanogo","non-dropping-particle":"","parse-names":false,"suffix":""},{"dropping-particle":"","family":"Aboubacar","given":"Sidiki Ouattara","non-dropping-particle":"","parse-names":false,"suffix":""},{"dropping-particle":"","family":"Konaré","given":"Mamadou Abdoulaye","non-dropping-particle":"","parse-names":false,"suffix":""},{"dropping-particle":"","family":"Diarra","given":"Nouhoum","non-dropping-particle":"","parse-names":false,"suffix":""},{"dropping-particle":"","family":"Cissé","given":"Cheickna","non-dropping-particle":"","parse-names":false,"suffix":""},{"dropping-particle":"","family":"Abdoul","given":"Daouda","non-dropping-particle":"","parse-names":false,"suffix":""},{"dropping-particle":"","family":"Traoré","given":"Karim","non-dropping-particle":"","parse-names":false,"suffix":""},{"dropping-particle":"","family":"Togola","given":"Issiaka","non-dropping-particle":"","parse-names":false,"suffix":""},{"dropping-particle":"","family":"Kassogué","given":"Adounigna","non-dropping-particle":"","parse-names":false,"suffix":""},{"dropping-particle":"","family":"Sanogo","given":"Rokia","non-dropping-particle":"","parse-names":false,"suffix":""}],"container-title":"Journal of Medicinal Plants Research","id":"ITEM-1","issue":"3","issued":{"date-parts":[["2020"]]},"page":"118-128","title":"Evaluation of the biological activities of leaf and bark extracts of Ficus platiphylla Delile, a medicinal plant used in Mali","type":"article-journal","volume":"14"},"uris":["http://www.mendeley.com/documents/?uuid=983fa471-82fb-415a-ab67-ed2dcaca214a"]},{"id":"ITEM-2","itemData":{"ISSN":"2250-1177","abstract":"Objective: The saponin extract of Ziziphus mauritiana was screened for antidiabetic and antioxidant potential. Method: The methanolic extract of leaves of Ziziphus mauritiana was solvent extracted with water saturated n-butanol. Both the layer where separated and the organic layer was acidified with 1 N KOH to obtain the raw saponin extract. The different concentrations of saponin extract was treated with alpha amylase enzyme and 1% starch solution in phosphate buffer (pH 6.9). Spectroscopic estimation of incubated extracts was done at 540 nm after stopping the reaction with di nitro salicylic acid reagent. The antioxidant activity of extract was evaluated by reducing power assay. The saponin extract was mixed with equal volume of phosphate buffer (pH 6.9) and potassium ferricyanide (1%). T he mixture was heated and treated with trichloro acetic acid (10%), which was further centrifuged and spectroscopically estimated at 700nm on the addition of freshly prepared ferric chloride solution (0.1%). The increase in absorbance as compare to standard indicates inc rease in reducing power. Result: The saponin extract have produced significant alpha amylase enzyme inhibition and reducing capacity potential. The IC50 value was observed to be 82.12µg/ml ± 0.60 and the reducing capacity was observed to more than standard Ascorbic acid. Conclusion: Saponin extract were found to be active towards alpha amylase inhibitory activity and elicit the reducing potential which significantly indicates their potent antioxidant activity.","author":[{"dropping-particle":"","family":"Dubey","given":"K","non-dropping-particle":"","parse-names":false,"suffix":""},{"dropping-particle":"","family":"Dubey","given":"R","non-dropping-particle":"","parse-names":false,"suffix":""},{"dropping-particle":"","family":"Gupta","given":"R A","non-dropping-particle":"","parse-names":false,"suffix":""},{"dropping-particle":"","family":"Gupta","given":"A K","non-dropping-particle":"","parse-names":false,"suffix":""}],"container-title":"Journal of Drug Delivery and Therapeutics","id":"ITEM-2","issue":"A","issued":{"date-parts":[["2019"]]},"page":"75-77","title":"Anti-Diabetic and Antioxidant Potential of Saponin Extract of Leaves of Ziziphus Mauritiana","type":"article-journal","volume":"9"},"uris":["http://www.mendeley.com/documents/?uuid=a8bb59de-690e-3013-aee9-bca28e6b8a0a"]},{"id":"ITEM-3","itemData":{"DOI":"10.3892/ijfn.2025.46","ISSN":"2634-7989 2634-7237","abstract":"Mango (&lt;em&gt;Mangifera indica L.&lt;/em&gt;), a member of the Anacardiaceae family, is one of the most economically significant tropical fruit crops worldwide. Both mango leaves and bark have been traditionally used for their medicinal properties. Locally, individuals tend to combine different parts of medicinal plants in an attempt to increase their therapeutic potency; however, the adverse effects of such combinations are mostly unreported. The present study investigated the biochemical activities and phytoconstituents of ethanol extracts from the leaves and bark of &lt;em&gt;Mangifera indica&lt;/em&gt; individually and in combination. The antioxidant properties of these extracts were evaluated using various assays, including 2,2</w:instrText>
      </w:r>
      <w:r w:rsidR="00F703DF" w:rsidRPr="00097F28">
        <w:rPr>
          <w:rFonts w:ascii="Cambria Math" w:hAnsi="Cambria Math" w:cs="Cambria Math"/>
        </w:rPr>
        <w:instrText>‑</w:instrText>
      </w:r>
      <w:r w:rsidR="00F703DF" w:rsidRPr="00097F28">
        <w:rPr>
          <w:rFonts w:ascii="Arial" w:hAnsi="Arial" w:cs="Arial"/>
        </w:rPr>
        <w:instrText>diphenyl</w:instrText>
      </w:r>
      <w:r w:rsidR="00F703DF" w:rsidRPr="00097F28">
        <w:rPr>
          <w:rFonts w:ascii="Cambria Math" w:hAnsi="Cambria Math" w:cs="Cambria Math"/>
        </w:rPr>
        <w:instrText>‑</w:instrText>
      </w:r>
      <w:r w:rsidR="00F703DF" w:rsidRPr="00097F28">
        <w:rPr>
          <w:rFonts w:ascii="Arial" w:hAnsi="Arial" w:cs="Arial"/>
        </w:rPr>
        <w:instrText>l</w:instrText>
      </w:r>
      <w:r w:rsidR="00F703DF" w:rsidRPr="00097F28">
        <w:rPr>
          <w:rFonts w:ascii="Cambria Math" w:hAnsi="Cambria Math" w:cs="Cambria Math"/>
        </w:rPr>
        <w:instrText>‑</w:instrText>
      </w:r>
      <w:r w:rsidR="00F703DF" w:rsidRPr="00097F28">
        <w:rPr>
          <w:rFonts w:ascii="Arial" w:hAnsi="Arial" w:cs="Arial"/>
        </w:rPr>
        <w:instrText>picrylhydrazyl, 2,2'</w:instrText>
      </w:r>
      <w:r w:rsidR="00F703DF" w:rsidRPr="00097F28">
        <w:rPr>
          <w:rFonts w:ascii="Cambria Math" w:hAnsi="Cambria Math" w:cs="Cambria Math"/>
        </w:rPr>
        <w:instrText>‑</w:instrText>
      </w:r>
      <w:r w:rsidR="00F703DF" w:rsidRPr="00097F28">
        <w:rPr>
          <w:rFonts w:ascii="Arial" w:hAnsi="Arial" w:cs="Arial"/>
        </w:rPr>
        <w:instrText>azinobis(3</w:instrText>
      </w:r>
      <w:r w:rsidR="00F703DF" w:rsidRPr="00097F28">
        <w:rPr>
          <w:rFonts w:ascii="Cambria Math" w:hAnsi="Cambria Math" w:cs="Cambria Math"/>
        </w:rPr>
        <w:instrText>‑</w:instrText>
      </w:r>
      <w:r w:rsidR="00F703DF" w:rsidRPr="00097F28">
        <w:rPr>
          <w:rFonts w:ascii="Arial" w:hAnsi="Arial" w:cs="Arial"/>
        </w:rPr>
        <w:instrText>ethylbenzothiazoline</w:instrText>
      </w:r>
      <w:r w:rsidR="00F703DF" w:rsidRPr="00097F28">
        <w:rPr>
          <w:rFonts w:ascii="Cambria Math" w:hAnsi="Cambria Math" w:cs="Cambria Math"/>
        </w:rPr>
        <w:instrText>‑</w:instrText>
      </w:r>
      <w:r w:rsidR="00F703DF" w:rsidRPr="00097F28">
        <w:rPr>
          <w:rFonts w:ascii="Arial" w:hAnsi="Arial" w:cs="Arial"/>
        </w:rPr>
        <w:instrText>6</w:instrText>
      </w:r>
      <w:r w:rsidR="00F703DF" w:rsidRPr="00097F28">
        <w:rPr>
          <w:rFonts w:ascii="Cambria Math" w:hAnsi="Cambria Math" w:cs="Cambria Math"/>
        </w:rPr>
        <w:instrText>‑</w:instrText>
      </w:r>
      <w:r w:rsidR="00F703DF" w:rsidRPr="00097F28">
        <w:rPr>
          <w:rFonts w:ascii="Arial" w:hAnsi="Arial" w:cs="Arial"/>
        </w:rPr>
        <w:instrText>sulphonic acid radical scavenging assays, ferric reducing antioxidant power assay and total antioxidant activity assay along with the analysis of total phenolic and flavonoid contents. The anti</w:instrText>
      </w:r>
      <w:r w:rsidR="00F703DF" w:rsidRPr="00097F28">
        <w:rPr>
          <w:rFonts w:ascii="Cambria Math" w:hAnsi="Cambria Math" w:cs="Cambria Math"/>
        </w:rPr>
        <w:instrText>‑</w:instrText>
      </w:r>
      <w:r w:rsidR="00F703DF" w:rsidRPr="00097F28">
        <w:rPr>
          <w:rFonts w:ascii="Arial" w:hAnsi="Arial" w:cs="Arial"/>
        </w:rPr>
        <w:instrText>diabetic activity was evaluated through &lt;em&gt;in vitro&lt;/em&gt; assays of &amp;alpha;</w:instrText>
      </w:r>
      <w:r w:rsidR="00F703DF" w:rsidRPr="00097F28">
        <w:rPr>
          <w:rFonts w:ascii="Cambria Math" w:hAnsi="Cambria Math" w:cs="Cambria Math"/>
        </w:rPr>
        <w:instrText>‑</w:instrText>
      </w:r>
      <w:r w:rsidR="00F703DF" w:rsidRPr="00097F28">
        <w:rPr>
          <w:rFonts w:ascii="Arial" w:hAnsi="Arial" w:cs="Arial"/>
        </w:rPr>
        <w:instrText>glucosidase and &amp;alpha;</w:instrText>
      </w:r>
      <w:r w:rsidR="00F703DF" w:rsidRPr="00097F28">
        <w:rPr>
          <w:rFonts w:ascii="Cambria Math" w:hAnsi="Cambria Math" w:cs="Cambria Math"/>
        </w:rPr>
        <w:instrText>‑</w:instrText>
      </w:r>
      <w:r w:rsidR="00F703DF" w:rsidRPr="00097F28">
        <w:rPr>
          <w:rFonts w:ascii="Arial" w:hAnsi="Arial" w:cs="Arial"/>
        </w:rPr>
        <w:instrText>amylase inhibition and antifungal properties were assessed against the fungal pathogen, &lt;em&gt;Fusarium solani&lt;/em&gt;. Gas chromatography</w:instrText>
      </w:r>
      <w:r w:rsidR="00F703DF" w:rsidRPr="00097F28">
        <w:rPr>
          <w:rFonts w:ascii="Cambria Math" w:hAnsi="Cambria Math" w:cs="Cambria Math"/>
        </w:rPr>
        <w:instrText>‑</w:instrText>
      </w:r>
      <w:r w:rsidR="00F703DF" w:rsidRPr="00097F28">
        <w:rPr>
          <w:rFonts w:ascii="Arial" w:hAnsi="Arial" w:cs="Arial"/>
        </w:rPr>
        <w:instrText>mass spectrometry analysis revealed numerous bioactive compounds, such as phenols, sesquiterpenes, terpenoids, fatty acids and esters. The results demonstrated marked antioxidant, anti</w:instrText>
      </w:r>
      <w:r w:rsidR="00F703DF" w:rsidRPr="00097F28">
        <w:rPr>
          <w:rFonts w:ascii="Cambria Math" w:hAnsi="Cambria Math" w:cs="Cambria Math"/>
        </w:rPr>
        <w:instrText>‑</w:instrText>
      </w:r>
      <w:r w:rsidR="00F703DF" w:rsidRPr="00097F28">
        <w:rPr>
          <w:rFonts w:ascii="Arial" w:hAnsi="Arial" w:cs="Arial"/>
        </w:rPr>
        <w:instrText>diabetic and antifungal activities which were highest in the bark extract. However, combining the bark with leaf extract of &lt;em&gt;Mangifera indica&lt;/em&gt; was antagonistic as the biochemical activities were significantly reduced.","author":[{"dropping-particle":"","family":"Karigidi Esther","given":"Mojisola","non-dropping-particle":"","parse-names":false,"suffix":""},{"dropping-particle":"","family":"Fakunle Ewaoluwa","given":"Oluwalonimi","non-dropping-particle":"","parse-names":false,"suffix":""},{"dropping-particle":"","family":"Karigidi Olayele","given":"Kayode","non-dropping-particle":"","parse-names":false,"suffix":""}],"container-title":"Int J Funct Nutr","id":"ITEM-3","issue":"1","issued":{"date-parts":[["2025"]]},"page":"5","publisher-place":"Department of Biological Sciences (Biochemistry Programme), KolaDaisi University, Ibadan, Onidundun 200138, Oyo State, Nigeria Department of Chemical Sciences, Olusegun Agagu University of Science and Technology, Okitipupa 350105, Ondo State, Nigeria","title":"Antioxidant, antidiabetic and antifungal activities of leaf and bark ethanol extracts of &lt;em&gt;Mangifera indica&lt;/em&gt; and their antagonistic biochemical effects","type":"article-journal","volume":"6"},"uris":["http://www.mendeley.com/documents/?uuid=e5799264-6fa6-4c20-9027-069bbe24b7af"]}],"mendeley":{"formattedCitation":"[20, 23, 27]","plainTextFormattedCitation":"[20, 23, 27]","previouslyFormattedCitation":"[20, 23, 27]"},"properties":{"noteIndex":0},"schema":"https://github.com/citation-style-language/schema/raw/master/csl-citation.json"}</w:instrText>
      </w:r>
      <w:r w:rsidR="00B14125" w:rsidRPr="00097F28">
        <w:rPr>
          <w:rFonts w:ascii="Arial" w:hAnsi="Arial" w:cs="Arial"/>
        </w:rPr>
        <w:fldChar w:fldCharType="separate"/>
      </w:r>
      <w:r w:rsidR="00261A37" w:rsidRPr="00097F28">
        <w:rPr>
          <w:rFonts w:ascii="Arial" w:hAnsi="Arial" w:cs="Arial"/>
          <w:noProof/>
        </w:rPr>
        <w:t>[20, 23, 27]</w:t>
      </w:r>
      <w:r w:rsidR="00B14125" w:rsidRPr="00097F28">
        <w:rPr>
          <w:rFonts w:ascii="Arial" w:hAnsi="Arial" w:cs="Arial"/>
        </w:rPr>
        <w:fldChar w:fldCharType="end"/>
      </w:r>
      <w:r w:rsidR="00B14125" w:rsidRPr="00097F28">
        <w:rPr>
          <w:rFonts w:ascii="Arial" w:hAnsi="Arial" w:cs="Arial"/>
        </w:rPr>
        <w:t xml:space="preserve">. Nevertheless, the use of barks </w:t>
      </w:r>
      <w:r w:rsidR="00C23D04" w:rsidRPr="00097F28">
        <w:rPr>
          <w:rFonts w:ascii="Arial" w:hAnsi="Arial" w:cs="Arial"/>
        </w:rPr>
        <w:t xml:space="preserve">and roots </w:t>
      </w:r>
      <w:r w:rsidR="00B14125" w:rsidRPr="00097F28">
        <w:rPr>
          <w:rFonts w:ascii="Arial" w:hAnsi="Arial" w:cs="Arial"/>
        </w:rPr>
        <w:t>poses a sustainability problem, as harvesting can severely harm the tree's health, or even kill it.</w:t>
      </w:r>
    </w:p>
    <w:p w14:paraId="4C7AB3B5" w14:textId="436BE90E" w:rsidR="007A79ED" w:rsidRPr="00097F28" w:rsidRDefault="007A79ED" w:rsidP="007A79ED">
      <w:pPr>
        <w:pStyle w:val="Body"/>
        <w:spacing w:after="0"/>
        <w:rPr>
          <w:rFonts w:ascii="Arial" w:hAnsi="Arial" w:cs="Arial"/>
          <w:bCs/>
        </w:rPr>
      </w:pPr>
    </w:p>
    <w:p w14:paraId="2ADA869B" w14:textId="6899EC58" w:rsidR="008423F6" w:rsidRPr="00DD1675" w:rsidRDefault="008423F6" w:rsidP="008423F6">
      <w:pPr>
        <w:pStyle w:val="Body"/>
        <w:spacing w:after="0"/>
        <w:outlineLvl w:val="1"/>
        <w:rPr>
          <w:rFonts w:ascii="Arial" w:hAnsi="Arial" w:cs="Arial"/>
        </w:rPr>
      </w:pPr>
      <w:r w:rsidRPr="00097F28">
        <w:rPr>
          <w:rFonts w:ascii="Arial" w:hAnsi="Arial" w:cs="Arial"/>
          <w:b/>
        </w:rPr>
        <w:t>3.4 Antiradical and Anti-amylase Activities (IC</w:t>
      </w:r>
      <w:r w:rsidRPr="00097F28">
        <w:rPr>
          <w:rFonts w:ascii="Arial" w:hAnsi="Arial" w:cs="Arial"/>
          <w:b/>
          <w:vertAlign w:val="subscript"/>
        </w:rPr>
        <w:t>50</w:t>
      </w:r>
      <w:r w:rsidRPr="00097F28">
        <w:rPr>
          <w:rFonts w:ascii="Arial" w:hAnsi="Arial" w:cs="Arial"/>
          <w:b/>
        </w:rPr>
        <w:t xml:space="preserve">) of </w:t>
      </w:r>
      <w:r w:rsidR="00C23D04" w:rsidRPr="00097F28">
        <w:rPr>
          <w:rFonts w:ascii="Arial" w:hAnsi="Arial" w:cs="Arial"/>
          <w:b/>
          <w:i/>
          <w:iCs/>
        </w:rPr>
        <w:t>M. i</w:t>
      </w:r>
      <w:r w:rsidRPr="00097F28">
        <w:rPr>
          <w:rFonts w:ascii="Arial" w:hAnsi="Arial" w:cs="Arial"/>
          <w:b/>
          <w:i/>
          <w:iCs/>
        </w:rPr>
        <w:t>ndica</w:t>
      </w:r>
      <w:r w:rsidRPr="00097F28">
        <w:rPr>
          <w:rFonts w:ascii="Arial" w:hAnsi="Arial" w:cs="Arial"/>
          <w:b/>
        </w:rPr>
        <w:t xml:space="preserve"> Extracts</w:t>
      </w:r>
      <w:r w:rsidRPr="00097F28">
        <w:rPr>
          <w:rFonts w:ascii="Arial" w:hAnsi="Arial" w:cs="Arial"/>
        </w:rPr>
        <w:t>.</w:t>
      </w:r>
    </w:p>
    <w:p w14:paraId="5B5D732F" w14:textId="6576FD80" w:rsidR="007C00B7" w:rsidRPr="00DD1675" w:rsidRDefault="00DD1675" w:rsidP="00B9265A">
      <w:pPr>
        <w:spacing w:before="240"/>
        <w:rPr>
          <w:rFonts w:ascii="Arial" w:hAnsi="Arial" w:cs="Arial"/>
        </w:rPr>
      </w:pPr>
      <w:r>
        <w:rPr>
          <w:rFonts w:ascii="Arial" w:hAnsi="Arial" w:cs="Arial"/>
        </w:rPr>
        <w:fldChar w:fldCharType="begin"/>
      </w:r>
      <w:r>
        <w:rPr>
          <w:rFonts w:ascii="Arial" w:hAnsi="Arial" w:cs="Arial"/>
        </w:rPr>
        <w:instrText xml:space="preserve"> REF _Ref207302380 \h </w:instrText>
      </w:r>
      <w:r>
        <w:rPr>
          <w:rFonts w:ascii="Arial" w:hAnsi="Arial" w:cs="Arial"/>
        </w:rPr>
      </w:r>
      <w:r>
        <w:rPr>
          <w:rFonts w:ascii="Arial" w:hAnsi="Arial" w:cs="Arial"/>
        </w:rPr>
        <w:fldChar w:fldCharType="separate"/>
      </w:r>
      <w:r w:rsidRPr="00DD1675">
        <w:rPr>
          <w:rFonts w:ascii="Arial" w:hAnsi="Arial" w:cs="Arial"/>
          <w:b/>
          <w:bCs/>
          <w:i/>
          <w:iCs/>
        </w:rPr>
        <w:t xml:space="preserve">Table </w:t>
      </w:r>
      <w:r w:rsidRPr="00DD1675">
        <w:rPr>
          <w:rFonts w:ascii="Arial" w:hAnsi="Arial" w:cs="Arial"/>
          <w:b/>
          <w:bCs/>
          <w:i/>
          <w:iCs/>
          <w:noProof/>
        </w:rPr>
        <w:t>3</w:t>
      </w:r>
      <w:r>
        <w:rPr>
          <w:rFonts w:ascii="Arial" w:hAnsi="Arial" w:cs="Arial"/>
        </w:rPr>
        <w:fldChar w:fldCharType="end"/>
      </w:r>
      <w:r w:rsidRPr="00DD1675">
        <w:rPr>
          <w:rFonts w:ascii="Arial" w:hAnsi="Arial" w:cs="Arial"/>
        </w:rPr>
        <w:t xml:space="preserve"> summarizes the IC</w:t>
      </w:r>
      <w:r w:rsidRPr="00DD1675">
        <w:rPr>
          <w:rFonts w:ascii="Arial" w:hAnsi="Arial" w:cs="Arial"/>
          <w:vertAlign w:val="subscript"/>
        </w:rPr>
        <w:t>50</w:t>
      </w:r>
      <w:r w:rsidRPr="00DD1675">
        <w:rPr>
          <w:rFonts w:ascii="Arial" w:hAnsi="Arial" w:cs="Arial"/>
        </w:rPr>
        <w:t xml:space="preserve"> values obtained for the antiradical activities of the extracts.</w:t>
      </w:r>
    </w:p>
    <w:p w14:paraId="6D0BE4AD" w14:textId="77777777" w:rsidR="008423F6" w:rsidRPr="00CB26DB" w:rsidRDefault="008423F6" w:rsidP="00CB26DB"/>
    <w:p w14:paraId="532A1A7F" w14:textId="4D1DAA4F" w:rsidR="00DD1675" w:rsidRPr="00DD1675" w:rsidRDefault="00DD1675" w:rsidP="00DD1675">
      <w:pPr>
        <w:pStyle w:val="Caption"/>
        <w:keepNext/>
        <w:rPr>
          <w:rFonts w:ascii="Arial" w:hAnsi="Arial" w:cs="Arial"/>
          <w:b/>
          <w:bCs/>
          <w:i w:val="0"/>
          <w:iCs w:val="0"/>
          <w:color w:val="auto"/>
          <w:sz w:val="20"/>
          <w:szCs w:val="20"/>
        </w:rPr>
      </w:pPr>
      <w:bookmarkStart w:id="7" w:name="_Ref207302380"/>
      <w:r w:rsidRPr="00DD1675">
        <w:rPr>
          <w:rFonts w:ascii="Arial" w:hAnsi="Arial" w:cs="Arial"/>
          <w:b/>
          <w:bCs/>
          <w:i w:val="0"/>
          <w:iCs w:val="0"/>
          <w:color w:val="auto"/>
          <w:sz w:val="20"/>
          <w:szCs w:val="20"/>
        </w:rPr>
        <w:t xml:space="preserve">Table </w:t>
      </w:r>
      <w:r w:rsidRPr="00DD1675">
        <w:rPr>
          <w:rFonts w:ascii="Arial" w:hAnsi="Arial" w:cs="Arial"/>
          <w:b/>
          <w:bCs/>
          <w:i w:val="0"/>
          <w:iCs w:val="0"/>
          <w:color w:val="auto"/>
          <w:sz w:val="20"/>
          <w:szCs w:val="20"/>
        </w:rPr>
        <w:fldChar w:fldCharType="begin"/>
      </w:r>
      <w:r w:rsidRPr="00DD1675">
        <w:rPr>
          <w:rFonts w:ascii="Arial" w:hAnsi="Arial" w:cs="Arial"/>
          <w:b/>
          <w:bCs/>
          <w:i w:val="0"/>
          <w:iCs w:val="0"/>
          <w:color w:val="auto"/>
          <w:sz w:val="20"/>
          <w:szCs w:val="20"/>
        </w:rPr>
        <w:instrText xml:space="preserve"> SEQ Table \* ARABIC </w:instrText>
      </w:r>
      <w:r w:rsidRPr="00DD1675">
        <w:rPr>
          <w:rFonts w:ascii="Arial" w:hAnsi="Arial" w:cs="Arial"/>
          <w:b/>
          <w:bCs/>
          <w:i w:val="0"/>
          <w:iCs w:val="0"/>
          <w:color w:val="auto"/>
          <w:sz w:val="20"/>
          <w:szCs w:val="20"/>
        </w:rPr>
        <w:fldChar w:fldCharType="separate"/>
      </w:r>
      <w:r w:rsidR="00491D86">
        <w:rPr>
          <w:rFonts w:ascii="Arial" w:hAnsi="Arial" w:cs="Arial"/>
          <w:b/>
          <w:bCs/>
          <w:i w:val="0"/>
          <w:iCs w:val="0"/>
          <w:noProof/>
          <w:color w:val="auto"/>
          <w:sz w:val="20"/>
          <w:szCs w:val="20"/>
        </w:rPr>
        <w:t>3</w:t>
      </w:r>
      <w:r w:rsidRPr="00DD1675">
        <w:rPr>
          <w:rFonts w:ascii="Arial" w:hAnsi="Arial" w:cs="Arial"/>
          <w:b/>
          <w:bCs/>
          <w:i w:val="0"/>
          <w:iCs w:val="0"/>
          <w:color w:val="auto"/>
          <w:sz w:val="20"/>
          <w:szCs w:val="20"/>
        </w:rPr>
        <w:fldChar w:fldCharType="end"/>
      </w:r>
      <w:bookmarkEnd w:id="7"/>
      <w:r w:rsidRPr="00DD1675">
        <w:rPr>
          <w:rFonts w:ascii="Arial" w:hAnsi="Arial" w:cs="Arial"/>
          <w:b/>
          <w:bCs/>
          <w:i w:val="0"/>
          <w:iCs w:val="0"/>
          <w:color w:val="auto"/>
          <w:sz w:val="20"/>
          <w:szCs w:val="20"/>
        </w:rPr>
        <w:t xml:space="preserve">. </w:t>
      </w:r>
      <w:bookmarkStart w:id="8" w:name="_Hlk207302951"/>
      <w:r w:rsidRPr="00DD1675">
        <w:rPr>
          <w:rFonts w:ascii="Arial" w:hAnsi="Arial" w:cs="Arial"/>
          <w:b/>
          <w:bCs/>
          <w:i w:val="0"/>
          <w:iCs w:val="0"/>
          <w:color w:val="auto"/>
          <w:sz w:val="20"/>
          <w:szCs w:val="20"/>
        </w:rPr>
        <w:t>Summary of Antiradical Activity (DPPH Assay, expressed as IC</w:t>
      </w:r>
      <w:r w:rsidRPr="00FC76A0">
        <w:rPr>
          <w:rFonts w:ascii="Arial" w:hAnsi="Arial" w:cs="Arial"/>
          <w:b/>
          <w:bCs/>
          <w:i w:val="0"/>
          <w:iCs w:val="0"/>
          <w:color w:val="auto"/>
          <w:sz w:val="20"/>
          <w:szCs w:val="20"/>
          <w:vertAlign w:val="subscript"/>
        </w:rPr>
        <w:t>50</w:t>
      </w:r>
      <w:r w:rsidRPr="00DD1675">
        <w:rPr>
          <w:rFonts w:ascii="Arial" w:hAnsi="Arial" w:cs="Arial"/>
          <w:b/>
          <w:bCs/>
          <w:i w:val="0"/>
          <w:iCs w:val="0"/>
          <w:color w:val="auto"/>
          <w:sz w:val="20"/>
          <w:szCs w:val="20"/>
        </w:rPr>
        <w:t>)</w:t>
      </w:r>
      <w:bookmarkEnd w:id="8"/>
    </w:p>
    <w:tbl>
      <w:tblPr>
        <w:tblStyle w:val="PlainTable2"/>
        <w:tblW w:w="5000" w:type="pct"/>
        <w:tblLook w:val="04A0" w:firstRow="1" w:lastRow="0" w:firstColumn="1" w:lastColumn="0" w:noHBand="0" w:noVBand="1"/>
      </w:tblPr>
      <w:tblGrid>
        <w:gridCol w:w="3264"/>
        <w:gridCol w:w="2868"/>
        <w:gridCol w:w="4668"/>
      </w:tblGrid>
      <w:tr w:rsidR="008423F6" w:rsidRPr="008423F6" w14:paraId="38505316" w14:textId="77777777" w:rsidTr="008423F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511" w:type="pct"/>
          </w:tcPr>
          <w:p w14:paraId="17DEFB16" w14:textId="4402E222" w:rsidR="008423F6" w:rsidRPr="008423F6" w:rsidRDefault="008423F6" w:rsidP="008423F6">
            <w:pPr>
              <w:rPr>
                <w:rFonts w:ascii="Arial" w:hAnsi="Arial" w:cs="Arial"/>
              </w:rPr>
            </w:pPr>
            <w:r w:rsidRPr="00220815">
              <w:rPr>
                <w:rFonts w:ascii="Arial" w:hAnsi="Arial" w:cs="Arial"/>
              </w:rPr>
              <w:t>Organs</w:t>
            </w:r>
          </w:p>
        </w:tc>
        <w:tc>
          <w:tcPr>
            <w:tcW w:w="1328" w:type="pct"/>
          </w:tcPr>
          <w:p w14:paraId="60533C2E" w14:textId="11653BA2" w:rsidR="008423F6" w:rsidRPr="008423F6" w:rsidRDefault="008423F6" w:rsidP="008423F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Extra</w:t>
            </w:r>
            <w:r w:rsidRPr="00220815">
              <w:rPr>
                <w:rFonts w:ascii="Arial" w:hAnsi="Arial" w:cs="Arial"/>
              </w:rPr>
              <w:t>ct</w:t>
            </w:r>
          </w:p>
        </w:tc>
        <w:tc>
          <w:tcPr>
            <w:tcW w:w="2161" w:type="pct"/>
          </w:tcPr>
          <w:p w14:paraId="74388B99" w14:textId="77777777" w:rsidR="008423F6" w:rsidRPr="008423F6" w:rsidRDefault="008423F6" w:rsidP="008423F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DPPH, IC</w:t>
            </w:r>
            <w:r w:rsidRPr="008423F6">
              <w:rPr>
                <w:rFonts w:ascii="Arial" w:hAnsi="Arial" w:cs="Arial"/>
                <w:vertAlign w:val="subscript"/>
              </w:rPr>
              <w:t>50</w:t>
            </w:r>
            <w:r w:rsidRPr="008423F6">
              <w:rPr>
                <w:rFonts w:ascii="Arial" w:hAnsi="Arial" w:cs="Arial"/>
              </w:rPr>
              <w:t xml:space="preserve"> (</w:t>
            </w:r>
            <w:proofErr w:type="spellStart"/>
            <w:r w:rsidRPr="008423F6">
              <w:rPr>
                <w:rFonts w:ascii="Arial" w:hAnsi="Arial" w:cs="Arial"/>
              </w:rPr>
              <w:t>μg</w:t>
            </w:r>
            <w:proofErr w:type="spellEnd"/>
            <w:r w:rsidRPr="008423F6">
              <w:rPr>
                <w:rFonts w:ascii="Arial" w:hAnsi="Arial" w:cs="Arial"/>
              </w:rPr>
              <w:t>/ml)</w:t>
            </w:r>
          </w:p>
        </w:tc>
      </w:tr>
      <w:tr w:rsidR="008423F6" w:rsidRPr="008423F6" w14:paraId="69E72DF8"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7C90390C" w14:textId="276E2C3B" w:rsidR="008423F6" w:rsidRPr="008423F6" w:rsidRDefault="008423F6" w:rsidP="008423F6">
            <w:pPr>
              <w:rPr>
                <w:rFonts w:ascii="Arial" w:hAnsi="Arial" w:cs="Arial"/>
              </w:rPr>
            </w:pPr>
            <w:r w:rsidRPr="00220815">
              <w:rPr>
                <w:rFonts w:ascii="Arial" w:hAnsi="Arial" w:cs="Arial"/>
              </w:rPr>
              <w:t>Leaves</w:t>
            </w:r>
          </w:p>
        </w:tc>
        <w:tc>
          <w:tcPr>
            <w:tcW w:w="1328" w:type="pct"/>
          </w:tcPr>
          <w:p w14:paraId="43E97B31" w14:textId="689227B0"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F27EE20" w14:textId="6B03B87D"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97±0</w:t>
            </w:r>
            <w:r w:rsidRPr="00220815">
              <w:rPr>
                <w:rFonts w:ascii="Arial" w:hAnsi="Arial" w:cs="Arial"/>
              </w:rPr>
              <w:t>.</w:t>
            </w:r>
            <w:r w:rsidRPr="008423F6">
              <w:rPr>
                <w:rFonts w:ascii="Arial" w:hAnsi="Arial" w:cs="Arial"/>
              </w:rPr>
              <w:t>22</w:t>
            </w:r>
            <w:r w:rsidRPr="008423F6">
              <w:rPr>
                <w:rFonts w:ascii="Arial" w:hAnsi="Arial" w:cs="Arial"/>
                <w:vertAlign w:val="superscript"/>
              </w:rPr>
              <w:t>b</w:t>
            </w:r>
          </w:p>
        </w:tc>
      </w:tr>
      <w:tr w:rsidR="008423F6" w:rsidRPr="008423F6" w14:paraId="50370866"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64DB761B" w14:textId="77777777" w:rsidR="008423F6" w:rsidRPr="008423F6" w:rsidRDefault="008423F6" w:rsidP="008423F6">
            <w:pPr>
              <w:rPr>
                <w:rFonts w:ascii="Arial" w:hAnsi="Arial" w:cs="Arial"/>
              </w:rPr>
            </w:pPr>
          </w:p>
        </w:tc>
        <w:tc>
          <w:tcPr>
            <w:tcW w:w="1328" w:type="pct"/>
          </w:tcPr>
          <w:p w14:paraId="524EE30B" w14:textId="5449A574"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3768F2CA" w14:textId="36EF2F4B"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27±0</w:t>
            </w:r>
            <w:r w:rsidRPr="00220815">
              <w:rPr>
                <w:rFonts w:ascii="Arial" w:hAnsi="Arial" w:cs="Arial"/>
              </w:rPr>
              <w:t>.</w:t>
            </w:r>
            <w:r w:rsidRPr="008423F6">
              <w:rPr>
                <w:rFonts w:ascii="Arial" w:hAnsi="Arial" w:cs="Arial"/>
              </w:rPr>
              <w:t>65</w:t>
            </w:r>
            <w:r w:rsidRPr="008423F6">
              <w:rPr>
                <w:rFonts w:ascii="Arial" w:hAnsi="Arial" w:cs="Arial"/>
                <w:vertAlign w:val="superscript"/>
              </w:rPr>
              <w:t>bc</w:t>
            </w:r>
          </w:p>
        </w:tc>
      </w:tr>
      <w:tr w:rsidR="008423F6" w:rsidRPr="008423F6" w14:paraId="14AF842D"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6A4A02CD" w14:textId="1681A038" w:rsidR="008423F6" w:rsidRPr="008423F6" w:rsidRDefault="008423F6" w:rsidP="008423F6">
            <w:pPr>
              <w:rPr>
                <w:rFonts w:ascii="Arial" w:hAnsi="Arial" w:cs="Arial"/>
              </w:rPr>
            </w:pPr>
            <w:r w:rsidRPr="00220815">
              <w:rPr>
                <w:rFonts w:ascii="Arial" w:hAnsi="Arial" w:cs="Arial"/>
              </w:rPr>
              <w:t>Barks</w:t>
            </w:r>
            <w:r w:rsidRPr="008423F6">
              <w:rPr>
                <w:rFonts w:ascii="Arial" w:hAnsi="Arial" w:cs="Arial"/>
              </w:rPr>
              <w:t xml:space="preserve"> </w:t>
            </w:r>
          </w:p>
        </w:tc>
        <w:tc>
          <w:tcPr>
            <w:tcW w:w="1328" w:type="pct"/>
          </w:tcPr>
          <w:p w14:paraId="345A52D5" w14:textId="6C0A3B67"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08287F7D" w14:textId="5DCA1983"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13±0</w:t>
            </w:r>
            <w:r w:rsidRPr="00220815">
              <w:rPr>
                <w:rFonts w:ascii="Arial" w:hAnsi="Arial" w:cs="Arial"/>
              </w:rPr>
              <w:t>.</w:t>
            </w:r>
            <w:r w:rsidRPr="008423F6">
              <w:rPr>
                <w:rFonts w:ascii="Arial" w:hAnsi="Arial" w:cs="Arial"/>
              </w:rPr>
              <w:t>51</w:t>
            </w:r>
            <w:r w:rsidRPr="008423F6">
              <w:rPr>
                <w:rFonts w:ascii="Arial" w:hAnsi="Arial" w:cs="Arial"/>
                <w:vertAlign w:val="superscript"/>
              </w:rPr>
              <w:t>bc</w:t>
            </w:r>
          </w:p>
        </w:tc>
      </w:tr>
      <w:tr w:rsidR="008423F6" w:rsidRPr="008423F6" w14:paraId="6042C97F"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2C6E7ACE" w14:textId="77777777" w:rsidR="008423F6" w:rsidRPr="008423F6" w:rsidRDefault="008423F6" w:rsidP="008423F6">
            <w:pPr>
              <w:rPr>
                <w:rFonts w:ascii="Arial" w:hAnsi="Arial" w:cs="Arial"/>
              </w:rPr>
            </w:pPr>
          </w:p>
        </w:tc>
        <w:tc>
          <w:tcPr>
            <w:tcW w:w="1328" w:type="pct"/>
          </w:tcPr>
          <w:p w14:paraId="2569FD1D" w14:textId="0E79E5C3"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6E2017ED" w14:textId="55427820"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1</w:t>
            </w:r>
            <w:r w:rsidRPr="00220815">
              <w:rPr>
                <w:rFonts w:ascii="Arial" w:hAnsi="Arial" w:cs="Arial"/>
              </w:rPr>
              <w:t>.</w:t>
            </w:r>
            <w:r w:rsidRPr="008423F6">
              <w:rPr>
                <w:rFonts w:ascii="Arial" w:hAnsi="Arial" w:cs="Arial"/>
              </w:rPr>
              <w:t>88±0</w:t>
            </w:r>
            <w:r w:rsidRPr="00220815">
              <w:rPr>
                <w:rFonts w:ascii="Arial" w:hAnsi="Arial" w:cs="Arial"/>
              </w:rPr>
              <w:t>.</w:t>
            </w:r>
            <w:r w:rsidRPr="008423F6">
              <w:rPr>
                <w:rFonts w:ascii="Arial" w:hAnsi="Arial" w:cs="Arial"/>
              </w:rPr>
              <w:t>41</w:t>
            </w:r>
            <w:r w:rsidRPr="008423F6">
              <w:rPr>
                <w:rFonts w:ascii="Arial" w:hAnsi="Arial" w:cs="Arial"/>
                <w:vertAlign w:val="superscript"/>
              </w:rPr>
              <w:t>c</w:t>
            </w:r>
          </w:p>
        </w:tc>
      </w:tr>
      <w:tr w:rsidR="008423F6" w:rsidRPr="008423F6" w14:paraId="5E1586EC"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7D38E446" w14:textId="6740A92A" w:rsidR="008423F6" w:rsidRPr="008423F6" w:rsidRDefault="008423F6" w:rsidP="008423F6">
            <w:pPr>
              <w:rPr>
                <w:rFonts w:ascii="Arial" w:hAnsi="Arial" w:cs="Arial"/>
              </w:rPr>
            </w:pPr>
            <w:r w:rsidRPr="008423F6">
              <w:rPr>
                <w:rFonts w:ascii="Arial" w:hAnsi="Arial" w:cs="Arial"/>
              </w:rPr>
              <w:t>R</w:t>
            </w:r>
            <w:r w:rsidRPr="00220815">
              <w:rPr>
                <w:rFonts w:ascii="Arial" w:hAnsi="Arial" w:cs="Arial"/>
              </w:rPr>
              <w:t>oots</w:t>
            </w:r>
          </w:p>
        </w:tc>
        <w:tc>
          <w:tcPr>
            <w:tcW w:w="1328" w:type="pct"/>
          </w:tcPr>
          <w:p w14:paraId="0A9A5B27" w14:textId="4D7B6AAB"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5EA7953F" w14:textId="68B2053A"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80±0</w:t>
            </w:r>
            <w:r w:rsidRPr="00220815">
              <w:rPr>
                <w:rFonts w:ascii="Arial" w:hAnsi="Arial" w:cs="Arial"/>
              </w:rPr>
              <w:t>.</w:t>
            </w:r>
            <w:r w:rsidRPr="008423F6">
              <w:rPr>
                <w:rFonts w:ascii="Arial" w:hAnsi="Arial" w:cs="Arial"/>
              </w:rPr>
              <w:t>55</w:t>
            </w:r>
            <w:r w:rsidRPr="008423F6">
              <w:rPr>
                <w:rFonts w:ascii="Arial" w:hAnsi="Arial" w:cs="Arial"/>
                <w:vertAlign w:val="superscript"/>
              </w:rPr>
              <w:t>b</w:t>
            </w:r>
          </w:p>
        </w:tc>
      </w:tr>
      <w:tr w:rsidR="008423F6" w:rsidRPr="008423F6" w14:paraId="387A7A7F"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7AE6014B" w14:textId="77777777" w:rsidR="008423F6" w:rsidRPr="008423F6" w:rsidRDefault="008423F6" w:rsidP="008423F6">
            <w:pPr>
              <w:rPr>
                <w:rFonts w:ascii="Arial" w:hAnsi="Arial" w:cs="Arial"/>
              </w:rPr>
            </w:pPr>
          </w:p>
        </w:tc>
        <w:tc>
          <w:tcPr>
            <w:tcW w:w="1328" w:type="pct"/>
          </w:tcPr>
          <w:p w14:paraId="64CC9A39" w14:textId="3774FC1A"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18455FD7" w14:textId="286BE377"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4</w:t>
            </w:r>
            <w:r w:rsidRPr="00220815">
              <w:rPr>
                <w:rFonts w:ascii="Arial" w:hAnsi="Arial" w:cs="Arial"/>
              </w:rPr>
              <w:t>.</w:t>
            </w:r>
            <w:r w:rsidRPr="008423F6">
              <w:rPr>
                <w:rFonts w:ascii="Arial" w:hAnsi="Arial" w:cs="Arial"/>
              </w:rPr>
              <w:t>20±0</w:t>
            </w:r>
            <w:r w:rsidRPr="00220815">
              <w:rPr>
                <w:rFonts w:ascii="Arial" w:hAnsi="Arial" w:cs="Arial"/>
              </w:rPr>
              <w:t>.</w:t>
            </w:r>
            <w:r w:rsidRPr="008423F6">
              <w:rPr>
                <w:rFonts w:ascii="Arial" w:hAnsi="Arial" w:cs="Arial"/>
              </w:rPr>
              <w:t>53</w:t>
            </w:r>
            <w:r w:rsidRPr="008423F6">
              <w:rPr>
                <w:rFonts w:ascii="Arial" w:hAnsi="Arial" w:cs="Arial"/>
                <w:vertAlign w:val="superscript"/>
              </w:rPr>
              <w:t>a</w:t>
            </w:r>
          </w:p>
        </w:tc>
      </w:tr>
      <w:tr w:rsidR="008423F6" w:rsidRPr="008423F6" w14:paraId="31CC4D17" w14:textId="77777777" w:rsidTr="008423F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839" w:type="pct"/>
            <w:gridSpan w:val="2"/>
          </w:tcPr>
          <w:p w14:paraId="4DBA273D" w14:textId="77777777" w:rsidR="008423F6" w:rsidRPr="008423F6" w:rsidRDefault="008423F6" w:rsidP="008423F6">
            <w:pPr>
              <w:rPr>
                <w:rFonts w:ascii="Arial" w:hAnsi="Arial" w:cs="Arial"/>
                <w:b w:val="0"/>
                <w:bCs w:val="0"/>
              </w:rPr>
            </w:pPr>
            <w:r w:rsidRPr="008423F6">
              <w:rPr>
                <w:rFonts w:ascii="Arial" w:hAnsi="Arial" w:cs="Arial"/>
                <w:b w:val="0"/>
                <w:bCs w:val="0"/>
                <w:i/>
                <w:iCs/>
              </w:rPr>
              <w:t>P</w:t>
            </w:r>
            <w:r w:rsidRPr="008423F6">
              <w:rPr>
                <w:rFonts w:ascii="Arial" w:hAnsi="Arial" w:cs="Arial"/>
                <w:b w:val="0"/>
                <w:bCs w:val="0"/>
              </w:rPr>
              <w:t>-value</w:t>
            </w:r>
          </w:p>
        </w:tc>
        <w:tc>
          <w:tcPr>
            <w:tcW w:w="2161" w:type="pct"/>
          </w:tcPr>
          <w:p w14:paraId="442A9CC0" w14:textId="169DADAB"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815">
              <w:rPr>
                <w:rFonts w:ascii="Arial" w:hAnsi="Arial" w:cs="Arial"/>
              </w:rPr>
              <w:t>.</w:t>
            </w:r>
            <w:r w:rsidRPr="008423F6">
              <w:rPr>
                <w:rFonts w:ascii="Arial" w:hAnsi="Arial" w:cs="Arial"/>
              </w:rPr>
              <w:t>001</w:t>
            </w:r>
          </w:p>
        </w:tc>
      </w:tr>
    </w:tbl>
    <w:p w14:paraId="451F765D" w14:textId="7B79F63A" w:rsidR="007C00B7" w:rsidRPr="00097F28" w:rsidRDefault="003766A8" w:rsidP="007C00B7">
      <w:pPr>
        <w:jc w:val="both"/>
        <w:rPr>
          <w:rFonts w:ascii="Arial" w:hAnsi="Arial" w:cs="Arial"/>
          <w:b/>
          <w:bCs/>
          <w:sz w:val="18"/>
          <w:szCs w:val="18"/>
        </w:rPr>
      </w:pPr>
      <w:r w:rsidRPr="00097F28">
        <w:rPr>
          <w:rFonts w:ascii="Arial" w:hAnsi="Arial" w:cs="Arial"/>
          <w:b/>
          <w:bCs/>
          <w:sz w:val="18"/>
          <w:szCs w:val="18"/>
        </w:rPr>
        <w:t>*</w:t>
      </w:r>
      <w:r w:rsidR="007C00B7" w:rsidRPr="00097F28">
        <w:rPr>
          <w:rFonts w:ascii="Arial" w:hAnsi="Arial" w:cs="Arial"/>
          <w:b/>
          <w:bCs/>
          <w:sz w:val="18"/>
          <w:szCs w:val="18"/>
        </w:rPr>
        <w:t xml:space="preserve">Values followed by different letters are significantly different at </w:t>
      </w:r>
      <w:r w:rsidR="007C00B7" w:rsidRPr="00097F28">
        <w:rPr>
          <w:rFonts w:ascii="Arial" w:hAnsi="Arial" w:cs="Arial"/>
          <w:b/>
          <w:bCs/>
          <w:i/>
          <w:iCs/>
          <w:sz w:val="18"/>
          <w:szCs w:val="18"/>
        </w:rPr>
        <w:t>P</w:t>
      </w:r>
      <w:r w:rsidR="007C00B7" w:rsidRPr="00097F28">
        <w:rPr>
          <w:rFonts w:ascii="Arial" w:hAnsi="Arial" w:cs="Arial"/>
          <w:b/>
          <w:bCs/>
          <w:sz w:val="18"/>
          <w:szCs w:val="18"/>
        </w:rPr>
        <w:t xml:space="preserve"> &lt; .05</w:t>
      </w:r>
    </w:p>
    <w:p w14:paraId="6CE30A1F" w14:textId="77777777" w:rsidR="007C00B7" w:rsidRPr="00097F28" w:rsidRDefault="007C00B7" w:rsidP="007C00B7">
      <w:pPr>
        <w:jc w:val="both"/>
      </w:pPr>
    </w:p>
    <w:p w14:paraId="38832EAD" w14:textId="41E0E41C" w:rsidR="00491D86" w:rsidRDefault="00491D86" w:rsidP="00DD1675">
      <w:pPr>
        <w:spacing w:line="276" w:lineRule="auto"/>
        <w:jc w:val="both"/>
        <w:rPr>
          <w:rFonts w:ascii="Arial" w:hAnsi="Arial" w:cs="Arial"/>
        </w:rPr>
      </w:pPr>
      <w:r w:rsidRPr="00097F28">
        <w:rPr>
          <w:rFonts w:ascii="Arial" w:hAnsi="Arial" w:cs="Arial"/>
        </w:rPr>
        <w:t xml:space="preserve">Analysis of this table reveals that the extracts from all parts of </w:t>
      </w:r>
      <w:r w:rsidR="003766A8" w:rsidRPr="00097F28">
        <w:rPr>
          <w:rFonts w:ascii="Arial" w:hAnsi="Arial" w:cs="Arial"/>
          <w:i/>
          <w:iCs/>
        </w:rPr>
        <w:t>M.</w:t>
      </w:r>
      <w:r w:rsidRPr="00097F28">
        <w:rPr>
          <w:rFonts w:ascii="Arial" w:hAnsi="Arial" w:cs="Arial"/>
          <w:i/>
          <w:iCs/>
        </w:rPr>
        <w:t xml:space="preserve"> indica</w:t>
      </w:r>
      <w:r w:rsidRPr="00097F28">
        <w:rPr>
          <w:rFonts w:ascii="Arial" w:hAnsi="Arial" w:cs="Arial"/>
        </w:rPr>
        <w:t xml:space="preserve"> exhibit a very good antiradical activity, with IC</w:t>
      </w:r>
      <w:r w:rsidRPr="00097F28">
        <w:rPr>
          <w:rFonts w:ascii="Arial" w:hAnsi="Arial" w:cs="Arial"/>
          <w:vertAlign w:val="subscript"/>
        </w:rPr>
        <w:t>50</w:t>
      </w:r>
      <w:r w:rsidRPr="00097F28">
        <w:rPr>
          <w:rFonts w:ascii="Arial" w:hAnsi="Arial" w:cs="Arial"/>
        </w:rPr>
        <w:t xml:space="preserve"> values ranging between 1.88±0.41 and 4.20±0.53 </w:t>
      </w:r>
      <w:proofErr w:type="spellStart"/>
      <w:r w:rsidRPr="00097F28">
        <w:rPr>
          <w:rFonts w:ascii="Arial" w:hAnsi="Arial" w:cs="Arial"/>
        </w:rPr>
        <w:t>μg</w:t>
      </w:r>
      <w:proofErr w:type="spellEnd"/>
      <w:r w:rsidRPr="00097F28">
        <w:rPr>
          <w:rFonts w:ascii="Arial" w:hAnsi="Arial" w:cs="Arial"/>
        </w:rPr>
        <w:t xml:space="preserve">/ml. The </w:t>
      </w:r>
      <w:r w:rsidR="003766A8" w:rsidRPr="00097F28">
        <w:rPr>
          <w:rFonts w:ascii="Arial" w:hAnsi="Arial" w:cs="Arial"/>
        </w:rPr>
        <w:t>e</w:t>
      </w:r>
      <w:r w:rsidRPr="00097F28">
        <w:rPr>
          <w:rFonts w:ascii="Arial" w:hAnsi="Arial" w:cs="Arial"/>
        </w:rPr>
        <w:t>thanolic extracts of the trunk bark show the most potent inhibitory effect on DPPH free radicals, with IC</w:t>
      </w:r>
      <w:r w:rsidRPr="00097F28">
        <w:rPr>
          <w:rFonts w:ascii="Arial" w:hAnsi="Arial" w:cs="Arial"/>
          <w:vertAlign w:val="subscript"/>
        </w:rPr>
        <w:t>50</w:t>
      </w:r>
      <w:r w:rsidRPr="00097F28">
        <w:rPr>
          <w:rFonts w:ascii="Arial" w:hAnsi="Arial" w:cs="Arial"/>
        </w:rPr>
        <w:t xml:space="preserve"> values of 1.88±0.41 (p&lt;</w:t>
      </w:r>
      <w:r w:rsidR="00220815" w:rsidRPr="00097F28">
        <w:rPr>
          <w:rFonts w:ascii="Arial" w:hAnsi="Arial" w:cs="Arial"/>
        </w:rPr>
        <w:t>0</w:t>
      </w:r>
      <w:r w:rsidRPr="00097F28">
        <w:rPr>
          <w:rFonts w:ascii="Arial" w:hAnsi="Arial" w:cs="Arial"/>
        </w:rPr>
        <w:t>.05).</w:t>
      </w:r>
      <w:r w:rsidR="00EA398C" w:rsidRPr="00097F28">
        <w:rPr>
          <w:rFonts w:ascii="Arial" w:hAnsi="Arial" w:cs="Arial"/>
        </w:rPr>
        <w:t xml:space="preserve"> Our results of IC</w:t>
      </w:r>
      <w:r w:rsidR="00EA398C" w:rsidRPr="00097F28">
        <w:rPr>
          <w:rFonts w:ascii="Arial" w:hAnsi="Arial" w:cs="Arial"/>
          <w:vertAlign w:val="subscript"/>
        </w:rPr>
        <w:t>50</w:t>
      </w:r>
      <w:r w:rsidR="00EA398C" w:rsidRPr="00097F28">
        <w:rPr>
          <w:rFonts w:ascii="Arial" w:hAnsi="Arial" w:cs="Arial"/>
        </w:rPr>
        <w:t xml:space="preserve"> values are lower than those obtained by</w:t>
      </w:r>
      <w:r w:rsidR="003766A8" w:rsidRPr="00097F28">
        <w:rPr>
          <w:rFonts w:ascii="Arial" w:hAnsi="Arial" w:cs="Arial"/>
        </w:rPr>
        <w:t xml:space="preserve"> </w:t>
      </w:r>
      <w:r w:rsidR="003766A8" w:rsidRPr="00097F28">
        <w:rPr>
          <w:rFonts w:cs="Helvetica"/>
          <w:noProof/>
        </w:rPr>
        <w:t>Kitbumrungsart et al.</w:t>
      </w:r>
      <w:r w:rsidR="00F703DF" w:rsidRPr="00097F28">
        <w:rPr>
          <w:rFonts w:ascii="Arial" w:hAnsi="Arial" w:cs="Arial"/>
        </w:rPr>
        <w:t xml:space="preserve"> </w:t>
      </w:r>
      <w:r w:rsidR="00F703DF" w:rsidRPr="00097F28">
        <w:rPr>
          <w:rFonts w:ascii="Arial" w:hAnsi="Arial" w:cs="Arial"/>
        </w:rPr>
        <w:fldChar w:fldCharType="begin" w:fldLock="1"/>
      </w:r>
      <w:r w:rsidR="00F703DF" w:rsidRPr="00097F28">
        <w:rPr>
          <w:rFonts w:ascii="Arial" w:hAnsi="Arial" w:cs="Arial"/>
        </w:rPr>
        <w:instrText>ADDIN CSL_CITATION {"citationItems":[{"id":"ITEM-1","itemData":{"author":[{"dropping-particle":"","family":"Kitbumrungsart, P., Suntornwat","given":"O.","non-dropping-particle":"","parse-names":false,"suffix":""},{"dropping-particle":"","family":"Rayanil","given":"K.","non-dropping-particle":"","parse-names":false,"suffix":""}],"container-title":"Thai journal of Agricultural Science","id":"ITEM-1","issue":"5","issued":{"date-parts":[["2011"]]},"page":"62-66","title":"Mangiferin and antioxidant capacity from mango (Mangifera indica L.) leaves extracts","type":"article-journal","volume":"44"},"uris":["http://www.mendeley.com/documents/?uuid=8ec92427-aad4-4a86-b9f2-2a6b1f175c58"]}],"mendeley":{"formattedCitation":"[28]","plainTextFormattedCitation":"[28]","previouslyFormattedCitation":"[28]"},"properties":{"noteIndex":0},"schema":"https://github.com/citation-style-language/schema/raw/master/csl-citation.json"}</w:instrText>
      </w:r>
      <w:r w:rsidR="00F703DF" w:rsidRPr="00097F28">
        <w:rPr>
          <w:rFonts w:ascii="Arial" w:hAnsi="Arial" w:cs="Arial"/>
        </w:rPr>
        <w:fldChar w:fldCharType="separate"/>
      </w:r>
      <w:r w:rsidR="00F703DF" w:rsidRPr="00097F28">
        <w:rPr>
          <w:rFonts w:ascii="Arial" w:hAnsi="Arial" w:cs="Arial"/>
          <w:noProof/>
        </w:rPr>
        <w:t>[28]</w:t>
      </w:r>
      <w:r w:rsidR="00F703DF" w:rsidRPr="00097F28">
        <w:rPr>
          <w:rFonts w:ascii="Arial" w:hAnsi="Arial" w:cs="Arial"/>
        </w:rPr>
        <w:fldChar w:fldCharType="end"/>
      </w:r>
      <w:r w:rsidR="00EA398C" w:rsidRPr="00097F28">
        <w:rPr>
          <w:rFonts w:ascii="Arial" w:hAnsi="Arial" w:cs="Arial"/>
        </w:rPr>
        <w:t xml:space="preserve"> and</w:t>
      </w:r>
      <w:r w:rsidR="003766A8" w:rsidRPr="00097F28">
        <w:rPr>
          <w:rFonts w:ascii="Arial" w:hAnsi="Arial" w:cs="Arial"/>
        </w:rPr>
        <w:t xml:space="preserve"> Nga et al.</w:t>
      </w:r>
      <w:r w:rsidR="00EA398C" w:rsidRPr="00097F28">
        <w:rPr>
          <w:rFonts w:ascii="Arial" w:hAnsi="Arial" w:cs="Arial"/>
        </w:rPr>
        <w:t xml:space="preserve"> </w:t>
      </w:r>
      <w:r w:rsidR="00EA398C" w:rsidRPr="00097F28">
        <w:rPr>
          <w:rFonts w:ascii="Arial" w:hAnsi="Arial" w:cs="Arial"/>
        </w:rPr>
        <w:fldChar w:fldCharType="begin" w:fldLock="1"/>
      </w:r>
      <w:r w:rsidR="00F703DF" w:rsidRPr="00097F28">
        <w:rPr>
          <w:rFonts w:ascii="Arial" w:hAnsi="Arial" w:cs="Arial"/>
        </w:rPr>
        <w:instrText>ADDIN CSL_CITATION {"citationItems":[{"id":"ITEM-1","itemData":{"DOI":"10.4314/jab.v109i1.9","ISBN":"1064910661","author":[{"dropping-particle":"","family":"Nga","given":"Emmanuel Nnanga","non-dropping-particle":"","parse-names":false,"suffix":""},{"dropping-particle":"","family":"Yinyang","given":"Jacques","non-dropping-particle":"","parse-names":false,"suffix":""},{"dropping-particle":"","family":"Baran","given":"Elisabeth","non-dropping-particle":"","parse-names":false,"suffix":""},{"dropping-particle":"","family":"Etame-loe","given":"Gisèle","non-dropping-particle":"","parse-names":false,"suffix":""},{"dropping-particle":"","family":"Dibong","given":"Siegfried Didier","non-dropping-particle":"","parse-names":false,"suffix":""}],"container-title":"Journal of Applied Biosciences","id":"ITEM-1","issued":{"date-parts":[["2017"]]},"page":"10649-10661","title":"Étude phytochimique et pharmacologique d ’ Alchornea cordifolia ( Schum . &amp; Thonn .) Mull . Arg . et la maladie hémorroïdaire","type":"article-journal","volume":"109"},"uris":["http://www.mendeley.com/documents/?uuid=aa77c984-5e2b-403a-b880-bd87d81246c0"]}],"mendeley":{"formattedCitation":"[29]","plainTextFormattedCitation":"[29]","previouslyFormattedCitation":"[29]"},"properties":{"noteIndex":0},"schema":"https://github.com/citation-style-language/schema/raw/master/csl-citation.json"}</w:instrText>
      </w:r>
      <w:r w:rsidR="00EA398C" w:rsidRPr="00097F28">
        <w:rPr>
          <w:rFonts w:ascii="Arial" w:hAnsi="Arial" w:cs="Arial"/>
        </w:rPr>
        <w:fldChar w:fldCharType="separate"/>
      </w:r>
      <w:r w:rsidR="00F703DF" w:rsidRPr="00097F28">
        <w:rPr>
          <w:rFonts w:ascii="Arial" w:hAnsi="Arial" w:cs="Arial"/>
          <w:noProof/>
        </w:rPr>
        <w:t>[29]</w:t>
      </w:r>
      <w:r w:rsidR="00EA398C" w:rsidRPr="00097F28">
        <w:rPr>
          <w:rFonts w:ascii="Arial" w:hAnsi="Arial" w:cs="Arial"/>
        </w:rPr>
        <w:fldChar w:fldCharType="end"/>
      </w:r>
      <w:r w:rsidR="00EA398C" w:rsidRPr="00097F28">
        <w:rPr>
          <w:rFonts w:ascii="Arial" w:hAnsi="Arial" w:cs="Arial"/>
        </w:rPr>
        <w:t xml:space="preserve">, who worked with the trunk of </w:t>
      </w:r>
      <w:r w:rsidR="003766A8" w:rsidRPr="00097F28">
        <w:rPr>
          <w:rFonts w:ascii="Arial" w:hAnsi="Arial" w:cs="Arial"/>
          <w:i/>
          <w:iCs/>
        </w:rPr>
        <w:t xml:space="preserve">M. </w:t>
      </w:r>
      <w:r w:rsidR="00EA398C" w:rsidRPr="00097F28">
        <w:rPr>
          <w:rFonts w:ascii="Arial" w:hAnsi="Arial" w:cs="Arial"/>
          <w:i/>
          <w:iCs/>
        </w:rPr>
        <w:t>indica</w:t>
      </w:r>
      <w:r w:rsidR="00EA398C" w:rsidRPr="00097F28">
        <w:rPr>
          <w:rFonts w:ascii="Arial" w:hAnsi="Arial" w:cs="Arial"/>
        </w:rPr>
        <w:t xml:space="preserve"> and obtained IC</w:t>
      </w:r>
      <w:r w:rsidR="00EA398C" w:rsidRPr="00097F28">
        <w:rPr>
          <w:rFonts w:ascii="Arial" w:hAnsi="Arial" w:cs="Arial"/>
          <w:vertAlign w:val="subscript"/>
        </w:rPr>
        <w:t>50</w:t>
      </w:r>
      <w:r w:rsidR="00EA398C" w:rsidRPr="00097F28">
        <w:rPr>
          <w:rFonts w:ascii="Arial" w:hAnsi="Arial" w:cs="Arial"/>
        </w:rPr>
        <w:t xml:space="preserve"> values of 68.27±0.50 µg/ml and 0.03 mg/ml, respectively. The difference could be explained by the methods and varieties of </w:t>
      </w:r>
      <w:r w:rsidR="003766A8" w:rsidRPr="00097F28">
        <w:rPr>
          <w:rFonts w:ascii="Arial" w:hAnsi="Arial" w:cs="Arial"/>
        </w:rPr>
        <w:t>p</w:t>
      </w:r>
      <w:r w:rsidR="00EA398C" w:rsidRPr="00097F28">
        <w:rPr>
          <w:rFonts w:ascii="Arial" w:hAnsi="Arial" w:cs="Arial"/>
        </w:rPr>
        <w:t>lants.</w:t>
      </w:r>
    </w:p>
    <w:p w14:paraId="207692C9" w14:textId="77777777" w:rsidR="00220815" w:rsidRDefault="00220815" w:rsidP="00DD1675">
      <w:pPr>
        <w:spacing w:line="276" w:lineRule="auto"/>
        <w:jc w:val="both"/>
        <w:rPr>
          <w:rFonts w:ascii="Arial" w:hAnsi="Arial" w:cs="Arial"/>
        </w:rPr>
      </w:pPr>
    </w:p>
    <w:p w14:paraId="3508B0C5" w14:textId="2DD4AD8B" w:rsidR="00220815" w:rsidRPr="00DD1675" w:rsidRDefault="00220815" w:rsidP="00220815">
      <w:pPr>
        <w:rPr>
          <w:rFonts w:ascii="Arial" w:hAnsi="Arial" w:cs="Arial"/>
        </w:rPr>
      </w:pPr>
      <w:r w:rsidRPr="00220815">
        <w:rPr>
          <w:rFonts w:ascii="Arial" w:hAnsi="Arial" w:cs="Arial"/>
        </w:rPr>
        <w:fldChar w:fldCharType="begin"/>
      </w:r>
      <w:r w:rsidRPr="00220815">
        <w:rPr>
          <w:rFonts w:ascii="Arial" w:hAnsi="Arial" w:cs="Arial"/>
        </w:rPr>
        <w:instrText xml:space="preserve"> REF _Ref207303232 \h  \* MERGEFORMAT </w:instrText>
      </w:r>
      <w:r w:rsidRPr="00220815">
        <w:rPr>
          <w:rFonts w:ascii="Arial" w:hAnsi="Arial" w:cs="Arial"/>
        </w:rPr>
      </w:r>
      <w:r w:rsidRPr="00220815">
        <w:rPr>
          <w:rFonts w:ascii="Arial" w:hAnsi="Arial" w:cs="Arial"/>
        </w:rPr>
        <w:fldChar w:fldCharType="separate"/>
      </w:r>
      <w:r w:rsidRPr="00220815">
        <w:rPr>
          <w:rFonts w:ascii="Arial" w:hAnsi="Arial" w:cs="Arial"/>
          <w:b/>
          <w:bCs/>
        </w:rPr>
        <w:t>Table 4</w:t>
      </w:r>
      <w:r w:rsidRPr="00220815">
        <w:rPr>
          <w:rFonts w:ascii="Arial" w:hAnsi="Arial" w:cs="Arial"/>
        </w:rPr>
        <w:fldChar w:fldCharType="end"/>
      </w:r>
      <w:r>
        <w:rPr>
          <w:rFonts w:ascii="Arial" w:hAnsi="Arial" w:cs="Arial"/>
        </w:rPr>
        <w:t xml:space="preserve"> </w:t>
      </w:r>
      <w:r w:rsidRPr="00DD1675">
        <w:rPr>
          <w:rFonts w:ascii="Arial" w:hAnsi="Arial" w:cs="Arial"/>
        </w:rPr>
        <w:t>summarizes the IC</w:t>
      </w:r>
      <w:r w:rsidRPr="00DD1675">
        <w:rPr>
          <w:rFonts w:ascii="Arial" w:hAnsi="Arial" w:cs="Arial"/>
          <w:vertAlign w:val="subscript"/>
        </w:rPr>
        <w:t>50</w:t>
      </w:r>
      <w:r w:rsidRPr="00DD1675">
        <w:rPr>
          <w:rFonts w:ascii="Arial" w:hAnsi="Arial" w:cs="Arial"/>
        </w:rPr>
        <w:t xml:space="preserve"> values obtained for the antiradical activities of the extracts.</w:t>
      </w:r>
    </w:p>
    <w:p w14:paraId="37D2559C" w14:textId="77777777" w:rsidR="00491D86" w:rsidRDefault="00491D86" w:rsidP="00DD1675">
      <w:pPr>
        <w:spacing w:line="276" w:lineRule="auto"/>
        <w:jc w:val="both"/>
        <w:rPr>
          <w:rFonts w:ascii="Arial" w:hAnsi="Arial" w:cs="Arial"/>
        </w:rPr>
      </w:pPr>
    </w:p>
    <w:p w14:paraId="7FD7EA6C" w14:textId="02C63195" w:rsidR="00491D86" w:rsidRDefault="00491D86" w:rsidP="00491D86">
      <w:pPr>
        <w:pStyle w:val="Caption"/>
        <w:keepNext/>
      </w:pPr>
      <w:bookmarkStart w:id="9" w:name="_Ref207303232"/>
      <w:r w:rsidRPr="00491D86">
        <w:rPr>
          <w:rFonts w:ascii="Arial" w:hAnsi="Arial" w:cs="Arial"/>
          <w:b/>
          <w:bCs/>
          <w:i w:val="0"/>
          <w:iCs w:val="0"/>
          <w:color w:val="auto"/>
          <w:sz w:val="20"/>
          <w:szCs w:val="20"/>
        </w:rPr>
        <w:t xml:space="preserve">Table </w:t>
      </w:r>
      <w:r w:rsidRPr="00491D86">
        <w:rPr>
          <w:rFonts w:ascii="Arial" w:hAnsi="Arial" w:cs="Arial"/>
          <w:b/>
          <w:bCs/>
          <w:i w:val="0"/>
          <w:iCs w:val="0"/>
          <w:color w:val="auto"/>
          <w:sz w:val="20"/>
          <w:szCs w:val="20"/>
        </w:rPr>
        <w:fldChar w:fldCharType="begin"/>
      </w:r>
      <w:r w:rsidRPr="00491D86">
        <w:rPr>
          <w:rFonts w:ascii="Arial" w:hAnsi="Arial" w:cs="Arial"/>
          <w:b/>
          <w:bCs/>
          <w:i w:val="0"/>
          <w:iCs w:val="0"/>
          <w:color w:val="auto"/>
          <w:sz w:val="20"/>
          <w:szCs w:val="20"/>
        </w:rPr>
        <w:instrText xml:space="preserve"> SEQ Table \* ARABIC </w:instrText>
      </w:r>
      <w:r w:rsidRPr="00491D86">
        <w:rPr>
          <w:rFonts w:ascii="Arial" w:hAnsi="Arial" w:cs="Arial"/>
          <w:b/>
          <w:bCs/>
          <w:i w:val="0"/>
          <w:iCs w:val="0"/>
          <w:color w:val="auto"/>
          <w:sz w:val="20"/>
          <w:szCs w:val="20"/>
        </w:rPr>
        <w:fldChar w:fldCharType="separate"/>
      </w:r>
      <w:r w:rsidRPr="00491D86">
        <w:rPr>
          <w:rFonts w:ascii="Arial" w:hAnsi="Arial" w:cs="Arial"/>
          <w:b/>
          <w:bCs/>
          <w:i w:val="0"/>
          <w:iCs w:val="0"/>
          <w:color w:val="auto"/>
          <w:sz w:val="20"/>
          <w:szCs w:val="20"/>
        </w:rPr>
        <w:t>4</w:t>
      </w:r>
      <w:r w:rsidRPr="00491D86">
        <w:rPr>
          <w:rFonts w:ascii="Arial" w:hAnsi="Arial" w:cs="Arial"/>
          <w:b/>
          <w:bCs/>
          <w:i w:val="0"/>
          <w:iCs w:val="0"/>
          <w:color w:val="auto"/>
          <w:sz w:val="20"/>
          <w:szCs w:val="20"/>
        </w:rPr>
        <w:fldChar w:fldCharType="end"/>
      </w:r>
      <w:bookmarkEnd w:id="9"/>
      <w:r w:rsidRPr="00491D86">
        <w:rPr>
          <w:rFonts w:ascii="Arial" w:hAnsi="Arial" w:cs="Arial"/>
          <w:b/>
          <w:bCs/>
          <w:i w:val="0"/>
          <w:iCs w:val="0"/>
          <w:color w:val="auto"/>
          <w:sz w:val="20"/>
          <w:szCs w:val="20"/>
        </w:rPr>
        <w:t>.</w:t>
      </w:r>
      <w:r w:rsidRPr="00491D86">
        <w:rPr>
          <w:rFonts w:ascii="Arial" w:hAnsi="Arial" w:cs="Arial"/>
          <w:b/>
          <w:bCs/>
          <w:i w:val="0"/>
          <w:iCs w:val="0"/>
          <w:color w:val="auto"/>
          <w:sz w:val="22"/>
          <w:szCs w:val="22"/>
        </w:rPr>
        <w:t xml:space="preserve"> </w:t>
      </w:r>
      <w:r w:rsidRPr="00DD1675">
        <w:rPr>
          <w:rFonts w:ascii="Arial" w:hAnsi="Arial" w:cs="Arial"/>
          <w:b/>
          <w:bCs/>
          <w:i w:val="0"/>
          <w:iCs w:val="0"/>
          <w:color w:val="auto"/>
          <w:sz w:val="20"/>
          <w:szCs w:val="20"/>
        </w:rPr>
        <w:t xml:space="preserve">Summary of </w:t>
      </w:r>
      <w:r w:rsidR="00220815" w:rsidRPr="00220815">
        <w:rPr>
          <w:rFonts w:ascii="Arial" w:hAnsi="Arial" w:cs="Arial"/>
          <w:b/>
          <w:bCs/>
          <w:i w:val="0"/>
          <w:iCs w:val="0"/>
          <w:color w:val="auto"/>
          <w:sz w:val="20"/>
          <w:szCs w:val="20"/>
        </w:rPr>
        <w:t>anti-</w:t>
      </w:r>
      <w:r w:rsidR="00220815" w:rsidRPr="00220815">
        <w:rPr>
          <w:rFonts w:ascii="Symbol" w:hAnsi="Symbol" w:cs="Arial"/>
          <w:b/>
          <w:bCs/>
          <w:i w:val="0"/>
          <w:iCs w:val="0"/>
          <w:color w:val="auto"/>
          <w:sz w:val="20"/>
          <w:szCs w:val="20"/>
        </w:rPr>
        <w:t></w:t>
      </w:r>
      <w:r w:rsidR="00220815" w:rsidRPr="00220815">
        <w:rPr>
          <w:rFonts w:ascii="Arial" w:hAnsi="Arial" w:cs="Arial"/>
          <w:b/>
          <w:bCs/>
          <w:i w:val="0"/>
          <w:iCs w:val="0"/>
          <w:color w:val="auto"/>
          <w:sz w:val="20"/>
          <w:szCs w:val="20"/>
        </w:rPr>
        <w:t>-amylase activity</w:t>
      </w:r>
      <w:r w:rsidRPr="00DD1675">
        <w:rPr>
          <w:rFonts w:ascii="Arial" w:hAnsi="Arial" w:cs="Arial"/>
          <w:b/>
          <w:bCs/>
          <w:i w:val="0"/>
          <w:iCs w:val="0"/>
          <w:color w:val="auto"/>
          <w:sz w:val="20"/>
          <w:szCs w:val="20"/>
        </w:rPr>
        <w:t xml:space="preserve"> (expressed as IC</w:t>
      </w:r>
      <w:r w:rsidRPr="00220815">
        <w:rPr>
          <w:rFonts w:ascii="Arial" w:hAnsi="Arial" w:cs="Arial"/>
          <w:b/>
          <w:bCs/>
          <w:i w:val="0"/>
          <w:iCs w:val="0"/>
          <w:color w:val="auto"/>
          <w:sz w:val="20"/>
          <w:szCs w:val="20"/>
          <w:vertAlign w:val="subscript"/>
        </w:rPr>
        <w:t>50</w:t>
      </w:r>
      <w:r w:rsidRPr="00DD1675">
        <w:rPr>
          <w:rFonts w:ascii="Arial" w:hAnsi="Arial" w:cs="Arial"/>
          <w:b/>
          <w:bCs/>
          <w:i w:val="0"/>
          <w:iCs w:val="0"/>
          <w:color w:val="auto"/>
          <w:sz w:val="20"/>
          <w:szCs w:val="20"/>
        </w:rPr>
        <w:t>)</w:t>
      </w:r>
    </w:p>
    <w:tbl>
      <w:tblPr>
        <w:tblStyle w:val="PlainTable2"/>
        <w:tblW w:w="5000" w:type="pct"/>
        <w:tblLook w:val="04A0" w:firstRow="1" w:lastRow="0" w:firstColumn="1" w:lastColumn="0" w:noHBand="0" w:noVBand="1"/>
      </w:tblPr>
      <w:tblGrid>
        <w:gridCol w:w="3264"/>
        <w:gridCol w:w="2868"/>
        <w:gridCol w:w="4668"/>
      </w:tblGrid>
      <w:tr w:rsidR="00491D86" w:rsidRPr="008423F6" w14:paraId="11ADA679" w14:textId="77777777" w:rsidTr="003766A8">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11" w:type="pct"/>
          </w:tcPr>
          <w:p w14:paraId="726003A9" w14:textId="77777777" w:rsidR="00491D86" w:rsidRPr="008423F6" w:rsidRDefault="00491D86" w:rsidP="00136AC9">
            <w:pPr>
              <w:rPr>
                <w:rFonts w:ascii="Arial" w:hAnsi="Arial" w:cs="Arial"/>
              </w:rPr>
            </w:pPr>
            <w:r w:rsidRPr="00220815">
              <w:rPr>
                <w:rFonts w:ascii="Arial" w:hAnsi="Arial" w:cs="Arial"/>
              </w:rPr>
              <w:t>Organs</w:t>
            </w:r>
          </w:p>
        </w:tc>
        <w:tc>
          <w:tcPr>
            <w:tcW w:w="1328" w:type="pct"/>
          </w:tcPr>
          <w:p w14:paraId="6879710A" w14:textId="77777777" w:rsidR="00491D86" w:rsidRPr="008423F6" w:rsidRDefault="00491D86" w:rsidP="00136A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Extra</w:t>
            </w:r>
            <w:r w:rsidRPr="00220815">
              <w:rPr>
                <w:rFonts w:ascii="Arial" w:hAnsi="Arial" w:cs="Arial"/>
              </w:rPr>
              <w:t>ct</w:t>
            </w:r>
          </w:p>
        </w:tc>
        <w:tc>
          <w:tcPr>
            <w:tcW w:w="2161" w:type="pct"/>
          </w:tcPr>
          <w:p w14:paraId="15F27636" w14:textId="77777777" w:rsidR="00491D86" w:rsidRPr="008423F6" w:rsidRDefault="00491D86" w:rsidP="00136AC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DPPH, IC</w:t>
            </w:r>
            <w:r w:rsidRPr="008423F6">
              <w:rPr>
                <w:rFonts w:ascii="Arial" w:hAnsi="Arial" w:cs="Arial"/>
                <w:vertAlign w:val="subscript"/>
              </w:rPr>
              <w:t>50</w:t>
            </w:r>
            <w:r w:rsidRPr="008423F6">
              <w:rPr>
                <w:rFonts w:ascii="Arial" w:hAnsi="Arial" w:cs="Arial"/>
              </w:rPr>
              <w:t xml:space="preserve"> (</w:t>
            </w:r>
            <w:proofErr w:type="spellStart"/>
            <w:r w:rsidRPr="008423F6">
              <w:rPr>
                <w:rFonts w:ascii="Arial" w:hAnsi="Arial" w:cs="Arial"/>
              </w:rPr>
              <w:t>μg</w:t>
            </w:r>
            <w:proofErr w:type="spellEnd"/>
            <w:r w:rsidRPr="008423F6">
              <w:rPr>
                <w:rFonts w:ascii="Arial" w:hAnsi="Arial" w:cs="Arial"/>
              </w:rPr>
              <w:t>/ml)</w:t>
            </w:r>
          </w:p>
        </w:tc>
      </w:tr>
      <w:tr w:rsidR="00491D86" w:rsidRPr="008423F6" w14:paraId="75269173"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4DD833EB" w14:textId="77777777" w:rsidR="00491D86" w:rsidRPr="008423F6" w:rsidRDefault="00491D86" w:rsidP="00491D86">
            <w:pPr>
              <w:rPr>
                <w:rFonts w:ascii="Arial" w:hAnsi="Arial" w:cs="Arial"/>
              </w:rPr>
            </w:pPr>
            <w:r w:rsidRPr="00220815">
              <w:rPr>
                <w:rFonts w:ascii="Arial" w:hAnsi="Arial" w:cs="Arial"/>
              </w:rPr>
              <w:t>Leaves</w:t>
            </w:r>
          </w:p>
        </w:tc>
        <w:tc>
          <w:tcPr>
            <w:tcW w:w="1328" w:type="pct"/>
          </w:tcPr>
          <w:p w14:paraId="7A4C8E8B"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60551F8" w14:textId="580271EA"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3.34±0.09</w:t>
            </w:r>
            <w:r w:rsidRPr="00220815">
              <w:rPr>
                <w:rFonts w:ascii="Arial" w:hAnsi="Arial" w:cs="Arial"/>
                <w:vertAlign w:val="superscript"/>
              </w:rPr>
              <w:t>d</w:t>
            </w:r>
          </w:p>
        </w:tc>
      </w:tr>
      <w:tr w:rsidR="00491D86" w:rsidRPr="008423F6" w14:paraId="7633C8F6"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63A6DA5E" w14:textId="77777777" w:rsidR="00491D86" w:rsidRPr="008423F6" w:rsidRDefault="00491D86" w:rsidP="00491D86">
            <w:pPr>
              <w:rPr>
                <w:rFonts w:ascii="Arial" w:hAnsi="Arial" w:cs="Arial"/>
              </w:rPr>
            </w:pPr>
          </w:p>
        </w:tc>
        <w:tc>
          <w:tcPr>
            <w:tcW w:w="1328" w:type="pct"/>
          </w:tcPr>
          <w:p w14:paraId="13143014"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08852046" w14:textId="15BF3C51"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4.86±0.19</w:t>
            </w:r>
            <w:r w:rsidRPr="00220815">
              <w:rPr>
                <w:rFonts w:ascii="Arial" w:hAnsi="Arial" w:cs="Arial"/>
                <w:vertAlign w:val="superscript"/>
              </w:rPr>
              <w:t>b</w:t>
            </w:r>
          </w:p>
        </w:tc>
      </w:tr>
      <w:tr w:rsidR="00491D86" w:rsidRPr="008423F6" w14:paraId="0C1606FE"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3BB173AA" w14:textId="77777777" w:rsidR="00491D86" w:rsidRPr="008423F6" w:rsidRDefault="00491D86" w:rsidP="00491D86">
            <w:pPr>
              <w:rPr>
                <w:rFonts w:ascii="Arial" w:hAnsi="Arial" w:cs="Arial"/>
              </w:rPr>
            </w:pPr>
            <w:r w:rsidRPr="00220815">
              <w:rPr>
                <w:rFonts w:ascii="Arial" w:hAnsi="Arial" w:cs="Arial"/>
              </w:rPr>
              <w:t>Barks</w:t>
            </w:r>
            <w:r w:rsidRPr="008423F6">
              <w:rPr>
                <w:rFonts w:ascii="Arial" w:hAnsi="Arial" w:cs="Arial"/>
              </w:rPr>
              <w:t xml:space="preserve"> </w:t>
            </w:r>
          </w:p>
        </w:tc>
        <w:tc>
          <w:tcPr>
            <w:tcW w:w="1328" w:type="pct"/>
          </w:tcPr>
          <w:p w14:paraId="21AF029F"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52045AA3" w14:textId="34C5C693"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4.34±0.41</w:t>
            </w:r>
            <w:r w:rsidRPr="00220815">
              <w:rPr>
                <w:rFonts w:ascii="Arial" w:hAnsi="Arial" w:cs="Arial"/>
                <w:vertAlign w:val="superscript"/>
              </w:rPr>
              <w:t>c</w:t>
            </w:r>
          </w:p>
        </w:tc>
      </w:tr>
      <w:tr w:rsidR="00491D86" w:rsidRPr="008423F6" w14:paraId="1F15BFC3"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441707B4" w14:textId="77777777" w:rsidR="00491D86" w:rsidRPr="008423F6" w:rsidRDefault="00491D86" w:rsidP="00491D86">
            <w:pPr>
              <w:rPr>
                <w:rFonts w:ascii="Arial" w:hAnsi="Arial" w:cs="Arial"/>
              </w:rPr>
            </w:pPr>
          </w:p>
        </w:tc>
        <w:tc>
          <w:tcPr>
            <w:tcW w:w="1328" w:type="pct"/>
          </w:tcPr>
          <w:p w14:paraId="428F5E88"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112A4E97" w14:textId="0708AFAB"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4.83±0.20</w:t>
            </w:r>
            <w:r w:rsidRPr="00220815">
              <w:rPr>
                <w:rFonts w:ascii="Arial" w:hAnsi="Arial" w:cs="Arial"/>
                <w:vertAlign w:val="superscript"/>
              </w:rPr>
              <w:t>b</w:t>
            </w:r>
          </w:p>
        </w:tc>
      </w:tr>
      <w:tr w:rsidR="00491D86" w:rsidRPr="008423F6" w14:paraId="0D5D2CA1" w14:textId="77777777" w:rsidTr="00136AC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206A6B91" w14:textId="77777777" w:rsidR="00491D86" w:rsidRPr="008423F6" w:rsidRDefault="00491D86" w:rsidP="00491D86">
            <w:pPr>
              <w:rPr>
                <w:rFonts w:ascii="Arial" w:hAnsi="Arial" w:cs="Arial"/>
              </w:rPr>
            </w:pPr>
            <w:r w:rsidRPr="008423F6">
              <w:rPr>
                <w:rFonts w:ascii="Arial" w:hAnsi="Arial" w:cs="Arial"/>
              </w:rPr>
              <w:t>R</w:t>
            </w:r>
            <w:r w:rsidRPr="00220815">
              <w:rPr>
                <w:rFonts w:ascii="Arial" w:hAnsi="Arial" w:cs="Arial"/>
              </w:rPr>
              <w:t>oots</w:t>
            </w:r>
          </w:p>
        </w:tc>
        <w:tc>
          <w:tcPr>
            <w:tcW w:w="1328" w:type="pct"/>
          </w:tcPr>
          <w:p w14:paraId="2DAD5758"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DFC9140" w14:textId="31D46625"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7.19±0.30</w:t>
            </w:r>
            <w:r w:rsidRPr="00220815">
              <w:rPr>
                <w:rFonts w:ascii="Arial" w:hAnsi="Arial" w:cs="Arial"/>
                <w:vertAlign w:val="superscript"/>
              </w:rPr>
              <w:t>a</w:t>
            </w:r>
          </w:p>
        </w:tc>
      </w:tr>
      <w:tr w:rsidR="00491D86" w:rsidRPr="008423F6" w14:paraId="0004A644" w14:textId="77777777" w:rsidTr="00136AC9">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4A85D103" w14:textId="77777777" w:rsidR="00491D86" w:rsidRPr="008423F6" w:rsidRDefault="00491D86" w:rsidP="00491D86">
            <w:pPr>
              <w:rPr>
                <w:rFonts w:ascii="Arial" w:hAnsi="Arial" w:cs="Arial"/>
              </w:rPr>
            </w:pPr>
          </w:p>
        </w:tc>
        <w:tc>
          <w:tcPr>
            <w:tcW w:w="1328" w:type="pct"/>
          </w:tcPr>
          <w:p w14:paraId="0AB04698"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2790FB47" w14:textId="2AD637E6"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4.45±0.20</w:t>
            </w:r>
            <w:r w:rsidRPr="00220815">
              <w:rPr>
                <w:rFonts w:ascii="Arial" w:hAnsi="Arial" w:cs="Arial"/>
                <w:vertAlign w:val="superscript"/>
              </w:rPr>
              <w:t>bc</w:t>
            </w:r>
          </w:p>
        </w:tc>
      </w:tr>
      <w:tr w:rsidR="00491D86" w:rsidRPr="008423F6" w14:paraId="6986B2AA" w14:textId="77777777" w:rsidTr="00136AC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839" w:type="pct"/>
            <w:gridSpan w:val="2"/>
          </w:tcPr>
          <w:p w14:paraId="4D6B3F84" w14:textId="5748F682" w:rsidR="00491D86" w:rsidRPr="008423F6" w:rsidRDefault="00491D86" w:rsidP="00136AC9">
            <w:pPr>
              <w:rPr>
                <w:rFonts w:ascii="Arial" w:hAnsi="Arial" w:cs="Arial"/>
                <w:b w:val="0"/>
                <w:bCs w:val="0"/>
              </w:rPr>
            </w:pPr>
            <w:r w:rsidRPr="008423F6">
              <w:rPr>
                <w:rFonts w:ascii="Arial" w:hAnsi="Arial" w:cs="Arial"/>
                <w:b w:val="0"/>
                <w:bCs w:val="0"/>
                <w:i/>
                <w:iCs/>
              </w:rPr>
              <w:t>P</w:t>
            </w:r>
            <w:r w:rsidRPr="008423F6">
              <w:rPr>
                <w:rFonts w:ascii="Arial" w:hAnsi="Arial" w:cs="Arial"/>
                <w:b w:val="0"/>
                <w:bCs w:val="0"/>
              </w:rPr>
              <w:t>-value</w:t>
            </w:r>
            <w:r w:rsidRPr="00220815">
              <w:rPr>
                <w:rFonts w:ascii="Arial" w:hAnsi="Arial" w:cs="Arial"/>
                <w:b w:val="0"/>
                <w:bCs w:val="0"/>
              </w:rPr>
              <w:t xml:space="preserve"> ˂</w:t>
            </w:r>
          </w:p>
        </w:tc>
        <w:tc>
          <w:tcPr>
            <w:tcW w:w="2161" w:type="pct"/>
          </w:tcPr>
          <w:p w14:paraId="46529764" w14:textId="63127BD6" w:rsidR="00491D86" w:rsidRPr="008423F6" w:rsidRDefault="00491D86" w:rsidP="00136AC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815">
              <w:rPr>
                <w:rFonts w:ascii="Arial" w:hAnsi="Arial" w:cs="Arial"/>
              </w:rPr>
              <w:t>.</w:t>
            </w:r>
            <w:r w:rsidRPr="008423F6">
              <w:rPr>
                <w:rFonts w:ascii="Arial" w:hAnsi="Arial" w:cs="Arial"/>
              </w:rPr>
              <w:t>001</w:t>
            </w:r>
          </w:p>
        </w:tc>
      </w:tr>
    </w:tbl>
    <w:p w14:paraId="78BAD9D6" w14:textId="068AB146" w:rsidR="00220815" w:rsidRPr="00097F28" w:rsidRDefault="003766A8" w:rsidP="00220815">
      <w:pPr>
        <w:jc w:val="both"/>
        <w:rPr>
          <w:rFonts w:ascii="Arial" w:hAnsi="Arial" w:cs="Arial"/>
          <w:b/>
          <w:bCs/>
          <w:sz w:val="18"/>
          <w:szCs w:val="18"/>
        </w:rPr>
      </w:pPr>
      <w:r w:rsidRPr="00097F28">
        <w:rPr>
          <w:rFonts w:ascii="Arial" w:hAnsi="Arial" w:cs="Arial"/>
          <w:b/>
          <w:bCs/>
          <w:sz w:val="18"/>
          <w:szCs w:val="18"/>
        </w:rPr>
        <w:t>*</w:t>
      </w:r>
      <w:r w:rsidR="00220815" w:rsidRPr="00097F28">
        <w:rPr>
          <w:rFonts w:ascii="Arial" w:hAnsi="Arial" w:cs="Arial"/>
          <w:b/>
          <w:bCs/>
          <w:sz w:val="18"/>
          <w:szCs w:val="18"/>
        </w:rPr>
        <w:t xml:space="preserve">Values followed by different letters are significantly different at </w:t>
      </w:r>
      <w:r w:rsidR="00220815" w:rsidRPr="00097F28">
        <w:rPr>
          <w:rFonts w:ascii="Arial" w:hAnsi="Arial" w:cs="Arial"/>
          <w:b/>
          <w:bCs/>
          <w:i/>
          <w:iCs/>
          <w:sz w:val="18"/>
          <w:szCs w:val="18"/>
        </w:rPr>
        <w:t>P</w:t>
      </w:r>
      <w:r w:rsidR="00220815" w:rsidRPr="00097F28">
        <w:rPr>
          <w:rFonts w:ascii="Arial" w:hAnsi="Arial" w:cs="Arial"/>
          <w:b/>
          <w:bCs/>
          <w:sz w:val="18"/>
          <w:szCs w:val="18"/>
        </w:rPr>
        <w:t xml:space="preserve"> &lt; .001</w:t>
      </w:r>
    </w:p>
    <w:p w14:paraId="24728E20" w14:textId="77777777" w:rsidR="00491D86" w:rsidRPr="00097F28" w:rsidRDefault="00491D86" w:rsidP="00DD1675">
      <w:pPr>
        <w:spacing w:line="276" w:lineRule="auto"/>
        <w:jc w:val="both"/>
        <w:rPr>
          <w:rFonts w:ascii="Arial" w:hAnsi="Arial" w:cs="Arial"/>
        </w:rPr>
      </w:pPr>
    </w:p>
    <w:p w14:paraId="19C430F4" w14:textId="4AD8C5D2" w:rsidR="00EA398C" w:rsidRPr="00EA398C" w:rsidRDefault="007C00B7" w:rsidP="00EA398C">
      <w:pPr>
        <w:spacing w:line="276" w:lineRule="auto"/>
        <w:jc w:val="both"/>
        <w:rPr>
          <w:rFonts w:ascii="Arial" w:hAnsi="Arial" w:cs="Arial"/>
        </w:rPr>
      </w:pPr>
      <w:r w:rsidRPr="00097F28">
        <w:rPr>
          <w:rFonts w:ascii="Arial" w:hAnsi="Arial" w:cs="Arial"/>
        </w:rPr>
        <w:t xml:space="preserve">The analysis of this table shows that extracts from all parts of </w:t>
      </w:r>
      <w:r w:rsidR="003766A8" w:rsidRPr="00097F28">
        <w:rPr>
          <w:rFonts w:ascii="Arial" w:hAnsi="Arial" w:cs="Arial"/>
          <w:i/>
          <w:iCs/>
        </w:rPr>
        <w:t>M.</w:t>
      </w:r>
      <w:r w:rsidRPr="00097F28">
        <w:rPr>
          <w:rFonts w:ascii="Arial" w:hAnsi="Arial" w:cs="Arial"/>
          <w:i/>
          <w:iCs/>
        </w:rPr>
        <w:t xml:space="preserve"> indica </w:t>
      </w:r>
      <w:r w:rsidRPr="00097F28">
        <w:rPr>
          <w:rFonts w:ascii="Arial" w:hAnsi="Arial" w:cs="Arial"/>
        </w:rPr>
        <w:t xml:space="preserve">exhibit </w:t>
      </w:r>
      <w:r w:rsidR="00DD1675" w:rsidRPr="00097F28">
        <w:rPr>
          <w:rFonts w:ascii="Arial" w:hAnsi="Arial" w:cs="Arial"/>
        </w:rPr>
        <w:t xml:space="preserve">a very </w:t>
      </w:r>
      <w:r w:rsidRPr="00097F28">
        <w:rPr>
          <w:rFonts w:ascii="Arial" w:hAnsi="Arial" w:cs="Arial"/>
        </w:rPr>
        <w:t xml:space="preserve">strong </w:t>
      </w:r>
      <w:bookmarkStart w:id="10" w:name="_Hlk207303379"/>
      <w:r w:rsidRPr="00097F28">
        <w:rPr>
          <w:rFonts w:ascii="Arial" w:hAnsi="Arial" w:cs="Arial"/>
        </w:rPr>
        <w:t>anti</w:t>
      </w:r>
      <w:r w:rsidR="00220815" w:rsidRPr="00097F28">
        <w:rPr>
          <w:rFonts w:ascii="Arial" w:hAnsi="Arial" w:cs="Arial"/>
        </w:rPr>
        <w:t>-</w:t>
      </w:r>
      <w:r w:rsidR="00220815" w:rsidRPr="00097F28">
        <w:rPr>
          <w:rFonts w:ascii="Symbol" w:hAnsi="Symbol" w:cs="Arial"/>
        </w:rPr>
        <w:t></w:t>
      </w:r>
      <w:r w:rsidR="00220815" w:rsidRPr="00097F28">
        <w:rPr>
          <w:rFonts w:ascii="Arial" w:hAnsi="Arial" w:cs="Arial"/>
        </w:rPr>
        <w:t xml:space="preserve">-amylase </w:t>
      </w:r>
      <w:r w:rsidRPr="00097F28">
        <w:rPr>
          <w:rFonts w:ascii="Arial" w:hAnsi="Arial" w:cs="Arial"/>
        </w:rPr>
        <w:t>activity</w:t>
      </w:r>
      <w:bookmarkEnd w:id="10"/>
      <w:r w:rsidRPr="00097F28">
        <w:rPr>
          <w:rFonts w:ascii="Arial" w:hAnsi="Arial" w:cs="Arial"/>
        </w:rPr>
        <w:t>, with IC</w:t>
      </w:r>
      <w:r w:rsidRPr="00097F28">
        <w:rPr>
          <w:rFonts w:ascii="Cambria Math" w:hAnsi="Cambria Math" w:cs="Cambria Math"/>
        </w:rPr>
        <w:t>₅₀</w:t>
      </w:r>
      <w:r w:rsidRPr="00097F28">
        <w:rPr>
          <w:rFonts w:ascii="Arial" w:hAnsi="Arial" w:cs="Arial"/>
        </w:rPr>
        <w:t xml:space="preserve"> values ranging from 3.34±0.09 to 7.19±0.30 </w:t>
      </w:r>
      <w:proofErr w:type="spellStart"/>
      <w:r w:rsidRPr="00097F28">
        <w:rPr>
          <w:rFonts w:ascii="Arial" w:hAnsi="Arial" w:cs="Arial"/>
        </w:rPr>
        <w:t>μg</w:t>
      </w:r>
      <w:proofErr w:type="spellEnd"/>
      <w:r w:rsidRPr="00097F28">
        <w:rPr>
          <w:rFonts w:ascii="Arial" w:hAnsi="Arial" w:cs="Arial"/>
        </w:rPr>
        <w:t>/</w:t>
      </w:r>
      <w:proofErr w:type="spellStart"/>
      <w:r w:rsidRPr="00097F28">
        <w:rPr>
          <w:rFonts w:ascii="Arial" w:hAnsi="Arial" w:cs="Arial"/>
        </w:rPr>
        <w:t>mL.</w:t>
      </w:r>
      <w:proofErr w:type="spellEnd"/>
      <w:r w:rsidRPr="00097F28">
        <w:rPr>
          <w:rFonts w:ascii="Arial" w:hAnsi="Arial" w:cs="Arial"/>
        </w:rPr>
        <w:t xml:space="preserve"> The aqueous leaf extract demonstrated the highest inhibitory potential, with an IC</w:t>
      </w:r>
      <w:r w:rsidRPr="00097F28">
        <w:rPr>
          <w:rFonts w:ascii="Cambria Math" w:hAnsi="Cambria Math" w:cs="Cambria Math"/>
        </w:rPr>
        <w:t>₅₀</w:t>
      </w:r>
      <w:r w:rsidRPr="00097F28">
        <w:rPr>
          <w:rFonts w:ascii="Arial" w:hAnsi="Arial" w:cs="Arial"/>
        </w:rPr>
        <w:t xml:space="preserve"> of 3.34±0.09 </w:t>
      </w:r>
      <w:proofErr w:type="spellStart"/>
      <w:r w:rsidRPr="00097F28">
        <w:rPr>
          <w:rFonts w:ascii="Arial" w:hAnsi="Arial" w:cs="Arial"/>
        </w:rPr>
        <w:t>μg</w:t>
      </w:r>
      <w:proofErr w:type="spellEnd"/>
      <w:r w:rsidRPr="00097F28">
        <w:rPr>
          <w:rFonts w:ascii="Arial" w:hAnsi="Arial" w:cs="Arial"/>
        </w:rPr>
        <w:t>/mL (p &lt;</w:t>
      </w:r>
      <w:r w:rsidR="007B76C8" w:rsidRPr="00097F28">
        <w:rPr>
          <w:rFonts w:ascii="Arial" w:hAnsi="Arial" w:cs="Arial"/>
        </w:rPr>
        <w:t xml:space="preserve"> </w:t>
      </w:r>
      <w:r w:rsidRPr="00097F28">
        <w:rPr>
          <w:rFonts w:ascii="Arial" w:hAnsi="Arial" w:cs="Arial"/>
        </w:rPr>
        <w:t>0.05)</w:t>
      </w:r>
      <w:r w:rsidR="00EA398C" w:rsidRPr="00097F28">
        <w:rPr>
          <w:rFonts w:ascii="Arial" w:hAnsi="Arial" w:cs="Arial"/>
        </w:rPr>
        <w:t>. This anti-amylase activity is more significant than the results obtained by</w:t>
      </w:r>
      <w:r w:rsidR="003766A8" w:rsidRPr="00097F28">
        <w:rPr>
          <w:rFonts w:ascii="Arial" w:hAnsi="Arial" w:cs="Arial"/>
        </w:rPr>
        <w:t xml:space="preserve"> </w:t>
      </w:r>
      <w:r w:rsidR="003766A8" w:rsidRPr="00097F28">
        <w:rPr>
          <w:rFonts w:cs="Helvetica"/>
          <w:noProof/>
        </w:rPr>
        <w:t>Sekar et al.</w:t>
      </w:r>
      <w:r w:rsidR="00EA398C" w:rsidRPr="00097F28">
        <w:rPr>
          <w:rFonts w:ascii="Arial" w:hAnsi="Arial" w:cs="Arial"/>
        </w:rPr>
        <w:t xml:space="preserve"> </w:t>
      </w:r>
      <w:r w:rsidR="00F703DF" w:rsidRPr="00097F28">
        <w:rPr>
          <w:rFonts w:ascii="Arial" w:hAnsi="Arial" w:cs="Arial"/>
        </w:rPr>
        <w:fldChar w:fldCharType="begin" w:fldLock="1"/>
      </w:r>
      <w:r w:rsidR="00B21B9C" w:rsidRPr="00097F28">
        <w:rPr>
          <w:rFonts w:ascii="Arial" w:hAnsi="Arial" w:cs="Arial"/>
        </w:rPr>
        <w:instrText>ADDIN CSL_CITATION {"citationItems":[{"id":"ITEM-1","itemData":{"DOI":"10.1016/j.phymed.2019.152901","ISSN":"1618-095X (Electronic)","PMID":"30981189","abstract":"BACKGROUND: Diabetes mellitus poses serious threat to the global population due  to the alarming diabetic complications it leads to. The current therapeutic options available can be improved for better efficiency and maximum benefits. Combination therapy has been commonly used to improve the efficacy and to minimize the side effects of drugs in current clinical use. PURPOSE: The present study aims to assess the interaction between a natural molecule mangiferin with the commercially available oral hypoglycemic drugs metformin and gliclazide in diabetic rats. METHODS: In this study, the in vitro cytotoxicity and glucose uptake studies were performed in HepG2 cells. Based on experimental data, the combination index of the hypoglycemic drugs like metformin and gliclazide in combination with different doses of mangiferin was determined using COMPUSYN software. Further, in vivo studies were performed in HFD + STZ induced diabetic male Sprague Dawley rats. Serum parameters, enzyme markers, hepatic oxidative stress markers, gene and protein expression studies and histopathological analyses were performed in rat liver to identify the mode of action of the combination drug administration. RESULTS: The in vitro studies on HepG2 cells suggest a positive interaction of mangiferin with both metformin and gliclazide at specific concentrations as evidenced by glucose uptake. The hepatic enzymes, oxidative stress markers, carbohydrate metabolizing enzymes, gene (AMPK, Akt, ACC β and Glut-2) and protein (PPARα, PPARγ) expression confirmed the results of the in vitro studies. Both the combinations of mangiferin with metformin and mangiferin with gliclazide exhibited potent antidiabetic effect. The combination of mangiferin with metformin was insulin dependent (Akt pathway) whereas the combination of mangiferin and gliclazide was insulin independent (AMPK pathway). CONCLUSION: The overall results suggest that combination of mangiferin with both metformin and gliclazide alleviates diabetic conditions potentially at specific doses and modulates the adverse effect of high dose of commonly used OHD's. This combination therapy can be translated for its clinical use as a diabetes management strategy.","author":[{"dropping-particle":"","family":"Sekar","given":"Vidhushini","non-dropping-particle":"","parse-names":false,"suffix":""},{"dropping-particle":"","family":"Mani","given":"Sugumar","non-dropping-particle":"","parse-names":false,"suffix":""},{"dropping-particle":"","family":"Malarvizhi","given":"R","non-dropping-particle":"","parse-names":false,"suffix":""},{"dropping-particle":"","family":"Nithya","given":"P","non-dropping-particle":"","parse-names":false,"suffix":""},{"dropping-particle":"","family":"Vasanthi","given":"Hannah R","non-dropping-particle":"","parse-names":false,"suffix":""}],"container-title":"Phytomedicine : international journal of phytotherapy and phytopharmacology","id":"ITEM-1","issued":{"date-parts":[["2019","6"]]},"language":"eng","page":"152901","publisher-place":"Germany","title":"Antidiabetic effect of mangiferin in combination with oral hypoglycemic agents  metformin and gliclazide.","type":"article-journal","volume":"59"},"uris":["http://www.mendeley.com/documents/?uuid=309561d8-b6f2-4b2e-b668-ef714a35d3aa"]}],"mendeley":{"formattedCitation":"[30]","plainTextFormattedCitation":"[30]","previouslyFormattedCitation":"[30]"},"properties":{"noteIndex":0},"schema":"https://github.com/citation-style-language/schema/raw/master/csl-citation.json"}</w:instrText>
      </w:r>
      <w:r w:rsidR="00F703DF" w:rsidRPr="00097F28">
        <w:rPr>
          <w:rFonts w:ascii="Arial" w:hAnsi="Arial" w:cs="Arial"/>
        </w:rPr>
        <w:fldChar w:fldCharType="separate"/>
      </w:r>
      <w:r w:rsidR="00F703DF" w:rsidRPr="00097F28">
        <w:rPr>
          <w:rFonts w:ascii="Arial" w:hAnsi="Arial" w:cs="Arial"/>
          <w:noProof/>
        </w:rPr>
        <w:t>[30]</w:t>
      </w:r>
      <w:r w:rsidR="00F703DF" w:rsidRPr="00097F28">
        <w:rPr>
          <w:rFonts w:ascii="Arial" w:hAnsi="Arial" w:cs="Arial"/>
        </w:rPr>
        <w:fldChar w:fldCharType="end"/>
      </w:r>
      <w:r w:rsidR="00EA398C" w:rsidRPr="00097F28">
        <w:rPr>
          <w:rFonts w:ascii="Arial" w:hAnsi="Arial" w:cs="Arial"/>
        </w:rPr>
        <w:t>, who found IC</w:t>
      </w:r>
      <w:r w:rsidR="00EA398C" w:rsidRPr="00097F28">
        <w:rPr>
          <w:rFonts w:ascii="Arial" w:hAnsi="Arial" w:cs="Arial"/>
          <w:vertAlign w:val="subscript"/>
        </w:rPr>
        <w:t>50</w:t>
      </w:r>
      <w:r w:rsidR="00EA398C" w:rsidRPr="00097F28">
        <w:rPr>
          <w:rFonts w:ascii="Arial" w:hAnsi="Arial" w:cs="Arial"/>
        </w:rPr>
        <w:t xml:space="preserve"> values of 287.57 µg/ml and 318.1 µg/ml for ripe and unripe mangoes, respectively. The </w:t>
      </w:r>
      <w:r w:rsidR="00EA398C" w:rsidRPr="00097F28">
        <w:rPr>
          <w:rFonts w:ascii="Arial" w:hAnsi="Arial" w:cs="Arial"/>
          <w:lang w:val="fr-FR"/>
        </w:rPr>
        <w:t>α</w:t>
      </w:r>
      <w:r w:rsidR="00EA398C" w:rsidRPr="00097F28">
        <w:rPr>
          <w:rFonts w:ascii="Arial" w:hAnsi="Arial" w:cs="Arial"/>
        </w:rPr>
        <w:t xml:space="preserve">-amylase inhibitory capacity is much more active in the leaves compared to other parts of the mango tree, which </w:t>
      </w:r>
      <w:r w:rsidR="003766A8" w:rsidRPr="00097F28">
        <w:rPr>
          <w:rFonts w:ascii="Arial" w:hAnsi="Arial" w:cs="Arial"/>
        </w:rPr>
        <w:t xml:space="preserve">could </w:t>
      </w:r>
      <w:r w:rsidR="00EA398C" w:rsidRPr="00097F28">
        <w:rPr>
          <w:rFonts w:ascii="Arial" w:hAnsi="Arial" w:cs="Arial"/>
        </w:rPr>
        <w:lastRenderedPageBreak/>
        <w:t xml:space="preserve">explain the high use of this </w:t>
      </w:r>
      <w:r w:rsidR="003766A8" w:rsidRPr="00097F28">
        <w:rPr>
          <w:rFonts w:ascii="Arial" w:hAnsi="Arial" w:cs="Arial"/>
        </w:rPr>
        <w:t xml:space="preserve">plant </w:t>
      </w:r>
      <w:r w:rsidR="00EA398C" w:rsidRPr="00097F28">
        <w:rPr>
          <w:rFonts w:ascii="Arial" w:hAnsi="Arial" w:cs="Arial"/>
        </w:rPr>
        <w:t xml:space="preserve">part by diabetic individuals. These results corroborate the data obtained from the surveys regarding the traditional use of </w:t>
      </w:r>
      <w:r w:rsidR="003766A8" w:rsidRPr="00097F28">
        <w:rPr>
          <w:rFonts w:ascii="Arial" w:hAnsi="Arial" w:cs="Arial"/>
          <w:i/>
          <w:iCs/>
        </w:rPr>
        <w:t xml:space="preserve">M. </w:t>
      </w:r>
      <w:r w:rsidR="00EA398C" w:rsidRPr="00097F28">
        <w:rPr>
          <w:rFonts w:ascii="Arial" w:hAnsi="Arial" w:cs="Arial"/>
          <w:i/>
          <w:iCs/>
        </w:rPr>
        <w:t>indica</w:t>
      </w:r>
      <w:r w:rsidR="00EA398C" w:rsidRPr="00097F28">
        <w:rPr>
          <w:rFonts w:ascii="Arial" w:hAnsi="Arial" w:cs="Arial"/>
        </w:rPr>
        <w:t xml:space="preserve"> in the management of numerous diseases, particularly diabetes. </w:t>
      </w:r>
      <w:r w:rsidR="001D11C7" w:rsidRPr="00097F28">
        <w:rPr>
          <w:rFonts w:ascii="Arial" w:hAnsi="Arial" w:cs="Arial"/>
        </w:rPr>
        <w:t>These lower IC</w:t>
      </w:r>
      <w:r w:rsidR="001D11C7" w:rsidRPr="00097F28">
        <w:rPr>
          <w:rFonts w:ascii="Cambria Math" w:hAnsi="Cambria Math" w:cs="Cambria Math"/>
        </w:rPr>
        <w:t>₅₀</w:t>
      </w:r>
      <w:r w:rsidR="001D11C7" w:rsidRPr="00097F28">
        <w:rPr>
          <w:rFonts w:ascii="Arial" w:hAnsi="Arial" w:cs="Arial"/>
        </w:rPr>
        <w:t xml:space="preserve"> registered with </w:t>
      </w:r>
      <w:r w:rsidR="001D11C7" w:rsidRPr="00097F28">
        <w:rPr>
          <w:rFonts w:ascii="Symbol" w:hAnsi="Symbol" w:cs="Arial"/>
        </w:rPr>
        <w:t></w:t>
      </w:r>
      <w:r w:rsidR="001D11C7" w:rsidRPr="00097F28">
        <w:rPr>
          <w:rFonts w:ascii="Arial" w:hAnsi="Arial" w:cs="Arial"/>
        </w:rPr>
        <w:t xml:space="preserve">-amylase support the involvement of </w:t>
      </w:r>
      <w:proofErr w:type="spellStart"/>
      <w:r w:rsidR="001D11C7" w:rsidRPr="00097F28">
        <w:rPr>
          <w:rFonts w:ascii="Arial" w:hAnsi="Arial" w:cs="Arial"/>
        </w:rPr>
        <w:t>Manguifera’s</w:t>
      </w:r>
      <w:proofErr w:type="spellEnd"/>
      <w:r w:rsidR="001D11C7" w:rsidRPr="00097F28">
        <w:rPr>
          <w:rFonts w:ascii="Arial" w:hAnsi="Arial" w:cs="Arial"/>
        </w:rPr>
        <w:t xml:space="preserve"> extracts in the regulation of diabetes. This potential regulation of </w:t>
      </w:r>
      <w:r w:rsidR="001D11C7" w:rsidRPr="00097F28">
        <w:rPr>
          <w:rFonts w:ascii="Symbol" w:hAnsi="Symbol" w:cs="Arial"/>
        </w:rPr>
        <w:t></w:t>
      </w:r>
      <w:r w:rsidR="001D11C7" w:rsidRPr="00097F28">
        <w:rPr>
          <w:rFonts w:ascii="Arial" w:hAnsi="Arial" w:cs="Arial"/>
        </w:rPr>
        <w:t xml:space="preserve">-amylase’s activity could rely on their composition in phenolic compound which are closely incriminated in the </w:t>
      </w:r>
      <w:r w:rsidR="001D11C7" w:rsidRPr="00097F28">
        <w:rPr>
          <w:rFonts w:ascii="Symbol" w:hAnsi="Symbol" w:cs="Arial"/>
        </w:rPr>
        <w:t></w:t>
      </w:r>
      <w:r w:rsidR="001D11C7" w:rsidRPr="00097F28">
        <w:rPr>
          <w:rFonts w:ascii="Arial" w:hAnsi="Arial" w:cs="Arial"/>
        </w:rPr>
        <w:t xml:space="preserve">-amylase’s regulation and therefore in the management of diabetes [13]. </w:t>
      </w:r>
      <w:r w:rsidR="00EA398C" w:rsidRPr="00097F28">
        <w:rPr>
          <w:rFonts w:ascii="Arial" w:hAnsi="Arial" w:cs="Arial"/>
        </w:rPr>
        <w:t xml:space="preserve">However, more in-depth investigations, especially on the content of phytochemical groups and other hypoglycemic activities, are necessary to confirm the mechanism </w:t>
      </w:r>
      <w:r w:rsidR="000524B6" w:rsidRPr="00097F28">
        <w:rPr>
          <w:rFonts w:ascii="Arial" w:hAnsi="Arial" w:cs="Arial"/>
        </w:rPr>
        <w:t xml:space="preserve">mechanistic </w:t>
      </w:r>
      <w:r w:rsidR="00EA398C" w:rsidRPr="00097F28">
        <w:rPr>
          <w:rFonts w:ascii="Arial" w:hAnsi="Arial" w:cs="Arial"/>
        </w:rPr>
        <w:t xml:space="preserve">of action of the bioactive substances of </w:t>
      </w:r>
      <w:r w:rsidR="005F4853" w:rsidRPr="00097F28">
        <w:rPr>
          <w:rFonts w:ascii="Arial" w:hAnsi="Arial" w:cs="Arial"/>
          <w:i/>
          <w:iCs/>
        </w:rPr>
        <w:t>M. indica</w:t>
      </w:r>
      <w:r w:rsidR="00EA398C" w:rsidRPr="00097F28">
        <w:rPr>
          <w:rFonts w:ascii="Arial" w:hAnsi="Arial" w:cs="Arial"/>
        </w:rPr>
        <w:t>.</w:t>
      </w:r>
    </w:p>
    <w:p w14:paraId="059DC52A" w14:textId="77777777" w:rsidR="00B3360C" w:rsidRPr="00FB3A86" w:rsidRDefault="00B3360C" w:rsidP="00B3360C">
      <w:pPr>
        <w:pStyle w:val="Body"/>
        <w:spacing w:after="0"/>
        <w:rPr>
          <w:rFonts w:ascii="Arial" w:hAnsi="Arial" w:cs="Arial"/>
        </w:rPr>
      </w:pPr>
    </w:p>
    <w:p w14:paraId="10A1907C" w14:textId="1B4D8860" w:rsidR="00B3360C" w:rsidRDefault="00B3360C" w:rsidP="00CB26DB">
      <w:pPr>
        <w:pStyle w:val="ConcHead"/>
        <w:spacing w:after="0"/>
        <w:jc w:val="both"/>
        <w:outlineLvl w:val="0"/>
        <w:rPr>
          <w:rFonts w:ascii="Arial" w:hAnsi="Arial" w:cs="Arial"/>
        </w:rPr>
      </w:pPr>
      <w:r>
        <w:rPr>
          <w:rFonts w:ascii="Arial" w:hAnsi="Arial" w:cs="Arial"/>
        </w:rPr>
        <w:t xml:space="preserve">4. </w:t>
      </w:r>
      <w:r w:rsidRPr="00FB3A86">
        <w:rPr>
          <w:rFonts w:ascii="Arial" w:hAnsi="Arial" w:cs="Arial"/>
        </w:rPr>
        <w:t>Conclusion</w:t>
      </w:r>
      <w:r w:rsidR="000524B6">
        <w:rPr>
          <w:rFonts w:ascii="Arial" w:hAnsi="Arial" w:cs="Arial"/>
        </w:rPr>
        <w:t xml:space="preserve"> </w:t>
      </w:r>
    </w:p>
    <w:p w14:paraId="2130AFAD" w14:textId="77777777" w:rsidR="00B3360C" w:rsidRPr="00FB3A86" w:rsidRDefault="00B3360C" w:rsidP="00B3360C">
      <w:pPr>
        <w:pStyle w:val="ConcHead"/>
        <w:spacing w:after="0"/>
        <w:jc w:val="both"/>
        <w:rPr>
          <w:rFonts w:ascii="Arial" w:hAnsi="Arial" w:cs="Arial"/>
        </w:rPr>
      </w:pPr>
    </w:p>
    <w:p w14:paraId="4EC937A2" w14:textId="7D05AAAD" w:rsidR="00315186" w:rsidRPr="00315186" w:rsidRDefault="00416156" w:rsidP="00FC76A0">
      <w:pPr>
        <w:jc w:val="both"/>
      </w:pPr>
      <w:r w:rsidRPr="004F3035">
        <w:rPr>
          <w:rFonts w:ascii="Arial" w:hAnsi="Arial" w:cs="Arial"/>
        </w:rPr>
        <w:t xml:space="preserve">The survey of this study revealed that the </w:t>
      </w:r>
      <w:r w:rsidR="004F3035">
        <w:rPr>
          <w:rFonts w:ascii="Arial" w:hAnsi="Arial" w:cs="Arial"/>
        </w:rPr>
        <w:t>vast</w:t>
      </w:r>
      <w:r w:rsidRPr="004F3035">
        <w:rPr>
          <w:rFonts w:ascii="Arial" w:hAnsi="Arial" w:cs="Arial"/>
        </w:rPr>
        <w:t xml:space="preserve"> majority of households in Bamako and around practice plant domestication, </w:t>
      </w:r>
      <w:r w:rsidR="004F3035">
        <w:rPr>
          <w:rFonts w:ascii="Arial" w:hAnsi="Arial" w:cs="Arial"/>
        </w:rPr>
        <w:t>including</w:t>
      </w:r>
      <w:r w:rsidRPr="004F3035">
        <w:rPr>
          <w:rFonts w:ascii="Arial" w:hAnsi="Arial" w:cs="Arial"/>
        </w:rPr>
        <w:t xml:space="preserve"> a </w:t>
      </w:r>
      <w:r w:rsidR="004F3035">
        <w:rPr>
          <w:rFonts w:ascii="Arial" w:hAnsi="Arial" w:cs="Arial"/>
        </w:rPr>
        <w:t>high</w:t>
      </w:r>
      <w:r w:rsidRPr="004F3035">
        <w:rPr>
          <w:rFonts w:ascii="Arial" w:hAnsi="Arial" w:cs="Arial"/>
        </w:rPr>
        <w:t xml:space="preserve"> diversity of </w:t>
      </w:r>
      <w:r w:rsidR="004F3035">
        <w:rPr>
          <w:rFonts w:ascii="Arial" w:hAnsi="Arial" w:cs="Arial"/>
        </w:rPr>
        <w:t xml:space="preserve">edible </w:t>
      </w:r>
      <w:r w:rsidRPr="004F3035">
        <w:rPr>
          <w:rFonts w:ascii="Arial" w:hAnsi="Arial" w:cs="Arial"/>
        </w:rPr>
        <w:t xml:space="preserve">species belonging to 25 plant families, with </w:t>
      </w:r>
      <w:proofErr w:type="spellStart"/>
      <w:r w:rsidRPr="004411B8">
        <w:rPr>
          <w:rFonts w:ascii="Arial" w:hAnsi="Arial" w:cs="Arial"/>
          <w:i/>
          <w:iCs/>
        </w:rPr>
        <w:t>Anacardiaceae</w:t>
      </w:r>
      <w:proofErr w:type="spellEnd"/>
      <w:r w:rsidRPr="004F3035">
        <w:rPr>
          <w:rFonts w:ascii="Arial" w:hAnsi="Arial" w:cs="Arial"/>
        </w:rPr>
        <w:t xml:space="preserve"> being the most cited, </w:t>
      </w:r>
      <w:r w:rsidR="004F3035">
        <w:rPr>
          <w:rFonts w:ascii="Arial" w:hAnsi="Arial" w:cs="Arial"/>
        </w:rPr>
        <w:t>mainly</w:t>
      </w:r>
      <w:r w:rsidRPr="004F3035">
        <w:rPr>
          <w:rFonts w:ascii="Arial" w:hAnsi="Arial" w:cs="Arial"/>
        </w:rPr>
        <w:t xml:space="preserve"> due to the prominence of </w:t>
      </w:r>
      <w:r w:rsidRPr="004411B8">
        <w:rPr>
          <w:rFonts w:ascii="Arial" w:hAnsi="Arial" w:cs="Arial"/>
          <w:i/>
          <w:iCs/>
        </w:rPr>
        <w:t>Mangifera</w:t>
      </w:r>
      <w:r w:rsidRPr="004F3035">
        <w:rPr>
          <w:rFonts w:ascii="Arial" w:hAnsi="Arial" w:cs="Arial"/>
        </w:rPr>
        <w:t xml:space="preserve"> </w:t>
      </w:r>
      <w:r w:rsidRPr="004411B8">
        <w:rPr>
          <w:rFonts w:ascii="Arial" w:hAnsi="Arial" w:cs="Arial"/>
          <w:i/>
          <w:iCs/>
        </w:rPr>
        <w:t>indica</w:t>
      </w:r>
      <w:r w:rsidRPr="004F3035">
        <w:rPr>
          <w:rFonts w:ascii="Arial" w:hAnsi="Arial" w:cs="Arial"/>
        </w:rPr>
        <w:t xml:space="preserve"> L. The</w:t>
      </w:r>
      <w:r w:rsidR="004F3035">
        <w:rPr>
          <w:rFonts w:ascii="Arial" w:hAnsi="Arial" w:cs="Arial"/>
        </w:rPr>
        <w:t>se</w:t>
      </w:r>
      <w:r w:rsidRPr="004F3035">
        <w:rPr>
          <w:rFonts w:ascii="Arial" w:hAnsi="Arial" w:cs="Arial"/>
        </w:rPr>
        <w:t xml:space="preserve"> plants are </w:t>
      </w:r>
      <w:r w:rsidR="004F3035">
        <w:rPr>
          <w:rFonts w:ascii="Arial" w:hAnsi="Arial" w:cs="Arial"/>
        </w:rPr>
        <w:t>domesticated</w:t>
      </w:r>
      <w:r w:rsidRPr="004F3035">
        <w:rPr>
          <w:rFonts w:ascii="Arial" w:hAnsi="Arial" w:cs="Arial"/>
        </w:rPr>
        <w:t xml:space="preserve"> for various rea</w:t>
      </w:r>
      <w:r w:rsidR="004F3035" w:rsidRPr="004F3035">
        <w:rPr>
          <w:rFonts w:ascii="Arial" w:hAnsi="Arial" w:cs="Arial"/>
        </w:rPr>
        <w:t>s</w:t>
      </w:r>
      <w:r w:rsidRPr="004F3035">
        <w:rPr>
          <w:rFonts w:ascii="Arial" w:hAnsi="Arial" w:cs="Arial"/>
        </w:rPr>
        <w:t>ons</w:t>
      </w:r>
      <w:r w:rsidR="004F3035">
        <w:rPr>
          <w:rFonts w:ascii="Arial" w:hAnsi="Arial" w:cs="Arial"/>
        </w:rPr>
        <w:t xml:space="preserve"> including</w:t>
      </w:r>
      <w:r w:rsidRPr="004F3035">
        <w:rPr>
          <w:rFonts w:ascii="Arial" w:hAnsi="Arial" w:cs="Arial"/>
        </w:rPr>
        <w:t xml:space="preserve"> </w:t>
      </w:r>
      <w:r w:rsidR="00EA398C" w:rsidRPr="00097F28">
        <w:rPr>
          <w:rFonts w:ascii="Arial" w:hAnsi="Arial" w:cs="Arial"/>
        </w:rPr>
        <w:t>nutrition, shade</w:t>
      </w:r>
      <w:r w:rsidR="004F3035">
        <w:rPr>
          <w:rFonts w:ascii="Arial" w:hAnsi="Arial" w:cs="Arial"/>
        </w:rPr>
        <w:t xml:space="preserve"> provision</w:t>
      </w:r>
      <w:r w:rsidR="00EA398C" w:rsidRPr="00097F28">
        <w:rPr>
          <w:rFonts w:ascii="Arial" w:hAnsi="Arial" w:cs="Arial"/>
        </w:rPr>
        <w:t xml:space="preserve">, and especially for its </w:t>
      </w:r>
      <w:r w:rsidR="004411B8">
        <w:rPr>
          <w:rFonts w:ascii="Arial" w:hAnsi="Arial" w:cs="Arial"/>
        </w:rPr>
        <w:t>medicinal</w:t>
      </w:r>
      <w:r w:rsidR="00EA398C" w:rsidRPr="00097F28">
        <w:rPr>
          <w:rFonts w:ascii="Arial" w:hAnsi="Arial" w:cs="Arial"/>
        </w:rPr>
        <w:t xml:space="preserve"> properties. The phytochemical analysis </w:t>
      </w:r>
      <w:r>
        <w:rPr>
          <w:rFonts w:ascii="Arial" w:hAnsi="Arial" w:cs="Arial"/>
        </w:rPr>
        <w:t>of</w:t>
      </w:r>
      <w:r w:rsidRPr="00097F28">
        <w:rPr>
          <w:rFonts w:ascii="Arial" w:hAnsi="Arial" w:cs="Arial"/>
        </w:rPr>
        <w:t xml:space="preserve"> the </w:t>
      </w:r>
      <w:r w:rsidRPr="00097F28">
        <w:rPr>
          <w:rFonts w:ascii="Arial" w:hAnsi="Arial" w:cs="Arial"/>
          <w:i/>
          <w:iCs/>
        </w:rPr>
        <w:t>M</w:t>
      </w:r>
      <w:r>
        <w:rPr>
          <w:rFonts w:ascii="Arial" w:hAnsi="Arial" w:cs="Arial"/>
          <w:i/>
          <w:iCs/>
        </w:rPr>
        <w:t>.</w:t>
      </w:r>
      <w:r w:rsidRPr="00097F28">
        <w:rPr>
          <w:rFonts w:ascii="Arial" w:hAnsi="Arial" w:cs="Arial"/>
          <w:i/>
          <w:iCs/>
        </w:rPr>
        <w:t xml:space="preserve"> indica</w:t>
      </w:r>
      <w:r>
        <w:rPr>
          <w:rFonts w:ascii="Arial" w:hAnsi="Arial" w:cs="Arial"/>
        </w:rPr>
        <w:t>,</w:t>
      </w:r>
      <w:r w:rsidRPr="00097F28">
        <w:rPr>
          <w:rFonts w:ascii="Arial" w:hAnsi="Arial" w:cs="Arial"/>
        </w:rPr>
        <w:t xml:space="preserve"> </w:t>
      </w:r>
      <w:r w:rsidR="004411B8">
        <w:rPr>
          <w:rFonts w:ascii="Arial" w:hAnsi="Arial" w:cs="Arial"/>
        </w:rPr>
        <w:t xml:space="preserve">a valued plant identified among the edible plants, </w:t>
      </w:r>
      <w:r w:rsidR="00EA398C" w:rsidRPr="00097F28">
        <w:rPr>
          <w:rFonts w:ascii="Arial" w:hAnsi="Arial" w:cs="Arial"/>
        </w:rPr>
        <w:t xml:space="preserve">highlighted the presence of numerous phytochemical groups which </w:t>
      </w:r>
      <w:r w:rsidR="0050493B" w:rsidRPr="00097F28">
        <w:rPr>
          <w:rFonts w:ascii="Arial" w:hAnsi="Arial" w:cs="Arial"/>
        </w:rPr>
        <w:t xml:space="preserve">reinforce </w:t>
      </w:r>
      <w:r w:rsidR="00EA398C" w:rsidRPr="00097F28">
        <w:rPr>
          <w:rFonts w:ascii="Arial" w:hAnsi="Arial" w:cs="Arial"/>
        </w:rPr>
        <w:t xml:space="preserve">the antioxidant and antidiabetic potential of </w:t>
      </w:r>
      <w:r w:rsidR="00EA398C" w:rsidRPr="00097F28">
        <w:rPr>
          <w:rFonts w:ascii="Arial" w:hAnsi="Arial" w:cs="Arial"/>
          <w:i/>
          <w:iCs/>
        </w:rPr>
        <w:t>M</w:t>
      </w:r>
      <w:r w:rsidR="000524B6" w:rsidRPr="00097F28">
        <w:rPr>
          <w:rFonts w:ascii="Arial" w:hAnsi="Arial" w:cs="Arial"/>
          <w:i/>
          <w:iCs/>
        </w:rPr>
        <w:t>.</w:t>
      </w:r>
      <w:r w:rsidR="00EA398C" w:rsidRPr="00097F28">
        <w:rPr>
          <w:rFonts w:ascii="Arial" w:hAnsi="Arial" w:cs="Arial"/>
          <w:i/>
          <w:iCs/>
        </w:rPr>
        <w:t xml:space="preserve"> indica.</w:t>
      </w:r>
      <w:r w:rsidR="00EA398C" w:rsidRPr="00097F28">
        <w:rPr>
          <w:rFonts w:ascii="Arial" w:hAnsi="Arial" w:cs="Arial"/>
        </w:rPr>
        <w:t xml:space="preserve"> </w:t>
      </w:r>
      <w:r w:rsidR="004411B8">
        <w:rPr>
          <w:rFonts w:ascii="Arial" w:hAnsi="Arial" w:cs="Arial"/>
        </w:rPr>
        <w:t>Together, t</w:t>
      </w:r>
      <w:r w:rsidR="00EA398C" w:rsidRPr="00097F28">
        <w:rPr>
          <w:rFonts w:ascii="Arial" w:hAnsi="Arial" w:cs="Arial"/>
        </w:rPr>
        <w:t xml:space="preserve">hese results help to </w:t>
      </w:r>
      <w:r w:rsidR="004411B8">
        <w:rPr>
          <w:rFonts w:ascii="Arial" w:hAnsi="Arial" w:cs="Arial"/>
        </w:rPr>
        <w:t>explain</w:t>
      </w:r>
      <w:r w:rsidR="00EA398C" w:rsidRPr="00097F28">
        <w:rPr>
          <w:rFonts w:ascii="Arial" w:hAnsi="Arial" w:cs="Arial"/>
        </w:rPr>
        <w:t xml:space="preserve"> the increasing </w:t>
      </w:r>
      <w:r w:rsidR="004F3035">
        <w:rPr>
          <w:rFonts w:ascii="Arial" w:hAnsi="Arial" w:cs="Arial"/>
        </w:rPr>
        <w:t>domestication</w:t>
      </w:r>
      <w:r w:rsidR="00EA398C" w:rsidRPr="00097F28">
        <w:rPr>
          <w:rFonts w:ascii="Arial" w:hAnsi="Arial" w:cs="Arial"/>
        </w:rPr>
        <w:t xml:space="preserve"> of </w:t>
      </w:r>
      <w:r w:rsidR="004F3035">
        <w:rPr>
          <w:rFonts w:ascii="Arial" w:hAnsi="Arial" w:cs="Arial"/>
        </w:rPr>
        <w:t xml:space="preserve">edible plants such as </w:t>
      </w:r>
      <w:r w:rsidR="000524B6" w:rsidRPr="00097F28">
        <w:rPr>
          <w:rFonts w:ascii="Arial" w:hAnsi="Arial" w:cs="Arial"/>
          <w:i/>
          <w:iCs/>
        </w:rPr>
        <w:t>M. indica</w:t>
      </w:r>
      <w:r w:rsidR="00EA398C" w:rsidRPr="00097F28">
        <w:rPr>
          <w:rFonts w:ascii="Arial" w:hAnsi="Arial" w:cs="Arial"/>
        </w:rPr>
        <w:t xml:space="preserve"> in the traditional management of </w:t>
      </w:r>
      <w:r w:rsidR="004F3035">
        <w:rPr>
          <w:rFonts w:ascii="Arial" w:hAnsi="Arial" w:cs="Arial"/>
        </w:rPr>
        <w:t>metabolic diseases</w:t>
      </w:r>
      <w:r w:rsidR="004411B8">
        <w:rPr>
          <w:rFonts w:ascii="Arial" w:hAnsi="Arial" w:cs="Arial"/>
        </w:rPr>
        <w:t>, particularly</w:t>
      </w:r>
      <w:r w:rsidR="004F3035">
        <w:rPr>
          <w:rFonts w:ascii="Arial" w:hAnsi="Arial" w:cs="Arial"/>
        </w:rPr>
        <w:t xml:space="preserve"> </w:t>
      </w:r>
      <w:r w:rsidR="00EA398C" w:rsidRPr="00097F28">
        <w:rPr>
          <w:rFonts w:ascii="Arial" w:hAnsi="Arial" w:cs="Arial"/>
        </w:rPr>
        <w:t xml:space="preserve">diabetes, in addition to </w:t>
      </w:r>
      <w:r w:rsidR="004411B8">
        <w:rPr>
          <w:rFonts w:ascii="Arial" w:hAnsi="Arial" w:cs="Arial"/>
        </w:rPr>
        <w:t>their</w:t>
      </w:r>
      <w:r w:rsidR="00EA398C" w:rsidRPr="00097F28">
        <w:rPr>
          <w:rFonts w:ascii="Arial" w:hAnsi="Arial" w:cs="Arial"/>
        </w:rPr>
        <w:t xml:space="preserve"> </w:t>
      </w:r>
      <w:r w:rsidR="004411B8">
        <w:rPr>
          <w:rFonts w:ascii="Arial" w:hAnsi="Arial" w:cs="Arial"/>
        </w:rPr>
        <w:t>broader</w:t>
      </w:r>
      <w:r w:rsidR="00EA398C" w:rsidRPr="00097F28">
        <w:rPr>
          <w:rFonts w:ascii="Arial" w:hAnsi="Arial" w:cs="Arial"/>
        </w:rPr>
        <w:t xml:space="preserve"> </w:t>
      </w:r>
      <w:r w:rsidR="004411B8" w:rsidRPr="004411B8">
        <w:rPr>
          <w:rFonts w:ascii="Arial" w:hAnsi="Arial" w:cs="Arial"/>
        </w:rPr>
        <w:t>household benefits in Bamako and surrounding areas</w:t>
      </w:r>
      <w:r w:rsidR="00EA398C" w:rsidRPr="00097F28">
        <w:rPr>
          <w:rFonts w:ascii="Arial" w:hAnsi="Arial" w:cs="Arial"/>
        </w:rPr>
        <w:t>.</w:t>
      </w:r>
      <w:r w:rsidR="00FC76A0" w:rsidRPr="00097F28">
        <w:rPr>
          <w:rFonts w:ascii="Arial" w:hAnsi="Arial" w:cs="Arial"/>
        </w:rPr>
        <w:t xml:space="preserve"> Future studies should focus on the quantitative determination of the major phytochemical groups identified in </w:t>
      </w:r>
      <w:r w:rsidR="000524B6" w:rsidRPr="00097F28">
        <w:rPr>
          <w:rFonts w:ascii="Arial" w:hAnsi="Arial" w:cs="Arial"/>
          <w:i/>
          <w:iCs/>
        </w:rPr>
        <w:t>M. indica</w:t>
      </w:r>
      <w:r w:rsidR="004411B8">
        <w:rPr>
          <w:rFonts w:ascii="Arial" w:hAnsi="Arial" w:cs="Arial"/>
          <w:i/>
          <w:iCs/>
        </w:rPr>
        <w:t xml:space="preserve">, </w:t>
      </w:r>
      <w:r w:rsidR="004411B8" w:rsidRPr="004411B8">
        <w:rPr>
          <w:rFonts w:ascii="Arial" w:hAnsi="Arial" w:cs="Arial"/>
        </w:rPr>
        <w:t>as well as</w:t>
      </w:r>
      <w:r w:rsidR="00FC76A0" w:rsidRPr="00097F28">
        <w:rPr>
          <w:rFonts w:ascii="Arial" w:hAnsi="Arial" w:cs="Arial"/>
        </w:rPr>
        <w:t xml:space="preserve"> </w:t>
      </w:r>
      <w:r w:rsidR="004411B8">
        <w:rPr>
          <w:rFonts w:ascii="Arial" w:hAnsi="Arial" w:cs="Arial"/>
        </w:rPr>
        <w:t xml:space="preserve">on the biochemical </w:t>
      </w:r>
      <w:r w:rsidR="00543A42" w:rsidRPr="00097F28">
        <w:rPr>
          <w:rFonts w:ascii="Arial" w:hAnsi="Arial" w:cs="Arial"/>
        </w:rPr>
        <w:t>characterization o</w:t>
      </w:r>
      <w:r w:rsidR="004411B8">
        <w:rPr>
          <w:rFonts w:ascii="Arial" w:hAnsi="Arial" w:cs="Arial"/>
        </w:rPr>
        <w:t>f</w:t>
      </w:r>
      <w:r w:rsidR="00543A42" w:rsidRPr="00097F28">
        <w:rPr>
          <w:rFonts w:ascii="Arial" w:hAnsi="Arial" w:cs="Arial"/>
        </w:rPr>
        <w:t xml:space="preserve"> </w:t>
      </w:r>
      <w:r w:rsidR="004F3035">
        <w:rPr>
          <w:rFonts w:ascii="Arial" w:hAnsi="Arial" w:cs="Arial"/>
        </w:rPr>
        <w:t xml:space="preserve">domesticated </w:t>
      </w:r>
      <w:r w:rsidR="00543A42" w:rsidRPr="00097F28">
        <w:rPr>
          <w:rFonts w:ascii="Arial" w:hAnsi="Arial" w:cs="Arial"/>
        </w:rPr>
        <w:t>edible</w:t>
      </w:r>
      <w:r w:rsidR="00543A42">
        <w:rPr>
          <w:rFonts w:ascii="Arial" w:hAnsi="Arial" w:cs="Arial"/>
        </w:rPr>
        <w:t xml:space="preserve"> plants</w:t>
      </w:r>
      <w:r w:rsidR="004411B8">
        <w:rPr>
          <w:rFonts w:ascii="Arial" w:hAnsi="Arial" w:cs="Arial"/>
        </w:rPr>
        <w:t>.</w:t>
      </w:r>
      <w:r w:rsidR="00543A42">
        <w:rPr>
          <w:rFonts w:ascii="Arial" w:hAnsi="Arial" w:cs="Arial"/>
        </w:rPr>
        <w:t xml:space="preserve"> </w:t>
      </w:r>
      <w:r w:rsidR="004411B8" w:rsidRPr="004411B8">
        <w:rPr>
          <w:rFonts w:ascii="Arial" w:hAnsi="Arial" w:cs="Arial"/>
        </w:rPr>
        <w:t>Further evaluation and comparison of their inhibitory effects on α-amylase and other key metabolic enzymes would also be valuable to better assess their therapeutic potential.</w:t>
      </w:r>
      <w:r w:rsidR="000524B6">
        <w:rPr>
          <w:rFonts w:ascii="Arial" w:hAnsi="Arial" w:cs="Arial"/>
        </w:rPr>
        <w:t xml:space="preserve"> </w:t>
      </w:r>
    </w:p>
    <w:p w14:paraId="4E02B212" w14:textId="77777777" w:rsidR="002B685A" w:rsidRDefault="002B685A" w:rsidP="00441B6F">
      <w:pPr>
        <w:pStyle w:val="ReferHead"/>
        <w:spacing w:after="0"/>
        <w:jc w:val="both"/>
        <w:rPr>
          <w:rFonts w:ascii="Arial" w:hAnsi="Arial" w:cs="Arial"/>
          <w:b w:val="0"/>
          <w:caps w:val="0"/>
          <w:sz w:val="20"/>
        </w:rPr>
      </w:pPr>
      <w:bookmarkStart w:id="11" w:name="_GoBack"/>
      <w:bookmarkEnd w:id="11"/>
    </w:p>
    <w:p w14:paraId="587630C2" w14:textId="76799F24" w:rsidR="002B685A" w:rsidRDefault="002B685A" w:rsidP="00441B6F">
      <w:pPr>
        <w:pStyle w:val="ReferHead"/>
        <w:spacing w:after="0"/>
        <w:jc w:val="both"/>
        <w:rPr>
          <w:rFonts w:ascii="Arial" w:hAnsi="Arial" w:cs="Arial"/>
          <w:bCs/>
        </w:rPr>
      </w:pPr>
      <w:r w:rsidRPr="002B685A">
        <w:rPr>
          <w:rFonts w:ascii="Arial" w:hAnsi="Arial" w:cs="Arial"/>
          <w:bCs/>
        </w:rPr>
        <w:t>Consent</w:t>
      </w:r>
    </w:p>
    <w:p w14:paraId="4939629C" w14:textId="77777777" w:rsidR="002B685A" w:rsidRPr="002B685A" w:rsidRDefault="002B685A" w:rsidP="00441B6F">
      <w:pPr>
        <w:pStyle w:val="ReferHead"/>
        <w:spacing w:after="0"/>
        <w:jc w:val="both"/>
        <w:rPr>
          <w:rFonts w:ascii="Arial" w:hAnsi="Arial" w:cs="Arial"/>
          <w:bCs/>
        </w:rPr>
      </w:pPr>
    </w:p>
    <w:p w14:paraId="2333662B" w14:textId="5A8CCA0B" w:rsidR="001A29D8" w:rsidRDefault="00CB26DB" w:rsidP="00441B6F">
      <w:pPr>
        <w:pStyle w:val="ReferHead"/>
        <w:spacing w:after="0"/>
        <w:jc w:val="both"/>
        <w:rPr>
          <w:rFonts w:ascii="Arial" w:hAnsi="Arial" w:cs="Arial"/>
          <w:b w:val="0"/>
          <w:caps w:val="0"/>
          <w:sz w:val="20"/>
        </w:rPr>
      </w:pPr>
      <w:r w:rsidRPr="00CB26DB">
        <w:rPr>
          <w:rFonts w:ascii="Arial" w:hAnsi="Arial" w:cs="Arial"/>
          <w:b w:val="0"/>
          <w:caps w:val="0"/>
          <w:sz w:val="20"/>
        </w:rPr>
        <w:t>Prior informed consent was obtained from all participants before data collection. The purpose of the study was clearly explained, participation was voluntary, and participants were informed of their right to withdraw at any stage. To ensure confidentiality, no personal identifiers are disclosed.</w:t>
      </w:r>
      <w:r>
        <w:rPr>
          <w:rFonts w:ascii="Arial" w:hAnsi="Arial" w:cs="Arial"/>
          <w:b w:val="0"/>
          <w:caps w:val="0"/>
          <w:sz w:val="20"/>
        </w:rPr>
        <w:t xml:space="preserve"> </w:t>
      </w:r>
    </w:p>
    <w:p w14:paraId="331C4A95" w14:textId="77777777" w:rsidR="00B21B9C" w:rsidRDefault="00B21B9C" w:rsidP="00441B6F">
      <w:pPr>
        <w:pStyle w:val="ReferHead"/>
        <w:spacing w:after="0"/>
        <w:jc w:val="both"/>
        <w:rPr>
          <w:rFonts w:ascii="Arial" w:hAnsi="Arial" w:cs="Arial"/>
          <w:b w:val="0"/>
          <w:caps w:val="0"/>
          <w:sz w:val="20"/>
        </w:rPr>
      </w:pPr>
    </w:p>
    <w:p w14:paraId="38291C54" w14:textId="77777777" w:rsidR="00B21B9C" w:rsidRPr="00B21B9C" w:rsidRDefault="00B21B9C" w:rsidP="00B21B9C">
      <w:pPr>
        <w:pStyle w:val="ReferHead"/>
        <w:jc w:val="both"/>
        <w:rPr>
          <w:rFonts w:ascii="Arial" w:hAnsi="Arial" w:cs="Arial"/>
          <w:bCs/>
          <w:caps w:val="0"/>
          <w:sz w:val="20"/>
        </w:rPr>
      </w:pPr>
      <w:r w:rsidRPr="00B21B9C">
        <w:rPr>
          <w:rFonts w:ascii="Arial" w:hAnsi="Arial" w:cs="Arial"/>
          <w:bCs/>
          <w:caps w:val="0"/>
          <w:sz w:val="20"/>
        </w:rPr>
        <w:t>DISCLAIMER (ARTIFICIAL INTELLIGENCE)</w:t>
      </w:r>
    </w:p>
    <w:p w14:paraId="1913A23B" w14:textId="3C0AC58E" w:rsidR="00B21B9C" w:rsidRPr="00B21B9C" w:rsidRDefault="00B21B9C" w:rsidP="00B21B9C">
      <w:pPr>
        <w:pStyle w:val="ReferHead"/>
        <w:jc w:val="both"/>
        <w:rPr>
          <w:rFonts w:ascii="Arial" w:hAnsi="Arial" w:cs="Arial"/>
          <w:b w:val="0"/>
          <w:caps w:val="0"/>
          <w:sz w:val="20"/>
        </w:rPr>
      </w:pPr>
      <w:r w:rsidRPr="00B21B9C">
        <w:rPr>
          <w:rFonts w:ascii="Arial" w:hAnsi="Arial" w:cs="Arial"/>
          <w:b w:val="0"/>
          <w:caps w:val="0"/>
          <w:sz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438368" w14:textId="77777777" w:rsidR="00B21B9C" w:rsidRPr="00B21B9C" w:rsidRDefault="00B21B9C" w:rsidP="00B21B9C">
      <w:pPr>
        <w:pStyle w:val="ReferHead"/>
        <w:jc w:val="both"/>
        <w:rPr>
          <w:rFonts w:ascii="Arial" w:hAnsi="Arial" w:cs="Arial"/>
          <w:bCs/>
          <w:caps w:val="0"/>
          <w:sz w:val="20"/>
        </w:rPr>
      </w:pPr>
      <w:r w:rsidRPr="00B21B9C">
        <w:rPr>
          <w:rFonts w:ascii="Arial" w:hAnsi="Arial" w:cs="Arial"/>
          <w:bCs/>
          <w:caps w:val="0"/>
          <w:sz w:val="20"/>
        </w:rPr>
        <w:t>Details of the AI usage are given below:</w:t>
      </w:r>
    </w:p>
    <w:p w14:paraId="0028ED29" w14:textId="5739A8D0" w:rsidR="00B21B9C" w:rsidRPr="00CB26DB" w:rsidRDefault="00B21B9C" w:rsidP="00B21B9C">
      <w:pPr>
        <w:pStyle w:val="ReferHead"/>
        <w:spacing w:after="0"/>
        <w:jc w:val="both"/>
        <w:rPr>
          <w:rFonts w:ascii="Arial" w:hAnsi="Arial" w:cs="Arial"/>
          <w:b w:val="0"/>
          <w:caps w:val="0"/>
          <w:sz w:val="20"/>
        </w:rPr>
      </w:pPr>
      <w:r w:rsidRPr="00B21B9C">
        <w:rPr>
          <w:rFonts w:ascii="Arial" w:hAnsi="Arial" w:cs="Arial"/>
          <w:b w:val="0"/>
          <w:caps w:val="0"/>
          <w:sz w:val="20"/>
        </w:rPr>
        <w:t>We disclose that ChatGPT (OpenAI, GPT-4) was used during the preparation of this manuscript</w:t>
      </w:r>
      <w:r>
        <w:rPr>
          <w:rFonts w:ascii="Arial" w:hAnsi="Arial" w:cs="Arial"/>
          <w:b w:val="0"/>
          <w:caps w:val="0"/>
          <w:sz w:val="20"/>
        </w:rPr>
        <w:t xml:space="preserve"> </w:t>
      </w:r>
      <w:r w:rsidRPr="00B21B9C">
        <w:rPr>
          <w:rFonts w:ascii="Arial" w:hAnsi="Arial" w:cs="Arial"/>
          <w:b w:val="0"/>
          <w:caps w:val="0"/>
          <w:sz w:val="20"/>
        </w:rPr>
        <w:t>to assist in improving the quality of written English, including grammar, clarity, and style.</w:t>
      </w:r>
    </w:p>
    <w:p w14:paraId="05E33892" w14:textId="77777777" w:rsidR="001A29D8" w:rsidRDefault="001A29D8" w:rsidP="00441B6F">
      <w:pPr>
        <w:pStyle w:val="ReferHead"/>
        <w:spacing w:after="0"/>
        <w:jc w:val="both"/>
        <w:rPr>
          <w:rFonts w:ascii="Arial" w:hAnsi="Arial" w:cs="Arial"/>
          <w:b w:val="0"/>
          <w:caps w:val="0"/>
          <w:sz w:val="20"/>
        </w:rPr>
      </w:pPr>
    </w:p>
    <w:p w14:paraId="78FDEE4F" w14:textId="77777777" w:rsidR="005C784C" w:rsidRDefault="005C784C" w:rsidP="00441B6F">
      <w:pPr>
        <w:pStyle w:val="ReferHead"/>
        <w:spacing w:after="0"/>
        <w:jc w:val="both"/>
        <w:rPr>
          <w:rFonts w:ascii="Arial" w:hAnsi="Arial" w:cs="Arial"/>
          <w:b w:val="0"/>
          <w:caps w:val="0"/>
          <w:sz w:val="20"/>
        </w:rPr>
      </w:pPr>
    </w:p>
    <w:p w14:paraId="7952C5B8" w14:textId="77777777" w:rsidR="00B21B9C" w:rsidRPr="00B21B9C" w:rsidRDefault="00B21B9C" w:rsidP="00441B6F">
      <w:pPr>
        <w:pStyle w:val="ReferHead"/>
        <w:spacing w:after="0"/>
        <w:jc w:val="both"/>
        <w:rPr>
          <w:rFonts w:ascii="Arial" w:hAnsi="Arial" w:cs="Arial"/>
          <w:b w:val="0"/>
          <w:caps w:val="0"/>
          <w:sz w:val="20"/>
        </w:rPr>
      </w:pPr>
    </w:p>
    <w:p w14:paraId="104BC575" w14:textId="77777777" w:rsidR="00B01FCD" w:rsidRDefault="00B01FCD" w:rsidP="00CB26DB">
      <w:pPr>
        <w:pStyle w:val="ReferHead"/>
        <w:spacing w:after="0"/>
        <w:jc w:val="both"/>
        <w:outlineLvl w:val="0"/>
        <w:rPr>
          <w:rFonts w:ascii="Arial" w:hAnsi="Arial" w:cs="Arial"/>
        </w:rPr>
      </w:pPr>
      <w:r w:rsidRPr="00FB3A86">
        <w:rPr>
          <w:rFonts w:ascii="Arial" w:hAnsi="Arial" w:cs="Arial"/>
        </w:rPr>
        <w:t>References</w:t>
      </w:r>
    </w:p>
    <w:p w14:paraId="45E2D2D3" w14:textId="77777777" w:rsidR="00790ADA" w:rsidRPr="00FB3A86" w:rsidRDefault="00790ADA" w:rsidP="001F7E86">
      <w:pPr>
        <w:pStyle w:val="ReferHead"/>
        <w:jc w:val="both"/>
        <w:rPr>
          <w:rFonts w:ascii="Arial" w:hAnsi="Arial" w:cs="Arial"/>
        </w:rPr>
      </w:pPr>
    </w:p>
    <w:p w14:paraId="0ABAB976" w14:textId="5FAE42DD" w:rsidR="00B21B9C" w:rsidRPr="00520245" w:rsidRDefault="00B21B9C" w:rsidP="00520245">
      <w:pPr>
        <w:widowControl w:val="0"/>
        <w:autoSpaceDE w:val="0"/>
        <w:autoSpaceDN w:val="0"/>
        <w:adjustRightInd w:val="0"/>
        <w:spacing w:after="240"/>
        <w:rPr>
          <w:rFonts w:cs="Helvetica"/>
          <w:noProof/>
        </w:rPr>
      </w:pPr>
      <w:r>
        <w:fldChar w:fldCharType="begin" w:fldLock="1"/>
      </w:r>
      <w:r>
        <w:instrText xml:space="preserve">ADDIN Mendeley Bibliography CSL_BIBLIOGRAPHY </w:instrText>
      </w:r>
      <w:r>
        <w:fldChar w:fldCharType="separate"/>
      </w:r>
      <w:r w:rsidRPr="00520245">
        <w:rPr>
          <w:rFonts w:cs="Helvetica"/>
          <w:noProof/>
        </w:rPr>
        <w:t xml:space="preserve">1. </w:t>
      </w:r>
      <w:r w:rsidRPr="00520245">
        <w:rPr>
          <w:rFonts w:cs="Helvetica"/>
          <w:noProof/>
        </w:rPr>
        <w:tab/>
      </w:r>
      <w:r w:rsidR="00840ECC" w:rsidRPr="00520245">
        <w:rPr>
          <w:rFonts w:cs="Helvetica"/>
          <w:noProof/>
        </w:rPr>
        <w:t>Lamy, E. (2024). Ethnobotany: Preserving Plants Cultural Significance for Sustainable Medicine and Conservation. *Medicinal &amp; Aromatic Plants*, *13*(3), 1-2. https://doi.org/10.35248/2167-0412.24.13.498</w:t>
      </w:r>
    </w:p>
    <w:p w14:paraId="3869A761" w14:textId="0F6CC2F1"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 </w:t>
      </w:r>
      <w:r w:rsidRPr="00520245">
        <w:rPr>
          <w:rFonts w:cs="Helvetica"/>
          <w:noProof/>
        </w:rPr>
        <w:tab/>
      </w:r>
      <w:r w:rsidR="00840ECC" w:rsidRPr="00520245">
        <w:rPr>
          <w:rFonts w:cs="Helvetica"/>
          <w:noProof/>
        </w:rPr>
        <w:t>Essandoh, P. K., Dali, G. L. A., &amp; Bryant, I. M. (2023). Medicinal plant use and integration of traditional healers into health care system: A case study at Ankasa Forest Reserve and catchment communities in Ghana. Ethnobotany Research and Applications, 26(15), 1–24. https://doi.org/10.32859/era.26.15.1-24</w:t>
      </w:r>
    </w:p>
    <w:p w14:paraId="484700F7" w14:textId="41A525FB"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3. </w:t>
      </w:r>
      <w:r w:rsidRPr="00520245">
        <w:rPr>
          <w:rFonts w:cs="Helvetica"/>
          <w:noProof/>
        </w:rPr>
        <w:tab/>
      </w:r>
      <w:r w:rsidR="00840ECC" w:rsidRPr="00520245">
        <w:rPr>
          <w:rFonts w:cs="Helvetica"/>
          <w:noProof/>
        </w:rPr>
        <w:t>Perumal, G. (2010). Ethnomedicinal Use of Pteridophyte from Kolli Hills, Namakkal District, Tamil Nadu, India. Ethnobotanical Leaflets https://opensiuc.lib.siu.edu/ebl/vol2010/iss2/5/</w:t>
      </w:r>
    </w:p>
    <w:p w14:paraId="3CC878DB" w14:textId="77777777" w:rsidR="00840ECC" w:rsidRPr="00520245" w:rsidRDefault="00B21B9C" w:rsidP="00520245">
      <w:pPr>
        <w:widowControl w:val="0"/>
        <w:autoSpaceDE w:val="0"/>
        <w:autoSpaceDN w:val="0"/>
        <w:adjustRightInd w:val="0"/>
        <w:spacing w:after="240"/>
        <w:rPr>
          <w:rFonts w:cs="Helvetica"/>
          <w:noProof/>
          <w:lang w:val="fr-FR"/>
        </w:rPr>
      </w:pPr>
      <w:r w:rsidRPr="00520245">
        <w:rPr>
          <w:rFonts w:cs="Helvetica"/>
          <w:noProof/>
          <w:lang w:val="fr-FR"/>
        </w:rPr>
        <w:t xml:space="preserve">4. </w:t>
      </w:r>
      <w:r w:rsidRPr="00520245">
        <w:rPr>
          <w:rFonts w:cs="Helvetica"/>
          <w:noProof/>
          <w:lang w:val="fr-FR"/>
        </w:rPr>
        <w:tab/>
      </w:r>
      <w:r w:rsidR="00840ECC" w:rsidRPr="00520245">
        <w:rPr>
          <w:rFonts w:cs="Helvetica"/>
          <w:noProof/>
          <w:lang w:val="fr-FR"/>
        </w:rPr>
        <w:t>Dembélé, F., Samaké, S., Togola, I., &amp; Karembé, M. (2021). Etudes ethnobotanique et phytochimique d'espèces ornementales utilisées au Mali: cas de Terminalia catappa (L.) dans le district de Bamako. International Journal of Applied Research, 7(6), 01–07. https://doi.org/10.22271/allresearch.2021.v7.i6a.8616</w:t>
      </w:r>
    </w:p>
    <w:p w14:paraId="0DCCFBB7" w14:textId="7888CB5A"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lastRenderedPageBreak/>
        <w:t xml:space="preserve">5. </w:t>
      </w:r>
      <w:r w:rsidRPr="00520245">
        <w:rPr>
          <w:rFonts w:cs="Helvetica"/>
          <w:noProof/>
          <w:lang w:val="fr-FR"/>
        </w:rPr>
        <w:tab/>
      </w:r>
      <w:r w:rsidR="00840ECC" w:rsidRPr="00520245">
        <w:rPr>
          <w:rFonts w:cs="Helvetica"/>
          <w:noProof/>
          <w:lang w:val="fr-FR"/>
        </w:rPr>
        <w:t>Samake, S., Togola, I., Diarra, N., Samake, M., &amp; Sanogo, R. (2020). Etude Ethnobotanique Et Screening Phytochimique De Plantes Ornementales A Usage Therapeutique Du District De Bamako, Mali. International Journal of Advanced Research, 8, 251–262. https://doi.org/10.21474/IJAR01/11487</w:t>
      </w:r>
    </w:p>
    <w:p w14:paraId="0BE14E83" w14:textId="7C34EDD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6. </w:t>
      </w:r>
      <w:r w:rsidRPr="00520245">
        <w:rPr>
          <w:rFonts w:cs="Helvetica"/>
          <w:noProof/>
        </w:rPr>
        <w:tab/>
      </w:r>
      <w:r w:rsidR="00840ECC" w:rsidRPr="00520245">
        <w:rPr>
          <w:rFonts w:cs="Helvetica"/>
          <w:noProof/>
        </w:rPr>
        <w:t>Diawara, A., Coulibaly, D. M., Hussain, T. Y. A., Cisse, C., Li, J., Wele, M., Diakite, M., Traore, K., Doumbia, S. O., &amp; Shaffer, J. G. (2023). Type 2 diabetes prevalence, awareness, and risk factors in rural Mali: a cross-sectional study. Scientific Reports, 13(1), 3718. https://doi.org/10.1038/s41598-023-29743-1</w:t>
      </w:r>
    </w:p>
    <w:p w14:paraId="5D8D9F73" w14:textId="5B841531"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7. </w:t>
      </w:r>
      <w:r w:rsidRPr="00520245">
        <w:rPr>
          <w:rFonts w:cs="Helvetica"/>
          <w:noProof/>
        </w:rPr>
        <w:tab/>
        <w:t>D</w:t>
      </w:r>
      <w:r w:rsidR="00840ECC" w:rsidRPr="00520245">
        <w:rPr>
          <w:rFonts w:cs="Helvetica"/>
          <w:noProof/>
        </w:rPr>
        <w:t>Diawara, A., Traore, M., Diabaté, O., Kintu, C., Saeed, A. A., Abiola, J. O., Cisse, C., Traore, K., Wele, M., Nash, O., Doumbia, S. O., Abbas, T. Y., Shaffer, J. G., Diakité, M., Fatumo, S., &amp; Soremekun, O. (2024). Genetically proxied inhibition of kidney function pathways and increased risk of type 2 diabetes in Africans: A Mendelian randomization study. Res Sq. https://doi.org/10.21203/rs.3.rs-3956597/v1</w:t>
      </w:r>
    </w:p>
    <w:p w14:paraId="1D2AF0E5" w14:textId="4F7160AD"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8. </w:t>
      </w:r>
      <w:r w:rsidRPr="00520245">
        <w:rPr>
          <w:rFonts w:cs="Helvetica"/>
          <w:noProof/>
        </w:rPr>
        <w:tab/>
      </w:r>
      <w:r w:rsidR="00840ECC" w:rsidRPr="00520245">
        <w:rPr>
          <w:rFonts w:cs="Helvetica"/>
          <w:noProof/>
        </w:rPr>
        <w:t>International Diabetes Federation. (2025). *IDF Diabetes Atlas (11th ed.)*. Brussels, Belgium: International Diabetes Federation. https://diabetesatlas.org/resources/idf-diabetes-atlas-2025/</w:t>
      </w:r>
    </w:p>
    <w:p w14:paraId="13684D2C" w14:textId="58EE787B"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lang w:val="fr-FR"/>
        </w:rPr>
        <w:t xml:space="preserve">9. </w:t>
      </w:r>
      <w:r w:rsidRPr="00520245">
        <w:rPr>
          <w:rFonts w:cs="Helvetica"/>
          <w:noProof/>
          <w:lang w:val="fr-FR"/>
        </w:rPr>
        <w:tab/>
      </w:r>
      <w:r w:rsidR="00840ECC" w:rsidRPr="00520245">
        <w:rPr>
          <w:rFonts w:cs="Helvetica"/>
          <w:noProof/>
          <w:lang w:val="fr-FR"/>
        </w:rPr>
        <w:t>Goedecke, J. H., &amp; Mendham, A. E. (2022). Pathophysiology of type 2 diabetes in sub-Saharan Africans. Diabetologia, 65, 1967–1980. https://doi.org/10.1007/s00125-022-05795-2</w:t>
      </w:r>
    </w:p>
    <w:p w14:paraId="23654B81" w14:textId="3E7F4A66"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10. </w:t>
      </w:r>
      <w:r w:rsidRPr="00520245">
        <w:rPr>
          <w:rFonts w:cs="Helvetica"/>
          <w:noProof/>
          <w:lang w:val="fr-FR"/>
        </w:rPr>
        <w:tab/>
      </w:r>
      <w:r w:rsidR="00840ECC" w:rsidRPr="00520245">
        <w:rPr>
          <w:rFonts w:cs="Helvetica"/>
          <w:noProof/>
          <w:lang w:val="fr-FR"/>
        </w:rPr>
        <w:t>Motala, A. A., Mbanya, J. C., Ramaiya, K., Pirie, F. J., &amp; Ekoru, K. (2022). Type 2 diabetes mellitus in sub-Saharan Africa: challenges and opportunities. Nature Reviews Endocrinology, 18(4), 219–229. https://doi.org/10.1038/s41574-021-00613-y</w:t>
      </w:r>
    </w:p>
    <w:p w14:paraId="000E6863" w14:textId="5F8CFA78"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11. </w:t>
      </w:r>
      <w:r w:rsidRPr="00520245">
        <w:rPr>
          <w:rFonts w:cs="Helvetica"/>
          <w:noProof/>
        </w:rPr>
        <w:tab/>
      </w:r>
      <w:r w:rsidR="00840ECC" w:rsidRPr="00520245">
        <w:rPr>
          <w:rFonts w:cs="Helvetica"/>
          <w:noProof/>
        </w:rPr>
        <w:t>Konaré, M. A., Diarra, N., Cissé, C., Traoré, D. A. K., Togola, I., Kassogué, A., Sanogo, R., &amp; Ouattara, A. S. (2020). Evaluation of the biological activities of leaf and bark extracts of Ficus platiphylla Delile, a medicinal plant used in Mali. Journal of Medicinal Plants Research, 14(3), 118–128. https://doi.org/10.5897/JMPR2019.6874</w:t>
      </w:r>
    </w:p>
    <w:p w14:paraId="43C74D3F" w14:textId="16D796D6"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12. </w:t>
      </w:r>
      <w:r w:rsidRPr="00520245">
        <w:rPr>
          <w:rFonts w:cs="Helvetica"/>
          <w:noProof/>
        </w:rPr>
        <w:tab/>
      </w:r>
      <w:r w:rsidR="00840ECC" w:rsidRPr="00520245">
        <w:rPr>
          <w:rFonts w:cs="Helvetica"/>
          <w:noProof/>
        </w:rPr>
        <w:t>Konaré, M. A., Keita, S., Somda, M. K., Togola, I., Diarra, N., &amp; Sanogo, R. (2023). Antibacterial Activities of Extracts from Four Wild Food Fruits. European Journal of Nutrition &amp; Food Safety, 15(1), 62–71. https://doi.org/10.9734/ejnfs/2023/v15i11289</w:t>
      </w:r>
    </w:p>
    <w:p w14:paraId="4FEB34F7" w14:textId="58A8EFAB"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13. </w:t>
      </w:r>
      <w:r w:rsidRPr="00520245">
        <w:rPr>
          <w:rFonts w:cs="Helvetica"/>
          <w:noProof/>
        </w:rPr>
        <w:tab/>
      </w:r>
      <w:r w:rsidR="00840ECC" w:rsidRPr="00520245">
        <w:rPr>
          <w:rFonts w:cs="Helvetica"/>
          <w:noProof/>
        </w:rPr>
        <w:t>Konaré, M. A., Condurache, N. N., Togola, I., Păcularu-Burada, B., Diarra, N., Stănciuc, N., &amp; Râpeanu, G. (2023). Valorization of Bioactive Compounds from Two Underutilized Wild Fruits by Microencapsulation in Order to Formulate Value-Added Food Products. Plants, 12(2), 267. https://doi.org/10.3390/plants12020267</w:t>
      </w:r>
    </w:p>
    <w:p w14:paraId="0D5BCF5C" w14:textId="37CAF5E3"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14. </w:t>
      </w:r>
      <w:r w:rsidRPr="00520245">
        <w:rPr>
          <w:rFonts w:cs="Helvetica"/>
          <w:noProof/>
        </w:rPr>
        <w:tab/>
      </w:r>
      <w:r w:rsidR="00840ECC" w:rsidRPr="00520245">
        <w:rPr>
          <w:rFonts w:cs="Helvetica"/>
          <w:noProof/>
        </w:rPr>
        <w:t>Hussain, S. T., Muhammad, S., Khan, S., Hussain, W., &amp; Pieroni, A. (2023). Ethnobotany for food security and ecological transition: wild food plant gathering and consumption among four cultural groups in Kurram District, NW Pakistan. Journal of Ethnobiology and Ethnomedicine, 19, Article 35. https://doi.org/10.1186/s13002-023-00607-9</w:t>
      </w:r>
    </w:p>
    <w:p w14:paraId="162EB7EB" w14:textId="47DC2A0E"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15. </w:t>
      </w:r>
      <w:r w:rsidRPr="00520245">
        <w:rPr>
          <w:rFonts w:cs="Helvetica"/>
          <w:noProof/>
          <w:lang w:val="fr-FR"/>
        </w:rPr>
        <w:tab/>
      </w:r>
      <w:r w:rsidR="00840ECC" w:rsidRPr="00520245">
        <w:rPr>
          <w:rFonts w:cs="Helvetica"/>
          <w:noProof/>
          <w:lang w:val="fr-FR"/>
        </w:rPr>
        <w:t>Betti, J. L., &amp; Yemefa'a, S. R. (2011). Contribution à la connaissance des produits forestiers non ligneux du parc national de Kalamaloué, Extrême-Nord Cameroun: Les plantes alimentaires. International Journal of Biological and Chemical Sciences. https://doi.org/10.4314/ijbcs.v5i1.68105</w:t>
      </w:r>
    </w:p>
    <w:p w14:paraId="19526E64" w14:textId="0B3A321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16. </w:t>
      </w:r>
      <w:r w:rsidRPr="00520245">
        <w:rPr>
          <w:rFonts w:cs="Helvetica"/>
          <w:noProof/>
        </w:rPr>
        <w:tab/>
      </w:r>
      <w:r w:rsidR="00840ECC" w:rsidRPr="00520245">
        <w:rPr>
          <w:rFonts w:cs="Helvetica"/>
          <w:noProof/>
        </w:rPr>
        <w:t>Sissoko, L., Diarra, N., Nientao, I., Stuart, B., Togola, A., Diallo, D., &amp; Willcox, M. L. (2023). Moringa oleifera leaf powder for type 2 diabetes: a pilot clinical trial. African Journal of Traditional, Complementary and Alternative Medicines, 17(2), 29–36. https://doi.org/10.21010/Ajtcamv17i2.3</w:t>
      </w:r>
    </w:p>
    <w:p w14:paraId="0A61B8C4" w14:textId="528891B0"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17. </w:t>
      </w:r>
      <w:r w:rsidRPr="00520245">
        <w:rPr>
          <w:rFonts w:cs="Helvetica"/>
          <w:noProof/>
        </w:rPr>
        <w:tab/>
      </w:r>
      <w:r w:rsidR="00840ECC" w:rsidRPr="00520245">
        <w:rPr>
          <w:rFonts w:cs="Helvetica"/>
          <w:noProof/>
        </w:rPr>
        <w:t>Togola, I., Konare, M. A., Cisse, C., &amp; Diarra, N. (2023). Anti-Inflammatory and Anti-cancer Activities of Leaf Extracts from Three Datura Species Found in Mali. Journal of Applied Life Sciences International, 26(6), 88–97. https://doi.org/10.9734/JALSI/2023/v26i6630</w:t>
      </w:r>
    </w:p>
    <w:p w14:paraId="4FF1F84E" w14:textId="77777777" w:rsidR="00840EC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18. </w:t>
      </w:r>
      <w:r w:rsidRPr="00520245">
        <w:rPr>
          <w:rFonts w:cs="Helvetica"/>
          <w:noProof/>
        </w:rPr>
        <w:tab/>
      </w:r>
      <w:r w:rsidR="00840ECC" w:rsidRPr="00520245">
        <w:rPr>
          <w:rFonts w:cs="Helvetica"/>
          <w:noProof/>
        </w:rPr>
        <w:t>Konaré, M. A., Cissé, C., Togola, I., &amp; Fomba, M. (2024). Inhibitory Effects of Datura innoxia Mill Extracts on Two Enzymes Involved in the Control of Diabetes and Inflammation. Annual Research &amp; Review in Biology, 39, 11–18. https://doi.org/10.9734/arrb/2024/v39i92114</w:t>
      </w:r>
    </w:p>
    <w:p w14:paraId="4A3177F4" w14:textId="2671659B"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19. </w:t>
      </w:r>
      <w:r w:rsidRPr="00520245">
        <w:rPr>
          <w:rFonts w:cs="Helvetica"/>
          <w:noProof/>
          <w:lang w:val="fr-FR"/>
        </w:rPr>
        <w:tab/>
      </w:r>
      <w:r w:rsidR="00840ECC" w:rsidRPr="00520245">
        <w:rPr>
          <w:rFonts w:cs="Helvetica"/>
          <w:noProof/>
          <w:lang w:val="fr-FR"/>
        </w:rPr>
        <w:t>Dramé, B. S. I., Koné, A., Sylla, S. D., Goïta, Y., Coulibaly, D. M., Sanogo, R., &amp; Cissé, B. M. (2022). Capacité Anti Oxydante des Feuilles du Moringa Oleifera chez les Diabétiques de Type 2. Health Sciences and Disease, 23(3), 136-144. https://doi.org/10.5281/hsd.v23i3.3500</w:t>
      </w:r>
    </w:p>
    <w:p w14:paraId="66D3ABEC" w14:textId="0BEF2C0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lastRenderedPageBreak/>
        <w:t xml:space="preserve">20. </w:t>
      </w:r>
      <w:r w:rsidRPr="00520245">
        <w:rPr>
          <w:rFonts w:cs="Helvetica"/>
          <w:noProof/>
        </w:rPr>
        <w:tab/>
      </w:r>
      <w:r w:rsidR="00840ECC" w:rsidRPr="00520245">
        <w:rPr>
          <w:rFonts w:cs="Helvetica"/>
          <w:noProof/>
        </w:rPr>
        <w:t>Konaré, M. A., Diarra, N., Cissé, C., Traoré, D. A. K., Togola, I., Kassogué, A., Sanogo, R., &amp; Ouattara, A. S. (2020). Evaluation of the biological activities of leaf and bark extracts of Ficus platiphylla Delile, a medicinal plant used in Mali. Journal of Medicinal Plants Research, 14, 118–128. https://doi.org/10.5897/JMPR2019.6874</w:t>
      </w:r>
    </w:p>
    <w:p w14:paraId="6177663B" w14:textId="7777777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21. </w:t>
      </w:r>
      <w:r w:rsidRPr="00520245">
        <w:rPr>
          <w:rFonts w:cs="Helvetica"/>
          <w:noProof/>
        </w:rPr>
        <w:tab/>
        <w:t>Konaré MA, Diadie Maïga A, Togola I, Diarra N (2024) Antioxidant and Antidiabetic Potential of Extracts from Anacardium occidentale and Sclerocarya birrea. J Biochem Technol 15:15–24</w:t>
      </w:r>
    </w:p>
    <w:p w14:paraId="3C99DC0C" w14:textId="7EE7DDF0"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22. </w:t>
      </w:r>
      <w:r w:rsidRPr="00520245">
        <w:rPr>
          <w:rFonts w:cs="Helvetica"/>
          <w:noProof/>
        </w:rPr>
        <w:tab/>
      </w:r>
      <w:r w:rsidR="008339A6" w:rsidRPr="00520245">
        <w:rPr>
          <w:rFonts w:cs="Helvetica"/>
          <w:noProof/>
        </w:rPr>
        <w:t>Kumar, M., Saurabh, V., Tomar, M., Hasan, M., Changan, S., Sasi, M., Maheshwari, C., Prajapati, U., Singh, S., Prajapat, R. K., et al. (2021). Mango (Mangifera indica L.) Leaves: Nutritional Composition, Phytochemical Profile, and Health-Promoting Bioactivities. Antioxidants. https://doi.org/10.3390/antiox10020299</w:t>
      </w:r>
    </w:p>
    <w:p w14:paraId="759B8070" w14:textId="0F235479"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23. </w:t>
      </w:r>
      <w:r w:rsidRPr="00520245">
        <w:rPr>
          <w:rFonts w:cs="Helvetica"/>
          <w:noProof/>
        </w:rPr>
        <w:tab/>
      </w:r>
      <w:r w:rsidR="008339A6" w:rsidRPr="00520245">
        <w:rPr>
          <w:rFonts w:cs="Helvetica"/>
          <w:noProof/>
        </w:rPr>
        <w:t>Karigidi, M. E., Fakunle, O. E., &amp; Karigidi, K. O. (2025). Antioxidant, antidiabetic and antifungal activities of leaf and bark ethanol extracts of Mangifera indica and their antagonistic biochemical effects. *International Journal of Functional Nutrition*, *6*(1), 1-11. https://doi.org/10.3892/ijfn.2025.46</w:t>
      </w:r>
    </w:p>
    <w:p w14:paraId="699B3ED9" w14:textId="777A4FE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24. </w:t>
      </w:r>
      <w:r w:rsidRPr="00520245">
        <w:rPr>
          <w:rFonts w:cs="Helvetica"/>
          <w:noProof/>
        </w:rPr>
        <w:tab/>
      </w:r>
      <w:r w:rsidR="008339A6" w:rsidRPr="00520245">
        <w:rPr>
          <w:rFonts w:cs="Helvetica"/>
          <w:noProof/>
        </w:rPr>
        <w:t>Togola I, Dembélé AA, Tounkara F, Diarra N, Konaré MA, Karembé M, Maïga SZ, Dembélé D (2019) Evaluation of in vitro Antioxidant Activities of Ethanol Extracts of Datura innoxia Mill. Leaves and Seeds Harvested in Mali. Annu Res Rev Biol. https://doi.org/10.9734/arrb/2019/v33i230115</w:t>
      </w:r>
    </w:p>
    <w:p w14:paraId="03C6F5E9" w14:textId="5DE1AEE3"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25. </w:t>
      </w:r>
      <w:r w:rsidRPr="00520245">
        <w:rPr>
          <w:rFonts w:cs="Helvetica"/>
          <w:noProof/>
        </w:rPr>
        <w:tab/>
      </w:r>
      <w:r w:rsidR="008339A6" w:rsidRPr="00520245">
        <w:rPr>
          <w:rFonts w:cs="Helvetica"/>
          <w:noProof/>
        </w:rPr>
        <w:t>Guindo, F., Konaré, M. A., Daou, C., &amp; Cissé, F. (2022). Inventory of Local Practices of Use and Conservation of Baobab Products in Two Regions of Mali. Journal of Food Studies. https://doi.org/10.5296/jfs.v11i1.20464</w:t>
      </w:r>
    </w:p>
    <w:p w14:paraId="3794481D" w14:textId="77777777" w:rsidR="008339A6" w:rsidRPr="00520245" w:rsidRDefault="00B21B9C" w:rsidP="00520245">
      <w:pPr>
        <w:widowControl w:val="0"/>
        <w:autoSpaceDE w:val="0"/>
        <w:autoSpaceDN w:val="0"/>
        <w:adjustRightInd w:val="0"/>
        <w:spacing w:after="240"/>
        <w:rPr>
          <w:rFonts w:cs="Helvetica"/>
          <w:b/>
          <w:bCs/>
          <w:noProof/>
          <w:lang w:val="fr-FR"/>
        </w:rPr>
      </w:pPr>
      <w:r w:rsidRPr="00520245">
        <w:rPr>
          <w:rFonts w:cs="Helvetica"/>
          <w:noProof/>
          <w:lang w:val="fr-FR"/>
        </w:rPr>
        <w:t xml:space="preserve">26. </w:t>
      </w:r>
      <w:r w:rsidRPr="00520245">
        <w:rPr>
          <w:rFonts w:cs="Helvetica"/>
          <w:noProof/>
          <w:lang w:val="fr-FR"/>
        </w:rPr>
        <w:tab/>
      </w:r>
      <w:r w:rsidR="008339A6" w:rsidRPr="00520245">
        <w:rPr>
          <w:rFonts w:cs="Helvetica"/>
          <w:noProof/>
          <w:lang w:val="fr-FR"/>
        </w:rPr>
        <w:t>Nizigiyimana, L., Nahimana, S., &amp; Ndayiziga, L. (2020). Tests d’activités antiparasitaires et antibactériennes des extraits des feuilles de Psidium guajava L. (ipera) du Burundi. Revue de l'Université du Burundi, Série- Sciences Exactes et Naturelles, 2, 13–22.</w:t>
      </w:r>
    </w:p>
    <w:p w14:paraId="2F6836C6" w14:textId="60E9058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27. </w:t>
      </w:r>
      <w:r w:rsidRPr="00520245">
        <w:rPr>
          <w:rFonts w:cs="Helvetica"/>
          <w:noProof/>
        </w:rPr>
        <w:tab/>
      </w:r>
      <w:r w:rsidR="008339A6" w:rsidRPr="00520245">
        <w:rPr>
          <w:rFonts w:cs="Helvetica"/>
          <w:noProof/>
        </w:rPr>
        <w:t>Dubey, K., Dubey, R., Gupta, R. A., &amp; Gupta, A. K. (2019). Anti-Diabetic and Antioxidant Potential of Saponin Extract of Leaves of Ziziphus Mauritiana. Journal of Drug Delivery and Therapeutics, 9(2-A), 75–77. https://jddtonline.info/index.php/jddt/article/view/2784</w:t>
      </w:r>
    </w:p>
    <w:p w14:paraId="4C0A2199" w14:textId="6EE2AEF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28. </w:t>
      </w:r>
      <w:r w:rsidRPr="00520245">
        <w:rPr>
          <w:rFonts w:cs="Helvetica"/>
          <w:noProof/>
        </w:rPr>
        <w:tab/>
      </w:r>
      <w:r w:rsidR="008339A6" w:rsidRPr="00520245">
        <w:rPr>
          <w:rFonts w:cs="Helvetica"/>
          <w:noProof/>
        </w:rPr>
        <w:t>Kitbumrungsart, P., Suntornwat, O., &amp; Rayanil, K. (2011). Mangiferin and antioxidant capacity from mango (Mangifera indica L.) leaves extracts. Thai Journal of Agricultural Science, 44(5), 62–66. https://www.cabidigitallibrary.org/doi/10.1079/PA20110009</w:t>
      </w:r>
    </w:p>
    <w:p w14:paraId="3BB7C8FE" w14:textId="1A4AF81D"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29. </w:t>
      </w:r>
      <w:r w:rsidRPr="00520245">
        <w:rPr>
          <w:rFonts w:cs="Helvetica"/>
          <w:noProof/>
        </w:rPr>
        <w:tab/>
      </w:r>
      <w:r w:rsidR="008339A6" w:rsidRPr="00520245">
        <w:rPr>
          <w:rFonts w:cs="Helvetica"/>
          <w:noProof/>
        </w:rPr>
        <w:t>Nga Nnanga, E., Yinyang, J., Baran à Bidias, E., Etame-Loe, G., &amp; Dibong, D.S. (2017). Étude phytochimique et pharmacologique d'Alchornea cordifolia (Schum. &amp; Thonn.) Mull. Arg. et de Mangifera indica dans le traitement traditionnel de la maladie hémorroïdaire. Journal of Applied Biosciences, 109, 10649–10661. https://doi.org/10.4314/jab.v109i1.9</w:t>
      </w:r>
    </w:p>
    <w:p w14:paraId="14A68D05" w14:textId="09FF8741"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30. </w:t>
      </w:r>
      <w:r w:rsidRPr="00520245">
        <w:rPr>
          <w:rFonts w:cs="Helvetica"/>
          <w:noProof/>
        </w:rPr>
        <w:tab/>
      </w:r>
      <w:r w:rsidR="008339A6" w:rsidRPr="00520245">
        <w:rPr>
          <w:rFonts w:cs="Helvetica"/>
          <w:noProof/>
        </w:rPr>
        <w:t>Sekar, V., Mani, S., Malarvizhi, R., Nithya, P., &amp; Vasanthi, H. R. (2019). Antidiabetic effect of mangiferin in combination with oral hypoglycemic agents metformin and gliclazide. Phytomedicine, 59, 152901. https://doi.org/10.1016/j.phymed.2019.152901</w:t>
      </w:r>
    </w:p>
    <w:p w14:paraId="78495855" w14:textId="49367061" w:rsidR="00441B6F" w:rsidRDefault="00B21B9C" w:rsidP="001F7E86">
      <w:pPr>
        <w:pStyle w:val="Body"/>
      </w:pPr>
      <w:r>
        <w:fldChar w:fldCharType="end"/>
      </w:r>
    </w:p>
    <w:p w14:paraId="30CE9AC8" w14:textId="77777777" w:rsidR="00287E68" w:rsidRDefault="00287E68" w:rsidP="00441B6F">
      <w:pPr>
        <w:pStyle w:val="Body"/>
        <w:spacing w:after="0"/>
        <w:rPr>
          <w:rFonts w:ascii="Arial" w:hAnsi="Arial" w:cs="Arial"/>
          <w:b/>
        </w:rPr>
      </w:pPr>
    </w:p>
    <w:p w14:paraId="620D14DC" w14:textId="2A72C128" w:rsidR="00B01FCD" w:rsidRPr="00FB3A86" w:rsidRDefault="00B01FCD" w:rsidP="00441B6F">
      <w:pPr>
        <w:pStyle w:val="Appendix"/>
        <w:spacing w:after="0"/>
        <w:jc w:val="both"/>
        <w:rPr>
          <w:rFonts w:ascii="Arial" w:hAnsi="Arial" w:cs="Arial"/>
          <w:b w:val="0"/>
        </w:rPr>
      </w:pPr>
    </w:p>
    <w:sectPr w:rsidR="00B01FCD" w:rsidRPr="00FB3A86" w:rsidSect="00A028F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26B80" w14:textId="77777777" w:rsidR="005679E9" w:rsidRDefault="005679E9" w:rsidP="00C37E61">
      <w:r>
        <w:separator/>
      </w:r>
    </w:p>
  </w:endnote>
  <w:endnote w:type="continuationSeparator" w:id="0">
    <w:p w14:paraId="174A29D4" w14:textId="77777777" w:rsidR="005679E9" w:rsidRDefault="005679E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A30E" w14:textId="77777777" w:rsidR="00A028F8" w:rsidRDefault="00A028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16C41" w14:textId="7C871BD9" w:rsidR="00C37E61" w:rsidRPr="0011126A" w:rsidRDefault="009C7EC0" w:rsidP="0011126A">
    <w:pPr>
      <w:pStyle w:val="Footer"/>
    </w:pPr>
    <w:r w:rsidRPr="0011126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1D520" w14:textId="77777777" w:rsidR="009E048A" w:rsidRDefault="009E048A">
    <w:pPr>
      <w:pStyle w:val="Footer"/>
      <w:rPr>
        <w:rFonts w:ascii="Arial" w:hAnsi="Arial" w:cs="Arial"/>
        <w:sz w:val="16"/>
      </w:rPr>
    </w:pPr>
  </w:p>
  <w:p w14:paraId="4F8A172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FA7D80F" w14:textId="77777777" w:rsidR="009E048A" w:rsidRDefault="009E048A">
    <w:pPr>
      <w:pStyle w:val="Footer"/>
      <w:rPr>
        <w:rFonts w:ascii="Arial" w:hAnsi="Arial" w:cs="Arial"/>
        <w:sz w:val="16"/>
      </w:rPr>
    </w:pPr>
  </w:p>
  <w:p w14:paraId="6518B8E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9122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47FF7" w14:textId="77777777" w:rsidR="005679E9" w:rsidRDefault="005679E9" w:rsidP="00C37E61">
      <w:r>
        <w:separator/>
      </w:r>
    </w:p>
  </w:footnote>
  <w:footnote w:type="continuationSeparator" w:id="0">
    <w:p w14:paraId="4CFDF1D2" w14:textId="77777777" w:rsidR="005679E9" w:rsidRDefault="005679E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9D28F" w14:textId="00CE1238" w:rsidR="00A028F8" w:rsidRDefault="00A028F8">
    <w:pPr>
      <w:pStyle w:val="Header"/>
    </w:pPr>
    <w:r>
      <w:rPr>
        <w:noProof/>
      </w:rPr>
      <w:pict w14:anchorId="0034B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8"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EAF4E" w14:textId="1CB442D4" w:rsidR="00A028F8" w:rsidRDefault="00A028F8">
    <w:pPr>
      <w:pStyle w:val="Header"/>
    </w:pPr>
    <w:r>
      <w:rPr>
        <w:noProof/>
      </w:rPr>
      <w:pict w14:anchorId="30433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9"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DC939" w14:textId="737DFCBD" w:rsidR="00296529" w:rsidRPr="00296529" w:rsidRDefault="00A028F8" w:rsidP="00296529">
    <w:pPr>
      <w:ind w:left="2160"/>
      <w:jc w:val="center"/>
      <w:rPr>
        <w:rFonts w:ascii="Times New Roman" w:eastAsia="Calibri" w:hAnsi="Times New Roman"/>
        <w:i/>
        <w:sz w:val="18"/>
        <w:szCs w:val="22"/>
      </w:rPr>
    </w:pPr>
    <w:r>
      <w:rPr>
        <w:noProof/>
      </w:rPr>
      <w:pict w14:anchorId="27AB5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7"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ED781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2498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FBE67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C4DC9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4E53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3F106D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FF88C" w14:textId="0A6F54DE" w:rsidR="00A028F8" w:rsidRDefault="00A028F8">
    <w:pPr>
      <w:pStyle w:val="Header"/>
    </w:pPr>
    <w:r>
      <w:rPr>
        <w:noProof/>
      </w:rPr>
      <w:pict w14:anchorId="7E186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1"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90388" w14:textId="717D84F7" w:rsidR="00A028F8" w:rsidRDefault="00A028F8">
    <w:pPr>
      <w:pStyle w:val="Header"/>
    </w:pPr>
    <w:r>
      <w:rPr>
        <w:noProof/>
      </w:rPr>
      <w:pict w14:anchorId="00CA7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2"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1918B" w14:textId="62F14817" w:rsidR="00A028F8" w:rsidRDefault="00A028F8">
    <w:pPr>
      <w:pStyle w:val="Header"/>
    </w:pPr>
    <w:r>
      <w:rPr>
        <w:noProof/>
      </w:rPr>
      <w:pict w14:anchorId="1B77E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0"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786C5" w14:textId="638A7652" w:rsidR="00A028F8" w:rsidRDefault="00A028F8">
    <w:pPr>
      <w:pStyle w:val="Header"/>
    </w:pPr>
    <w:r>
      <w:rPr>
        <w:noProof/>
      </w:rPr>
      <w:pict w14:anchorId="5A936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4" o:spid="_x0000_s2056" type="#_x0000_t136" style="position:absolute;margin-left:0;margin-top:0;width:684.1pt;height:77.1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FE6C" w14:textId="0967DFDC" w:rsidR="0028304F" w:rsidRDefault="00A028F8">
    <w:pPr>
      <w:pStyle w:val="Header"/>
    </w:pPr>
    <w:r>
      <w:rPr>
        <w:noProof/>
      </w:rPr>
      <w:pict w14:anchorId="4263C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5" o:spid="_x0000_s2057" type="#_x0000_t136" style="position:absolute;margin-left:0;margin-top:0;width:684.1pt;height:77.1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BA226" w14:textId="6611658B" w:rsidR="00A028F8" w:rsidRDefault="00A028F8">
    <w:pPr>
      <w:pStyle w:val="Header"/>
    </w:pPr>
    <w:r>
      <w:rPr>
        <w:noProof/>
      </w:rPr>
      <w:pict w14:anchorId="08454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3" o:spid="_x0000_s2055" type="#_x0000_t136" style="position:absolute;margin-left:0;margin-top:0;width:684.1pt;height:77.1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32500"/>
    <w:multiLevelType w:val="multilevel"/>
    <w:tmpl w:val="41E8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550732"/>
    <w:multiLevelType w:val="hybridMultilevel"/>
    <w:tmpl w:val="7180C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AE51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8"/>
  </w:num>
  <w:num w:numId="10">
    <w:abstractNumId w:val="3"/>
  </w:num>
  <w:num w:numId="11">
    <w:abstractNumId w:val="20"/>
  </w:num>
  <w:num w:numId="12">
    <w:abstractNumId w:val="4"/>
  </w:num>
  <w:num w:numId="13">
    <w:abstractNumId w:val="18"/>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7"/>
  </w:num>
  <w:num w:numId="27">
    <w:abstractNumId w:val="23"/>
  </w:num>
  <w:num w:numId="28">
    <w:abstractNumId w:val="30"/>
  </w:num>
  <w:num w:numId="29">
    <w:abstractNumId w:val="27"/>
  </w:num>
  <w:num w:numId="30">
    <w:abstractNumId w:val="11"/>
  </w:num>
  <w:num w:numId="31">
    <w:abstractNumId w:val="22"/>
  </w:num>
  <w:num w:numId="32">
    <w:abstractNumId w:val="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3AF0"/>
    <w:rsid w:val="00030174"/>
    <w:rsid w:val="0004579C"/>
    <w:rsid w:val="000524B6"/>
    <w:rsid w:val="00066BE3"/>
    <w:rsid w:val="00067CEE"/>
    <w:rsid w:val="00097F28"/>
    <w:rsid w:val="000A47FA"/>
    <w:rsid w:val="000A65D3"/>
    <w:rsid w:val="000B1E33"/>
    <w:rsid w:val="000C563E"/>
    <w:rsid w:val="000D689F"/>
    <w:rsid w:val="000E7B7B"/>
    <w:rsid w:val="000E7D62"/>
    <w:rsid w:val="00103357"/>
    <w:rsid w:val="0011126A"/>
    <w:rsid w:val="00123C9F"/>
    <w:rsid w:val="00126190"/>
    <w:rsid w:val="00130F17"/>
    <w:rsid w:val="001317A7"/>
    <w:rsid w:val="001320BF"/>
    <w:rsid w:val="00163BC4"/>
    <w:rsid w:val="00191062"/>
    <w:rsid w:val="00192B72"/>
    <w:rsid w:val="001A29D8"/>
    <w:rsid w:val="001A5CAA"/>
    <w:rsid w:val="001A7C67"/>
    <w:rsid w:val="001B0427"/>
    <w:rsid w:val="001C2CE0"/>
    <w:rsid w:val="001D11C7"/>
    <w:rsid w:val="001D1915"/>
    <w:rsid w:val="001D3A51"/>
    <w:rsid w:val="001E10D2"/>
    <w:rsid w:val="001E25B4"/>
    <w:rsid w:val="001E44FE"/>
    <w:rsid w:val="001F7E86"/>
    <w:rsid w:val="00200595"/>
    <w:rsid w:val="00204835"/>
    <w:rsid w:val="00220815"/>
    <w:rsid w:val="00231920"/>
    <w:rsid w:val="0023195C"/>
    <w:rsid w:val="0024282C"/>
    <w:rsid w:val="002460DC"/>
    <w:rsid w:val="00250985"/>
    <w:rsid w:val="002556F6"/>
    <w:rsid w:val="00255959"/>
    <w:rsid w:val="00261A37"/>
    <w:rsid w:val="0028304F"/>
    <w:rsid w:val="00283105"/>
    <w:rsid w:val="00284C4C"/>
    <w:rsid w:val="00287E68"/>
    <w:rsid w:val="00290D59"/>
    <w:rsid w:val="00296529"/>
    <w:rsid w:val="002B27FB"/>
    <w:rsid w:val="002B685A"/>
    <w:rsid w:val="002C57D2"/>
    <w:rsid w:val="002C6F75"/>
    <w:rsid w:val="002E0D56"/>
    <w:rsid w:val="00315186"/>
    <w:rsid w:val="0033343E"/>
    <w:rsid w:val="003512C2"/>
    <w:rsid w:val="00354E2A"/>
    <w:rsid w:val="00366D7D"/>
    <w:rsid w:val="00371FB6"/>
    <w:rsid w:val="003763C1"/>
    <w:rsid w:val="003766A8"/>
    <w:rsid w:val="00376BBE"/>
    <w:rsid w:val="003879F8"/>
    <w:rsid w:val="0039224F"/>
    <w:rsid w:val="003A2E6C"/>
    <w:rsid w:val="003A35B3"/>
    <w:rsid w:val="003A43A4"/>
    <w:rsid w:val="003A7E18"/>
    <w:rsid w:val="003C4C86"/>
    <w:rsid w:val="003C6258"/>
    <w:rsid w:val="003E2904"/>
    <w:rsid w:val="003E41CE"/>
    <w:rsid w:val="00401927"/>
    <w:rsid w:val="00407476"/>
    <w:rsid w:val="0041027F"/>
    <w:rsid w:val="00412475"/>
    <w:rsid w:val="00416156"/>
    <w:rsid w:val="00423789"/>
    <w:rsid w:val="00435127"/>
    <w:rsid w:val="00440F43"/>
    <w:rsid w:val="004411B8"/>
    <w:rsid w:val="00441B6F"/>
    <w:rsid w:val="00446221"/>
    <w:rsid w:val="00450E62"/>
    <w:rsid w:val="004539DB"/>
    <w:rsid w:val="00471A80"/>
    <w:rsid w:val="00491D86"/>
    <w:rsid w:val="004A34E8"/>
    <w:rsid w:val="004D305E"/>
    <w:rsid w:val="004D4277"/>
    <w:rsid w:val="004D53EF"/>
    <w:rsid w:val="004D647B"/>
    <w:rsid w:val="004F3035"/>
    <w:rsid w:val="004F54E9"/>
    <w:rsid w:val="00501FFC"/>
    <w:rsid w:val="00502516"/>
    <w:rsid w:val="0050493B"/>
    <w:rsid w:val="00505F06"/>
    <w:rsid w:val="00506828"/>
    <w:rsid w:val="005159EB"/>
    <w:rsid w:val="00520245"/>
    <w:rsid w:val="0053056E"/>
    <w:rsid w:val="00543A42"/>
    <w:rsid w:val="00543FDB"/>
    <w:rsid w:val="00554FDA"/>
    <w:rsid w:val="00557C75"/>
    <w:rsid w:val="00566C44"/>
    <w:rsid w:val="005679E9"/>
    <w:rsid w:val="005C784C"/>
    <w:rsid w:val="005D17F6"/>
    <w:rsid w:val="005D715E"/>
    <w:rsid w:val="005E5539"/>
    <w:rsid w:val="005F4853"/>
    <w:rsid w:val="00602BF5"/>
    <w:rsid w:val="00617FDD"/>
    <w:rsid w:val="00633614"/>
    <w:rsid w:val="00633F68"/>
    <w:rsid w:val="00636EB2"/>
    <w:rsid w:val="006375B8"/>
    <w:rsid w:val="00652B13"/>
    <w:rsid w:val="006542EA"/>
    <w:rsid w:val="0066510A"/>
    <w:rsid w:val="00667D37"/>
    <w:rsid w:val="00670D21"/>
    <w:rsid w:val="00673F9F"/>
    <w:rsid w:val="00684715"/>
    <w:rsid w:val="00686953"/>
    <w:rsid w:val="00687DEA"/>
    <w:rsid w:val="00687E67"/>
    <w:rsid w:val="006967F7"/>
    <w:rsid w:val="006A250C"/>
    <w:rsid w:val="006B21D3"/>
    <w:rsid w:val="006B57D0"/>
    <w:rsid w:val="006D30FF"/>
    <w:rsid w:val="006D6940"/>
    <w:rsid w:val="006F11EC"/>
    <w:rsid w:val="006F358B"/>
    <w:rsid w:val="0070082C"/>
    <w:rsid w:val="00712BF0"/>
    <w:rsid w:val="007369E6"/>
    <w:rsid w:val="00746E59"/>
    <w:rsid w:val="00754C9A"/>
    <w:rsid w:val="0075599A"/>
    <w:rsid w:val="00761D52"/>
    <w:rsid w:val="0077749E"/>
    <w:rsid w:val="00780106"/>
    <w:rsid w:val="00790ADA"/>
    <w:rsid w:val="007A79ED"/>
    <w:rsid w:val="007B4A57"/>
    <w:rsid w:val="007B76C8"/>
    <w:rsid w:val="007C00B7"/>
    <w:rsid w:val="007C043D"/>
    <w:rsid w:val="007C0956"/>
    <w:rsid w:val="007D2288"/>
    <w:rsid w:val="007E088F"/>
    <w:rsid w:val="007F7B32"/>
    <w:rsid w:val="00804BC2"/>
    <w:rsid w:val="0081431A"/>
    <w:rsid w:val="0083216F"/>
    <w:rsid w:val="008326C4"/>
    <w:rsid w:val="008339A6"/>
    <w:rsid w:val="00840ECC"/>
    <w:rsid w:val="00841676"/>
    <w:rsid w:val="008423F6"/>
    <w:rsid w:val="00850913"/>
    <w:rsid w:val="008510D8"/>
    <w:rsid w:val="00860000"/>
    <w:rsid w:val="00863BD3"/>
    <w:rsid w:val="008641ED"/>
    <w:rsid w:val="00866D66"/>
    <w:rsid w:val="008671C6"/>
    <w:rsid w:val="00875803"/>
    <w:rsid w:val="008830CE"/>
    <w:rsid w:val="008A4DE5"/>
    <w:rsid w:val="008B459E"/>
    <w:rsid w:val="008B5177"/>
    <w:rsid w:val="008C3327"/>
    <w:rsid w:val="008E13AE"/>
    <w:rsid w:val="008E1506"/>
    <w:rsid w:val="008E710C"/>
    <w:rsid w:val="008F05F1"/>
    <w:rsid w:val="008F69D6"/>
    <w:rsid w:val="00902823"/>
    <w:rsid w:val="00915CA6"/>
    <w:rsid w:val="00927834"/>
    <w:rsid w:val="009500A6"/>
    <w:rsid w:val="00957C18"/>
    <w:rsid w:val="009659BA"/>
    <w:rsid w:val="00983040"/>
    <w:rsid w:val="009B36A0"/>
    <w:rsid w:val="009B3FB9"/>
    <w:rsid w:val="009C2465"/>
    <w:rsid w:val="009C7EC0"/>
    <w:rsid w:val="009D35A0"/>
    <w:rsid w:val="009D7EB7"/>
    <w:rsid w:val="009E048A"/>
    <w:rsid w:val="009E08E9"/>
    <w:rsid w:val="009E0C45"/>
    <w:rsid w:val="009E1084"/>
    <w:rsid w:val="009E3DB9"/>
    <w:rsid w:val="009E6E35"/>
    <w:rsid w:val="009F0974"/>
    <w:rsid w:val="009F0EDA"/>
    <w:rsid w:val="00A028F8"/>
    <w:rsid w:val="00A03B96"/>
    <w:rsid w:val="00A05B19"/>
    <w:rsid w:val="00A1134E"/>
    <w:rsid w:val="00A125E9"/>
    <w:rsid w:val="00A12AC6"/>
    <w:rsid w:val="00A22C29"/>
    <w:rsid w:val="00A24E7E"/>
    <w:rsid w:val="00A258C3"/>
    <w:rsid w:val="00A347C0"/>
    <w:rsid w:val="00A51431"/>
    <w:rsid w:val="00A539AD"/>
    <w:rsid w:val="00A84F23"/>
    <w:rsid w:val="00A94063"/>
    <w:rsid w:val="00AA6219"/>
    <w:rsid w:val="00AA74E0"/>
    <w:rsid w:val="00AB703F"/>
    <w:rsid w:val="00AB7333"/>
    <w:rsid w:val="00AC56D3"/>
    <w:rsid w:val="00AC6BB8"/>
    <w:rsid w:val="00AE008F"/>
    <w:rsid w:val="00B01FCD"/>
    <w:rsid w:val="00B14125"/>
    <w:rsid w:val="00B1776C"/>
    <w:rsid w:val="00B21B9C"/>
    <w:rsid w:val="00B304A2"/>
    <w:rsid w:val="00B3312E"/>
    <w:rsid w:val="00B3360C"/>
    <w:rsid w:val="00B34474"/>
    <w:rsid w:val="00B4104B"/>
    <w:rsid w:val="00B52583"/>
    <w:rsid w:val="00B52896"/>
    <w:rsid w:val="00B65ED9"/>
    <w:rsid w:val="00B9265A"/>
    <w:rsid w:val="00B95236"/>
    <w:rsid w:val="00B96BD9"/>
    <w:rsid w:val="00BA1B01"/>
    <w:rsid w:val="00BA2641"/>
    <w:rsid w:val="00BB37AA"/>
    <w:rsid w:val="00BC1A23"/>
    <w:rsid w:val="00BC53A0"/>
    <w:rsid w:val="00BE62AD"/>
    <w:rsid w:val="00BF121F"/>
    <w:rsid w:val="00BF1F80"/>
    <w:rsid w:val="00C166EF"/>
    <w:rsid w:val="00C17EB0"/>
    <w:rsid w:val="00C23D04"/>
    <w:rsid w:val="00C27F5F"/>
    <w:rsid w:val="00C30A0F"/>
    <w:rsid w:val="00C364C5"/>
    <w:rsid w:val="00C37E61"/>
    <w:rsid w:val="00C70F1B"/>
    <w:rsid w:val="00C71A47"/>
    <w:rsid w:val="00C7464C"/>
    <w:rsid w:val="00C85588"/>
    <w:rsid w:val="00CB26DB"/>
    <w:rsid w:val="00CD6755"/>
    <w:rsid w:val="00CD6856"/>
    <w:rsid w:val="00CD72D9"/>
    <w:rsid w:val="00CE0089"/>
    <w:rsid w:val="00CE793C"/>
    <w:rsid w:val="00CF193C"/>
    <w:rsid w:val="00D173F1"/>
    <w:rsid w:val="00D22F14"/>
    <w:rsid w:val="00D426A6"/>
    <w:rsid w:val="00D67E19"/>
    <w:rsid w:val="00D74CB0"/>
    <w:rsid w:val="00D754A7"/>
    <w:rsid w:val="00D8295D"/>
    <w:rsid w:val="00D82C48"/>
    <w:rsid w:val="00DC15F1"/>
    <w:rsid w:val="00DC2A65"/>
    <w:rsid w:val="00DD1675"/>
    <w:rsid w:val="00DE15F0"/>
    <w:rsid w:val="00DE3949"/>
    <w:rsid w:val="00DE5663"/>
    <w:rsid w:val="00DE78AA"/>
    <w:rsid w:val="00E053D0"/>
    <w:rsid w:val="00E10B7A"/>
    <w:rsid w:val="00E15994"/>
    <w:rsid w:val="00E3114E"/>
    <w:rsid w:val="00E31A70"/>
    <w:rsid w:val="00E3523A"/>
    <w:rsid w:val="00E35B02"/>
    <w:rsid w:val="00E66496"/>
    <w:rsid w:val="00E66B35"/>
    <w:rsid w:val="00E66E10"/>
    <w:rsid w:val="00E769F6"/>
    <w:rsid w:val="00E8407C"/>
    <w:rsid w:val="00E84F3C"/>
    <w:rsid w:val="00EA012C"/>
    <w:rsid w:val="00EA398C"/>
    <w:rsid w:val="00EC6A55"/>
    <w:rsid w:val="00ED0288"/>
    <w:rsid w:val="00ED1611"/>
    <w:rsid w:val="00EE3E59"/>
    <w:rsid w:val="00EE52CB"/>
    <w:rsid w:val="00EF581D"/>
    <w:rsid w:val="00EF7FD8"/>
    <w:rsid w:val="00F06F59"/>
    <w:rsid w:val="00F17988"/>
    <w:rsid w:val="00F21E51"/>
    <w:rsid w:val="00F31EDA"/>
    <w:rsid w:val="00F469F0"/>
    <w:rsid w:val="00F53273"/>
    <w:rsid w:val="00F703DF"/>
    <w:rsid w:val="00F755E4"/>
    <w:rsid w:val="00F77D02"/>
    <w:rsid w:val="00F831F1"/>
    <w:rsid w:val="00FB3A86"/>
    <w:rsid w:val="00FC76A0"/>
    <w:rsid w:val="00FD36C8"/>
    <w:rsid w:val="00FE2DF9"/>
    <w:rsid w:val="00FF4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9D0E88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A84F23"/>
    <w:pPr>
      <w:spacing w:after="200"/>
    </w:pPr>
    <w:rPr>
      <w:i/>
      <w:iCs/>
      <w:color w:val="1F497D" w:themeColor="text2"/>
      <w:sz w:val="18"/>
      <w:szCs w:val="18"/>
    </w:rPr>
  </w:style>
  <w:style w:type="table" w:styleId="PlainTable2">
    <w:name w:val="Plain Table 2"/>
    <w:basedOn w:val="TableNormal"/>
    <w:uiPriority w:val="42"/>
    <w:rsid w:val="002830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4F54E9"/>
    <w:rPr>
      <w:rFonts w:ascii="Helvetica" w:hAnsi="Helvetica"/>
      <w:b/>
      <w:bCs/>
      <w:lang w:val="en-US" w:eastAsia="en-US"/>
    </w:rPr>
  </w:style>
  <w:style w:type="character" w:customStyle="1" w:styleId="CommentSubjectChar">
    <w:name w:val="Comment Subject Char"/>
    <w:basedOn w:val="CommentTextChar"/>
    <w:link w:val="CommentSubject"/>
    <w:semiHidden/>
    <w:rsid w:val="004F54E9"/>
    <w:rPr>
      <w:rFonts w:ascii="Helvetica" w:hAnsi="Helvetica"/>
      <w:b/>
      <w:bCs/>
      <w:lang w:val="nb-NO" w:eastAsia="nb-NO"/>
    </w:rPr>
  </w:style>
  <w:style w:type="paragraph" w:styleId="ListParagraph">
    <w:name w:val="List Paragraph"/>
    <w:basedOn w:val="Normal"/>
    <w:uiPriority w:val="34"/>
    <w:qFormat/>
    <w:rsid w:val="005202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Feuil1!$F$83</c:f>
              <c:strCache>
                <c:ptCount val="1"/>
                <c:pt idx="0">
                  <c:v>NOMBRE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Feuil1!$E$84:$E$103</c:f>
              <c:strCache>
                <c:ptCount val="20"/>
                <c:pt idx="0">
                  <c:v>MORINGA</c:v>
                </c:pt>
                <c:pt idx="1">
                  <c:v>ALOE VERA</c:v>
                </c:pt>
                <c:pt idx="2">
                  <c:v>GOYAVIER</c:v>
                </c:pt>
                <c:pt idx="3">
                  <c:v>PAPAYER</c:v>
                </c:pt>
                <c:pt idx="4">
                  <c:v>AUBERGINE</c:v>
                </c:pt>
                <c:pt idx="5">
                  <c:v>AVOCATIER</c:v>
                </c:pt>
                <c:pt idx="6">
                  <c:v>CITRONNIER</c:v>
                </c:pt>
                <c:pt idx="7">
                  <c:v>HIBUSCUS</c:v>
                </c:pt>
                <c:pt idx="8">
                  <c:v>GOMBO</c:v>
                </c:pt>
                <c:pt idx="9">
                  <c:v>KEKELIBA</c:v>
                </c:pt>
                <c:pt idx="10">
                  <c:v>PETIT COLA</c:v>
                </c:pt>
                <c:pt idx="11">
                  <c:v>LAITUE</c:v>
                </c:pt>
                <c:pt idx="12">
                  <c:v>ANANAS</c:v>
                </c:pt>
                <c:pt idx="13">
                  <c:v>CAROTE</c:v>
                </c:pt>
                <c:pt idx="14">
                  <c:v>MAIS </c:v>
                </c:pt>
                <c:pt idx="15">
                  <c:v>JINGEMBRE</c:v>
                </c:pt>
                <c:pt idx="16">
                  <c:v>RIZ</c:v>
                </c:pt>
                <c:pt idx="17">
                  <c:v>MANGUIER</c:v>
                </c:pt>
                <c:pt idx="18">
                  <c:v>BETERAVE</c:v>
                </c:pt>
                <c:pt idx="19">
                  <c:v>COURGE</c:v>
                </c:pt>
              </c:strCache>
            </c:strRef>
          </c:cat>
          <c:val>
            <c:numRef>
              <c:f>Feuil1!$F$84:$F$103</c:f>
              <c:numCache>
                <c:formatCode>General</c:formatCode>
                <c:ptCount val="20"/>
                <c:pt idx="0">
                  <c:v>38</c:v>
                </c:pt>
                <c:pt idx="1">
                  <c:v>12</c:v>
                </c:pt>
                <c:pt idx="2">
                  <c:v>5</c:v>
                </c:pt>
                <c:pt idx="3">
                  <c:v>13</c:v>
                </c:pt>
                <c:pt idx="4">
                  <c:v>2</c:v>
                </c:pt>
                <c:pt idx="5">
                  <c:v>1</c:v>
                </c:pt>
                <c:pt idx="6">
                  <c:v>9</c:v>
                </c:pt>
                <c:pt idx="7">
                  <c:v>1</c:v>
                </c:pt>
                <c:pt idx="8">
                  <c:v>4</c:v>
                </c:pt>
                <c:pt idx="9">
                  <c:v>6</c:v>
                </c:pt>
                <c:pt idx="10">
                  <c:v>2</c:v>
                </c:pt>
                <c:pt idx="11">
                  <c:v>1</c:v>
                </c:pt>
                <c:pt idx="12">
                  <c:v>3</c:v>
                </c:pt>
                <c:pt idx="13">
                  <c:v>1</c:v>
                </c:pt>
                <c:pt idx="14">
                  <c:v>3</c:v>
                </c:pt>
                <c:pt idx="15">
                  <c:v>1</c:v>
                </c:pt>
                <c:pt idx="16">
                  <c:v>1</c:v>
                </c:pt>
                <c:pt idx="17">
                  <c:v>12</c:v>
                </c:pt>
                <c:pt idx="18">
                  <c:v>1</c:v>
                </c:pt>
                <c:pt idx="19">
                  <c:v>1</c:v>
                </c:pt>
              </c:numCache>
            </c:numRef>
          </c:val>
          <c:extLst>
            <c:ext xmlns:c16="http://schemas.microsoft.com/office/drawing/2014/chart" uri="{C3380CC4-5D6E-409C-BE32-E72D297353CC}">
              <c16:uniqueId val="{00000000-9D8A-4EA3-8E1F-131343CE04A9}"/>
            </c:ext>
          </c:extLst>
        </c:ser>
        <c:dLbls>
          <c:showLegendKey val="0"/>
          <c:showVal val="1"/>
          <c:showCatName val="0"/>
          <c:showSerName val="0"/>
          <c:showPercent val="0"/>
          <c:showBubbleSize val="0"/>
        </c:dLbls>
        <c:gapWidth val="355"/>
        <c:overlap val="-70"/>
        <c:axId val="570586432"/>
        <c:axId val="570577792"/>
      </c:barChart>
      <c:catAx>
        <c:axId val="5705864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COMMON</a:t>
                </a:r>
                <a:r>
                  <a:rPr lang="fr-FR" baseline="0"/>
                  <a:t> NAMES of </a:t>
                </a:r>
                <a:r>
                  <a:rPr lang="fr-FR"/>
                  <a:t>Plants</a:t>
                </a:r>
              </a:p>
            </c:rich>
          </c:tx>
          <c:layout>
            <c:manualLayout>
              <c:xMode val="edge"/>
              <c:yMode val="edge"/>
              <c:x val="0.32606913719118441"/>
              <c:y val="0.902201707053230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77792"/>
        <c:crosses val="autoZero"/>
        <c:auto val="1"/>
        <c:lblAlgn val="ctr"/>
        <c:lblOffset val="100"/>
        <c:noMultiLvlLbl val="0"/>
      </c:catAx>
      <c:valAx>
        <c:axId val="5705777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Number of Citations</a:t>
                </a:r>
              </a:p>
            </c:rich>
          </c:tx>
          <c:layout>
            <c:manualLayout>
              <c:xMode val="edge"/>
              <c:yMode val="edge"/>
              <c:x val="1.54320987654321E-2"/>
              <c:y val="0.11133938532912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86432"/>
        <c:crosses val="autoZero"/>
        <c:crossBetween val="between"/>
      </c:valAx>
      <c:spPr>
        <a:noFill/>
        <a:ln>
          <a:noFill/>
        </a:ln>
        <a:effectLst/>
      </c:spPr>
    </c:plotArea>
    <c:plotVisOnly val="1"/>
    <c:dispBlanksAs val="gap"/>
    <c:showDLblsOverMax val="0"/>
    <c:extLst>
      <c:ext uri="{0b15fc19-7d7d-44ad-8c2d-2c3a37ce22c3}">
        <chartProps xmlns="https://web.wps.cn/et/2018/main" chartId="{0b8acf8c-d18e-404c-92d5-7a03e22fa84d}"/>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alG17</b:Tag>
    <b:SourceType>Misc</b:SourceType>
    <b:Guid>{41F1F6FA-802F-4F67-AF17-3853FDEB6954}</b:Guid>
    <b:Author>
      <b:Author>
        <b:NameList>
          <b:Person>
            <b:Last>Gnagne et al.</b:Last>
          </b:Person>
        </b:NameList>
      </b:Author>
    </b:Author>
    <b:Title>Etude botaniquement des plantes médicinales utilisées dans le traitement de Diabète dans le département de Zénula</b:Title>
    <b:Year>2017</b:Year>
    <b:Publisher>J. Appl. Biosci.</b:Publisher>
    <b:City>Zénula</b:City>
    <b:Pages>11266</b:Pages>
    <b:RefOrder>7</b:RefOrder>
  </b:Source>
  <b:Source>
    <b:Tag>alF13</b:Tag>
    <b:SourceType>Misc</b:SourceType>
    <b:Guid>{A192D929-2C12-4F59-8FCC-1A3AB862C41D}</b:Guid>
    <b:Author>
      <b:Author>
        <b:NameList>
          <b:Person>
            <b:Last>Fah et al</b:Last>
            <b:First>.</b:First>
          </b:Person>
        </b:NameList>
      </b:Author>
    </b:Author>
    <b:Title>Etudes ethnobotanique des plantes utilisées dans le traitement du diabète chez les femes enceintes à Cotonou et Abomey-calavi</b:Title>
    <b:Year>2013</b:Year>
    <b:Publisher>Journal of animal et plant sciences</b:Publisher>
    <b:City>Cotonou</b:City>
    <b:Pages>18(1):2647-2658</b:Pages>
    <b:RefOrder>9</b:RefOrder>
  </b:Source>
  <b:Source>
    <b:Tag>Ben091</b:Tag>
    <b:SourceType>Misc</b:SourceType>
    <b:Guid>{16665D9E-EECB-48D2-A472-945FEA24C819}</b:Guid>
    <b:Title>Plantes Médicinales utilisées pour le soin des enfants dans la ville de Ouagadougou, 65:9-12</b:Title>
    <b:Year>2009</b:Year>
    <b:Publisher>Flamboyant</b:Publisher>
    <b:City>Ouagadougou</b:City>
    <b:Author>
      <b:Author>
        <b:NameList>
          <b:Person>
            <b:Last>Benem B</b:Last>
            <b:First>Sanou-Nana</b:First>
          </b:Person>
        </b:NameList>
      </b:Author>
    </b:Author>
    <b:CountryRegion>Burkina Faso</b:CountryRegion>
    <b:RefOrder>2</b:RefOrder>
  </b:Source>
  <b:Source>
    <b:Tag>Ben101</b:Tag>
    <b:SourceType>Misc</b:SourceType>
    <b:Guid>{87BEAF1B-22F5-4555-A517-250D6B6A2131}</b:Guid>
    <b:Author>
      <b:Author>
        <b:NameList>
          <b:Person>
            <b:Last>Benkhnigue et al.</b:Last>
          </b:Person>
        </b:NameList>
      </b:Author>
    </b:Author>
    <b:Title>Etude ethnobotanique des plantes médicinales dans la région de Mechraâ Bel Ksiri</b:Title>
    <b:Year>2010</b:Year>
    <b:CountryRegion>Maroc/Gharba</b:CountryRegion>
    <b:Publisher>Actabotanica Barcinonensia. 53:191-216</b:Publisher>
    <b:RefOrder>3</b:RefOrder>
  </b:Source>
  <b:Source>
    <b:Tag>Dan081</b:Tag>
    <b:SourceType>Misc</b:SourceType>
    <b:Guid>{72A4340C-4304-481E-862A-8736F33A56AD}</b:Guid>
    <b:Title>Biodiversité des légumes feuilles traditionnel consommés au Bénin</b:Title>
    <b:Year>2008</b:Year>
    <b:City>Cotonou</b:City>
    <b:Publisher>Bibliothèque nationale</b:Publisher>
    <b:Author>
      <b:Author>
        <b:NameList>
          <b:Person>
            <b:Last>Dansi A</b:Last>
            <b:First>Adjatin</b:First>
            <b:Middle>A, Vodouhè R, Adéoti K, Adoukonou-Sagbadja H-Faladé V, Yedomonhan H, Okoègninou A, Apkagana K</b:Middle>
          </b:Person>
        </b:NameList>
      </b:Author>
    </b:Author>
    <b:RefOrder>4</b:RefOrder>
  </b:Source>
  <b:Source>
    <b:Tag>Bet111</b:Tag>
    <b:SourceType>Misc</b:SourceType>
    <b:Guid>{41036A95-BC31-4F57-A1DD-7D74394CB986}</b:Guid>
    <b:Title>Contribution à la connaissance des produits forestiers non ligneux du parc national de Kalamaloué, extrême nord Cameroun</b:Title>
    <b:Year>2011</b:Year>
    <b:Publisher>int.j.biol.chem.sci.</b:Publisher>
    <b:City>Kalamaloué</b:City>
    <b:Author>
      <b:Author>
        <b:NameList>
          <b:Person>
            <b:Last>Betti J L.</b:Last>
            <b:First>SR,</b:First>
            <b:Middle>et Mebere-Yemefa'a</b:Middle>
          </b:Person>
        </b:NameList>
      </b:Author>
    </b:Author>
    <b:Pages>5(1): 291-303</b:Pages>
    <b:RefOrder>5</b:RefOrder>
  </b:Source>
  <b:Source>
    <b:Tag>Bru09</b:Tag>
    <b:SourceType>Misc</b:SourceType>
    <b:Guid>{49CBDE9B-12DF-490A-AD78-2B10E9A720E4}</b:Guid>
    <b:Title>Pharmacognosie: phytochimie, plantes médicinales</b:Title>
    <b:Year>2009</b:Year>
    <b:Publisher>Lavoisier tec et doc</b:Publisher>
    <b:City>Paris</b:City>
    <b:Author>
      <b:Author>
        <b:NameList>
          <b:Person>
            <b:Last>Bruneton</b:Last>
            <b:First>J.</b:First>
          </b:Person>
        </b:NameList>
      </b:Author>
    </b:Author>
    <b:Pages>1288</b:Pages>
    <b:RefOrder>21</b:RefOrder>
  </b:Source>
  <b:Source>
    <b:Tag>Har98</b:Tag>
    <b:SourceType>Misc</b:SourceType>
    <b:Guid>{80D2898C-1C94-427C-B569-EF23BBA5C7DB}</b:Guid>
    <b:Title>Phytochemical Methods. A guide to modern technic of plant analysis</b:Title>
    <b:Year>1998</b:Year>
    <b:Publisher>Chapman hall London 3ème édition</b:Publisher>
    <b:City>London</b:City>
    <b:Author>
      <b:Author>
        <b:NameList>
          <b:Person>
            <b:Last>Harbone</b:Last>
          </b:Person>
        </b:NameList>
      </b:Author>
    </b:Author>
    <b:Pages>270-280</b:Pages>
    <b:RefOrder>22</b:RefOrder>
  </b:Source>
  <b:Source>
    <b:Tag>aln23</b:Tag>
    <b:SourceType>Misc</b:SourceType>
    <b:Guid>{83E2800A-A4FC-49A7-AF40-450C3646FAB6}</b:Guid>
    <b:Author>
      <b:Author>
        <b:NameList>
          <b:Person>
            <b:Last>Nizigiyimana L et al.</b:Last>
          </b:Person>
        </b:NameList>
      </b:Author>
    </b:Author>
    <b:Title>Effets des extraits de feuilles de mangnifera indica L. sur certaines souches bacteriennes et parasites instestinaux</b:Title>
    <b:Year>2023</b:Year>
    <b:Publisher>Faculté des Sciences, Département de chimie</b:Publisher>
    <b:City>Bujumbura, Burundi</b:City>
    <b:Pages>6: 38-46</b:Pages>
    <b:RefOrder>36</b:RefOrder>
  </b:Source>
</b:Sources>
</file>

<file path=customXml/itemProps1.xml><?xml version="1.0" encoding="utf-8"?>
<ds:datastoreItem xmlns:ds="http://schemas.openxmlformats.org/officeDocument/2006/customXml" ds:itemID="{21EB69EA-7C04-42F2-AFED-49AF0A71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292</TotalTime>
  <Pages>11</Pages>
  <Words>17273</Words>
  <Characters>98461</Characters>
  <Application>Microsoft Office Word</Application>
  <DocSecurity>0</DocSecurity>
  <Lines>820</Lines>
  <Paragraphs>231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115503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2026-01-03T20:53:00Z</dcterms:created>
  <dcterms:modified xsi:type="dcterms:W3CDTF">2026-01-05T14:14:00Z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http://www.zotero.org/styles/springer-vancouver</vt:lpwstr>
  </property>
  <property fmtid="{D5CDD505-2E9C-101B-9397-08002B2CF9AE}" pid="21" name="Mendeley Recent Style Name 9_1">
    <vt:lpwstr>Springer - Vancouver</vt:lpwstr>
  </property>
  <property fmtid="{D5CDD505-2E9C-101B-9397-08002B2CF9AE}" pid="22" name="Mendeley Document_1">
    <vt:lpwstr>True</vt:lpwstr>
  </property>
  <property fmtid="{D5CDD505-2E9C-101B-9397-08002B2CF9AE}" pid="23" name="Mendeley Unique User Id_1">
    <vt:lpwstr>6f2478a9-66e5-3f3c-a91b-f4b0265462f8</vt:lpwstr>
  </property>
  <property fmtid="{D5CDD505-2E9C-101B-9397-08002B2CF9AE}" pid="24" name="Mendeley Citation Style_1">
    <vt:lpwstr>http://www.zotero.org/styles/springer-vancouver</vt:lpwstr>
  </property>
</Properties>
</file>