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759F3" w14:textId="05435DCE" w:rsidR="00754C9A" w:rsidRDefault="003C2DE3" w:rsidP="00441B6F">
      <w:pPr>
        <w:pStyle w:val="Title"/>
        <w:spacing w:after="0"/>
        <w:jc w:val="both"/>
        <w:rPr>
          <w:rFonts w:ascii="Arial" w:hAnsi="Arial" w:cs="Arial"/>
          <w:u w:val="single"/>
        </w:rPr>
      </w:pPr>
      <w:r w:rsidRPr="003C2DE3">
        <w:rPr>
          <w:rFonts w:ascii="Arial" w:hAnsi="Arial" w:cs="Arial"/>
          <w:u w:val="single"/>
        </w:rPr>
        <w:t>Original Research Article</w:t>
      </w:r>
    </w:p>
    <w:p w14:paraId="465EFF9D" w14:textId="77777777" w:rsidR="00FA3DAA" w:rsidRPr="003C2DE3" w:rsidRDefault="00FA3DAA" w:rsidP="00441B6F">
      <w:pPr>
        <w:pStyle w:val="Title"/>
        <w:spacing w:after="0"/>
        <w:jc w:val="both"/>
        <w:rPr>
          <w:rFonts w:ascii="Arial" w:hAnsi="Arial" w:cs="Arial"/>
          <w:u w:val="single"/>
        </w:rPr>
      </w:pPr>
    </w:p>
    <w:p w14:paraId="53F2BF41" w14:textId="77777777" w:rsidR="008C0A81" w:rsidRPr="008C0A81" w:rsidRDefault="008C0A81" w:rsidP="008C0A81">
      <w:pPr>
        <w:pStyle w:val="Author"/>
        <w:spacing w:line="240" w:lineRule="auto"/>
        <w:rPr>
          <w:rFonts w:ascii="Arial" w:hAnsi="Arial" w:cs="Arial"/>
          <w:bCs/>
          <w:iCs/>
          <w:kern w:val="28"/>
          <w:sz w:val="36"/>
          <w:lang w:val="en"/>
        </w:rPr>
      </w:pPr>
      <w:r w:rsidRPr="008C0A81">
        <w:rPr>
          <w:rFonts w:ascii="Arial" w:hAnsi="Arial" w:cs="Arial"/>
          <w:bCs/>
          <w:iCs/>
          <w:kern w:val="28"/>
          <w:sz w:val="36"/>
          <w:lang w:val="en"/>
        </w:rPr>
        <w:t xml:space="preserve">Physicochemical quality of water resources in the </w:t>
      </w:r>
      <w:proofErr w:type="spellStart"/>
      <w:r w:rsidRPr="008C0A81">
        <w:rPr>
          <w:rFonts w:ascii="Arial" w:hAnsi="Arial" w:cs="Arial"/>
          <w:bCs/>
          <w:iCs/>
          <w:kern w:val="28"/>
          <w:sz w:val="36"/>
          <w:lang w:val="en"/>
        </w:rPr>
        <w:t>Téguéré</w:t>
      </w:r>
      <w:proofErr w:type="spellEnd"/>
      <w:r w:rsidRPr="008C0A81">
        <w:rPr>
          <w:rFonts w:ascii="Arial" w:hAnsi="Arial" w:cs="Arial"/>
          <w:bCs/>
          <w:iCs/>
          <w:kern w:val="28"/>
          <w:sz w:val="36"/>
          <w:lang w:val="en"/>
        </w:rPr>
        <w:t xml:space="preserve"> River watershed in the face of pressures from peri-urban market gardening in </w:t>
      </w:r>
      <w:proofErr w:type="spellStart"/>
      <w:r w:rsidRPr="008C0A81">
        <w:rPr>
          <w:rFonts w:ascii="Arial" w:hAnsi="Arial" w:cs="Arial"/>
          <w:bCs/>
          <w:iCs/>
          <w:kern w:val="28"/>
          <w:sz w:val="36"/>
          <w:lang w:val="en"/>
        </w:rPr>
        <w:t>Korhogo</w:t>
      </w:r>
      <w:proofErr w:type="spellEnd"/>
      <w:r w:rsidRPr="008C0A81">
        <w:rPr>
          <w:rFonts w:ascii="Arial" w:hAnsi="Arial" w:cs="Arial"/>
          <w:bCs/>
          <w:iCs/>
          <w:kern w:val="28"/>
          <w:sz w:val="36"/>
          <w:lang w:val="en"/>
        </w:rPr>
        <w:t xml:space="preserve"> </w:t>
      </w:r>
      <w:r w:rsidRPr="008C0A81">
        <w:rPr>
          <w:rFonts w:ascii="Arial" w:hAnsi="Arial" w:cs="Arial"/>
          <w:bCs/>
          <w:iCs/>
          <w:kern w:val="28"/>
          <w:sz w:val="36"/>
        </w:rPr>
        <w:t>(Northern Côte d'Ivoire)</w:t>
      </w:r>
    </w:p>
    <w:p w14:paraId="22A003BF" w14:textId="77777777" w:rsidR="00A258C3" w:rsidRPr="008C0A81" w:rsidRDefault="00A258C3" w:rsidP="00441B6F">
      <w:pPr>
        <w:pStyle w:val="Author"/>
        <w:spacing w:line="240" w:lineRule="auto"/>
        <w:jc w:val="both"/>
        <w:rPr>
          <w:rFonts w:ascii="Arial" w:hAnsi="Arial" w:cs="Arial"/>
          <w:sz w:val="36"/>
          <w:lang w:val="en"/>
        </w:rPr>
      </w:pPr>
    </w:p>
    <w:p w14:paraId="35C8CD14" w14:textId="77777777" w:rsidR="003C2DE3" w:rsidRPr="0083216F" w:rsidRDefault="003C2DE3" w:rsidP="007173AE">
      <w:pPr>
        <w:pStyle w:val="Affiliation"/>
        <w:spacing w:after="0" w:line="240" w:lineRule="auto"/>
        <w:rPr>
          <w:rFonts w:ascii="Arial" w:hAnsi="Arial" w:cs="Arial"/>
          <w:i/>
        </w:rPr>
      </w:pPr>
    </w:p>
    <w:p w14:paraId="3F921EC1" w14:textId="77777777" w:rsidR="00790ADA" w:rsidRDefault="00790ADA" w:rsidP="00441B6F">
      <w:pPr>
        <w:pStyle w:val="Affiliation"/>
        <w:spacing w:after="0" w:line="240" w:lineRule="auto"/>
        <w:jc w:val="both"/>
        <w:rPr>
          <w:rFonts w:ascii="Arial" w:hAnsi="Arial" w:cs="Arial"/>
        </w:rPr>
      </w:pPr>
    </w:p>
    <w:p w14:paraId="63B2B936" w14:textId="77777777" w:rsidR="002C57D2" w:rsidRPr="00FB3A86" w:rsidRDefault="002C57D2" w:rsidP="00441B6F">
      <w:pPr>
        <w:pStyle w:val="Affiliation"/>
        <w:spacing w:after="0" w:line="240" w:lineRule="auto"/>
        <w:jc w:val="both"/>
        <w:rPr>
          <w:rFonts w:ascii="Arial" w:hAnsi="Arial" w:cs="Arial"/>
        </w:rPr>
      </w:pPr>
    </w:p>
    <w:p w14:paraId="5A784A6C" w14:textId="77777777" w:rsidR="00B01FCD" w:rsidRPr="00FB3A86" w:rsidRDefault="00954BC1" w:rsidP="00441B6F">
      <w:pPr>
        <w:pStyle w:val="Copyright"/>
        <w:spacing w:after="0" w:line="240" w:lineRule="auto"/>
        <w:jc w:val="both"/>
        <w:rPr>
          <w:rFonts w:ascii="Arial" w:hAnsi="Arial" w:cs="Arial"/>
        </w:rPr>
        <w:sectPr w:rsidR="00B01FCD" w:rsidRPr="00FB3A86" w:rsidSect="00886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BCBF35">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CBEA19"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E0AB41" w14:textId="77777777" w:rsidR="00C7451E" w:rsidRPr="00FB3A86" w:rsidRDefault="00C7451E"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8DAB2C" w14:textId="77777777" w:rsidTr="001E44FE">
        <w:tc>
          <w:tcPr>
            <w:tcW w:w="9576" w:type="dxa"/>
            <w:shd w:val="clear" w:color="auto" w:fill="F2F2F2"/>
          </w:tcPr>
          <w:p w14:paraId="5616C536" w14:textId="77777777"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In </w:t>
            </w:r>
            <w:proofErr w:type="spellStart"/>
            <w:r w:rsidRPr="001C13FC">
              <w:rPr>
                <w:rFonts w:ascii="Arial" w:eastAsia="Calibri" w:hAnsi="Arial" w:cs="Arial"/>
                <w:szCs w:val="22"/>
              </w:rPr>
              <w:t>Korhogo</w:t>
            </w:r>
            <w:proofErr w:type="spellEnd"/>
            <w:r w:rsidRPr="001C13FC">
              <w:rPr>
                <w:rFonts w:ascii="Arial" w:eastAsia="Calibri" w:hAnsi="Arial" w:cs="Arial"/>
                <w:szCs w:val="22"/>
              </w:rPr>
              <w:t xml:space="preserve">,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River watershed is home to intensive peri-urban market gardening. The widespread use of pesticides poses a significant risk to water resource quality.</w:t>
            </w:r>
          </w:p>
          <w:p w14:paraId="42989856" w14:textId="77777777"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This study aims to assess the impact of pesticides on the quality of water resources in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watershed. To this end, ten water points were sampled, including four surface water sources (river) and six groundwater sources (wells). Physicochemical parameters and pesticide concentrations were measured. Pesticide contamination indices (PCI) and pesticide alteration indices (PAI) were calculated. </w:t>
            </w:r>
          </w:p>
          <w:p w14:paraId="7318EE69" w14:textId="77777777"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The results reveal that the average temperatures of surface water (31.9°C) and groundwater (31.03°C) are higher than the WHO recommended standard (25°C). These waters are acidic, with an average pH of 4.264. Conductivity is higher in surface water (230 µS/cm) than in groundwater (75 µS/cm). Analysis of pesticide residues identified sixteen (16) active molecules belonging to six (6) chemical families: organophosphates, organochlorines, triazines and their metabolites, carbamates, substituted </w:t>
            </w:r>
            <w:proofErr w:type="spellStart"/>
            <w:r w:rsidRPr="001C13FC">
              <w:rPr>
                <w:rFonts w:ascii="Arial" w:eastAsia="Calibri" w:hAnsi="Arial" w:cs="Arial"/>
                <w:szCs w:val="22"/>
              </w:rPr>
              <w:t>ureas</w:t>
            </w:r>
            <w:proofErr w:type="spellEnd"/>
            <w:r w:rsidRPr="001C13FC">
              <w:rPr>
                <w:rFonts w:ascii="Arial" w:eastAsia="Calibri" w:hAnsi="Arial" w:cs="Arial"/>
                <w:szCs w:val="22"/>
              </w:rPr>
              <w:t>, and pyrethroids. The majority of molecules detected in these waters have concentrations above the WHO guideline value (0.1 µg/L), with a maximum concentration of 3.45 µg/L for chlorpyrifos-ethyl recorded at sampling point No. 4. Triazines and their metabolites dominate surface waters, while organophosphates are most abundant in groundwater. Contamination index (CI) results indicate that 20.1% of surface waters are of good quality, 47.9% are of poor quality, and 32% are of very poor quality. As for groundwater, 60.86% of samples are classified as good quality and 39.14% as poor quality. The IAP reveals an average value of 5.30 µg/L for surface water, indicating very poor quality, and 1.9445 µg/L for groundwater, indicating degraded quality.</w:t>
            </w:r>
          </w:p>
          <w:p w14:paraId="1E7F23D0" w14:textId="77777777" w:rsidR="00505F06" w:rsidRPr="00BA1B01" w:rsidRDefault="00505F06" w:rsidP="00441B6F">
            <w:pPr>
              <w:pStyle w:val="Body"/>
              <w:spacing w:after="0"/>
              <w:rPr>
                <w:rFonts w:ascii="Arial" w:eastAsia="Calibri" w:hAnsi="Arial" w:cs="Arial"/>
                <w:szCs w:val="22"/>
              </w:rPr>
            </w:pPr>
          </w:p>
        </w:tc>
      </w:tr>
    </w:tbl>
    <w:p w14:paraId="6BEC6AD5" w14:textId="77777777" w:rsidR="00636EB2" w:rsidRDefault="00636EB2" w:rsidP="00441B6F">
      <w:pPr>
        <w:pStyle w:val="Body"/>
        <w:spacing w:after="0"/>
        <w:rPr>
          <w:rFonts w:ascii="Arial" w:hAnsi="Arial" w:cs="Arial"/>
          <w:i/>
        </w:rPr>
      </w:pPr>
    </w:p>
    <w:p w14:paraId="67CB61E4" w14:textId="77777777" w:rsidR="00790ADA" w:rsidRPr="00C7451E" w:rsidRDefault="00A24E7E" w:rsidP="00C7451E">
      <w:pPr>
        <w:pStyle w:val="Body"/>
        <w:rPr>
          <w:rFonts w:ascii="Arial" w:hAnsi="Arial" w:cs="Arial"/>
          <w:i/>
          <w:lang w:val="en-GB"/>
        </w:rPr>
      </w:pPr>
      <w:r>
        <w:rPr>
          <w:rFonts w:ascii="Arial" w:hAnsi="Arial" w:cs="Arial"/>
          <w:i/>
        </w:rPr>
        <w:t xml:space="preserve">Keywords: </w:t>
      </w:r>
      <w:r w:rsidR="00C7451E" w:rsidRPr="00C7451E">
        <w:rPr>
          <w:rFonts w:ascii="Arial" w:hAnsi="Arial" w:cs="Arial"/>
          <w:i/>
          <w:lang w:val="en-GB"/>
        </w:rPr>
        <w:t xml:space="preserve">Peri-urban agriculture, Pesticide contamination, Surface and groundwater quality, </w:t>
      </w:r>
      <w:proofErr w:type="spellStart"/>
      <w:r w:rsidR="00C7451E" w:rsidRPr="00C7451E">
        <w:rPr>
          <w:rFonts w:ascii="Arial" w:hAnsi="Arial" w:cs="Arial"/>
          <w:i/>
          <w:lang w:val="en-GB"/>
        </w:rPr>
        <w:t>Korhogo</w:t>
      </w:r>
      <w:proofErr w:type="spellEnd"/>
    </w:p>
    <w:p w14:paraId="0077530E" w14:textId="77777777" w:rsidR="0024282C" w:rsidRDefault="0024282C" w:rsidP="00C7451E">
      <w:pPr>
        <w:pStyle w:val="Body"/>
        <w:spacing w:after="0"/>
        <w:rPr>
          <w:rFonts w:ascii="Arial" w:hAnsi="Arial" w:cs="Arial"/>
          <w:i/>
          <w:sz w:val="18"/>
        </w:rPr>
      </w:pPr>
    </w:p>
    <w:p w14:paraId="7CB9F0C9" w14:textId="77777777" w:rsidR="00505F06" w:rsidRPr="00A24E7E" w:rsidRDefault="00505F06" w:rsidP="00441B6F">
      <w:pPr>
        <w:pStyle w:val="Body"/>
        <w:spacing w:after="0"/>
        <w:rPr>
          <w:rFonts w:ascii="Arial" w:hAnsi="Arial" w:cs="Arial"/>
          <w:i/>
        </w:rPr>
      </w:pPr>
    </w:p>
    <w:p w14:paraId="045751C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E8D699" w14:textId="77777777" w:rsidR="00790ADA" w:rsidRPr="00FB3A86" w:rsidRDefault="00790ADA" w:rsidP="00441B6F">
      <w:pPr>
        <w:pStyle w:val="AbstHead"/>
        <w:spacing w:after="0"/>
        <w:jc w:val="both"/>
        <w:rPr>
          <w:rFonts w:ascii="Arial" w:hAnsi="Arial" w:cs="Arial"/>
        </w:rPr>
      </w:pPr>
    </w:p>
    <w:p w14:paraId="137D71D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Rapid urbanization in sub-Saharan Africa is exerting increasing pressure on urban water systems through the combined effects of population growth, land-use change, and intensified resource demands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&lt;EndNote&gt;&lt;Cite&gt;&lt;Author&gt;UN-Habitat&lt;/Author&gt;&lt;Year&gt;2016&lt;/Year&gt;&lt;RecNum&gt;1&lt;/RecNum&gt;&lt;DisplayText&gt;(UN-Habitat 2016, McDonald&lt;style face="italic"&gt; et al.&lt;/style&gt; 2020)&lt;/DisplayText&gt;&lt;record&gt;&lt;rec-number&gt;1&lt;/rec-number&gt;&lt;foreign-keys&gt;&lt;key app="EN" db-id="artdva0tl0wr0qe2e5dxp9fpa5d999xzrd22" timestamp="1765621619"&gt;1&lt;/key&gt;&lt;/foreign-keys&gt;&lt;ref-type name="Journal Article"&gt;17&lt;/ref-type&gt;&lt;contributors&gt;&lt;authors&gt;&lt;author&gt;UN-Habitat,&lt;/author&gt;&lt;/authors&gt;&lt;/contributors&gt;&lt;titles&gt;&lt;title&gt;Urbanization and development: emerging futures&lt;/title&gt;&lt;/titles&gt;&lt;pages&gt;4-51&lt;/pages&gt;&lt;volume&gt;3&lt;/volume&gt;&lt;number&gt;4&lt;/number&gt;&lt;dates&gt;&lt;year&gt;2016&lt;/year&gt;&lt;/dates&gt;&lt;urls&gt;&lt;/urls&gt;&lt;/record&gt;&lt;/Cite&gt;&lt;Cite&gt;&lt;Author&gt;McDonald&lt;/Author&gt;&lt;Year&gt;2020&lt;/Year&gt;&lt;RecNum&gt;7&lt;/RecNum&gt;&lt;record&gt;&lt;rec-number&gt;7&lt;/rec-number&gt;&lt;foreign-keys&gt;&lt;key app="EN" db-id="artdva0tl0wr0qe2e5dxp9fpa5d999xzrd22" timestamp="1765621968"&gt;7&lt;/key&gt;&lt;/foreign-keys&gt;&lt;ref-type name="Journal Article"&gt;17&lt;/ref-type&gt;&lt;contributors&gt;&lt;authors&gt;&lt;author&gt;McDonald, Robert I&lt;/author&gt;&lt;author&gt;Mansur, Andressa V&lt;/author&gt;&lt;author&gt;Ascensão, Fernando&lt;/author&gt;&lt;author&gt;Colbert, M’lisa&lt;/author&gt;&lt;author&gt;Crossman, Katie&lt;/author&gt;&lt;author&gt;Elmqvist, Thomas&lt;/author&gt;&lt;author&gt;Gonzalez, Andrew&lt;/author&gt;&lt;author&gt;Güneralp, Burak&lt;/author&gt;&lt;author&gt;Haase, Dagmar&lt;/author&gt;&lt;author&gt;Hamann, Maike&lt;/author&gt;&lt;/authors&gt;&lt;/contributors&gt;&lt;titles&gt;&lt;title&gt;Research gaps in knowledge of the impact of urban growth on biodiversity&lt;/title&gt;&lt;secondary-title&gt;Nature Sustainability&lt;/secondary-title&gt;&lt;/titles&gt;&lt;periodical&gt;&lt;full-title&gt;Nature Sustainability&lt;/full-title&gt;&lt;/periodical&gt;&lt;pages&gt;16-24&lt;/pages&gt;&lt;volume&gt;3&lt;/volume&gt;&lt;number&gt;1&lt;/number&gt;&lt;dates&gt;&lt;year&gt;2020&lt;/year&gt;&lt;/dates&gt;&lt;isbn&gt;2398-9629&lt;/isbn&gt;&lt;urls&gt;&lt;/urls&gt;&lt;electronic-resource-num&gt;https://doi.org/10.1038/s41893-019-0436-6&lt;/electronic-resource-num&gt;&lt;/record&gt;&lt;/Cite&gt;&lt;/EndNote&gt;</w:instrText>
      </w:r>
      <w:r w:rsidRPr="00F50615">
        <w:rPr>
          <w:rFonts w:ascii="Arial" w:hAnsi="Arial" w:cs="Arial"/>
          <w:lang w:val="en-GB"/>
        </w:rPr>
        <w:fldChar w:fldCharType="separate"/>
      </w:r>
      <w:r w:rsidRPr="00F50615">
        <w:rPr>
          <w:rFonts w:ascii="Arial" w:hAnsi="Arial" w:cs="Arial"/>
          <w:lang w:val="en-GB"/>
        </w:rPr>
        <w:t>(UN-Habitat 2016, McDonald</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Urban surface </w:t>
      </w:r>
      <w:r w:rsidRPr="00F50615">
        <w:rPr>
          <w:rFonts w:ascii="Arial" w:hAnsi="Arial" w:cs="Arial"/>
          <w:lang w:val="en-GB"/>
        </w:rPr>
        <w:lastRenderedPageBreak/>
        <w:t xml:space="preserve">waters, in particular, are highly vulnerable to multiple anthropogenic stressors, including domestic wastewater discharges, solid waste accumulation, and diffuse pollution from urban and peri -urban agriculture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&lt;EndNote&gt;&lt;Cite&gt;&lt;Author&gt;Paul&lt;/Author&gt;&lt;Year&gt;2001&lt;/Year&gt;&lt;RecNum&gt;10&lt;/RecNum&gt;&lt;DisplayText&gt;(Paul and Meyer 2001, Fletcher&lt;style face="italic"&gt; et al.&lt;/style&gt; 2013)&lt;/DisplayText&gt;&lt;record&gt;&lt;rec-number&gt;10&lt;/rec-number&gt;&lt;foreign-keys&gt;&lt;key app="EN" db-id="artdva0tl0wr0qe2e5dxp9fpa5d999xzrd22" timestamp="1765621968"&gt;10&lt;/key&gt;&lt;/foreign-keys&gt;&lt;ref-type name="Journal Article"&gt;17&lt;/ref-type&gt;&lt;contributors&gt;&lt;authors&gt;&lt;author&gt;Paul, Michael J&lt;/author&gt;&lt;author&gt;Meyer, Judy L &lt;/author&gt;&lt;/authors&gt;&lt;/contributors&gt;&lt;titles&gt;&lt;title&gt;Streams in the urban landscape&lt;/title&gt;&lt;secondary-title&gt;Annual review of Ecology Systematics&lt;/secondary-title&gt;&lt;/titles&gt;&lt;periodical&gt;&lt;full-title&gt;Annual review of Ecology Systematics&lt;/full-title&gt;&lt;/periodical&gt;&lt;pages&gt;333-365&lt;/pages&gt;&lt;volume&gt;32&lt;/volume&gt;&lt;number&gt;1&lt;/number&gt;&lt;dates&gt;&lt;year&gt;2001&lt;/year&gt;&lt;/dates&gt;&lt;isbn&gt;0066-4162&lt;/isbn&gt;&lt;urls&gt;&lt;/urls&gt;&lt;electronic-resource-num&gt;https://doi.org/10.1146/annurev.ecolsys.32.081501.114040&lt;/electronic-resource-num&gt;&lt;/record&gt;&lt;/Cite&gt;&lt;Cite&gt;&lt;Author&gt;Fletcher&lt;/Author&gt;&lt;Year&gt;2013&lt;/Year&gt;&lt;RecNum&gt;4&lt;/RecNum&gt;&lt;record&gt;&lt;rec-number&gt;4&lt;/rec-number&gt;&lt;foreign-keys&gt;&lt;key app="EN" db-id="artdva0tl0wr0qe2e5dxp9fpa5d999xzrd22" timestamp="1765621968"&gt;4&lt;/key&gt;&lt;/foreign-keys&gt;&lt;ref-type name="Journal Article"&gt;17&lt;/ref-type&gt;&lt;contributors&gt;&lt;authors&gt;&lt;author&gt;Fletcher, Tim D&lt;/author&gt;&lt;author&gt;Andrieu, Herve&lt;/author&gt;&lt;author&gt;Hamel, Perrine %J Advances in water resources&lt;/author&gt;&lt;/authors&gt;&lt;/contributors&gt;&lt;titles&gt;&lt;title&gt;Understanding, management and modelling of urban hydrology and its consequences for receiving waters: A state of the art&lt;/title&gt;&lt;/titles&gt;&lt;pages&gt;261-279&lt;/pages&gt;&lt;volume&gt;51&lt;/volume&gt;&lt;dates&gt;&lt;year&gt;2013&lt;/year&gt;&lt;/dates&gt;&lt;isbn&gt;0309-1708&lt;/isbn&gt;&lt;urls&gt;&lt;/urls&gt;&lt;electronic-resource-num&gt;https://doi.org/10.1016/j.advwatres.2012.09.001&lt;/electronic-resource-num&gt;&lt;/record&gt;&lt;/Cite&gt;&lt;/EndNote&gt;</w:instrText>
      </w:r>
      <w:r w:rsidRPr="00F50615">
        <w:rPr>
          <w:rFonts w:ascii="Arial" w:hAnsi="Arial" w:cs="Arial"/>
          <w:lang w:val="en-GB"/>
        </w:rPr>
        <w:fldChar w:fldCharType="separate"/>
      </w:r>
      <w:r w:rsidRPr="00F50615">
        <w:rPr>
          <w:rFonts w:ascii="Arial" w:hAnsi="Arial" w:cs="Arial"/>
          <w:lang w:val="en-GB"/>
        </w:rPr>
        <w:t>(Paul and Meyer 2001, Fletcher</w:t>
      </w:r>
      <w:r w:rsidRPr="00F50615">
        <w:rPr>
          <w:rFonts w:ascii="Arial" w:hAnsi="Arial" w:cs="Arial"/>
          <w:i/>
          <w:lang w:val="en-GB"/>
        </w:rPr>
        <w:t xml:space="preserve"> et al.</w:t>
      </w:r>
      <w:r w:rsidRPr="00F50615">
        <w:rPr>
          <w:rFonts w:ascii="Arial" w:hAnsi="Arial" w:cs="Arial"/>
          <w:lang w:val="en-GB"/>
        </w:rPr>
        <w:t xml:space="preserve"> 2013)</w:t>
      </w:r>
      <w:r w:rsidRPr="00F50615">
        <w:rPr>
          <w:rFonts w:ascii="Arial" w:hAnsi="Arial" w:cs="Arial"/>
        </w:rPr>
        <w:fldChar w:fldCharType="end"/>
      </w:r>
      <w:r w:rsidRPr="00F50615">
        <w:rPr>
          <w:rFonts w:ascii="Arial" w:hAnsi="Arial" w:cs="Arial"/>
          <w:lang w:val="en-GB"/>
        </w:rPr>
        <w:t>. In this context, understanding the interactions between land-use practices and urban water quality has become a central challenge for integrated urban water management.</w:t>
      </w:r>
    </w:p>
    <w:p w14:paraId="4E8613A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and peri -urban agriculture has emerged as a critical land-use system in many African cities, contributing significantly to food security, employment, and income generation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&lt;EndNote&gt;&lt;Cite&gt;&lt;Author&gt;Obuobie&lt;/Author&gt;&lt;Year&gt;2006&lt;/Year&gt;&lt;RecNum&gt;10&lt;/RecNum&gt;&lt;DisplayText&gt;(Obuobie&lt;style face="italic"&gt; et al.&lt;/style&gt; 2006)&lt;/DisplayText&gt;&lt;record&gt;&lt;rec-number&gt;10&lt;/rec-number&gt;&lt;foreign-keys&gt;&lt;key app="EN" db-id="sdxv00rtkzrf0jes0zpvdvzwpsxdddfsdz9e" timestamp="1765618603"&gt;10&lt;/key&gt;&lt;/foreign-keys&gt;&lt;ref-type name="Report"&gt;27&lt;/ref-type&gt;&lt;contributors&gt;&lt;authors&gt;&lt;author&gt;Obuobie, Emmanuel&lt;/author&gt;&lt;author&gt;Keraita, Bernard&lt;/author&gt;&lt;author&gt;Danso, George&lt;/author&gt;&lt;author&gt;Amoah, Philip&lt;/author&gt;&lt;author&gt;Cofie, Olufunke O&lt;/author&gt;&lt;author&gt;Raschid-Sally, Liqa&lt;/author&gt;&lt;author&gt;Drechsel, Pay&lt;/author&gt;&lt;/authors&gt;&lt;/contributors&gt;&lt;titles&gt;&lt;title&gt;Irrigated urban vegetable production in Ghana: characteristics, benefits and risks&lt;/title&gt;&lt;/titles&gt;&lt;pages&gt;150&lt;/pages&gt;&lt;dates&gt;&lt;year&gt;2006&lt;/year&gt;&lt;/dates&gt;&lt;publisher&gt;IWMI-RUAF-CPWF&lt;/publisher&gt;&lt;urls&gt;&lt;/urls&gt;&lt;/record&gt;&lt;/Cite&gt;&lt;/EndNote&gt;</w:instrText>
      </w:r>
      <w:r w:rsidRPr="00F50615">
        <w:rPr>
          <w:rFonts w:ascii="Arial" w:hAnsi="Arial" w:cs="Arial"/>
          <w:lang w:val="en-GB"/>
        </w:rPr>
        <w:fldChar w:fldCharType="separate"/>
      </w:r>
      <w:r w:rsidRPr="00F50615">
        <w:rPr>
          <w:rFonts w:ascii="Arial" w:hAnsi="Arial" w:cs="Arial"/>
          <w:lang w:val="en-GB"/>
        </w:rPr>
        <w:t>(Obuobie</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In Côte d'Ivoire, peri -urban market gardening plays a particularly important role in supplying fresh vegetables to urban markets, especially in secondary cities where food supply chains remain largely informal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&lt;EndNote&gt;&lt;Cite&gt;&lt;Author&gt;Ducroquet&lt;/Author&gt;&lt;Year&gt;2017&lt;/Year&gt;&lt;RecNum&gt;4&lt;/RecNum&gt;&lt;DisplayText&gt;(Ducroquet&lt;style face="italic"&gt; et al.&lt;/style&gt; 2017, Coulibaly 2024)&lt;/DisplayText&gt;&lt;record&gt;&lt;rec-number&gt;4&lt;/rec-number&gt;&lt;foreign-keys&gt;&lt;key app="EN" db-id="sdxv00rtkzrf0jes0zpvdvzwpsxdddfsdz9e" timestamp="1765618000"&gt;4&lt;/key&gt;&lt;/foreign-keys&gt;&lt;ref-type name="Report"&gt;27&lt;/ref-type&gt;&lt;contributors&gt;&lt;authors&gt;&lt;author&gt;Ducroquet, Hubert&lt;/author&gt;&lt;author&gt;Tillie, Pascal&lt;/author&gt;&lt;author&gt;Elouhichi, Kamel&lt;/author&gt;&lt;author&gt;Gomez, Y&lt;/author&gt;&lt;/authors&gt;&lt;/contributors&gt;&lt;titles&gt;&lt;title&gt;L&amp;apos;agriculture de la Côte d&amp;apos;Ivoire à la loupe: État des lieux des filières de production végétales et animales et revue des politiques agricoles&lt;/title&gt;&lt;/titles&gt;&lt;pages&gt;244&lt;/pages&gt;&lt;dates&gt;&lt;year&gt;2017&lt;/year&gt;&lt;/dates&gt;&lt;publisher&gt;European commission&lt;/publisher&gt;&lt;isbn&gt;9279731793&lt;/isbn&gt;&lt;urls&gt;&lt;/urls&gt;&lt;/record&gt;&lt;/Cite&gt;&lt;Cite&gt;&lt;Author&gt;Coulibaly&lt;/Author&gt;&lt;Year&gt;2024&lt;/Year&gt;&lt;RecNum&gt;2&lt;/RecNum&gt;&lt;record&gt;&lt;rec-number&gt;2&lt;/rec-number&gt;&lt;foreign-keys&gt;&lt;key app="EN" db-id="sdxv00rtkzrf0jes0zpvdvzwpsxdddfsdz9e" timestamp="1765618000"&gt;2&lt;/key&gt;&lt;/foreign-keys&gt;&lt;ref-type name="Journal Article"&gt;17&lt;/ref-type&gt;&lt;contributors&gt;&lt;authors&gt;&lt;author&gt;Coulibaly, Tiécoura Hamed &lt;/author&gt;&lt;/authors&gt;&lt;/contributors&gt;&lt;titles&gt;&lt;title&gt;Agriculture urbaine et approvisionnement des marches de la ville de Korhogo (nord de la Côte d&amp;apos;Ivoire)&lt;/title&gt;&lt;secondary-title&gt;Revue Internationale du Chercheur&lt;/secondary-title&gt;&lt;/titles&gt;&lt;periodical&gt;&lt;full-title&gt;Revue Internationale du Chercheur&lt;/full-title&gt;&lt;/periodical&gt;&lt;pages&gt;438-454&lt;/pages&gt;&lt;volume&gt;5&lt;/volume&gt;&lt;number&gt;1&lt;/number&gt;&lt;dates&gt;&lt;year&gt;2024&lt;/year&gt;&lt;/dates&gt;&lt;isbn&gt;2726-5889&lt;/isbn&gt;&lt;urls&gt;&lt;/urls&gt;&lt;/record&gt;&lt;/Cite&gt;&lt;/EndNote&gt;</w:instrText>
      </w:r>
      <w:r w:rsidRPr="00F50615">
        <w:rPr>
          <w:rFonts w:ascii="Arial" w:hAnsi="Arial" w:cs="Arial"/>
          <w:lang w:val="en-GB"/>
        </w:rPr>
        <w:fldChar w:fldCharType="separate"/>
      </w:r>
      <w:r w:rsidRPr="00F50615">
        <w:rPr>
          <w:rFonts w:ascii="Arial" w:hAnsi="Arial" w:cs="Arial"/>
          <w:lang w:val="en-GB"/>
        </w:rPr>
        <w:t>(Ducroquet</w:t>
      </w:r>
      <w:r w:rsidRPr="00F50615">
        <w:rPr>
          <w:rFonts w:ascii="Arial" w:hAnsi="Arial" w:cs="Arial"/>
          <w:i/>
          <w:lang w:val="en-GB"/>
        </w:rPr>
        <w:t xml:space="preserve"> et al.</w:t>
      </w:r>
      <w:r w:rsidRPr="00F50615">
        <w:rPr>
          <w:rFonts w:ascii="Arial" w:hAnsi="Arial" w:cs="Arial"/>
          <w:lang w:val="en-GB"/>
        </w:rPr>
        <w:t xml:space="preserve"> 2017, Coulibaly 2024)</w:t>
      </w:r>
      <w:r w:rsidRPr="00F50615">
        <w:rPr>
          <w:rFonts w:ascii="Arial" w:hAnsi="Arial" w:cs="Arial"/>
        </w:rPr>
        <w:fldChar w:fldCharType="end"/>
      </w:r>
      <w:r w:rsidRPr="00F50615">
        <w:rPr>
          <w:rFonts w:ascii="Arial" w:hAnsi="Arial" w:cs="Arial"/>
          <w:lang w:val="en-GB"/>
        </w:rPr>
        <w:t xml:space="preserve">. In the city of </w:t>
      </w:r>
      <w:proofErr w:type="spellStart"/>
      <w:r w:rsidRPr="00F50615">
        <w:rPr>
          <w:rFonts w:ascii="Arial" w:hAnsi="Arial" w:cs="Arial"/>
          <w:lang w:val="en-GB"/>
        </w:rPr>
        <w:t>Korhogo</w:t>
      </w:r>
      <w:proofErr w:type="spellEnd"/>
      <w:r w:rsidRPr="00F50615">
        <w:rPr>
          <w:rFonts w:ascii="Arial" w:hAnsi="Arial" w:cs="Arial"/>
          <w:lang w:val="en-GB"/>
        </w:rPr>
        <w:t xml:space="preserve"> , recent studies have emphasized the strategic importance of peri -urban vegetable production, while also highlighting increasing constraints related to land availability, water access, and the availability of agricultural inputs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(Ballé 2024, 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w:t>
      </w:r>
    </w:p>
    <w:p w14:paraId="08AD1536"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maintain high productivity under conditions of continuous cultivation and limited space, peri -urban market gardening systems rely heavily on mineral fertilizers and phytosanitary products. Numerous studies across West Africa have documented the widespread use of pesticides in urban and peri -urban agriculture, often characterized by inadequate training, non-compliance with recommended application rates, and limited awareness of environmental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&lt;EndNote&gt;&lt;Cite&gt;&lt;Author&gt;Mambe-Ani&lt;/Author&gt;&lt;Year&gt;2019&lt;/Year&gt;&lt;RecNum&gt;9&lt;/RecNum&gt;&lt;DisplayText&gt;(Kpan&lt;style face="italic"&gt; et al.&lt;/style&gt; 2019, Mambe-Ani&lt;style face="italic"&gt; et al.&lt;/style&gt; 2019)&lt;/DisplayText&gt;&lt;record&gt;&lt;rec-number&gt;9&lt;/rec-number&gt;&lt;foreign-keys&gt;&lt;key app="EN" db-id="sdxv00rtkzrf0jes0zpvdvzwpsxdddfsdz9e" timestamp="1765618352"&gt;9&lt;/key&gt;&lt;/foreign-keys&gt;&lt;ref-type name="Journal Article"&gt;17&lt;/ref-type&gt;&lt;contributors&gt;&lt;authors&gt;&lt;author&gt;Mambe-Ani, Perpétue&lt;/author&gt;&lt;author&gt;Ouattara, Koffi Nouho&lt;/author&gt;&lt;author&gt;Elleingand, Fattoh Eric&lt;/author&gt;&lt;author&gt;Kadjo, Vincent &lt;/author&gt;&lt;/authors&gt;&lt;/contributors&gt;&lt;titles&gt;&lt;title&gt;Assessment of the impact of pesticide use in urban and periurban agriculture in Abidjan, Côte d’Ivoire&lt;/title&gt;&lt;secondary-title&gt; International Journal of Biological Chemical Sciences&lt;/secondary-title&gt;&lt;/titles&gt;&lt;pages&gt;2824-2837&lt;/pages&gt;&lt;volume&gt;13&lt;/volume&gt;&lt;number&gt;6&lt;/number&gt;&lt;dates&gt;&lt;year&gt;2019&lt;/year&gt;&lt;/dates&gt;&lt;isbn&gt;1997-342X&lt;/isbn&gt;&lt;urls&gt;&lt;/urls&gt;&lt;electronic-resource-num&gt; https://dx.doi.org/10.4314/ijbcs.v13i6.32&lt;/electronic-resource-num&gt;&lt;/record&gt;&lt;/Cite&gt;&lt;Cite&gt;&lt;Author&gt;Kpan&lt;/Author&gt;&lt;Year&gt;2019&lt;/Year&gt;&lt;RecNum&gt;5&lt;/RecNum&gt;&lt;record&gt;&lt;rec-number&gt;5&lt;/rec-number&gt;&lt;foreign-keys&gt;&lt;key app="EN" db-id="sdxv00rtkzrf0jes0zpvdvzwpsxdddfsdz9e" timestamp="1765618000"&gt;5&lt;/key&gt;&lt;/foreign-keys&gt;&lt;ref-type name="Journal Article"&gt;17&lt;/ref-type&gt;&lt;contributors&gt;&lt;authors&gt;&lt;author&gt;Kpan, K&lt;/author&gt;&lt;author&gt;Yao, B&lt;/author&gt;&lt;author&gt;Diemeleou, C&lt;/author&gt;&lt;author&gt;N’guettia, R&lt;/author&gt;&lt;author&gt;Traore, S&lt;/author&gt;&lt;author&gt;Dembele, Ardjouma  &lt;/author&gt;&lt;/authors&gt;&lt;/contributors&gt;&lt;titles&gt;&lt;title&gt;Pratiques phytosanitaires en agriculture périurbaine et contamination des denrées par les pesticides: cas des maraîchers de Port-Bouët (Abidjan)&lt;/title&gt;&lt;secondary-title&gt;Anim Plant Sci&lt;/secondary-title&gt;&lt;/titles&gt;&lt;periodical&gt;&lt;full-title&gt;Anim Plant Sci&lt;/full-title&gt;&lt;/periodical&gt;&lt;pages&gt;6847-63&lt;/pages&gt;&lt;volume&gt;41&lt;/volume&gt;&lt;dates&gt;&lt;year&gt;2019&lt;/year&gt;&lt;/dates&gt;&lt;urls&gt;&lt;/urls&gt;&lt;/record&gt;&lt;/Cite&gt;&lt;/EndNote&gt;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(Kpan</w:t>
      </w:r>
      <w:r w:rsidRPr="00F50615">
        <w:rPr>
          <w:rFonts w:ascii="Arial" w:hAnsi="Arial" w:cs="Arial"/>
          <w:i/>
          <w:lang w:val="en-GB"/>
        </w:rPr>
        <w:t xml:space="preserve"> et al.</w:t>
      </w:r>
      <w:r w:rsidRPr="00F50615">
        <w:rPr>
          <w:rFonts w:ascii="Arial" w:hAnsi="Arial" w:cs="Arial"/>
          <w:lang w:val="en-GB"/>
        </w:rPr>
        <w:t xml:space="preserve"> 2019, Mambe-Ani</w:t>
      </w:r>
      <w:r w:rsidRPr="00F50615">
        <w:rPr>
          <w:rFonts w:ascii="Arial" w:hAnsi="Arial" w:cs="Arial"/>
          <w:i/>
          <w:lang w:val="en-GB"/>
        </w:rPr>
        <w:t xml:space="preserve"> et al.</w:t>
      </w:r>
      <w:r w:rsidRPr="00F50615">
        <w:rPr>
          <w:rFonts w:ascii="Arial" w:hAnsi="Arial" w:cs="Arial"/>
          <w:lang w:val="en-GB"/>
        </w:rPr>
        <w:t xml:space="preserve"> 2019)</w:t>
      </w:r>
      <w:r w:rsidRPr="00F50615">
        <w:rPr>
          <w:rFonts w:ascii="Arial" w:hAnsi="Arial" w:cs="Arial"/>
        </w:rPr>
        <w:fldChar w:fldCharType="end"/>
      </w:r>
      <w:r w:rsidRPr="00F50615">
        <w:rPr>
          <w:rFonts w:ascii="Arial" w:hAnsi="Arial" w:cs="Arial"/>
          <w:lang w:val="en-GB"/>
        </w:rPr>
        <w:t xml:space="preserve">. Such practices increase the likelihood of agrochemical transfer to adjacent environmental compartments, particularly surface waters, through runoff, erosion, and leaching processes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&lt;EndNote&gt;&lt;Cite&gt;&lt;Author&gt;Carvalho&lt;/Author&gt;&lt;Year&gt;2017&lt;/Year&gt;&lt;RecNum&gt;7&lt;/RecNum&gt;&lt;DisplayText&gt;(Stehle and Schulz 2015, Carvalho 2017)&lt;/DisplayText&gt;&lt;record&gt;&lt;rec-number&gt;7&lt;/rec-number&gt;&lt;foreign-keys&gt;&lt;key app="EN" db-id="sdxv00rtkzrf0jes0zpvdvzwpsxdddfsdz9e" timestamp="1765618023"&gt;7&lt;/key&gt;&lt;/foreign-keys&gt;&lt;ref-type name="Journal Article"&gt;17&lt;/ref-type&gt;&lt;contributors&gt;&lt;authors&gt;&lt;author&gt;Carvalho, Fernando P %J &lt;/author&gt;&lt;/authors&gt;&lt;/contributors&gt;&lt;titles&gt;&lt;title&gt;Pesticides, environment, and food safety&lt;/title&gt;&lt;secondary-title&gt;Food energy security&lt;/secondary-title&gt;&lt;/titles&gt;&lt;periodical&gt;&lt;full-title&gt;Food energy security&lt;/full-title&gt;&lt;/periodical&gt;&lt;pages&gt;48-60&lt;/pages&gt;&lt;volume&gt;6&lt;/volume&gt;&lt;number&gt;2&lt;/number&gt;&lt;dates&gt;&lt;year&gt;2017&lt;/year&gt;&lt;/dates&gt;&lt;isbn&gt;2048-3694&lt;/isbn&gt;&lt;urls&gt;&lt;/urls&gt;&lt;electronic-resource-num&gt;https://doi.org/10.1002/fes3.108&lt;/electronic-resource-num&gt;&lt;/record&gt;&lt;/Cite&gt;&lt;Cite&gt;&lt;Author&gt;Stehle&lt;/Author&gt;&lt;Year&gt;2015&lt;/Year&gt;&lt;RecNum&gt;9&lt;/RecNum&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EndNote&gt;</w:instrText>
      </w:r>
      <w:r w:rsidRPr="00F50615">
        <w:rPr>
          <w:rFonts w:ascii="Arial" w:hAnsi="Arial" w:cs="Arial"/>
          <w:lang w:val="en-GB"/>
        </w:rPr>
        <w:fldChar w:fldCharType="separate"/>
      </w:r>
      <w:r w:rsidRPr="00F50615">
        <w:rPr>
          <w:rFonts w:ascii="Arial" w:hAnsi="Arial" w:cs="Arial"/>
          <w:lang w:val="en-GB"/>
        </w:rPr>
        <w:t>(Stehle and Schulz 2015, Carvalho 2017)</w:t>
      </w:r>
      <w:r w:rsidRPr="00F50615">
        <w:rPr>
          <w:rFonts w:ascii="Arial" w:hAnsi="Arial" w:cs="Arial"/>
        </w:rPr>
        <w:fldChar w:fldCharType="end"/>
      </w:r>
      <w:r w:rsidRPr="00F50615">
        <w:rPr>
          <w:rFonts w:ascii="Arial" w:hAnsi="Arial" w:cs="Arial"/>
          <w:lang w:val="en-GB"/>
        </w:rPr>
        <w:t>.</w:t>
      </w:r>
    </w:p>
    <w:p w14:paraId="731371C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rivers are especially sensitive to diffuse agricultural pollution, as they integrate upstream pressures within relatively small and highly modified catchments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&lt;EndNote&gt;&lt;Cite&gt;&lt;Author&gt;Roy&lt;/Author&gt;&lt;Year&gt;2008&lt;/Year&gt;&lt;RecNum&gt;8&lt;/RecNum&gt;&lt;DisplayText&gt;(Roy&lt;style face="italic"&gt; et al.&lt;/style&gt; 2008)&lt;/DisplayText&gt;&lt;record&gt;&lt;rec-number&gt;8&lt;/rec-number&gt;&lt;foreign-keys&gt;&lt;key app="EN" db-id="0ezsp9v08za5fcerd25592wxz2prpvpetxz2" timestamp="1765620044"&gt;8&lt;/key&gt;&lt;/foreign-keys&gt;&lt;ref-type name="Journal Article"&gt;17&lt;/ref-type&gt;&lt;contributors&gt;&lt;authors&gt;&lt;author&gt;Roy, Allison H&lt;/author&gt;&lt;author&gt;Wenger, Seth J&lt;/author&gt;&lt;author&gt;Fletcher, Tim D&lt;/author&gt;&lt;author&gt;Walsh, Christopher J&lt;/author&gt;&lt;author&gt;Ladson, Anthony R&lt;/author&gt;&lt;author&gt;Shuster, William D&lt;/author&gt;&lt;author&gt;Thurston, Hale W&lt;/author&gt;&lt;author&gt;Brown, Rebekah R &lt;/author&gt;&lt;/authors&gt;&lt;/contributors&gt;&lt;titles&gt;&lt;title&gt;Impediments and solutions to sustainable, watershed-scale urban stormwater management: lessons from Australia and the United States&lt;/title&gt;&lt;secondary-title&gt;Environmental management&lt;/secondary-title&gt;&lt;/titles&gt;&lt;periodical&gt;&lt;full-title&gt;Environmental management&lt;/full-title&gt;&lt;/periodical&gt;&lt;pages&gt;344-359&lt;/pages&gt;&lt;volume&gt;42&lt;/volume&gt;&lt;number&gt;2&lt;/number&gt;&lt;dates&gt;&lt;year&gt;2008&lt;/year&gt;&lt;/dates&gt;&lt;isbn&gt;0364-152X&lt;/isbn&gt;&lt;urls&gt;&lt;/urls&gt;&lt;electronic-resource-num&gt;https://doi.org/10.1007/s00267-008-9119-1&lt;/electronic-resource-num&gt;&lt;/record&gt;&lt;/Cite&gt;&lt;/EndNote&gt;</w:instrText>
      </w:r>
      <w:r w:rsidRPr="00F50615">
        <w:rPr>
          <w:rFonts w:ascii="Arial" w:hAnsi="Arial" w:cs="Arial"/>
          <w:lang w:val="en-GB"/>
        </w:rPr>
        <w:fldChar w:fldCharType="separate"/>
      </w:r>
      <w:r w:rsidRPr="00F50615">
        <w:rPr>
          <w:rFonts w:ascii="Arial" w:hAnsi="Arial" w:cs="Arial"/>
          <w:lang w:val="en-GB"/>
        </w:rPr>
        <w:t>(Roy</w:t>
      </w:r>
      <w:r w:rsidRPr="00F50615">
        <w:rPr>
          <w:rFonts w:ascii="Arial" w:hAnsi="Arial" w:cs="Arial"/>
          <w:i/>
          <w:lang w:val="en-GB"/>
        </w:rPr>
        <w:t xml:space="preserve"> et al.</w:t>
      </w:r>
      <w:r w:rsidRPr="00F50615">
        <w:rPr>
          <w:rFonts w:ascii="Arial" w:hAnsi="Arial" w:cs="Arial"/>
          <w:lang w:val="en-GB"/>
        </w:rPr>
        <w:t xml:space="preserve"> 2008)</w:t>
      </w:r>
      <w:r w:rsidRPr="00F50615">
        <w:rPr>
          <w:rFonts w:ascii="Arial" w:hAnsi="Arial" w:cs="Arial"/>
        </w:rPr>
        <w:fldChar w:fldCharType="end"/>
      </w:r>
      <w:r w:rsidRPr="00F50615">
        <w:rPr>
          <w:rFonts w:ascii="Arial" w:hAnsi="Arial" w:cs="Arial"/>
          <w:lang w:val="en-GB"/>
        </w:rPr>
        <w:t xml:space="preserve">. Changes in </w:t>
      </w:r>
      <w:proofErr w:type="spellStart"/>
      <w:r w:rsidRPr="00F50615">
        <w:rPr>
          <w:rFonts w:ascii="Arial" w:hAnsi="Arial" w:cs="Arial"/>
          <w:lang w:val="en-GB"/>
        </w:rPr>
        <w:t>physico</w:t>
      </w:r>
      <w:proofErr w:type="spellEnd"/>
      <w:r w:rsidRPr="00F50615">
        <w:rPr>
          <w:rFonts w:ascii="Arial" w:hAnsi="Arial" w:cs="Arial"/>
          <w:lang w:val="en-GB"/>
        </w:rPr>
        <w:t xml:space="preserve"> -chemical water quality such as increased nutrient concentrations, altered ionic composition, or elevated conductivity can degrade aquatic ecosystems, reduce the suitability of water for irrigation and other urban uses, and exacerbate public health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&lt;EndNote&gt;&lt;Cite&gt;&lt;Author&gt;WHO&lt;/Author&gt;&lt;Year&gt;2022&lt;/Year&gt;&lt;RecNum&gt;3&lt;/RecNum&gt;&lt;DisplayText&gt;(Kaushal&lt;style face="italic"&gt; et al.&lt;/style&gt; 2018, WHO 2022)&lt;/DisplayText&gt;&lt;record&gt;&lt;rec-number&gt;3&lt;/rec-number&gt;&lt;foreign-keys&gt;&lt;key app="EN" db-id="artdva0tl0wr0qe2e5dxp9fpa5d999xzrd22" timestamp="1765621901"&gt;3&lt;/key&gt;&lt;/foreign-keys&gt;&lt;ref-type name="Book"&gt;6&lt;/ref-type&gt;&lt;contributors&gt;&lt;authors&gt;&lt;author&gt;WHO,&lt;/author&gt;&lt;/authors&gt;&lt;/contributors&gt;&lt;titles&gt;&lt;title&gt;Guidelines for drinking-water quality: incorporating the first and second addenda&lt;/title&gt;&lt;/titles&gt;&lt;dates&gt;&lt;year&gt;2022&lt;/year&gt;&lt;/dates&gt;&lt;publisher&gt;World Health Organization&lt;/publisher&gt;&lt;isbn&gt;9240045066&lt;/isbn&gt;&lt;urls&gt;&lt;/urls&gt;&lt;/record&gt;&lt;/Cite&gt;&lt;Cite&gt;&lt;Author&gt;Kaushal&lt;/Author&gt;&lt;Year&gt;2018&lt;/Year&gt;&lt;RecNum&gt;5&lt;/RecNum&gt;&lt;record&gt;&lt;rec-number&gt;5&lt;/rec-number&gt;&lt;foreign-keys&gt;&lt;key app="EN" db-id="artdva0tl0wr0qe2e5dxp9fpa5d999xzrd22" timestamp="1765621968"&gt;5&lt;/key&gt;&lt;/foreign-keys&gt;&lt;ref-type name="Journal Article"&gt;17&lt;/ref-type&gt;&lt;contributors&gt;&lt;authors&gt;&lt;author&gt;Kaushal, Sujay S&lt;/author&gt;&lt;author&gt;Likens, Gene E&lt;/author&gt;&lt;author&gt;Pace, Michael L&lt;/author&gt;&lt;author&gt;Utz, Ryan M&lt;/author&gt;&lt;author&gt;Haq, Shahan&lt;/author&gt;&lt;author&gt;Gorman, Julia&lt;/author&gt;&lt;author&gt;Grese, Melissa&lt;/author&gt;&lt;/authors&gt;&lt;/contributors&gt;&lt;titles&gt;&lt;title&gt;Freshwater salinization syndrome on a continental scale&lt;/title&gt;&lt;secondary-title&gt;Proceedings of the National Academy of Sciences&lt;/secondary-title&gt;&lt;/titles&gt;&lt;periodical&gt;&lt;full-title&gt;Proceedings of the National Academy of Sciences&lt;/full-title&gt;&lt;/periodical&gt;&lt;pages&gt;E574-E583&lt;/pages&gt;&lt;volume&gt;115&lt;/volume&gt;&lt;number&gt;4&lt;/number&gt;&lt;dates&gt;&lt;year&gt;2018&lt;/year&gt;&lt;/dates&gt;&lt;isbn&gt;0027-8424&lt;/isbn&gt;&lt;urls&gt;&lt;/urls&gt;&lt;electronic-resource-num&gt;https://doi.org/10.1073/pnas.1711234115&lt;/electronic-resource-num&gt;&lt;/record&gt;&lt;/Cite&gt;&lt;/EndNote&gt;</w:instrText>
      </w:r>
      <w:r w:rsidRPr="00F50615">
        <w:rPr>
          <w:rFonts w:ascii="Arial" w:hAnsi="Arial" w:cs="Arial"/>
          <w:lang w:val="en-GB"/>
        </w:rPr>
        <w:fldChar w:fldCharType="separate"/>
      </w:r>
      <w:r w:rsidRPr="00F50615">
        <w:rPr>
          <w:rFonts w:ascii="Arial" w:hAnsi="Arial" w:cs="Arial"/>
          <w:lang w:val="en-GB"/>
        </w:rPr>
        <w:t>(Kaushal</w:t>
      </w:r>
      <w:r w:rsidRPr="00F50615">
        <w:rPr>
          <w:rFonts w:ascii="Arial" w:hAnsi="Arial" w:cs="Arial"/>
          <w:i/>
          <w:lang w:val="en-GB"/>
        </w:rPr>
        <w:t xml:space="preserve"> et al.</w:t>
      </w:r>
      <w:r w:rsidRPr="00F50615">
        <w:rPr>
          <w:rFonts w:ascii="Arial" w:hAnsi="Arial" w:cs="Arial"/>
          <w:lang w:val="en-GB"/>
        </w:rPr>
        <w:t xml:space="preserve"> 2018, WHO 2022)</w:t>
      </w:r>
      <w:r w:rsidRPr="00F50615">
        <w:rPr>
          <w:rFonts w:ascii="Arial" w:hAnsi="Arial" w:cs="Arial"/>
        </w:rPr>
        <w:fldChar w:fldCharType="end"/>
      </w:r>
      <w:r w:rsidRPr="00F50615">
        <w:rPr>
          <w:rFonts w:ascii="Arial" w:hAnsi="Arial" w:cs="Arial"/>
          <w:lang w:val="en-GB"/>
        </w:rPr>
        <w:t xml:space="preserve">. Despite these risks, water quality monitoring in rapidly expanding African cities remains limited, and empirical data linking peri -urban agricultural practices to urban river water quality are still scarce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&lt;EndNote&gt;&lt;Cite&gt;&lt;Author&gt;Nyenje&lt;/Author&gt;&lt;Year&gt;2010&lt;/Year&gt;&lt;RecNum&gt;9&lt;/RecNum&gt;&lt;DisplayText&gt;(Nyenje&lt;style face="italic"&gt; et al.&lt;/style&gt; 2010)&lt;/DisplayText&gt;&lt;record&gt;&lt;rec-number&gt;9&lt;/rec-number&gt;&lt;foreign-keys&gt;&lt;key app="EN" db-id="artdva0tl0wr0qe2e5dxp9fpa5d999xzrd22" timestamp="1765621968"&gt;9&lt;/key&gt;&lt;/foreign-keys&gt;&lt;ref-type name="Journal Article"&gt;17&lt;/ref-type&gt;&lt;contributors&gt;&lt;authors&gt;&lt;author&gt;Nyenje, PM&lt;/author&gt;&lt;author&gt;Foppen, JW&lt;/author&gt;&lt;author&gt;Uhlenbrook, S&lt;/author&gt;&lt;author&gt;Kulabako, R&lt;/author&gt;&lt;author&gt;Muwanga, A  &lt;/author&gt;&lt;/authors&gt;&lt;/contributors&gt;&lt;titles&gt;&lt;title&gt;Eutrophication and nutrient release in urban areas of sub-Saharan Africa—a review&lt;/title&gt;&lt;secondary-title&gt;Science of the total environment&lt;/secondary-title&gt;&lt;/titles&gt;&lt;periodical&gt;&lt;full-title&gt;Science of the total environment&lt;/full-title&gt;&lt;/periodical&gt;&lt;pages&gt;447-455&lt;/pages&gt;&lt;volume&gt;408&lt;/volume&gt;&lt;number&gt;3&lt;/number&gt;&lt;dates&gt;&lt;year&gt;2010&lt;/year&gt;&lt;/dates&gt;&lt;isbn&gt;0048-9697&lt;/isbn&gt;&lt;urls&gt;&lt;/urls&gt;&lt;electronic-resource-num&gt;https://doi.org/10.1016/j.scitotenv.2009.10.020&lt;/electronic-resource-num&gt;&lt;/record&gt;&lt;/Cite&gt;&lt;/EndNote&gt;</w:instrText>
      </w:r>
      <w:r w:rsidRPr="00F50615">
        <w:rPr>
          <w:rFonts w:ascii="Arial" w:hAnsi="Arial" w:cs="Arial"/>
          <w:lang w:val="en-GB"/>
        </w:rPr>
        <w:fldChar w:fldCharType="separate"/>
      </w:r>
      <w:r w:rsidRPr="00F50615">
        <w:rPr>
          <w:rFonts w:ascii="Arial" w:hAnsi="Arial" w:cs="Arial"/>
          <w:lang w:val="en-GB"/>
        </w:rPr>
        <w:t>(Nyenje</w:t>
      </w:r>
      <w:r w:rsidRPr="00F50615">
        <w:rPr>
          <w:rFonts w:ascii="Arial" w:hAnsi="Arial" w:cs="Arial"/>
          <w:i/>
          <w:lang w:val="en-GB"/>
        </w:rPr>
        <w:t xml:space="preserve"> et al.</w:t>
      </w:r>
      <w:r w:rsidRPr="00F50615">
        <w:rPr>
          <w:rFonts w:ascii="Arial" w:hAnsi="Arial" w:cs="Arial"/>
          <w:lang w:val="en-GB"/>
        </w:rPr>
        <w:t xml:space="preserve"> 2010)</w:t>
      </w:r>
      <w:r w:rsidRPr="00F50615">
        <w:rPr>
          <w:rFonts w:ascii="Arial" w:hAnsi="Arial" w:cs="Arial"/>
        </w:rPr>
        <w:fldChar w:fldCharType="end"/>
      </w:r>
      <w:r w:rsidRPr="00F50615">
        <w:rPr>
          <w:rFonts w:ascii="Arial" w:hAnsi="Arial" w:cs="Arial"/>
          <w:lang w:val="en-GB"/>
        </w:rPr>
        <w:t>.</w:t>
      </w:r>
    </w:p>
    <w:p w14:paraId="4C011C90" w14:textId="77777777" w:rsidR="00F50615" w:rsidRPr="00F50615" w:rsidRDefault="009B5E57" w:rsidP="00F50615">
      <w:pPr>
        <w:pStyle w:val="Body"/>
        <w:spacing w:after="0"/>
        <w:rPr>
          <w:rFonts w:ascii="Arial" w:hAnsi="Arial" w:cs="Arial"/>
          <w:lang w:val="en-GB"/>
        </w:rPr>
      </w:pPr>
      <w:r>
        <w:rPr>
          <w:rFonts w:ascii="Arial" w:hAnsi="Arial" w:cs="Arial"/>
          <w:lang w:val="en-GB"/>
        </w:rPr>
        <w:t xml:space="preserve">In </w:t>
      </w:r>
      <w:proofErr w:type="spellStart"/>
      <w:r>
        <w:rPr>
          <w:rFonts w:ascii="Arial" w:hAnsi="Arial" w:cs="Arial"/>
          <w:lang w:val="en-GB"/>
        </w:rPr>
        <w:t>Korhogo</w:t>
      </w:r>
      <w:proofErr w:type="spellEnd"/>
      <w:r w:rsidR="00F50615" w:rsidRPr="00F50615">
        <w:rPr>
          <w:rFonts w:ascii="Arial" w:hAnsi="Arial" w:cs="Arial"/>
          <w:lang w:val="en-GB"/>
        </w:rPr>
        <w:t xml:space="preserve">,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represents a key component of the urban hydrological network, flowing through areas intensively occupied by peri -urban market gardening. While socio-economic and value-chain </w:t>
      </w:r>
      <w:proofErr w:type="spellStart"/>
      <w:r w:rsidR="00F50615" w:rsidRPr="00F50615">
        <w:rPr>
          <w:rFonts w:ascii="Arial" w:hAnsi="Arial" w:cs="Arial"/>
          <w:lang w:val="en-GB"/>
        </w:rPr>
        <w:t>analyzes</w:t>
      </w:r>
      <w:proofErr w:type="spellEnd"/>
      <w:r w:rsidR="00F50615" w:rsidRPr="00F50615">
        <w:rPr>
          <w:rFonts w:ascii="Arial" w:hAnsi="Arial" w:cs="Arial"/>
          <w:lang w:val="en-GB"/>
        </w:rPr>
        <w:t xml:space="preserve"> have provided detailed insights into the organization, constraints, and performance of the local vegetable sector </w:t>
      </w:r>
      <w:r w:rsidR="00F50615" w:rsidRPr="00F50615">
        <w:rPr>
          <w:rFonts w:ascii="Arial" w:hAnsi="Arial" w:cs="Arial"/>
          <w:lang w:val="en-GB"/>
        </w:rPr>
        <w:fldChar w:fldCharType="begin"/>
      </w:r>
      <w:r w:rsidR="00F50615"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00F50615" w:rsidRPr="00F50615">
        <w:rPr>
          <w:rFonts w:ascii="Arial" w:hAnsi="Arial" w:cs="Arial"/>
          <w:lang w:val="en-GB"/>
        </w:rPr>
        <w:fldChar w:fldCharType="separate"/>
      </w:r>
      <w:r w:rsidR="00F50615" w:rsidRPr="00F50615">
        <w:rPr>
          <w:rFonts w:ascii="Arial" w:hAnsi="Arial" w:cs="Arial"/>
          <w:lang w:val="en-GB"/>
        </w:rPr>
        <w:t>(Ballé 2024, Dosso</w:t>
      </w:r>
      <w:r w:rsidR="00F50615" w:rsidRPr="00F50615">
        <w:rPr>
          <w:rFonts w:ascii="Arial" w:hAnsi="Arial" w:cs="Arial"/>
          <w:i/>
          <w:lang w:val="en-GB"/>
        </w:rPr>
        <w:t xml:space="preserve"> et al.</w:t>
      </w:r>
      <w:r w:rsidR="00F50615" w:rsidRPr="00F50615">
        <w:rPr>
          <w:rFonts w:ascii="Arial" w:hAnsi="Arial" w:cs="Arial"/>
          <w:lang w:val="en-GB"/>
        </w:rPr>
        <w:t xml:space="preserve"> 2025)</w:t>
      </w:r>
      <w:r w:rsidR="00F50615" w:rsidRPr="00F50615">
        <w:rPr>
          <w:rFonts w:ascii="Arial" w:hAnsi="Arial" w:cs="Arial"/>
        </w:rPr>
        <w:fldChar w:fldCharType="end"/>
      </w:r>
      <w:r w:rsidR="00F50615" w:rsidRPr="00F50615">
        <w:rPr>
          <w:rFonts w:ascii="Arial" w:hAnsi="Arial" w:cs="Arial"/>
          <w:lang w:val="en-GB"/>
        </w:rPr>
        <w:t xml:space="preserve">, the environmental implications of these activities for urban surface water quality remain poorly documented. In particular, the </w:t>
      </w:r>
      <w:proofErr w:type="spellStart"/>
      <w:r w:rsidR="00F50615" w:rsidRPr="00F50615">
        <w:rPr>
          <w:rFonts w:ascii="Arial" w:hAnsi="Arial" w:cs="Arial"/>
          <w:lang w:val="en-GB"/>
        </w:rPr>
        <w:t>physico</w:t>
      </w:r>
      <w:proofErr w:type="spellEnd"/>
      <w:r w:rsidR="00F50615" w:rsidRPr="00F50615">
        <w:rPr>
          <w:rFonts w:ascii="Arial" w:hAnsi="Arial" w:cs="Arial"/>
          <w:lang w:val="en-GB"/>
        </w:rPr>
        <w:t xml:space="preserve"> -chemical status of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and its response to peri -urban agricultural pressures have not been systematically assessed, limiting the integration of agriculture-related pressures into urban water management strategies.</w:t>
      </w:r>
    </w:p>
    <w:p w14:paraId="61B1938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Assessing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urban rivers under peri -urban agricultural influence is essential for improving the understanding of land–water interactions in rapidly urbanizing contexts and for supporting evidence-based decision-making in urban water governance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&lt;EndNote&gt;&lt;Cite&gt;&lt;Author&gt;McGrane&lt;/Author&gt;&lt;Year&gt;2016&lt;/Year&gt;&lt;RecNum&gt;8&lt;/RecNum&gt;&lt;DisplayText&gt;(McGrane 2016)&lt;/DisplayText&gt;&lt;record&gt;&lt;rec-number&gt;8&lt;/rec-number&gt;&lt;foreign-keys&gt;&lt;key app="EN" db-id="artdva0tl0wr0qe2e5dxp9fpa5d999xzrd22" timestamp="1765621968"&gt;8&lt;/key&gt;&lt;/foreign-keys&gt;&lt;ref-type name="Journal Article"&gt;17&lt;/ref-type&gt;&lt;contributors&gt;&lt;authors&gt;&lt;author&gt;McGrane, Scott J  &lt;/author&gt;&lt;/authors&gt;&lt;/contributors&gt;&lt;titles&gt;&lt;title&gt;Impacts of urbanisation on hydrological and water quality dynamics, and urban water management: a review&lt;/title&gt;&lt;secondary-title&gt;Hydrological Sciences Journal&lt;/secondary-title&gt;&lt;/titles&gt;&lt;periodical&gt;&lt;full-title&gt;Hydrological Sciences Journal&lt;/full-title&gt;&lt;/periodical&gt;&lt;pages&gt;2295-2311&lt;/pages&gt;&lt;volume&gt;61&lt;/volume&gt;&lt;number&gt;13&lt;/number&gt;&lt;dates&gt;&lt;year&gt;2016&lt;/year&gt;&lt;/dates&gt;&lt;isbn&gt;0262-6667&lt;/isbn&gt;&lt;urls&gt;&lt;/urls&gt;&lt;electronic-resource-num&gt; https://doi.org/10.1080/02626667.2015.1128084&lt;/electronic-resource-num&gt;&lt;/record&gt;&lt;/Cite&gt;&lt;/EndNote&gt;</w:instrText>
      </w:r>
      <w:r w:rsidRPr="00F50615">
        <w:rPr>
          <w:rFonts w:ascii="Arial" w:hAnsi="Arial" w:cs="Arial"/>
          <w:lang w:val="en-GB"/>
        </w:rPr>
        <w:fldChar w:fldCharType="separate"/>
      </w:r>
      <w:r w:rsidRPr="00F50615">
        <w:rPr>
          <w:rFonts w:ascii="Arial" w:hAnsi="Arial" w:cs="Arial"/>
          <w:lang w:val="en-GB"/>
        </w:rPr>
        <w:t>(McGrane 2016)</w:t>
      </w:r>
      <w:r w:rsidRPr="00F50615">
        <w:rPr>
          <w:rFonts w:ascii="Arial" w:hAnsi="Arial" w:cs="Arial"/>
        </w:rPr>
        <w:fldChar w:fldCharType="end"/>
      </w:r>
      <w:r w:rsidRPr="00F50615">
        <w:rPr>
          <w:rFonts w:ascii="Arial" w:hAnsi="Arial" w:cs="Arial"/>
          <w:lang w:val="en-GB"/>
        </w:rPr>
        <w:t>. Such assessments contribute to the broader objectives of integrated urban water management by identifying degradation processes, informing risk mitigation strategies, and supporting the sustainable coexistence of food production and urban water systems.</w:t>
      </w:r>
    </w:p>
    <w:p w14:paraId="7476A738"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objective of this study is therefore to evaluate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the </w:t>
      </w:r>
      <w:proofErr w:type="spellStart"/>
      <w:r w:rsidRPr="00F50615">
        <w:rPr>
          <w:rFonts w:ascii="Arial" w:hAnsi="Arial" w:cs="Arial"/>
          <w:lang w:val="en-GB"/>
        </w:rPr>
        <w:t>Téguéré</w:t>
      </w:r>
      <w:proofErr w:type="spellEnd"/>
      <w:r w:rsidRPr="00F50615">
        <w:rPr>
          <w:rFonts w:ascii="Arial" w:hAnsi="Arial" w:cs="Arial"/>
          <w:lang w:val="en-GB"/>
        </w:rPr>
        <w:t xml:space="preserve"> River under peri -urban market gardening pressures in the city of </w:t>
      </w:r>
      <w:proofErr w:type="spellStart"/>
      <w:r w:rsidRPr="00F50615">
        <w:rPr>
          <w:rFonts w:ascii="Arial" w:hAnsi="Arial" w:cs="Arial"/>
          <w:lang w:val="en-GB"/>
        </w:rPr>
        <w:t>Korhogo</w:t>
      </w:r>
      <w:proofErr w:type="spellEnd"/>
      <w:r w:rsidRPr="00F50615">
        <w:rPr>
          <w:rFonts w:ascii="Arial" w:hAnsi="Arial" w:cs="Arial"/>
          <w:lang w:val="en-GB"/>
        </w:rPr>
        <w:t>, providing empirical evidence to support integrated management of urban surface waters in secondary cities of West Africa.</w:t>
      </w:r>
    </w:p>
    <w:p w14:paraId="06F9FA1F" w14:textId="77777777" w:rsidR="00790ADA" w:rsidRPr="00F50615" w:rsidRDefault="00790ADA" w:rsidP="00441B6F">
      <w:pPr>
        <w:pStyle w:val="Body"/>
        <w:spacing w:after="0"/>
        <w:rPr>
          <w:rFonts w:ascii="Arial" w:hAnsi="Arial" w:cs="Arial"/>
          <w:lang w:val="en-GB"/>
        </w:rPr>
      </w:pPr>
    </w:p>
    <w:p w14:paraId="3EFD2498"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1071B0F1" w14:textId="77777777" w:rsidR="00F50615" w:rsidRPr="00FB3A86" w:rsidRDefault="00F50615" w:rsidP="00441B6F">
      <w:pPr>
        <w:pStyle w:val="AbstHead"/>
        <w:spacing w:after="0"/>
        <w:jc w:val="both"/>
        <w:rPr>
          <w:rFonts w:ascii="Arial" w:hAnsi="Arial" w:cs="Arial"/>
        </w:rPr>
      </w:pPr>
    </w:p>
    <w:p w14:paraId="749DB93B"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is located in </w:t>
      </w:r>
      <w:proofErr w:type="spellStart"/>
      <w:r w:rsidRPr="00F50615">
        <w:rPr>
          <w:rFonts w:ascii="Arial" w:hAnsi="Arial" w:cs="Arial"/>
          <w:lang w:val="en-GB"/>
        </w:rPr>
        <w:t>Korhogo</w:t>
      </w:r>
      <w:proofErr w:type="spellEnd"/>
      <w:r w:rsidRPr="00F50615">
        <w:rPr>
          <w:rFonts w:ascii="Arial" w:hAnsi="Arial" w:cs="Arial"/>
          <w:lang w:val="en-GB"/>
        </w:rPr>
        <w:t xml:space="preserve"> , in the northern region of Côte d'Ivoire, in the </w:t>
      </w:r>
      <w:proofErr w:type="spellStart"/>
      <w:r w:rsidRPr="00F50615">
        <w:rPr>
          <w:rFonts w:ascii="Arial" w:hAnsi="Arial" w:cs="Arial"/>
          <w:lang w:val="en-GB"/>
        </w:rPr>
        <w:t>Savanes</w:t>
      </w:r>
      <w:proofErr w:type="spellEnd"/>
      <w:r w:rsidRPr="00F50615">
        <w:rPr>
          <w:rFonts w:ascii="Arial" w:hAnsi="Arial" w:cs="Arial"/>
          <w:lang w:val="en-GB"/>
        </w:rPr>
        <w:t xml:space="preserve"> district, approximately 568 km north of Abidjan and 331 km from Yamoussoukro, with coordinates of 9°03′N and 5°40′W and an average altitude of 380 m </w:t>
      </w:r>
      <w:r w:rsidRPr="00F50615">
        <w:rPr>
          <w:rFonts w:ascii="Arial" w:hAnsi="Arial" w:cs="Arial"/>
          <w:lang w:val="en-GB"/>
        </w:rPr>
        <w:fldChar w:fldCharType="begin"/>
      </w:r>
      <w:r w:rsidRPr="00F50615">
        <w:rPr>
          <w:rFonts w:ascii="Arial" w:hAnsi="Arial" w:cs="Arial"/>
          <w:lang w:val="en-GB"/>
        </w:rPr>
        <w:instrText xml:space="preserve"> ADDIN EN.CITE &lt;EndNote&gt;&lt;Cite&gt;&lt;Author&gt;TRAORE&lt;/Author&gt;&lt;Year&gt;2025&lt;/Year&gt;&lt;RecNum&gt;1&lt;/RecNum&gt;&lt;DisplayText&gt;(Traoré 2025)&lt;/DisplayText&gt;&lt;record&gt;&lt;rec-number&gt;1&lt;/rec-number&gt;&lt;foreign-keys&gt;&lt;key app="EN" db-id="xx000tfe2e9axre5rx9xdwzmrt0wztxtrp09" timestamp="1765626275"&gt;1&lt;/key&gt;&lt;/foreign-keys&gt;&lt;ref-type name="Journal Article"&gt;17&lt;/ref-type&gt;&lt;contributors&gt;&lt;authors&gt;&lt;author&gt;Traoré, Michel &lt;/author&gt;&lt;/authors&gt;&lt;/contributors&gt;&lt;titles&gt;&lt;title&gt;Land artificialisation and urban heat island development in Korhogo, northern Côte d&amp;apos;Ivoire&lt;/title&gt;&lt;secondary-title&gt;Urban Art BioO&lt;/secondary-title&gt;&lt;/titles&gt;&lt;periodical&gt;&lt;full-title&gt;Urban Art BioO&lt;/full-title&gt;&lt;/periodical&gt;&lt;pages&gt;1-16&lt;/pages&gt;&lt;volume&gt;4&lt;/volume&gt;&lt;number&gt;01&lt;/number&gt;&lt;dates&gt;&lt;year&gt;2025&lt;/year&gt;&lt;/dates&gt;&lt;isbn&gt;2830-9618&lt;/isbn&gt;&lt;urls&gt;&lt;/urls&gt;&lt;/record&gt;&lt;/Cite&gt;&lt;/EndNote&gt;</w:instrText>
      </w:r>
      <w:r w:rsidRPr="00F50615">
        <w:rPr>
          <w:rFonts w:ascii="Arial" w:hAnsi="Arial" w:cs="Arial"/>
          <w:lang w:val="en-GB"/>
        </w:rPr>
        <w:fldChar w:fldCharType="separate"/>
      </w:r>
      <w:r w:rsidRPr="00F50615">
        <w:rPr>
          <w:rFonts w:ascii="Arial" w:hAnsi="Arial" w:cs="Arial"/>
          <w:lang w:val="en-GB"/>
        </w:rPr>
        <w:t>(Traoré 2025)</w:t>
      </w:r>
      <w:r w:rsidRPr="00F50615">
        <w:rPr>
          <w:rFonts w:ascii="Arial" w:hAnsi="Arial" w:cs="Arial"/>
        </w:rPr>
        <w:fldChar w:fldCharType="end"/>
      </w:r>
      <w:r w:rsidRPr="00F50615">
        <w:rPr>
          <w:rFonts w:ascii="Arial" w:hAnsi="Arial" w:cs="Arial"/>
          <w:lang w:val="en-GB"/>
        </w:rPr>
        <w:t xml:space="preserve">(Figure 1). Part of the </w:t>
      </w:r>
      <w:proofErr w:type="spellStart"/>
      <w:r w:rsidRPr="00F50615">
        <w:rPr>
          <w:rFonts w:ascii="Arial" w:hAnsi="Arial" w:cs="Arial"/>
          <w:lang w:val="en-GB"/>
        </w:rPr>
        <w:t>Bandama</w:t>
      </w:r>
      <w:proofErr w:type="spellEnd"/>
      <w:r w:rsidRPr="00F50615">
        <w:rPr>
          <w:rFonts w:ascii="Arial" w:hAnsi="Arial" w:cs="Arial"/>
          <w:lang w:val="en-GB"/>
        </w:rPr>
        <w:t xml:space="preserve"> River system, it originates near Mount </w:t>
      </w:r>
      <w:proofErr w:type="spellStart"/>
      <w:r w:rsidRPr="00F50615">
        <w:rPr>
          <w:rFonts w:ascii="Arial" w:hAnsi="Arial" w:cs="Arial"/>
          <w:lang w:val="en-GB"/>
        </w:rPr>
        <w:t>Korhogo</w:t>
      </w:r>
      <w:proofErr w:type="spellEnd"/>
      <w:r w:rsidRPr="00F50615">
        <w:rPr>
          <w:rFonts w:ascii="Arial" w:hAnsi="Arial" w:cs="Arial"/>
          <w:lang w:val="en-GB"/>
        </w:rPr>
        <w:t xml:space="preserve"> , flows through agricultural areas, and joins other rivers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&lt;EndNote&gt;&lt;Cite&gt;&lt;Author&gt;Dosso&lt;/Author&gt;&lt;Year&gt;2025&lt;/Year&gt;&lt;RecNum&gt;3&lt;/RecNum&gt;&lt;DisplayText&gt;(Dosso&lt;style face="italic"&gt; et al.&lt;/style&gt; 2025)&lt;/DisplayText&gt;&lt;record&gt;&lt;rec-number&gt;3&lt;/rec-number&gt;&lt;foreign-keys&gt;&lt;key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slightly rugged terrain and soils with low buffering capacity promote the transport of pollutants to surface waters </w:t>
      </w:r>
      <w:proofErr w:type="gramStart"/>
      <w:r w:rsidRPr="00F50615">
        <w:rPr>
          <w:rFonts w:ascii="Arial" w:hAnsi="Arial" w:cs="Arial"/>
          <w:lang w:val="en-GB"/>
        </w:rPr>
        <w:t>( Stehle</w:t>
      </w:r>
      <w:proofErr w:type="gramEnd"/>
      <w:r w:rsidRPr="00F50615">
        <w:rPr>
          <w:rFonts w:ascii="Arial" w:hAnsi="Arial" w:cs="Arial"/>
          <w:lang w:val="en-GB"/>
        </w:rPr>
        <w:t xml:space="preserve"> &amp; Schulz, 2015). The climate is characterized by a dry season (November–April) and a rainy season (May–October) with 1,200–1,400 mm of rainfall per year, leading to seasonal flooding between July and September and modulating the hydrological regime, which is also influenced by water withdrawals for irrigation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&lt;EndNote&gt;&lt;Cite&gt;&lt;Author&gt;Goula&lt;/Author&gt;&lt;Year&gt;2006&lt;/Year&gt;&lt;RecNum&gt;2&lt;/RecNum&gt;&lt;DisplayText&gt;(Goula&lt;style face="italic"&gt; et al.&lt;/style&gt; 2006)&lt;/DisplayText&gt;&lt;record&gt;&lt;rec-number&gt;2&lt;/rec-number&gt;&lt;foreign-keys&gt;&lt;key app="EN" db-id="xx000tfe2e9axre5rx9xdwzmrt0wztxtrp09" timestamp="1765626753"&gt;2&lt;/key&gt;&lt;/foreign-keys&gt;&lt;ref-type name="Journal Article"&gt;17&lt;/ref-type&gt;&lt;contributors&gt;&lt;authors&gt;&lt;author&gt;Goula, Bt&lt;/author&gt;&lt;author&gt;Kouassi, VJ&lt;/author&gt;&lt;author&gt;Savane, L  &lt;/author&gt;&lt;/authors&gt;&lt;/contributors&gt;&lt;titles&gt;&lt;title&gt;Impacts du changement climatique sur les ressources en eau en zone tropicale humide: cas du bassin versant du Bandama en Côte d\&amp;apos;Ivoire&lt;/title&gt;&lt;secondary-title&gt;Agronomie africaine&lt;/secondary-title&gt;&lt;/titles&gt;&lt;periodical&gt;&lt;full-title&gt;Agronomie africaine&lt;/full-title&gt;&lt;/periodical&gt;&lt;pages&gt;1-11&lt;/pages&gt;&lt;volume&gt;18&lt;/volume&gt;&lt;number&gt;1&lt;/number&gt;&lt;dates&gt;&lt;year&gt;2006&lt;/year&gt;&lt;/dates&gt;&lt;isbn&gt;1015-2288&lt;/isbn&gt;&lt;urls&gt;&lt;/urls&gt;&lt;/record&gt;&lt;/Cite&gt;&lt;/EndNote&gt;</w:instrText>
      </w:r>
      <w:r w:rsidRPr="00F50615">
        <w:rPr>
          <w:rFonts w:ascii="Arial" w:hAnsi="Arial" w:cs="Arial"/>
          <w:lang w:val="en-GB"/>
        </w:rPr>
        <w:fldChar w:fldCharType="separate"/>
      </w:r>
      <w:r w:rsidRPr="00F50615">
        <w:rPr>
          <w:rFonts w:ascii="Arial" w:hAnsi="Arial" w:cs="Arial"/>
          <w:lang w:val="en-GB"/>
        </w:rPr>
        <w:t>(Goula</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The basin includes surface and groundwater that feeds food crops (maize, cassava, rice), intensive market gardening (sweet potatoes, tomatoes, onions,</w:t>
      </w:r>
      <w:r w:rsidR="009B5E57">
        <w:rPr>
          <w:rFonts w:ascii="Arial" w:hAnsi="Arial" w:cs="Arial"/>
          <w:lang w:val="en-GB"/>
        </w:rPr>
        <w:t xml:space="preserve"> okra), and livestock farming (</w:t>
      </w:r>
      <w:r w:rsidRPr="00F50615">
        <w:rPr>
          <w:rFonts w:ascii="Arial" w:hAnsi="Arial" w:cs="Arial"/>
          <w:lang w:val="en-GB"/>
        </w:rPr>
        <w:t>Tano et al., 2011; Kpan et al., 2019). The ferruginous tropical and sandy-clay soils, which are poor in organic matter and cation retention capacity, are vuln</w:t>
      </w:r>
      <w:r w:rsidR="009B5E57">
        <w:rPr>
          <w:rFonts w:ascii="Arial" w:hAnsi="Arial" w:cs="Arial"/>
          <w:lang w:val="en-GB"/>
        </w:rPr>
        <w:t>erable to chemical pollutants (</w:t>
      </w:r>
      <w:proofErr w:type="gramStart"/>
      <w:r w:rsidRPr="00F50615">
        <w:rPr>
          <w:rFonts w:ascii="Arial" w:hAnsi="Arial" w:cs="Arial"/>
          <w:lang w:val="en-GB"/>
        </w:rPr>
        <w:t>Carvalho ,</w:t>
      </w:r>
      <w:proofErr w:type="gramEnd"/>
      <w:r w:rsidRPr="00F50615">
        <w:rPr>
          <w:rFonts w:ascii="Arial" w:hAnsi="Arial" w:cs="Arial"/>
          <w:lang w:val="en-GB"/>
        </w:rPr>
        <w:t xml:space="preserve"> 2017). The fine texture, combined with limited vegetation cover, promotes runoff and erosion.</w:t>
      </w:r>
    </w:p>
    <w:p w14:paraId="61D808AA" w14:textId="77777777" w:rsidR="00F50615" w:rsidRPr="00F50615" w:rsidRDefault="00F50615" w:rsidP="00F50615">
      <w:pPr>
        <w:pStyle w:val="Body"/>
        <w:spacing w:after="0"/>
        <w:rPr>
          <w:rFonts w:ascii="Arial" w:hAnsi="Arial" w:cs="Arial"/>
          <w:lang w:val="fr-FR"/>
        </w:rPr>
      </w:pPr>
      <w:r w:rsidRPr="00F50615">
        <w:rPr>
          <w:rFonts w:ascii="Arial" w:hAnsi="Arial" w:cs="Arial"/>
          <w:noProof/>
        </w:rPr>
        <w:drawing>
          <wp:inline distT="0" distB="0" distL="0" distR="0" wp14:anchorId="3E0015E4" wp14:editId="2454AA2A">
            <wp:extent cx="5760720" cy="4062730"/>
            <wp:effectExtent l="0" t="0" r="0" b="0"/>
            <wp:docPr id="894272937"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2937" name="Image 1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62730"/>
                    </a:xfrm>
                    <a:prstGeom prst="rect">
                      <a:avLst/>
                    </a:prstGeom>
                  </pic:spPr>
                </pic:pic>
              </a:graphicData>
            </a:graphic>
          </wp:inline>
        </w:drawing>
      </w:r>
    </w:p>
    <w:p w14:paraId="37D141E4" w14:textId="77777777" w:rsidR="00F50615" w:rsidRDefault="00F50615" w:rsidP="00F50615">
      <w:pPr>
        <w:pStyle w:val="Body"/>
        <w:spacing w:after="0"/>
        <w:rPr>
          <w:rFonts w:ascii="Arial" w:hAnsi="Arial" w:cs="Arial"/>
          <w:iCs/>
          <w:lang w:val="en"/>
        </w:rPr>
      </w:pPr>
      <w:r w:rsidRPr="00F50615">
        <w:rPr>
          <w:rFonts w:ascii="Arial" w:hAnsi="Arial" w:cs="Arial"/>
          <w:iCs/>
          <w:lang w:val="en"/>
        </w:rPr>
        <w:t xml:space="preserve">Figure </w:t>
      </w:r>
      <w:r w:rsidRPr="00F50615">
        <w:rPr>
          <w:rFonts w:ascii="Arial" w:hAnsi="Arial" w:cs="Arial"/>
          <w:iCs/>
          <w:lang w:val="en"/>
        </w:rPr>
        <w:fldChar w:fldCharType="begin"/>
      </w:r>
      <w:r w:rsidRPr="00F50615">
        <w:rPr>
          <w:rFonts w:ascii="Arial" w:hAnsi="Arial" w:cs="Arial"/>
          <w:iCs/>
          <w:lang w:val="en"/>
        </w:rPr>
        <w:instrText xml:space="preserve"> SEQ Figure \* ARABIC </w:instrText>
      </w:r>
      <w:r w:rsidRPr="00F50615">
        <w:rPr>
          <w:rFonts w:ascii="Arial" w:hAnsi="Arial" w:cs="Arial"/>
          <w:iCs/>
          <w:lang w:val="en"/>
        </w:rPr>
        <w:fldChar w:fldCharType="separate"/>
      </w:r>
      <w:r w:rsidRPr="00F50615">
        <w:rPr>
          <w:rFonts w:ascii="Arial" w:hAnsi="Arial" w:cs="Arial"/>
          <w:iCs/>
          <w:lang w:val="en"/>
        </w:rPr>
        <w:t>1</w:t>
      </w:r>
      <w:r w:rsidRPr="00F50615">
        <w:rPr>
          <w:rFonts w:ascii="Arial" w:hAnsi="Arial" w:cs="Arial"/>
        </w:rPr>
        <w:fldChar w:fldCharType="end"/>
      </w:r>
      <w:r w:rsidRPr="00F50615">
        <w:rPr>
          <w:rFonts w:ascii="Arial" w:hAnsi="Arial" w:cs="Arial"/>
          <w:iCs/>
          <w:lang w:val="en"/>
        </w:rPr>
        <w:t xml:space="preserve">: Map of sampling sites along the </w:t>
      </w:r>
      <w:proofErr w:type="spellStart"/>
      <w:r w:rsidRPr="00F50615">
        <w:rPr>
          <w:rFonts w:ascii="Arial" w:hAnsi="Arial" w:cs="Arial"/>
          <w:iCs/>
          <w:lang w:val="en"/>
        </w:rPr>
        <w:t>Téguéré</w:t>
      </w:r>
      <w:proofErr w:type="spellEnd"/>
      <w:r w:rsidRPr="00F50615">
        <w:rPr>
          <w:rFonts w:ascii="Arial" w:hAnsi="Arial" w:cs="Arial"/>
          <w:iCs/>
          <w:lang w:val="en"/>
        </w:rPr>
        <w:t xml:space="preserve"> River basin.</w:t>
      </w:r>
    </w:p>
    <w:p w14:paraId="71D9A363" w14:textId="77777777" w:rsidR="00F50615" w:rsidRPr="00F50615" w:rsidRDefault="00F50615" w:rsidP="00F50615">
      <w:pPr>
        <w:pStyle w:val="Body"/>
        <w:spacing w:after="0"/>
        <w:rPr>
          <w:rFonts w:ascii="Arial" w:hAnsi="Arial" w:cs="Arial"/>
          <w:iCs/>
          <w:lang w:val="en-GB"/>
        </w:rPr>
      </w:pPr>
    </w:p>
    <w:p w14:paraId="455E0BD2" w14:textId="77777777" w:rsidR="00F50615" w:rsidRDefault="004D0AE6" w:rsidP="00DF3629">
      <w:pPr>
        <w:pStyle w:val="Body"/>
        <w:spacing w:after="0"/>
        <w:rPr>
          <w:rFonts w:ascii="Arial" w:hAnsi="Arial" w:cs="Arial"/>
          <w:b/>
          <w:sz w:val="22"/>
        </w:rPr>
      </w:pPr>
      <w:r w:rsidRPr="00C30A0F">
        <w:rPr>
          <w:rFonts w:ascii="Arial" w:hAnsi="Arial" w:cs="Arial"/>
          <w:b/>
          <w:caps/>
          <w:sz w:val="22"/>
        </w:rPr>
        <w:t xml:space="preserve">2.1 </w:t>
      </w:r>
      <w:r w:rsidRPr="004D0AE6">
        <w:rPr>
          <w:rFonts w:ascii="Arial" w:hAnsi="Arial" w:cs="Arial"/>
          <w:b/>
          <w:sz w:val="22"/>
          <w:lang w:val="en-GB"/>
        </w:rPr>
        <w:t>Study Design and Sampling Sites</w:t>
      </w:r>
      <w:r w:rsidRPr="004D0AE6">
        <w:rPr>
          <w:rFonts w:ascii="Arial" w:hAnsi="Arial" w:cs="Arial"/>
          <w:b/>
          <w:sz w:val="22"/>
        </w:rPr>
        <w:t xml:space="preserve"> </w:t>
      </w:r>
    </w:p>
    <w:p w14:paraId="43F83EB2" w14:textId="77777777" w:rsidR="001A65C7" w:rsidRPr="00F50615" w:rsidRDefault="001A65C7" w:rsidP="00DF3629">
      <w:pPr>
        <w:pStyle w:val="Body"/>
        <w:spacing w:after="0"/>
        <w:rPr>
          <w:rFonts w:ascii="Arial" w:hAnsi="Arial" w:cs="Arial"/>
          <w:b/>
          <w:lang w:val="en-GB"/>
        </w:rPr>
      </w:pPr>
    </w:p>
    <w:p w14:paraId="258A107A" w14:textId="77777777" w:rsidR="00F50615" w:rsidRPr="00F50615" w:rsidRDefault="00F50615" w:rsidP="00F50615">
      <w:pPr>
        <w:pStyle w:val="Body"/>
        <w:spacing w:after="0"/>
        <w:rPr>
          <w:rFonts w:ascii="Arial" w:hAnsi="Arial" w:cs="Arial"/>
          <w:lang w:val="en"/>
        </w:rPr>
      </w:pPr>
      <w:proofErr w:type="spellStart"/>
      <w:r w:rsidRPr="00F50615">
        <w:rPr>
          <w:rFonts w:ascii="Arial" w:hAnsi="Arial" w:cs="Arial"/>
          <w:lang w:val="en"/>
        </w:rPr>
        <w:t>Hydrochemical</w:t>
      </w:r>
      <w:proofErr w:type="spellEnd"/>
      <w:r w:rsidRPr="00F50615">
        <w:rPr>
          <w:rFonts w:ascii="Arial" w:hAnsi="Arial" w:cs="Arial"/>
          <w:lang w:val="en"/>
        </w:rPr>
        <w:t xml:space="preserve"> data were collected during a field campaign conducted on 11 March 2025 and supplemented by laboratory analyses. Both surface water (including a natural spring) </w:t>
      </w:r>
      <w:r w:rsidRPr="00F50615">
        <w:rPr>
          <w:rFonts w:ascii="Arial" w:hAnsi="Arial" w:cs="Arial"/>
          <w:lang w:val="en"/>
        </w:rPr>
        <w:lastRenderedPageBreak/>
        <w:t>and groundwater (from wells and boreholes) were sampled. In situ measurements included temperature, pH, and electrical conductivity.</w:t>
      </w:r>
    </w:p>
    <w:p w14:paraId="3CA6DBAE" w14:textId="77777777" w:rsidR="00F50615" w:rsidRDefault="00F50615" w:rsidP="00F50615">
      <w:pPr>
        <w:pStyle w:val="Body"/>
        <w:spacing w:after="0"/>
        <w:rPr>
          <w:rFonts w:ascii="Arial" w:hAnsi="Arial" w:cs="Arial"/>
        </w:rPr>
      </w:pPr>
      <w:r w:rsidRPr="00F50615">
        <w:rPr>
          <w:rFonts w:ascii="Arial" w:hAnsi="Arial" w:cs="Arial"/>
          <w:lang w:val="en"/>
        </w:rPr>
        <w:t xml:space="preserve">Sampling sites were selected based on their proximity to peri -urban agricultural areas along the </w:t>
      </w:r>
      <w:proofErr w:type="spellStart"/>
      <w:r w:rsidRPr="00F50615">
        <w:rPr>
          <w:rFonts w:ascii="Arial" w:hAnsi="Arial" w:cs="Arial"/>
          <w:lang w:val="en"/>
        </w:rPr>
        <w:t>Téguéré</w:t>
      </w:r>
      <w:proofErr w:type="spellEnd"/>
      <w:r w:rsidRPr="00F50615">
        <w:rPr>
          <w:rFonts w:ascii="Arial" w:hAnsi="Arial" w:cs="Arial"/>
          <w:lang w:val="en"/>
        </w:rPr>
        <w:t xml:space="preserve"> River. A total of ten sites were included: six groundwater sites (wells and boreholes) and four surface water sites (Figure 1). Site selection aimed to capture potential gradients of agricultural influence on water quality. </w:t>
      </w:r>
      <w:r w:rsidRPr="00F50615">
        <w:rPr>
          <w:rFonts w:ascii="Arial" w:hAnsi="Arial" w:cs="Arial"/>
          <w:lang w:val="en-GB"/>
        </w:rPr>
        <w:t xml:space="preserve">This sampling strategy aims to maximize the environmental and health relevance of the study by focusing on areas most likely to exhibit pesticide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&lt;EndNote&gt;&lt;Cite&gt;&lt;Author&gt;Konan&lt;/Author&gt;&lt;Year&gt;2023&lt;/Year&gt;&lt;RecNum&gt;4&lt;/RecNum&gt;&lt;DisplayText&gt;(Konan&lt;style face="italic"&gt; et al.&lt;/style&gt; 2023)&lt;/DisplayText&gt;&lt;record&gt;&lt;rec-number&gt;4&lt;/rec-number&gt;&lt;foreign-keys&gt;&lt;key app="EN" db-id="xx000tfe2e9axre5rx9xdwzmrt0wztxtrp09" timestamp="1765646704"&gt;4&lt;/key&gt;&lt;/foreign-keys&gt;&lt;ref-type name="Journal Article"&gt;17&lt;/ref-type&gt;&lt;contributors&gt;&lt;authors&gt;&lt;author&gt;Konan, Kouamé Jean-Paul&lt;/author&gt;&lt;author&gt;Yao, Koffi Théodore&lt;/author&gt;&lt;author&gt;Adiaffi, Bernard &lt;/author&gt;&lt;/authors&gt;&lt;/contributors&gt;&lt;titles&gt;&lt;title&gt;Évaluation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Science&lt;/full-title&gt;&lt;/periodical&gt;&lt;pages&gt;34-43&lt;/pages&gt;&lt;volume&gt;22&lt;/volume&gt;&lt;number&gt;3&lt;/number&gt;&lt;dates&gt;&lt;year&gt;2023&lt;/year&gt;&lt;/dates&gt;&lt;urls&gt;&lt;/urls&gt;&lt;/record&gt;&lt;/Cite&gt;&lt;/EndNote&gt;</w:instrText>
      </w:r>
      <w:r w:rsidRPr="00F50615">
        <w:rPr>
          <w:rFonts w:ascii="Arial" w:hAnsi="Arial" w:cs="Arial"/>
          <w:lang w:val="fr-FR"/>
        </w:rPr>
        <w:fldChar w:fldCharType="separate"/>
      </w:r>
      <w:r w:rsidRPr="00F50615">
        <w:rPr>
          <w:rFonts w:ascii="Arial" w:hAnsi="Arial" w:cs="Arial"/>
          <w:lang w:val="en-GB"/>
        </w:rPr>
        <w:t>(Konan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 xml:space="preserve">. Furthermore, choosing sites near agricultural areas allows for a targeted assessment of the </w:t>
      </w:r>
      <w:r w:rsidRPr="00F50615">
        <w:rPr>
          <w:rFonts w:ascii="Arial" w:hAnsi="Arial" w:cs="Arial"/>
          <w:bCs/>
          <w:lang w:val="en-GB"/>
        </w:rPr>
        <w:t xml:space="preserve">actual impact of local agricultural practices </w:t>
      </w:r>
      <w:r w:rsidRPr="00F50615">
        <w:rPr>
          <w:rFonts w:ascii="Arial" w:hAnsi="Arial" w:cs="Arial"/>
          <w:lang w:val="en-GB"/>
        </w:rPr>
        <w:t xml:space="preserve">on surface and groundwater quality, while also facilitating the identification of spatial gradients of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&lt;EndNote&gt;&lt;Cite&gt;&lt;Author&gt;Chow&lt;/Author&gt;&lt;Year&gt;2020&lt;/Year&gt;&lt;RecNum&gt;6&lt;/RecNum&gt;&lt;DisplayText&gt;(Chow&lt;style face="italic"&gt; et al.&lt;/style&gt; 2020)&lt;/DisplayText&gt;&lt;record&gt;&lt;rec-number&gt;6&lt;/rec-number&gt;&lt;foreign-keys&gt;&lt;key app="EN" db-id="xx000tfe2e9axre5rx9xdwzmrt0wztxtrp09" timestamp="1765647358"&gt;6&lt;/key&gt;&lt;/foreign-keys&gt;&lt;ref-type name="Journal Article"&gt;17&lt;/ref-type&gt;&lt;contributors&gt;&lt;authors&gt;&lt;author&gt;Chow, R&lt;/author&gt;&lt;author&gt;Scheidegger,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This approach is commonly recommended in environmental monitoring studies aimed at linking diffuse sources of pollution to concentrations observed in aquatic environments </w:t>
      </w:r>
      <w:r w:rsidRPr="00F50615">
        <w:rPr>
          <w:rFonts w:ascii="Arial" w:hAnsi="Arial" w:cs="Arial"/>
          <w:lang w:val="fr-FR"/>
        </w:rPr>
        <w:fldChar w:fldCharType="begin"/>
      </w:r>
      <w:r w:rsidRPr="00F50615">
        <w:rPr>
          <w:rFonts w:ascii="Arial" w:hAnsi="Arial" w:cs="Arial"/>
          <w:lang w:val="en-GB"/>
        </w:rPr>
        <w:instrText xml:space="preserve"> ADDIN EN.CITE &lt;EndNote&gt;&lt;Cite&gt;&lt;Author&gt;Stehle&lt;/Author&gt;&lt;Year&gt;2015&lt;/Year&gt;&lt;RecNum&gt;9&lt;/RecNum&gt;&lt;DisplayText&gt;(Stehle and Schulz 2015, Chow&lt;style face="italic"&gt; et al.&lt;/style&gt; 2020)&lt;/DisplayText&gt;&lt;record&gt;&lt;rec-number&gt;9&lt;/rec-number&gt;&lt;foreign-keys&gt;&lt;key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Cite&gt;&lt;Author&gt;Chow&lt;/Author&gt;&lt;Year&gt;2020&lt;/Year&gt;&lt;RecNum&gt;6&lt;/RecNum&gt;&lt;record&gt;&lt;rec-number&gt;6&lt;/rec-number&gt;&lt;foreign-keys&gt;&lt;key app="EN" db-id="xx000tfe2e9axre5rx9xdwzmrt0wztxtrp09" timestamp="1765647358"&gt;6&lt;/key&gt;&lt;/foreign-keys&gt;&lt;ref-type name="Journal Article"&gt;17&lt;/ref-type&gt;&lt;contributors&gt;&lt;authors&gt;&lt;author&gt;Chow, R&lt;/author&gt;&lt;author&gt;S</w:instrText>
      </w:r>
      <w:r w:rsidRPr="00F50615">
        <w:rPr>
          <w:rFonts w:ascii="Arial" w:hAnsi="Arial" w:cs="Arial"/>
        </w:rPr>
        <w:instrText>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(Stehle and Schulz 2015, 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rPr>
        <w:t>.</w:t>
      </w:r>
    </w:p>
    <w:p w14:paraId="6846875D" w14:textId="77777777" w:rsidR="00DF3629" w:rsidRPr="00F50615" w:rsidRDefault="00DF3629" w:rsidP="00F50615">
      <w:pPr>
        <w:pStyle w:val="Body"/>
        <w:spacing w:after="0"/>
        <w:rPr>
          <w:rFonts w:ascii="Arial" w:hAnsi="Arial" w:cs="Arial"/>
        </w:rPr>
      </w:pPr>
    </w:p>
    <w:p w14:paraId="74C3DCDD" w14:textId="77777777" w:rsidR="00F50615" w:rsidRDefault="001A65C7" w:rsidP="00DF3629">
      <w:pPr>
        <w:pStyle w:val="Body"/>
        <w:spacing w:after="0"/>
        <w:rPr>
          <w:rFonts w:ascii="Arial" w:hAnsi="Arial" w:cs="Arial"/>
          <w:b/>
          <w:sz w:val="22"/>
          <w:lang w:val="en-GB"/>
        </w:rPr>
      </w:pPr>
      <w:r w:rsidRPr="001A65C7">
        <w:rPr>
          <w:rFonts w:ascii="Arial" w:hAnsi="Arial" w:cs="Arial"/>
          <w:b/>
          <w:sz w:val="22"/>
          <w:lang w:val="en-GB"/>
        </w:rPr>
        <w:t xml:space="preserve">2.2 </w:t>
      </w:r>
      <w:r w:rsidR="00F50615" w:rsidRPr="001A65C7">
        <w:rPr>
          <w:rFonts w:ascii="Arial" w:hAnsi="Arial" w:cs="Arial"/>
          <w:b/>
          <w:sz w:val="22"/>
          <w:lang w:val="en-GB"/>
        </w:rPr>
        <w:t>Field Equipment and Procedures</w:t>
      </w:r>
    </w:p>
    <w:p w14:paraId="18FD0193" w14:textId="77777777" w:rsidR="001A65C7" w:rsidRPr="001A65C7" w:rsidRDefault="001A65C7" w:rsidP="00DF3629">
      <w:pPr>
        <w:pStyle w:val="Body"/>
        <w:spacing w:after="0"/>
        <w:rPr>
          <w:rFonts w:ascii="Arial" w:hAnsi="Arial" w:cs="Arial"/>
          <w:b/>
          <w:sz w:val="22"/>
          <w:lang w:val="en-GB"/>
        </w:rPr>
      </w:pPr>
    </w:p>
    <w:p w14:paraId="3D321E79" w14:textId="77777777" w:rsidR="00F50615" w:rsidRDefault="00F50615" w:rsidP="00F50615">
      <w:pPr>
        <w:pStyle w:val="Body"/>
        <w:spacing w:after="0"/>
        <w:rPr>
          <w:rFonts w:ascii="Arial" w:hAnsi="Arial" w:cs="Arial"/>
          <w:lang w:val="en"/>
        </w:rPr>
      </w:pPr>
      <w:r w:rsidRPr="00F50615">
        <w:rPr>
          <w:rFonts w:ascii="Arial" w:hAnsi="Arial" w:cs="Arial"/>
          <w:lang w:val="en"/>
        </w:rPr>
        <w:t xml:space="preserve">Field measurements were performed using a Garmin </w:t>
      </w:r>
      <w:proofErr w:type="spellStart"/>
      <w:r w:rsidRPr="00F50615">
        <w:rPr>
          <w:rFonts w:ascii="Arial" w:hAnsi="Arial" w:cs="Arial"/>
          <w:lang w:val="en"/>
        </w:rPr>
        <w:t>ETrex</w:t>
      </w:r>
      <w:proofErr w:type="spellEnd"/>
      <w:r w:rsidRPr="00F50615">
        <w:rPr>
          <w:rFonts w:ascii="Arial" w:hAnsi="Arial" w:cs="Arial"/>
          <w:lang w:val="en"/>
        </w:rPr>
        <w:t xml:space="preserve"> 32X GPS to record UTM coordinates. </w:t>
      </w:r>
      <w:r w:rsidRPr="00F50615">
        <w:rPr>
          <w:rFonts w:ascii="Arial" w:hAnsi="Arial" w:cs="Arial"/>
          <w:lang w:val="en-GB"/>
        </w:rPr>
        <w:t xml:space="preserve">The </w:t>
      </w:r>
      <w:r w:rsidRPr="00F50615">
        <w:rPr>
          <w:rFonts w:ascii="Arial" w:hAnsi="Arial" w:cs="Arial"/>
          <w:bCs/>
          <w:lang w:val="en-GB"/>
        </w:rPr>
        <w:t xml:space="preserve">Garmin The </w:t>
      </w:r>
      <w:proofErr w:type="spellStart"/>
      <w:r w:rsidRPr="00F50615">
        <w:rPr>
          <w:rFonts w:ascii="Arial" w:hAnsi="Arial" w:cs="Arial"/>
          <w:bCs/>
          <w:lang w:val="en-GB"/>
        </w:rPr>
        <w:t>eTrex</w:t>
      </w:r>
      <w:proofErr w:type="spellEnd"/>
      <w:r w:rsidRPr="00F50615">
        <w:rPr>
          <w:rFonts w:ascii="Arial" w:hAnsi="Arial" w:cs="Arial"/>
          <w:bCs/>
          <w:lang w:val="en-GB"/>
        </w:rPr>
        <w:t xml:space="preserve"> 32x GPS </w:t>
      </w:r>
      <w:r w:rsidRPr="00F50615">
        <w:rPr>
          <w:rFonts w:ascii="Arial" w:hAnsi="Arial" w:cs="Arial"/>
          <w:lang w:val="en-GB"/>
        </w:rPr>
        <w:t xml:space="preserve">offers a </w:t>
      </w:r>
      <w:r w:rsidRPr="00F50615">
        <w:rPr>
          <w:rFonts w:ascii="Arial" w:hAnsi="Arial" w:cs="Arial"/>
          <w:i/>
          <w:iCs/>
          <w:lang w:val="en-GB"/>
        </w:rPr>
        <w:t xml:space="preserve">typical position accuracy of less than ±10 meters </w:t>
      </w:r>
      <w:r w:rsidRPr="00F50615">
        <w:rPr>
          <w:rFonts w:ascii="Arial" w:hAnsi="Arial" w:cs="Arial"/>
          <w:lang w:val="en-GB"/>
        </w:rPr>
        <w:t xml:space="preserve">for geographic coordinates, with potential improvement to </w:t>
      </w:r>
      <w:r w:rsidRPr="00F50615">
        <w:rPr>
          <w:rFonts w:ascii="Arial" w:hAnsi="Arial" w:cs="Arial"/>
          <w:bCs/>
          <w:lang w:val="en-GB"/>
        </w:rPr>
        <w:t xml:space="preserve">&lt;5 meters </w:t>
      </w:r>
      <w:r w:rsidRPr="00F50615">
        <w:rPr>
          <w:rFonts w:ascii="Arial" w:hAnsi="Arial" w:cs="Arial"/>
          <w:lang w:val="en-GB"/>
        </w:rPr>
        <w:t xml:space="preserve">when using WAAS/EGNOS (Differential Navigation System) corrections under optimal conditions. </w:t>
      </w:r>
      <w:r w:rsidRPr="00F50615">
        <w:rPr>
          <w:rFonts w:ascii="Arial" w:hAnsi="Arial" w:cs="Arial"/>
          <w:lang w:val="en"/>
        </w:rPr>
        <w:t xml:space="preserve">A multiparameter probe (HI9829-03042, Hanna Instruments) was used to measure temperature, pH, and electrical conductivity directly on site. </w:t>
      </w:r>
      <w:r w:rsidRPr="00F50615">
        <w:rPr>
          <w:rFonts w:ascii="Arial" w:hAnsi="Arial" w:cs="Arial"/>
          <w:lang w:val="en-GB"/>
        </w:rPr>
        <w:t xml:space="preserve">The HI9829-03042 probe provides high accuracy (±0.02 pH, ±1% EC, ±0.15 °C) for field measurements, making it a reliable instrument for the physicochemical characterization of surface and groundwater. For sampling , 500 mL polyethylene bottles were used , carefully </w:t>
      </w:r>
      <w:proofErr w:type="spellStart"/>
      <w:r w:rsidRPr="00F50615">
        <w:rPr>
          <w:rFonts w:ascii="Arial" w:hAnsi="Arial" w:cs="Arial"/>
          <w:lang w:val="en-GB"/>
        </w:rPr>
        <w:t>labeled</w:t>
      </w:r>
      <w:proofErr w:type="spellEnd"/>
      <w:r w:rsidRPr="00F50615">
        <w:rPr>
          <w:rFonts w:ascii="Arial" w:hAnsi="Arial" w:cs="Arial"/>
          <w:lang w:val="en-GB"/>
        </w:rPr>
        <w:t xml:space="preserve"> with site- specific codes using adhesive tape and permanent markers </w:t>
      </w:r>
      <w:r w:rsidRPr="00F50615">
        <w:rPr>
          <w:rFonts w:ascii="Arial" w:hAnsi="Arial" w:cs="Arial"/>
          <w:lang w:val="en"/>
        </w:rPr>
        <w:fldChar w:fldCharType="begin"/>
      </w:r>
      <w:r w:rsidRPr="00F50615">
        <w:rPr>
          <w:rFonts w:ascii="Arial" w:hAnsi="Arial" w:cs="Arial"/>
          <w:lang w:val="en"/>
        </w:rPr>
        <w:instrText xml:space="preserve"> ADDIN EN.CITE &lt;EndNote&gt;&lt;Cite&gt;&lt;Author&gt;Shelton&lt;/Author&gt;&lt;Year&gt;1994&lt;/Year&gt;&lt;RecNum&gt;7&lt;/RecNum&gt;&lt;DisplayText&gt;(Shelton 1994)&lt;/DisplayText&gt;&lt;record&gt;&lt;rec-number&gt;7&lt;/rec-number&gt;&lt;foreign-keys&gt;&lt;key app="EN" db-id="xx000tfe2e9axre5rx9xdwzmrt0wztxtrp09" timestamp="1765647822"&gt;7&lt;/key&gt;&lt;/foreign-keys&gt;&lt;ref-type name="Book"&gt;6&lt;/ref-type&gt;&lt;contributors&gt;&lt;authors&gt;&lt;author&gt;Shelton, Larry R&lt;/author&gt;&lt;/authors&gt;&lt;/contributors&gt;&lt;titles&gt;&lt;title&gt;Field guide for collecting and processing stream-water samples for the National Water-Quality Assessment Program&lt;/title&gt;&lt;/titles&gt;&lt;volume&gt;94&lt;/volume&gt;&lt;number&gt;455&lt;/number&gt;&lt;dates&gt;&lt;year&gt;1994&lt;/year&gt;&lt;/dates&gt;&lt;publisher&gt;US Geological Survey&lt;/publisher&gt;&lt;urls&gt;&lt;/urls&gt;&lt;/record&gt;&lt;/Cite&gt;&lt;/EndNote&gt;</w:instrText>
      </w:r>
      <w:r w:rsidRPr="00F50615">
        <w:rPr>
          <w:rFonts w:ascii="Arial" w:hAnsi="Arial" w:cs="Arial"/>
          <w:lang w:val="en"/>
        </w:rPr>
        <w:fldChar w:fldCharType="separate"/>
      </w:r>
      <w:r w:rsidRPr="00F50615">
        <w:rPr>
          <w:rFonts w:ascii="Arial" w:hAnsi="Arial" w:cs="Arial"/>
          <w:lang w:val="en-GB"/>
        </w:rPr>
        <w:t>(Shelton 1994)</w:t>
      </w:r>
      <w:r w:rsidRPr="00F50615">
        <w:rPr>
          <w:rFonts w:ascii="Arial" w:hAnsi="Arial" w:cs="Arial"/>
        </w:rPr>
        <w:fldChar w:fldCharType="end"/>
      </w:r>
      <w:r w:rsidRPr="00F50615">
        <w:rPr>
          <w:rFonts w:ascii="Arial" w:hAnsi="Arial" w:cs="Arial"/>
          <w:lang w:val="en-GB"/>
        </w:rPr>
        <w:t xml:space="preserve">. </w:t>
      </w:r>
      <w:r w:rsidRPr="00F50615">
        <w:rPr>
          <w:rFonts w:ascii="Arial" w:hAnsi="Arial" w:cs="Arial"/>
          <w:lang w:val="en"/>
        </w:rPr>
        <w:t xml:space="preserve">Surface water samples were collected by filling the bottles directly using a clean sampling cup. Groundwater from wells was collected using a stainless-steel ladle. After collection, all samples were stored in cooled containers and transported to the laboratory for chemical analysis </w:t>
      </w:r>
      <w:r w:rsidRPr="00F50615">
        <w:rPr>
          <w:rFonts w:ascii="Arial" w:hAnsi="Arial" w:cs="Arial"/>
          <w:lang w:val="en"/>
        </w:rPr>
        <w:fldChar w:fldCharType="begin"/>
      </w:r>
      <w:r w:rsidRPr="00F50615">
        <w:rPr>
          <w:rFonts w:ascii="Arial" w:hAnsi="Arial" w:cs="Arial"/>
          <w:lang w:val="en"/>
        </w:rPr>
        <w:instrText xml:space="preserve"> ADDIN EN.CITE &lt;EndNote&gt;&lt;Cite&gt;&lt;Author&gt;Koparan&lt;/Author&gt;&lt;Year&gt;2019&lt;/Year&gt;&lt;RecNum&gt;8&lt;/RecNum&gt;&lt;DisplayText&gt;(Koparan&lt;style face="italic"&gt; et al.&lt;/style&gt; 2019)&lt;/DisplayText&gt;&lt;record&gt;&lt;rec-number&gt;8&lt;/rec-number&gt;&lt;foreign-keys&gt;&lt;key app="EN" db-id="xx000tfe2e9axre5rx9xdwzmrt0wztxtrp09" timestamp="1765647979"&gt;8&lt;/key&gt;&lt;/foreign-keys&gt;&lt;ref-type name="Journal Article"&gt;17&lt;/ref-type&gt;&lt;contributors&gt;&lt;authors&gt;&lt;author&gt;Koparan, Cengiz&lt;/author&gt;&lt;author&gt;Koc, Ali Bulent&lt;/author&gt;&lt;author&gt;Privette, Charles V&lt;/author&gt;&lt;author&gt;Sawyer, Calvin B&lt;/author&gt;&lt;/authors&gt;&lt;/contributors&gt;&lt;titles&gt;&lt;title&gt;Autonomous in situ measurements of noncontaminant water quality indicators and sample collection with a UAV&lt;/title&gt;&lt;secondary-title&gt; Water research x&lt;/secondary-title&gt;&lt;/titles&gt;&lt;pages&gt;604&lt;/pages&gt;&lt;volume&gt;11&lt;/volume&gt;&lt;number&gt;3&lt;/number&gt;&lt;dates&gt;&lt;year&gt;2019&lt;/year&gt;&lt;/dates&gt;&lt;isbn&gt;2073-4441&lt;/isbn&gt;&lt;urls&gt;&lt;/urls&gt;&lt;/record&gt;&lt;/Cite&gt;&lt;/EndNote&gt;</w:instrText>
      </w:r>
      <w:r w:rsidRPr="00F50615">
        <w:rPr>
          <w:rFonts w:ascii="Arial" w:hAnsi="Arial" w:cs="Arial"/>
          <w:lang w:val="en"/>
        </w:rPr>
        <w:fldChar w:fldCharType="separate"/>
      </w:r>
      <w:r w:rsidRPr="00F50615">
        <w:rPr>
          <w:rFonts w:ascii="Arial" w:hAnsi="Arial" w:cs="Arial"/>
          <w:lang w:val="en"/>
        </w:rPr>
        <w:t>(Koparan</w:t>
      </w:r>
      <w:r w:rsidRPr="00F50615">
        <w:rPr>
          <w:rFonts w:ascii="Arial" w:hAnsi="Arial" w:cs="Arial"/>
          <w:i/>
          <w:lang w:val="en"/>
        </w:rPr>
        <w:t xml:space="preserve"> et al.</w:t>
      </w:r>
      <w:r w:rsidRPr="00F50615">
        <w:rPr>
          <w:rFonts w:ascii="Arial" w:hAnsi="Arial" w:cs="Arial"/>
          <w:lang w:val="en"/>
        </w:rPr>
        <w:t xml:space="preserve"> 2019)</w:t>
      </w:r>
      <w:r w:rsidRPr="00F50615">
        <w:rPr>
          <w:rFonts w:ascii="Arial" w:hAnsi="Arial" w:cs="Arial"/>
        </w:rPr>
        <w:fldChar w:fldCharType="end"/>
      </w:r>
      <w:r w:rsidRPr="00F50615">
        <w:rPr>
          <w:rFonts w:ascii="Arial" w:hAnsi="Arial" w:cs="Arial"/>
          <w:lang w:val="en"/>
        </w:rPr>
        <w:t>.</w:t>
      </w:r>
    </w:p>
    <w:p w14:paraId="46C7D908" w14:textId="77777777" w:rsidR="001A65C7" w:rsidRPr="00F50615" w:rsidRDefault="001A65C7" w:rsidP="00F50615">
      <w:pPr>
        <w:pStyle w:val="Body"/>
        <w:spacing w:after="0"/>
        <w:rPr>
          <w:rFonts w:ascii="Arial" w:hAnsi="Arial" w:cs="Arial"/>
          <w:lang w:val="en"/>
        </w:rPr>
      </w:pPr>
    </w:p>
    <w:p w14:paraId="7BDDCFE9" w14:textId="77777777" w:rsidR="00F50615" w:rsidRPr="001A65C7" w:rsidRDefault="001A65C7" w:rsidP="001A65C7">
      <w:pPr>
        <w:pStyle w:val="Body"/>
        <w:spacing w:after="0"/>
        <w:rPr>
          <w:rFonts w:ascii="Arial" w:hAnsi="Arial" w:cs="Arial"/>
          <w:b/>
          <w:sz w:val="22"/>
          <w:lang w:val="en-GB"/>
        </w:rPr>
      </w:pPr>
      <w:r w:rsidRPr="001A65C7">
        <w:rPr>
          <w:rFonts w:ascii="Arial" w:hAnsi="Arial" w:cs="Arial"/>
          <w:b/>
          <w:sz w:val="22"/>
          <w:lang w:val="en-GB"/>
        </w:rPr>
        <w:t xml:space="preserve">2.3 </w:t>
      </w:r>
      <w:r w:rsidR="00F50615" w:rsidRPr="001A65C7">
        <w:rPr>
          <w:rFonts w:ascii="Arial" w:hAnsi="Arial" w:cs="Arial"/>
          <w:b/>
          <w:sz w:val="22"/>
          <w:lang w:val="en-GB"/>
        </w:rPr>
        <w:t>Laboratory Equipment and analytical Methods</w:t>
      </w:r>
    </w:p>
    <w:p w14:paraId="077E0CD8" w14:textId="77777777" w:rsidR="001A65C7" w:rsidRPr="00F50615" w:rsidRDefault="001A65C7" w:rsidP="001A65C7">
      <w:pPr>
        <w:pStyle w:val="Body"/>
        <w:spacing w:after="0"/>
        <w:rPr>
          <w:rFonts w:ascii="Arial" w:hAnsi="Arial" w:cs="Arial"/>
          <w:b/>
          <w:lang w:val="en-GB"/>
        </w:rPr>
      </w:pPr>
    </w:p>
    <w:p w14:paraId="09BF5CDD"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 xml:space="preserve">Chemical analyses were conducted at the Central Hygiene Laboratory Food and Agro-industry (LCHAI). A Shimadzu HPLC system was used, including a TRAY reservoir with 10 mL methanol (mobile phase), a DGU-20A5 degasser, a SIL-20A </w:t>
      </w:r>
      <w:proofErr w:type="gramStart"/>
      <w:r w:rsidRPr="00F50615">
        <w:rPr>
          <w:rFonts w:ascii="Arial" w:hAnsi="Arial" w:cs="Arial"/>
          <w:lang w:val="en"/>
        </w:rPr>
        <w:t>autosampler ,</w:t>
      </w:r>
      <w:proofErr w:type="gramEnd"/>
      <w:r w:rsidRPr="00F50615">
        <w:rPr>
          <w:rFonts w:ascii="Arial" w:hAnsi="Arial" w:cs="Arial"/>
          <w:lang w:val="en"/>
        </w:rPr>
        <w:t xml:space="preserve"> an LC-20AT pump, a CTO-20A column oven, and an SPD-20A UV/Vis detector. Data acquisition and preliminary processing were performed using LC Solution software </w:t>
      </w:r>
      <w:r w:rsidRPr="00F50615">
        <w:rPr>
          <w:rFonts w:ascii="Arial" w:hAnsi="Arial" w:cs="Arial"/>
          <w:lang w:val="en"/>
        </w:rPr>
        <w:fldChar w:fldCharType="begin"/>
      </w:r>
      <w:r w:rsidRPr="00F50615">
        <w:rPr>
          <w:rFonts w:ascii="Arial" w:hAnsi="Arial" w:cs="Arial"/>
          <w:lang w:val="en"/>
        </w:rPr>
        <w:instrText xml:space="preserve"> ADDIN EN.CITE &lt;EndNote&gt;&lt;Cite&gt;&lt;Author&gt;Lipps&lt;/Author&gt;&lt;Year&gt;2023&lt;/Year&gt;&lt;RecNum&gt;9&lt;/RecNum&gt;&lt;DisplayText&gt;(Lipps&lt;style face="italic"&gt; et al.&lt;/style&gt; 2023)&lt;/DisplayText&gt;&lt;record&gt;&lt;rec-number&gt;9&lt;/rec-number&gt;&lt;foreign-keys&gt;&lt;key app="EN" db-id="xx000tfe2e9axre5rx9xdwzmrt0wztxtrp09" timestamp="1765649079"&gt;9&lt;/key&gt;&lt;/foreign-keys&gt;&lt;ref-type name="Book"&gt;6&lt;/ref-type&gt;&lt;contributors&gt;&lt;authors&gt;&lt;author&gt;Lipps, William C&lt;/author&gt;&lt;author&gt;Braun-Howland, Ellen Burton&lt;/author&gt;&lt;author&gt;Baxter, Terry E&lt;/author&gt;&lt;/authors&gt;&lt;/contributors&gt;&lt;titles&gt;&lt;title&gt;Standard methods for the examination of water and wastewater. 24th Edition. American Public Health Association, American Water Works Association: Washington DC.&lt;/title&gt;&lt;/titles&gt;&lt;section&gt;pp 1536&lt;/section&gt;&lt;dates&gt;&lt;year&gt;2023&lt;/year&gt;&lt;/dates&gt;&lt;isbn&gt;0875532993&lt;/isbn&gt;&lt;urls&gt;&lt;/urls&gt;&lt;/record&gt;&lt;/Cite&gt;&lt;/EndNote&gt;</w:instrText>
      </w:r>
      <w:r w:rsidRPr="00F50615">
        <w:rPr>
          <w:rFonts w:ascii="Arial" w:hAnsi="Arial" w:cs="Arial"/>
          <w:lang w:val="en"/>
        </w:rPr>
        <w:fldChar w:fldCharType="separate"/>
      </w:r>
      <w:r w:rsidRPr="00F50615">
        <w:rPr>
          <w:rFonts w:ascii="Arial" w:hAnsi="Arial" w:cs="Arial"/>
          <w:lang w:val="en"/>
        </w:rPr>
        <w:t>(Lipps</w:t>
      </w:r>
      <w:r w:rsidRPr="00F50615">
        <w:rPr>
          <w:rFonts w:ascii="Arial" w:hAnsi="Arial" w:cs="Arial"/>
          <w:i/>
          <w:lang w:val="en"/>
        </w:rPr>
        <w:t xml:space="preserve"> et al.</w:t>
      </w:r>
      <w:r w:rsidRPr="00F50615">
        <w:rPr>
          <w:rFonts w:ascii="Arial" w:hAnsi="Arial" w:cs="Arial"/>
          <w:lang w:val="en"/>
        </w:rPr>
        <w:t xml:space="preserve"> 2023)</w:t>
      </w:r>
      <w:r w:rsidRPr="00F50615">
        <w:rPr>
          <w:rFonts w:ascii="Arial" w:hAnsi="Arial" w:cs="Arial"/>
        </w:rPr>
        <w:fldChar w:fldCharType="end"/>
      </w:r>
      <w:r w:rsidRPr="00F50615">
        <w:rPr>
          <w:rFonts w:ascii="Arial" w:hAnsi="Arial" w:cs="Arial"/>
          <w:lang w:val="en"/>
        </w:rPr>
        <w:t>. Spatial analyzes were conducted using ArcGIS 10.2.2.</w:t>
      </w:r>
    </w:p>
    <w:p w14:paraId="0D5A4C13" w14:textId="77777777" w:rsidR="00DF3629" w:rsidRPr="001A65C7" w:rsidRDefault="00F50615" w:rsidP="001A65C7">
      <w:pPr>
        <w:pStyle w:val="Body"/>
        <w:spacing w:after="0"/>
        <w:rPr>
          <w:rFonts w:ascii="Arial" w:hAnsi="Arial" w:cs="Arial"/>
          <w:lang w:val="en"/>
        </w:rPr>
      </w:pPr>
      <w:r w:rsidRPr="00F50615">
        <w:rPr>
          <w:rFonts w:ascii="Arial" w:hAnsi="Arial" w:cs="Arial"/>
          <w:lang w:val="en"/>
        </w:rPr>
        <w:t xml:space="preserve">Pesticides were extracted from water samples using solid-phase extraction (SPE) with C18 cartridges. Columns were conditioned with 10 mL methanol and equilibrated with 10 mL deionized water. A 10 mL water sample was passed through the column to retain pesticides. After 30 minutes of drying, adsorbed pesticides were eluted with 5 mL methanol. The eluate was analyzed by HPLC-MS to identify and quantify multiple residues simultaneously </w: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(Nakhjavan</w:t>
      </w:r>
      <w:r w:rsidRPr="00F50615">
        <w:rPr>
          <w:rFonts w:ascii="Arial" w:hAnsi="Arial" w:cs="Arial"/>
          <w:i/>
          <w:lang w:val="en"/>
        </w:rPr>
        <w:t xml:space="preserve"> et al.</w:t>
      </w:r>
      <w:r w:rsidRPr="00F50615">
        <w:rPr>
          <w:rFonts w:ascii="Arial" w:hAnsi="Arial" w:cs="Arial"/>
          <w:lang w:val="en"/>
        </w:rPr>
        <w:t xml:space="preserve"> 2021, Von Ameln Lovison</w:t>
      </w:r>
      <w:r w:rsidRPr="00F50615">
        <w:rPr>
          <w:rFonts w:ascii="Arial" w:hAnsi="Arial" w:cs="Arial"/>
          <w:i/>
          <w:lang w:val="en"/>
        </w:rPr>
        <w:t xml:space="preserve"> et al.</w:t>
      </w:r>
      <w:r w:rsidRPr="00F50615">
        <w:rPr>
          <w:rFonts w:ascii="Arial" w:hAnsi="Arial" w:cs="Arial"/>
          <w:lang w:val="en"/>
        </w:rPr>
        <w:t xml:space="preserve"> 2021)</w:t>
      </w:r>
      <w:r w:rsidRPr="00F50615">
        <w:rPr>
          <w:rFonts w:ascii="Arial" w:hAnsi="Arial" w:cs="Arial"/>
        </w:rPr>
        <w:fldChar w:fldCharType="end"/>
      </w:r>
      <w:r w:rsidRPr="00F50615">
        <w:rPr>
          <w:rFonts w:ascii="Arial" w:hAnsi="Arial" w:cs="Arial"/>
          <w:lang w:val="en"/>
        </w:rPr>
        <w:t xml:space="preserve">. Detection limits ranged from 0.002 µg/L to 0.0058 µg/L </w: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(Casado</w:t>
      </w:r>
      <w:r w:rsidRPr="00F50615">
        <w:rPr>
          <w:rFonts w:ascii="Arial" w:hAnsi="Arial" w:cs="Arial"/>
          <w:i/>
          <w:lang w:val="en"/>
        </w:rPr>
        <w:t xml:space="preserve"> et al.</w:t>
      </w:r>
      <w:r w:rsidRPr="00F50615">
        <w:rPr>
          <w:rFonts w:ascii="Arial" w:hAnsi="Arial" w:cs="Arial"/>
          <w:lang w:val="en"/>
        </w:rPr>
        <w:t xml:space="preserve"> 2018, Meng</w:t>
      </w:r>
      <w:r w:rsidRPr="00F50615">
        <w:rPr>
          <w:rFonts w:ascii="Arial" w:hAnsi="Arial" w:cs="Arial"/>
          <w:i/>
          <w:lang w:val="en"/>
        </w:rPr>
        <w:t xml:space="preserve"> et al.</w:t>
      </w:r>
      <w:r w:rsidRPr="00F50615">
        <w:rPr>
          <w:rFonts w:ascii="Arial" w:hAnsi="Arial" w:cs="Arial"/>
          <w:lang w:val="en"/>
        </w:rPr>
        <w:t xml:space="preserve"> 2024)</w:t>
      </w:r>
      <w:r w:rsidRPr="00F50615">
        <w:rPr>
          <w:rFonts w:ascii="Arial" w:hAnsi="Arial" w:cs="Arial"/>
        </w:rPr>
        <w:fldChar w:fldCharType="end"/>
      </w:r>
      <w:r w:rsidRPr="00F50615">
        <w:rPr>
          <w:rFonts w:ascii="Arial" w:hAnsi="Arial" w:cs="Arial"/>
          <w:lang w:val="en"/>
        </w:rPr>
        <w:t xml:space="preserve">. Some parameters, including temperature, pH, and electrical conductivity, were measured directly on site to prevent alteration during transport </w:t>
      </w:r>
      <w:r w:rsidRPr="00F50615">
        <w:rPr>
          <w:rFonts w:ascii="Arial" w:hAnsi="Arial" w:cs="Arial"/>
          <w:lang w:val="en"/>
        </w:rPr>
        <w:fldChar w:fldCharType="begin"/>
      </w:r>
      <w:r w:rsidRPr="00F50615">
        <w:rPr>
          <w:rFonts w:ascii="Arial" w:hAnsi="Arial" w:cs="Arial"/>
          <w:lang w:val="en"/>
        </w:rPr>
        <w:instrText xml:space="preserve"> ADDIN EN.CITE &lt;EndNote&gt;&lt;Cite&gt;&lt;Author&gt;Ruiz-Gil&lt;/Author&gt;&lt;Year&gt;2008&lt;/Year&gt;&lt;RecNum&gt;4&lt;/RecNum&gt;&lt;DisplayText&gt;(Ruiz-Gil&lt;style face="italic"&gt; et al.&lt;/style&gt; 2008)&lt;/DisplayText&gt;&lt;record&gt;&lt;rec-number&gt;4&lt;/rec-number&gt;&lt;foreign-keys&gt;&lt;key app="EN" db-id="x5ast2ezjww22se9evnvv5rl2aeefztr2tvf" timestamp="1765650396"&gt;4&lt;/key&gt;&lt;/foreign-keys&gt;&lt;ref-type name="Journal Article"&gt;17&lt;/ref-type&gt;&lt;contributors&gt;&lt;authors&gt;&lt;author&gt;Ruiz-Gil, L.&lt;/author&gt;&lt;author&gt;Romero-González, R.&lt;/author&gt;&lt;author&gt;Garrido Frenich, A.&lt;/author&gt;&lt;author&gt;Martínez Vidal, J. L.&lt;/author&gt;&lt;/authors&gt;&lt;/contributors&gt;&lt;auth-address&gt;Research Group Analytical Chemistry of Contaminants, Department of Analytical Chemistry, Almería University, Almería, Spain.&lt;/auth-address&gt;&lt;titles&gt;&lt;title&gt;Determination of pesticides in water samples by solid phase extraction and gas chromatography tandem mass spectrometry&lt;/title&gt;&lt;secondary-title&gt;J Sep Sci&lt;/secondary-title&gt;&lt;alt-title&gt;Journal of separation science&lt;/alt-title&gt;&lt;/titles&gt;&lt;periodical&gt;&lt;full-title&gt;J Sep Sci&lt;/full-title&gt;&lt;abbr-1&gt;Journal of separation science&lt;/abbr-1&gt;&lt;/periodical&gt;&lt;alt-periodical&gt;&lt;full-title&gt;J Sep Sci&lt;/full-title&gt;&lt;abbr-1&gt;Journal of separation science&lt;/abbr-1&gt;&lt;/alt-periodical&gt;&lt;pages&gt;151-61&lt;/pages&gt;&lt;volume&gt;31&lt;/volume&gt;&lt;number&gt;1&lt;/number&gt;&lt;edition&gt;2007/11/27&lt;/edition&gt;&lt;keywords&gt;&lt;keyword&gt;Gas Chromatography-Mass Spectrometry/*methods&lt;/keyword&gt;&lt;keyword&gt;Pesticides/*analysis&lt;/keyword&gt;&lt;keyword&gt;Solid Phase Extraction/*methods&lt;/keyword&gt;&lt;keyword&gt;Tandem Mass Spectrometry/*methods&lt;/keyword&gt;&lt;keyword&gt;Water/*chemistry&lt;/keyword&gt;&lt;/keywords&gt;&lt;dates&gt;&lt;year&gt;2008&lt;/year&gt;&lt;pub-dates&gt;&lt;date&gt;Jan&lt;/date&gt;&lt;/pub-dates&gt;&lt;/dates&gt;&lt;isbn&gt;1615-9306 (Print)&amp;#xD;1615-9306&lt;/isbn&gt;&lt;accession-num&gt;18035851&lt;/accession-num&gt;&lt;urls&gt;&lt;/urls&gt;&lt;electronic-resource-num&gt;https://doi.org/10.1002/jssc.200700299&lt;/electronic-resource-num&gt;&lt;remote-database-provider&gt;NLM&lt;/remote-database-provider&gt;&lt;language&gt;eng&lt;/language&gt;&lt;/record&gt;&lt;/Cite&gt;&lt;/EndNote&gt;</w:instrText>
      </w:r>
      <w:r w:rsidRPr="00F50615">
        <w:rPr>
          <w:rFonts w:ascii="Arial" w:hAnsi="Arial" w:cs="Arial"/>
          <w:lang w:val="en"/>
        </w:rPr>
        <w:fldChar w:fldCharType="separate"/>
      </w:r>
      <w:r w:rsidRPr="00F50615">
        <w:rPr>
          <w:rFonts w:ascii="Arial" w:hAnsi="Arial" w:cs="Arial"/>
          <w:lang w:val="en"/>
        </w:rPr>
        <w:t>(Ruiz-Gil</w:t>
      </w:r>
      <w:r w:rsidRPr="00F50615">
        <w:rPr>
          <w:rFonts w:ascii="Arial" w:hAnsi="Arial" w:cs="Arial"/>
          <w:i/>
          <w:lang w:val="en"/>
        </w:rPr>
        <w:t xml:space="preserve"> et al.</w:t>
      </w:r>
      <w:r w:rsidRPr="00F50615">
        <w:rPr>
          <w:rFonts w:ascii="Arial" w:hAnsi="Arial" w:cs="Arial"/>
          <w:lang w:val="en"/>
        </w:rPr>
        <w:t xml:space="preserve"> 2008)</w:t>
      </w:r>
      <w:r w:rsidRPr="00F50615">
        <w:rPr>
          <w:rFonts w:ascii="Arial" w:hAnsi="Arial" w:cs="Arial"/>
        </w:rPr>
        <w:fldChar w:fldCharType="end"/>
      </w:r>
      <w:r w:rsidRPr="00F50615">
        <w:rPr>
          <w:rFonts w:ascii="Arial" w:hAnsi="Arial" w:cs="Arial"/>
          <w:lang w:val="en"/>
        </w:rPr>
        <w:t>. These measurements provide essential baseline data for interpreting laboratory analyses.</w:t>
      </w:r>
    </w:p>
    <w:p w14:paraId="5C253ACF" w14:textId="77777777" w:rsidR="00DF3629" w:rsidRDefault="001A65C7" w:rsidP="00DF3629">
      <w:pPr>
        <w:pStyle w:val="Body"/>
        <w:spacing w:after="0"/>
        <w:rPr>
          <w:rFonts w:ascii="Arial" w:hAnsi="Arial" w:cs="Arial"/>
          <w:b/>
          <w:sz w:val="22"/>
          <w:lang w:val="en-GB"/>
        </w:rPr>
      </w:pPr>
      <w:r w:rsidRPr="001A65C7">
        <w:rPr>
          <w:rFonts w:ascii="Arial" w:hAnsi="Arial" w:cs="Arial"/>
          <w:b/>
          <w:sz w:val="22"/>
          <w:lang w:val="en-GB"/>
        </w:rPr>
        <w:t xml:space="preserve">2.4 </w:t>
      </w:r>
      <w:r w:rsidR="00F50615" w:rsidRPr="001A65C7">
        <w:rPr>
          <w:rFonts w:ascii="Arial" w:hAnsi="Arial" w:cs="Arial"/>
          <w:b/>
          <w:sz w:val="22"/>
          <w:lang w:val="en-GB"/>
        </w:rPr>
        <w:t>Data Analysis</w:t>
      </w:r>
    </w:p>
    <w:p w14:paraId="1B4E0319" w14:textId="77777777" w:rsidR="001A65C7" w:rsidRPr="001A65C7" w:rsidRDefault="001A65C7" w:rsidP="00DF3629">
      <w:pPr>
        <w:pStyle w:val="Body"/>
        <w:spacing w:after="0"/>
        <w:rPr>
          <w:rFonts w:ascii="Arial" w:hAnsi="Arial" w:cs="Arial"/>
          <w:b/>
          <w:sz w:val="22"/>
          <w:lang w:val="en-GB"/>
        </w:rPr>
      </w:pPr>
    </w:p>
    <w:p w14:paraId="1AD99F24" w14:textId="77777777" w:rsidR="00F50615" w:rsidRPr="00DF3629" w:rsidRDefault="00F50615" w:rsidP="00DF3629">
      <w:pPr>
        <w:pStyle w:val="Body"/>
        <w:spacing w:after="0"/>
        <w:rPr>
          <w:rFonts w:ascii="Arial" w:hAnsi="Arial" w:cs="Arial"/>
          <w:b/>
          <w:lang w:val="en-GB"/>
        </w:rPr>
      </w:pPr>
      <w:r w:rsidRPr="00F50615">
        <w:rPr>
          <w:rFonts w:ascii="Arial" w:hAnsi="Arial" w:cs="Arial"/>
          <w:lang w:val="en-GB"/>
        </w:rPr>
        <w:t xml:space="preserve">Descriptive statistical </w:t>
      </w:r>
      <w:proofErr w:type="spellStart"/>
      <w:r w:rsidRPr="00F50615">
        <w:rPr>
          <w:rFonts w:ascii="Arial" w:hAnsi="Arial" w:cs="Arial"/>
          <w:lang w:val="en-GB"/>
        </w:rPr>
        <w:t>analyzes</w:t>
      </w:r>
      <w:proofErr w:type="spellEnd"/>
      <w:r w:rsidRPr="00F50615">
        <w:rPr>
          <w:rFonts w:ascii="Arial" w:hAnsi="Arial" w:cs="Arial"/>
          <w:lang w:val="en-GB"/>
        </w:rPr>
        <w:t xml:space="preserve"> were performed to determine the minimum and maximum values, means, and standard deviations of the measured parameters, in accordance with the </w:t>
      </w:r>
      <w:r w:rsidRPr="00F50615">
        <w:rPr>
          <w:rFonts w:ascii="Arial" w:hAnsi="Arial" w:cs="Arial"/>
          <w:lang w:val="en-GB"/>
        </w:rPr>
        <w:lastRenderedPageBreak/>
        <w:t xml:space="preserve">methodological practices used in similar studies on the quality of water contaminated by pesticides </w:t>
      </w:r>
      <w:r w:rsidRPr="00F50615">
        <w:rPr>
          <w:rFonts w:ascii="Arial" w:hAnsi="Arial" w:cs="Arial"/>
          <w:lang w:val="en"/>
        </w:rPr>
        <w:fldChar w:fldCharType="begin"/>
      </w:r>
      <w:r w:rsidRPr="00F50615">
        <w:rPr>
          <w:rFonts w:ascii="Arial" w:hAnsi="Arial" w:cs="Arial"/>
          <w:lang w:val="en"/>
        </w:rPr>
        <w:instrText xml:space="preserve"> ADDIN EN.CITE &lt;EndNote&gt;&lt;Cite&gt;&lt;Author&gt;Konan&lt;/Author&gt;&lt;Year&gt;2023&lt;/Year&gt;&lt;RecNum&gt;6&lt;/RecNum&gt;&lt;DisplayText&gt;(Kouamé&lt;style face="italic"&gt; et al.&lt;/style&gt; 2022, Konan&lt;style face="italic"&gt; et al.&lt;/style&gt; 2023)&lt;/DisplayText&gt;&lt;record&gt;&lt;rec-number&gt;6&lt;/rec-number&gt;&lt;foreign-keys&gt;&lt;key app="EN" db-id="x5ast2ezjww22se9evnvv5rl2aeefztr2tvf" timestamp="1765653068"&gt;6&lt;/key&gt;&lt;/foreign-keys&gt;&lt;ref-type name="Journal Article"&gt;17&lt;/ref-type&gt;&lt;contributors&gt;&lt;authors&gt;&lt;author&gt;Konan, Kouamé Jean-Paul&lt;/author&gt;&lt;author&gt;Yao, Koffi Théodore&lt;/author&gt;&lt;author&gt;Adiaffi, Bernard&lt;/author&gt;&lt;/authors&gt;&lt;/contributors&gt;&lt;titles&gt;&lt;title&gt;Évaluation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Cite&gt;&lt;Author&gt;Kouamé&lt;/Author&gt;&lt;Year&gt;2022&lt;/Yea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(Kouamé</w:t>
      </w:r>
      <w:r w:rsidRPr="00F50615">
        <w:rPr>
          <w:rFonts w:ascii="Arial" w:hAnsi="Arial" w:cs="Arial"/>
          <w:i/>
          <w:lang w:val="en-GB"/>
        </w:rPr>
        <w:t xml:space="preserve"> et al.</w:t>
      </w:r>
      <w:r w:rsidRPr="00F50615">
        <w:rPr>
          <w:rFonts w:ascii="Arial" w:hAnsi="Arial" w:cs="Arial"/>
          <w:lang w:val="en-GB"/>
        </w:rPr>
        <w:t xml:space="preserve"> 2022, 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w:t>
      </w:r>
    </w:p>
    <w:p w14:paraId="29BADF60" w14:textId="77777777" w:rsidR="00F50615" w:rsidRPr="00F50615" w:rsidRDefault="00F50615" w:rsidP="00DF3629">
      <w:pPr>
        <w:pStyle w:val="Body"/>
        <w:rPr>
          <w:rFonts w:ascii="Arial" w:hAnsi="Arial" w:cs="Arial"/>
          <w:lang w:val="en-GB"/>
        </w:rPr>
      </w:pPr>
      <w:r w:rsidRPr="00F50615">
        <w:rPr>
          <w:rFonts w:ascii="Arial" w:hAnsi="Arial" w:cs="Arial"/>
          <w:lang w:val="en-GB"/>
        </w:rPr>
        <w:t xml:space="preserve">Assessment of water quality with respect to pesticide contamination was further refined using two specific indices: the Pesticide Contamination Index (PCI) and the Pesticide Alteration Index (PAI)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&lt;EndNote&gt;&lt;Cite&gt;&lt;Author&gt;Mark&lt;/Author&gt;&lt;Year&gt;2006&lt;/Year&gt;&lt;RecNum&gt;8&lt;/RecNum&gt;&lt;DisplayText&gt;(Mark&lt;style face="italic"&gt; et al.&lt;/style&gt; 2006)&lt;/DisplayText&gt;&lt;record&gt;&lt;rec-number&gt;8&lt;/rec-number&gt;&lt;foreign-keys&gt;&lt;key app="EN" db-id="x5ast2ezjww22se9evnvv5rl2aeefztr2tvf" timestamp="1765654046"&gt;8&lt;/key&gt;&lt;/foreign-keys&gt;&lt;ref-type name="Journal Article"&gt;17&lt;/ref-type&gt;&lt;contributors&gt;&lt;authors&gt;&lt;author&gt;Mark, D. Munn&lt;/author&gt;&lt;author&gt; Robert, J. Gilliom&lt;/author&gt;&lt;author&gt;Patrick, W. Moran &lt;/author&gt;&lt;author&gt;Lisa, H. Nowell&lt;/author&gt;&lt;/authors&gt;&lt;/contributors&gt;&lt;titles&gt;&lt;title&gt;Pesticide Toxicity Index for Freshwater Aquatic Organisms, 2nd Edition&lt;/title&gt;&lt;/titles&gt;&lt;pages&gt;87&lt;/pages&gt;&lt;dates&gt;&lt;year&gt;2006&lt;/year&gt;&lt;/dates&gt;&lt;urls&gt;&lt;/urls&gt;&lt;/record&gt;&lt;/Cite&gt;&lt;/EndNote&gt;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(Mark</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These indices provide a comprehensive and quantitative evaluation of pollution levels based on the concentrations of detected active substances </w: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(Rocha</w:t>
      </w:r>
      <w:r w:rsidRPr="00F50615">
        <w:rPr>
          <w:rFonts w:ascii="Arial" w:hAnsi="Arial" w:cs="Arial"/>
          <w:i/>
          <w:lang w:val="en-GB"/>
        </w:rPr>
        <w:t xml:space="preserve"> et al.</w:t>
      </w:r>
      <w:r w:rsidRPr="00F50615">
        <w:rPr>
          <w:rFonts w:ascii="Arial" w:hAnsi="Arial" w:cs="Arial"/>
          <w:lang w:val="en-GB"/>
        </w:rPr>
        <w:t xml:space="preserve"> 2015)</w:t>
      </w:r>
      <w:r w:rsidRPr="00F50615">
        <w:rPr>
          <w:rFonts w:ascii="Arial" w:hAnsi="Arial" w:cs="Arial"/>
        </w:rPr>
        <w:fldChar w:fldCharType="end"/>
      </w:r>
      <w:r w:rsidRPr="00F50615">
        <w:rPr>
          <w:rFonts w:ascii="Arial" w:hAnsi="Arial" w:cs="Arial"/>
          <w:lang w:val="en-GB"/>
        </w:rPr>
        <w:t xml:space="preserve">. The assessment of water quality with respect to the presence of active substances was supplemented by the calculation of synthetic indices such as the Pesticide Contamination Index (PCI) and the Pesticide Alteration Index (PAI), recognized for their ability to quantitatively summarize the level of pesticide pollution in aquatic environments </w:t>
      </w:r>
      <w:r w:rsidRPr="00F50615">
        <w:rPr>
          <w:rFonts w:ascii="Arial" w:hAnsi="Arial" w:cs="Arial"/>
          <w:lang w:val="en"/>
        </w:rPr>
        <w:fldChar w:fldCharType="begin"/>
      </w:r>
      <w:r w:rsidRPr="00F50615">
        <w:rPr>
          <w:rFonts w:ascii="Arial" w:hAnsi="Arial" w:cs="Arial"/>
          <w:lang w:val="en"/>
        </w:rPr>
        <w:instrText xml:space="preserve"> ADDIN EN.CITE &lt;EndNote&gt;&lt;Cite&gt;&lt;Author&gt;Atto&lt;/Author&gt;&lt;Year&gt;2020&lt;/Year&gt;&lt;RecNum&gt;5&lt;/RecNum&gt;&lt;DisplayText&gt;(Atto and Monde 2020, Kouamé&lt;style face="italic"&gt; et al.&lt;/style&gt; 2022)&lt;/DisplayText&gt;&lt;record&gt;&lt;rec-number&gt;5&lt;/rec-number&gt;&lt;foreign-keys&gt;&lt;key app="EN" db-id="x5ast2ezjww22se9evnvv5rl2aeefztr2tvf" timestamp="1765652918"&gt;5&lt;/key&gt;&lt;/foreign-keys&gt;&lt;ref-type name="Journal Article"&gt;17&lt;/ref-type&gt;&lt;contributors&gt;&lt;authors&gt;&lt;author&gt;Atto, Yapi&lt;/author&gt;&lt;author&gt;Monde, Sylvain %J &lt;/author&gt;&lt;/authors&gt;&lt;/contributors&gt;&lt;titles&gt;&lt;title&gt;Évaluation du niveau de contamination du lac d’Adaou (est de la côte d’ivoire) par les produits phytosanitaires&lt;/title&gt;&lt;secondary-title&gt;Dynamiques environnementales. Journal international de géosciences et de l’environnement&lt;/secondary-title&gt;&lt;/titles&gt;&lt;periodical&gt;&lt;full-title&gt;Dynamiques environnementales. Journal international de géosciences et de l’environnement&lt;/full-title&gt;&lt;/periodical&gt;&lt;pages&gt;56-60&lt;/pages&gt;&lt;number&gt;45&lt;/number&gt;&lt;dates&gt;&lt;year&gt;2020&lt;/year&gt;&lt;/dates&gt;&lt;isbn&gt;2534-4358&lt;/isbn&gt;&lt;urls&gt;&lt;/urls&gt;&lt;electronic-resource-num&gt;https://doi.org/10.4000/dynenviron.3924&lt;/electronic-resource-num&gt;&lt;/record&gt;&lt;/Cite&gt;&lt;Cite&gt;&lt;Author&gt;Kouamé&lt;/Autho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(Atto and Monde 2020, Kouamé</w:t>
      </w:r>
      <w:r w:rsidRPr="00F50615">
        <w:rPr>
          <w:rFonts w:ascii="Arial" w:hAnsi="Arial" w:cs="Arial"/>
          <w:i/>
          <w:lang w:val="en-GB"/>
        </w:rPr>
        <w:t xml:space="preserve"> et al.</w:t>
      </w:r>
      <w:r w:rsidRPr="00F50615">
        <w:rPr>
          <w:rFonts w:ascii="Arial" w:hAnsi="Arial" w:cs="Arial"/>
          <w:lang w:val="en-GB"/>
        </w:rPr>
        <w:t xml:space="preserve"> 2022)</w:t>
      </w:r>
      <w:r w:rsidRPr="00F50615">
        <w:rPr>
          <w:rFonts w:ascii="Arial" w:hAnsi="Arial" w:cs="Arial"/>
        </w:rPr>
        <w:fldChar w:fldCharType="end"/>
      </w:r>
      <w:r w:rsidRPr="00F50615">
        <w:rPr>
          <w:rFonts w:ascii="Arial" w:hAnsi="Arial" w:cs="Arial"/>
          <w:lang w:val="en-GB"/>
        </w:rPr>
        <w:t>. The concentration of each active substance was calculated using:</w:t>
      </w:r>
    </w:p>
    <w:p w14:paraId="011841AB" w14:textId="77777777" w:rsidR="00F50615" w:rsidRPr="00F50615" w:rsidRDefault="00954BC1" w:rsidP="00DF3629">
      <w:pPr>
        <w:pStyle w:val="Body"/>
        <w:rPr>
          <w:rFonts w:ascii="Arial" w:hAnsi="Arial" w:cs="Arial"/>
          <w:b/>
          <w:lang w:val="en"/>
        </w:rPr>
      </w:pPr>
      <m:oMathPara>
        <m:oMathParaPr>
          <m:jc m:val="center"/>
        </m:oMathParaPr>
        <m:oMath>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P</m:t>
              </m:r>
            </m:sub>
          </m:sSub>
          <m:r>
            <m:rPr>
              <m:sty m:val="bi"/>
            </m:rPr>
            <w:rPr>
              <w:rFonts w:ascii="Cambria Math" w:hAnsi="Cambria Math" w:cs="Arial"/>
              <w:lang w:val="en"/>
            </w:rPr>
            <m:t>=</m:t>
          </m:r>
          <m:f>
            <m:fPr>
              <m:ctrlPr>
                <w:rPr>
                  <w:rFonts w:ascii="Cambria Math" w:hAnsi="Cambria Math" w:cs="Arial"/>
                  <w:b/>
                  <w:i/>
                  <w:lang w:val="en"/>
                </w:rPr>
              </m:ctrlPr>
            </m:fPr>
            <m:num>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c</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2</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f</m:t>
                  </m:r>
                </m:sub>
              </m:sSub>
              <m:r>
                <m:rPr>
                  <m:sty m:val="bi"/>
                </m:rPr>
                <w:rPr>
                  <w:rFonts w:ascii="Cambria Math" w:hAnsi="Cambria Math" w:cs="Arial"/>
                  <w:lang w:val="en"/>
                </w:rPr>
                <m:t>×</m:t>
              </m:r>
              <m:r>
                <m:rPr>
                  <m:sty m:val="bi"/>
                </m:rPr>
                <w:rPr>
                  <w:rFonts w:ascii="Cambria Math" w:hAnsi="Cambria Math" w:cs="Arial"/>
                  <w:lang w:val="en"/>
                </w:rPr>
                <m:t>F</m:t>
              </m:r>
            </m:num>
            <m:den>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M</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1</m:t>
                  </m:r>
                </m:sub>
              </m:sSub>
            </m:den>
          </m:f>
        </m:oMath>
      </m:oMathPara>
    </w:p>
    <w:p w14:paraId="1A9BDDCB"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C</w:t>
      </w:r>
      <w:r w:rsidRPr="00F50615">
        <w:rPr>
          <w:rFonts w:ascii="Arial" w:hAnsi="Arial" w:cs="Arial"/>
          <w:vertAlign w:val="subscript"/>
          <w:lang w:val="en"/>
        </w:rPr>
        <w:t>P:</w:t>
      </w:r>
      <w:r w:rsidRPr="00F50615">
        <w:rPr>
          <w:rFonts w:ascii="Arial" w:hAnsi="Arial" w:cs="Arial"/>
          <w:lang w:val="en"/>
        </w:rPr>
        <w:t xml:space="preserve"> Concentration of active substance (mg/L); </w:t>
      </w:r>
      <w:proofErr w:type="gramStart"/>
      <w:r w:rsidRPr="00F50615">
        <w:rPr>
          <w:rFonts w:ascii="Arial" w:hAnsi="Arial" w:cs="Arial"/>
          <w:lang w:val="en"/>
        </w:rPr>
        <w:t>S</w:t>
      </w:r>
      <w:r w:rsidRPr="00F50615">
        <w:rPr>
          <w:rFonts w:ascii="Arial" w:hAnsi="Arial" w:cs="Arial"/>
          <w:vertAlign w:val="subscript"/>
          <w:lang w:val="en"/>
        </w:rPr>
        <w:t xml:space="preserve">C </w:t>
      </w:r>
      <w:r w:rsidRPr="00F50615">
        <w:rPr>
          <w:rFonts w:ascii="Arial" w:hAnsi="Arial" w:cs="Arial"/>
          <w:lang w:val="en"/>
        </w:rPr>
        <w:t>:</w:t>
      </w:r>
      <w:proofErr w:type="gramEnd"/>
      <w:r w:rsidRPr="00F50615">
        <w:rPr>
          <w:rFonts w:ascii="Arial" w:hAnsi="Arial" w:cs="Arial"/>
          <w:lang w:val="en"/>
        </w:rPr>
        <w:t xml:space="preserve"> peak area of sample; S</w:t>
      </w:r>
      <w:r w:rsidRPr="00F50615">
        <w:rPr>
          <w:rFonts w:ascii="Arial" w:hAnsi="Arial" w:cs="Arial"/>
          <w:vertAlign w:val="subscript"/>
          <w:lang w:val="en"/>
        </w:rPr>
        <w:t xml:space="preserve">e </w:t>
      </w:r>
      <w:r w:rsidRPr="00F50615">
        <w:rPr>
          <w:rFonts w:ascii="Arial" w:hAnsi="Arial" w:cs="Arial"/>
          <w:lang w:val="en"/>
        </w:rPr>
        <w:t xml:space="preserve">: peak area of standard; C </w:t>
      </w:r>
      <w:r w:rsidRPr="00F50615">
        <w:rPr>
          <w:rFonts w:ascii="Arial" w:hAnsi="Arial" w:cs="Arial"/>
          <w:vertAlign w:val="subscript"/>
          <w:lang w:val="en"/>
        </w:rPr>
        <w:t xml:space="preserve">e </w:t>
      </w:r>
      <w:r w:rsidRPr="00F50615">
        <w:rPr>
          <w:rFonts w:ascii="Arial" w:hAnsi="Arial" w:cs="Arial"/>
          <w:lang w:val="en"/>
        </w:rPr>
        <w:t>: concentration of standard (mg/L); V</w:t>
      </w:r>
      <w:r w:rsidRPr="00F50615">
        <w:rPr>
          <w:rFonts w:ascii="Arial" w:hAnsi="Arial" w:cs="Arial"/>
          <w:vertAlign w:val="subscript"/>
          <w:lang w:val="en"/>
        </w:rPr>
        <w:t xml:space="preserve">1 </w:t>
      </w:r>
      <w:r w:rsidRPr="00F50615">
        <w:rPr>
          <w:rFonts w:ascii="Arial" w:hAnsi="Arial" w:cs="Arial"/>
          <w:lang w:val="en"/>
        </w:rPr>
        <w:t xml:space="preserve">: volume to be purified (L); V </w:t>
      </w:r>
      <w:r w:rsidRPr="00F50615">
        <w:rPr>
          <w:rFonts w:ascii="Arial" w:hAnsi="Arial" w:cs="Arial"/>
          <w:vertAlign w:val="subscript"/>
          <w:lang w:val="en"/>
        </w:rPr>
        <w:t xml:space="preserve">2 </w:t>
      </w:r>
      <w:r w:rsidRPr="00F50615">
        <w:rPr>
          <w:rFonts w:ascii="Arial" w:hAnsi="Arial" w:cs="Arial"/>
          <w:lang w:val="en"/>
        </w:rPr>
        <w:t xml:space="preserve">: volume after purification (L); </w:t>
      </w:r>
      <w:proofErr w:type="spellStart"/>
      <w:r w:rsidRPr="00F50615">
        <w:rPr>
          <w:rFonts w:ascii="Arial" w:hAnsi="Arial" w:cs="Arial"/>
          <w:lang w:val="en"/>
        </w:rPr>
        <w:t>V</w:t>
      </w:r>
      <w:r w:rsidRPr="00F50615">
        <w:rPr>
          <w:rFonts w:ascii="Arial" w:hAnsi="Arial" w:cs="Arial"/>
          <w:vertAlign w:val="subscript"/>
          <w:lang w:val="en"/>
        </w:rPr>
        <w:t>f</w:t>
      </w:r>
      <w:proofErr w:type="spellEnd"/>
      <w:r w:rsidRPr="00F50615">
        <w:rPr>
          <w:rFonts w:ascii="Arial" w:hAnsi="Arial" w:cs="Arial"/>
          <w:vertAlign w:val="subscript"/>
          <w:lang w:val="en"/>
        </w:rPr>
        <w:t xml:space="preserve"> </w:t>
      </w:r>
      <w:r w:rsidRPr="00F50615">
        <w:rPr>
          <w:rFonts w:ascii="Arial" w:hAnsi="Arial" w:cs="Arial"/>
          <w:lang w:val="en"/>
        </w:rPr>
        <w:t>: final volume (L); M</w:t>
      </w:r>
      <w:r w:rsidRPr="00F50615">
        <w:rPr>
          <w:rFonts w:ascii="Arial" w:hAnsi="Arial" w:cs="Arial"/>
          <w:vertAlign w:val="subscript"/>
          <w:lang w:val="en"/>
        </w:rPr>
        <w:t xml:space="preserve">e </w:t>
      </w:r>
      <w:r w:rsidRPr="00F50615">
        <w:rPr>
          <w:rFonts w:ascii="Arial" w:hAnsi="Arial" w:cs="Arial"/>
          <w:lang w:val="en"/>
        </w:rPr>
        <w:t>: sample volume (L); F: dilution factor.</w:t>
      </w:r>
    </w:p>
    <w:p w14:paraId="68986FB7" w14:textId="77777777" w:rsidR="00F50615" w:rsidRPr="00F50615" w:rsidRDefault="00F50615" w:rsidP="00DF3629">
      <w:pPr>
        <w:pStyle w:val="Body"/>
        <w:spacing w:after="0"/>
        <w:rPr>
          <w:rFonts w:ascii="Arial" w:hAnsi="Arial" w:cs="Arial"/>
          <w:b/>
          <w:lang w:val="en-GB"/>
        </w:rPr>
      </w:pPr>
    </w:p>
    <w:p w14:paraId="3B02A2F3" w14:textId="77777777" w:rsidR="00F50615" w:rsidRPr="001A65C7" w:rsidRDefault="001A65C7" w:rsidP="00DF3629">
      <w:pPr>
        <w:pStyle w:val="Body"/>
        <w:spacing w:after="0"/>
        <w:rPr>
          <w:rFonts w:ascii="Arial" w:hAnsi="Arial" w:cs="Arial"/>
          <w:b/>
          <w:sz w:val="22"/>
          <w:lang w:val="en"/>
        </w:rPr>
      </w:pPr>
      <w:r w:rsidRPr="001A65C7">
        <w:rPr>
          <w:rFonts w:ascii="Arial" w:hAnsi="Arial" w:cs="Arial"/>
          <w:b/>
          <w:sz w:val="22"/>
          <w:lang w:val="en"/>
        </w:rPr>
        <w:t xml:space="preserve">2.5 </w:t>
      </w:r>
      <w:r w:rsidR="00F50615" w:rsidRPr="001A65C7">
        <w:rPr>
          <w:rFonts w:ascii="Arial" w:hAnsi="Arial" w:cs="Arial"/>
          <w:b/>
          <w:sz w:val="22"/>
          <w:lang w:val="en"/>
        </w:rPr>
        <w:t>Principal Component Analysis (PCA)</w:t>
      </w:r>
    </w:p>
    <w:p w14:paraId="6F320FCD" w14:textId="77777777" w:rsidR="001A65C7" w:rsidRPr="00F50615" w:rsidRDefault="001A65C7" w:rsidP="00DF3629">
      <w:pPr>
        <w:pStyle w:val="Body"/>
        <w:spacing w:after="0"/>
        <w:rPr>
          <w:rFonts w:ascii="Arial" w:hAnsi="Arial" w:cs="Arial"/>
          <w:b/>
          <w:lang w:val="en"/>
        </w:rPr>
      </w:pPr>
    </w:p>
    <w:p w14:paraId="6E952F45"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explore the relationships between sampling sites and pesticide contamination patterns, and to identify the main factors controlling the spatial distribution of contaminants within 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a principal component analysis (PCA) was applied to the analytical dataset. PCA is a multivariate statistical technique widely used in environmental sciences to reduce data dimensionality, identify correlations among variables, and discriminate potential pollution sources in complex </w:t>
      </w:r>
      <w:proofErr w:type="spellStart"/>
      <w:r w:rsidRPr="00F50615">
        <w:rPr>
          <w:rFonts w:ascii="Arial" w:hAnsi="Arial" w:cs="Arial"/>
          <w:lang w:val="en-GB"/>
        </w:rPr>
        <w:t>hydrochemical</w:t>
      </w:r>
      <w:proofErr w:type="spellEnd"/>
      <w:r w:rsidRPr="00F50615">
        <w:rPr>
          <w:rFonts w:ascii="Arial" w:hAnsi="Arial" w:cs="Arial"/>
          <w:lang w:val="en-GB"/>
        </w:rPr>
        <w:t xml:space="preserve"> datasets </w: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 Jolliffe and Cadima 2016)</w:t>
      </w:r>
      <w:r w:rsidRPr="00F50615">
        <w:rPr>
          <w:rFonts w:ascii="Arial" w:hAnsi="Arial" w:cs="Arial"/>
        </w:rPr>
        <w:fldChar w:fldCharType="end"/>
      </w:r>
      <w:r w:rsidRPr="00F50615">
        <w:rPr>
          <w:rFonts w:ascii="Arial" w:hAnsi="Arial" w:cs="Arial"/>
          <w:lang w:val="en-GB"/>
        </w:rPr>
        <w:t xml:space="preserve">. The PCA was performed on a data matrix composed of pesticide concentrations measured in both surface water and groundwater samples. Prior to analysis, all variables were standardized using z-score normalization (mean = 0, standard deviation = 1) to minimize the influence of differences in units and magnitude among the </w:t>
      </w:r>
      <w:proofErr w:type="spellStart"/>
      <w:r w:rsidRPr="00F50615">
        <w:rPr>
          <w:rFonts w:ascii="Arial" w:hAnsi="Arial" w:cs="Arial"/>
          <w:lang w:val="en-GB"/>
        </w:rPr>
        <w:t>analyzed</w:t>
      </w:r>
      <w:proofErr w:type="spellEnd"/>
      <w:r w:rsidRPr="00F50615">
        <w:rPr>
          <w:rFonts w:ascii="Arial" w:hAnsi="Arial" w:cs="Arial"/>
          <w:lang w:val="en-GB"/>
        </w:rPr>
        <w:t xml:space="preserve"> compounds, ensuring that each pesticide contributed equally to the formation of the principal components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&lt;EndNote&gt;&lt;Cite&gt;&lt;Author&gt;Reimann&lt;/Author&gt;&lt;Year&gt;2011&lt;/Year&gt;&lt;RecNum&gt;10&lt;/RecNum&gt;&lt;DisplayText&gt;(Reimann&lt;style face="italic"&gt; et al.&lt;/style&gt; 2011)&lt;/DisplayText&gt;&lt;record&gt;&lt;rec-number&gt;10&lt;/rec-number&gt;&lt;foreign-keys&gt;&lt;key app="EN" db-id="5arwtxpf3w0vfler5pzxa0v3z5t5etx0ratz" timestamp="1766314467"&gt;10&lt;/key&gt;&lt;/foreign-keys&gt;&lt;ref-type name="Book"&gt;6&lt;/ref-type&gt;&lt;contributors&gt;&lt;authors&gt;&lt;author&gt;Reimann, Clemens&lt;/author&gt;&lt;author&gt;Filzmoser, Peter&lt;/author&gt;&lt;author&gt;Garrett, Robert&lt;/author&gt;&lt;author&gt;Dutter, Rudolf&lt;/author&gt;&lt;/authors&gt;&lt;/contributors&gt;&lt;titles&gt;&lt;title&gt;Statistical data analysis explained: applied environmental statistics with R&lt;/title&gt;&lt;/titles&gt;&lt;section&gt;350&lt;/section&gt;&lt;dates&gt;&lt;year&gt;2011&lt;/year&gt;&lt;/dates&gt;&lt;publisher&gt;John Wiley &amp;amp; Sons&lt;/publisher&gt;&lt;isbn&gt;1119965284&lt;/isbn&gt;&lt;urls&gt;&lt;/urls&gt;&lt;/record&gt;&lt;/Cite&gt;&lt;/EndNote&gt;</w:instrText>
      </w:r>
      <w:r w:rsidRPr="00F50615">
        <w:rPr>
          <w:rFonts w:ascii="Arial" w:hAnsi="Arial" w:cs="Arial"/>
          <w:lang w:val="en-GB"/>
        </w:rPr>
        <w:fldChar w:fldCharType="separate"/>
      </w:r>
      <w:r w:rsidRPr="00F50615">
        <w:rPr>
          <w:rFonts w:ascii="Arial" w:hAnsi="Arial" w:cs="Arial"/>
          <w:lang w:val="en-GB"/>
        </w:rPr>
        <w:t>(Reimann</w:t>
      </w:r>
      <w:r w:rsidRPr="00F50615">
        <w:rPr>
          <w:rFonts w:ascii="Arial" w:hAnsi="Arial" w:cs="Arial"/>
          <w:i/>
          <w:lang w:val="en-GB"/>
        </w:rPr>
        <w:t xml:space="preserve"> et al.</w:t>
      </w:r>
      <w:r w:rsidRPr="00F50615">
        <w:rPr>
          <w:rFonts w:ascii="Arial" w:hAnsi="Arial" w:cs="Arial"/>
          <w:lang w:val="en-GB"/>
        </w:rPr>
        <w:t xml:space="preserve"> 2011)</w:t>
      </w:r>
      <w:r w:rsidRPr="00F50615">
        <w:rPr>
          <w:rFonts w:ascii="Arial" w:hAnsi="Arial" w:cs="Arial"/>
        </w:rPr>
        <w:fldChar w:fldCharType="end"/>
      </w:r>
      <w:r w:rsidRPr="00F50615">
        <w:rPr>
          <w:rFonts w:ascii="Arial" w:hAnsi="Arial" w:cs="Arial"/>
          <w:lang w:val="en-GB"/>
        </w:rPr>
        <w:t>.</w:t>
      </w:r>
    </w:p>
    <w:p w14:paraId="6C435762"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analysis was based on the correlation matrix, and principal components with eigenvalues greater than 1 were retained according to the Kaiser criterion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The cumulative variance explained by the retained components was used to assess the adequacy of the factorial solution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Factor loadings were examined to identify the pesticides most strongly associated with each principal component, while factor scores were used to evaluate the similarities and contrasts among sampling sites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&lt;EndNote&gt;&lt;Cite&gt;&lt;Author&gt;Shrestha&lt;/Author&gt;&lt;Year&gt;2007&lt;/Year&gt;&lt;RecNum&gt;2&lt;/RecNum&gt;&lt;DisplayText&gt;(Shrestha and Kazama 2007)&lt;/DisplayText&gt;&lt;record&gt;&lt;rec-number&gt;2&lt;/rec-number&gt;&lt;foreign-keys&gt;&lt;key app="EN" db-id="tzf2tv25msxxelexwpcxvwthea50wpdew9ef" timestamp="1766315205"&gt;2&lt;/key&gt;&lt;/foreign-keys&gt;&lt;ref-type name="Journal Article"&gt;17&lt;/ref-type&gt;&lt;contributors&gt;&lt;authors&gt;&lt;author&gt;Shrestha, S.&lt;/author&gt;&lt;author&gt;Kazama, F.&lt;/author&gt;&lt;/authors&gt;&lt;/contributors&gt;&lt;titles&gt;&lt;title&gt;Assessment of surface water quality using multivariate statistical techniques: A case study of the Fuji river basin, Japan&lt;/title&gt;&lt;secondary-title&gt;Environmental Modelling &amp;amp; Software&lt;/secondary-title&gt;&lt;/titles&gt;&lt;periodical&gt;&lt;full-title&gt;Environmental Modelling &amp;amp; Software&lt;/full-title&gt;&lt;/periodical&gt;&lt;pages&gt;464-475&lt;/pages&gt;&lt;volume&gt;22&lt;/volume&gt;&lt;number&gt;4&lt;/number&gt;&lt;keywords&gt;&lt;keyword&gt;Fuji river basin&lt;/keyword&gt;&lt;keyword&gt;Water quality&lt;/keyword&gt;&lt;keyword&gt;Cluster analysis&lt;/keyword&gt;&lt;keyword&gt;Principal component analysis&lt;/keyword&gt;&lt;keyword&gt;Factor analysis&lt;/keyword&gt;&lt;keyword&gt;Discriminant analysis&lt;/keyword&gt;&lt;/keywords&gt;&lt;dates&gt;&lt;year&gt;2007&lt;/year&gt;&lt;pub-dates&gt;&lt;date&gt;2007/04/01/&lt;/date&gt;&lt;/pub-dates&gt;&lt;/dates&gt;&lt;isbn&gt;1364-8152&lt;/isbn&gt;&lt;urls&gt;&lt;related-urls&gt;&lt;url&gt;https://www.sciencedirect.com/science/article/pii/S136481520600048X&lt;/url&gt;&lt;/related-urls&gt;&lt;/urls&gt;&lt;electronic-resource-num&gt;https://doi.org/10.1016/j.envsoft.2006.02.001&lt;/electronic-resource-num&gt;&lt;/record&gt;&lt;/Cite&gt;&lt;/EndNote&gt;</w:instrText>
      </w:r>
      <w:r w:rsidRPr="00F50615">
        <w:rPr>
          <w:rFonts w:ascii="Arial" w:hAnsi="Arial" w:cs="Arial"/>
          <w:lang w:val="en-GB"/>
        </w:rPr>
        <w:fldChar w:fldCharType="separate"/>
      </w:r>
      <w:r w:rsidRPr="00F50615">
        <w:rPr>
          <w:rFonts w:ascii="Arial" w:hAnsi="Arial" w:cs="Arial"/>
          <w:lang w:val="en-GB"/>
        </w:rPr>
        <w:t>(Shrestha and Kazama 2007)</w:t>
      </w:r>
      <w:r w:rsidRPr="00F50615">
        <w:rPr>
          <w:rFonts w:ascii="Arial" w:hAnsi="Arial" w:cs="Arial"/>
        </w:rPr>
        <w:fldChar w:fldCharType="end"/>
      </w:r>
      <w:r w:rsidRPr="00F50615">
        <w:rPr>
          <w:rFonts w:ascii="Arial" w:hAnsi="Arial" w:cs="Arial"/>
          <w:lang w:val="en-GB"/>
        </w:rPr>
        <w:t xml:space="preserve">. Graphical representations, including biplots of variables and sampling sites, were employed to facilitate the interpretation of PCA results. These diagrams allowed the identification of clusters of sites characterized by similar contamination profiles, as well as the discrimination of chemical signatures associated with distinct pesticide families and potential sources. Such an approach is particularly effective for distinguishing diffuse agricultural inputs from localized contamination and for highlighting the role of hydrological connectivity between surface water and groundwater systems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&lt;EndNote&gt;&lt;Cite&gt;&lt;Author&gt;Hussain&lt;/Author&gt;&lt;Year&gt;2025&lt;/Year&gt;&lt;RecNum&gt;3&lt;/RecNum&gt;&lt;DisplayText&gt;(Hussain&lt;style face="italic"&gt; et al.&lt;/style&gt; 2025)&lt;/DisplayText&gt;&lt;record&gt;&lt;rec-number&gt;3&lt;/rec-number&gt;&lt;foreign-keys&gt;&lt;key app="EN" db-id="tzf2tv25msxxelexwpcxvwthea50wpdew9ef" timestamp="1766315705"&gt;3&lt;/key&gt;&lt;/foreign-keys&gt;&lt;ref-type name="Journal Article"&gt;17&lt;/ref-type&gt;&lt;contributors&gt;&lt;authors&gt;&lt;author&gt;Hussain, Fida&lt;/author&gt;&lt;author&gt;Ahmed, Shakeel&lt;/author&gt;&lt;author&gt;Muhammad Zaigham Abbas Naqvi, Syed&lt;/author&gt;&lt;author&gt;Awais, Muhammad&lt;/author&gt;&lt;author&gt;Zhang, Yanyan&lt;/author&gt;&lt;author&gt;Zhang, Hao&lt;/author&gt;&lt;author&gt;Raghavan, Vijaya&lt;/author&gt;&lt;author&gt;Zang, Yiheng&lt;/author&gt;&lt;author&gt;Zhao, Guoqing&lt;/author&gt;&lt;author&gt;Hu, Jiandong &lt;/author&gt;&lt;/authors&gt;&lt;/contributors&gt;&lt;titles&gt;&lt;title&gt;Agricultural Non-Point Source Pollution: Comprehensive Analysis of Sources and Assessment Methods&lt;/title&gt;&lt;secondary-title&gt;Agriculture&lt;/secondary-title&gt;&lt;/titles&gt;&lt;periodical&gt;&lt;full-title&gt;Agriculture&lt;/full-title&gt;&lt;/periodical&gt;&lt;pages&gt;531&lt;/pages&gt;&lt;volume&gt;15&lt;/volume&gt;&lt;number&gt;5&lt;/number&gt;&lt;dates&gt;&lt;year&gt;2025&lt;/year&gt;&lt;/dates&gt;&lt;isbn&gt;2077-0472&lt;/isbn&gt;&lt;urls&gt;&lt;/urls&gt;&lt;/record&gt;&lt;/Cite&gt;&lt;/EndNote&gt;</w:instrText>
      </w:r>
      <w:r w:rsidRPr="00F50615">
        <w:rPr>
          <w:rFonts w:ascii="Arial" w:hAnsi="Arial" w:cs="Arial"/>
          <w:lang w:val="en-GB"/>
        </w:rPr>
        <w:fldChar w:fldCharType="separate"/>
      </w:r>
      <w:r w:rsidRPr="00F50615">
        <w:rPr>
          <w:rFonts w:ascii="Arial" w:hAnsi="Arial" w:cs="Arial"/>
          <w:lang w:val="en-GB"/>
        </w:rPr>
        <w:t>(Hussain</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interpretation of PCA outputs was further supported by spatial analysis using a geographic information system (GIS), enabling the integration of multivariate statistical results with the spatial distribution of sampling points. This combined statistical and spatial approach enhances the environmental relevance of the analysis and provides a more comprehensive understanding of pesticide </w:t>
      </w:r>
      <w:r w:rsidRPr="00F50615">
        <w:rPr>
          <w:rFonts w:ascii="Arial" w:hAnsi="Arial" w:cs="Arial"/>
          <w:lang w:val="en-GB"/>
        </w:rPr>
        <w:lastRenderedPageBreak/>
        <w:t xml:space="preserve">transport processes, accumulation patterns, and source apportionment within the watershed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&lt;EndNote&gt;&lt;Cite&gt;&lt;Author&gt;Helena&lt;/Author&gt;&lt;Year&gt;2000&lt;/Year&gt;&lt;RecNum&gt;8&lt;/RecNum&gt;&lt;DisplayText&gt;(Helena&lt;style face="italic"&gt; et al.&lt;/style&gt; 2000)&lt;/DisplayText&gt;&lt;record&gt;&lt;rec-number&gt;8&lt;/rec-number&gt;&lt;foreign-keys&gt;&lt;key app="EN" db-id="5arwtxpf3w0vfler5pzxa0v3z5t5etx0ratz" timestamp="1766313520"&gt;8&lt;/key&gt;&lt;/foreign-keys&gt;&lt;ref-type name="Journal Article"&gt;17&lt;/ref-type&gt;&lt;contributors&gt;&lt;authors&gt;&lt;author&gt;Helena, Beatriz&lt;/author&gt;&lt;author&gt;Pardo, Rafael&lt;/author&gt;&lt;author&gt;Vega, Marisol&lt;/author&gt;&lt;author&gt;Barrado, Enrique&lt;/author&gt;&lt;author&gt;Fernandez, Jose Manuel&lt;/author&gt;&lt;author&gt;Fernandez, Luis&lt;/author&gt;&lt;/authors&gt;&lt;/contributors&gt;&lt;titles&gt;&lt;title&gt;Temporal evolution of groundwater composition in an alluvial aquifer (Pisuerga River, Spain) by principal component analysis&lt;/title&gt;&lt;secondary-title&gt;Water Research&lt;/secondary-title&gt;&lt;/titles&gt;&lt;periodical&gt;&lt;full-title&gt;Water Research&lt;/full-title&gt;&lt;/periodical&gt;&lt;pages&gt;807-816&lt;/pages&gt;&lt;volume&gt;34&lt;/volume&gt;&lt;number&gt;3&lt;/number&gt;&lt;dates&gt;&lt;year&gt;2000&lt;/year&gt;&lt;pub-dates&gt;&lt;date&gt;2000/02/15/&lt;/date&gt;&lt;/pub-dates&gt;&lt;/dates&gt;&lt;isbn&gt;0043-1354&lt;/isbn&gt;&lt;urls&gt;&lt;related-urls&gt;&lt;url&gt;https://www.sciencedirect.com/science/article/pii/S0043135499002250&lt;/url&gt;&lt;/related-urls&gt;&lt;/urls&gt;&lt;electronic-resource-num&gt;https://doi.org/10.1016/S0043-1354(99)00225-0&lt;/electronic-resource-num&gt;&lt;/record&gt;&lt;/Cite&gt;&lt;/EndNote&gt;</w:instrText>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w:t>
      </w:r>
      <w:r w:rsidRPr="00F50615">
        <w:rPr>
          <w:rFonts w:ascii="Arial" w:hAnsi="Arial" w:cs="Arial"/>
        </w:rPr>
        <w:fldChar w:fldCharType="end"/>
      </w:r>
      <w:r w:rsidRPr="00F50615">
        <w:rPr>
          <w:rFonts w:ascii="Arial" w:hAnsi="Arial" w:cs="Arial"/>
          <w:lang w:val="en-GB"/>
        </w:rPr>
        <w:t xml:space="preserve">. </w:t>
      </w:r>
    </w:p>
    <w:p w14:paraId="6E7C4B67" w14:textId="77777777" w:rsidR="00790ADA" w:rsidRPr="00FB3A86" w:rsidRDefault="00790ADA" w:rsidP="00441B6F">
      <w:pPr>
        <w:pStyle w:val="Body"/>
        <w:spacing w:after="0"/>
        <w:rPr>
          <w:rFonts w:ascii="Arial" w:hAnsi="Arial" w:cs="Arial"/>
        </w:rPr>
      </w:pPr>
    </w:p>
    <w:p w14:paraId="3165918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8D8DB0" w14:textId="77777777" w:rsidR="00E9424C" w:rsidRDefault="00E9424C" w:rsidP="00441B6F">
      <w:pPr>
        <w:pStyle w:val="Body"/>
        <w:spacing w:after="0"/>
        <w:rPr>
          <w:rFonts w:ascii="Arial" w:hAnsi="Arial" w:cs="Arial"/>
        </w:rPr>
      </w:pPr>
    </w:p>
    <w:p w14:paraId="71816D01" w14:textId="77777777" w:rsidR="002D44DF" w:rsidRDefault="00E9424C" w:rsidP="00E9424C">
      <w:pPr>
        <w:pStyle w:val="Body"/>
        <w:spacing w:after="0"/>
        <w:rPr>
          <w:rFonts w:ascii="Arial" w:hAnsi="Arial" w:cs="Arial"/>
          <w:b/>
          <w:sz w:val="22"/>
          <w:lang w:val="en-GB"/>
        </w:rPr>
      </w:pPr>
      <w:r w:rsidRPr="00E9424C">
        <w:rPr>
          <w:rFonts w:ascii="Arial" w:hAnsi="Arial" w:cs="Arial"/>
          <w:b/>
          <w:sz w:val="22"/>
          <w:lang w:val="en-GB"/>
        </w:rPr>
        <w:t xml:space="preserve">3.1 </w:t>
      </w:r>
      <w:r w:rsidR="00060175">
        <w:rPr>
          <w:rFonts w:ascii="Arial" w:hAnsi="Arial" w:cs="Arial"/>
          <w:b/>
          <w:sz w:val="22"/>
          <w:lang w:val="en-GB"/>
        </w:rPr>
        <w:t xml:space="preserve">Results </w:t>
      </w:r>
    </w:p>
    <w:p w14:paraId="0D3FB7ED" w14:textId="77777777" w:rsidR="00060175" w:rsidRDefault="00060175" w:rsidP="00E9424C">
      <w:pPr>
        <w:pStyle w:val="Body"/>
        <w:spacing w:after="0"/>
        <w:rPr>
          <w:rFonts w:ascii="Arial" w:hAnsi="Arial" w:cs="Arial"/>
          <w:b/>
          <w:sz w:val="22"/>
          <w:lang w:val="en-GB"/>
        </w:rPr>
      </w:pPr>
    </w:p>
    <w:p w14:paraId="607FBC9D" w14:textId="77777777" w:rsidR="00DE62A3" w:rsidRDefault="00060175" w:rsidP="00E9424C">
      <w:pPr>
        <w:pStyle w:val="Body"/>
        <w:spacing w:after="0"/>
        <w:rPr>
          <w:rFonts w:ascii="Arial" w:hAnsi="Arial" w:cs="Arial"/>
          <w:b/>
          <w:lang w:val="en-GB"/>
        </w:rPr>
      </w:pPr>
      <w:r>
        <w:rPr>
          <w:rFonts w:ascii="Arial" w:hAnsi="Arial" w:cs="Arial"/>
          <w:b/>
          <w:sz w:val="22"/>
          <w:lang w:val="en-GB"/>
        </w:rPr>
        <w:t xml:space="preserve">3.1.1 </w:t>
      </w:r>
      <w:r w:rsidR="00DE62A3" w:rsidRPr="00E9424C">
        <w:rPr>
          <w:rFonts w:ascii="Arial" w:hAnsi="Arial" w:cs="Arial"/>
          <w:b/>
          <w:sz w:val="22"/>
          <w:lang w:val="en-GB"/>
        </w:rPr>
        <w:t>Physical characteristics of surface water and groundwater</w:t>
      </w:r>
    </w:p>
    <w:p w14:paraId="1F73B1BF" w14:textId="77777777" w:rsidR="00E9424C" w:rsidRPr="00DE62A3" w:rsidRDefault="00E9424C" w:rsidP="00E9424C">
      <w:pPr>
        <w:pStyle w:val="Body"/>
        <w:spacing w:after="0"/>
        <w:rPr>
          <w:rFonts w:ascii="Arial" w:hAnsi="Arial" w:cs="Arial"/>
          <w:b/>
          <w:lang w:val="en-GB"/>
        </w:rPr>
      </w:pPr>
    </w:p>
    <w:p w14:paraId="3476B6A4"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Table 1 provides an overview of the main physicochemical parameters, including temperature, pH, and electrical conductivity, measured in both surface water and groundwater at several sampling sites. These parameters provide essential information on water quality and the environmental factors that influence it. </w:t>
      </w:r>
    </w:p>
    <w:p w14:paraId="49498BA4" w14:textId="77777777" w:rsidR="00DE62A3" w:rsidRPr="00DE62A3" w:rsidRDefault="00DE62A3" w:rsidP="00E9424C">
      <w:pPr>
        <w:pStyle w:val="Body"/>
        <w:rPr>
          <w:rFonts w:ascii="Arial" w:hAnsi="Arial" w:cs="Arial"/>
          <w:iCs/>
          <w:lang w:val="en-GB"/>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1</w:t>
      </w:r>
      <w:r w:rsidRPr="00DE62A3">
        <w:rPr>
          <w:rFonts w:ascii="Arial" w:hAnsi="Arial" w:cs="Arial"/>
        </w:rPr>
        <w:fldChar w:fldCharType="end"/>
      </w:r>
      <w:r w:rsidRPr="00DE62A3">
        <w:rPr>
          <w:rFonts w:ascii="Arial" w:hAnsi="Arial" w:cs="Arial"/>
          <w:iCs/>
          <w:lang w:val="en"/>
        </w:rPr>
        <w:t>: Physicochemical Characteristics of Surface Water and Groundwater</w:t>
      </w:r>
    </w:p>
    <w:tbl>
      <w:tblPr>
        <w:tblW w:w="9080" w:type="dxa"/>
        <w:tblInd w:w="-431" w:type="dxa"/>
        <w:tblLook w:val="04A0" w:firstRow="1" w:lastRow="0" w:firstColumn="1" w:lastColumn="0" w:noHBand="0" w:noVBand="1"/>
      </w:tblPr>
      <w:tblGrid>
        <w:gridCol w:w="1700"/>
        <w:gridCol w:w="2460"/>
        <w:gridCol w:w="960"/>
        <w:gridCol w:w="960"/>
        <w:gridCol w:w="2040"/>
        <w:gridCol w:w="960"/>
      </w:tblGrid>
      <w:tr w:rsidR="00DE62A3" w:rsidRPr="00DE62A3" w14:paraId="48ADA8F4" w14:textId="77777777" w:rsidTr="00E9424C">
        <w:trPr>
          <w:trHeight w:val="290"/>
        </w:trPr>
        <w:tc>
          <w:tcPr>
            <w:tcW w:w="1700" w:type="dxa"/>
            <w:tcBorders>
              <w:top w:val="single" w:sz="4" w:space="0" w:color="auto"/>
              <w:left w:val="nil"/>
              <w:bottom w:val="nil"/>
              <w:right w:val="nil"/>
            </w:tcBorders>
            <w:vAlign w:val="center"/>
            <w:hideMark/>
          </w:tcPr>
          <w:p w14:paraId="257EF928"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Water Type</w:t>
            </w:r>
          </w:p>
        </w:tc>
        <w:tc>
          <w:tcPr>
            <w:tcW w:w="2460" w:type="dxa"/>
            <w:tcBorders>
              <w:top w:val="single" w:sz="4" w:space="0" w:color="auto"/>
              <w:left w:val="nil"/>
              <w:bottom w:val="nil"/>
              <w:right w:val="nil"/>
            </w:tcBorders>
            <w:vAlign w:val="center"/>
            <w:hideMark/>
          </w:tcPr>
          <w:p w14:paraId="13294090"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Variable</w:t>
            </w:r>
          </w:p>
        </w:tc>
        <w:tc>
          <w:tcPr>
            <w:tcW w:w="960" w:type="dxa"/>
            <w:tcBorders>
              <w:top w:val="single" w:sz="4" w:space="0" w:color="auto"/>
              <w:left w:val="nil"/>
              <w:bottom w:val="nil"/>
              <w:right w:val="nil"/>
            </w:tcBorders>
            <w:vAlign w:val="center"/>
            <w:hideMark/>
          </w:tcPr>
          <w:p w14:paraId="309E7D4D"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Min</w:t>
            </w:r>
          </w:p>
        </w:tc>
        <w:tc>
          <w:tcPr>
            <w:tcW w:w="960" w:type="dxa"/>
            <w:tcBorders>
              <w:top w:val="single" w:sz="4" w:space="0" w:color="auto"/>
              <w:left w:val="nil"/>
              <w:bottom w:val="nil"/>
              <w:right w:val="nil"/>
            </w:tcBorders>
            <w:vAlign w:val="center"/>
            <w:hideMark/>
          </w:tcPr>
          <w:p w14:paraId="4B39B4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Max</w:t>
            </w:r>
          </w:p>
        </w:tc>
        <w:tc>
          <w:tcPr>
            <w:tcW w:w="2040" w:type="dxa"/>
            <w:tcBorders>
              <w:top w:val="single" w:sz="4" w:space="0" w:color="auto"/>
              <w:left w:val="nil"/>
              <w:bottom w:val="nil"/>
              <w:right w:val="nil"/>
            </w:tcBorders>
            <w:vAlign w:val="center"/>
            <w:hideMark/>
          </w:tcPr>
          <w:p w14:paraId="7FC163C7"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Standard Deviation</w:t>
            </w:r>
          </w:p>
        </w:tc>
        <w:tc>
          <w:tcPr>
            <w:tcW w:w="960" w:type="dxa"/>
            <w:tcBorders>
              <w:top w:val="single" w:sz="4" w:space="0" w:color="auto"/>
              <w:left w:val="nil"/>
              <w:bottom w:val="nil"/>
              <w:right w:val="nil"/>
            </w:tcBorders>
            <w:vAlign w:val="center"/>
            <w:hideMark/>
          </w:tcPr>
          <w:p w14:paraId="391DD6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Mean</w:t>
            </w:r>
          </w:p>
        </w:tc>
      </w:tr>
      <w:tr w:rsidR="00DE62A3" w:rsidRPr="00DE62A3" w14:paraId="6D8AC304" w14:textId="77777777" w:rsidTr="00E9424C">
        <w:trPr>
          <w:trHeight w:val="290"/>
        </w:trPr>
        <w:tc>
          <w:tcPr>
            <w:tcW w:w="1700" w:type="dxa"/>
            <w:vMerge w:val="restart"/>
            <w:tcBorders>
              <w:top w:val="single" w:sz="4" w:space="0" w:color="auto"/>
              <w:left w:val="nil"/>
              <w:bottom w:val="nil"/>
              <w:right w:val="nil"/>
            </w:tcBorders>
            <w:vAlign w:val="center"/>
            <w:hideMark/>
          </w:tcPr>
          <w:p w14:paraId="49376C1C"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Surface Water</w:t>
            </w:r>
          </w:p>
        </w:tc>
        <w:tc>
          <w:tcPr>
            <w:tcW w:w="2460" w:type="dxa"/>
            <w:tcBorders>
              <w:top w:val="single" w:sz="4" w:space="0" w:color="auto"/>
              <w:left w:val="nil"/>
              <w:bottom w:val="nil"/>
              <w:right w:val="nil"/>
            </w:tcBorders>
            <w:vAlign w:val="center"/>
            <w:hideMark/>
          </w:tcPr>
          <w:p w14:paraId="6E3B5558"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754615B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29.9</w:t>
            </w:r>
          </w:p>
        </w:tc>
        <w:tc>
          <w:tcPr>
            <w:tcW w:w="960" w:type="dxa"/>
            <w:tcBorders>
              <w:top w:val="single" w:sz="4" w:space="0" w:color="auto"/>
              <w:left w:val="nil"/>
              <w:bottom w:val="nil"/>
              <w:right w:val="nil"/>
            </w:tcBorders>
            <w:vAlign w:val="center"/>
            <w:hideMark/>
          </w:tcPr>
          <w:p w14:paraId="1CBCEEC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33.1</w:t>
            </w:r>
          </w:p>
        </w:tc>
        <w:tc>
          <w:tcPr>
            <w:tcW w:w="2040" w:type="dxa"/>
            <w:tcBorders>
              <w:top w:val="single" w:sz="4" w:space="0" w:color="auto"/>
              <w:left w:val="nil"/>
              <w:bottom w:val="nil"/>
              <w:right w:val="nil"/>
            </w:tcBorders>
            <w:vAlign w:val="center"/>
            <w:hideMark/>
          </w:tcPr>
          <w:p w14:paraId="1720BFD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1.395</w:t>
            </w:r>
          </w:p>
        </w:tc>
        <w:tc>
          <w:tcPr>
            <w:tcW w:w="960" w:type="dxa"/>
            <w:tcBorders>
              <w:top w:val="single" w:sz="4" w:space="0" w:color="auto"/>
              <w:left w:val="nil"/>
              <w:bottom w:val="nil"/>
              <w:right w:val="nil"/>
            </w:tcBorders>
            <w:vAlign w:val="center"/>
            <w:hideMark/>
          </w:tcPr>
          <w:p w14:paraId="5E6BEDB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31.90</w:t>
            </w:r>
          </w:p>
        </w:tc>
      </w:tr>
      <w:tr w:rsidR="00DE62A3" w:rsidRPr="00DE62A3" w14:paraId="08AF16E9" w14:textId="77777777" w:rsidTr="00E9424C">
        <w:trPr>
          <w:trHeight w:val="290"/>
        </w:trPr>
        <w:tc>
          <w:tcPr>
            <w:tcW w:w="1700" w:type="dxa"/>
            <w:vMerge/>
            <w:tcBorders>
              <w:top w:val="single" w:sz="4" w:space="0" w:color="auto"/>
              <w:left w:val="nil"/>
              <w:bottom w:val="nil"/>
              <w:right w:val="nil"/>
            </w:tcBorders>
            <w:vAlign w:val="center"/>
            <w:hideMark/>
          </w:tcPr>
          <w:p w14:paraId="7F686C3B"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640D165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651EA14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3.83</w:t>
            </w:r>
          </w:p>
        </w:tc>
        <w:tc>
          <w:tcPr>
            <w:tcW w:w="960" w:type="dxa"/>
            <w:tcBorders>
              <w:top w:val="nil"/>
              <w:left w:val="nil"/>
              <w:bottom w:val="nil"/>
              <w:right w:val="nil"/>
            </w:tcBorders>
            <w:vAlign w:val="center"/>
            <w:hideMark/>
          </w:tcPr>
          <w:p w14:paraId="631F12C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4.76</w:t>
            </w:r>
          </w:p>
        </w:tc>
        <w:tc>
          <w:tcPr>
            <w:tcW w:w="2040" w:type="dxa"/>
            <w:tcBorders>
              <w:top w:val="nil"/>
              <w:left w:val="nil"/>
              <w:bottom w:val="nil"/>
              <w:right w:val="nil"/>
            </w:tcBorders>
            <w:vAlign w:val="center"/>
            <w:hideMark/>
          </w:tcPr>
          <w:p w14:paraId="3A20A6FA"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0.421</w:t>
            </w:r>
          </w:p>
        </w:tc>
        <w:tc>
          <w:tcPr>
            <w:tcW w:w="960" w:type="dxa"/>
            <w:tcBorders>
              <w:top w:val="nil"/>
              <w:left w:val="nil"/>
              <w:bottom w:val="nil"/>
              <w:right w:val="nil"/>
            </w:tcBorders>
            <w:vAlign w:val="center"/>
            <w:hideMark/>
          </w:tcPr>
          <w:p w14:paraId="11B2854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4.335</w:t>
            </w:r>
          </w:p>
        </w:tc>
      </w:tr>
      <w:tr w:rsidR="00DE62A3" w:rsidRPr="00DE62A3" w14:paraId="21FBD73F" w14:textId="77777777" w:rsidTr="00E9424C">
        <w:trPr>
          <w:trHeight w:val="290"/>
        </w:trPr>
        <w:tc>
          <w:tcPr>
            <w:tcW w:w="1700" w:type="dxa"/>
            <w:vMerge/>
            <w:tcBorders>
              <w:top w:val="single" w:sz="4" w:space="0" w:color="auto"/>
              <w:left w:val="nil"/>
              <w:bottom w:val="nil"/>
              <w:right w:val="nil"/>
            </w:tcBorders>
            <w:vAlign w:val="center"/>
            <w:hideMark/>
          </w:tcPr>
          <w:p w14:paraId="400EABA1"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DDB282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nil"/>
              <w:right w:val="nil"/>
            </w:tcBorders>
            <w:vAlign w:val="center"/>
            <w:hideMark/>
          </w:tcPr>
          <w:p w14:paraId="2BA0A39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40.00</w:t>
            </w:r>
          </w:p>
        </w:tc>
        <w:tc>
          <w:tcPr>
            <w:tcW w:w="960" w:type="dxa"/>
            <w:tcBorders>
              <w:top w:val="nil"/>
              <w:left w:val="nil"/>
              <w:bottom w:val="nil"/>
              <w:right w:val="nil"/>
            </w:tcBorders>
            <w:vAlign w:val="center"/>
            <w:hideMark/>
          </w:tcPr>
          <w:p w14:paraId="4CB05A2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370.00</w:t>
            </w:r>
          </w:p>
        </w:tc>
        <w:tc>
          <w:tcPr>
            <w:tcW w:w="2040" w:type="dxa"/>
            <w:tcBorders>
              <w:top w:val="nil"/>
              <w:left w:val="nil"/>
              <w:bottom w:val="nil"/>
              <w:right w:val="nil"/>
            </w:tcBorders>
            <w:vAlign w:val="center"/>
            <w:hideMark/>
          </w:tcPr>
          <w:p w14:paraId="2480626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139.28</w:t>
            </w:r>
          </w:p>
        </w:tc>
        <w:tc>
          <w:tcPr>
            <w:tcW w:w="960" w:type="dxa"/>
            <w:tcBorders>
              <w:top w:val="nil"/>
              <w:left w:val="nil"/>
              <w:bottom w:val="nil"/>
              <w:right w:val="nil"/>
            </w:tcBorders>
            <w:vAlign w:val="center"/>
            <w:hideMark/>
          </w:tcPr>
          <w:p w14:paraId="6C4B5B5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230</w:t>
            </w:r>
          </w:p>
        </w:tc>
      </w:tr>
      <w:tr w:rsidR="00DE62A3" w:rsidRPr="00DE62A3" w14:paraId="6F320BD1" w14:textId="77777777" w:rsidTr="00E9424C">
        <w:trPr>
          <w:trHeight w:val="290"/>
        </w:trPr>
        <w:tc>
          <w:tcPr>
            <w:tcW w:w="1700" w:type="dxa"/>
            <w:vMerge w:val="restart"/>
            <w:tcBorders>
              <w:top w:val="single" w:sz="4" w:space="0" w:color="auto"/>
              <w:left w:val="nil"/>
              <w:bottom w:val="single" w:sz="4" w:space="0" w:color="000000"/>
              <w:right w:val="nil"/>
            </w:tcBorders>
            <w:vAlign w:val="center"/>
            <w:hideMark/>
          </w:tcPr>
          <w:p w14:paraId="557D6008"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Groundwater</w:t>
            </w:r>
          </w:p>
        </w:tc>
        <w:tc>
          <w:tcPr>
            <w:tcW w:w="2460" w:type="dxa"/>
            <w:tcBorders>
              <w:top w:val="single" w:sz="4" w:space="0" w:color="auto"/>
              <w:left w:val="nil"/>
              <w:bottom w:val="nil"/>
              <w:right w:val="nil"/>
            </w:tcBorders>
            <w:vAlign w:val="center"/>
            <w:hideMark/>
          </w:tcPr>
          <w:p w14:paraId="45D9EC12"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54424E3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27.90</w:t>
            </w:r>
          </w:p>
        </w:tc>
        <w:tc>
          <w:tcPr>
            <w:tcW w:w="960" w:type="dxa"/>
            <w:tcBorders>
              <w:top w:val="single" w:sz="4" w:space="0" w:color="auto"/>
              <w:left w:val="nil"/>
              <w:bottom w:val="nil"/>
              <w:right w:val="nil"/>
            </w:tcBorders>
            <w:vAlign w:val="center"/>
            <w:hideMark/>
          </w:tcPr>
          <w:p w14:paraId="0EBFB8D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35.40</w:t>
            </w:r>
          </w:p>
        </w:tc>
        <w:tc>
          <w:tcPr>
            <w:tcW w:w="2040" w:type="dxa"/>
            <w:tcBorders>
              <w:top w:val="single" w:sz="4" w:space="0" w:color="auto"/>
              <w:left w:val="nil"/>
              <w:bottom w:val="nil"/>
              <w:right w:val="nil"/>
            </w:tcBorders>
            <w:vAlign w:val="center"/>
            <w:hideMark/>
          </w:tcPr>
          <w:p w14:paraId="6C224181"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3.20</w:t>
            </w:r>
          </w:p>
        </w:tc>
        <w:tc>
          <w:tcPr>
            <w:tcW w:w="960" w:type="dxa"/>
            <w:tcBorders>
              <w:top w:val="single" w:sz="4" w:space="0" w:color="auto"/>
              <w:left w:val="nil"/>
              <w:bottom w:val="nil"/>
              <w:right w:val="nil"/>
            </w:tcBorders>
            <w:vAlign w:val="center"/>
            <w:hideMark/>
          </w:tcPr>
          <w:p w14:paraId="7937DD4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31.03</w:t>
            </w:r>
          </w:p>
        </w:tc>
      </w:tr>
      <w:tr w:rsidR="00DE62A3" w:rsidRPr="00DE62A3" w14:paraId="1917E765"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6DFC5552"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462297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44DEA69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3.45</w:t>
            </w:r>
          </w:p>
        </w:tc>
        <w:tc>
          <w:tcPr>
            <w:tcW w:w="960" w:type="dxa"/>
            <w:tcBorders>
              <w:top w:val="nil"/>
              <w:left w:val="nil"/>
              <w:bottom w:val="nil"/>
              <w:right w:val="nil"/>
            </w:tcBorders>
            <w:vAlign w:val="center"/>
            <w:hideMark/>
          </w:tcPr>
          <w:p w14:paraId="2CAA6E5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5.06</w:t>
            </w:r>
          </w:p>
        </w:tc>
        <w:tc>
          <w:tcPr>
            <w:tcW w:w="2040" w:type="dxa"/>
            <w:tcBorders>
              <w:top w:val="nil"/>
              <w:left w:val="nil"/>
              <w:bottom w:val="nil"/>
              <w:right w:val="nil"/>
            </w:tcBorders>
            <w:vAlign w:val="center"/>
            <w:hideMark/>
          </w:tcPr>
          <w:p w14:paraId="2158A86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0.58</w:t>
            </w:r>
          </w:p>
        </w:tc>
        <w:tc>
          <w:tcPr>
            <w:tcW w:w="960" w:type="dxa"/>
            <w:tcBorders>
              <w:top w:val="nil"/>
              <w:left w:val="nil"/>
              <w:bottom w:val="nil"/>
              <w:right w:val="nil"/>
            </w:tcBorders>
            <w:vAlign w:val="center"/>
            <w:hideMark/>
          </w:tcPr>
          <w:p w14:paraId="614116E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4.22</w:t>
            </w:r>
          </w:p>
        </w:tc>
      </w:tr>
      <w:tr w:rsidR="00DE62A3" w:rsidRPr="00DE62A3" w14:paraId="4FF14A6C"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4514DADE"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single" w:sz="4" w:space="0" w:color="auto"/>
              <w:right w:val="nil"/>
            </w:tcBorders>
            <w:vAlign w:val="center"/>
            <w:hideMark/>
          </w:tcPr>
          <w:p w14:paraId="4C1D53E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single" w:sz="4" w:space="0" w:color="auto"/>
              <w:right w:val="nil"/>
            </w:tcBorders>
            <w:vAlign w:val="center"/>
            <w:hideMark/>
          </w:tcPr>
          <w:p w14:paraId="1C29D72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20.00</w:t>
            </w:r>
          </w:p>
        </w:tc>
        <w:tc>
          <w:tcPr>
            <w:tcW w:w="960" w:type="dxa"/>
            <w:tcBorders>
              <w:top w:val="nil"/>
              <w:left w:val="nil"/>
              <w:bottom w:val="single" w:sz="4" w:space="0" w:color="auto"/>
              <w:right w:val="nil"/>
            </w:tcBorders>
            <w:vAlign w:val="center"/>
            <w:hideMark/>
          </w:tcPr>
          <w:p w14:paraId="0C2F0EF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180.00</w:t>
            </w:r>
          </w:p>
        </w:tc>
        <w:tc>
          <w:tcPr>
            <w:tcW w:w="2040" w:type="dxa"/>
            <w:tcBorders>
              <w:top w:val="nil"/>
              <w:left w:val="nil"/>
              <w:bottom w:val="single" w:sz="4" w:space="0" w:color="auto"/>
              <w:right w:val="nil"/>
            </w:tcBorders>
            <w:vAlign w:val="center"/>
            <w:hideMark/>
          </w:tcPr>
          <w:p w14:paraId="045EDF5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60.25</w:t>
            </w:r>
          </w:p>
        </w:tc>
        <w:tc>
          <w:tcPr>
            <w:tcW w:w="960" w:type="dxa"/>
            <w:tcBorders>
              <w:top w:val="nil"/>
              <w:left w:val="nil"/>
              <w:bottom w:val="single" w:sz="4" w:space="0" w:color="auto"/>
              <w:right w:val="nil"/>
            </w:tcBorders>
            <w:vAlign w:val="center"/>
            <w:hideMark/>
          </w:tcPr>
          <w:p w14:paraId="46AC02B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75.00</w:t>
            </w:r>
          </w:p>
        </w:tc>
      </w:tr>
    </w:tbl>
    <w:p w14:paraId="76C0FB8E" w14:textId="77777777" w:rsidR="00E9424C" w:rsidRDefault="00E9424C" w:rsidP="00DE62A3">
      <w:pPr>
        <w:pStyle w:val="Body"/>
        <w:spacing w:after="0"/>
        <w:rPr>
          <w:rFonts w:ascii="Arial" w:hAnsi="Arial" w:cs="Arial"/>
          <w:lang w:val="en-GB"/>
        </w:rPr>
      </w:pPr>
    </w:p>
    <w:p w14:paraId="647F6D1F" w14:textId="77777777" w:rsidR="00DE62A3" w:rsidRDefault="00DE62A3" w:rsidP="00DE62A3">
      <w:pPr>
        <w:pStyle w:val="Body"/>
        <w:spacing w:after="0"/>
        <w:rPr>
          <w:rFonts w:ascii="Arial" w:hAnsi="Arial" w:cs="Arial"/>
          <w:lang w:val="en-GB"/>
        </w:rPr>
      </w:pPr>
      <w:r w:rsidRPr="00DE62A3">
        <w:rPr>
          <w:rFonts w:ascii="Arial" w:hAnsi="Arial" w:cs="Arial"/>
          <w:lang w:val="en-GB"/>
        </w:rPr>
        <w:t>Surface water temperatures ranged from 29.9 to 33.1°C, with an average of 31.90°C and a relatively low standard deviation of 1.395, indicating limited thermal variation between sites. This low range suggests that surface water temperature is mainly controlled by ambient temperature and solar radiation, with limited influence from site-specific factors. In contrast, groundwater temperatures showed greater variability, ranging from 27.9 to 35.4°C, with an average of 31.03°C and a higher standard deviation of 3.20. pH values indicate that both surface water and groundwater are acidic. The pH of surface water ranged from 3.83 to 4.76, with an average of 4.34 and a standard deviation of 0.421, while the pH of groundwater ranged from 3.45 to 5.06, with an average of 4.22 and a standard deviation of 0.58. The slightly higher variability of pH in groundwater suggests heterogeneity in the geochemical conditions of the subsoil. Electrical conductivity, which reflects the ion content and overall mineralization of water, shows notable differences between surface water and groundwater. Surface water has values ranging from 40 to 370 µS/cm, with an average of 230 µS/cm and a standard deviation of 139.28. Groundwater, on the other hand, has lower conductivity values, ranging from 20 to 180 µS/cm, with an average of 75 µS/cm and a standard deviation of 60.25, suggesting lower mineralization and reduced influence from surface contaminants.</w:t>
      </w:r>
    </w:p>
    <w:p w14:paraId="078A25E4" w14:textId="77777777" w:rsidR="00E9424C" w:rsidRPr="00DE62A3" w:rsidRDefault="00E9424C" w:rsidP="00DE62A3">
      <w:pPr>
        <w:pStyle w:val="Body"/>
        <w:spacing w:after="0"/>
        <w:rPr>
          <w:rFonts w:ascii="Arial" w:hAnsi="Arial" w:cs="Arial"/>
          <w:lang w:val="en-GB"/>
        </w:rPr>
      </w:pPr>
    </w:p>
    <w:p w14:paraId="59DC5752" w14:textId="77777777" w:rsidR="00A465DC" w:rsidRDefault="00E9424C" w:rsidP="00E9424C">
      <w:pPr>
        <w:pStyle w:val="Body"/>
        <w:spacing w:after="0"/>
        <w:rPr>
          <w:rFonts w:ascii="Arial" w:hAnsi="Arial" w:cs="Arial"/>
          <w:b/>
          <w:sz w:val="22"/>
          <w:lang w:val="en-GB"/>
        </w:rPr>
      </w:pPr>
      <w:r w:rsidRPr="00E9424C">
        <w:rPr>
          <w:rFonts w:ascii="Arial" w:hAnsi="Arial" w:cs="Arial"/>
          <w:b/>
          <w:sz w:val="22"/>
          <w:lang w:val="en-GB"/>
        </w:rPr>
        <w:t>3.</w:t>
      </w:r>
      <w:r w:rsidR="00060175">
        <w:rPr>
          <w:rFonts w:ascii="Arial" w:hAnsi="Arial" w:cs="Arial"/>
          <w:b/>
          <w:sz w:val="22"/>
          <w:lang w:val="en-GB"/>
        </w:rPr>
        <w:t>1.</w:t>
      </w:r>
      <w:r w:rsidRPr="00E9424C">
        <w:rPr>
          <w:rFonts w:ascii="Arial" w:hAnsi="Arial" w:cs="Arial"/>
          <w:b/>
          <w:sz w:val="22"/>
          <w:lang w:val="en-GB"/>
        </w:rPr>
        <w:t xml:space="preserve">2 </w:t>
      </w:r>
      <w:r w:rsidR="00DE62A3" w:rsidRPr="00E9424C">
        <w:rPr>
          <w:rFonts w:ascii="Arial" w:hAnsi="Arial" w:cs="Arial"/>
          <w:b/>
          <w:sz w:val="22"/>
          <w:lang w:val="en-GB"/>
        </w:rPr>
        <w:t xml:space="preserve">Water contamination by active molecules </w:t>
      </w:r>
    </w:p>
    <w:p w14:paraId="750EC72B" w14:textId="77777777" w:rsidR="00DE62A3" w:rsidRPr="00A465DC" w:rsidRDefault="00A465DC" w:rsidP="00A465DC">
      <w:pPr>
        <w:pStyle w:val="Body"/>
        <w:spacing w:after="0"/>
        <w:rPr>
          <w:rFonts w:ascii="Arial" w:hAnsi="Arial" w:cs="Arial"/>
          <w:b/>
          <w:i/>
          <w:lang w:val="en-GB"/>
        </w:rPr>
      </w:pPr>
      <w:r w:rsidRPr="00A465DC">
        <w:rPr>
          <w:rFonts w:ascii="Arial" w:hAnsi="Arial" w:cs="Arial"/>
          <w:b/>
          <w:i/>
          <w:lang w:val="en-GB"/>
        </w:rPr>
        <w:t xml:space="preserve">3.1.2.1 Water contamination by active molecules </w:t>
      </w:r>
      <w:r w:rsidR="00DE62A3" w:rsidRPr="00A465DC">
        <w:rPr>
          <w:rFonts w:ascii="Arial" w:hAnsi="Arial" w:cs="Arial"/>
          <w:b/>
          <w:i/>
          <w:lang w:val="en-GB"/>
        </w:rPr>
        <w:t>in surface water</w:t>
      </w:r>
    </w:p>
    <w:p w14:paraId="52FBA96B" w14:textId="77777777" w:rsidR="00E9424C" w:rsidRPr="00DE62A3" w:rsidRDefault="00E9424C" w:rsidP="00E9424C">
      <w:pPr>
        <w:pStyle w:val="Body"/>
        <w:spacing w:after="0"/>
        <w:rPr>
          <w:rFonts w:ascii="Arial" w:hAnsi="Arial" w:cs="Arial"/>
          <w:b/>
          <w:lang w:val="en-GB"/>
        </w:rPr>
      </w:pPr>
    </w:p>
    <w:p w14:paraId="1B9F3DD2"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Pesticide concentrations in surface water vary significantly depending on the family and molecules. Among insecticides, the maximum values recorded range from 0.01 µg/L for deltamethrin to 3.45 µg/L for chlorpyrifos –ethyl (Table 2). The averages indicate that the molecules most frequently detected at significant levels are chlorpyrifos -ethyl (1.17 µg/L) and dimethoate (0.83 µg/L), while deltamethrin and </w:t>
      </w:r>
      <w:proofErr w:type="spellStart"/>
      <w:r w:rsidRPr="00DE62A3">
        <w:rPr>
          <w:rFonts w:ascii="Arial" w:hAnsi="Arial" w:cs="Arial"/>
          <w:lang w:val="en-GB"/>
        </w:rPr>
        <w:t>carbosulfan</w:t>
      </w:r>
      <w:proofErr w:type="spellEnd"/>
      <w:r w:rsidRPr="00DE62A3">
        <w:rPr>
          <w:rFonts w:ascii="Arial" w:hAnsi="Arial" w:cs="Arial"/>
          <w:lang w:val="en-GB"/>
        </w:rPr>
        <w:t xml:space="preserve"> remain at very low levels (0.01 and 0.02 µg/L respectively). The relatively high standard deviations, particularly for </w:t>
      </w:r>
      <w:r w:rsidRPr="00DE62A3">
        <w:rPr>
          <w:rFonts w:ascii="Arial" w:hAnsi="Arial" w:cs="Arial"/>
          <w:lang w:val="en-GB"/>
        </w:rPr>
        <w:lastRenderedPageBreak/>
        <w:t xml:space="preserve">chlorpyrifos -ethyl (1.59) and parathion-ethyl (0.47), indicate high spatial or temporal variability. Herbicides follow a similar trend, with maximum levels observed for </w:t>
      </w:r>
      <w:proofErr w:type="spellStart"/>
      <w:r w:rsidRPr="00DE62A3">
        <w:rPr>
          <w:rFonts w:ascii="Arial" w:hAnsi="Arial" w:cs="Arial"/>
          <w:lang w:val="en-GB"/>
        </w:rPr>
        <w:t>terbutryn</w:t>
      </w:r>
      <w:proofErr w:type="spellEnd"/>
      <w:r w:rsidRPr="00DE62A3">
        <w:rPr>
          <w:rFonts w:ascii="Arial" w:hAnsi="Arial" w:cs="Arial"/>
          <w:lang w:val="en-GB"/>
        </w:rPr>
        <w:t xml:space="preserve"> (2.23 µg/L), atrazine, and </w:t>
      </w:r>
      <w:proofErr w:type="spellStart"/>
      <w:r w:rsidRPr="00DE62A3">
        <w:rPr>
          <w:rFonts w:ascii="Arial" w:hAnsi="Arial" w:cs="Arial"/>
          <w:lang w:val="en-GB"/>
        </w:rPr>
        <w:t>prometryn</w:t>
      </w:r>
      <w:proofErr w:type="spellEnd"/>
      <w:r w:rsidRPr="00DE62A3">
        <w:rPr>
          <w:rFonts w:ascii="Arial" w:hAnsi="Arial" w:cs="Arial"/>
          <w:lang w:val="en-GB"/>
        </w:rPr>
        <w:t xml:space="preserve"> (1.03 µg/L each). The averages reveal that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(0.56 µg/L) and </w:t>
      </w:r>
      <w:proofErr w:type="spellStart"/>
      <w:r w:rsidRPr="00DE62A3">
        <w:rPr>
          <w:rFonts w:ascii="Arial" w:hAnsi="Arial" w:cs="Arial"/>
          <w:lang w:val="en-GB"/>
        </w:rPr>
        <w:t>prometryn</w:t>
      </w:r>
      <w:proofErr w:type="spellEnd"/>
      <w:r w:rsidRPr="00DE62A3">
        <w:rPr>
          <w:rFonts w:ascii="Arial" w:hAnsi="Arial" w:cs="Arial"/>
          <w:lang w:val="en-GB"/>
        </w:rPr>
        <w:t xml:space="preserve"> (0.51 µg/L), are present at relatively high levels, while metazachlor (0.07 µg/L) and diuron (0.20 µg/L) appear in low concentrations. The high standard deviations for </w:t>
      </w:r>
      <w:proofErr w:type="spellStart"/>
      <w:r w:rsidRPr="00DE62A3">
        <w:rPr>
          <w:rFonts w:ascii="Arial" w:hAnsi="Arial" w:cs="Arial"/>
          <w:lang w:val="en-GB"/>
        </w:rPr>
        <w:t>terbutryn</w:t>
      </w:r>
      <w:proofErr w:type="spellEnd"/>
      <w:r w:rsidRPr="00DE62A3">
        <w:rPr>
          <w:rFonts w:ascii="Arial" w:hAnsi="Arial" w:cs="Arial"/>
          <w:lang w:val="en-GB"/>
        </w:rPr>
        <w:t xml:space="preserve"> (1.12 µg/L) and </w:t>
      </w:r>
      <w:proofErr w:type="spellStart"/>
      <w:r w:rsidRPr="00DE62A3">
        <w:rPr>
          <w:rFonts w:ascii="Arial" w:hAnsi="Arial" w:cs="Arial"/>
          <w:lang w:val="en-GB"/>
        </w:rPr>
        <w:t>prometryn</w:t>
      </w:r>
      <w:proofErr w:type="spellEnd"/>
      <w:r w:rsidRPr="00DE62A3">
        <w:rPr>
          <w:rFonts w:ascii="Arial" w:hAnsi="Arial" w:cs="Arial"/>
          <w:lang w:val="en-GB"/>
        </w:rPr>
        <w:t xml:space="preserve"> (0.53 µg/L) indicate a heterogeneous distribution, probably linked to localized agricultural applications or hydrological variations. Finally, the fungicide vinclozolin is detected at very low concentrations (mean 0.01 µg/L, standard deviation 0.01 µg/L), highlighting.</w:t>
      </w:r>
    </w:p>
    <w:p w14:paraId="471373D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2</w:t>
      </w:r>
      <w:r w:rsidRPr="00DE62A3">
        <w:rPr>
          <w:rFonts w:ascii="Arial" w:hAnsi="Arial" w:cs="Arial"/>
        </w:rPr>
        <w:fldChar w:fldCharType="end"/>
      </w:r>
      <w:r w:rsidRPr="00DE62A3">
        <w:rPr>
          <w:rFonts w:ascii="Arial" w:hAnsi="Arial" w:cs="Arial"/>
          <w:iCs/>
          <w:lang w:val="en"/>
        </w:rPr>
        <w:t>: Summary Statistics of detected pesticides by family and compound in surface water</w:t>
      </w:r>
    </w:p>
    <w:tbl>
      <w:tblPr>
        <w:tblW w:w="9140" w:type="dxa"/>
        <w:jc w:val="center"/>
        <w:tblLook w:val="04A0" w:firstRow="1" w:lastRow="0" w:firstColumn="1" w:lastColumn="0" w:noHBand="0" w:noVBand="1"/>
      </w:tblPr>
      <w:tblGrid>
        <w:gridCol w:w="1940"/>
        <w:gridCol w:w="2160"/>
        <w:gridCol w:w="1300"/>
        <w:gridCol w:w="1220"/>
        <w:gridCol w:w="1220"/>
        <w:gridCol w:w="1300"/>
      </w:tblGrid>
      <w:tr w:rsidR="00DE62A3" w:rsidRPr="00DE62A3" w14:paraId="1A17F093" w14:textId="77777777" w:rsidTr="002D44DF">
        <w:trPr>
          <w:trHeight w:val="290"/>
          <w:jc w:val="center"/>
        </w:trPr>
        <w:tc>
          <w:tcPr>
            <w:tcW w:w="1940" w:type="dxa"/>
            <w:tcBorders>
              <w:top w:val="single" w:sz="4" w:space="0" w:color="auto"/>
              <w:left w:val="nil"/>
              <w:bottom w:val="nil"/>
              <w:right w:val="nil"/>
            </w:tcBorders>
            <w:vAlign w:val="center"/>
            <w:hideMark/>
          </w:tcPr>
          <w:p w14:paraId="50509F3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Pesticide Group</w:t>
            </w:r>
          </w:p>
        </w:tc>
        <w:tc>
          <w:tcPr>
            <w:tcW w:w="2160" w:type="dxa"/>
            <w:tcBorders>
              <w:top w:val="single" w:sz="4" w:space="0" w:color="auto"/>
              <w:left w:val="nil"/>
              <w:bottom w:val="nil"/>
              <w:right w:val="nil"/>
            </w:tcBorders>
            <w:vAlign w:val="center"/>
            <w:hideMark/>
          </w:tcPr>
          <w:p w14:paraId="3FF8776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Active Compound</w:t>
            </w:r>
          </w:p>
        </w:tc>
        <w:tc>
          <w:tcPr>
            <w:tcW w:w="1300" w:type="dxa"/>
            <w:tcBorders>
              <w:top w:val="single" w:sz="4" w:space="0" w:color="auto"/>
              <w:left w:val="nil"/>
              <w:bottom w:val="nil"/>
              <w:right w:val="nil"/>
            </w:tcBorders>
            <w:vAlign w:val="center"/>
            <w:hideMark/>
          </w:tcPr>
          <w:p w14:paraId="3A09079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Min (µg/L)</w:t>
            </w:r>
          </w:p>
        </w:tc>
        <w:tc>
          <w:tcPr>
            <w:tcW w:w="1220" w:type="dxa"/>
            <w:tcBorders>
              <w:top w:val="single" w:sz="4" w:space="0" w:color="auto"/>
              <w:left w:val="nil"/>
              <w:bottom w:val="nil"/>
              <w:right w:val="nil"/>
            </w:tcBorders>
            <w:vAlign w:val="center"/>
            <w:hideMark/>
          </w:tcPr>
          <w:p w14:paraId="077480DA"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Max (µg/L)</w:t>
            </w:r>
          </w:p>
        </w:tc>
        <w:tc>
          <w:tcPr>
            <w:tcW w:w="1220" w:type="dxa"/>
            <w:tcBorders>
              <w:top w:val="single" w:sz="4" w:space="0" w:color="auto"/>
              <w:left w:val="nil"/>
              <w:bottom w:val="nil"/>
              <w:right w:val="nil"/>
            </w:tcBorders>
            <w:vAlign w:val="center"/>
            <w:hideMark/>
          </w:tcPr>
          <w:p w14:paraId="1B7FD4A2"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SD (µg/L)</w:t>
            </w:r>
          </w:p>
        </w:tc>
        <w:tc>
          <w:tcPr>
            <w:tcW w:w="1300" w:type="dxa"/>
            <w:tcBorders>
              <w:top w:val="single" w:sz="4" w:space="0" w:color="auto"/>
              <w:left w:val="nil"/>
              <w:bottom w:val="nil"/>
              <w:right w:val="nil"/>
            </w:tcBorders>
            <w:vAlign w:val="center"/>
            <w:hideMark/>
          </w:tcPr>
          <w:p w14:paraId="120D0F7D"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Mean (µg/L)</w:t>
            </w:r>
          </w:p>
        </w:tc>
      </w:tr>
      <w:tr w:rsidR="00DE62A3" w:rsidRPr="00DE62A3" w14:paraId="211B26F5"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2374F9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Insecticides</w:t>
            </w:r>
          </w:p>
        </w:tc>
        <w:tc>
          <w:tcPr>
            <w:tcW w:w="2160" w:type="dxa"/>
            <w:tcBorders>
              <w:top w:val="single" w:sz="4" w:space="0" w:color="auto"/>
              <w:left w:val="nil"/>
              <w:bottom w:val="nil"/>
              <w:right w:val="nil"/>
            </w:tcBorders>
            <w:vAlign w:val="center"/>
            <w:hideMark/>
          </w:tcPr>
          <w:p w14:paraId="599F91A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Parathion-methyl</w:t>
            </w:r>
          </w:p>
        </w:tc>
        <w:tc>
          <w:tcPr>
            <w:tcW w:w="1300" w:type="dxa"/>
            <w:tcBorders>
              <w:top w:val="single" w:sz="4" w:space="0" w:color="auto"/>
              <w:left w:val="nil"/>
              <w:bottom w:val="nil"/>
              <w:right w:val="nil"/>
            </w:tcBorders>
            <w:vAlign w:val="center"/>
            <w:hideMark/>
          </w:tcPr>
          <w:p w14:paraId="59A464C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nil"/>
              <w:right w:val="nil"/>
            </w:tcBorders>
            <w:vAlign w:val="center"/>
            <w:hideMark/>
          </w:tcPr>
          <w:p w14:paraId="12BAF2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c>
          <w:tcPr>
            <w:tcW w:w="1220" w:type="dxa"/>
            <w:tcBorders>
              <w:top w:val="single" w:sz="4" w:space="0" w:color="auto"/>
              <w:left w:val="nil"/>
              <w:bottom w:val="nil"/>
              <w:right w:val="nil"/>
            </w:tcBorders>
            <w:vAlign w:val="center"/>
            <w:hideMark/>
          </w:tcPr>
          <w:p w14:paraId="28F001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300" w:type="dxa"/>
            <w:tcBorders>
              <w:top w:val="single" w:sz="4" w:space="0" w:color="auto"/>
              <w:left w:val="nil"/>
              <w:bottom w:val="nil"/>
              <w:right w:val="nil"/>
            </w:tcBorders>
            <w:vAlign w:val="center"/>
            <w:hideMark/>
          </w:tcPr>
          <w:p w14:paraId="1A82A5B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41BEA5A7" w14:textId="77777777" w:rsidTr="002D44DF">
        <w:trPr>
          <w:trHeight w:val="290"/>
          <w:jc w:val="center"/>
        </w:trPr>
        <w:tc>
          <w:tcPr>
            <w:tcW w:w="1940" w:type="dxa"/>
            <w:vMerge/>
            <w:tcBorders>
              <w:top w:val="single" w:sz="4" w:space="0" w:color="auto"/>
              <w:left w:val="nil"/>
              <w:bottom w:val="nil"/>
              <w:right w:val="nil"/>
            </w:tcBorders>
            <w:vAlign w:val="center"/>
            <w:hideMark/>
          </w:tcPr>
          <w:p w14:paraId="29B24C90"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82FF5B2"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Chlorfenvinphos</w:t>
            </w:r>
            <w:proofErr w:type="spellEnd"/>
          </w:p>
        </w:tc>
        <w:tc>
          <w:tcPr>
            <w:tcW w:w="1300" w:type="dxa"/>
            <w:tcBorders>
              <w:top w:val="nil"/>
              <w:left w:val="nil"/>
              <w:bottom w:val="nil"/>
              <w:right w:val="nil"/>
            </w:tcBorders>
            <w:vAlign w:val="center"/>
            <w:hideMark/>
          </w:tcPr>
          <w:p w14:paraId="22F18F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280D6458"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c>
          <w:tcPr>
            <w:tcW w:w="1220" w:type="dxa"/>
            <w:tcBorders>
              <w:top w:val="nil"/>
              <w:left w:val="nil"/>
              <w:bottom w:val="nil"/>
              <w:right w:val="nil"/>
            </w:tcBorders>
            <w:vAlign w:val="center"/>
            <w:hideMark/>
          </w:tcPr>
          <w:p w14:paraId="24CF5F0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427C9DC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0.28</w:t>
            </w:r>
          </w:p>
        </w:tc>
      </w:tr>
      <w:tr w:rsidR="00DE62A3" w:rsidRPr="00DE62A3" w14:paraId="7EF3D25A" w14:textId="77777777" w:rsidTr="002D44DF">
        <w:trPr>
          <w:trHeight w:val="290"/>
          <w:jc w:val="center"/>
        </w:trPr>
        <w:tc>
          <w:tcPr>
            <w:tcW w:w="1940" w:type="dxa"/>
            <w:vMerge/>
            <w:tcBorders>
              <w:top w:val="single" w:sz="4" w:space="0" w:color="auto"/>
              <w:left w:val="nil"/>
              <w:bottom w:val="nil"/>
              <w:right w:val="nil"/>
            </w:tcBorders>
            <w:vAlign w:val="center"/>
            <w:hideMark/>
          </w:tcPr>
          <w:p w14:paraId="49E5CBE3"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FCBA39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Parathion-ethyl</w:t>
            </w:r>
          </w:p>
        </w:tc>
        <w:tc>
          <w:tcPr>
            <w:tcW w:w="1300" w:type="dxa"/>
            <w:tcBorders>
              <w:top w:val="nil"/>
              <w:left w:val="nil"/>
              <w:bottom w:val="nil"/>
              <w:right w:val="nil"/>
            </w:tcBorders>
            <w:vAlign w:val="center"/>
            <w:hideMark/>
          </w:tcPr>
          <w:p w14:paraId="125000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22263E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0.95</w:t>
            </w:r>
          </w:p>
        </w:tc>
        <w:tc>
          <w:tcPr>
            <w:tcW w:w="1220" w:type="dxa"/>
            <w:tcBorders>
              <w:top w:val="nil"/>
              <w:left w:val="nil"/>
              <w:bottom w:val="nil"/>
              <w:right w:val="nil"/>
            </w:tcBorders>
            <w:vAlign w:val="center"/>
            <w:hideMark/>
          </w:tcPr>
          <w:p w14:paraId="1C608F2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0.47</w:t>
            </w:r>
          </w:p>
        </w:tc>
        <w:tc>
          <w:tcPr>
            <w:tcW w:w="1300" w:type="dxa"/>
            <w:tcBorders>
              <w:top w:val="nil"/>
              <w:left w:val="nil"/>
              <w:bottom w:val="nil"/>
              <w:right w:val="nil"/>
            </w:tcBorders>
            <w:vAlign w:val="center"/>
            <w:hideMark/>
          </w:tcPr>
          <w:p w14:paraId="3F60C86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2B0D0589" w14:textId="77777777" w:rsidTr="002D44DF">
        <w:trPr>
          <w:trHeight w:val="290"/>
          <w:jc w:val="center"/>
        </w:trPr>
        <w:tc>
          <w:tcPr>
            <w:tcW w:w="1940" w:type="dxa"/>
            <w:vMerge/>
            <w:tcBorders>
              <w:top w:val="single" w:sz="4" w:space="0" w:color="auto"/>
              <w:left w:val="nil"/>
              <w:bottom w:val="nil"/>
              <w:right w:val="nil"/>
            </w:tcBorders>
            <w:vAlign w:val="center"/>
            <w:hideMark/>
          </w:tcPr>
          <w:p w14:paraId="6AD9D1D6"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4153E46C"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Profenofos</w:t>
            </w:r>
            <w:proofErr w:type="spellEnd"/>
          </w:p>
        </w:tc>
        <w:tc>
          <w:tcPr>
            <w:tcW w:w="1300" w:type="dxa"/>
            <w:tcBorders>
              <w:top w:val="nil"/>
              <w:left w:val="nil"/>
              <w:bottom w:val="nil"/>
              <w:right w:val="nil"/>
            </w:tcBorders>
            <w:vAlign w:val="center"/>
            <w:hideMark/>
          </w:tcPr>
          <w:p w14:paraId="4A6EC9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220" w:type="dxa"/>
            <w:tcBorders>
              <w:top w:val="nil"/>
              <w:left w:val="nil"/>
              <w:bottom w:val="nil"/>
              <w:right w:val="nil"/>
            </w:tcBorders>
            <w:vAlign w:val="center"/>
            <w:hideMark/>
          </w:tcPr>
          <w:p w14:paraId="1732D5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0.91</w:t>
            </w:r>
          </w:p>
        </w:tc>
        <w:tc>
          <w:tcPr>
            <w:tcW w:w="1220" w:type="dxa"/>
            <w:tcBorders>
              <w:top w:val="nil"/>
              <w:left w:val="nil"/>
              <w:bottom w:val="nil"/>
              <w:right w:val="nil"/>
            </w:tcBorders>
            <w:vAlign w:val="center"/>
            <w:hideMark/>
          </w:tcPr>
          <w:p w14:paraId="1433C8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219D4FD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0.36</w:t>
            </w:r>
          </w:p>
        </w:tc>
      </w:tr>
      <w:tr w:rsidR="00DE62A3" w:rsidRPr="00DE62A3" w14:paraId="3AD1C7DE" w14:textId="77777777" w:rsidTr="002D44DF">
        <w:trPr>
          <w:trHeight w:val="290"/>
          <w:jc w:val="center"/>
        </w:trPr>
        <w:tc>
          <w:tcPr>
            <w:tcW w:w="1940" w:type="dxa"/>
            <w:vMerge/>
            <w:tcBorders>
              <w:top w:val="single" w:sz="4" w:space="0" w:color="auto"/>
              <w:left w:val="nil"/>
              <w:bottom w:val="nil"/>
              <w:right w:val="nil"/>
            </w:tcBorders>
            <w:vAlign w:val="center"/>
            <w:hideMark/>
          </w:tcPr>
          <w:p w14:paraId="2D9A1A1C"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BE866A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Dimethoate</w:t>
            </w:r>
          </w:p>
        </w:tc>
        <w:tc>
          <w:tcPr>
            <w:tcW w:w="1300" w:type="dxa"/>
            <w:tcBorders>
              <w:top w:val="nil"/>
              <w:left w:val="nil"/>
              <w:bottom w:val="nil"/>
              <w:right w:val="nil"/>
            </w:tcBorders>
            <w:vAlign w:val="center"/>
            <w:hideMark/>
          </w:tcPr>
          <w:p w14:paraId="6DB6331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220" w:type="dxa"/>
            <w:tcBorders>
              <w:top w:val="nil"/>
              <w:left w:val="nil"/>
              <w:bottom w:val="nil"/>
              <w:right w:val="nil"/>
            </w:tcBorders>
            <w:vAlign w:val="center"/>
            <w:hideMark/>
          </w:tcPr>
          <w:p w14:paraId="01D3A6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2FA14A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0.31</w:t>
            </w:r>
          </w:p>
        </w:tc>
        <w:tc>
          <w:tcPr>
            <w:tcW w:w="1300" w:type="dxa"/>
            <w:tcBorders>
              <w:top w:val="nil"/>
              <w:left w:val="nil"/>
              <w:bottom w:val="nil"/>
              <w:right w:val="nil"/>
            </w:tcBorders>
            <w:vAlign w:val="center"/>
            <w:hideMark/>
          </w:tcPr>
          <w:p w14:paraId="59B2C8E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r>
      <w:tr w:rsidR="00DE62A3" w:rsidRPr="00DE62A3" w14:paraId="09264F86" w14:textId="77777777" w:rsidTr="002D44DF">
        <w:trPr>
          <w:trHeight w:val="290"/>
          <w:jc w:val="center"/>
        </w:trPr>
        <w:tc>
          <w:tcPr>
            <w:tcW w:w="1940" w:type="dxa"/>
            <w:vMerge/>
            <w:tcBorders>
              <w:top w:val="single" w:sz="4" w:space="0" w:color="auto"/>
              <w:left w:val="nil"/>
              <w:bottom w:val="nil"/>
              <w:right w:val="nil"/>
            </w:tcBorders>
            <w:vAlign w:val="center"/>
            <w:hideMark/>
          </w:tcPr>
          <w:p w14:paraId="1CED5E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95C847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Chlorpyrifos-ethyl</w:t>
            </w:r>
          </w:p>
        </w:tc>
        <w:tc>
          <w:tcPr>
            <w:tcW w:w="1300" w:type="dxa"/>
            <w:tcBorders>
              <w:top w:val="nil"/>
              <w:left w:val="nil"/>
              <w:bottom w:val="nil"/>
              <w:right w:val="nil"/>
            </w:tcBorders>
            <w:vAlign w:val="center"/>
            <w:hideMark/>
          </w:tcPr>
          <w:p w14:paraId="4D51EC8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nil"/>
              <w:left w:val="nil"/>
              <w:bottom w:val="nil"/>
              <w:right w:val="nil"/>
            </w:tcBorders>
            <w:vAlign w:val="center"/>
            <w:hideMark/>
          </w:tcPr>
          <w:p w14:paraId="5AEC763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3.45</w:t>
            </w:r>
          </w:p>
        </w:tc>
        <w:tc>
          <w:tcPr>
            <w:tcW w:w="1220" w:type="dxa"/>
            <w:tcBorders>
              <w:top w:val="nil"/>
              <w:left w:val="nil"/>
              <w:bottom w:val="nil"/>
              <w:right w:val="nil"/>
            </w:tcBorders>
            <w:vAlign w:val="center"/>
            <w:hideMark/>
          </w:tcPr>
          <w:p w14:paraId="3C8142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1.59</w:t>
            </w:r>
          </w:p>
        </w:tc>
        <w:tc>
          <w:tcPr>
            <w:tcW w:w="1300" w:type="dxa"/>
            <w:tcBorders>
              <w:top w:val="nil"/>
              <w:left w:val="nil"/>
              <w:bottom w:val="nil"/>
              <w:right w:val="nil"/>
            </w:tcBorders>
            <w:vAlign w:val="center"/>
            <w:hideMark/>
          </w:tcPr>
          <w:p w14:paraId="45DB4D0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1.17</w:t>
            </w:r>
          </w:p>
        </w:tc>
      </w:tr>
      <w:tr w:rsidR="00DE62A3" w:rsidRPr="00DE62A3" w14:paraId="067ED217" w14:textId="77777777" w:rsidTr="002D44DF">
        <w:trPr>
          <w:trHeight w:val="290"/>
          <w:jc w:val="center"/>
        </w:trPr>
        <w:tc>
          <w:tcPr>
            <w:tcW w:w="1940" w:type="dxa"/>
            <w:vMerge/>
            <w:tcBorders>
              <w:top w:val="single" w:sz="4" w:space="0" w:color="auto"/>
              <w:left w:val="nil"/>
              <w:bottom w:val="nil"/>
              <w:right w:val="nil"/>
            </w:tcBorders>
            <w:vAlign w:val="center"/>
            <w:hideMark/>
          </w:tcPr>
          <w:p w14:paraId="1DC57C95"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C491CBF"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Carbosulfan</w:t>
            </w:r>
            <w:proofErr w:type="spellEnd"/>
          </w:p>
        </w:tc>
        <w:tc>
          <w:tcPr>
            <w:tcW w:w="1300" w:type="dxa"/>
            <w:tcBorders>
              <w:top w:val="nil"/>
              <w:left w:val="nil"/>
              <w:bottom w:val="nil"/>
              <w:right w:val="nil"/>
            </w:tcBorders>
            <w:vAlign w:val="center"/>
            <w:hideMark/>
          </w:tcPr>
          <w:p w14:paraId="5BE0A33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53E1D73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1A0AEE5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300" w:type="dxa"/>
            <w:tcBorders>
              <w:top w:val="nil"/>
              <w:left w:val="nil"/>
              <w:bottom w:val="nil"/>
              <w:right w:val="nil"/>
            </w:tcBorders>
            <w:vAlign w:val="center"/>
            <w:hideMark/>
          </w:tcPr>
          <w:p w14:paraId="306750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1BD80F2B" w14:textId="77777777" w:rsidTr="002D44DF">
        <w:trPr>
          <w:trHeight w:val="290"/>
          <w:jc w:val="center"/>
        </w:trPr>
        <w:tc>
          <w:tcPr>
            <w:tcW w:w="1940" w:type="dxa"/>
            <w:vMerge/>
            <w:tcBorders>
              <w:top w:val="single" w:sz="4" w:space="0" w:color="auto"/>
              <w:left w:val="nil"/>
              <w:bottom w:val="nil"/>
              <w:right w:val="nil"/>
            </w:tcBorders>
            <w:vAlign w:val="center"/>
            <w:hideMark/>
          </w:tcPr>
          <w:p w14:paraId="4A4E753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EF406B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Lambda-cyhalothrin</w:t>
            </w:r>
          </w:p>
        </w:tc>
        <w:tc>
          <w:tcPr>
            <w:tcW w:w="1300" w:type="dxa"/>
            <w:tcBorders>
              <w:top w:val="nil"/>
              <w:left w:val="nil"/>
              <w:bottom w:val="nil"/>
              <w:right w:val="nil"/>
            </w:tcBorders>
            <w:vAlign w:val="center"/>
            <w:hideMark/>
          </w:tcPr>
          <w:p w14:paraId="32B3643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719615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0.49</w:t>
            </w:r>
          </w:p>
        </w:tc>
        <w:tc>
          <w:tcPr>
            <w:tcW w:w="1220" w:type="dxa"/>
            <w:tcBorders>
              <w:top w:val="nil"/>
              <w:left w:val="nil"/>
              <w:bottom w:val="nil"/>
              <w:right w:val="nil"/>
            </w:tcBorders>
            <w:vAlign w:val="center"/>
            <w:hideMark/>
          </w:tcPr>
          <w:p w14:paraId="13B8E12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0.23</w:t>
            </w:r>
          </w:p>
        </w:tc>
        <w:tc>
          <w:tcPr>
            <w:tcW w:w="1300" w:type="dxa"/>
            <w:tcBorders>
              <w:top w:val="nil"/>
              <w:left w:val="nil"/>
              <w:bottom w:val="nil"/>
              <w:right w:val="nil"/>
            </w:tcBorders>
            <w:vAlign w:val="center"/>
            <w:hideMark/>
          </w:tcPr>
          <w:p w14:paraId="36A2BA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r>
      <w:tr w:rsidR="00DE62A3" w:rsidRPr="00DE62A3" w14:paraId="02FA331A" w14:textId="77777777" w:rsidTr="002D44DF">
        <w:trPr>
          <w:trHeight w:val="290"/>
          <w:jc w:val="center"/>
        </w:trPr>
        <w:tc>
          <w:tcPr>
            <w:tcW w:w="1940" w:type="dxa"/>
            <w:vMerge/>
            <w:tcBorders>
              <w:top w:val="single" w:sz="4" w:space="0" w:color="auto"/>
              <w:left w:val="nil"/>
              <w:bottom w:val="nil"/>
              <w:right w:val="nil"/>
            </w:tcBorders>
            <w:vAlign w:val="center"/>
            <w:hideMark/>
          </w:tcPr>
          <w:p w14:paraId="4ACAB757"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DE872D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Deltamethrin</w:t>
            </w:r>
          </w:p>
        </w:tc>
        <w:tc>
          <w:tcPr>
            <w:tcW w:w="1300" w:type="dxa"/>
            <w:tcBorders>
              <w:top w:val="nil"/>
              <w:left w:val="nil"/>
              <w:bottom w:val="nil"/>
              <w:right w:val="nil"/>
            </w:tcBorders>
            <w:vAlign w:val="center"/>
            <w:hideMark/>
          </w:tcPr>
          <w:p w14:paraId="3989E9E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ADF60A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68B5AF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nil"/>
              <w:left w:val="nil"/>
              <w:bottom w:val="nil"/>
              <w:right w:val="nil"/>
            </w:tcBorders>
            <w:vAlign w:val="center"/>
            <w:hideMark/>
          </w:tcPr>
          <w:p w14:paraId="0B2E1C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r w:rsidR="00DE62A3" w:rsidRPr="00DE62A3" w14:paraId="00D622AA"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53870B6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Herbicides</w:t>
            </w:r>
          </w:p>
        </w:tc>
        <w:tc>
          <w:tcPr>
            <w:tcW w:w="2160" w:type="dxa"/>
            <w:tcBorders>
              <w:top w:val="single" w:sz="4" w:space="0" w:color="auto"/>
              <w:left w:val="nil"/>
              <w:bottom w:val="nil"/>
              <w:right w:val="nil"/>
            </w:tcBorders>
            <w:vAlign w:val="center"/>
            <w:hideMark/>
          </w:tcPr>
          <w:p w14:paraId="7ECCD5D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Metolachlor</w:t>
            </w:r>
          </w:p>
        </w:tc>
        <w:tc>
          <w:tcPr>
            <w:tcW w:w="1300" w:type="dxa"/>
            <w:tcBorders>
              <w:top w:val="single" w:sz="4" w:space="0" w:color="auto"/>
              <w:left w:val="nil"/>
              <w:bottom w:val="nil"/>
              <w:right w:val="nil"/>
            </w:tcBorders>
            <w:vAlign w:val="center"/>
            <w:hideMark/>
          </w:tcPr>
          <w:p w14:paraId="13349A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single" w:sz="4" w:space="0" w:color="auto"/>
              <w:left w:val="nil"/>
              <w:bottom w:val="nil"/>
              <w:right w:val="nil"/>
            </w:tcBorders>
            <w:vAlign w:val="center"/>
            <w:hideMark/>
          </w:tcPr>
          <w:p w14:paraId="6409DC1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0.71</w:t>
            </w:r>
          </w:p>
        </w:tc>
        <w:tc>
          <w:tcPr>
            <w:tcW w:w="1220" w:type="dxa"/>
            <w:tcBorders>
              <w:top w:val="single" w:sz="4" w:space="0" w:color="auto"/>
              <w:left w:val="nil"/>
              <w:bottom w:val="nil"/>
              <w:right w:val="nil"/>
            </w:tcBorders>
            <w:vAlign w:val="center"/>
            <w:hideMark/>
          </w:tcPr>
          <w:p w14:paraId="694D8B7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0.30</w:t>
            </w:r>
          </w:p>
        </w:tc>
        <w:tc>
          <w:tcPr>
            <w:tcW w:w="1300" w:type="dxa"/>
            <w:tcBorders>
              <w:top w:val="single" w:sz="4" w:space="0" w:color="auto"/>
              <w:left w:val="nil"/>
              <w:bottom w:val="nil"/>
              <w:right w:val="nil"/>
            </w:tcBorders>
            <w:vAlign w:val="center"/>
            <w:hideMark/>
          </w:tcPr>
          <w:p w14:paraId="5EEB382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0.29</w:t>
            </w:r>
          </w:p>
        </w:tc>
      </w:tr>
      <w:tr w:rsidR="00DE62A3" w:rsidRPr="00DE62A3" w14:paraId="7DD22482" w14:textId="77777777" w:rsidTr="002D44DF">
        <w:trPr>
          <w:trHeight w:val="290"/>
          <w:jc w:val="center"/>
        </w:trPr>
        <w:tc>
          <w:tcPr>
            <w:tcW w:w="1940" w:type="dxa"/>
            <w:vMerge/>
            <w:tcBorders>
              <w:top w:val="single" w:sz="4" w:space="0" w:color="auto"/>
              <w:left w:val="nil"/>
              <w:bottom w:val="nil"/>
              <w:right w:val="nil"/>
            </w:tcBorders>
            <w:vAlign w:val="center"/>
            <w:hideMark/>
          </w:tcPr>
          <w:p w14:paraId="31FC75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D41F8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Metazachlor</w:t>
            </w:r>
          </w:p>
        </w:tc>
        <w:tc>
          <w:tcPr>
            <w:tcW w:w="1300" w:type="dxa"/>
            <w:tcBorders>
              <w:top w:val="nil"/>
              <w:left w:val="nil"/>
              <w:bottom w:val="nil"/>
              <w:right w:val="nil"/>
            </w:tcBorders>
            <w:vAlign w:val="center"/>
            <w:hideMark/>
          </w:tcPr>
          <w:p w14:paraId="26E61B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4C74CE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0.13</w:t>
            </w:r>
          </w:p>
        </w:tc>
        <w:tc>
          <w:tcPr>
            <w:tcW w:w="1220" w:type="dxa"/>
            <w:tcBorders>
              <w:top w:val="nil"/>
              <w:left w:val="nil"/>
              <w:bottom w:val="nil"/>
              <w:right w:val="nil"/>
            </w:tcBorders>
            <w:vAlign w:val="center"/>
            <w:hideMark/>
          </w:tcPr>
          <w:p w14:paraId="4CDE9B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0.05</w:t>
            </w:r>
          </w:p>
        </w:tc>
        <w:tc>
          <w:tcPr>
            <w:tcW w:w="1300" w:type="dxa"/>
            <w:tcBorders>
              <w:top w:val="nil"/>
              <w:left w:val="nil"/>
              <w:bottom w:val="nil"/>
              <w:right w:val="nil"/>
            </w:tcBorders>
            <w:vAlign w:val="center"/>
            <w:hideMark/>
          </w:tcPr>
          <w:p w14:paraId="12F5E15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r>
      <w:tr w:rsidR="00DE62A3" w:rsidRPr="00DE62A3" w14:paraId="23F77432" w14:textId="77777777" w:rsidTr="002D44DF">
        <w:trPr>
          <w:trHeight w:val="290"/>
          <w:jc w:val="center"/>
        </w:trPr>
        <w:tc>
          <w:tcPr>
            <w:tcW w:w="1940" w:type="dxa"/>
            <w:vMerge/>
            <w:tcBorders>
              <w:top w:val="single" w:sz="4" w:space="0" w:color="auto"/>
              <w:left w:val="nil"/>
              <w:bottom w:val="nil"/>
              <w:right w:val="nil"/>
            </w:tcBorders>
            <w:vAlign w:val="center"/>
            <w:hideMark/>
          </w:tcPr>
          <w:p w14:paraId="01CF9CFF"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4C689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Atrazine</w:t>
            </w:r>
          </w:p>
        </w:tc>
        <w:tc>
          <w:tcPr>
            <w:tcW w:w="1300" w:type="dxa"/>
            <w:tcBorders>
              <w:top w:val="nil"/>
              <w:left w:val="nil"/>
              <w:bottom w:val="nil"/>
              <w:right w:val="nil"/>
            </w:tcBorders>
            <w:vAlign w:val="center"/>
            <w:hideMark/>
          </w:tcPr>
          <w:p w14:paraId="1F8B3E7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3BE7C47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4568679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0.48</w:t>
            </w:r>
          </w:p>
        </w:tc>
        <w:tc>
          <w:tcPr>
            <w:tcW w:w="1300" w:type="dxa"/>
            <w:tcBorders>
              <w:top w:val="nil"/>
              <w:left w:val="nil"/>
              <w:bottom w:val="nil"/>
              <w:right w:val="nil"/>
            </w:tcBorders>
            <w:vAlign w:val="center"/>
            <w:hideMark/>
          </w:tcPr>
          <w:p w14:paraId="515AD05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0.33</w:t>
            </w:r>
          </w:p>
        </w:tc>
      </w:tr>
      <w:tr w:rsidR="00DE62A3" w:rsidRPr="00DE62A3" w14:paraId="08589F4A" w14:textId="77777777" w:rsidTr="002D44DF">
        <w:trPr>
          <w:trHeight w:val="290"/>
          <w:jc w:val="center"/>
        </w:trPr>
        <w:tc>
          <w:tcPr>
            <w:tcW w:w="1940" w:type="dxa"/>
            <w:vMerge/>
            <w:tcBorders>
              <w:top w:val="single" w:sz="4" w:space="0" w:color="auto"/>
              <w:left w:val="nil"/>
              <w:bottom w:val="nil"/>
              <w:right w:val="nil"/>
            </w:tcBorders>
            <w:vAlign w:val="center"/>
            <w:hideMark/>
          </w:tcPr>
          <w:p w14:paraId="67316CC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6E277E49"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Prometryne</w:t>
            </w:r>
            <w:proofErr w:type="spellEnd"/>
          </w:p>
        </w:tc>
        <w:tc>
          <w:tcPr>
            <w:tcW w:w="1300" w:type="dxa"/>
            <w:tcBorders>
              <w:top w:val="nil"/>
              <w:left w:val="nil"/>
              <w:bottom w:val="nil"/>
              <w:right w:val="nil"/>
            </w:tcBorders>
            <w:vAlign w:val="center"/>
            <w:hideMark/>
          </w:tcPr>
          <w:p w14:paraId="7C24AE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2654D69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1FB9EA6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0.53</w:t>
            </w:r>
          </w:p>
        </w:tc>
        <w:tc>
          <w:tcPr>
            <w:tcW w:w="1300" w:type="dxa"/>
            <w:tcBorders>
              <w:top w:val="nil"/>
              <w:left w:val="nil"/>
              <w:bottom w:val="nil"/>
              <w:right w:val="nil"/>
            </w:tcBorders>
            <w:vAlign w:val="center"/>
            <w:hideMark/>
          </w:tcPr>
          <w:p w14:paraId="3A63239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7CF14B56" w14:textId="77777777" w:rsidTr="002D44DF">
        <w:trPr>
          <w:trHeight w:val="290"/>
          <w:jc w:val="center"/>
        </w:trPr>
        <w:tc>
          <w:tcPr>
            <w:tcW w:w="1940" w:type="dxa"/>
            <w:vMerge/>
            <w:tcBorders>
              <w:top w:val="single" w:sz="4" w:space="0" w:color="auto"/>
              <w:left w:val="nil"/>
              <w:bottom w:val="nil"/>
              <w:right w:val="nil"/>
            </w:tcBorders>
            <w:vAlign w:val="center"/>
            <w:hideMark/>
          </w:tcPr>
          <w:p w14:paraId="4AE3880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5E6BD47"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Terbutryn</w:t>
            </w:r>
            <w:proofErr w:type="spellEnd"/>
          </w:p>
        </w:tc>
        <w:tc>
          <w:tcPr>
            <w:tcW w:w="1300" w:type="dxa"/>
            <w:tcBorders>
              <w:top w:val="nil"/>
              <w:left w:val="nil"/>
              <w:bottom w:val="nil"/>
              <w:right w:val="nil"/>
            </w:tcBorders>
            <w:vAlign w:val="center"/>
            <w:hideMark/>
          </w:tcPr>
          <w:p w14:paraId="4FF817D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BB89FF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2.23</w:t>
            </w:r>
          </w:p>
        </w:tc>
        <w:tc>
          <w:tcPr>
            <w:tcW w:w="1220" w:type="dxa"/>
            <w:tcBorders>
              <w:top w:val="nil"/>
              <w:left w:val="nil"/>
              <w:bottom w:val="nil"/>
              <w:right w:val="nil"/>
            </w:tcBorders>
            <w:vAlign w:val="center"/>
            <w:hideMark/>
          </w:tcPr>
          <w:p w14:paraId="74DEFF9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1.12</w:t>
            </w:r>
          </w:p>
        </w:tc>
        <w:tc>
          <w:tcPr>
            <w:tcW w:w="1300" w:type="dxa"/>
            <w:tcBorders>
              <w:top w:val="nil"/>
              <w:left w:val="nil"/>
              <w:bottom w:val="nil"/>
              <w:right w:val="nil"/>
            </w:tcBorders>
            <w:vAlign w:val="center"/>
            <w:hideMark/>
          </w:tcPr>
          <w:p w14:paraId="2A00D4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0.56</w:t>
            </w:r>
          </w:p>
        </w:tc>
      </w:tr>
      <w:tr w:rsidR="00DE62A3" w:rsidRPr="00DE62A3" w14:paraId="4D1C1AC4" w14:textId="77777777" w:rsidTr="002D44DF">
        <w:trPr>
          <w:trHeight w:val="290"/>
          <w:jc w:val="center"/>
        </w:trPr>
        <w:tc>
          <w:tcPr>
            <w:tcW w:w="1940" w:type="dxa"/>
            <w:vMerge/>
            <w:tcBorders>
              <w:top w:val="single" w:sz="4" w:space="0" w:color="auto"/>
              <w:left w:val="nil"/>
              <w:bottom w:val="nil"/>
              <w:right w:val="nil"/>
            </w:tcBorders>
            <w:vAlign w:val="center"/>
            <w:hideMark/>
          </w:tcPr>
          <w:p w14:paraId="4FE41448"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7BEAF9A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Diuron</w:t>
            </w:r>
          </w:p>
        </w:tc>
        <w:tc>
          <w:tcPr>
            <w:tcW w:w="1300" w:type="dxa"/>
            <w:tcBorders>
              <w:top w:val="nil"/>
              <w:left w:val="nil"/>
              <w:bottom w:val="nil"/>
              <w:right w:val="nil"/>
            </w:tcBorders>
            <w:vAlign w:val="center"/>
            <w:hideMark/>
          </w:tcPr>
          <w:p w14:paraId="007954C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0.09</w:t>
            </w:r>
          </w:p>
        </w:tc>
        <w:tc>
          <w:tcPr>
            <w:tcW w:w="1220" w:type="dxa"/>
            <w:tcBorders>
              <w:top w:val="nil"/>
              <w:left w:val="nil"/>
              <w:bottom w:val="nil"/>
              <w:right w:val="nil"/>
            </w:tcBorders>
            <w:vAlign w:val="center"/>
            <w:hideMark/>
          </w:tcPr>
          <w:p w14:paraId="49B6956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0.42</w:t>
            </w:r>
          </w:p>
        </w:tc>
        <w:tc>
          <w:tcPr>
            <w:tcW w:w="1220" w:type="dxa"/>
            <w:tcBorders>
              <w:top w:val="nil"/>
              <w:left w:val="nil"/>
              <w:bottom w:val="nil"/>
              <w:right w:val="nil"/>
            </w:tcBorders>
            <w:vAlign w:val="center"/>
            <w:hideMark/>
          </w:tcPr>
          <w:p w14:paraId="7C8FAB2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300" w:type="dxa"/>
            <w:tcBorders>
              <w:top w:val="nil"/>
              <w:left w:val="nil"/>
              <w:bottom w:val="nil"/>
              <w:right w:val="nil"/>
            </w:tcBorders>
            <w:vAlign w:val="center"/>
            <w:hideMark/>
          </w:tcPr>
          <w:p w14:paraId="2EA6B93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0.20</w:t>
            </w:r>
          </w:p>
        </w:tc>
      </w:tr>
      <w:tr w:rsidR="00DE62A3" w:rsidRPr="00DE62A3" w14:paraId="1A82884D" w14:textId="77777777" w:rsidTr="002D44DF">
        <w:trPr>
          <w:trHeight w:val="290"/>
          <w:jc w:val="center"/>
        </w:trPr>
        <w:tc>
          <w:tcPr>
            <w:tcW w:w="1940" w:type="dxa"/>
            <w:tcBorders>
              <w:top w:val="single" w:sz="4" w:space="0" w:color="auto"/>
              <w:left w:val="nil"/>
              <w:bottom w:val="single" w:sz="4" w:space="0" w:color="auto"/>
              <w:right w:val="nil"/>
            </w:tcBorders>
            <w:vAlign w:val="center"/>
            <w:hideMark/>
          </w:tcPr>
          <w:p w14:paraId="4A3BBC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Fungicide</w:t>
            </w:r>
          </w:p>
        </w:tc>
        <w:tc>
          <w:tcPr>
            <w:tcW w:w="2160" w:type="dxa"/>
            <w:tcBorders>
              <w:top w:val="single" w:sz="4" w:space="0" w:color="auto"/>
              <w:left w:val="nil"/>
              <w:bottom w:val="single" w:sz="4" w:space="0" w:color="auto"/>
              <w:right w:val="nil"/>
            </w:tcBorders>
            <w:vAlign w:val="center"/>
            <w:hideMark/>
          </w:tcPr>
          <w:p w14:paraId="70B598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Vinclozolin</w:t>
            </w:r>
          </w:p>
        </w:tc>
        <w:tc>
          <w:tcPr>
            <w:tcW w:w="1300" w:type="dxa"/>
            <w:tcBorders>
              <w:top w:val="single" w:sz="4" w:space="0" w:color="auto"/>
              <w:left w:val="nil"/>
              <w:bottom w:val="single" w:sz="4" w:space="0" w:color="auto"/>
              <w:right w:val="nil"/>
            </w:tcBorders>
            <w:vAlign w:val="center"/>
            <w:hideMark/>
          </w:tcPr>
          <w:p w14:paraId="01B384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single" w:sz="4" w:space="0" w:color="auto"/>
              <w:right w:val="nil"/>
            </w:tcBorders>
            <w:vAlign w:val="center"/>
            <w:hideMark/>
          </w:tcPr>
          <w:p w14:paraId="5EE589A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single" w:sz="4" w:space="0" w:color="auto"/>
              <w:left w:val="nil"/>
              <w:bottom w:val="single" w:sz="4" w:space="0" w:color="auto"/>
              <w:right w:val="nil"/>
            </w:tcBorders>
            <w:vAlign w:val="center"/>
            <w:hideMark/>
          </w:tcPr>
          <w:p w14:paraId="26DEB5E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single" w:sz="4" w:space="0" w:color="auto"/>
              <w:left w:val="nil"/>
              <w:bottom w:val="single" w:sz="4" w:space="0" w:color="auto"/>
              <w:right w:val="nil"/>
            </w:tcBorders>
            <w:vAlign w:val="center"/>
            <w:hideMark/>
          </w:tcPr>
          <w:p w14:paraId="48F5D89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bl>
    <w:p w14:paraId="1CB39FFB" w14:textId="77777777" w:rsidR="00DE62A3" w:rsidRPr="00DE62A3" w:rsidRDefault="00DE62A3" w:rsidP="00DE62A3">
      <w:pPr>
        <w:pStyle w:val="Body"/>
        <w:spacing w:after="0"/>
        <w:rPr>
          <w:rFonts w:ascii="Arial" w:hAnsi="Arial" w:cs="Arial"/>
          <w:b/>
          <w:lang w:val="en-GB"/>
        </w:rPr>
      </w:pPr>
    </w:p>
    <w:p w14:paraId="320D27E4" w14:textId="77777777" w:rsidR="00DE62A3" w:rsidRPr="00A465DC" w:rsidRDefault="00E9424C" w:rsidP="00E9424C">
      <w:pPr>
        <w:pStyle w:val="Body"/>
        <w:spacing w:after="0"/>
        <w:rPr>
          <w:rFonts w:ascii="Arial" w:hAnsi="Arial" w:cs="Arial"/>
          <w:b/>
          <w:i/>
          <w:lang w:val="en-GB"/>
        </w:rPr>
      </w:pPr>
      <w:r w:rsidRPr="00A465DC">
        <w:rPr>
          <w:rFonts w:ascii="Arial" w:hAnsi="Arial" w:cs="Arial"/>
          <w:b/>
          <w:i/>
          <w:lang w:val="en-GB"/>
        </w:rPr>
        <w:t>3.</w:t>
      </w:r>
      <w:r w:rsidR="00A465DC" w:rsidRPr="00A465DC">
        <w:rPr>
          <w:rFonts w:ascii="Arial" w:hAnsi="Arial" w:cs="Arial"/>
          <w:b/>
          <w:i/>
          <w:lang w:val="en-GB"/>
        </w:rPr>
        <w:t>1.2.2</w:t>
      </w:r>
      <w:r w:rsidRPr="00A465DC">
        <w:rPr>
          <w:rFonts w:ascii="Arial" w:hAnsi="Arial" w:cs="Arial"/>
          <w:b/>
          <w:i/>
          <w:lang w:val="en-GB"/>
        </w:rPr>
        <w:t xml:space="preserve"> </w:t>
      </w:r>
      <w:r w:rsidR="00DE62A3" w:rsidRPr="00A465DC">
        <w:rPr>
          <w:rFonts w:ascii="Arial" w:hAnsi="Arial" w:cs="Arial"/>
          <w:b/>
          <w:i/>
          <w:lang w:val="en-GB"/>
        </w:rPr>
        <w:t>Concentration of active molecules in groundwater</w:t>
      </w:r>
    </w:p>
    <w:p w14:paraId="3DC02926" w14:textId="77777777" w:rsidR="00E9424C" w:rsidRPr="00DE62A3" w:rsidRDefault="00E9424C" w:rsidP="00E9424C">
      <w:pPr>
        <w:pStyle w:val="Body"/>
        <w:spacing w:after="0"/>
        <w:rPr>
          <w:rFonts w:ascii="Arial" w:hAnsi="Arial" w:cs="Arial"/>
          <w:b/>
          <w:lang w:val="en-GB"/>
        </w:rPr>
      </w:pPr>
    </w:p>
    <w:p w14:paraId="0FF7700C" w14:textId="77777777" w:rsidR="00DE62A3" w:rsidRDefault="00DE62A3" w:rsidP="00DE62A3">
      <w:pPr>
        <w:pStyle w:val="Body"/>
        <w:spacing w:after="0"/>
        <w:rPr>
          <w:rFonts w:ascii="Arial" w:hAnsi="Arial" w:cs="Arial"/>
          <w:lang w:val="en"/>
        </w:rPr>
      </w:pPr>
      <w:r w:rsidRPr="00DE62A3">
        <w:rPr>
          <w:rFonts w:ascii="Arial" w:hAnsi="Arial" w:cs="Arial"/>
          <w:lang w:val="en-GB"/>
        </w:rPr>
        <w:t xml:space="preserve">Pesticide concentrations in groundwater are generally low, but vary considerably depending on the molecule. Among insecticides, the highest concentrations are observed for </w:t>
      </w:r>
      <w:proofErr w:type="spellStart"/>
      <w:r w:rsidRPr="00DE62A3">
        <w:rPr>
          <w:rFonts w:ascii="Arial" w:hAnsi="Arial" w:cs="Arial"/>
          <w:lang w:val="en-GB"/>
        </w:rPr>
        <w:t>profenofos</w:t>
      </w:r>
      <w:proofErr w:type="spellEnd"/>
      <w:r w:rsidRPr="00DE62A3">
        <w:rPr>
          <w:rFonts w:ascii="Arial" w:hAnsi="Arial" w:cs="Arial"/>
          <w:lang w:val="en-GB"/>
        </w:rPr>
        <w:t xml:space="preserve"> (1.04 µg/L) and dimethoate (1.022 µg/L), while molecules such as deltamethrin and lambda- cyhalothrin have very low values (0.02 and 0.021 µg/L, respectively) (Table 3). The averages confirm this disparity: dimethoate (0.685 µg/L) and </w:t>
      </w:r>
      <w:proofErr w:type="spellStart"/>
      <w:r w:rsidRPr="00DE62A3">
        <w:rPr>
          <w:rFonts w:ascii="Arial" w:hAnsi="Arial" w:cs="Arial"/>
          <w:lang w:val="en-GB"/>
        </w:rPr>
        <w:t>profenofos</w:t>
      </w:r>
      <w:proofErr w:type="spellEnd"/>
      <w:r w:rsidRPr="00DE62A3">
        <w:rPr>
          <w:rFonts w:ascii="Arial" w:hAnsi="Arial" w:cs="Arial"/>
          <w:lang w:val="en-GB"/>
        </w:rPr>
        <w:t xml:space="preserve"> (0.428 µg/L) appear to be the most significantly present insecticides, while deltamethrin and parathion-methyl remain virtually negligible (0.003 and 0.004 µg/L). The high standard deviations for certain molecules, particularly </w:t>
      </w:r>
      <w:proofErr w:type="spellStart"/>
      <w:r w:rsidRPr="00DE62A3">
        <w:rPr>
          <w:rFonts w:ascii="Arial" w:hAnsi="Arial" w:cs="Arial"/>
          <w:lang w:val="en-GB"/>
        </w:rPr>
        <w:t>profenofos</w:t>
      </w:r>
      <w:proofErr w:type="spellEnd"/>
      <w:r w:rsidRPr="00DE62A3">
        <w:rPr>
          <w:rFonts w:ascii="Arial" w:hAnsi="Arial" w:cs="Arial"/>
          <w:lang w:val="en-GB"/>
        </w:rPr>
        <w:t xml:space="preserve"> (0.468) and dimethoate (0.406), reflect a high variability in concentrations, probably linked to local differences in application or hydrological factors. Herbicides show more consistent concentrations and are generally lower than those of insecticides. The highest maximum levels are for diuron (0.192 µg/L) and metolachlor (0.202 µg/L), while </w:t>
      </w:r>
      <w:proofErr w:type="spellStart"/>
      <w:r w:rsidRPr="00DE62A3">
        <w:rPr>
          <w:rFonts w:ascii="Arial" w:hAnsi="Arial" w:cs="Arial"/>
          <w:lang w:val="en-GB"/>
        </w:rPr>
        <w:t>terbutryn</w:t>
      </w:r>
      <w:proofErr w:type="spellEnd"/>
      <w:r w:rsidRPr="00DE62A3">
        <w:rPr>
          <w:rFonts w:ascii="Arial" w:hAnsi="Arial" w:cs="Arial"/>
          <w:lang w:val="en-GB"/>
        </w:rPr>
        <w:t xml:space="preserve"> is detected at very low levels (0.012 µg/L). The averages indicate that metolachlor (0.078 µg/L), metazachlor (0.060 µg/L), and diuron (0.065 µg/L) are the most prevalent herbicides, with other molecules detected at low concentrations. </w:t>
      </w:r>
      <w:r w:rsidRPr="00DE62A3">
        <w:rPr>
          <w:rFonts w:ascii="Arial" w:hAnsi="Arial" w:cs="Arial"/>
          <w:lang w:val="en"/>
        </w:rPr>
        <w:t>The standard deviations are relatively close.</w:t>
      </w:r>
    </w:p>
    <w:p w14:paraId="22923CA6" w14:textId="77777777" w:rsidR="003B2ECF" w:rsidRPr="00E9424C" w:rsidRDefault="003B2ECF" w:rsidP="00DE62A3">
      <w:pPr>
        <w:pStyle w:val="Body"/>
        <w:spacing w:after="0"/>
        <w:rPr>
          <w:rFonts w:ascii="Arial" w:hAnsi="Arial" w:cs="Arial"/>
          <w:lang w:val="en"/>
        </w:rPr>
      </w:pPr>
    </w:p>
    <w:p w14:paraId="5F2D804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3</w:t>
      </w:r>
      <w:r w:rsidRPr="00DE62A3">
        <w:rPr>
          <w:rFonts w:ascii="Arial" w:hAnsi="Arial" w:cs="Arial"/>
        </w:rPr>
        <w:fldChar w:fldCharType="end"/>
      </w:r>
      <w:r w:rsidRPr="00DE62A3">
        <w:rPr>
          <w:rFonts w:ascii="Arial" w:hAnsi="Arial" w:cs="Arial"/>
          <w:iCs/>
          <w:lang w:val="en"/>
        </w:rPr>
        <w:t xml:space="preserve">: Summary Statistics of detected pesticides by family and compound in groundwater </w:t>
      </w:r>
    </w:p>
    <w:tbl>
      <w:tblPr>
        <w:tblStyle w:val="ListTable6Colorful-Accent5"/>
        <w:tblW w:w="9025" w:type="dxa"/>
        <w:tblInd w:w="-406" w:type="dxa"/>
        <w:tblLook w:val="04A0" w:firstRow="1" w:lastRow="0" w:firstColumn="1" w:lastColumn="0" w:noHBand="0" w:noVBand="1"/>
      </w:tblPr>
      <w:tblGrid>
        <w:gridCol w:w="1800"/>
        <w:gridCol w:w="2080"/>
        <w:gridCol w:w="1365"/>
        <w:gridCol w:w="1260"/>
        <w:gridCol w:w="1160"/>
        <w:gridCol w:w="1360"/>
      </w:tblGrid>
      <w:tr w:rsidR="00E9424C" w:rsidRPr="00E9424C" w14:paraId="5C6EA0AD" w14:textId="77777777" w:rsidTr="00E9424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bottom w:val="single" w:sz="4" w:space="0" w:color="000000"/>
            </w:tcBorders>
            <w:hideMark/>
          </w:tcPr>
          <w:p w14:paraId="6F9FD53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Pesticide Family</w:t>
            </w:r>
          </w:p>
        </w:tc>
        <w:tc>
          <w:tcPr>
            <w:tcW w:w="2080" w:type="dxa"/>
            <w:tcBorders>
              <w:bottom w:val="single" w:sz="4" w:space="0" w:color="000000"/>
            </w:tcBorders>
            <w:hideMark/>
          </w:tcPr>
          <w:p w14:paraId="61C2ED73"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Active Compound</w:t>
            </w:r>
          </w:p>
        </w:tc>
        <w:tc>
          <w:tcPr>
            <w:tcW w:w="1365" w:type="dxa"/>
            <w:tcBorders>
              <w:bottom w:val="single" w:sz="4" w:space="0" w:color="000000"/>
            </w:tcBorders>
            <w:hideMark/>
          </w:tcPr>
          <w:p w14:paraId="0E1C5296"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Min (µg/L)</w:t>
            </w:r>
          </w:p>
        </w:tc>
        <w:tc>
          <w:tcPr>
            <w:tcW w:w="1260" w:type="dxa"/>
            <w:tcBorders>
              <w:bottom w:val="single" w:sz="4" w:space="0" w:color="000000"/>
            </w:tcBorders>
            <w:hideMark/>
          </w:tcPr>
          <w:p w14:paraId="6F98F6FE"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Max (µg/L)</w:t>
            </w:r>
          </w:p>
        </w:tc>
        <w:tc>
          <w:tcPr>
            <w:tcW w:w="1160" w:type="dxa"/>
            <w:tcBorders>
              <w:bottom w:val="single" w:sz="4" w:space="0" w:color="000000"/>
            </w:tcBorders>
            <w:hideMark/>
          </w:tcPr>
          <w:p w14:paraId="5A485872"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SD (µg/L)</w:t>
            </w:r>
          </w:p>
        </w:tc>
        <w:tc>
          <w:tcPr>
            <w:tcW w:w="1360" w:type="dxa"/>
            <w:tcBorders>
              <w:bottom w:val="single" w:sz="4" w:space="0" w:color="000000"/>
            </w:tcBorders>
            <w:hideMark/>
          </w:tcPr>
          <w:p w14:paraId="2475F617"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Mean (µg/L)</w:t>
            </w:r>
          </w:p>
        </w:tc>
      </w:tr>
      <w:tr w:rsidR="00E9424C" w:rsidRPr="00E9424C" w14:paraId="73C2C845"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bottom w:val="single" w:sz="4" w:space="0" w:color="000000" w:themeColor="text1"/>
            </w:tcBorders>
            <w:shd w:val="clear" w:color="auto" w:fill="auto"/>
            <w:vAlign w:val="center"/>
            <w:hideMark/>
          </w:tcPr>
          <w:p w14:paraId="1B17024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Insecticides</w:t>
            </w:r>
          </w:p>
        </w:tc>
        <w:tc>
          <w:tcPr>
            <w:tcW w:w="2080" w:type="dxa"/>
            <w:tcBorders>
              <w:top w:val="single" w:sz="4" w:space="0" w:color="000000"/>
            </w:tcBorders>
            <w:shd w:val="clear" w:color="auto" w:fill="auto"/>
            <w:hideMark/>
          </w:tcPr>
          <w:p w14:paraId="5CBE900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Parathion-methyl</w:t>
            </w:r>
          </w:p>
        </w:tc>
        <w:tc>
          <w:tcPr>
            <w:tcW w:w="1365" w:type="dxa"/>
            <w:tcBorders>
              <w:top w:val="single" w:sz="4" w:space="0" w:color="000000"/>
            </w:tcBorders>
            <w:shd w:val="clear" w:color="auto" w:fill="auto"/>
            <w:hideMark/>
          </w:tcPr>
          <w:p w14:paraId="15A7D4D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cBorders>
            <w:shd w:val="clear" w:color="auto" w:fill="auto"/>
            <w:hideMark/>
          </w:tcPr>
          <w:p w14:paraId="629C87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0.023</w:t>
            </w:r>
          </w:p>
        </w:tc>
        <w:tc>
          <w:tcPr>
            <w:tcW w:w="1160" w:type="dxa"/>
            <w:tcBorders>
              <w:top w:val="single" w:sz="4" w:space="0" w:color="000000"/>
            </w:tcBorders>
            <w:shd w:val="clear" w:color="auto" w:fill="auto"/>
            <w:hideMark/>
          </w:tcPr>
          <w:p w14:paraId="2A0D0C2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c>
          <w:tcPr>
            <w:tcW w:w="1360" w:type="dxa"/>
            <w:tcBorders>
              <w:top w:val="single" w:sz="4" w:space="0" w:color="000000"/>
            </w:tcBorders>
            <w:shd w:val="clear" w:color="auto" w:fill="auto"/>
            <w:hideMark/>
          </w:tcPr>
          <w:p w14:paraId="5198F38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0.004</w:t>
            </w:r>
          </w:p>
        </w:tc>
      </w:tr>
      <w:tr w:rsidR="00E9424C" w:rsidRPr="00E9424C" w14:paraId="26B0C26F"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1289FD8C"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52D0AEB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Chlorfenvinphos</w:t>
            </w:r>
            <w:proofErr w:type="spellEnd"/>
          </w:p>
        </w:tc>
        <w:tc>
          <w:tcPr>
            <w:tcW w:w="1365" w:type="dxa"/>
            <w:hideMark/>
          </w:tcPr>
          <w:p w14:paraId="2ACB679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850EB4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0.850</w:t>
            </w:r>
          </w:p>
        </w:tc>
        <w:tc>
          <w:tcPr>
            <w:tcW w:w="1160" w:type="dxa"/>
            <w:hideMark/>
          </w:tcPr>
          <w:p w14:paraId="335F1F8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0.330</w:t>
            </w:r>
          </w:p>
        </w:tc>
        <w:tc>
          <w:tcPr>
            <w:tcW w:w="1360" w:type="dxa"/>
            <w:hideMark/>
          </w:tcPr>
          <w:p w14:paraId="6349F10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r>
      <w:tr w:rsidR="00E9424C" w:rsidRPr="00E9424C" w14:paraId="35EAD499"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661FDFD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6FDAE17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Parathion-ethyl</w:t>
            </w:r>
          </w:p>
        </w:tc>
        <w:tc>
          <w:tcPr>
            <w:tcW w:w="1365" w:type="dxa"/>
            <w:shd w:val="clear" w:color="auto" w:fill="auto"/>
            <w:hideMark/>
          </w:tcPr>
          <w:p w14:paraId="3B08926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52E67E1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0.870</w:t>
            </w:r>
          </w:p>
        </w:tc>
        <w:tc>
          <w:tcPr>
            <w:tcW w:w="1160" w:type="dxa"/>
            <w:shd w:val="clear" w:color="auto" w:fill="auto"/>
            <w:hideMark/>
          </w:tcPr>
          <w:p w14:paraId="6F7F58E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0.353</w:t>
            </w:r>
          </w:p>
        </w:tc>
        <w:tc>
          <w:tcPr>
            <w:tcW w:w="1360" w:type="dxa"/>
            <w:shd w:val="clear" w:color="auto" w:fill="auto"/>
            <w:hideMark/>
          </w:tcPr>
          <w:p w14:paraId="038239A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0.149</w:t>
            </w:r>
          </w:p>
        </w:tc>
      </w:tr>
      <w:tr w:rsidR="00E9424C" w:rsidRPr="00E9424C" w14:paraId="1EE05053"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CEAC102"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4FB31E2"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Profenofos</w:t>
            </w:r>
            <w:proofErr w:type="spellEnd"/>
          </w:p>
        </w:tc>
        <w:tc>
          <w:tcPr>
            <w:tcW w:w="1365" w:type="dxa"/>
            <w:hideMark/>
          </w:tcPr>
          <w:p w14:paraId="53B581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7544088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1.040</w:t>
            </w:r>
          </w:p>
        </w:tc>
        <w:tc>
          <w:tcPr>
            <w:tcW w:w="1160" w:type="dxa"/>
            <w:hideMark/>
          </w:tcPr>
          <w:p w14:paraId="4E07E594"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0.468</w:t>
            </w:r>
          </w:p>
        </w:tc>
        <w:tc>
          <w:tcPr>
            <w:tcW w:w="1360" w:type="dxa"/>
            <w:hideMark/>
          </w:tcPr>
          <w:p w14:paraId="1FFF43F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0.428</w:t>
            </w:r>
          </w:p>
        </w:tc>
      </w:tr>
      <w:tr w:rsidR="00E9424C" w:rsidRPr="00E9424C" w14:paraId="4F5B972D"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1E764CF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3B730D7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Dimethoate</w:t>
            </w:r>
          </w:p>
        </w:tc>
        <w:tc>
          <w:tcPr>
            <w:tcW w:w="1365" w:type="dxa"/>
            <w:shd w:val="clear" w:color="auto" w:fill="auto"/>
            <w:hideMark/>
          </w:tcPr>
          <w:p w14:paraId="47D7C25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3B46EA48"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1.022</w:t>
            </w:r>
          </w:p>
        </w:tc>
        <w:tc>
          <w:tcPr>
            <w:tcW w:w="1160" w:type="dxa"/>
            <w:shd w:val="clear" w:color="auto" w:fill="auto"/>
            <w:hideMark/>
          </w:tcPr>
          <w:p w14:paraId="2A9696D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0.406</w:t>
            </w:r>
          </w:p>
        </w:tc>
        <w:tc>
          <w:tcPr>
            <w:tcW w:w="1360" w:type="dxa"/>
            <w:shd w:val="clear" w:color="auto" w:fill="auto"/>
            <w:hideMark/>
          </w:tcPr>
          <w:p w14:paraId="6E2653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0.685</w:t>
            </w:r>
          </w:p>
        </w:tc>
      </w:tr>
      <w:tr w:rsidR="00E9424C" w:rsidRPr="00E9424C" w14:paraId="07638297"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7C368B3"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E945C3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Chlorpyrifos-ethyl</w:t>
            </w:r>
          </w:p>
        </w:tc>
        <w:tc>
          <w:tcPr>
            <w:tcW w:w="1365" w:type="dxa"/>
            <w:hideMark/>
          </w:tcPr>
          <w:p w14:paraId="4CA284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260" w:type="dxa"/>
            <w:hideMark/>
          </w:tcPr>
          <w:p w14:paraId="11D01F3A"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0.420</w:t>
            </w:r>
          </w:p>
        </w:tc>
        <w:tc>
          <w:tcPr>
            <w:tcW w:w="1160" w:type="dxa"/>
            <w:hideMark/>
          </w:tcPr>
          <w:p w14:paraId="784AC11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0.156</w:t>
            </w:r>
          </w:p>
        </w:tc>
        <w:tc>
          <w:tcPr>
            <w:tcW w:w="1360" w:type="dxa"/>
            <w:hideMark/>
          </w:tcPr>
          <w:p w14:paraId="66DEAB6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0.152</w:t>
            </w:r>
          </w:p>
        </w:tc>
      </w:tr>
      <w:tr w:rsidR="00E9424C" w:rsidRPr="00E9424C" w14:paraId="432EB8F7"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0F95965A"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78B5B6B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Carbosulfan</w:t>
            </w:r>
            <w:proofErr w:type="spellEnd"/>
          </w:p>
        </w:tc>
        <w:tc>
          <w:tcPr>
            <w:tcW w:w="1365" w:type="dxa"/>
            <w:shd w:val="clear" w:color="auto" w:fill="auto"/>
            <w:hideMark/>
          </w:tcPr>
          <w:p w14:paraId="6E2F50E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283FF0F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0.240</w:t>
            </w:r>
          </w:p>
        </w:tc>
        <w:tc>
          <w:tcPr>
            <w:tcW w:w="1160" w:type="dxa"/>
            <w:shd w:val="clear" w:color="auto" w:fill="auto"/>
            <w:hideMark/>
          </w:tcPr>
          <w:p w14:paraId="380BB9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0.091</w:t>
            </w:r>
          </w:p>
        </w:tc>
        <w:tc>
          <w:tcPr>
            <w:tcW w:w="1360" w:type="dxa"/>
            <w:shd w:val="clear" w:color="auto" w:fill="auto"/>
            <w:hideMark/>
          </w:tcPr>
          <w:p w14:paraId="34DDFC8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0.056</w:t>
            </w:r>
          </w:p>
        </w:tc>
      </w:tr>
      <w:tr w:rsidR="00E9424C" w:rsidRPr="00E9424C" w14:paraId="1DD7E7E0"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727AAC5A"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732E39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Lambda-cyhalothrin</w:t>
            </w:r>
          </w:p>
        </w:tc>
        <w:tc>
          <w:tcPr>
            <w:tcW w:w="1365" w:type="dxa"/>
            <w:hideMark/>
          </w:tcPr>
          <w:p w14:paraId="2653060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A1B2E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0.021</w:t>
            </w:r>
          </w:p>
        </w:tc>
        <w:tc>
          <w:tcPr>
            <w:tcW w:w="1160" w:type="dxa"/>
            <w:hideMark/>
          </w:tcPr>
          <w:p w14:paraId="5FCF3865"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hideMark/>
          </w:tcPr>
          <w:p w14:paraId="2BB36FE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r>
      <w:tr w:rsidR="00E9424C" w:rsidRPr="00E9424C" w14:paraId="57822988"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7EE74DBE"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A9E7C4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Deltamethrin</w:t>
            </w:r>
          </w:p>
        </w:tc>
        <w:tc>
          <w:tcPr>
            <w:tcW w:w="1365" w:type="dxa"/>
            <w:tcBorders>
              <w:bottom w:val="single" w:sz="4" w:space="0" w:color="000000" w:themeColor="text1"/>
            </w:tcBorders>
            <w:shd w:val="clear" w:color="auto" w:fill="auto"/>
            <w:hideMark/>
          </w:tcPr>
          <w:p w14:paraId="7D121B7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3AB55BA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160" w:type="dxa"/>
            <w:tcBorders>
              <w:bottom w:val="single" w:sz="4" w:space="0" w:color="000000" w:themeColor="text1"/>
            </w:tcBorders>
            <w:shd w:val="clear" w:color="auto" w:fill="auto"/>
            <w:hideMark/>
          </w:tcPr>
          <w:p w14:paraId="5A892BCB"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c>
          <w:tcPr>
            <w:tcW w:w="1360" w:type="dxa"/>
            <w:tcBorders>
              <w:bottom w:val="single" w:sz="4" w:space="0" w:color="000000" w:themeColor="text1"/>
            </w:tcBorders>
            <w:shd w:val="clear" w:color="auto" w:fill="auto"/>
            <w:hideMark/>
          </w:tcPr>
          <w:p w14:paraId="5B61F1B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0.003</w:t>
            </w:r>
          </w:p>
        </w:tc>
      </w:tr>
      <w:tr w:rsidR="00E9424C" w:rsidRPr="00E9424C" w14:paraId="49212D61"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themeColor="text1"/>
            </w:tcBorders>
            <w:vAlign w:val="center"/>
            <w:hideMark/>
          </w:tcPr>
          <w:p w14:paraId="37802784"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Herbicides</w:t>
            </w:r>
          </w:p>
        </w:tc>
        <w:tc>
          <w:tcPr>
            <w:tcW w:w="2080" w:type="dxa"/>
            <w:tcBorders>
              <w:top w:val="single" w:sz="4" w:space="0" w:color="000000" w:themeColor="text1"/>
            </w:tcBorders>
            <w:hideMark/>
          </w:tcPr>
          <w:p w14:paraId="4A78B60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Metolachlor</w:t>
            </w:r>
          </w:p>
        </w:tc>
        <w:tc>
          <w:tcPr>
            <w:tcW w:w="1365" w:type="dxa"/>
            <w:tcBorders>
              <w:top w:val="single" w:sz="4" w:space="0" w:color="000000" w:themeColor="text1"/>
            </w:tcBorders>
            <w:hideMark/>
          </w:tcPr>
          <w:p w14:paraId="13EB80B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260" w:type="dxa"/>
            <w:tcBorders>
              <w:top w:val="single" w:sz="4" w:space="0" w:color="000000" w:themeColor="text1"/>
            </w:tcBorders>
            <w:hideMark/>
          </w:tcPr>
          <w:p w14:paraId="4CB6788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c>
          <w:tcPr>
            <w:tcW w:w="1160" w:type="dxa"/>
            <w:tcBorders>
              <w:top w:val="single" w:sz="4" w:space="0" w:color="000000" w:themeColor="text1"/>
            </w:tcBorders>
            <w:hideMark/>
          </w:tcPr>
          <w:p w14:paraId="0F3995E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0.072</w:t>
            </w:r>
          </w:p>
        </w:tc>
        <w:tc>
          <w:tcPr>
            <w:tcW w:w="1360" w:type="dxa"/>
            <w:tcBorders>
              <w:top w:val="single" w:sz="4" w:space="0" w:color="000000" w:themeColor="text1"/>
            </w:tcBorders>
            <w:hideMark/>
          </w:tcPr>
          <w:p w14:paraId="2F396D4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r>
      <w:tr w:rsidR="00E9424C" w:rsidRPr="00E9424C" w14:paraId="10C15C53"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8D6C91E"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02EE467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Metazachlor</w:t>
            </w:r>
          </w:p>
        </w:tc>
        <w:tc>
          <w:tcPr>
            <w:tcW w:w="1365" w:type="dxa"/>
            <w:shd w:val="clear" w:color="auto" w:fill="auto"/>
            <w:hideMark/>
          </w:tcPr>
          <w:p w14:paraId="0A10F58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260" w:type="dxa"/>
            <w:shd w:val="clear" w:color="auto" w:fill="auto"/>
            <w:hideMark/>
          </w:tcPr>
          <w:p w14:paraId="47A90B4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0.154</w:t>
            </w:r>
          </w:p>
        </w:tc>
        <w:tc>
          <w:tcPr>
            <w:tcW w:w="1160" w:type="dxa"/>
            <w:shd w:val="clear" w:color="auto" w:fill="auto"/>
            <w:hideMark/>
          </w:tcPr>
          <w:p w14:paraId="3B22603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0.053</w:t>
            </w:r>
          </w:p>
        </w:tc>
        <w:tc>
          <w:tcPr>
            <w:tcW w:w="1360" w:type="dxa"/>
            <w:shd w:val="clear" w:color="auto" w:fill="auto"/>
            <w:hideMark/>
          </w:tcPr>
          <w:p w14:paraId="30D2598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0.060</w:t>
            </w:r>
          </w:p>
        </w:tc>
      </w:tr>
      <w:tr w:rsidR="00E9424C" w:rsidRPr="00E9424C" w14:paraId="7A6557DC"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64FF8C2E"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3AB1AB1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Atrazine</w:t>
            </w:r>
          </w:p>
        </w:tc>
        <w:tc>
          <w:tcPr>
            <w:tcW w:w="1365" w:type="dxa"/>
            <w:hideMark/>
          </w:tcPr>
          <w:p w14:paraId="4CFE285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4D5D686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0.050</w:t>
            </w:r>
          </w:p>
        </w:tc>
        <w:tc>
          <w:tcPr>
            <w:tcW w:w="1160" w:type="dxa"/>
            <w:hideMark/>
          </w:tcPr>
          <w:p w14:paraId="137BA52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360" w:type="dxa"/>
            <w:hideMark/>
          </w:tcPr>
          <w:p w14:paraId="097C235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36722A40"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CE89227"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213BA62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Prometryne</w:t>
            </w:r>
            <w:proofErr w:type="spellEnd"/>
          </w:p>
        </w:tc>
        <w:tc>
          <w:tcPr>
            <w:tcW w:w="1365" w:type="dxa"/>
            <w:shd w:val="clear" w:color="auto" w:fill="auto"/>
            <w:hideMark/>
          </w:tcPr>
          <w:p w14:paraId="0861102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0EB5DC6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0.042</w:t>
            </w:r>
          </w:p>
        </w:tc>
        <w:tc>
          <w:tcPr>
            <w:tcW w:w="1160" w:type="dxa"/>
            <w:shd w:val="clear" w:color="auto" w:fill="auto"/>
            <w:hideMark/>
          </w:tcPr>
          <w:p w14:paraId="71D3FC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360" w:type="dxa"/>
            <w:shd w:val="clear" w:color="auto" w:fill="auto"/>
            <w:hideMark/>
          </w:tcPr>
          <w:p w14:paraId="6C87F29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40B73E24"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54CBB749"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64343C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Terbutryn</w:t>
            </w:r>
            <w:proofErr w:type="spellEnd"/>
          </w:p>
        </w:tc>
        <w:tc>
          <w:tcPr>
            <w:tcW w:w="1365" w:type="dxa"/>
            <w:hideMark/>
          </w:tcPr>
          <w:p w14:paraId="7D8C4EC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0AB83E6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160" w:type="dxa"/>
            <w:hideMark/>
          </w:tcPr>
          <w:p w14:paraId="593EE22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0.005</w:t>
            </w:r>
          </w:p>
        </w:tc>
        <w:tc>
          <w:tcPr>
            <w:tcW w:w="1360" w:type="dxa"/>
            <w:hideMark/>
          </w:tcPr>
          <w:p w14:paraId="5C76480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0.002</w:t>
            </w:r>
          </w:p>
        </w:tc>
      </w:tr>
      <w:tr w:rsidR="00E9424C" w:rsidRPr="00E9424C" w14:paraId="00537591"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bottom w:val="single" w:sz="4" w:space="0" w:color="000000" w:themeColor="text1"/>
            </w:tcBorders>
            <w:shd w:val="clear" w:color="auto" w:fill="auto"/>
            <w:hideMark/>
          </w:tcPr>
          <w:p w14:paraId="50D7CAFC"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193129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Diuron</w:t>
            </w:r>
          </w:p>
        </w:tc>
        <w:tc>
          <w:tcPr>
            <w:tcW w:w="1365" w:type="dxa"/>
            <w:tcBorders>
              <w:bottom w:val="single" w:sz="4" w:space="0" w:color="000000" w:themeColor="text1"/>
            </w:tcBorders>
            <w:shd w:val="clear" w:color="auto" w:fill="auto"/>
            <w:hideMark/>
          </w:tcPr>
          <w:p w14:paraId="023C298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59120C9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0.192</w:t>
            </w:r>
          </w:p>
        </w:tc>
        <w:tc>
          <w:tcPr>
            <w:tcW w:w="1160" w:type="dxa"/>
            <w:tcBorders>
              <w:bottom w:val="single" w:sz="4" w:space="0" w:color="000000" w:themeColor="text1"/>
            </w:tcBorders>
            <w:shd w:val="clear" w:color="auto" w:fill="auto"/>
            <w:hideMark/>
          </w:tcPr>
          <w:p w14:paraId="247ACFF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c>
          <w:tcPr>
            <w:tcW w:w="1360" w:type="dxa"/>
            <w:tcBorders>
              <w:bottom w:val="single" w:sz="4" w:space="0" w:color="000000" w:themeColor="text1"/>
            </w:tcBorders>
            <w:shd w:val="clear" w:color="auto" w:fill="auto"/>
            <w:hideMark/>
          </w:tcPr>
          <w:p w14:paraId="1688272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0.065</w:t>
            </w:r>
          </w:p>
        </w:tc>
      </w:tr>
      <w:tr w:rsidR="00E9424C" w:rsidRPr="00E9424C" w14:paraId="373CBADB"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themeColor="text1"/>
              <w:bottom w:val="single" w:sz="4" w:space="0" w:color="000000"/>
            </w:tcBorders>
            <w:hideMark/>
          </w:tcPr>
          <w:p w14:paraId="1CD1E018"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Fungicide</w:t>
            </w:r>
          </w:p>
        </w:tc>
        <w:tc>
          <w:tcPr>
            <w:tcW w:w="2080" w:type="dxa"/>
            <w:tcBorders>
              <w:top w:val="single" w:sz="4" w:space="0" w:color="000000" w:themeColor="text1"/>
              <w:bottom w:val="single" w:sz="4" w:space="0" w:color="000000"/>
            </w:tcBorders>
            <w:hideMark/>
          </w:tcPr>
          <w:p w14:paraId="3A8EB6D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Vinclozolin</w:t>
            </w:r>
          </w:p>
        </w:tc>
        <w:tc>
          <w:tcPr>
            <w:tcW w:w="1365" w:type="dxa"/>
            <w:tcBorders>
              <w:top w:val="single" w:sz="4" w:space="0" w:color="000000" w:themeColor="text1"/>
              <w:bottom w:val="single" w:sz="4" w:space="0" w:color="000000"/>
            </w:tcBorders>
            <w:hideMark/>
          </w:tcPr>
          <w:p w14:paraId="100907D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hemeColor="text1"/>
              <w:bottom w:val="single" w:sz="4" w:space="0" w:color="000000"/>
            </w:tcBorders>
            <w:hideMark/>
          </w:tcPr>
          <w:p w14:paraId="457F4DC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160" w:type="dxa"/>
            <w:tcBorders>
              <w:top w:val="single" w:sz="4" w:space="0" w:color="000000" w:themeColor="text1"/>
              <w:bottom w:val="single" w:sz="4" w:space="0" w:color="000000"/>
            </w:tcBorders>
            <w:hideMark/>
          </w:tcPr>
          <w:p w14:paraId="3FD790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tcBorders>
              <w:top w:val="single" w:sz="4" w:space="0" w:color="000000" w:themeColor="text1"/>
              <w:bottom w:val="single" w:sz="4" w:space="0" w:color="000000"/>
            </w:tcBorders>
            <w:hideMark/>
          </w:tcPr>
          <w:p w14:paraId="4BCA9ED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r>
    </w:tbl>
    <w:p w14:paraId="2FD93D19" w14:textId="77777777" w:rsidR="00E9424C" w:rsidRDefault="00E9424C" w:rsidP="001D2DC5">
      <w:pPr>
        <w:pStyle w:val="Body"/>
        <w:spacing w:after="0"/>
        <w:rPr>
          <w:rFonts w:ascii="Arial" w:hAnsi="Arial" w:cs="Arial"/>
          <w:b/>
          <w:lang w:val="en"/>
        </w:rPr>
      </w:pPr>
    </w:p>
    <w:p w14:paraId="3C09C43F" w14:textId="77777777" w:rsidR="00DE62A3" w:rsidRPr="007614E9" w:rsidRDefault="007614E9" w:rsidP="001D2DC5">
      <w:pPr>
        <w:pStyle w:val="Body"/>
        <w:spacing w:after="0"/>
        <w:rPr>
          <w:rFonts w:ascii="Arial" w:hAnsi="Arial" w:cs="Arial"/>
          <w:b/>
          <w:i/>
          <w:lang w:val="en"/>
        </w:rPr>
      </w:pPr>
      <w:r w:rsidRPr="007614E9">
        <w:rPr>
          <w:rFonts w:ascii="Arial" w:hAnsi="Arial" w:cs="Arial"/>
          <w:b/>
          <w:i/>
          <w:lang w:val="en-GB"/>
        </w:rPr>
        <w:t>3.1.2.</w:t>
      </w:r>
      <w:r>
        <w:rPr>
          <w:rFonts w:ascii="Arial" w:hAnsi="Arial" w:cs="Arial"/>
          <w:b/>
          <w:i/>
          <w:lang w:val="en-GB"/>
        </w:rPr>
        <w:t>3</w:t>
      </w:r>
      <w:r w:rsidRPr="007614E9">
        <w:rPr>
          <w:rFonts w:ascii="Arial" w:hAnsi="Arial" w:cs="Arial"/>
          <w:b/>
          <w:i/>
          <w:lang w:val="en-GB"/>
        </w:rPr>
        <w:t xml:space="preserve"> </w:t>
      </w:r>
      <w:r w:rsidR="00DE62A3" w:rsidRPr="007614E9">
        <w:rPr>
          <w:rFonts w:ascii="Arial" w:hAnsi="Arial" w:cs="Arial"/>
          <w:b/>
          <w:i/>
          <w:lang w:val="en"/>
        </w:rPr>
        <w:t>Concentration of different pesticide families in surface waters and groun</w:t>
      </w:r>
      <w:r w:rsidR="00E9424C" w:rsidRPr="007614E9">
        <w:rPr>
          <w:rFonts w:ascii="Arial" w:hAnsi="Arial" w:cs="Arial"/>
          <w:b/>
          <w:i/>
          <w:lang w:val="en"/>
        </w:rPr>
        <w:t>d</w:t>
      </w:r>
      <w:r w:rsidR="00DE62A3" w:rsidRPr="007614E9">
        <w:rPr>
          <w:rFonts w:ascii="Arial" w:hAnsi="Arial" w:cs="Arial"/>
          <w:b/>
          <w:i/>
          <w:lang w:val="en"/>
        </w:rPr>
        <w:t>water</w:t>
      </w:r>
    </w:p>
    <w:p w14:paraId="5DBA6865" w14:textId="77777777" w:rsidR="00E9424C" w:rsidRPr="00DE62A3" w:rsidRDefault="00E9424C" w:rsidP="001D2DC5">
      <w:pPr>
        <w:pStyle w:val="Body"/>
        <w:spacing w:after="0"/>
        <w:rPr>
          <w:rFonts w:ascii="Arial" w:hAnsi="Arial" w:cs="Arial"/>
          <w:b/>
          <w:lang w:val="en"/>
        </w:rPr>
      </w:pPr>
    </w:p>
    <w:p w14:paraId="5343DDC8" w14:textId="77777777" w:rsidR="00DE62A3" w:rsidRDefault="00DE62A3" w:rsidP="00DE62A3">
      <w:pPr>
        <w:pStyle w:val="Body"/>
        <w:spacing w:after="0"/>
        <w:rPr>
          <w:rFonts w:ascii="Arial" w:hAnsi="Arial" w:cs="Arial"/>
          <w:lang w:val="en"/>
        </w:rPr>
      </w:pPr>
      <w:r w:rsidRPr="00DE62A3">
        <w:rPr>
          <w:rFonts w:ascii="Arial" w:hAnsi="Arial" w:cs="Arial"/>
          <w:lang w:val="en"/>
        </w:rPr>
        <w:t xml:space="preserve">The table 4 presents descriptive statistics for the concentrations of pesticide families in groundwater, including minimum and maximum values, mean, and standard deviation. These data allow us to assess both the magnitude of the concentrations and their variability across chemical families. Organophosphates and triazines, as well as their metabolites, stand out with the highest mean concentrations, at 0.453 µg/L and 0.466 µg/L, respectively. These two families also exhibit high standard deviations, 0.713 µg/L for organophosphates and 0.700 µg/L for triazines, reflecting a marked dispersion of values depending on the sampling site and period. The maximum concentrations observed confirm this variability, reaching 3.450 µg/L for organophosphates and 2.230 µg/L for triazines and their metabolites. These results suggest that these pesticide families contribute most to the chemical load of the studied groundwater and that their presence is likely to be significant at specific points. Substituted </w:t>
      </w:r>
      <w:proofErr w:type="spellStart"/>
      <w:r w:rsidRPr="00DE62A3">
        <w:rPr>
          <w:rFonts w:ascii="Arial" w:hAnsi="Arial" w:cs="Arial"/>
          <w:lang w:val="en"/>
        </w:rPr>
        <w:t>ureas</w:t>
      </w:r>
      <w:proofErr w:type="spellEnd"/>
      <w:r w:rsidRPr="00DE62A3">
        <w:rPr>
          <w:rFonts w:ascii="Arial" w:hAnsi="Arial" w:cs="Arial"/>
          <w:lang w:val="en"/>
        </w:rPr>
        <w:t xml:space="preserve">, pyrethroids, and carbamates have lower mean concentrations, ranging from 0.024 to 0.202 µg/L, and relatively modest standard deviations, ranging from 0.018 to 0.167 µg/L. This indicates that the distribution of these pesticides in groundwater is more homogeneous and that concentration peaks are less pronounced. However, the maximum values remain significant for substituted </w:t>
      </w:r>
      <w:proofErr w:type="spellStart"/>
      <w:r w:rsidRPr="00DE62A3">
        <w:rPr>
          <w:rFonts w:ascii="Arial" w:hAnsi="Arial" w:cs="Arial"/>
          <w:lang w:val="en"/>
        </w:rPr>
        <w:t>ureas</w:t>
      </w:r>
      <w:proofErr w:type="spellEnd"/>
      <w:r w:rsidRPr="00DE62A3">
        <w:rPr>
          <w:rFonts w:ascii="Arial" w:hAnsi="Arial" w:cs="Arial"/>
          <w:lang w:val="en"/>
        </w:rPr>
        <w:t xml:space="preserve"> and pyrethroids, at 0.490 µg/L each, which could reflect occasional or localized inputs. Analysis of the minimum values reveals that for four out of six families, concentrations can be zero, suggesting that these pesticides are sometimes undetectable in certain water sources. Organochlorines and substituted </w:t>
      </w:r>
      <w:proofErr w:type="spellStart"/>
      <w:r w:rsidRPr="00DE62A3">
        <w:rPr>
          <w:rFonts w:ascii="Arial" w:hAnsi="Arial" w:cs="Arial"/>
          <w:lang w:val="en"/>
        </w:rPr>
        <w:t>ureas</w:t>
      </w:r>
      <w:proofErr w:type="spellEnd"/>
      <w:r w:rsidRPr="00DE62A3">
        <w:rPr>
          <w:rFonts w:ascii="Arial" w:hAnsi="Arial" w:cs="Arial"/>
          <w:lang w:val="en"/>
        </w:rPr>
        <w:t xml:space="preserve"> are the only families to show minimum values above zero, respectively 0.013 µg/L and 0.087 µg/L, which reflects a near-permanent presence, probably linked to the chemical persistence of these substances in the environment.</w:t>
      </w:r>
    </w:p>
    <w:p w14:paraId="6DA01B7E" w14:textId="77777777" w:rsidR="00E9424C" w:rsidRDefault="00E9424C" w:rsidP="003B2ECF">
      <w:pPr>
        <w:pStyle w:val="Body"/>
        <w:rPr>
          <w:rFonts w:ascii="Arial" w:hAnsi="Arial" w:cs="Arial"/>
          <w:lang w:val="en"/>
        </w:rPr>
      </w:pPr>
    </w:p>
    <w:p w14:paraId="324BA8CF" w14:textId="77777777" w:rsidR="000D58A3" w:rsidRDefault="00DE62A3" w:rsidP="003B2ECF">
      <w:pPr>
        <w:pStyle w:val="Body"/>
        <w:spacing w:after="0" w:line="360" w:lineRule="auto"/>
        <w:rPr>
          <w:rFonts w:ascii="Arial" w:hAnsi="Arial" w:cs="Arial"/>
          <w:iCs/>
          <w:lang w:val="en"/>
        </w:rPr>
      </w:pPr>
      <w:r w:rsidRPr="00DE62A3">
        <w:rPr>
          <w:rFonts w:ascii="Arial" w:hAnsi="Arial" w:cs="Arial"/>
          <w:iCs/>
          <w:lang w:val="en"/>
        </w:rPr>
        <w:lastRenderedPageBreak/>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4</w:t>
      </w:r>
      <w:r w:rsidRPr="00DE62A3">
        <w:rPr>
          <w:rFonts w:ascii="Arial" w:hAnsi="Arial" w:cs="Arial"/>
        </w:rPr>
        <w:fldChar w:fldCharType="end"/>
      </w:r>
      <w:r w:rsidRPr="00DE62A3">
        <w:rPr>
          <w:rFonts w:ascii="Arial" w:hAnsi="Arial" w:cs="Arial"/>
          <w:iCs/>
          <w:lang w:val="en"/>
        </w:rPr>
        <w:t xml:space="preserve"> : Summary of Pesticide Concentrations in Surface Water and Groundwater</w:t>
      </w:r>
    </w:p>
    <w:tbl>
      <w:tblPr>
        <w:tblW w:w="10632" w:type="dxa"/>
        <w:tblInd w:w="-1168" w:type="dxa"/>
        <w:tblLayout w:type="fixed"/>
        <w:tblLook w:val="04A0" w:firstRow="1" w:lastRow="0" w:firstColumn="1" w:lastColumn="0" w:noHBand="0" w:noVBand="1"/>
      </w:tblPr>
      <w:tblGrid>
        <w:gridCol w:w="992"/>
        <w:gridCol w:w="1135"/>
        <w:gridCol w:w="1652"/>
        <w:gridCol w:w="1608"/>
        <w:gridCol w:w="1418"/>
        <w:gridCol w:w="1275"/>
        <w:gridCol w:w="1276"/>
        <w:gridCol w:w="1276"/>
      </w:tblGrid>
      <w:tr w:rsidR="00D860F7" w:rsidRPr="00D860F7" w14:paraId="1C41B6BD" w14:textId="77777777" w:rsidTr="003B2ECF">
        <w:trPr>
          <w:trHeight w:val="290"/>
        </w:trPr>
        <w:tc>
          <w:tcPr>
            <w:tcW w:w="992" w:type="dxa"/>
            <w:tcBorders>
              <w:top w:val="single" w:sz="4" w:space="0" w:color="auto"/>
              <w:left w:val="nil"/>
              <w:bottom w:val="nil"/>
              <w:right w:val="nil"/>
            </w:tcBorders>
            <w:vAlign w:val="center"/>
            <w:hideMark/>
          </w:tcPr>
          <w:p w14:paraId="1B97E6BE"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Water Type</w:t>
            </w:r>
          </w:p>
        </w:tc>
        <w:tc>
          <w:tcPr>
            <w:tcW w:w="1135" w:type="dxa"/>
            <w:tcBorders>
              <w:top w:val="single" w:sz="4" w:space="0" w:color="auto"/>
              <w:left w:val="nil"/>
              <w:bottom w:val="nil"/>
              <w:right w:val="nil"/>
            </w:tcBorders>
            <w:vAlign w:val="center"/>
            <w:hideMark/>
          </w:tcPr>
          <w:p w14:paraId="2D7BBCD3"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Statistical variables</w:t>
            </w:r>
          </w:p>
        </w:tc>
        <w:tc>
          <w:tcPr>
            <w:tcW w:w="1652" w:type="dxa"/>
            <w:tcBorders>
              <w:top w:val="single" w:sz="4" w:space="0" w:color="auto"/>
              <w:left w:val="nil"/>
              <w:bottom w:val="nil"/>
              <w:right w:val="nil"/>
            </w:tcBorders>
            <w:vAlign w:val="center"/>
            <w:hideMark/>
          </w:tcPr>
          <w:p w14:paraId="7F07AE29"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Organo-phosphates</w:t>
            </w:r>
          </w:p>
        </w:tc>
        <w:tc>
          <w:tcPr>
            <w:tcW w:w="1608" w:type="dxa"/>
            <w:tcBorders>
              <w:top w:val="single" w:sz="4" w:space="0" w:color="auto"/>
              <w:left w:val="nil"/>
              <w:bottom w:val="nil"/>
              <w:right w:val="nil"/>
            </w:tcBorders>
            <w:vAlign w:val="center"/>
            <w:hideMark/>
          </w:tcPr>
          <w:p w14:paraId="64B14DFC"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Organo-</w:t>
            </w:r>
            <w:proofErr w:type="spellStart"/>
            <w:r w:rsidRPr="00D860F7">
              <w:rPr>
                <w:rFonts w:ascii="Arial" w:hAnsi="Arial" w:cs="Arial"/>
                <w:b/>
                <w:bCs/>
                <w:sz w:val="18"/>
                <w:szCs w:val="18"/>
                <w:lang w:val="en-GB"/>
              </w:rPr>
              <w:t>phosphorines</w:t>
            </w:r>
            <w:proofErr w:type="spellEnd"/>
          </w:p>
        </w:tc>
        <w:tc>
          <w:tcPr>
            <w:tcW w:w="1418" w:type="dxa"/>
            <w:tcBorders>
              <w:top w:val="single" w:sz="4" w:space="0" w:color="auto"/>
              <w:left w:val="nil"/>
              <w:bottom w:val="nil"/>
              <w:right w:val="nil"/>
            </w:tcBorders>
            <w:vAlign w:val="center"/>
            <w:hideMark/>
          </w:tcPr>
          <w:p w14:paraId="01099664"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Triazines and metabolites</w:t>
            </w:r>
          </w:p>
        </w:tc>
        <w:tc>
          <w:tcPr>
            <w:tcW w:w="1275" w:type="dxa"/>
            <w:tcBorders>
              <w:top w:val="single" w:sz="4" w:space="0" w:color="auto"/>
              <w:left w:val="nil"/>
              <w:bottom w:val="nil"/>
              <w:right w:val="nil"/>
            </w:tcBorders>
            <w:vAlign w:val="center"/>
            <w:hideMark/>
          </w:tcPr>
          <w:p w14:paraId="67DB25A2"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Carbamates</w:t>
            </w:r>
          </w:p>
        </w:tc>
        <w:tc>
          <w:tcPr>
            <w:tcW w:w="1276" w:type="dxa"/>
            <w:tcBorders>
              <w:top w:val="single" w:sz="4" w:space="0" w:color="auto"/>
              <w:left w:val="nil"/>
              <w:bottom w:val="nil"/>
              <w:right w:val="nil"/>
            </w:tcBorders>
          </w:tcPr>
          <w:p w14:paraId="5D3FB79B"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 xml:space="preserve">Substituted </w:t>
            </w:r>
            <w:proofErr w:type="spellStart"/>
            <w:r w:rsidRPr="00D860F7">
              <w:rPr>
                <w:rFonts w:ascii="Arial" w:hAnsi="Arial" w:cs="Arial"/>
                <w:b/>
                <w:bCs/>
                <w:sz w:val="18"/>
                <w:szCs w:val="18"/>
                <w:lang w:val="en-GB"/>
              </w:rPr>
              <w:t>ureas</w:t>
            </w:r>
            <w:proofErr w:type="spellEnd"/>
          </w:p>
        </w:tc>
        <w:tc>
          <w:tcPr>
            <w:tcW w:w="1276" w:type="dxa"/>
            <w:tcBorders>
              <w:top w:val="single" w:sz="4" w:space="0" w:color="auto"/>
              <w:left w:val="nil"/>
              <w:bottom w:val="nil"/>
              <w:right w:val="nil"/>
            </w:tcBorders>
          </w:tcPr>
          <w:p w14:paraId="70738EFF"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Pyrethroids</w:t>
            </w:r>
          </w:p>
        </w:tc>
      </w:tr>
      <w:tr w:rsidR="00D860F7" w:rsidRPr="00D860F7" w14:paraId="0713616A" w14:textId="77777777" w:rsidTr="003B2ECF">
        <w:trPr>
          <w:trHeight w:val="290"/>
        </w:trPr>
        <w:tc>
          <w:tcPr>
            <w:tcW w:w="992" w:type="dxa"/>
            <w:vMerge w:val="restart"/>
            <w:tcBorders>
              <w:top w:val="single" w:sz="4" w:space="0" w:color="auto"/>
              <w:left w:val="nil"/>
              <w:right w:val="nil"/>
            </w:tcBorders>
            <w:vAlign w:val="center"/>
            <w:hideMark/>
          </w:tcPr>
          <w:p w14:paraId="200C2BEE" w14:textId="77777777" w:rsidR="00D860F7" w:rsidRPr="00D860F7" w:rsidRDefault="00D860F7" w:rsidP="00D418A8">
            <w:pPr>
              <w:pStyle w:val="Body"/>
              <w:spacing w:after="0"/>
              <w:rPr>
                <w:rFonts w:ascii="Arial" w:hAnsi="Arial" w:cs="Arial"/>
                <w:b/>
                <w:sz w:val="18"/>
                <w:szCs w:val="18"/>
                <w:lang w:val="en-GB"/>
              </w:rPr>
            </w:pPr>
            <w:r w:rsidRPr="00D860F7">
              <w:rPr>
                <w:rFonts w:ascii="Arial" w:hAnsi="Arial" w:cs="Arial"/>
                <w:b/>
                <w:sz w:val="18"/>
                <w:szCs w:val="18"/>
                <w:lang w:val="en-GB"/>
              </w:rPr>
              <w:t>Surface Water</w:t>
            </w:r>
          </w:p>
        </w:tc>
        <w:tc>
          <w:tcPr>
            <w:tcW w:w="1135" w:type="dxa"/>
            <w:tcBorders>
              <w:top w:val="single" w:sz="4" w:space="0" w:color="auto"/>
              <w:left w:val="nil"/>
              <w:bottom w:val="nil"/>
              <w:right w:val="nil"/>
            </w:tcBorders>
            <w:vAlign w:val="center"/>
            <w:hideMark/>
          </w:tcPr>
          <w:p w14:paraId="0DFE16F1"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67C2C7FB"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367EDD5F"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3BFF6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5" w:type="dxa"/>
            <w:tcBorders>
              <w:top w:val="single" w:sz="4" w:space="0" w:color="auto"/>
              <w:left w:val="nil"/>
              <w:bottom w:val="nil"/>
              <w:right w:val="nil"/>
            </w:tcBorders>
            <w:vAlign w:val="center"/>
            <w:hideMark/>
          </w:tcPr>
          <w:p w14:paraId="4F784BAD"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6" w:type="dxa"/>
            <w:tcBorders>
              <w:top w:val="single" w:sz="4" w:space="0" w:color="auto"/>
              <w:left w:val="nil"/>
              <w:bottom w:val="nil"/>
              <w:right w:val="nil"/>
            </w:tcBorders>
          </w:tcPr>
          <w:p w14:paraId="54FC0FBA"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0.087</w:t>
            </w:r>
          </w:p>
        </w:tc>
        <w:tc>
          <w:tcPr>
            <w:tcW w:w="1276" w:type="dxa"/>
            <w:tcBorders>
              <w:top w:val="single" w:sz="4" w:space="0" w:color="auto"/>
              <w:left w:val="nil"/>
              <w:bottom w:val="nil"/>
              <w:right w:val="nil"/>
            </w:tcBorders>
          </w:tcPr>
          <w:p w14:paraId="64F4314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6C52C64D" w14:textId="77777777" w:rsidTr="003B2ECF">
        <w:trPr>
          <w:trHeight w:val="290"/>
        </w:trPr>
        <w:tc>
          <w:tcPr>
            <w:tcW w:w="992" w:type="dxa"/>
            <w:vMerge/>
            <w:tcBorders>
              <w:left w:val="nil"/>
              <w:right w:val="nil"/>
            </w:tcBorders>
            <w:vAlign w:val="center"/>
            <w:hideMark/>
          </w:tcPr>
          <w:p w14:paraId="0D8CD33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E8F7ED4"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12017E69"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w:t>
            </w:r>
            <w:r w:rsidR="003B2ECF">
              <w:rPr>
                <w:rFonts w:ascii="Arial" w:hAnsi="Arial" w:cs="Arial"/>
                <w:sz w:val="18"/>
                <w:szCs w:val="18"/>
                <w:lang w:val="en-GB"/>
              </w:rPr>
              <w:t>45</w:t>
            </w:r>
          </w:p>
        </w:tc>
        <w:tc>
          <w:tcPr>
            <w:tcW w:w="1608" w:type="dxa"/>
            <w:tcBorders>
              <w:top w:val="nil"/>
              <w:left w:val="nil"/>
              <w:bottom w:val="nil"/>
              <w:right w:val="nil"/>
            </w:tcBorders>
            <w:vAlign w:val="center"/>
            <w:hideMark/>
          </w:tcPr>
          <w:p w14:paraId="5E5B2B2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6A92788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1027210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24</w:t>
            </w:r>
          </w:p>
        </w:tc>
        <w:tc>
          <w:tcPr>
            <w:tcW w:w="1276" w:type="dxa"/>
            <w:tcBorders>
              <w:top w:val="nil"/>
              <w:left w:val="nil"/>
              <w:bottom w:val="nil"/>
              <w:right w:val="nil"/>
            </w:tcBorders>
          </w:tcPr>
          <w:p w14:paraId="482AA35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26C846D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378B2D2D" w14:textId="77777777" w:rsidTr="003B2ECF">
        <w:trPr>
          <w:trHeight w:val="290"/>
        </w:trPr>
        <w:tc>
          <w:tcPr>
            <w:tcW w:w="992" w:type="dxa"/>
            <w:vMerge/>
            <w:tcBorders>
              <w:left w:val="nil"/>
              <w:right w:val="nil"/>
            </w:tcBorders>
            <w:vAlign w:val="center"/>
            <w:hideMark/>
          </w:tcPr>
          <w:p w14:paraId="3E8E5F2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76E51349"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21D998"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0.</w:t>
            </w:r>
            <w:r w:rsidR="003B2ECF">
              <w:rPr>
                <w:rFonts w:ascii="Arial" w:hAnsi="Arial" w:cs="Arial"/>
                <w:sz w:val="18"/>
                <w:szCs w:val="18"/>
                <w:lang w:val="en-GB"/>
              </w:rPr>
              <w:t>713</w:t>
            </w:r>
          </w:p>
        </w:tc>
        <w:tc>
          <w:tcPr>
            <w:tcW w:w="1608" w:type="dxa"/>
            <w:tcBorders>
              <w:top w:val="nil"/>
              <w:left w:val="nil"/>
              <w:bottom w:val="nil"/>
              <w:right w:val="nil"/>
            </w:tcBorders>
            <w:vAlign w:val="center"/>
            <w:hideMark/>
          </w:tcPr>
          <w:p w14:paraId="26A58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0.234</w:t>
            </w:r>
          </w:p>
        </w:tc>
        <w:tc>
          <w:tcPr>
            <w:tcW w:w="1418" w:type="dxa"/>
            <w:tcBorders>
              <w:top w:val="nil"/>
              <w:left w:val="nil"/>
              <w:bottom w:val="nil"/>
              <w:right w:val="nil"/>
            </w:tcBorders>
            <w:vAlign w:val="center"/>
            <w:hideMark/>
          </w:tcPr>
          <w:p w14:paraId="3691D96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w:t>
            </w:r>
          </w:p>
        </w:tc>
        <w:tc>
          <w:tcPr>
            <w:tcW w:w="1275" w:type="dxa"/>
            <w:tcBorders>
              <w:top w:val="nil"/>
              <w:left w:val="nil"/>
              <w:bottom w:val="nil"/>
              <w:right w:val="nil"/>
            </w:tcBorders>
            <w:vAlign w:val="center"/>
            <w:hideMark/>
          </w:tcPr>
          <w:p w14:paraId="144DCF4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018</w:t>
            </w:r>
          </w:p>
        </w:tc>
        <w:tc>
          <w:tcPr>
            <w:tcW w:w="1276" w:type="dxa"/>
            <w:tcBorders>
              <w:top w:val="nil"/>
              <w:left w:val="nil"/>
              <w:bottom w:val="nil"/>
              <w:right w:val="nil"/>
            </w:tcBorders>
          </w:tcPr>
          <w:p w14:paraId="0815E3F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0.149</w:t>
            </w:r>
          </w:p>
        </w:tc>
        <w:tc>
          <w:tcPr>
            <w:tcW w:w="1276" w:type="dxa"/>
            <w:tcBorders>
              <w:top w:val="nil"/>
              <w:left w:val="nil"/>
              <w:bottom w:val="nil"/>
              <w:right w:val="nil"/>
            </w:tcBorders>
          </w:tcPr>
          <w:p w14:paraId="4AD70FE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0.167</w:t>
            </w:r>
          </w:p>
        </w:tc>
      </w:tr>
      <w:tr w:rsidR="00D860F7" w:rsidRPr="00D860F7" w14:paraId="45311718" w14:textId="77777777" w:rsidTr="003B2ECF">
        <w:trPr>
          <w:trHeight w:val="290"/>
        </w:trPr>
        <w:tc>
          <w:tcPr>
            <w:tcW w:w="992" w:type="dxa"/>
            <w:vMerge/>
            <w:tcBorders>
              <w:left w:val="nil"/>
              <w:bottom w:val="nil"/>
              <w:right w:val="nil"/>
            </w:tcBorders>
            <w:vAlign w:val="center"/>
          </w:tcPr>
          <w:p w14:paraId="7150D9A8"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tcPr>
          <w:p w14:paraId="45BAF8B8"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nil"/>
              <w:right w:val="nil"/>
            </w:tcBorders>
            <w:vAlign w:val="center"/>
          </w:tcPr>
          <w:p w14:paraId="30E479E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0.453</w:t>
            </w:r>
          </w:p>
        </w:tc>
        <w:tc>
          <w:tcPr>
            <w:tcW w:w="1608" w:type="dxa"/>
            <w:tcBorders>
              <w:top w:val="nil"/>
              <w:left w:val="nil"/>
              <w:bottom w:val="nil"/>
              <w:right w:val="nil"/>
            </w:tcBorders>
            <w:vAlign w:val="center"/>
          </w:tcPr>
          <w:p w14:paraId="482511DE"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0.175</w:t>
            </w:r>
          </w:p>
        </w:tc>
        <w:tc>
          <w:tcPr>
            <w:tcW w:w="1418" w:type="dxa"/>
            <w:tcBorders>
              <w:top w:val="nil"/>
              <w:left w:val="nil"/>
              <w:bottom w:val="nil"/>
              <w:right w:val="nil"/>
            </w:tcBorders>
            <w:vAlign w:val="center"/>
          </w:tcPr>
          <w:p w14:paraId="512B5D0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0.466</w:t>
            </w:r>
          </w:p>
        </w:tc>
        <w:tc>
          <w:tcPr>
            <w:tcW w:w="1275" w:type="dxa"/>
            <w:tcBorders>
              <w:top w:val="nil"/>
              <w:left w:val="nil"/>
              <w:bottom w:val="nil"/>
              <w:right w:val="nil"/>
            </w:tcBorders>
            <w:vAlign w:val="center"/>
          </w:tcPr>
          <w:p w14:paraId="079C6DD3"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024</w:t>
            </w:r>
          </w:p>
        </w:tc>
        <w:tc>
          <w:tcPr>
            <w:tcW w:w="1276" w:type="dxa"/>
            <w:tcBorders>
              <w:top w:val="nil"/>
              <w:left w:val="nil"/>
              <w:bottom w:val="nil"/>
              <w:right w:val="nil"/>
            </w:tcBorders>
          </w:tcPr>
          <w:p w14:paraId="172DE57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0.202</w:t>
            </w:r>
          </w:p>
        </w:tc>
        <w:tc>
          <w:tcPr>
            <w:tcW w:w="1276" w:type="dxa"/>
            <w:tcBorders>
              <w:top w:val="nil"/>
              <w:left w:val="nil"/>
              <w:bottom w:val="nil"/>
              <w:right w:val="nil"/>
            </w:tcBorders>
          </w:tcPr>
          <w:p w14:paraId="56C7AC7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r w:rsidR="00D860F7" w:rsidRPr="00D860F7" w14:paraId="625077E6" w14:textId="77777777" w:rsidTr="003B2ECF">
        <w:trPr>
          <w:trHeight w:val="290"/>
        </w:trPr>
        <w:tc>
          <w:tcPr>
            <w:tcW w:w="992" w:type="dxa"/>
            <w:vMerge w:val="restart"/>
            <w:tcBorders>
              <w:top w:val="single" w:sz="4" w:space="0" w:color="auto"/>
              <w:left w:val="nil"/>
              <w:right w:val="nil"/>
            </w:tcBorders>
            <w:vAlign w:val="center"/>
            <w:hideMark/>
          </w:tcPr>
          <w:p w14:paraId="074FCBD7" w14:textId="77777777" w:rsidR="00D860F7" w:rsidRPr="00D860F7" w:rsidRDefault="00D860F7" w:rsidP="000D58A3">
            <w:pPr>
              <w:pStyle w:val="Body"/>
              <w:spacing w:after="0"/>
              <w:rPr>
                <w:rFonts w:ascii="Arial" w:hAnsi="Arial" w:cs="Arial"/>
                <w:b/>
                <w:sz w:val="18"/>
                <w:szCs w:val="18"/>
                <w:lang w:val="en-GB"/>
              </w:rPr>
            </w:pPr>
            <w:r w:rsidRPr="00D860F7">
              <w:rPr>
                <w:rFonts w:ascii="Arial" w:hAnsi="Arial" w:cs="Arial"/>
                <w:b/>
                <w:sz w:val="18"/>
                <w:szCs w:val="18"/>
                <w:lang w:val="en-GB"/>
              </w:rPr>
              <w:t>Ground</w:t>
            </w:r>
            <w:r w:rsidR="003B2ECF">
              <w:rPr>
                <w:rFonts w:ascii="Arial" w:hAnsi="Arial" w:cs="Arial"/>
                <w:b/>
                <w:sz w:val="18"/>
                <w:szCs w:val="18"/>
                <w:lang w:val="en-GB"/>
              </w:rPr>
              <w:t>-</w:t>
            </w:r>
            <w:r w:rsidRPr="00D860F7">
              <w:rPr>
                <w:rFonts w:ascii="Arial" w:hAnsi="Arial" w:cs="Arial"/>
                <w:b/>
                <w:sz w:val="18"/>
                <w:szCs w:val="18"/>
                <w:lang w:val="en-GB"/>
              </w:rPr>
              <w:t>water</w:t>
            </w:r>
          </w:p>
        </w:tc>
        <w:tc>
          <w:tcPr>
            <w:tcW w:w="1135" w:type="dxa"/>
            <w:tcBorders>
              <w:top w:val="single" w:sz="4" w:space="0" w:color="auto"/>
              <w:left w:val="nil"/>
              <w:bottom w:val="nil"/>
              <w:right w:val="nil"/>
            </w:tcBorders>
            <w:vAlign w:val="center"/>
            <w:hideMark/>
          </w:tcPr>
          <w:p w14:paraId="1B4B9B99"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3E9D01A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2855C2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7D1C4FF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5" w:type="dxa"/>
            <w:tcBorders>
              <w:top w:val="single" w:sz="4" w:space="0" w:color="auto"/>
              <w:left w:val="nil"/>
              <w:bottom w:val="nil"/>
              <w:right w:val="nil"/>
            </w:tcBorders>
            <w:vAlign w:val="center"/>
            <w:hideMark/>
          </w:tcPr>
          <w:p w14:paraId="4234438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6A1007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040581C8"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195F84AD" w14:textId="77777777" w:rsidTr="003B2ECF">
        <w:trPr>
          <w:trHeight w:val="290"/>
        </w:trPr>
        <w:tc>
          <w:tcPr>
            <w:tcW w:w="992" w:type="dxa"/>
            <w:vMerge/>
            <w:tcBorders>
              <w:left w:val="nil"/>
              <w:right w:val="nil"/>
            </w:tcBorders>
            <w:vAlign w:val="center"/>
            <w:hideMark/>
          </w:tcPr>
          <w:p w14:paraId="44148CC5"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3692FB7"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55586AA0"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3.45</w:t>
            </w:r>
          </w:p>
        </w:tc>
        <w:tc>
          <w:tcPr>
            <w:tcW w:w="1608" w:type="dxa"/>
            <w:tcBorders>
              <w:top w:val="nil"/>
              <w:left w:val="nil"/>
              <w:bottom w:val="nil"/>
              <w:right w:val="nil"/>
            </w:tcBorders>
            <w:vAlign w:val="center"/>
            <w:hideMark/>
          </w:tcPr>
          <w:p w14:paraId="3BFF729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51DBC50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7721690A"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0.24</w:t>
            </w:r>
          </w:p>
        </w:tc>
        <w:tc>
          <w:tcPr>
            <w:tcW w:w="1276" w:type="dxa"/>
            <w:tcBorders>
              <w:top w:val="nil"/>
              <w:left w:val="nil"/>
              <w:bottom w:val="nil"/>
              <w:right w:val="nil"/>
            </w:tcBorders>
          </w:tcPr>
          <w:p w14:paraId="57C78EE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1DC13D75"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51E03AC9" w14:textId="77777777" w:rsidTr="003B2ECF">
        <w:trPr>
          <w:trHeight w:val="290"/>
        </w:trPr>
        <w:tc>
          <w:tcPr>
            <w:tcW w:w="992" w:type="dxa"/>
            <w:vMerge/>
            <w:tcBorders>
              <w:left w:val="nil"/>
              <w:right w:val="nil"/>
            </w:tcBorders>
            <w:vAlign w:val="center"/>
            <w:hideMark/>
          </w:tcPr>
          <w:p w14:paraId="0071AC28"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23E61CB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E7D24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0537</w:t>
            </w:r>
          </w:p>
        </w:tc>
        <w:tc>
          <w:tcPr>
            <w:tcW w:w="1608" w:type="dxa"/>
            <w:tcBorders>
              <w:top w:val="nil"/>
              <w:left w:val="nil"/>
              <w:bottom w:val="nil"/>
              <w:right w:val="nil"/>
            </w:tcBorders>
            <w:vAlign w:val="center"/>
            <w:hideMark/>
          </w:tcPr>
          <w:p w14:paraId="517AA53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0.159</w:t>
            </w:r>
          </w:p>
        </w:tc>
        <w:tc>
          <w:tcPr>
            <w:tcW w:w="1418" w:type="dxa"/>
            <w:tcBorders>
              <w:top w:val="nil"/>
              <w:left w:val="nil"/>
              <w:bottom w:val="nil"/>
              <w:right w:val="nil"/>
            </w:tcBorders>
            <w:vAlign w:val="center"/>
            <w:hideMark/>
          </w:tcPr>
          <w:p w14:paraId="69208EE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0.486</w:t>
            </w:r>
          </w:p>
        </w:tc>
        <w:tc>
          <w:tcPr>
            <w:tcW w:w="1275" w:type="dxa"/>
            <w:tcBorders>
              <w:top w:val="nil"/>
              <w:left w:val="nil"/>
              <w:bottom w:val="nil"/>
              <w:right w:val="nil"/>
            </w:tcBorders>
            <w:vAlign w:val="center"/>
            <w:hideMark/>
          </w:tcPr>
          <w:p w14:paraId="2117646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0.071</w:t>
            </w:r>
          </w:p>
        </w:tc>
        <w:tc>
          <w:tcPr>
            <w:tcW w:w="1276" w:type="dxa"/>
            <w:tcBorders>
              <w:top w:val="nil"/>
              <w:left w:val="nil"/>
              <w:bottom w:val="nil"/>
              <w:right w:val="nil"/>
            </w:tcBorders>
          </w:tcPr>
          <w:p w14:paraId="197287A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0.126</w:t>
            </w:r>
          </w:p>
        </w:tc>
        <w:tc>
          <w:tcPr>
            <w:tcW w:w="1276" w:type="dxa"/>
            <w:tcBorders>
              <w:top w:val="nil"/>
              <w:left w:val="nil"/>
              <w:bottom w:val="nil"/>
              <w:right w:val="nil"/>
            </w:tcBorders>
          </w:tcPr>
          <w:p w14:paraId="59CABDC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w:t>
            </w:r>
            <w:r w:rsidR="00A465DC">
              <w:rPr>
                <w:rFonts w:ascii="Arial" w:hAnsi="Arial" w:cs="Arial"/>
                <w:sz w:val="18"/>
                <w:szCs w:val="18"/>
                <w:lang w:val="en-GB"/>
              </w:rPr>
              <w:t>08</w:t>
            </w:r>
          </w:p>
        </w:tc>
      </w:tr>
      <w:tr w:rsidR="00D860F7" w:rsidRPr="00D860F7" w14:paraId="5FEFC014" w14:textId="77777777" w:rsidTr="00A465DC">
        <w:trPr>
          <w:trHeight w:val="290"/>
        </w:trPr>
        <w:tc>
          <w:tcPr>
            <w:tcW w:w="992" w:type="dxa"/>
            <w:vMerge/>
            <w:tcBorders>
              <w:left w:val="nil"/>
              <w:bottom w:val="single" w:sz="4" w:space="0" w:color="auto"/>
              <w:right w:val="nil"/>
            </w:tcBorders>
            <w:vAlign w:val="center"/>
          </w:tcPr>
          <w:p w14:paraId="223C1EA4"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single" w:sz="4" w:space="0" w:color="auto"/>
              <w:right w:val="nil"/>
            </w:tcBorders>
            <w:vAlign w:val="center"/>
          </w:tcPr>
          <w:p w14:paraId="7770497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single" w:sz="4" w:space="0" w:color="auto"/>
              <w:right w:val="nil"/>
            </w:tcBorders>
            <w:vAlign w:val="center"/>
          </w:tcPr>
          <w:p w14:paraId="29BEB2B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0.321</w:t>
            </w:r>
          </w:p>
        </w:tc>
        <w:tc>
          <w:tcPr>
            <w:tcW w:w="1608" w:type="dxa"/>
            <w:tcBorders>
              <w:top w:val="nil"/>
              <w:left w:val="nil"/>
              <w:bottom w:val="single" w:sz="4" w:space="0" w:color="auto"/>
              <w:right w:val="nil"/>
            </w:tcBorders>
            <w:vAlign w:val="center"/>
          </w:tcPr>
          <w:p w14:paraId="13DC078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0.112</w:t>
            </w:r>
          </w:p>
        </w:tc>
        <w:tc>
          <w:tcPr>
            <w:tcW w:w="1418" w:type="dxa"/>
            <w:tcBorders>
              <w:top w:val="nil"/>
              <w:left w:val="nil"/>
              <w:bottom w:val="single" w:sz="4" w:space="0" w:color="auto"/>
              <w:right w:val="nil"/>
            </w:tcBorders>
            <w:vAlign w:val="center"/>
          </w:tcPr>
          <w:p w14:paraId="7B18A99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0.195</w:t>
            </w:r>
          </w:p>
        </w:tc>
        <w:tc>
          <w:tcPr>
            <w:tcW w:w="1275" w:type="dxa"/>
            <w:tcBorders>
              <w:top w:val="nil"/>
              <w:left w:val="nil"/>
              <w:bottom w:val="single" w:sz="4" w:space="0" w:color="auto"/>
              <w:right w:val="nil"/>
            </w:tcBorders>
            <w:vAlign w:val="center"/>
          </w:tcPr>
          <w:p w14:paraId="7C2EFBD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0.043</w:t>
            </w:r>
          </w:p>
        </w:tc>
        <w:tc>
          <w:tcPr>
            <w:tcW w:w="1276" w:type="dxa"/>
            <w:tcBorders>
              <w:top w:val="nil"/>
              <w:left w:val="nil"/>
              <w:bottom w:val="single" w:sz="4" w:space="0" w:color="auto"/>
              <w:right w:val="nil"/>
            </w:tcBorders>
          </w:tcPr>
          <w:p w14:paraId="318150C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w:t>
            </w:r>
          </w:p>
        </w:tc>
        <w:tc>
          <w:tcPr>
            <w:tcW w:w="1276" w:type="dxa"/>
            <w:tcBorders>
              <w:top w:val="nil"/>
              <w:left w:val="nil"/>
              <w:bottom w:val="single" w:sz="4" w:space="0" w:color="auto"/>
              <w:right w:val="nil"/>
            </w:tcBorders>
          </w:tcPr>
          <w:p w14:paraId="49050077" w14:textId="77777777" w:rsidR="00D860F7" w:rsidRPr="00D860F7" w:rsidRDefault="00A465DC"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bl>
    <w:p w14:paraId="0BA899DC" w14:textId="77777777" w:rsidR="00DE62A3" w:rsidRDefault="00DE62A3" w:rsidP="00DE62A3">
      <w:pPr>
        <w:pStyle w:val="Body"/>
        <w:spacing w:after="0"/>
        <w:rPr>
          <w:rFonts w:ascii="Arial" w:hAnsi="Arial" w:cs="Arial"/>
          <w:b/>
          <w:bCs/>
          <w:iCs/>
          <w:lang w:val="en"/>
        </w:rPr>
      </w:pPr>
    </w:p>
    <w:p w14:paraId="5E233130" w14:textId="77777777" w:rsidR="00DE62A3" w:rsidRDefault="007614E9" w:rsidP="00DE62A3">
      <w:pPr>
        <w:pStyle w:val="Body"/>
        <w:spacing w:after="0"/>
        <w:rPr>
          <w:rFonts w:ascii="Arial" w:hAnsi="Arial" w:cs="Arial"/>
          <w:b/>
          <w:bCs/>
          <w:iCs/>
          <w:lang w:val="en"/>
        </w:rPr>
      </w:pPr>
      <w:r w:rsidRPr="007614E9">
        <w:rPr>
          <w:rFonts w:ascii="Arial" w:hAnsi="Arial" w:cs="Arial"/>
          <w:b/>
          <w:bCs/>
          <w:iCs/>
          <w:sz w:val="22"/>
          <w:lang w:val="en-GB"/>
        </w:rPr>
        <w:t xml:space="preserve">3.1.3 </w:t>
      </w:r>
      <w:r w:rsidR="00DE62A3" w:rsidRPr="007614E9">
        <w:rPr>
          <w:rFonts w:ascii="Arial" w:hAnsi="Arial" w:cs="Arial"/>
          <w:b/>
          <w:bCs/>
          <w:iCs/>
          <w:sz w:val="22"/>
          <w:lang w:val="en"/>
        </w:rPr>
        <w:t>Water quality index</w:t>
      </w:r>
    </w:p>
    <w:p w14:paraId="0722D4FC" w14:textId="77777777" w:rsidR="00E9424C" w:rsidRPr="00DE62A3" w:rsidRDefault="00E9424C" w:rsidP="00DE62A3">
      <w:pPr>
        <w:pStyle w:val="Body"/>
        <w:spacing w:after="0"/>
        <w:rPr>
          <w:rFonts w:ascii="Arial" w:hAnsi="Arial" w:cs="Arial"/>
          <w:b/>
          <w:bCs/>
          <w:iCs/>
          <w:lang w:val="en"/>
        </w:rPr>
      </w:pPr>
    </w:p>
    <w:p w14:paraId="5E517327" w14:textId="77777777" w:rsidR="00DE62A3" w:rsidRDefault="00DE62A3" w:rsidP="00DE62A3">
      <w:pPr>
        <w:pStyle w:val="Body"/>
        <w:spacing w:after="0"/>
        <w:rPr>
          <w:rFonts w:ascii="Arial" w:hAnsi="Arial" w:cs="Arial"/>
          <w:lang w:val="en"/>
        </w:rPr>
      </w:pPr>
      <w:r w:rsidRPr="00DE62A3">
        <w:rPr>
          <w:rFonts w:ascii="Arial" w:hAnsi="Arial" w:cs="Arial"/>
          <w:lang w:val="en"/>
        </w:rPr>
        <w:t>Surface waters exhibit varying levels of chemical and agricultural pollution. The Chemical Pollution Index (CPI) ranges from 1.31 at River 4 to 2.08 at River 3, with an average of 1.63, corresponding to 20.1% of samples being of good quality, 47.9% of poor quality, and 32% of very poor quality (figure 2). The Agricultural Pollution Index (API) varies from 2.65 µg/L at River 4 to 7.78 µg/L at River 3, with an average of 5.30 µg/L, indicating that 29.7% of samples are of poor quality and 70.3% are of very poor quality (Figure 3).</w:t>
      </w:r>
    </w:p>
    <w:p w14:paraId="75BB946E" w14:textId="77777777" w:rsidR="002D44DF" w:rsidRPr="00DE62A3" w:rsidRDefault="002D44DF" w:rsidP="00DE62A3">
      <w:pPr>
        <w:pStyle w:val="Body"/>
        <w:spacing w:after="0"/>
        <w:rPr>
          <w:rFonts w:ascii="Arial" w:hAnsi="Arial" w:cs="Arial"/>
          <w:lang w:val="en"/>
        </w:rPr>
      </w:pPr>
    </w:p>
    <w:p w14:paraId="383A2411" w14:textId="77777777" w:rsidR="00DE62A3" w:rsidRPr="00DE62A3" w:rsidRDefault="00954BC1" w:rsidP="00DE62A3">
      <w:pPr>
        <w:pStyle w:val="Body"/>
        <w:spacing w:after="0"/>
        <w:rPr>
          <w:rFonts w:ascii="Arial" w:hAnsi="Arial" w:cs="Arial"/>
          <w:lang w:val="en"/>
        </w:rPr>
      </w:pPr>
      <w:r>
        <w:rPr>
          <w:rFonts w:ascii="Arial" w:hAnsi="Arial" w:cs="Arial"/>
        </w:rPr>
        <w:pict w14:anchorId="5F10DB08">
          <v:shapetype id="_x0000_t202" coordsize="21600,21600" o:spt="202" path="m,l,21600r21600,l21600,xe">
            <v:stroke joinstyle="miter"/>
            <v:path gradientshapeok="t" o:connecttype="rect"/>
          </v:shapetype>
          <v:shape id="Text Box 4" o:spid="_x0000_s1033" type="#_x0000_t202" style="position:absolute;left:0;text-align:left;margin-left:248.5pt;margin-top:186.75pt;width:207.5pt;height:32pt;z-index:25166028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" fillcolor="white [3201]" stroked="f" strokeweight=".5pt">
            <v:textbox style="mso-next-textbox:#Text Box 4">
              <w:txbxContent>
                <w:p w14:paraId="52827B66" w14:textId="77777777" w:rsidR="002D44DF" w:rsidRPr="000D58A3" w:rsidRDefault="002D44DF" w:rsidP="002D44DF">
                  <w:pPr>
                    <w:pStyle w:val="Caption"/>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3</w:t>
                  </w:r>
                  <w:r w:rsidRPr="000D58A3">
                    <w:rPr>
                      <w:i w:val="0"/>
                      <w:color w:val="auto"/>
                      <w:sz w:val="20"/>
                      <w:szCs w:val="20"/>
                    </w:rPr>
                    <w:fldChar w:fldCharType="end"/>
                  </w:r>
                  <w:r w:rsidRPr="000D58A3">
                    <w:rPr>
                      <w:i w:val="0"/>
                      <w:color w:val="auto"/>
                      <w:sz w:val="20"/>
                      <w:szCs w:val="20"/>
                    </w:rPr>
                    <w:t xml:space="preserve"> : Spatial distribution of Pesticide Alteration Indices (PAI) in surface waters.</w:t>
                  </w:r>
                </w:p>
              </w:txbxContent>
            </v:textbox>
          </v:shape>
        </w:pict>
      </w:r>
      <w:r w:rsidR="00DE62A3" w:rsidRPr="00DE62A3">
        <w:rPr>
          <w:rFonts w:ascii="Arial" w:hAnsi="Arial" w:cs="Arial"/>
          <w:noProof/>
        </w:rPr>
        <w:drawing>
          <wp:inline distT="0" distB="0" distL="0" distR="0" wp14:anchorId="24AFB094" wp14:editId="0315DC1C">
            <wp:extent cx="59436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71725"/>
                    </a:xfrm>
                    <a:prstGeom prst="rect">
                      <a:avLst/>
                    </a:prstGeom>
                  </pic:spPr>
                </pic:pic>
              </a:graphicData>
            </a:graphic>
          </wp:inline>
        </w:drawing>
      </w:r>
    </w:p>
    <w:p w14:paraId="29866D6E" w14:textId="77777777" w:rsidR="00DE62A3" w:rsidRDefault="00954BC1" w:rsidP="00DE62A3">
      <w:pPr>
        <w:pStyle w:val="Body"/>
        <w:spacing w:after="0"/>
        <w:rPr>
          <w:rFonts w:ascii="Arial" w:hAnsi="Arial" w:cs="Arial"/>
          <w:lang w:val="en"/>
        </w:rPr>
      </w:pPr>
      <w:r>
        <w:rPr>
          <w:rFonts w:ascii="Arial" w:hAnsi="Arial" w:cs="Arial"/>
        </w:rPr>
        <w:pict w14:anchorId="78A9D671">
          <v:shape id="Text Box 6" o:spid="_x0000_s1034" type="#_x0000_t202" style="position:absolute;left:0;text-align:left;margin-left:8.5pt;margin-top:3pt;width:226pt;height:30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" fillcolor="white [3201]" stroked="f" strokeweight=".5pt">
            <v:textbox style="mso-next-textbox:#Text Box 6">
              <w:txbxContent>
                <w:p w14:paraId="05BA7897" w14:textId="77777777" w:rsidR="002D44DF" w:rsidRPr="000D58A3" w:rsidRDefault="002D44DF" w:rsidP="00DE62A3">
                  <w:pPr>
                    <w:pStyle w:val="Caption"/>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2</w:t>
                  </w:r>
                  <w:r w:rsidRPr="000D58A3">
                    <w:rPr>
                      <w:i w:val="0"/>
                      <w:color w:val="auto"/>
                      <w:sz w:val="20"/>
                      <w:szCs w:val="20"/>
                    </w:rPr>
                    <w:fldChar w:fldCharType="end"/>
                  </w:r>
                  <w:r w:rsidRPr="000D58A3">
                    <w:rPr>
                      <w:i w:val="0"/>
                      <w:color w:val="auto"/>
                      <w:sz w:val="20"/>
                      <w:szCs w:val="20"/>
                    </w:rPr>
                    <w:t xml:space="preserve"> : Spatial distribution of Pesticide contamination indices (PCIs) in surface waters.</w:t>
                  </w:r>
                </w:p>
                <w:p w14:paraId="5DB0DF24" w14:textId="77777777" w:rsidR="002D44DF" w:rsidRPr="000D58A3" w:rsidRDefault="002D44DF" w:rsidP="00DE62A3"/>
              </w:txbxContent>
            </v:textbox>
          </v:shape>
        </w:pict>
      </w:r>
    </w:p>
    <w:p w14:paraId="2520D2DB" w14:textId="77777777" w:rsidR="00DE62A3" w:rsidRDefault="00DE62A3" w:rsidP="00DE62A3">
      <w:pPr>
        <w:pStyle w:val="Body"/>
        <w:spacing w:after="0"/>
        <w:rPr>
          <w:rFonts w:ascii="Arial" w:hAnsi="Arial" w:cs="Arial"/>
          <w:lang w:val="en"/>
        </w:rPr>
      </w:pPr>
    </w:p>
    <w:p w14:paraId="7745D061" w14:textId="77777777" w:rsidR="00DE62A3" w:rsidRDefault="00DE62A3" w:rsidP="00DE62A3">
      <w:pPr>
        <w:pStyle w:val="Body"/>
        <w:spacing w:after="0"/>
        <w:rPr>
          <w:rFonts w:ascii="Arial" w:hAnsi="Arial" w:cs="Arial"/>
          <w:lang w:val="en"/>
        </w:rPr>
      </w:pPr>
    </w:p>
    <w:p w14:paraId="4C581B9D" w14:textId="77777777" w:rsidR="00DE62A3" w:rsidRPr="00DE62A3" w:rsidRDefault="00DE62A3" w:rsidP="00DE62A3">
      <w:pPr>
        <w:pStyle w:val="Body"/>
        <w:spacing w:after="0"/>
        <w:rPr>
          <w:rFonts w:ascii="Arial" w:hAnsi="Arial" w:cs="Arial"/>
          <w:lang w:val="en"/>
        </w:rPr>
      </w:pPr>
    </w:p>
    <w:p w14:paraId="6B2831F8" w14:textId="77777777" w:rsidR="00DE62A3" w:rsidRPr="00DE62A3" w:rsidRDefault="00DE62A3" w:rsidP="00DE62A3">
      <w:pPr>
        <w:pStyle w:val="Body"/>
        <w:spacing w:after="0"/>
        <w:rPr>
          <w:rFonts w:ascii="Arial" w:hAnsi="Arial" w:cs="Arial"/>
          <w:lang w:val="en"/>
        </w:rPr>
      </w:pPr>
      <w:r w:rsidRPr="00DE62A3">
        <w:rPr>
          <w:rFonts w:ascii="Arial" w:hAnsi="Arial" w:cs="Arial"/>
          <w:lang w:val="en"/>
        </w:rPr>
        <w:t>In the groundwater, the Chemical Pollution Index (</w:t>
      </w:r>
      <w:proofErr w:type="spellStart"/>
      <w:r w:rsidRPr="00DE62A3">
        <w:rPr>
          <w:rFonts w:ascii="Arial" w:hAnsi="Arial" w:cs="Arial"/>
          <w:lang w:val="en"/>
        </w:rPr>
        <w:t>pCI</w:t>
      </w:r>
      <w:proofErr w:type="spellEnd"/>
      <w:r w:rsidRPr="00DE62A3">
        <w:rPr>
          <w:rFonts w:ascii="Arial" w:hAnsi="Arial" w:cs="Arial"/>
          <w:lang w:val="en"/>
        </w:rPr>
        <w:t>) ranges from 1.00 at well 5 to 1.50 at well 3, with an average of 1.28, indicating that 60.86% of the samples are of good quality and 39.14% of poor quality (Figure 4). The Agricultural Pollution Index (API) ranges from 0.307 µg/L at well 5 to 3.085 µg/L at well 3, with an average of 1.945 µg/L, exceeding the limits established by the WHO and European Directive 98/83/EC (Figure 5). This situation reveals that 97.4% of the samples are of poor quality, compared to only 2.6% of good quality, highlighting significant agricultural pressure on groundwater resources.</w:t>
      </w:r>
    </w:p>
    <w:p w14:paraId="0011F26E" w14:textId="77777777" w:rsidR="00DE62A3" w:rsidRPr="00DE62A3" w:rsidRDefault="00DE62A3" w:rsidP="00DE62A3">
      <w:pPr>
        <w:pStyle w:val="Body"/>
        <w:spacing w:after="0"/>
        <w:rPr>
          <w:rFonts w:ascii="Arial" w:hAnsi="Arial" w:cs="Arial"/>
          <w:lang w:val="en"/>
        </w:rPr>
      </w:pPr>
      <w:r w:rsidRPr="00DE62A3">
        <w:rPr>
          <w:rFonts w:ascii="Arial" w:hAnsi="Arial" w:cs="Arial"/>
          <w:noProof/>
        </w:rPr>
        <w:lastRenderedPageBreak/>
        <w:drawing>
          <wp:inline distT="0" distB="0" distL="0" distR="0" wp14:anchorId="269496B4" wp14:editId="2D66464B">
            <wp:extent cx="5943600" cy="2357755"/>
            <wp:effectExtent l="0" t="0" r="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57755"/>
                    </a:xfrm>
                    <a:prstGeom prst="rect">
                      <a:avLst/>
                    </a:prstGeom>
                  </pic:spPr>
                </pic:pic>
              </a:graphicData>
            </a:graphic>
          </wp:inline>
        </w:drawing>
      </w:r>
    </w:p>
    <w:p w14:paraId="4B8E18D6" w14:textId="77777777" w:rsidR="00DE62A3" w:rsidRDefault="00954BC1" w:rsidP="00DE62A3">
      <w:pPr>
        <w:pStyle w:val="Body"/>
        <w:spacing w:after="0"/>
        <w:rPr>
          <w:rFonts w:ascii="Arial" w:hAnsi="Arial" w:cs="Arial"/>
          <w:b/>
          <w:bCs/>
          <w:lang w:val="en"/>
        </w:rPr>
      </w:pPr>
      <w:r>
        <w:rPr>
          <w:rFonts w:ascii="Arial" w:hAnsi="Arial" w:cs="Arial"/>
        </w:rPr>
        <w:pict w14:anchorId="47A368FD">
          <v:shape id="Text Box 15" o:spid="_x0000_s1031" type="#_x0000_t202" style="position:absolute;left:0;text-align:left;margin-left:246.5pt;margin-top:.45pt;width:207.5pt;height:30.5pt;z-index:251663360;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" fillcolor="white [3201]" stroked="f" strokeweight=".5pt">
            <v:textbox style="mso-next-textbox:#Text Box 15">
              <w:txbxContent>
                <w:p w14:paraId="303B0FDB" w14:textId="77777777" w:rsidR="002D44DF" w:rsidRPr="002752FA" w:rsidRDefault="002D44DF" w:rsidP="00DE62A3">
                  <w:pPr>
                    <w:pStyle w:val="Caption"/>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5</w:t>
                  </w:r>
                  <w:r w:rsidRPr="002752FA">
                    <w:rPr>
                      <w:i w:val="0"/>
                      <w:color w:val="auto"/>
                      <w:sz w:val="20"/>
                      <w:szCs w:val="20"/>
                    </w:rPr>
                    <w:fldChar w:fldCharType="end"/>
                  </w:r>
                  <w:r w:rsidRPr="002752FA">
                    <w:rPr>
                      <w:i w:val="0"/>
                      <w:color w:val="auto"/>
                      <w:sz w:val="20"/>
                      <w:szCs w:val="20"/>
                    </w:rPr>
                    <w:t xml:space="preserve"> : Spatial distribution of Pesticide Alteration Indices (PAI) in groundwater.</w:t>
                  </w:r>
                </w:p>
                <w:p w14:paraId="64DC1D92" w14:textId="77777777" w:rsidR="002D44DF" w:rsidRPr="002752FA" w:rsidRDefault="002D44DF" w:rsidP="00DE62A3"/>
              </w:txbxContent>
            </v:textbox>
          </v:shape>
        </w:pict>
      </w:r>
      <w:r>
        <w:rPr>
          <w:rFonts w:ascii="Arial" w:hAnsi="Arial" w:cs="Arial"/>
        </w:rPr>
        <w:pict w14:anchorId="62FF7F29">
          <v:shape id="Text Box 14" o:spid="_x0000_s1032" type="#_x0000_t202" style="position:absolute;left:0;text-align:left;margin-left:8.5pt;margin-top:.45pt;width:220pt;height:30.5pt;z-index:2516623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" fillcolor="white [3201]" stroked="f" strokeweight=".5pt">
            <v:textbox style="mso-next-textbox:#Text Box 14">
              <w:txbxContent>
                <w:p w14:paraId="782D2C29" w14:textId="77777777" w:rsidR="002D44DF" w:rsidRPr="002752FA" w:rsidRDefault="002D44DF" w:rsidP="001D2DC5">
                  <w:pPr>
                    <w:pStyle w:val="Caption"/>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4</w:t>
                  </w:r>
                  <w:r w:rsidRPr="002752FA">
                    <w:rPr>
                      <w:i w:val="0"/>
                      <w:color w:val="auto"/>
                      <w:sz w:val="20"/>
                      <w:szCs w:val="20"/>
                    </w:rPr>
                    <w:fldChar w:fldCharType="end"/>
                  </w:r>
                  <w:r w:rsidRPr="002752FA">
                    <w:rPr>
                      <w:i w:val="0"/>
                      <w:color w:val="auto"/>
                      <w:sz w:val="20"/>
                      <w:szCs w:val="20"/>
                    </w:rPr>
                    <w:t xml:space="preserve"> : Spatial distribution of pesticide contamination indices (PCIs) in groundwater</w:t>
                  </w:r>
                </w:p>
              </w:txbxContent>
            </v:textbox>
          </v:shape>
        </w:pict>
      </w:r>
    </w:p>
    <w:p w14:paraId="255BB066" w14:textId="77777777" w:rsidR="00DE62A3" w:rsidRDefault="00DE62A3" w:rsidP="00DE62A3">
      <w:pPr>
        <w:pStyle w:val="Body"/>
        <w:spacing w:after="0"/>
        <w:rPr>
          <w:rFonts w:ascii="Arial" w:hAnsi="Arial" w:cs="Arial"/>
          <w:b/>
          <w:bCs/>
          <w:lang w:val="en"/>
        </w:rPr>
      </w:pPr>
    </w:p>
    <w:p w14:paraId="498AF453" w14:textId="77777777" w:rsidR="00DE62A3" w:rsidRPr="00DE62A3" w:rsidRDefault="00DE62A3" w:rsidP="00DE62A3">
      <w:pPr>
        <w:pStyle w:val="Body"/>
        <w:spacing w:after="0"/>
        <w:rPr>
          <w:rFonts w:ascii="Arial" w:hAnsi="Arial" w:cs="Arial"/>
          <w:b/>
          <w:bCs/>
          <w:lang w:val="en"/>
        </w:rPr>
      </w:pPr>
    </w:p>
    <w:p w14:paraId="72CBE1A0" w14:textId="77777777" w:rsidR="00DE62A3" w:rsidRPr="007614E9" w:rsidRDefault="007614E9" w:rsidP="007614E9">
      <w:pPr>
        <w:pStyle w:val="Body"/>
        <w:spacing w:after="0"/>
        <w:rPr>
          <w:rFonts w:ascii="Arial" w:hAnsi="Arial" w:cs="Arial"/>
          <w:b/>
          <w:bCs/>
          <w:iCs/>
          <w:sz w:val="22"/>
          <w:lang w:val="en"/>
        </w:rPr>
      </w:pPr>
      <w:r w:rsidRPr="007614E9">
        <w:rPr>
          <w:rFonts w:ascii="Arial" w:hAnsi="Arial" w:cs="Arial"/>
          <w:b/>
          <w:bCs/>
          <w:iCs/>
          <w:sz w:val="22"/>
          <w:lang w:val="en-GB"/>
        </w:rPr>
        <w:t>3.1.</w:t>
      </w:r>
      <w:r>
        <w:rPr>
          <w:rFonts w:ascii="Arial" w:hAnsi="Arial" w:cs="Arial"/>
          <w:b/>
          <w:bCs/>
          <w:iCs/>
          <w:sz w:val="22"/>
          <w:lang w:val="en-GB"/>
        </w:rPr>
        <w:t>4</w:t>
      </w:r>
      <w:r w:rsidRPr="007614E9">
        <w:rPr>
          <w:rFonts w:ascii="Arial" w:hAnsi="Arial" w:cs="Arial"/>
          <w:b/>
          <w:bCs/>
          <w:sz w:val="22"/>
          <w:lang w:val="en"/>
        </w:rPr>
        <w:t xml:space="preserve"> </w:t>
      </w:r>
      <w:r w:rsidR="00DE62A3" w:rsidRPr="007614E9">
        <w:rPr>
          <w:rFonts w:ascii="Arial" w:hAnsi="Arial" w:cs="Arial"/>
          <w:b/>
          <w:bCs/>
          <w:sz w:val="22"/>
          <w:lang w:val="en"/>
        </w:rPr>
        <w:t>Multivariate analysis of site-contaminant relationships</w:t>
      </w:r>
    </w:p>
    <w:p w14:paraId="129BB04A" w14:textId="77777777" w:rsidR="002D44DF" w:rsidRPr="00DE62A3" w:rsidRDefault="002D44DF" w:rsidP="00DE62A3">
      <w:pPr>
        <w:pStyle w:val="Body"/>
        <w:spacing w:after="0"/>
        <w:rPr>
          <w:rFonts w:ascii="Arial" w:hAnsi="Arial" w:cs="Arial"/>
          <w:b/>
          <w:bCs/>
          <w:lang w:val="en"/>
        </w:rPr>
      </w:pPr>
    </w:p>
    <w:p w14:paraId="79C6AF6A" w14:textId="77777777" w:rsidR="00DE62A3" w:rsidRDefault="00DE62A3" w:rsidP="00DE62A3">
      <w:pPr>
        <w:pStyle w:val="Body"/>
        <w:spacing w:after="0"/>
        <w:rPr>
          <w:rFonts w:ascii="Arial" w:hAnsi="Arial" w:cs="Arial"/>
          <w:lang w:val="en-GB"/>
        </w:rPr>
      </w:pPr>
      <w:r w:rsidRPr="00DE62A3">
        <w:rPr>
          <w:rFonts w:ascii="Arial" w:hAnsi="Arial" w:cs="Arial"/>
          <w:lang w:val="en-GB"/>
        </w:rPr>
        <w:t>Principal component analysis (PCA) identified three main groups of measurement points based on their contamination profiles, revealing both spatial trends and specific chemical signatures (Figure 6).</w:t>
      </w:r>
    </w:p>
    <w:p w14:paraId="56447FF9" w14:textId="77777777" w:rsidR="002D44DF" w:rsidRPr="00DE62A3" w:rsidRDefault="002D44DF" w:rsidP="00DE62A3">
      <w:pPr>
        <w:pStyle w:val="Body"/>
        <w:spacing w:after="0"/>
        <w:rPr>
          <w:rFonts w:ascii="Arial" w:hAnsi="Arial" w:cs="Arial"/>
          <w:lang w:val="en-GB"/>
        </w:rPr>
      </w:pPr>
    </w:p>
    <w:p w14:paraId="1CEE6713" w14:textId="77777777" w:rsidR="00DE62A3" w:rsidRPr="00DE62A3" w:rsidRDefault="00954BC1" w:rsidP="00DE62A3">
      <w:pPr>
        <w:pStyle w:val="Body"/>
        <w:spacing w:after="0"/>
        <w:rPr>
          <w:rFonts w:ascii="Arial" w:hAnsi="Arial" w:cs="Arial"/>
          <w:lang w:val="en"/>
        </w:rPr>
      </w:pPr>
      <w:r>
        <w:rPr>
          <w:rFonts w:ascii="Arial" w:hAnsi="Arial" w:cs="Arial"/>
        </w:rPr>
        <w:pict w14:anchorId="7EBE2C25">
          <v:group id="Group 9" o:spid="_x0000_s1027" style="position:absolute;left:0;text-align:left;margin-left:91.25pt;margin-top:31.5pt;width:181.7pt;height:165.45pt;z-index:251659264" coordsize="23077,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">
            <v:oval id="Oval 10" o:spid="_x0000_s1028" style="position:absolute;left:13104;top:7285;width:9973;height:1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" filled="f" strokecolor="#243f60 [1604]" strokeweight="2pt"/>
            <v:oval id="Oval 11" o:spid="_x0000_s1029" style="position:absolute;width:10170;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oval id="Oval 12" o:spid="_x0000_s1030" style="position:absolute;left:391;top:12860;width:6112;height:9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" filled="f" strokecolor="#243f60 [1604]" strokeweight="2pt"/>
          </v:group>
        </w:pict>
      </w:r>
      <w:r w:rsidR="00DE62A3" w:rsidRPr="00DE62A3">
        <w:rPr>
          <w:rFonts w:ascii="Arial" w:hAnsi="Arial" w:cs="Arial"/>
          <w:lang w:val="en-GB"/>
        </w:rPr>
        <w:t xml:space="preserve"> </w:t>
      </w:r>
      <w:r w:rsidR="00DE62A3" w:rsidRPr="00DE62A3">
        <w:rPr>
          <w:rFonts w:ascii="Arial" w:hAnsi="Arial" w:cs="Arial"/>
          <w:noProof/>
        </w:rPr>
        <w:drawing>
          <wp:inline distT="0" distB="0" distL="0" distR="0" wp14:anchorId="60B088FE" wp14:editId="6F84545C">
            <wp:extent cx="3657600" cy="33147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F501CC" w14:textId="77777777" w:rsidR="00DE62A3" w:rsidRPr="00DE62A3" w:rsidRDefault="00DE62A3" w:rsidP="00DE62A3">
      <w:pPr>
        <w:pStyle w:val="Body"/>
        <w:spacing w:after="0"/>
        <w:rPr>
          <w:rFonts w:ascii="Arial" w:hAnsi="Arial" w:cs="Arial"/>
          <w:iCs/>
          <w:lang w:val="en"/>
        </w:rPr>
      </w:pPr>
      <w:r w:rsidRPr="00DE62A3">
        <w:rPr>
          <w:rFonts w:ascii="Arial" w:hAnsi="Arial" w:cs="Arial"/>
          <w:iCs/>
          <w:lang w:val="en"/>
        </w:rPr>
        <w:t xml:space="preserve">Figure </w:t>
      </w:r>
      <w:r w:rsidRPr="00DE62A3">
        <w:rPr>
          <w:rFonts w:ascii="Arial" w:hAnsi="Arial" w:cs="Arial"/>
          <w:iCs/>
          <w:lang w:val="en"/>
        </w:rPr>
        <w:fldChar w:fldCharType="begin"/>
      </w:r>
      <w:r w:rsidRPr="00DE62A3">
        <w:rPr>
          <w:rFonts w:ascii="Arial" w:hAnsi="Arial" w:cs="Arial"/>
          <w:iCs/>
          <w:lang w:val="en"/>
        </w:rPr>
        <w:instrText xml:space="preserve"> SEQ Figure \* ARABIC </w:instrText>
      </w:r>
      <w:r w:rsidRPr="00DE62A3">
        <w:rPr>
          <w:rFonts w:ascii="Arial" w:hAnsi="Arial" w:cs="Arial"/>
          <w:iCs/>
          <w:lang w:val="en"/>
        </w:rPr>
        <w:fldChar w:fldCharType="separate"/>
      </w:r>
      <w:r w:rsidRPr="00DE62A3">
        <w:rPr>
          <w:rFonts w:ascii="Arial" w:hAnsi="Arial" w:cs="Arial"/>
          <w:iCs/>
          <w:lang w:val="en"/>
        </w:rPr>
        <w:t>6</w:t>
      </w:r>
      <w:r w:rsidRPr="00DE62A3">
        <w:rPr>
          <w:rFonts w:ascii="Arial" w:hAnsi="Arial" w:cs="Arial"/>
        </w:rPr>
        <w:fldChar w:fldCharType="end"/>
      </w:r>
      <w:r w:rsidRPr="00DE62A3">
        <w:rPr>
          <w:rFonts w:ascii="Arial" w:hAnsi="Arial" w:cs="Arial"/>
          <w:iCs/>
          <w:lang w:val="en"/>
        </w:rPr>
        <w:t>: Relationship between sampling sites and pesticide concentrations</w:t>
      </w:r>
    </w:p>
    <w:p w14:paraId="5252A3EF" w14:textId="77777777" w:rsidR="00DE62A3" w:rsidRPr="00DE62A3" w:rsidRDefault="00DE62A3" w:rsidP="00DE62A3">
      <w:pPr>
        <w:pStyle w:val="Body"/>
        <w:spacing w:after="0"/>
        <w:rPr>
          <w:rFonts w:ascii="Arial" w:hAnsi="Arial" w:cs="Arial"/>
          <w:lang w:val="en"/>
        </w:rPr>
      </w:pPr>
    </w:p>
    <w:p w14:paraId="4767E3D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 xml:space="preserve">Group 1 (Wells 1, 2, 4, 6, and River 4) has homogeneous profiles dominated by Dimethoate and </w:t>
      </w:r>
      <w:proofErr w:type="spellStart"/>
      <w:r w:rsidRPr="00DE62A3">
        <w:rPr>
          <w:rFonts w:ascii="Arial" w:hAnsi="Arial" w:cs="Arial"/>
          <w:lang w:val="en-GB"/>
        </w:rPr>
        <w:t>Profenofos</w:t>
      </w:r>
      <w:proofErr w:type="spellEnd"/>
      <w:r w:rsidRPr="00DE62A3">
        <w:rPr>
          <w:rFonts w:ascii="Arial" w:hAnsi="Arial" w:cs="Arial"/>
          <w:lang w:val="en-GB"/>
        </w:rPr>
        <w:t xml:space="preserve">, two organophosphate insecticides widely used in intensive agriculture. This homogeneity suggests a point source or diffuse source linked to local agricultural practices, </w:t>
      </w:r>
      <w:r w:rsidRPr="00DE62A3">
        <w:rPr>
          <w:rFonts w:ascii="Arial" w:hAnsi="Arial" w:cs="Arial"/>
          <w:lang w:val="en-GB"/>
        </w:rPr>
        <w:lastRenderedPageBreak/>
        <w:t xml:space="preserve">as well as hydrogeological conditions </w:t>
      </w:r>
      <w:proofErr w:type="spellStart"/>
      <w:r w:rsidRPr="00DE62A3">
        <w:rPr>
          <w:rFonts w:ascii="Arial" w:hAnsi="Arial" w:cs="Arial"/>
          <w:lang w:val="en-GB"/>
        </w:rPr>
        <w:t>favorable</w:t>
      </w:r>
      <w:proofErr w:type="spellEnd"/>
      <w:r w:rsidRPr="00DE62A3">
        <w:rPr>
          <w:rFonts w:ascii="Arial" w:hAnsi="Arial" w:cs="Arial"/>
          <w:lang w:val="en-GB"/>
        </w:rPr>
        <w:t xml:space="preserve"> to pesticide migration, such as shallow aquifers or highly permeable soils that facilitate infiltration and transport to wells and rivers.</w:t>
      </w:r>
    </w:p>
    <w:p w14:paraId="779C7024"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Group 2 (Well 5 and River 2) stands out with a unique profile, marked by Chlorpyrifos-ethyl and Parathion-ethyl, indicating a localized source or specific hydrological connection. The strong contribution of these molecules to the second component (F2) suggests targeted or recent use, and their concomitant presence in the well and river could reflect rapid transfer from the surface to the hydrological network.</w:t>
      </w:r>
    </w:p>
    <w:p w14:paraId="47870865"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 xml:space="preserve">Group 3 (Rivers 1 and 3) shows intermediate profiles, dominated by Parathion-methyl and Vinclozolin, pesticides often associated with less intensive agricultural practices or specific crops. The variability observed probably reflects distinct watersheds, different hydrological regimes, and processes of dilution, adsorption, or biological degradation.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and Metolachlor, contribute to several axes, indicating multiple sources, complex transfers, or varied environmental </w:t>
      </w:r>
      <w:proofErr w:type="spellStart"/>
      <w:r w:rsidRPr="00DE62A3">
        <w:rPr>
          <w:rFonts w:ascii="Arial" w:hAnsi="Arial" w:cs="Arial"/>
          <w:lang w:val="en-GB"/>
        </w:rPr>
        <w:t>behaviors</w:t>
      </w:r>
      <w:proofErr w:type="spellEnd"/>
      <w:r w:rsidRPr="00DE62A3">
        <w:rPr>
          <w:rFonts w:ascii="Arial" w:hAnsi="Arial" w:cs="Arial"/>
          <w:lang w:val="en-GB"/>
        </w:rPr>
        <w:t>, including persistence in soil and mobility in water.</w:t>
      </w:r>
    </w:p>
    <w:p w14:paraId="2259D32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The discrimination of pesticide sources by PCA, summarized in Figure 7, reveals three distinct poles: intensive agriculture, hydrological interactions, and watersheds with their own characteristics.</w:t>
      </w:r>
    </w:p>
    <w:p w14:paraId="6B062514" w14:textId="77777777" w:rsidR="00DE62A3" w:rsidRPr="00DE62A3" w:rsidRDefault="00DE62A3" w:rsidP="00DE62A3">
      <w:pPr>
        <w:pStyle w:val="Body"/>
        <w:spacing w:after="0"/>
        <w:rPr>
          <w:rFonts w:ascii="Arial" w:hAnsi="Arial" w:cs="Arial"/>
          <w:lang w:val="en"/>
        </w:rPr>
      </w:pPr>
      <w:r w:rsidRPr="00DE62A3">
        <w:rPr>
          <w:rFonts w:ascii="Arial" w:hAnsi="Arial" w:cs="Arial"/>
          <w:noProof/>
        </w:rPr>
        <w:drawing>
          <wp:inline distT="0" distB="0" distL="0" distR="0" wp14:anchorId="42A53054" wp14:editId="563BD75D">
            <wp:extent cx="4996902" cy="35045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25" t="2725" r="6901" b="5673"/>
                    <a:stretch/>
                  </pic:blipFill>
                  <pic:spPr bwMode="auto">
                    <a:xfrm>
                      <a:off x="0" y="0"/>
                      <a:ext cx="5009241" cy="3513219"/>
                    </a:xfrm>
                    <a:prstGeom prst="rect">
                      <a:avLst/>
                    </a:prstGeom>
                    <a:ln>
                      <a:noFill/>
                    </a:ln>
                    <a:extLst>
                      <a:ext uri="{53640926-AAD7-44D8-BBD7-CCE9431645EC}">
                        <a14:shadowObscured xmlns:a14="http://schemas.microsoft.com/office/drawing/2010/main"/>
                      </a:ext>
                    </a:extLst>
                  </pic:spPr>
                </pic:pic>
              </a:graphicData>
            </a:graphic>
          </wp:inline>
        </w:drawing>
      </w:r>
    </w:p>
    <w:p w14:paraId="65C96D05" w14:textId="77777777" w:rsidR="00DE62A3" w:rsidRPr="00DE62A3" w:rsidRDefault="00DE62A3" w:rsidP="00DE62A3">
      <w:pPr>
        <w:pStyle w:val="Body"/>
        <w:spacing w:after="0"/>
        <w:rPr>
          <w:rFonts w:ascii="Arial" w:hAnsi="Arial" w:cs="Arial"/>
          <w:iCs/>
          <w:lang w:val="en-GB"/>
        </w:rPr>
      </w:pPr>
      <w:r w:rsidRPr="00DE62A3">
        <w:rPr>
          <w:rFonts w:ascii="Arial" w:hAnsi="Arial" w:cs="Arial"/>
          <w:iCs/>
          <w:lang w:val="en-GB"/>
        </w:rPr>
        <w:t xml:space="preserve">Figure </w:t>
      </w:r>
      <w:r w:rsidRPr="00DE62A3">
        <w:rPr>
          <w:rFonts w:ascii="Arial" w:hAnsi="Arial" w:cs="Arial"/>
          <w:iCs/>
          <w:lang w:val="en"/>
        </w:rPr>
        <w:fldChar w:fldCharType="begin"/>
      </w:r>
      <w:r w:rsidRPr="00DE62A3">
        <w:rPr>
          <w:rFonts w:ascii="Arial" w:hAnsi="Arial" w:cs="Arial"/>
          <w:iCs/>
          <w:lang w:val="en-GB"/>
        </w:rPr>
        <w:instrText xml:space="preserve"> SEQ Figure \* ARABIC </w:instrText>
      </w:r>
      <w:r w:rsidRPr="00DE62A3">
        <w:rPr>
          <w:rFonts w:ascii="Arial" w:hAnsi="Arial" w:cs="Arial"/>
          <w:iCs/>
          <w:lang w:val="en"/>
        </w:rPr>
        <w:fldChar w:fldCharType="separate"/>
      </w:r>
      <w:r w:rsidRPr="00DE62A3">
        <w:rPr>
          <w:rFonts w:ascii="Arial" w:hAnsi="Arial" w:cs="Arial"/>
          <w:iCs/>
          <w:lang w:val="en-GB"/>
        </w:rPr>
        <w:t>7</w:t>
      </w:r>
      <w:r w:rsidRPr="00DE62A3">
        <w:rPr>
          <w:rFonts w:ascii="Arial" w:hAnsi="Arial" w:cs="Arial"/>
        </w:rPr>
        <w:fldChar w:fldCharType="end"/>
      </w:r>
      <w:r w:rsidR="000D58A3">
        <w:rPr>
          <w:rFonts w:ascii="Arial" w:hAnsi="Arial" w:cs="Arial"/>
          <w:iCs/>
          <w:lang w:val="en-GB"/>
        </w:rPr>
        <w:t>:</w:t>
      </w:r>
      <w:r w:rsidRPr="00DE62A3">
        <w:rPr>
          <w:rFonts w:ascii="Arial" w:hAnsi="Arial" w:cs="Arial"/>
          <w:iCs/>
          <w:lang w:val="en-GB"/>
        </w:rPr>
        <w:t xml:space="preserve"> Mapping of sources by PCA</w:t>
      </w:r>
    </w:p>
    <w:p w14:paraId="7B684349" w14:textId="77777777" w:rsidR="00790ADA" w:rsidRDefault="00790ADA" w:rsidP="00441B6F">
      <w:pPr>
        <w:pStyle w:val="Body"/>
        <w:spacing w:after="0"/>
        <w:rPr>
          <w:rFonts w:ascii="Arial" w:hAnsi="Arial" w:cs="Arial"/>
          <w:lang w:val="en-GB"/>
        </w:rPr>
      </w:pPr>
    </w:p>
    <w:p w14:paraId="69EA4BFE" w14:textId="77777777" w:rsidR="002D44DF" w:rsidRPr="00060175" w:rsidRDefault="00060175" w:rsidP="002D44DF">
      <w:pPr>
        <w:pStyle w:val="Body"/>
        <w:spacing w:after="0"/>
        <w:rPr>
          <w:rFonts w:ascii="Arial" w:hAnsi="Arial" w:cs="Arial"/>
          <w:b/>
          <w:sz w:val="22"/>
          <w:lang w:val="en"/>
        </w:rPr>
      </w:pPr>
      <w:r w:rsidRPr="00060175">
        <w:rPr>
          <w:rFonts w:ascii="Arial" w:hAnsi="Arial" w:cs="Arial"/>
          <w:b/>
          <w:sz w:val="22"/>
          <w:lang w:val="en"/>
        </w:rPr>
        <w:t xml:space="preserve">3.2 </w:t>
      </w:r>
      <w:r w:rsidR="002D44DF" w:rsidRPr="00060175">
        <w:rPr>
          <w:rFonts w:ascii="Arial" w:hAnsi="Arial" w:cs="Arial"/>
          <w:b/>
          <w:sz w:val="22"/>
          <w:lang w:val="en"/>
        </w:rPr>
        <w:t>Discussion</w:t>
      </w:r>
    </w:p>
    <w:p w14:paraId="5C722E82" w14:textId="77777777" w:rsidR="002D44DF" w:rsidRPr="002D44DF" w:rsidRDefault="002D44DF" w:rsidP="002D44DF">
      <w:pPr>
        <w:pStyle w:val="Body"/>
        <w:spacing w:after="0"/>
        <w:rPr>
          <w:rFonts w:ascii="Arial" w:hAnsi="Arial" w:cs="Arial"/>
          <w:b/>
          <w:lang w:val="en"/>
        </w:rPr>
      </w:pPr>
    </w:p>
    <w:p w14:paraId="236F05E6" w14:textId="77777777" w:rsidR="002D44DF" w:rsidRPr="002D44DF" w:rsidRDefault="002D44DF" w:rsidP="002D44DF">
      <w:pPr>
        <w:pStyle w:val="Body"/>
        <w:spacing w:after="0"/>
        <w:rPr>
          <w:rFonts w:ascii="Arial" w:hAnsi="Arial" w:cs="Arial"/>
          <w:b/>
          <w:lang w:val="en"/>
        </w:rPr>
      </w:pPr>
      <w:proofErr w:type="spellStart"/>
      <w:r w:rsidRPr="002D44DF">
        <w:rPr>
          <w:rFonts w:ascii="Arial" w:hAnsi="Arial" w:cs="Arial"/>
          <w:b/>
          <w:lang w:val="en"/>
        </w:rPr>
        <w:t>Physico</w:t>
      </w:r>
      <w:proofErr w:type="spellEnd"/>
      <w:r w:rsidRPr="002D44DF">
        <w:rPr>
          <w:rFonts w:ascii="Arial" w:hAnsi="Arial" w:cs="Arial"/>
          <w:b/>
          <w:lang w:val="en"/>
        </w:rPr>
        <w:t>-chemical parameters of water</w:t>
      </w:r>
    </w:p>
    <w:p w14:paraId="754205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Analysis of the physicochemical parameters of the waters in the </w:t>
      </w:r>
      <w:proofErr w:type="spellStart"/>
      <w:r w:rsidRPr="002D44DF">
        <w:rPr>
          <w:rFonts w:ascii="Arial" w:hAnsi="Arial" w:cs="Arial"/>
          <w:lang w:val="en"/>
        </w:rPr>
        <w:t>Teguéré</w:t>
      </w:r>
      <w:proofErr w:type="spellEnd"/>
      <w:r w:rsidRPr="002D44DF">
        <w:rPr>
          <w:rFonts w:ascii="Arial" w:hAnsi="Arial" w:cs="Arial"/>
          <w:lang w:val="en"/>
        </w:rPr>
        <w:t xml:space="preserve"> River watershed reveals characteristics consistent with those observed in the humid tropical zones of West Africa. The average water temperature, estimated at 31.38 °C (31.9 °C for surface water and 31.03 °C for groundwater), is relatively high and comparable to values reported in the northern and forested regions of Côte d'Ivoire </w: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(Ebé</w:t>
      </w:r>
      <w:r w:rsidRPr="002D44DF">
        <w:rPr>
          <w:rFonts w:ascii="Arial" w:hAnsi="Arial" w:cs="Arial"/>
          <w:i/>
          <w:lang w:val="en"/>
        </w:rPr>
        <w:t xml:space="preserve"> et al.</w:t>
      </w:r>
      <w:r w:rsidRPr="002D44DF">
        <w:rPr>
          <w:rFonts w:ascii="Arial" w:hAnsi="Arial" w:cs="Arial"/>
          <w:lang w:val="en"/>
        </w:rPr>
        <w:t xml:space="preserve"> 2023, Yao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This temperature increase is explained by prolonged exposure to solar radiation, the absence of vegetation cover, and the shallow depth of the sampling points.</w:t>
      </w:r>
    </w:p>
    <w:p w14:paraId="00E43F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lastRenderedPageBreak/>
        <w:t xml:space="preserve">The average pH, 4.335 for surface water and 4.22 for groundwater, indicates marked acidity, linked to the structural acidity of the region's lateritic and granitic formations </w: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(Adjiri</w:t>
      </w:r>
      <w:r w:rsidRPr="002D44DF">
        <w:rPr>
          <w:rFonts w:ascii="Arial" w:hAnsi="Arial" w:cs="Arial"/>
          <w:i/>
          <w:lang w:val="en"/>
        </w:rPr>
        <w:t xml:space="preserve"> et al.</w:t>
      </w:r>
      <w:r w:rsidRPr="002D44DF">
        <w:rPr>
          <w:rFonts w:ascii="Arial" w:hAnsi="Arial" w:cs="Arial"/>
          <w:lang w:val="en"/>
        </w:rPr>
        <w:t xml:space="preserve"> 2019, Djahadi</w:t>
      </w:r>
      <w:r w:rsidRPr="002D44DF">
        <w:rPr>
          <w:rFonts w:ascii="Arial" w:hAnsi="Arial" w:cs="Arial"/>
          <w:i/>
          <w:lang w:val="en"/>
        </w:rPr>
        <w:t xml:space="preserve"> et al.</w:t>
      </w:r>
      <w:r w:rsidRPr="002D44DF">
        <w:rPr>
          <w:rFonts w:ascii="Arial" w:hAnsi="Arial" w:cs="Arial"/>
          <w:lang w:val="en"/>
        </w:rPr>
        <w:t xml:space="preserve"> 2021)</w:t>
      </w:r>
      <w:r w:rsidRPr="002D44DF">
        <w:rPr>
          <w:rFonts w:ascii="Arial" w:hAnsi="Arial" w:cs="Arial"/>
          <w:lang w:val="en-GB"/>
        </w:rPr>
        <w:fldChar w:fldCharType="end"/>
      </w:r>
      <w:r w:rsidRPr="002D44DF">
        <w:rPr>
          <w:rFonts w:ascii="Arial" w:hAnsi="Arial" w:cs="Arial"/>
          <w:lang w:val="en"/>
        </w:rPr>
        <w:t xml:space="preserve">, exacerbated by the decomposition of organic matter, root respiration, and acid rain </w: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(Ossey</w:t>
      </w:r>
      <w:r w:rsidRPr="002D44DF">
        <w:rPr>
          <w:rFonts w:ascii="Arial" w:hAnsi="Arial" w:cs="Arial"/>
          <w:i/>
          <w:lang w:val="en"/>
        </w:rPr>
        <w:t xml:space="preserve"> et al.</w:t>
      </w:r>
      <w:r w:rsidRPr="002D44DF">
        <w:rPr>
          <w:rFonts w:ascii="Arial" w:hAnsi="Arial" w:cs="Arial"/>
          <w:lang w:val="en"/>
        </w:rPr>
        <w:t xml:space="preserve"> 2008, Yapo</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Local agricultural practices, particularly the use of acidifying fertilizers and deforestation, also contribute to this acidity.</w:t>
      </w:r>
    </w:p>
    <w:p w14:paraId="4F6F1CF1"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The average electrical conductivity is 230 µS/cm for surface water and 75 µS/cm for groundwater, reflecting higher mineralization at the surface, linked to agricultural runoff, domestic wastewater, and decomposing organic matter </w:t>
      </w:r>
      <w:r w:rsidRPr="002D44DF">
        <w:rPr>
          <w:rFonts w:ascii="Arial" w:hAnsi="Arial" w:cs="Arial"/>
          <w:lang w:val="en"/>
        </w:rPr>
        <w:fldChar w:fldCharType="begin"/>
      </w:r>
      <w:r w:rsidRPr="002D44DF">
        <w:rPr>
          <w:rFonts w:ascii="Arial" w:hAnsi="Arial" w:cs="Arial"/>
          <w:lang w:val="en"/>
        </w:rPr>
        <w:instrText xml:space="preserve"> ADDIN EN.CITE &lt;EndNote&gt;&lt;Cite&gt;&lt;Author&gt;Yao&lt;/Author&gt;&lt;Year&gt;2020&lt;/Year&gt;&lt;RecNum&gt;10&lt;/RecNum&gt;&lt;DisplayText&gt;(Yapo&lt;style face="italic"&gt; et al.&lt;/style&gt; 2016, Yao and Ahoussi 2020)&lt;/DisplayText&gt;&lt;record&gt;&lt;rec-number&gt;10&lt;/rec-number&gt;&lt;foreign-keys&gt;&lt;key app="EN" db-id="tzf2tv25msxxelexwpcxvwthea50wpdew9ef" timestamp="1766322543"&gt;10&lt;/key&gt;&lt;/foreign-keys&gt;&lt;ref-type name="Journal Article"&gt;17&lt;/ref-type&gt;&lt;contributors&gt;&lt;authors&gt;&lt;author&gt;Yao, Kouassi Serge Aristide&lt;/author&gt;&lt;author&gt;Ahoussi, KE  &lt;/author&gt;&lt;/authors&gt;&lt;/contributors&gt;&lt;titles&gt;&lt;title&gt;Caractérisation physico-chimique des eaux de surface dans un environnement minier du centre-Ouest de la Côte d’Ivoire: Cas du Département de Divo&lt;/title&gt;&lt;secondary-title&gt;European Scientific Journal&lt;/secondary-title&gt;&lt;/titles&gt;&lt;periodical&gt;&lt;full-title&gt;European Scientific Journal&lt;/full-title&gt;&lt;/periodical&gt;&lt;pages&gt;12&lt;/pages&gt;&lt;volume&gt;16&lt;/volume&gt;&lt;dates&gt;&lt;year&gt;2020&lt;/year&gt;&lt;/dates&gt;&lt;urls&gt;&lt;/urls&gt;&lt;/record&gt;&lt;/Cite&gt;&lt;Cite&gt;&lt;Author&gt;Yapo&lt;/Author&gt;&lt;Year&gt;2016&lt;/Year&gt;&lt;RecNum&gt;1&lt;/RecNum&gt;&lt;record&gt;&lt;rec-number&gt;1&lt;/rec-number&gt;&lt;foreign-keys&gt;&lt;key app="EN" db-id="xdfp2de5c5erx9etstlvwfs5xd95fzddrpws" timestamp="1766322724"&gt;1&lt;/key&gt;&lt;/foreign-keys&gt;&lt;ref-type name="Journal Article"&gt;17&lt;/ref-type&gt;&lt;contributors&gt;&lt;authors&gt;&lt;author&gt;Yapo, Rachelle Ida&lt;/author&gt;&lt;author&gt;Mambo, Véronique&lt;/author&gt;&lt;author&gt;Alder, Alfredo Carlos&lt;/author&gt;&lt;author&gt;Ohou-Yao, Marie Jeanne&lt;/author&gt;&lt;author&gt;Ligban, Raymond&lt;/author&gt;&lt;author&gt;Dao, Daouda&lt;/author&gt;&lt;author&gt;Stamm, Christian&lt;/author&gt;&lt;author&gt;Bonfoh, Bassirou &lt;/author&gt;&lt;/authors&gt;&lt;/contributors&gt;&lt;titles&gt;&lt;title&gt;Caractérisation saisonnière des eaux de puits à usage maraîchère et domestique de Korhogo (Côte d’Ivoire)&lt;/title&gt;&lt;secondary-title&gt;International Journal of Biological Chemical Sciences&lt;/secondary-title&gt;&lt;/titles&gt;&lt;periodical&gt;&lt;full-title&gt;International Journal of Biological Chemical Sciences&lt;/full-title&gt;&lt;/periodical&gt;&lt;pages&gt;1433-1449&lt;/pages&gt;&lt;volume&gt;10&lt;/volume&gt;&lt;number&gt;3&lt;/number&gt;&lt;dates&gt;&lt;year&gt;2016&lt;/year&gt;&lt;/dates&gt;&lt;isbn&gt;1997-342X&lt;/isbn&gt;&lt;urls&gt;&lt;/urls&gt;&lt;/record&gt;&lt;/Cite&gt;&lt;/EndNote&gt;</w:instrText>
      </w:r>
      <w:r w:rsidRPr="002D44DF">
        <w:rPr>
          <w:rFonts w:ascii="Arial" w:hAnsi="Arial" w:cs="Arial"/>
          <w:lang w:val="en"/>
        </w:rPr>
        <w:fldChar w:fldCharType="separate"/>
      </w:r>
      <w:r w:rsidRPr="002D44DF">
        <w:rPr>
          <w:rFonts w:ascii="Arial" w:hAnsi="Arial" w:cs="Arial"/>
          <w:lang w:val="en"/>
        </w:rPr>
        <w:t>(Yapo</w:t>
      </w:r>
      <w:r w:rsidRPr="002D44DF">
        <w:rPr>
          <w:rFonts w:ascii="Arial" w:hAnsi="Arial" w:cs="Arial"/>
          <w:i/>
          <w:lang w:val="en"/>
        </w:rPr>
        <w:t xml:space="preserve"> et al.</w:t>
      </w:r>
      <w:r w:rsidRPr="002D44DF">
        <w:rPr>
          <w:rFonts w:ascii="Arial" w:hAnsi="Arial" w:cs="Arial"/>
          <w:lang w:val="en"/>
        </w:rPr>
        <w:t xml:space="preserve"> 2016, Yao and Ahoussi 2020)</w:t>
      </w:r>
      <w:r w:rsidRPr="002D44DF">
        <w:rPr>
          <w:rFonts w:ascii="Arial" w:hAnsi="Arial" w:cs="Arial"/>
          <w:lang w:val="en-GB"/>
        </w:rPr>
        <w:fldChar w:fldCharType="end"/>
      </w:r>
      <w:r w:rsidRPr="002D44DF">
        <w:rPr>
          <w:rFonts w:ascii="Arial" w:hAnsi="Arial" w:cs="Arial"/>
          <w:lang w:val="en"/>
        </w:rPr>
        <w:t xml:space="preserve">. The low conductivity of groundwater reflects a reduced content of dissolved ions, typical of shallow aquifers on crystalline bedrock, but vulnerable to rapid infiltration of low-mineralized water </w:t>
      </w:r>
      <w:r w:rsidRPr="002D44DF">
        <w:rPr>
          <w:rFonts w:ascii="Arial" w:hAnsi="Arial" w:cs="Arial"/>
          <w:lang w:val="en"/>
        </w:rPr>
        <w:fldChar w:fldCharType="begin"/>
      </w:r>
      <w:r w:rsidRPr="002D44DF">
        <w:rPr>
          <w:rFonts w:ascii="Arial" w:hAnsi="Arial" w:cs="Arial"/>
          <w:lang w:val="en"/>
        </w:rPr>
        <w:instrText xml:space="preserve"> ADDIN EN.CITE &lt;EndNote&gt;&lt;Cite&gt;&lt;Author&gt;Ouattara&lt;/Author&gt;&lt;Year&gt;2016&lt;/Year&gt;&lt;RecNum&gt;3&lt;/RecNum&gt;&lt;DisplayText&gt;(Ouattara&lt;style face="italic"&gt; et al.&lt;/style&gt; 2016)&lt;/DisplayText&gt;&lt;record&gt;&lt;rec-number&gt;3&lt;/rec-number&gt;&lt;foreign-keys&gt;&lt;key app="EN" db-id="xdfp2de5c5erx9etstlvwfs5xd95fzddrpws" timestamp="1766323475"&gt;3&lt;/key&gt;&lt;/foreign-keys&gt;&lt;ref-type name="Journal Article"&gt;17&lt;/ref-type&gt;&lt;contributors&gt;&lt;authors&gt;&lt;author&gt;Ouattara, Ismaïla&lt;/author&gt;&lt;author&gt;Kamagaté, Bamory&lt;/author&gt;&lt;author&gt;Dao, Amidou&lt;/author&gt;&lt;author&gt;Noufé, Dabissi&lt;/author&gt;&lt;author&gt;Savané, Issiaka &lt;/author&gt;&lt;/authors&gt;&lt;/contributors&gt;&lt;titles&gt;&lt;title&gt;Processus de minéralisation des eaux souterraines et transfert de flux en milieu de socle fissuré: cas du bassin versant transfrontalier de la Comoé (Côte d&amp;apos;Ivoire, Burkina Faso, Ghana, Mali)[Groundwaters mineralization process and transfer of flow within fissured aquifers: Case of transboundary basin of Comoé (Côte d&amp;apos;Ivoire, Burkina Faso, Ghana, Mali)]&lt;/title&gt;&lt;secondary-title&gt;International Journal of Innovation Applied Studies&lt;/secondary-title&gt;&lt;/titles&gt;&lt;periodical&gt;&lt;full-title&gt;International Journal of Innovation Applied Studies&lt;/full-title&gt;&lt;/periodical&gt;&lt;pages&gt;57&lt;/pages&gt;&lt;volume&gt;17&lt;/volume&gt;&lt;number&gt;1&lt;/number&gt;&lt;dates&gt;&lt;year&gt;2016&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(Ouattara</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xml:space="preserve">. These values remain below the WHO limit of 500 µS/cm, but seasonal increases linked to agricultural spreading and rainfall are likely </w:t>
      </w:r>
      <w:r w:rsidRPr="002D44DF">
        <w:rPr>
          <w:rFonts w:ascii="Arial" w:hAnsi="Arial" w:cs="Arial"/>
          <w:lang w:val="en"/>
        </w:rPr>
        <w:fldChar w:fldCharType="begin"/>
      </w:r>
      <w:r w:rsidRPr="002D44DF">
        <w:rPr>
          <w:rFonts w:ascii="Arial" w:hAnsi="Arial" w:cs="Arial"/>
          <w:lang w:val="en"/>
        </w:rPr>
        <w:instrText xml:space="preserve"> ADDIN EN.CITE &lt;EndNote&gt;&lt;Cite&gt;&lt;Author&gt;Akognongbe&lt;/Author&gt;&lt;Year&gt;2014&lt;/Year&gt;&lt;RecNum&gt;4&lt;/RecNum&gt;&lt;DisplayText&gt;(Akognongbe&lt;style face="italic"&gt; et al.&lt;/style&gt; 2014, Lawani&lt;style face="italic"&gt; et al.&lt;/style&gt; 2017)&lt;/DisplayText&gt;&lt;record&gt;&lt;rec-number&gt;4&lt;/rec-number&gt;&lt;foreign-keys&gt;&lt;key app="EN" db-id="xdfp2de5c5erx9etstlvwfs5xd95fzddrpws" timestamp="1766323586"&gt;4&lt;/key&gt;&lt;/foreign-keys&gt;&lt;ref-type name="Journal Article"&gt;17&lt;/ref-type&gt;&lt;contributors&gt;&lt;authors&gt;&lt;author&gt;Akognongbe, Arsène JS&lt;/author&gt;&lt;author&gt;Mama, Daouda&lt;/author&gt;&lt;author&gt;Vissin, Expédit W&lt;/author&gt;&lt;author&gt;Boko, Michel &lt;/author&gt;&lt;/authors&gt;&lt;/contributors&gt;&lt;titles&gt;&lt;title&gt;Dynamique saisonnière de la qualité physico-chimique des eaux de surface dans le bassin de l’Ouémé à l’exutoire de Beterou&lt;/title&gt;&lt;secondary-title&gt;Rev. Ivoir. Sci. Technol&lt;/secondary-title&gt;&lt;/titles&gt;&lt;periodical&gt;&lt;full-title&gt;Rev. Ivoir. Sci. Technol&lt;/full-title&gt;&lt;/periodical&gt;&lt;pages&gt;278-298&lt;/pages&gt;&lt;volume&gt;24&lt;/volume&gt;&lt;dates&gt;&lt;year&gt;2014&lt;/year&gt;&lt;/dates&gt;&lt;urls&gt;&lt;/urls&gt;&lt;/record&gt;&lt;/Cite&gt;&lt;Cite&gt;&lt;Author&gt;Lawani&lt;/Author&gt;&lt;Year&gt;2017&lt;/Year&gt;&lt;RecNum&gt;5&lt;/RecNum&gt;&lt;record&gt;&lt;rec-number&gt;5&lt;/rec-number&gt;&lt;foreign-keys&gt;&lt;key app="EN" db-id="xdfp2de5c5erx9etstlvwfs5xd95fzddrpws" timestamp="1766323693"&gt;5&lt;/key&gt;&lt;/foreign-keys&gt;&lt;ref-type name="Journal Article"&gt;17&lt;/ref-type&gt;&lt;contributors&gt;&lt;authors&gt;&lt;author&gt;Lawani, RAN&lt;/author&gt;&lt;author&gt;Kelome, NC&lt;/author&gt;&lt;author&gt;Agassounon Djikpo Tchibozo, M&lt;/author&gt;&lt;author&gt;Hounkpe, JB&lt;/author&gt;&lt;author&gt;Adjagodo, A &lt;/author&gt;&lt;/authors&gt;&lt;/contributors&gt;&lt;titles&gt;&lt;title&gt;Effets des pratiques agricoles sur la pollution des eaux de surface en République du Bénin&lt;/title&gt;&lt;secondary-title&gt;Larhyss Journal&lt;/secondary-title&gt;&lt;/titles&gt;&lt;periodical&gt;&lt;full-title&gt;Larhyss Journal&lt;/full-title&gt;&lt;/periodical&gt;&lt;pages&gt;173-190&lt;/pages&gt;&lt;volume&gt;14&lt;/volume&gt;&lt;number&gt;2&lt;/number&gt;&lt;dates&gt;&lt;year&gt;2017&lt;/year&gt;&lt;/dates&gt;&lt;isbn&gt;2602-7828&lt;/isbn&gt;&lt;urls&gt;&lt;/urls&gt;&lt;/record&gt;&lt;/Cite&gt;&lt;/EndNote&gt;</w:instrText>
      </w:r>
      <w:r w:rsidRPr="002D44DF">
        <w:rPr>
          <w:rFonts w:ascii="Arial" w:hAnsi="Arial" w:cs="Arial"/>
          <w:lang w:val="en"/>
        </w:rPr>
        <w:fldChar w:fldCharType="separate"/>
      </w:r>
      <w:r w:rsidRPr="002D44DF">
        <w:rPr>
          <w:rFonts w:ascii="Arial" w:hAnsi="Arial" w:cs="Arial"/>
          <w:lang w:val="en"/>
        </w:rPr>
        <w:t>(Akognongbe</w:t>
      </w:r>
      <w:r w:rsidRPr="002D44DF">
        <w:rPr>
          <w:rFonts w:ascii="Arial" w:hAnsi="Arial" w:cs="Arial"/>
          <w:i/>
          <w:lang w:val="en"/>
        </w:rPr>
        <w:t xml:space="preserve"> et al.</w:t>
      </w:r>
      <w:r w:rsidRPr="002D44DF">
        <w:rPr>
          <w:rFonts w:ascii="Arial" w:hAnsi="Arial" w:cs="Arial"/>
          <w:lang w:val="en"/>
        </w:rPr>
        <w:t xml:space="preserve"> 2014, Lawani</w:t>
      </w:r>
      <w:r w:rsidRPr="002D44DF">
        <w:rPr>
          <w:rFonts w:ascii="Arial" w:hAnsi="Arial" w:cs="Arial"/>
          <w:i/>
          <w:lang w:val="en"/>
        </w:rPr>
        <w:t xml:space="preserve"> et al.</w:t>
      </w:r>
      <w:r w:rsidRPr="002D44DF">
        <w:rPr>
          <w:rFonts w:ascii="Arial" w:hAnsi="Arial" w:cs="Arial"/>
          <w:lang w:val="en"/>
        </w:rPr>
        <w:t xml:space="preserve"> 2017)</w:t>
      </w:r>
      <w:r w:rsidRPr="002D44DF">
        <w:rPr>
          <w:rFonts w:ascii="Arial" w:hAnsi="Arial" w:cs="Arial"/>
          <w:lang w:val="en-GB"/>
        </w:rPr>
        <w:fldChar w:fldCharType="end"/>
      </w:r>
      <w:r w:rsidRPr="002D44DF">
        <w:rPr>
          <w:rFonts w:ascii="Arial" w:hAnsi="Arial" w:cs="Arial"/>
          <w:lang w:val="en"/>
        </w:rPr>
        <w:t>.</w:t>
      </w:r>
    </w:p>
    <w:p w14:paraId="74B6221D" w14:textId="77777777" w:rsidR="00BB7413" w:rsidRPr="002D44DF" w:rsidRDefault="00BB7413" w:rsidP="00BB7413">
      <w:pPr>
        <w:pStyle w:val="Body"/>
        <w:spacing w:after="0"/>
        <w:rPr>
          <w:rFonts w:ascii="Arial" w:hAnsi="Arial" w:cs="Arial"/>
          <w:lang w:val="en"/>
        </w:rPr>
      </w:pPr>
    </w:p>
    <w:p w14:paraId="0A47B2AB"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Contamination by active molecules</w:t>
      </w:r>
    </w:p>
    <w:p w14:paraId="7B9DEE9C"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results reveal widespread water contamination by agricultural active molecules, including organophosphates, organochlorines, triazines and metabolites, carbamates, substituted </w:t>
      </w:r>
      <w:proofErr w:type="spellStart"/>
      <w:r w:rsidRPr="002D44DF">
        <w:rPr>
          <w:rFonts w:ascii="Arial" w:hAnsi="Arial" w:cs="Arial"/>
          <w:lang w:val="en"/>
        </w:rPr>
        <w:t>ureas</w:t>
      </w:r>
      <w:proofErr w:type="spellEnd"/>
      <w:r w:rsidRPr="002D44DF">
        <w:rPr>
          <w:rFonts w:ascii="Arial" w:hAnsi="Arial" w:cs="Arial"/>
          <w:lang w:val="en"/>
        </w:rPr>
        <w:t xml:space="preserve"> and pyrethroids. These substances correspond to the most commonly used insecticides, herbicides and fungicides locally, often in an unregulated manner </w:t>
      </w:r>
      <w:r w:rsidRPr="002D44DF">
        <w:rPr>
          <w:rFonts w:ascii="Arial" w:hAnsi="Arial" w:cs="Arial"/>
          <w:lang w:val="en"/>
        </w:rPr>
        <w:fldChar w:fldCharType="begin"/>
      </w:r>
      <w:r w:rsidRPr="002D44DF">
        <w:rPr>
          <w:rFonts w:ascii="Arial" w:hAnsi="Arial" w:cs="Arial"/>
          <w:lang w:val="en"/>
        </w:rPr>
        <w:instrText xml:space="preserve"> ADDIN EN.CITE &lt;EndNote&gt;&lt;Cite&gt;&lt;Author&gt;Garud&lt;/Author&gt;&lt;Year&gt;2024&lt;/Year&gt;&lt;RecNum&gt;8&lt;/RecNum&gt;&lt;DisplayText&gt;(Garud&lt;style face="italic"&gt; et al.&lt;/style&gt; 2024)&lt;/DisplayText&gt;&lt;record&gt;&lt;rec-number&gt;8&lt;/rec-number&gt;&lt;foreign-keys&gt;&lt;key app="EN" db-id="xdfp2de5c5erx9etstlvwfs5xd95fzddrpws" timestamp="1766350038"&gt;8&lt;/key&gt;&lt;/foreign-keys&gt;&lt;ref-type name="Journal Article"&gt;17&lt;/ref-type&gt;&lt;contributors&gt;&lt;authors&gt;&lt;author&gt;Garud, A.&lt;/author&gt;&lt;author&gt;Pawar, S.&lt;/author&gt;&lt;author&gt;Patil, M. S.&lt;/author&gt;&lt;author&gt;Kale, S. R.&lt;/author&gt;&lt;author&gt;Patil, S.&lt;/author&gt;&lt;/authors&gt;&lt;/contributors&gt;&lt;titles&gt;&lt;title&gt;A Scientific Review of Pesticides: Classification, Toxicity, Health Effects, Sustainability, and Environmental Impact&lt;/title&gt;&lt;secondary-title&gt;Cureus&lt;/secondary-title&gt;&lt;alt-title&gt;Cureus&lt;/alt-title&gt;&lt;/titles&gt;&lt;periodical&gt;&lt;full-title&gt;Cureus&lt;/full-title&gt;&lt;abbr-1&gt;Cureus&lt;/abbr-1&gt;&lt;/periodical&gt;&lt;alt-periodical&gt;&lt;full-title&gt;Cureus&lt;/full-title&gt;&lt;abbr-1&gt;Cureus&lt;/abbr-1&gt;&lt;/alt-periodical&gt;&lt;pages&gt;e67945&lt;/pages&gt;&lt;volume&gt;16&lt;/volume&gt;&lt;number&gt;8&lt;/number&gt;&lt;edition&gt;2024/09/27&lt;/edition&gt;&lt;dates&gt;&lt;year&gt;2024&lt;/year&gt;&lt;pub-dates&gt;&lt;date&gt;Aug&lt;/date&gt;&lt;/pub-dates&gt;&lt;/dates&gt;&lt;isbn&gt;2168-8184 (Print)&amp;#xD;2168-8184&lt;/isbn&gt;&lt;accession-num&gt;39328626&lt;/accession-num&gt;&lt;urls&gt;&lt;/urls&gt;&lt;custom2&gt;PMC11426366&lt;/custom2&gt;&lt;electronic-resource-num&gt;https://doi.org/10.7759/cureus.67945&lt;/electronic-resource-num&gt;&lt;remote-database-provider&gt;NLM&lt;/remote-database-provider&gt;&lt;language&gt;eng&lt;/language&gt;&lt;/record&gt;&lt;/Cite&gt;&lt;/EndNote&gt;</w:instrText>
      </w:r>
      <w:r w:rsidRPr="002D44DF">
        <w:rPr>
          <w:rFonts w:ascii="Arial" w:hAnsi="Arial" w:cs="Arial"/>
          <w:lang w:val="en"/>
        </w:rPr>
        <w:fldChar w:fldCharType="separate"/>
      </w:r>
      <w:r w:rsidRPr="002D44DF">
        <w:rPr>
          <w:rFonts w:ascii="Arial" w:hAnsi="Arial" w:cs="Arial"/>
          <w:lang w:val="en"/>
        </w:rPr>
        <w:t>(Garud</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Some molecules, such as parathion-methyl, parathion-ethyl, </w:t>
      </w:r>
      <w:proofErr w:type="spellStart"/>
      <w:r w:rsidRPr="002D44DF">
        <w:rPr>
          <w:rFonts w:ascii="Arial" w:hAnsi="Arial" w:cs="Arial"/>
          <w:lang w:val="en"/>
        </w:rPr>
        <w:t>chlorfenvinphos</w:t>
      </w:r>
      <w:proofErr w:type="spellEnd"/>
      <w:r w:rsidRPr="002D44DF">
        <w:rPr>
          <w:rFonts w:ascii="Arial" w:hAnsi="Arial" w:cs="Arial"/>
          <w:lang w:val="en"/>
        </w:rPr>
        <w:t xml:space="preserve">, metazachlor and </w:t>
      </w:r>
      <w:proofErr w:type="spellStart"/>
      <w:r w:rsidRPr="002D44DF">
        <w:rPr>
          <w:rFonts w:ascii="Arial" w:hAnsi="Arial" w:cs="Arial"/>
          <w:lang w:val="en"/>
        </w:rPr>
        <w:t>vinclozoline</w:t>
      </w:r>
      <w:proofErr w:type="spellEnd"/>
      <w:r w:rsidRPr="002D44DF">
        <w:rPr>
          <w:rFonts w:ascii="Arial" w:hAnsi="Arial" w:cs="Arial"/>
          <w:lang w:val="en"/>
        </w:rPr>
        <w:t xml:space="preserve">, are not registered for agricultural use in Côte d'Ivoire, suggesting illicit use </w:t>
      </w:r>
      <w:r w:rsidRPr="002D44DF">
        <w:rPr>
          <w:rFonts w:ascii="Arial" w:hAnsi="Arial" w:cs="Arial"/>
          <w:lang w:val="en"/>
        </w:rPr>
        <w:fldChar w:fldCharType="begin"/>
      </w:r>
      <w:r w:rsidRPr="002D44DF">
        <w:rPr>
          <w:rFonts w:ascii="Arial" w:hAnsi="Arial" w:cs="Arial"/>
          <w:lang w:val="en"/>
        </w:rPr>
        <w:instrText xml:space="preserve"> ADDIN EN.CITE &lt;EndNote&gt;&lt;Cite&gt;&lt;Author&gt;Dibi&lt;/Author&gt;&lt;Year&gt;2012&lt;/Year&gt;&lt;RecNum&gt;9&lt;/RecNum&gt;&lt;DisplayText&gt;(Dibi&lt;style face="italic"&gt; et al.&lt;/style&gt; 2012, Amadou&lt;style face="italic"&gt; et al.&lt;/style&gt; 2020)&lt;/DisplayText&gt;&lt;record&gt;&lt;rec-number&gt;9&lt;/rec-number&gt;&lt;foreign-keys&gt;&lt;key app="EN" db-id="xdfp2de5c5erx9etstlvwfs5xd95fzddrpws" timestamp="1766351109"&gt;9&lt;/key&gt;&lt;/foreign-keys&gt;&lt;ref-type name="Journal Article"&gt;17&lt;/ref-type&gt;&lt;contributors&gt;&lt;authors&gt;&lt;author&gt;Dibi, Brou&lt;/author&gt;&lt;author&gt;Kouame, Kouassi Innocent&lt;/author&gt;&lt;author&gt;Konan-Waidhet, Arthur Brice&lt;/author&gt;&lt;author&gt;Savane, Issiaka&lt;/author&gt;&lt;author&gt;Biemi, Jean&lt;/author&gt;&lt;author&gt;Nedeff, Valentin&lt;/author&gt;&lt;author&gt;Lazar, Gabriel  &lt;/author&gt;&lt;/authors&gt;&lt;/contributors&gt;&lt;titles&gt;&lt;title&gt;Impact of agriculture on the quality of groundwater resources in peri-urban zone of Songon (Cote D’ivoire)&lt;/title&gt;&lt;secondary-title&gt;Environmental Engineering Management Journal&lt;/secondary-title&gt;&lt;/titles&gt;&lt;periodical&gt;&lt;full-title&gt;Environmental Engineering Management Journal&lt;/full-title&gt;&lt;/periodical&gt;&lt;pages&gt;2173-2182&lt;/pages&gt;&lt;volume&gt;11&lt;/volume&gt;&lt;number&gt;12&lt;/number&gt;&lt;dates&gt;&lt;year&gt;2012&lt;/year&gt;&lt;/dates&gt;&lt;urls&gt;&lt;/urls&gt;&lt;/record&gt;&lt;/Cite&gt;&lt;Cite&gt;&lt;Author&gt;Amadou&lt;/Author&gt;&lt;Year&gt;2020&lt;/Year&gt;&lt;RecNum&gt;10&lt;/RecNum&gt;&lt;record&gt;&lt;rec-number&gt;10&lt;/rec-number&gt;&lt;foreign-keys&gt;&lt;key app="EN" db-id="xdfp2de5c5erx9etstlvwfs5xd95fzddrpws" timestamp="1766351270"&gt;10&lt;/key&gt;&lt;/foreign-keys&gt;&lt;ref-type name="Journal Article"&gt;17&lt;/ref-type&gt;&lt;contributors&gt;&lt;authors&gt;&lt;author&gt;Amadou, Assouman&lt;/author&gt;&lt;author&gt;Gautier, Kpan Oulai Jean&lt;/author&gt;&lt;author&gt;Maxime, Gnamba Franck&lt;/author&gt;&lt;author&gt;Solange, Oga Yéï Marie&lt;/author&gt;&lt;author&gt;Jean, Biémi &lt;/author&gt;&lt;/authors&gt;&lt;/contributors&gt;&lt;titles&gt;&lt;title&gt;Impacts of Agrochemicals on Water Quality Parameters in Aboisso Region (South-East of Cote d’Ivoire)&lt;/title&gt;&lt;secondary-title&gt;Current Journal of Applied Science Technology&lt;/secondary-title&gt;&lt;/titles&gt;&lt;periodical&gt;&lt;full-title&gt;Current Journal of Applied Science Technology&lt;/full-title&gt;&lt;/periodical&gt;&lt;pages&gt;1-19&lt;/pages&gt;&lt;volume&gt;39&lt;/volume&gt;&lt;number&gt;46&lt;/number&gt;&lt;dates&gt;&lt;year&gt;2020&lt;/year&gt;&lt;/dates&gt;&lt;urls&gt;&lt;/urls&gt;&lt;/record&gt;&lt;/Cite&gt;&lt;/EndNote&gt;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(Dibi</w:t>
      </w:r>
      <w:r w:rsidRPr="002D44DF">
        <w:rPr>
          <w:rFonts w:ascii="Arial" w:hAnsi="Arial" w:cs="Arial"/>
          <w:i/>
          <w:lang w:val="en"/>
        </w:rPr>
        <w:t xml:space="preserve"> et al.</w:t>
      </w:r>
      <w:r w:rsidRPr="002D44DF">
        <w:rPr>
          <w:rFonts w:ascii="Arial" w:hAnsi="Arial" w:cs="Arial"/>
          <w:lang w:val="en"/>
        </w:rPr>
        <w:t xml:space="preserve"> 2012, Amadou</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w:t>
      </w:r>
    </w:p>
    <w:p w14:paraId="74D7C21E"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In surface waters, several concentrations far exceed the WHO thresholds (0.1 µg/L per pesticide) and the European limits (0.5 µg/L for the total sum) </w:t>
      </w:r>
      <w:r w:rsidRPr="002D44DF">
        <w:rPr>
          <w:rFonts w:ascii="Arial" w:hAnsi="Arial" w:cs="Arial"/>
          <w:lang w:val="en"/>
        </w:rPr>
        <w:fldChar w:fldCharType="begin"/>
      </w:r>
      <w:r w:rsidRPr="002D44DF">
        <w:rPr>
          <w:rFonts w:ascii="Arial" w:hAnsi="Arial" w:cs="Arial"/>
          <w:lang w:val="en"/>
        </w:rPr>
        <w:instrText xml:space="preserve"> ADDIN EN.CITE &lt;EndNote&gt;&lt;Cite&gt;&lt;Author&gt;WHO&lt;/Author&gt;&lt;Year&gt;2024&lt;/Year&gt;&lt;RecNum&gt;1&lt;/RecNum&gt;&lt;DisplayText&gt;(WHO 2024)&lt;/DisplayText&gt;&lt;record&gt;&lt;rec-number&gt;1&lt;/rec-number&gt;&lt;foreign-keys&gt;&lt;key app="EN" db-id="e5vee2s5eededqe9ft3xrftxwasr55xptx0f" timestamp="1766351556"&gt;1&lt;/key&gt;&lt;/foreign-keys&gt;&lt;ref-type name="Book"&gt;6&lt;/ref-type&gt;&lt;contributors&gt;&lt;authors&gt;&lt;author&gt;WHO&lt;/author&gt;&lt;/authors&gt;&lt;/contributors&gt;&lt;titles&gt;&lt;title&gt;Guidelines for drinking-water quality: small water supplies&lt;/title&gt;&lt;/titles&gt;&lt;section&gt;220&lt;/section&gt;&lt;dates&gt;&lt;year&gt;2024&lt;/year&gt;&lt;/dates&gt;&lt;publisher&gt;World Health Organization&lt;/publisher&gt;&lt;isbn&gt;9789240088740&lt;/isbn&gt;&lt;urls&gt;&lt;related-urls&gt;&lt;url&gt;https://books.google.ci/books?id=uHcOEQAAQBAJ&lt;/url&gt;&lt;/related-urls&gt;&lt;/urls&gt;&lt;/record&gt;&lt;/Cite&gt;&lt;/EndNote&gt;</w:instrText>
      </w:r>
      <w:r w:rsidRPr="002D44DF">
        <w:rPr>
          <w:rFonts w:ascii="Arial" w:hAnsi="Arial" w:cs="Arial"/>
          <w:lang w:val="en"/>
        </w:rPr>
        <w:fldChar w:fldCharType="separate"/>
      </w:r>
      <w:r w:rsidRPr="002D44DF">
        <w:rPr>
          <w:rFonts w:ascii="Arial" w:hAnsi="Arial" w:cs="Arial"/>
          <w:lang w:val="en"/>
        </w:rPr>
        <w:t>(WHO 2024)</w:t>
      </w:r>
      <w:r w:rsidRPr="002D44DF">
        <w:rPr>
          <w:rFonts w:ascii="Arial" w:hAnsi="Arial" w:cs="Arial"/>
          <w:lang w:val="en-GB"/>
        </w:rPr>
        <w:fldChar w:fldCharType="end"/>
      </w:r>
      <w:r w:rsidRPr="002D44DF">
        <w:rPr>
          <w:rFonts w:ascii="Arial" w:hAnsi="Arial" w:cs="Arial"/>
          <w:lang w:val="en"/>
        </w:rPr>
        <w:t xml:space="preserve">. Chlorpyrifos-ethyl (3.45 µg/L) and </w:t>
      </w:r>
      <w:proofErr w:type="spellStart"/>
      <w:r w:rsidRPr="002D44DF">
        <w:rPr>
          <w:rFonts w:ascii="Arial" w:hAnsi="Arial" w:cs="Arial"/>
          <w:lang w:val="en"/>
        </w:rPr>
        <w:t>terbutryne</w:t>
      </w:r>
      <w:proofErr w:type="spellEnd"/>
      <w:r w:rsidRPr="002D44DF">
        <w:rPr>
          <w:rFonts w:ascii="Arial" w:hAnsi="Arial" w:cs="Arial"/>
          <w:lang w:val="en"/>
        </w:rPr>
        <w:t xml:space="preserve"> (2.23 µg/L) illustrate local but intense inputs linked to local market gardening practices </w:t>
      </w:r>
      <w:r w:rsidRPr="002D44DF">
        <w:rPr>
          <w:rFonts w:ascii="Arial" w:hAnsi="Arial" w:cs="Arial"/>
          <w:lang w:val="en"/>
        </w:rPr>
        <w:fldChar w:fldCharType="begin"/>
      </w:r>
      <w:r w:rsidRPr="002D44DF">
        <w:rPr>
          <w:rFonts w:ascii="Arial" w:hAnsi="Arial" w:cs="Arial"/>
          <w:lang w:val="en"/>
        </w:rPr>
        <w:instrText xml:space="preserve"> ADDIN EN.CITE &lt;EndNote&gt;&lt;Cite&gt;&lt;Author&gt;Doumbia&lt;/Author&gt;&lt;Year&gt;2009&lt;/Year&gt;&lt;RecNum&gt;7&lt;/RecNum&gt;&lt;DisplayText&gt;(Doumbia and Kwadjo 2009)&lt;/DisplayText&gt;&lt;record&gt;&lt;rec-number&gt;7&lt;/rec-number&gt;&lt;foreign-keys&gt;&lt;key app="EN" db-id="xdfp2de5c5erx9etstlvwfs5xd95fzddrpws" timestamp="1766349526"&gt;7&lt;/key&gt;&lt;/foreign-keys&gt;&lt;ref-type name="Journal Article"&gt;17&lt;/ref-type&gt;&lt;contributors&gt;&lt;authors&gt;&lt;author&gt;Doumbia, Mamadou&lt;/author&gt;&lt;author&gt;Kwadjo, KE &lt;/author&gt;&lt;/authors&gt;&lt;/contributors&gt;&lt;titles&gt;&lt;title&gt;Pratiques d’utilisation et de gestion des pesticides par les maraîchers en Côte d’Ivoire: Cas de la ville d’Abidjan et deux de ses banlieues (Dabou et Anyama)&lt;/title&gt;&lt;secondary-title&gt;Journal of Applied Biosciences&lt;/secondary-title&gt;&lt;/titles&gt;&lt;periodical&gt;&lt;full-title&gt;Journal of Applied Biosciences&lt;/full-title&gt;&lt;/periodical&gt;&lt;pages&gt;992-1002&lt;/pages&gt;&lt;volume&gt;18&lt;/volume&gt;&lt;dates&gt;&lt;year&gt;2009&lt;/year&gt;&lt;/dates&gt;&lt;urls&gt;&lt;/urls&gt;&lt;/record&gt;&lt;/Cite&gt;&lt;/EndNote&gt;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(Doumbia and Kwadjo 2009)</w:t>
      </w:r>
      <w:r w:rsidRPr="002D44DF">
        <w:rPr>
          <w:rFonts w:ascii="Arial" w:hAnsi="Arial" w:cs="Arial"/>
          <w:lang w:val="en-GB"/>
        </w:rPr>
        <w:fldChar w:fldCharType="end"/>
      </w:r>
      <w:r w:rsidRPr="002D44DF">
        <w:rPr>
          <w:rFonts w:ascii="Arial" w:hAnsi="Arial" w:cs="Arial"/>
          <w:lang w:val="en"/>
        </w:rPr>
        <w:t xml:space="preserve">. Factors contributing to this contamination include the excessive and empirical use of pesticides, the absence of vegetated buffer zones, and intense runoff during the rainy season (Kouadio et al., 2021; </w:t>
      </w:r>
      <w:proofErr w:type="spellStart"/>
      <w:r w:rsidRPr="002D44DF">
        <w:rPr>
          <w:rFonts w:ascii="Arial" w:hAnsi="Arial" w:cs="Arial"/>
          <w:lang w:val="en"/>
        </w:rPr>
        <w:t>Ahouangninou</w:t>
      </w:r>
      <w:proofErr w:type="spellEnd"/>
      <w:r w:rsidRPr="002D44DF">
        <w:rPr>
          <w:rFonts w:ascii="Arial" w:hAnsi="Arial" w:cs="Arial"/>
          <w:lang w:val="en"/>
        </w:rPr>
        <w:t xml:space="preserve"> et al., 2011).</w:t>
      </w:r>
    </w:p>
    <w:p w14:paraId="143EE506"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In groundwater, concentrations are generally lower, but some substances such as dimethoate (1.022 µg/L) and </w:t>
      </w:r>
      <w:proofErr w:type="spellStart"/>
      <w:r w:rsidRPr="002D44DF">
        <w:rPr>
          <w:rFonts w:ascii="Arial" w:hAnsi="Arial" w:cs="Arial"/>
          <w:lang w:val="en"/>
        </w:rPr>
        <w:t>profenofos</w:t>
      </w:r>
      <w:proofErr w:type="spellEnd"/>
      <w:r w:rsidRPr="002D44DF">
        <w:rPr>
          <w:rFonts w:ascii="Arial" w:hAnsi="Arial" w:cs="Arial"/>
          <w:lang w:val="en"/>
        </w:rPr>
        <w:t xml:space="preserve"> (1.04 µg/L) exceed the standards, indicating diffuse contamination through leaching and infiltration from agricultural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&lt;EndNote&gt;&lt;Cite&gt;&lt;Author&gt;Kamenan&lt;/Author&gt;&lt;Year&gt;2020&lt;/Year&gt;&lt;RecNum&gt;2&lt;/RecNum&gt;&lt;DisplayText&gt;(Kamenan&lt;style face="italic"&gt; et al.&lt;/style&gt; 2020)&lt;/DisplayText&gt;&lt;record&gt;&lt;rec-number&gt;2&lt;/rec-number&gt;&lt;foreign-keys&gt;&lt;key app="EN" db-id="e5vee2s5eededqe9ft3xrftxwasr55xptx0f" timestamp="1766352642"&gt;2&lt;/key&gt;&lt;/foreign-keys&gt;&lt;ref-type name="Journal Article"&gt;17&lt;/ref-type&gt;&lt;contributors&gt;&lt;authors&gt;&lt;author&gt;Kamenan, Yiwa Monique&lt;/author&gt;&lt;author&gt;Mangoua, Oi Mangoua Jules&lt;/author&gt;&lt;author&gt;Dibi, Brou&lt;/author&gt;&lt;author&gt;Georges, Sampah Eblin&lt;/author&gt;&lt;author&gt;Kouassi, Kouakou Lazare&lt;/author&gt;&lt;author&gt;Kouassi, Kouamé Auguste  &lt;/author&gt;&lt;author&gt;protection&lt;/author&gt;&lt;/authors&gt;&lt;/contributors&gt;&lt;titles&gt;&lt;title&gt;Assessment of vulnerability to groundwater pollution in the Lobo Watershed at Nibéhibé (Central-West, côte d’Ivoire)&lt;/title&gt;&lt;secondary-title&gt;Journal of Water Resource&lt;/secondary-title&gt;&lt;/titles&gt;&lt;periodical&gt;&lt;full-title&gt;Journal of Water Resource&lt;/full-title&gt;&lt;/periodical&gt;&lt;pages&gt;657-671&lt;/pages&gt;&lt;volume&gt;12&lt;/volume&gt;&lt;number&gt;8&lt;/number&gt;&lt;dates&gt;&lt;year&gt;2020&lt;/year&gt;&lt;/dates&gt;&lt;urls&gt;&lt;/urls&gt;&lt;electronic-resource-num&gt;https://doi.org/10.4236/jwarp.2020.128040&lt;/electronic-resource-num&gt;&lt;/record&gt;&lt;/Cite&gt;&lt;/EndNote&gt;</w:instrText>
      </w:r>
      <w:r w:rsidRPr="002D44DF">
        <w:rPr>
          <w:rFonts w:ascii="Arial" w:hAnsi="Arial" w:cs="Arial"/>
          <w:lang w:val="en"/>
        </w:rPr>
        <w:fldChar w:fldCharType="separate"/>
      </w:r>
      <w:r w:rsidRPr="002D44DF">
        <w:rPr>
          <w:rFonts w:ascii="Arial" w:hAnsi="Arial" w:cs="Arial"/>
          <w:lang w:val="en"/>
        </w:rPr>
        <w:t>(Kamenan</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 xml:space="preserve">. The total sum of residues in several wells also exceeds 0.5 µg/L, confirming high agricultural pressure on groundwater (Koné et al., 2018). Ecotoxicological effects include the loss of aquatic biodiversity and bioaccumulation in the food web, while health risks concern chronic exposure, which can lead to neurological, endocrine, and carcinogenic disorders </w:t>
      </w:r>
      <w:proofErr w:type="gramStart"/>
      <w:r w:rsidRPr="002D44DF">
        <w:rPr>
          <w:rFonts w:ascii="Arial" w:hAnsi="Arial" w:cs="Arial"/>
          <w:lang w:val="en"/>
        </w:rPr>
        <w:t xml:space="preserve">( </w:t>
      </w:r>
      <w:proofErr w:type="spellStart"/>
      <w:r w:rsidRPr="002D44DF">
        <w:rPr>
          <w:rFonts w:ascii="Arial" w:hAnsi="Arial" w:cs="Arial"/>
          <w:lang w:val="en"/>
        </w:rPr>
        <w:t>Mostafalou</w:t>
      </w:r>
      <w:proofErr w:type="spellEnd"/>
      <w:proofErr w:type="gramEnd"/>
      <w:r w:rsidRPr="002D44DF">
        <w:rPr>
          <w:rFonts w:ascii="Arial" w:hAnsi="Arial" w:cs="Arial"/>
          <w:lang w:val="en"/>
        </w:rPr>
        <w:t xml:space="preserve"> &amp; </w:t>
      </w:r>
      <w:proofErr w:type="spellStart"/>
      <w:r w:rsidRPr="002D44DF">
        <w:rPr>
          <w:rFonts w:ascii="Arial" w:hAnsi="Arial" w:cs="Arial"/>
          <w:lang w:val="en"/>
        </w:rPr>
        <w:t>Abdollahi</w:t>
      </w:r>
      <w:proofErr w:type="spellEnd"/>
      <w:r w:rsidRPr="002D44DF">
        <w:rPr>
          <w:rFonts w:ascii="Arial" w:hAnsi="Arial" w:cs="Arial"/>
          <w:lang w:val="en"/>
        </w:rPr>
        <w:t xml:space="preserve"> , 2017; </w:t>
      </w:r>
      <w:proofErr w:type="spellStart"/>
      <w:r w:rsidRPr="002D44DF">
        <w:rPr>
          <w:rFonts w:ascii="Arial" w:hAnsi="Arial" w:cs="Arial"/>
          <w:lang w:val="en"/>
        </w:rPr>
        <w:t>Mamy</w:t>
      </w:r>
      <w:proofErr w:type="spellEnd"/>
      <w:r w:rsidRPr="002D44DF">
        <w:rPr>
          <w:rFonts w:ascii="Arial" w:hAnsi="Arial" w:cs="Arial"/>
          <w:lang w:val="en"/>
        </w:rPr>
        <w:t xml:space="preserve"> &amp; </w:t>
      </w:r>
      <w:proofErr w:type="spellStart"/>
      <w:r w:rsidRPr="002D44DF">
        <w:rPr>
          <w:rFonts w:ascii="Arial" w:hAnsi="Arial" w:cs="Arial"/>
          <w:lang w:val="en"/>
        </w:rPr>
        <w:t>Barriuso</w:t>
      </w:r>
      <w:proofErr w:type="spellEnd"/>
      <w:r w:rsidRPr="002D44DF">
        <w:rPr>
          <w:rFonts w:ascii="Arial" w:hAnsi="Arial" w:cs="Arial"/>
          <w:lang w:val="en"/>
        </w:rPr>
        <w:t xml:space="preserve"> , 2018).</w:t>
      </w:r>
    </w:p>
    <w:p w14:paraId="4BE4CEDA" w14:textId="77777777" w:rsidR="00BB7413" w:rsidRPr="002D44DF" w:rsidRDefault="00BB7413" w:rsidP="00BB7413">
      <w:pPr>
        <w:pStyle w:val="Body"/>
        <w:spacing w:after="0"/>
        <w:rPr>
          <w:rFonts w:ascii="Arial" w:hAnsi="Arial" w:cs="Arial"/>
          <w:lang w:val="en"/>
        </w:rPr>
      </w:pPr>
    </w:p>
    <w:p w14:paraId="23E05976"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Distribution of pesticide families</w:t>
      </w:r>
    </w:p>
    <w:p w14:paraId="70D4DCA8"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In surface waters, triazines and metabolites dominate (0.466 µg/L), followed by organophosphates (0.453 µg/L), substituted </w:t>
      </w:r>
      <w:proofErr w:type="spellStart"/>
      <w:r w:rsidRPr="002D44DF">
        <w:rPr>
          <w:rFonts w:ascii="Arial" w:hAnsi="Arial" w:cs="Arial"/>
          <w:lang w:val="en"/>
        </w:rPr>
        <w:t>ureas</w:t>
      </w:r>
      <w:proofErr w:type="spellEnd"/>
      <w:r w:rsidRPr="002D44DF">
        <w:rPr>
          <w:rFonts w:ascii="Arial" w:hAnsi="Arial" w:cs="Arial"/>
          <w:lang w:val="en"/>
        </w:rPr>
        <w:t xml:space="preserve"> (0.202 µg/L), organochlorines (0.175 µg/L), pyrethroids (0.077 µg/L) and carbamates (0.024 µg/L), reflecting the intensive use of triazine herbicides and their persistence in soils </w: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(Fingler</w:t>
      </w:r>
      <w:r w:rsidRPr="002D44DF">
        <w:rPr>
          <w:rFonts w:ascii="Arial" w:hAnsi="Arial" w:cs="Arial"/>
          <w:i/>
          <w:lang w:val="en"/>
        </w:rPr>
        <w:t xml:space="preserve"> et al.</w:t>
      </w:r>
      <w:r w:rsidRPr="002D44DF">
        <w:rPr>
          <w:rFonts w:ascii="Arial" w:hAnsi="Arial" w:cs="Arial"/>
          <w:lang w:val="en"/>
        </w:rPr>
        <w:t xml:space="preserve"> 2021, Gu</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In groundwater, organophosphates predominate (0.232 µg/L), followed by organochlorines (0.069 µg/L), substituted </w:t>
      </w:r>
      <w:proofErr w:type="spellStart"/>
      <w:r w:rsidRPr="002D44DF">
        <w:rPr>
          <w:rFonts w:ascii="Arial" w:hAnsi="Arial" w:cs="Arial"/>
          <w:lang w:val="en"/>
        </w:rPr>
        <w:t>ureas</w:t>
      </w:r>
      <w:proofErr w:type="spellEnd"/>
      <w:r w:rsidRPr="002D44DF">
        <w:rPr>
          <w:rFonts w:ascii="Arial" w:hAnsi="Arial" w:cs="Arial"/>
          <w:lang w:val="en"/>
        </w:rPr>
        <w:t xml:space="preserve"> (0.065 µg/L), carbamates (0.056 µg/L), pyrethroids (0.035 µg/L), and triazines (0.015 µg/L), due to their solubility and frequent use, which promote leaching </w:t>
      </w:r>
      <w:r w:rsidRPr="002D44DF">
        <w:rPr>
          <w:rFonts w:ascii="Arial" w:hAnsi="Arial" w:cs="Arial"/>
          <w:lang w:val="en"/>
        </w:rPr>
        <w:fldChar w:fldCharType="begin"/>
      </w:r>
      <w:r w:rsidRPr="002D44DF">
        <w:rPr>
          <w:rFonts w:ascii="Arial" w:hAnsi="Arial" w:cs="Arial"/>
          <w:lang w:val="en"/>
        </w:rPr>
        <w:instrText xml:space="preserve"> ADDIN EN.CITE &lt;EndNote&gt;&lt;Cite&gt;&lt;Author&gt;Müller&lt;/Author&gt;&lt;Year&gt;2002&lt;/Year&gt;&lt;RecNum&gt;7&lt;/RecNum&gt;&lt;DisplayText&gt;(Müller&lt;style face="italic"&gt; et al.&lt;/style&gt; 2002)&lt;/DisplayText&gt;&lt;record&gt;&lt;rec-number&gt;7&lt;/rec-number&gt;&lt;foreign-keys&gt;&lt;key app="EN" db-id="e5vee2s5eededqe9ft3xrftxwasr55xptx0f" timestamp="1766398892"&gt;7&lt;/key&gt;&lt;/foreign-keys&gt;&lt;ref-type name="Journal Article"&gt;17&lt;/ref-type&gt;&lt;contributors&gt;&lt;authors&gt;&lt;author&gt;Müller, Karin&lt;/author&gt;&lt;author&gt;Bach, Martin&lt;/author&gt;&lt;author&gt;Hartmann, Holger&lt;/author&gt;&lt;author&gt;Spiteller, Michael&lt;/author&gt;&lt;author&gt;Frede, Hans</w:instrText>
      </w:r>
      <w:r w:rsidRPr="002D44DF">
        <w:rPr>
          <w:rFonts w:ascii="Cambria Math" w:hAnsi="Cambria Math" w:cs="Cambria Math"/>
          <w:lang w:val="en"/>
        </w:rPr>
        <w:instrText>‐</w:instrText>
      </w:r>
      <w:r w:rsidRPr="002D44DF">
        <w:rPr>
          <w:rFonts w:ascii="Arial" w:hAnsi="Arial" w:cs="Arial"/>
          <w:lang w:val="en"/>
        </w:rPr>
        <w:instrText>Georg  &lt;/author&gt;&lt;/authors&gt;&lt;/contributors&gt;&lt;titles&gt;&lt;title&gt;Point</w:instrText>
      </w:r>
      <w:r w:rsidRPr="002D44DF">
        <w:rPr>
          <w:rFonts w:ascii="Cambria Math" w:hAnsi="Cambria Math" w:cs="Cambria Math"/>
          <w:lang w:val="en"/>
        </w:rPr>
        <w:instrText>‐</w:instrText>
      </w:r>
      <w:r w:rsidRPr="002D44DF">
        <w:rPr>
          <w:rFonts w:ascii="Arial" w:hAnsi="Arial" w:cs="Arial"/>
          <w:lang w:val="en"/>
        </w:rPr>
        <w:instrText>and nonpoint</w:instrText>
      </w:r>
      <w:r w:rsidRPr="002D44DF">
        <w:rPr>
          <w:rFonts w:ascii="Cambria Math" w:hAnsi="Cambria Math" w:cs="Cambria Math"/>
          <w:lang w:val="en"/>
        </w:rPr>
        <w:instrText>‐</w:instrText>
      </w:r>
      <w:r w:rsidRPr="002D44DF">
        <w:rPr>
          <w:rFonts w:ascii="Arial" w:hAnsi="Arial" w:cs="Arial"/>
          <w:lang w:val="en"/>
        </w:rPr>
        <w:instrText>source pesticide contamination in the Zwester Ohm catchment, Germany&lt;/title&gt;&lt;secondary-title&gt;Journal of environmental quality&lt;/secondary-title&gt;&lt;/titles&gt;&lt;periodical&gt;&lt;full-title&gt;Journal of environmental quality&lt;/full-title&gt;&lt;/periodical&gt;&lt;pages&gt;309-318&lt;/pages&gt;&lt;volume&gt;31&lt;/volume&gt;&lt;number&gt;1&lt;/number&gt;&lt;dates&gt;&lt;year&gt;2002&lt;/year&gt;&lt;/dates&gt;&lt;isbn&gt;0047-2425&lt;/isbn&gt;&lt;urls&gt;&lt;/urls&gt;&lt;electronic-resource-num&gt;https://doi.org/10.2134/jeq2002.3090&lt;/electronic-resource-num&gt;&lt;/record&gt;&lt;/Cite&gt;&lt;/EndNote&gt;</w:instrText>
      </w:r>
      <w:r w:rsidRPr="002D44DF">
        <w:rPr>
          <w:rFonts w:ascii="Arial" w:hAnsi="Arial" w:cs="Arial"/>
          <w:lang w:val="en"/>
        </w:rPr>
        <w:fldChar w:fldCharType="separate"/>
      </w:r>
      <w:r w:rsidRPr="002D44DF">
        <w:rPr>
          <w:rFonts w:ascii="Arial" w:hAnsi="Arial" w:cs="Arial"/>
          <w:lang w:val="en"/>
        </w:rPr>
        <w:t>(Müller</w:t>
      </w:r>
      <w:r w:rsidRPr="002D44DF">
        <w:rPr>
          <w:rFonts w:ascii="Arial" w:hAnsi="Arial" w:cs="Arial"/>
          <w:i/>
          <w:lang w:val="en"/>
        </w:rPr>
        <w:t xml:space="preserve"> et al.</w:t>
      </w:r>
      <w:r w:rsidRPr="002D44DF">
        <w:rPr>
          <w:rFonts w:ascii="Arial" w:hAnsi="Arial" w:cs="Arial"/>
          <w:lang w:val="en"/>
        </w:rPr>
        <w:t xml:space="preserve"> 2002)</w:t>
      </w:r>
      <w:r w:rsidRPr="002D44DF">
        <w:rPr>
          <w:rFonts w:ascii="Arial" w:hAnsi="Arial" w:cs="Arial"/>
          <w:lang w:val="en-GB"/>
        </w:rPr>
        <w:fldChar w:fldCharType="end"/>
      </w:r>
      <w:r w:rsidRPr="002D44DF">
        <w:rPr>
          <w:rFonts w:ascii="Arial" w:hAnsi="Arial" w:cs="Arial"/>
          <w:lang w:val="en"/>
        </w:rPr>
        <w:t xml:space="preserve">. The persistence of organochlorines, despite the ban, reflects their chemical stability and historical or illicit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&lt;EndNote&gt;&lt;Cite&gt;&lt;Author&gt;Troiano&lt;/Author&gt;&lt;Year&gt;2001&lt;/Year&gt;&lt;RecNum&gt;8&lt;/RecNum&gt;&lt;DisplayText&gt;(Troiano&lt;style face="italic"&gt; et al.&lt;/style&gt; 2001)&lt;/DisplayText&gt;&lt;record&gt;&lt;rec-number&gt;8&lt;/rec-number&gt;&lt;foreign-keys&gt;&lt;key app="EN" db-id="e5vee2s5eededqe9ft3xrftxwasr55xptx0f" timestamp="1766399073"&gt;8&lt;/key&gt;&lt;/foreign-keys&gt;&lt;ref-type name="Journal Article"&gt;17&lt;/ref-type&gt;&lt;contributors&gt;&lt;authors&gt;&lt;author&gt;Troiano, John&lt;/author&gt;&lt;author&gt;Weaver, Don&lt;/author&gt;&lt;author&gt;Marade, Joe&lt;/author&gt;&lt;author&gt;Spurlock, Frank&lt;/author&gt;&lt;author&gt;Pepple, Mark&lt;/author&gt;&lt;author&gt;Nordmark, Craig&lt;/author&gt;&lt;author&gt;Bartkowiak, Donna &lt;/author&gt;&lt;/authors&gt;&lt;/contributors&gt;&lt;titles&gt;&lt;title&gt;Summary of well water sampling in California to detect pesticide residues resulting from nonpoint</w:instrText>
      </w:r>
      <w:r w:rsidRPr="002D44DF">
        <w:rPr>
          <w:rFonts w:ascii="Cambria Math" w:hAnsi="Cambria Math" w:cs="Cambria Math"/>
          <w:lang w:val="en"/>
        </w:rPr>
        <w:instrText>‐</w:instrText>
      </w:r>
      <w:r w:rsidRPr="002D44DF">
        <w:rPr>
          <w:rFonts w:ascii="Arial" w:hAnsi="Arial" w:cs="Arial"/>
          <w:lang w:val="en"/>
        </w:rPr>
        <w:instrText>source applications&lt;/title&gt;&lt;secondary-title&gt;Journal of Environmental Quality&lt;/secondary-title&gt;&lt;/titles&gt;&lt;periodical&gt;&lt;full-title&gt;Journal of environmental quality&lt;/full-title&gt;&lt;/periodical&gt;&lt;pages&gt;448-459&lt;/pages&gt;&lt;volume&gt;30&lt;/volume&gt;&lt;number&gt;2&lt;/number&gt;&lt;dates&gt;&lt;year&gt;2001&lt;/year&gt;&lt;/dates&gt;&lt;isbn&gt;0047-2425&lt;/isbn&gt;&lt;urls&gt;&lt;/urls&gt;&lt;electronic-resource-num&gt;https://doi.org/10.2134/jeq2001.302448x&lt;/electronic-resource-num&gt;&lt;/record&gt;&lt;/Cite&gt;&lt;/EndNote&gt;</w:instrText>
      </w:r>
      <w:r w:rsidRPr="002D44DF">
        <w:rPr>
          <w:rFonts w:ascii="Arial" w:hAnsi="Arial" w:cs="Arial"/>
          <w:lang w:val="en"/>
        </w:rPr>
        <w:fldChar w:fldCharType="separate"/>
      </w:r>
      <w:r w:rsidRPr="002D44DF">
        <w:rPr>
          <w:rFonts w:ascii="Arial" w:hAnsi="Arial" w:cs="Arial"/>
          <w:lang w:val="en"/>
        </w:rPr>
        <w:t>(Troiano</w:t>
      </w:r>
      <w:r w:rsidRPr="002D44DF">
        <w:rPr>
          <w:rFonts w:ascii="Arial" w:hAnsi="Arial" w:cs="Arial"/>
          <w:i/>
          <w:lang w:val="en"/>
        </w:rPr>
        <w:t xml:space="preserve"> et al.</w:t>
      </w:r>
      <w:r w:rsidRPr="002D44DF">
        <w:rPr>
          <w:rFonts w:ascii="Arial" w:hAnsi="Arial" w:cs="Arial"/>
          <w:lang w:val="en"/>
        </w:rPr>
        <w:t xml:space="preserve"> 2001)</w:t>
      </w:r>
      <w:r w:rsidRPr="002D44DF">
        <w:rPr>
          <w:rFonts w:ascii="Arial" w:hAnsi="Arial" w:cs="Arial"/>
          <w:lang w:val="en-GB"/>
        </w:rPr>
        <w:fldChar w:fldCharType="end"/>
      </w:r>
      <w:r w:rsidRPr="002D44DF">
        <w:rPr>
          <w:rFonts w:ascii="Arial" w:hAnsi="Arial" w:cs="Arial"/>
          <w:lang w:val="en"/>
        </w:rPr>
        <w:t xml:space="preserve">. Minor families, such as pyrethroids and carbamates, also present significant toxicological potential </w: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(Daam and Rico 2018)</w:t>
      </w:r>
      <w:r w:rsidRPr="002D44DF">
        <w:rPr>
          <w:rFonts w:ascii="Arial" w:hAnsi="Arial" w:cs="Arial"/>
          <w:lang w:val="en-GB"/>
        </w:rPr>
        <w:fldChar w:fldCharType="end"/>
      </w:r>
      <w:r w:rsidRPr="002D44DF">
        <w:rPr>
          <w:rFonts w:ascii="Arial" w:hAnsi="Arial" w:cs="Arial"/>
          <w:lang w:val="en"/>
        </w:rPr>
        <w:t>. These observations are part of a global context of groundwater pollution by pesticides, exacerbated by intensive agricultural practices and limited regulatory oversight</w: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(Malla</w:t>
      </w:r>
      <w:r w:rsidRPr="002D44DF">
        <w:rPr>
          <w:rFonts w:ascii="Arial" w:hAnsi="Arial" w:cs="Arial"/>
          <w:i/>
          <w:lang w:val="en"/>
        </w:rPr>
        <w:t xml:space="preserve"> et al.</w:t>
      </w:r>
      <w:r w:rsidRPr="002D44DF">
        <w:rPr>
          <w:rFonts w:ascii="Arial" w:hAnsi="Arial" w:cs="Arial"/>
          <w:lang w:val="en"/>
        </w:rPr>
        <w:t xml:space="preserve"> 2021, Acharya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w:t>
      </w:r>
    </w:p>
    <w:p w14:paraId="3121FC3D" w14:textId="77777777" w:rsidR="002D44DF" w:rsidRPr="002D44DF" w:rsidRDefault="002D44DF" w:rsidP="002D44DF">
      <w:pPr>
        <w:pStyle w:val="Body"/>
        <w:spacing w:after="0"/>
        <w:rPr>
          <w:rFonts w:ascii="Arial" w:hAnsi="Arial" w:cs="Arial"/>
          <w:lang w:val="en"/>
        </w:rPr>
      </w:pPr>
    </w:p>
    <w:p w14:paraId="7FD67684"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lastRenderedPageBreak/>
        <w:t>Water resource quality indices</w:t>
      </w:r>
    </w:p>
    <w:p w14:paraId="618D954B"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The contamination index (CI) and alteration index (AI) confirm a significant deterioration in water quality. For surface waters, the CI ranges from 1.31 to 2.08 (mean 1.63), indicating a significant impact of pesticides </w:t>
      </w:r>
      <w:r w:rsidRPr="002D44DF">
        <w:rPr>
          <w:rFonts w:ascii="Arial" w:hAnsi="Arial" w:cs="Arial"/>
          <w:lang w:val="en"/>
        </w:rPr>
        <w:fldChar w:fldCharType="begin"/>
      </w:r>
      <w:r w:rsidRPr="002D44DF">
        <w:rPr>
          <w:rFonts w:ascii="Arial" w:hAnsi="Arial" w:cs="Arial"/>
          <w:lang w:val="en"/>
        </w:rPr>
        <w:instrText xml:space="preserve"> ADDIN EN.CITE &lt;EndNote&gt;&lt;Cite&gt;&lt;Author&gt;Ariza Restrepo&lt;/Author&gt;&lt;Year&gt;2023&lt;/Year&gt;&lt;RecNum&gt;3&lt;/RecNum&gt;&lt;DisplayText&gt;(Ariza Restrepo&lt;style face="italic"&gt; et al.&lt;/style&gt; 2023)&lt;/DisplayText&gt;&lt;record&gt;&lt;rec-number&gt;3&lt;/rec-number&gt;&lt;foreign-keys&gt;&lt;key app="EN" db-id="e5vee2s5eededqe9ft3xrftxwasr55xptx0f" timestamp="1766396186"&gt;3&lt;/key&gt;&lt;/foreign-keys&gt;&lt;ref-type name="Journal Article"&gt;17&lt;/ref-type&gt;&lt;contributors&gt;&lt;authors&gt;&lt;author&gt;Ariza Restrepo, Jaime Luis&lt;/author&gt;&lt;author&gt;Rodriguez Diaz, Yim James&lt;/author&gt;&lt;author&gt;Onate Barraza, Hernando Carlos &lt;/author&gt;&lt;/authors&gt;&lt;/contributors&gt;&lt;titles&gt;&lt;title&gt;Water quality indices (WQI) and contamination indices (WPI) a bibliographic review&lt;/title&gt;&lt;secondary-title&gt;Tecnura&lt;/secondary-title&gt;&lt;/titles&gt;&lt;periodical&gt;&lt;full-title&gt;Tecnura&lt;/full-title&gt;&lt;/periodical&gt;&lt;pages&gt;121-140&lt;/pages&gt;&lt;volume&gt;27&lt;/volume&gt;&lt;number&gt;77&lt;/number&gt;&lt;dates&gt;&lt;year&gt;2023&lt;/year&gt;&lt;/dates&gt;&lt;isbn&gt;0123-921X&lt;/isbn&gt;&lt;urls&gt;&lt;/urls&gt;&lt;/record&gt;&lt;/Cite&gt;&lt;/EndNote&gt;</w:instrText>
      </w:r>
      <w:r w:rsidRPr="002D44DF">
        <w:rPr>
          <w:rFonts w:ascii="Arial" w:hAnsi="Arial" w:cs="Arial"/>
          <w:lang w:val="en"/>
        </w:rPr>
        <w:fldChar w:fldCharType="separate"/>
      </w:r>
      <w:r w:rsidRPr="002D44DF">
        <w:rPr>
          <w:rFonts w:ascii="Arial" w:hAnsi="Arial" w:cs="Arial"/>
          <w:lang w:val="en"/>
        </w:rPr>
        <w:t>(Ariza Restrepo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According to the AI, 70.3% of the samples exhibit very poor quality, with concentrations exceeding WHO and European thresholds (0.1 µg/L per pesticide and 0.5 µg/L for the total). In groundwater, the ICP is between 1 and 1.5 (mean = 1.28), indicating lower but persistent pollution, with 39.14% of samples of poor quality. However, the IAP reveals that 97.4% of wells exceed the limit of 0.5 µg/L, highlighting diffuse and chronic contamination of groundwater, aggravated by unregulated agricultural practices and the absence of integrated management </w:t>
      </w:r>
      <w:r w:rsidRPr="002D44DF">
        <w:rPr>
          <w:rFonts w:ascii="Arial" w:hAnsi="Arial" w:cs="Arial"/>
          <w:lang w:val="en"/>
        </w:rPr>
        <w:fldChar w:fldCharType="begin"/>
      </w:r>
      <w:r w:rsidRPr="002D44DF">
        <w:rPr>
          <w:rFonts w:ascii="Arial" w:hAnsi="Arial" w:cs="Arial"/>
          <w:lang w:val="en"/>
        </w:rPr>
        <w:instrText xml:space="preserve"> ADDIN EN.CITE &lt;EndNote&gt;&lt;Cite&gt;&lt;Author&gt;Soro&lt;/Author&gt;&lt;Year&gt;2022&lt;/Year&gt;&lt;RecNum&gt;4&lt;/RecNum&gt;&lt;DisplayText&gt;(Soro&lt;style face="italic"&gt; et al.&lt;/style&gt; 2022)&lt;/DisplayText&gt;&lt;record&gt;&lt;rec-number&gt;4&lt;/rec-number&gt;&lt;foreign-keys&gt;&lt;key app="EN" db-id="e5vee2s5eededqe9ft3xrftxwasr55xptx0f" timestamp="1766398238"&gt;4&lt;/key&gt;&lt;/foreign-keys&gt;&lt;ref-type name="Journal Article"&gt;17&lt;/ref-type&gt;&lt;contributors&gt;&lt;authors&gt;&lt;author&gt;Soro, Tanina Drissa&lt;/author&gt;&lt;author&gt;Fossou, Nguessan Marie Rosine&lt;/author&gt;&lt;author&gt;Kone, Gogbeu Yiba Magloire&lt;/author&gt;&lt;author&gt;Oga, Yéi Marie-Solange&lt;/author&gt;&lt;author&gt;Soro, Nagnin &lt;/author&gt;&lt;/authors&gt;&lt;/contributors&gt;&lt;titles&gt;&lt;title&gt;Evaluation de la qualité des eaux souterraines du département de Grand-Lahou (Sud-Ouest de la Côte d&amp;apos;Ivoire) à partir de l&amp;apos;indice WQI&lt;/title&gt;&lt;secondary-title&gt;International Journal of Innovation Applied Studies&lt;/secondary-title&gt;&lt;/titles&gt;&lt;periodical&gt;&lt;full-title&gt;International Journal of Innovation Applied Studies&lt;/full-title&gt;&lt;/periodical&gt;&lt;pages&gt;417-427&lt;/pages&gt;&lt;volume&gt;38&lt;/volume&gt;&lt;number&gt;2&lt;/number&gt;&lt;dates&gt;&lt;year&gt;2022&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(Soro</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These results confirm the urgency of monitoring measures and sustainable agricultural strategies to protect local water resources.</w:t>
      </w:r>
    </w:p>
    <w:p w14:paraId="0FA55B74" w14:textId="77777777" w:rsidR="002D44DF" w:rsidRPr="002D44DF" w:rsidRDefault="002D44DF" w:rsidP="002D44DF">
      <w:pPr>
        <w:pStyle w:val="Body"/>
        <w:spacing w:after="0"/>
        <w:rPr>
          <w:rFonts w:ascii="Arial" w:hAnsi="Arial" w:cs="Arial"/>
          <w:lang w:val="en"/>
        </w:rPr>
      </w:pPr>
    </w:p>
    <w:p w14:paraId="55B2389F" w14:textId="77777777" w:rsidR="002D44DF" w:rsidRPr="002D44DF" w:rsidRDefault="002D44DF" w:rsidP="002D44DF">
      <w:pPr>
        <w:pStyle w:val="Body"/>
        <w:spacing w:after="0"/>
        <w:rPr>
          <w:rFonts w:ascii="Arial" w:hAnsi="Arial" w:cs="Arial"/>
          <w:b/>
          <w:bCs/>
          <w:lang w:val="en"/>
        </w:rPr>
      </w:pPr>
      <w:r w:rsidRPr="002D44DF">
        <w:rPr>
          <w:rFonts w:ascii="Arial" w:hAnsi="Arial" w:cs="Arial"/>
          <w:b/>
          <w:bCs/>
          <w:lang w:val="en"/>
        </w:rPr>
        <w:t>Multivariate analysis of site-contaminant relationships</w:t>
      </w:r>
    </w:p>
    <w:p w14:paraId="3133108B"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spatial structuring of pesticide contamination revealed by PCA in this study aligns well with recent research using similar multivariate techniques. For instance, a 2025 investigation of organophosphorus pesticides in groundwater from the Campania Plain (Southern Italy) identified </w:t>
      </w:r>
      <w:r w:rsidRPr="002D44DF">
        <w:rPr>
          <w:rFonts w:ascii="Arial" w:hAnsi="Arial" w:cs="Arial"/>
          <w:bCs/>
          <w:lang w:val="en"/>
        </w:rPr>
        <w:t>Dimethoate, Chlorpyrifos, and Parathion</w:t>
      </w:r>
      <w:r w:rsidRPr="002D44DF">
        <w:rPr>
          <w:rFonts w:ascii="Arial" w:hAnsi="Arial" w:cs="Arial"/>
          <w:b/>
          <w:lang w:val="en"/>
        </w:rPr>
        <w:t xml:space="preserve"> </w:t>
      </w:r>
      <w:r w:rsidRPr="002D44DF">
        <w:rPr>
          <w:rFonts w:ascii="Arial" w:hAnsi="Arial" w:cs="Arial"/>
          <w:lang w:val="en"/>
        </w:rPr>
        <w:t xml:space="preserve">as the most prevalent contaminants and demonstrated strong correlations between pesticide distribution, land use, and agricultural intensity using PCA, highlighting contamination hotspots in intensively farmed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&lt;EndNote&gt;&lt;Cite&gt;&lt;Author&gt;De Rosa&lt;/Author&gt;&lt;Year&gt;2025&lt;/Year&gt;&lt;RecNum&gt;1&lt;/RecNum&gt;&lt;DisplayText&gt;(De Rosa&lt;style face="italic"&gt; et al.&lt;/style&gt; 2025)&lt;/DisplayText&gt;&lt;record&gt;&lt;rec-number&gt;1&lt;/rec-number&gt;&lt;foreign-keys&gt;&lt;key app="EN" db-id="5arwtxpf3w0vfler5pzxa0v3z5t5etx0ratz" timestamp="1766257139"&gt;1&lt;/key&gt;&lt;/foreign-keys&gt;&lt;ref-type name="Journal Article"&gt;17&lt;/ref-type&gt;&lt;contributors&gt;&lt;authors&gt;&lt;author&gt;De Rosa, Elvira&lt;/author&gt;&lt;author&gt;Cerino, Pellegrino&lt;/author&gt;&lt;author&gt;Triassi, Maria&lt;/author&gt;&lt;author&gt;Di Duca, Fabiana&lt;/author&gt;&lt;author&gt;Porreca, Annamaria&lt;/author&gt;&lt;author&gt;Russo, Immacolata&lt;/author&gt;&lt;author&gt;Scippa, Stefano&lt;/author&gt;&lt;author&gt;Venuta, Alessandro&lt;/author&gt;&lt;author&gt;Coppola, Annachiara&lt;/author&gt;&lt;author&gt;Pizzolante, Antonio&lt;/author&gt;&lt;author&gt;Nicodemo, Federico&lt;/author&gt;&lt;author&gt;Trama, Ugo&lt;/author&gt;&lt;author&gt;Policino, Fabio&lt;/author&gt;&lt;author&gt;Montuori, Paolo&lt;/author&gt;&lt;/authors&gt;&lt;/contributors&gt;&lt;titles&gt;&lt;title&gt;Contamination assessment and risk evaluation of organophosphorus pesticides in groundwater: A study on contamination patterns and implications&lt;/title&gt;&lt;secondary-title&gt;Journal of Hazardous Materials Advances&lt;/secondary-title&gt;&lt;/titles&gt;&lt;periodical&gt;&lt;full-title&gt;Journal of Hazardous Materials Advances&lt;/full-title&gt;&lt;/periodical&gt;&lt;pages&gt;100701&lt;/pages&gt;&lt;volume&gt;18&lt;/volume&gt;&lt;dates&gt;&lt;year&gt;2025&lt;/year&gt;&lt;pub-dates&gt;&lt;date&gt;2025/05/01/&lt;/date&gt;&lt;/pub-dates&gt;&lt;/dates&gt;&lt;isbn&gt;2772-4166&lt;/isbn&gt;&lt;urls&gt;&lt;related-urls&gt;&lt;url&gt;https://www.sciencedirect.com/science/article/pii/S2772416625001135&lt;/url&gt;&lt;/related-urls&gt;&lt;/urls&gt;&lt;electronic-resource-num&gt;https://doi.org/10.1016/j.hazadv.2025.100701&lt;/electronic-resource-num&gt;&lt;/record&gt;&lt;/Cite&gt;&lt;/EndNote&gt;</w:instrText>
      </w:r>
      <w:r w:rsidRPr="002D44DF">
        <w:rPr>
          <w:rFonts w:ascii="Arial" w:hAnsi="Arial" w:cs="Arial"/>
          <w:lang w:val="en"/>
        </w:rPr>
        <w:fldChar w:fldCharType="separate"/>
      </w:r>
      <w:r w:rsidRPr="002D44DF">
        <w:rPr>
          <w:rFonts w:ascii="Arial" w:hAnsi="Arial" w:cs="Arial"/>
          <w:lang w:val="en"/>
        </w:rPr>
        <w:t>(De Rosa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 xml:space="preserve">. Studies in other agricultural regions, such as the </w:t>
      </w:r>
      <w:proofErr w:type="spellStart"/>
      <w:r w:rsidRPr="002D44DF">
        <w:rPr>
          <w:rFonts w:ascii="Arial" w:hAnsi="Arial" w:cs="Arial"/>
          <w:lang w:val="en"/>
        </w:rPr>
        <w:t>Júcar</w:t>
      </w:r>
      <w:proofErr w:type="spellEnd"/>
      <w:r w:rsidRPr="002D44DF">
        <w:rPr>
          <w:rFonts w:ascii="Arial" w:hAnsi="Arial" w:cs="Arial"/>
          <w:lang w:val="en"/>
        </w:rPr>
        <w:t xml:space="preserve"> River Basin in Spain, also report </w:t>
      </w:r>
      <w:r w:rsidRPr="002D44DF">
        <w:rPr>
          <w:rFonts w:ascii="Arial" w:hAnsi="Arial" w:cs="Arial"/>
          <w:bCs/>
          <w:lang w:val="en"/>
        </w:rPr>
        <w:t>marked spatial variability in pesticide contamination of groundwater</w:t>
      </w:r>
      <w:r w:rsidRPr="002D44DF">
        <w:rPr>
          <w:rFonts w:ascii="Arial" w:hAnsi="Arial" w:cs="Arial"/>
          <w:lang w:val="en"/>
        </w:rPr>
        <w:t xml:space="preserve">, where concentrations reflect the intensity of agricultural land use </w:t>
      </w:r>
      <w:r w:rsidRPr="002D44DF">
        <w:rPr>
          <w:rFonts w:ascii="Arial" w:hAnsi="Arial" w:cs="Arial"/>
          <w:lang w:val="en"/>
        </w:rPr>
        <w:fldChar w:fldCharType="begin"/>
      </w:r>
      <w:r w:rsidRPr="002D44DF">
        <w:rPr>
          <w:rFonts w:ascii="Arial" w:hAnsi="Arial" w:cs="Arial"/>
          <w:lang w:val="en"/>
        </w:rPr>
        <w:instrText xml:space="preserve"> ADDIN EN.CITE &lt;EndNote&gt;&lt;Cite&gt;&lt;Author&gt;Pérez-Indoval&lt;/Author&gt;&lt;Year&gt;2024&lt;/Year&gt;&lt;RecNum&gt;2&lt;/RecNum&gt;&lt;DisplayText&gt;(Pérez-Indoval and Romero-López 2024)&lt;/DisplayText&gt;&lt;record&gt;&lt;rec-number&gt;2&lt;/rec-number&gt;&lt;foreign-keys&gt;&lt;key app="EN" db-id="5arwtxpf3w0vfler5pzxa0v3z5t5etx0ratz" timestamp="1766258041"&gt;2&lt;/key&gt;&lt;/foreign-keys&gt;&lt;ref-type name="Journal Article"&gt;17&lt;/ref-type&gt;&lt;contributors&gt;&lt;authors&gt;&lt;author&gt;Pérez-Indoval, Ricardo&lt;/author&gt;&lt;author&gt;Romero-López, Rabindranarth&lt;/author&gt;&lt;/authors&gt;&lt;/contributors&gt;&lt;titles&gt;&lt;title&gt;Assessment of pesticide contamination in groundwater bodies in the Jucar River Basin (Spain) and its spatial distribution&lt;/title&gt;&lt;secondary-title&gt;Groundwater for Sustainable Development&lt;/secondary-title&gt;&lt;/titles&gt;&lt;periodical&gt;&lt;full-title&gt;Groundwater for Sustainable Development&lt;/full-title&gt;&lt;/periodical&gt;&lt;pages&gt;101118&lt;/pages&gt;&lt;volume&gt;25&lt;/volume&gt;&lt;dates&gt;&lt;year&gt;2024&lt;/year&gt;&lt;pub-dates&gt;&lt;date&gt;2024/05/01/&lt;/date&gt;&lt;/pub-dates&gt;&lt;/dates&gt;&lt;isbn&gt;2352-801X&lt;/isbn&gt;&lt;urls&gt;&lt;related-urls&gt;&lt;url&gt;https://www.sciencedirect.com/science/article/pii/S2352801X24000419&lt;/url&gt;&lt;/related-urls&gt;&lt;/urls&gt;&lt;electronic-resource-num&gt;https://doi.org/10.1016/j.gsd.2024.101118&lt;/electronic-resource-num&gt;&lt;/record&gt;&lt;/Cite&gt;&lt;/EndNote&gt;</w:instrText>
      </w:r>
      <w:r w:rsidRPr="002D44DF">
        <w:rPr>
          <w:rFonts w:ascii="Arial" w:hAnsi="Arial" w:cs="Arial"/>
          <w:lang w:val="en"/>
        </w:rPr>
        <w:fldChar w:fldCharType="separate"/>
      </w:r>
      <w:r w:rsidRPr="002D44DF">
        <w:rPr>
          <w:rFonts w:ascii="Arial" w:hAnsi="Arial" w:cs="Arial"/>
          <w:lang w:val="en"/>
        </w:rPr>
        <w:t>(Pérez-Indoval and Romero-López 2024)</w:t>
      </w:r>
      <w:r w:rsidRPr="002D44DF">
        <w:rPr>
          <w:rFonts w:ascii="Arial" w:hAnsi="Arial" w:cs="Arial"/>
          <w:lang w:val="en-GB"/>
        </w:rPr>
        <w:fldChar w:fldCharType="end"/>
      </w:r>
      <w:r w:rsidRPr="002D44DF">
        <w:rPr>
          <w:rFonts w:ascii="Arial" w:hAnsi="Arial" w:cs="Arial"/>
          <w:lang w:val="en"/>
        </w:rPr>
        <w:t xml:space="preserve">. These patterns support the interpretation that groups of sites with similar contamination profiles share common drivers related to agricultural practices and hydrological connectivity. In a broader context, global reviews of pesticide occurrence in rivers indicate that </w:t>
      </w:r>
      <w:r w:rsidRPr="002D44DF">
        <w:rPr>
          <w:rFonts w:ascii="Arial" w:hAnsi="Arial" w:cs="Arial"/>
          <w:bCs/>
          <w:lang w:val="en"/>
        </w:rPr>
        <w:t>organophosphorus compounds such as Chlorpyrifos and Malathion remain widespread in aquatic systems worldwide</w:t>
      </w:r>
      <w:r w:rsidRPr="002D44DF">
        <w:rPr>
          <w:rFonts w:ascii="Arial" w:hAnsi="Arial" w:cs="Arial"/>
          <w:lang w:val="en"/>
        </w:rPr>
        <w:t xml:space="preserve">, underscoring their frequent dominance in contamination profiles </w:t>
      </w:r>
      <w:r w:rsidRPr="002D44DF">
        <w:rPr>
          <w:rFonts w:ascii="Arial" w:hAnsi="Arial" w:cs="Arial"/>
          <w:lang w:val="en"/>
        </w:rPr>
        <w:fldChar w:fldCharType="begin"/>
      </w:r>
      <w:r w:rsidRPr="002D44DF">
        <w:rPr>
          <w:rFonts w:ascii="Arial" w:hAnsi="Arial" w:cs="Arial"/>
          <w:lang w:val="en"/>
        </w:rPr>
        <w:instrText xml:space="preserve"> ADDIN EN.CITE &lt;EndNote&gt;&lt;Cite&gt;&lt;Author&gt;López-Benítez&lt;/Author&gt;&lt;Year&gt;2024&lt;/Year&gt;&lt;RecNum&gt;3&lt;/RecNum&gt;&lt;DisplayText&gt;(López-Benítez&lt;style face="italic"&gt; et al.&lt;/style&gt; 2024)&lt;/DisplayText&gt;&lt;record&gt;&lt;rec-number&gt;3&lt;/rec-number&gt;&lt;foreign-keys&gt;&lt;key app="EN" db-id="5arwtxpf3w0vfler5pzxa0v3z5t5etx0ratz" timestamp="1766258155"&gt;3&lt;/key&gt;&lt;/foreign-keys&gt;&lt;ref-type name="Journal Article"&gt;17&lt;/ref-type&gt;&lt;contributors&gt;&lt;authors&gt;&lt;author&gt;López-Benítez, Acela&lt;/author&gt;&lt;author&gt;Guevara-Lara, Alfredo&lt;/author&gt;&lt;author&gt;Domínguez-Crespo, Miguel A.&lt;/author&gt;&lt;author&gt;Andraca-Adame, José A.&lt;/author&gt;&lt;author&gt;Torres-Huerta, Aidé M.&lt;/author&gt;&lt;/authors&gt;&lt;/contributors&gt;&lt;titles&gt;&lt;title&gt;Concentrations of Organochlorine, Organophosphorus, and Pyrethroid Pesticides in Rivers Worldwide (2014–2024): A Review&lt;/title&gt;&lt;/titles&gt;&lt;pages&gt;8066&lt;/pages&gt;&lt;volume&gt;16&lt;/volume&gt;&lt;number&gt;18&lt;/number&gt;&lt;dates&gt;&lt;year&gt;2024&lt;/year&gt;&lt;/dates&gt;&lt;isbn&gt;2071-1050&lt;/isbn&gt;&lt;accession-num&gt;doi:10.3390/su16188066&lt;/accession-num&gt;&lt;urls&gt;&lt;related-urls&gt;&lt;url&gt;https://www.mdpi.com/2071-1050/16/18/8066&lt;/url&gt;&lt;/related-urls&gt;&lt;/urls&gt;&lt;electronic-resource-num&gt;https://doi.org/10.3390/su16188066&lt;/electronic-resource-num&gt;&lt;/record&gt;&lt;/Cite&gt;&lt;/EndNote&gt;</w:instrText>
      </w:r>
      <w:r w:rsidRPr="002D44DF">
        <w:rPr>
          <w:rFonts w:ascii="Arial" w:hAnsi="Arial" w:cs="Arial"/>
          <w:lang w:val="en"/>
        </w:rPr>
        <w:fldChar w:fldCharType="separate"/>
      </w:r>
      <w:r w:rsidRPr="002D44DF">
        <w:rPr>
          <w:rFonts w:ascii="Arial" w:hAnsi="Arial" w:cs="Arial"/>
          <w:lang w:val="en"/>
        </w:rPr>
        <w:t>(López-Benítez</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w:t>
      </w:r>
      <w:hyperlink r:id="rId19" w:tgtFrame="_blank" w:history="1"/>
      <w:r w:rsidRPr="002D44DF">
        <w:rPr>
          <w:rFonts w:ascii="Arial" w:hAnsi="Arial" w:cs="Arial"/>
          <w:lang w:val="en"/>
        </w:rPr>
        <w:t xml:space="preserve">Furthermore, regional monitoring data show that </w:t>
      </w:r>
      <w:r w:rsidRPr="002D44DF">
        <w:rPr>
          <w:rFonts w:ascii="Arial" w:hAnsi="Arial" w:cs="Arial"/>
          <w:bCs/>
          <w:lang w:val="en"/>
        </w:rPr>
        <w:t>pesticides continue to be detected above regulatory thresholds in both surface water and groundwater across Europe</w:t>
      </w:r>
      <w:r w:rsidRPr="002D44DF">
        <w:rPr>
          <w:rFonts w:ascii="Arial" w:hAnsi="Arial" w:cs="Arial"/>
          <w:lang w:val="en"/>
        </w:rPr>
        <w:t xml:space="preserve">, providing additional evidence of pervasive agricultural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&lt;EndNote&gt;&lt;Cite&gt;&lt;Author&gt;Baran&lt;/Author&gt;&lt;Year&gt;2022&lt;/Year&gt;&lt;RecNum&gt;7&lt;/RecNum&gt;&lt;DisplayText&gt;(Baran&lt;style face="italic"&gt; et al.&lt;/style&gt; 2022)&lt;/DisplayText&gt;&lt;record&gt;&lt;rec-number&gt;7&lt;/rec-number&gt;&lt;foreign-keys&gt;&lt;key app="EN" db-id="5arwtxpf3w0vfler5pzxa0v3z5t5etx0ratz" timestamp="1766258967"&gt;7&lt;/key&gt;&lt;/foreign-keys&gt;&lt;ref-type name="Journal Article"&gt;17&lt;/ref-type&gt;&lt;contributors&gt;&lt;authors&gt;&lt;author&gt;Baran, Nicole&lt;/author&gt;&lt;author&gt;Rosenbom, Annette Elisabeth&lt;/author&gt;&lt;author&gt;Kozel, Ronald&lt;/author&gt;&lt;author&gt;Lapworth, Dan&lt;/author&gt;&lt;/authors&gt;&lt;/contributors&gt;&lt;titles&gt;&lt;title&gt;Pesticides and their metabolites in European groundwater: Comparing regulations and approaches to monitoring in France, Denmark, England and Switzerland&lt;/title&gt;&lt;secondary-title&gt;Science of The Total Environment&lt;/secondary-title&gt;&lt;/titles&gt;&lt;periodical&gt;&lt;full-title&gt;Science of The Total Environment&lt;/full-title&gt;&lt;/periodical&gt;&lt;pages&gt;156696&lt;/pages&gt;&lt;volume&gt;842&lt;/volume&gt;&lt;dates&gt;&lt;year&gt;2022&lt;/year&gt;&lt;pub-dates&gt;&lt;date&gt;2022/10/10/&lt;/date&gt;&lt;/pub-dates&gt;&lt;/dates&gt;&lt;isbn&gt;0048-9697&lt;/isbn&gt;&lt;urls&gt;&lt;related-urls&gt;&lt;url&gt;https://www.sciencedirect.com/science/article/pii/S0048969722037937&lt;/url&gt;&lt;/related-urls&gt;&lt;/urls&gt;&lt;electronic-resource-num&gt;https://doi.org/10.1016/j.scitotenv.2022.156696&lt;/electronic-resource-num&gt;&lt;/record&gt;&lt;/Cite&gt;&lt;/EndNote&gt;</w:instrText>
      </w:r>
      <w:r w:rsidRPr="002D44DF">
        <w:rPr>
          <w:rFonts w:ascii="Arial" w:hAnsi="Arial" w:cs="Arial"/>
          <w:lang w:val="en"/>
        </w:rPr>
        <w:fldChar w:fldCharType="separate"/>
      </w:r>
      <w:r w:rsidRPr="002D44DF">
        <w:rPr>
          <w:rFonts w:ascii="Arial" w:hAnsi="Arial" w:cs="Arial"/>
          <w:lang w:val="en"/>
        </w:rPr>
        <w:t>(Baran</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Collectively, these findings confirm that pesticide distribution is influenced by land use, hydrology, and contaminant properties, and that multivariate statistical methods like PCA are effective tools for discriminating sources and interpreting complex contamination patterns.</w:t>
      </w:r>
    </w:p>
    <w:p w14:paraId="0F0E63BD" w14:textId="77777777" w:rsidR="002D44DF" w:rsidRPr="00DE62A3" w:rsidRDefault="002D44DF" w:rsidP="00441B6F">
      <w:pPr>
        <w:pStyle w:val="Body"/>
        <w:spacing w:after="0"/>
        <w:rPr>
          <w:rFonts w:ascii="Arial" w:hAnsi="Arial" w:cs="Arial"/>
          <w:lang w:val="en-GB"/>
        </w:rPr>
      </w:pPr>
    </w:p>
    <w:p w14:paraId="361508D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006536" w14:textId="77777777" w:rsidR="00790ADA" w:rsidRPr="00FB3A86" w:rsidRDefault="00790ADA" w:rsidP="00441B6F">
      <w:pPr>
        <w:pStyle w:val="ConcHead"/>
        <w:spacing w:after="0"/>
        <w:jc w:val="both"/>
        <w:rPr>
          <w:rFonts w:ascii="Arial" w:hAnsi="Arial" w:cs="Arial"/>
        </w:rPr>
      </w:pPr>
    </w:p>
    <w:p w14:paraId="0A37AB4D" w14:textId="77777777" w:rsidR="00790ADA" w:rsidRDefault="00BB7413" w:rsidP="00441B6F">
      <w:pPr>
        <w:pStyle w:val="Body"/>
        <w:spacing w:after="0"/>
        <w:rPr>
          <w:rFonts w:ascii="Arial" w:hAnsi="Arial" w:cs="Arial"/>
          <w:lang w:val="en"/>
        </w:rPr>
      </w:pPr>
      <w:r w:rsidRPr="00BB7413">
        <w:rPr>
          <w:rFonts w:ascii="Arial" w:hAnsi="Arial" w:cs="Arial"/>
          <w:lang w:val="en"/>
        </w:rPr>
        <w:t xml:space="preserve">This study highlights the growing vulnerability of urban and peri-urban water resources in </w:t>
      </w:r>
      <w:proofErr w:type="spellStart"/>
      <w:r w:rsidRPr="00BB7413">
        <w:rPr>
          <w:rFonts w:ascii="Arial" w:hAnsi="Arial" w:cs="Arial"/>
          <w:lang w:val="en"/>
        </w:rPr>
        <w:t>Korhogo</w:t>
      </w:r>
      <w:proofErr w:type="spellEnd"/>
      <w:r w:rsidRPr="00BB7413">
        <w:rPr>
          <w:rFonts w:ascii="Arial" w:hAnsi="Arial" w:cs="Arial"/>
          <w:lang w:val="en"/>
        </w:rPr>
        <w:t>, northern Côte d’Ivoire, under the combined pressures of rapid urbanization and intensive peri-urban agriculture. The results demonstrate that both surface water and groundwater are affected by pesticide contamination, with several compounds exceeding World Health Organization guideline values, posing potential risks to human health and ecosystem integrity. The detection of multiple pesticide families across interconnected water compartments underscores the importance of considering surface–groundwater interactions in urban water assessments. Water quality indices and multivariate analysis reveal that agricultural practices represent a dominant pressure on water resources, while local hydrogeological conditions modulate contamination pathways. These findings emphasize the need to integrate peri-urban agriculture into urban water governance frameworks. Strengthening pesticide regulation, improving monitoring programs, and promoting safer agricultural practices are essential to support sustainable urban water management and protect drinking water supplies in rapidly growing secondary cities of sub-Saharan Africa.</w:t>
      </w:r>
    </w:p>
    <w:p w14:paraId="14B364EB" w14:textId="77777777" w:rsidR="007614E9" w:rsidRPr="00BB7413" w:rsidRDefault="007614E9" w:rsidP="00441B6F">
      <w:pPr>
        <w:pStyle w:val="Body"/>
        <w:spacing w:after="0"/>
        <w:rPr>
          <w:rFonts w:ascii="Arial" w:hAnsi="Arial" w:cs="Arial"/>
          <w:b/>
          <w:lang w:val="en"/>
        </w:rPr>
      </w:pPr>
    </w:p>
    <w:p w14:paraId="328BFE07" w14:textId="77777777" w:rsidR="00860000" w:rsidRDefault="00860000" w:rsidP="00441B6F">
      <w:pPr>
        <w:pStyle w:val="ReferHead"/>
        <w:spacing w:after="0"/>
        <w:jc w:val="both"/>
        <w:rPr>
          <w:rFonts w:ascii="Arial" w:hAnsi="Arial" w:cs="Arial"/>
        </w:rPr>
      </w:pPr>
      <w:bookmarkStart w:id="0" w:name="_GoBack"/>
      <w:bookmarkEnd w:id="0"/>
    </w:p>
    <w:p w14:paraId="3F9D1DF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94961C" w14:textId="77777777" w:rsidR="00790ADA" w:rsidRPr="00FB3A86" w:rsidRDefault="00790ADA" w:rsidP="00441B6F">
      <w:pPr>
        <w:pStyle w:val="ReferHead"/>
        <w:spacing w:after="0"/>
        <w:jc w:val="both"/>
        <w:rPr>
          <w:rFonts w:ascii="Arial" w:hAnsi="Arial" w:cs="Arial"/>
        </w:rPr>
      </w:pPr>
    </w:p>
    <w:p w14:paraId="0DBF2DFC" w14:textId="7BE53C9B" w:rsidR="009D1C54" w:rsidRPr="009D1C54" w:rsidRDefault="007C762D" w:rsidP="009D1C54">
      <w:pPr>
        <w:pStyle w:val="Body"/>
        <w:rPr>
          <w:lang w:val="en"/>
        </w:rPr>
      </w:pPr>
      <w:r w:rsidRPr="007C762D">
        <w:rPr>
          <w:lang w:val="en-GB"/>
        </w:rPr>
        <w:fldChar w:fldCharType="begin"/>
      </w:r>
      <w:r w:rsidRPr="007C762D">
        <w:rPr>
          <w:lang w:val="en-GB"/>
        </w:rPr>
        <w:instrText xml:space="preserve"> ADDIN EN.REFLIST </w:instrText>
      </w:r>
      <w:r w:rsidRPr="007C762D">
        <w:rPr>
          <w:lang w:val="en-GB"/>
        </w:rPr>
        <w:fldChar w:fldCharType="separate"/>
      </w:r>
      <w:r w:rsidR="009D1C54" w:rsidRPr="009D1C54">
        <w:rPr>
          <w:lang w:val="en"/>
        </w:rPr>
        <w:t>Acharya, L.K., Paramaguru, P.K., Tripathi, K., Bhoi, T.K., Seth, P. &amp; Birah, A., 2025. Pesticide contamination in groundwater: Processes, risks, and mitigation strategies. Discover Agriculture, 3 (1), 152 Available from: https://doi.org/10.1007/s44279-025-00337-x.</w:t>
      </w:r>
    </w:p>
    <w:p w14:paraId="7A53D869" w14:textId="77777777" w:rsidR="009D1C54" w:rsidRPr="009D1C54" w:rsidRDefault="009D1C54" w:rsidP="009D1C54">
      <w:pPr>
        <w:pStyle w:val="Body"/>
        <w:rPr>
          <w:lang w:val="en"/>
        </w:rPr>
      </w:pPr>
      <w:r w:rsidRPr="009D1C54">
        <w:rPr>
          <w:lang w:val="en"/>
        </w:rPr>
        <w:t>Adjiri, O.A., Kone, B., Aka, N., Djabakate, I. &amp; Dibi, B., 2019. Physico-chemical characterization and source of mineralization of groundwater in the Daloa and Zoukougbeu departments, Côte d'Ivoire. International Journal of Biological Chemical Sciences, 13 (4), 2388-2401.</w:t>
      </w:r>
    </w:p>
    <w:p w14:paraId="7DA2395D" w14:textId="77777777" w:rsidR="009D1C54" w:rsidRPr="009D1C54" w:rsidRDefault="009D1C54" w:rsidP="009D1C54">
      <w:pPr>
        <w:pStyle w:val="Body"/>
        <w:rPr>
          <w:lang w:val="en"/>
        </w:rPr>
      </w:pPr>
      <w:r w:rsidRPr="009D1C54">
        <w:rPr>
          <w:lang w:val="en"/>
        </w:rPr>
        <w:t>Akognongbe, A.J., Mama, D., Vissin, E.W. &amp; Boko, M., 2014. Seasonal dynamics of the physico-chemical quality of surface waters in the Ouémé basin at the Beterou outlet. Rev. Ivoir. Sci. Technol, 24, 278-298.</w:t>
      </w:r>
    </w:p>
    <w:p w14:paraId="537FA37D" w14:textId="77777777" w:rsidR="009D1C54" w:rsidRPr="009D1C54" w:rsidRDefault="009D1C54" w:rsidP="009D1C54">
      <w:pPr>
        <w:pStyle w:val="Body"/>
        <w:rPr>
          <w:lang w:val="en"/>
        </w:rPr>
      </w:pPr>
      <w:r w:rsidRPr="009D1C54">
        <w:rPr>
          <w:lang w:val="en"/>
        </w:rPr>
        <w:t>Amadou, A., Gautier, K.O.J., Maxime, G.F., Solange, O.Y.M. &amp; Jean, B., 2020. Impacts of agrochemicals on water quality parameters in Aboisso region (south-east of Côte d'Ivoire). Current Journal of Applied Science Technology, 39 (46), 1-19.</w:t>
      </w:r>
    </w:p>
    <w:p w14:paraId="62AFD23E" w14:textId="77777777" w:rsidR="009D1C54" w:rsidRPr="009D1C54" w:rsidRDefault="009D1C54" w:rsidP="009D1C54">
      <w:pPr>
        <w:pStyle w:val="Body"/>
        <w:rPr>
          <w:lang w:val="en"/>
        </w:rPr>
      </w:pPr>
      <w:r w:rsidRPr="009D1C54">
        <w:rPr>
          <w:lang w:val="en"/>
        </w:rPr>
        <w:t>Ariza Restrepo, J.L., Rodriguez Diaz, Y.J. &amp; Onate Barraza, H.C., 2023. Water quality indices (WQI) and contamination indices (WPI): a bibliographic review. Tecnura, 27 (77), 121-140. Atto, Y. &amp; Monde, S.J., 2020. Assessment of the level of contamination of Lake Adaou (eastern Côte d'Ivoire) by phytosanitary products. Environmental Dynamics. International Journal of Geosciences and Environment, (45), 56-60.</w:t>
      </w:r>
    </w:p>
    <w:p w14:paraId="0E217A94" w14:textId="77777777" w:rsidR="009D1C54" w:rsidRPr="009D1C54" w:rsidRDefault="009D1C54" w:rsidP="009D1C54">
      <w:pPr>
        <w:pStyle w:val="Body"/>
        <w:rPr>
          <w:lang w:val="en"/>
        </w:rPr>
      </w:pPr>
      <w:r w:rsidRPr="009D1C54">
        <w:rPr>
          <w:lang w:val="en"/>
        </w:rPr>
        <w:t>Aydin Uncumusaoğlu, A. &amp; Akkan, T., 2017. Assessment of water quality of Yağlıdere stream (Turkey) using multivariate statistical techniques. Polish Journal of Environmental Studies, 26 (4), 1715-1723.</w:t>
      </w:r>
    </w:p>
    <w:p w14:paraId="35684261" w14:textId="77777777" w:rsidR="009D1C54" w:rsidRPr="009D1C54" w:rsidRDefault="009D1C54" w:rsidP="009D1C54">
      <w:pPr>
        <w:pStyle w:val="Body"/>
        <w:rPr>
          <w:lang w:val="en"/>
        </w:rPr>
      </w:pPr>
      <w:r w:rsidRPr="009D1C54">
        <w:rPr>
          <w:lang w:val="en"/>
        </w:rPr>
        <w:t>Ballé, G.R.S., 2024. Urban and peri-urban market gardening in the face of the scarcity of production factors in the city of Korhogo (Côte d'Ivoire). African Journal of Environment and Agriculture, 7 (4), 56-66.</w:t>
      </w:r>
    </w:p>
    <w:p w14:paraId="7BC74911" w14:textId="77777777" w:rsidR="009D1C54" w:rsidRPr="009D1C54" w:rsidRDefault="009D1C54" w:rsidP="009D1C54">
      <w:pPr>
        <w:pStyle w:val="Body"/>
        <w:rPr>
          <w:lang w:val="en"/>
        </w:rPr>
      </w:pPr>
      <w:r w:rsidRPr="009D1C54">
        <w:rPr>
          <w:lang w:val="en"/>
        </w:rPr>
        <w:t>Baran, N., Rosenbom, A.E., Kozel, R. &amp; Lapworth, D., 2022. Pesticides and their metabolites in European groundwater: Comparing regulations and approaches to monitoring in France, Denmark, England and Switzerland. Science of The Total Environment, 842, 156696 Available from: https://www.sciencedirect.com/science/article/pii/S0048969722037937.</w:t>
      </w:r>
    </w:p>
    <w:p w14:paraId="274B1C78" w14:textId="77777777" w:rsidR="009D1C54" w:rsidRPr="009D1C54" w:rsidRDefault="009D1C54" w:rsidP="009D1C54">
      <w:pPr>
        <w:pStyle w:val="Body"/>
        <w:rPr>
          <w:lang w:val="en"/>
        </w:rPr>
      </w:pPr>
      <w:r w:rsidRPr="009D1C54">
        <w:rPr>
          <w:lang w:val="en"/>
        </w:rPr>
        <w:t>Carvalho, F.P.J., 2017. Pesticides, environment, and food safety. Food Energy Security, 6 (2), 48-60.</w:t>
      </w:r>
    </w:p>
    <w:p w14:paraId="2D79A1BE" w14:textId="77777777" w:rsidR="00BB49E8" w:rsidRDefault="009D1C54" w:rsidP="009D1C54">
      <w:pPr>
        <w:pStyle w:val="Body"/>
        <w:rPr>
          <w:lang w:val="en"/>
        </w:rPr>
      </w:pPr>
      <w:r w:rsidRPr="009D1C54">
        <w:rPr>
          <w:lang w:val="en"/>
        </w:rPr>
        <w:t xml:space="preserve">Casado, J., Santillo, D. &amp; Johnston, P., 2018. Multi-residue analysis of pesticides in surface water by liquid chromatography quadrupole-Orbitrap high resolution tandem mass spectrometry. Anal Chim Acta, 1024, 1-17. Chow, R., Scheidegger, R., Doppler, T., Dietzel, A., Fenicia, F. &amp; Stamm, C.J.X., 2020. </w:t>
      </w:r>
    </w:p>
    <w:p w14:paraId="078FF4D9" w14:textId="709F61D8" w:rsidR="009D1C54" w:rsidRPr="009D1C54" w:rsidRDefault="009D1C54" w:rsidP="009D1C54">
      <w:pPr>
        <w:pStyle w:val="Body"/>
        <w:rPr>
          <w:lang w:val="en"/>
        </w:rPr>
      </w:pPr>
      <w:r w:rsidRPr="009D1C54">
        <w:rPr>
          <w:lang w:val="en"/>
        </w:rPr>
        <w:t>A review of long-term pesticide monitoring studies to assess surface water quality trends. Water research x, 9, 100064.</w:t>
      </w:r>
    </w:p>
    <w:p w14:paraId="38B0E6B9" w14:textId="77777777" w:rsidR="009D1C54" w:rsidRPr="009D1C54" w:rsidRDefault="009D1C54" w:rsidP="009D1C54">
      <w:pPr>
        <w:pStyle w:val="Body"/>
        <w:rPr>
          <w:lang w:val="en"/>
        </w:rPr>
      </w:pPr>
      <w:r w:rsidRPr="009D1C54">
        <w:rPr>
          <w:lang w:val="en"/>
        </w:rPr>
        <w:t>Coulibaly, T.H., 2024. Urban agriculture and supply of markets in the city of Korhogo (northern Ivory Coast). International Journal of Researchers, 5 (1), 438-454.</w:t>
      </w:r>
    </w:p>
    <w:p w14:paraId="75902264" w14:textId="77777777" w:rsidR="009D1C54" w:rsidRPr="009D1C54" w:rsidRDefault="009D1C54" w:rsidP="009D1C54">
      <w:pPr>
        <w:pStyle w:val="Body"/>
        <w:rPr>
          <w:lang w:val="en"/>
        </w:rPr>
      </w:pPr>
      <w:r w:rsidRPr="009D1C54">
        <w:rPr>
          <w:lang w:val="en"/>
        </w:rPr>
        <w:lastRenderedPageBreak/>
        <w:t>Daam, M.A. &amp; Rico, A., 2018. Freshwater shrimps as sensitive test species for the risk assessment of pesticides in the tropics. Environ Sci Pollut Res Int, 25 (14), 13235-13243.</w:t>
      </w:r>
    </w:p>
    <w:p w14:paraId="43F65FF9" w14:textId="77777777" w:rsidR="00BB49E8" w:rsidRDefault="009D1C54" w:rsidP="009D1C54">
      <w:pPr>
        <w:pStyle w:val="Body"/>
        <w:rPr>
          <w:lang w:val="en"/>
        </w:rPr>
      </w:pPr>
      <w:r w:rsidRPr="009D1C54">
        <w:rPr>
          <w:lang w:val="en"/>
        </w:rPr>
        <w:t>De Rosa, E., Cerino, P., Triassi, M., Di Duca, F., Porreca, A., Russo, I., Scippa, S., Venuta, A., Coppola, A., Pizzolante, A., Nicodemo, F., Trama, U., Policino, F. &amp; Montuori, P., 2025.</w:t>
      </w:r>
    </w:p>
    <w:p w14:paraId="358458B4" w14:textId="78251C11" w:rsidR="009D1C54" w:rsidRPr="009D1C54" w:rsidRDefault="009D1C54" w:rsidP="009D1C54">
      <w:pPr>
        <w:pStyle w:val="Body"/>
        <w:rPr>
          <w:lang w:val="en"/>
        </w:rPr>
      </w:pPr>
      <w:r w:rsidRPr="009D1C54">
        <w:rPr>
          <w:lang w:val="en"/>
        </w:rPr>
        <w:t>Contamination assessment and risk evaluation of organophosphorus pesticides in groundwater: A study on contamination patterns and implications. Journal of Hazardous Materials Advances, 18, 100701 Available from: https://www.sciencedirect.com/science/article/pii/S2772416625001135.</w:t>
      </w:r>
    </w:p>
    <w:p w14:paraId="5EAC6DAE" w14:textId="77777777" w:rsidR="009D1C54" w:rsidRDefault="009D1C54" w:rsidP="009D1C54">
      <w:pPr>
        <w:pStyle w:val="Body"/>
        <w:rPr>
          <w:lang w:val="en"/>
        </w:rPr>
      </w:pPr>
      <w:r w:rsidRPr="009D1C54">
        <w:rPr>
          <w:lang w:val="en"/>
        </w:rPr>
        <w:t>Dibi, B., Kouame, K.I., Konan-Waidhet, A.B., Savane, I., Biemi, J., Nedeff, V. &amp; Lazar, G., 2012. Impact of agriculture on the quality of groundwater resources in peri-urban zone of Songon (Ivory Coast). Environmental Engineering Management Journal, 11 (12), 2173-2182.</w:t>
      </w:r>
    </w:p>
    <w:p w14:paraId="3277494F" w14:textId="77777777" w:rsidR="009D1C54" w:rsidRPr="009D1C54" w:rsidRDefault="009D1C54" w:rsidP="009D1C54">
      <w:pPr>
        <w:pStyle w:val="Body"/>
        <w:rPr>
          <w:lang w:val="en"/>
        </w:rPr>
      </w:pPr>
      <w:r w:rsidRPr="009D1C54">
        <w:rPr>
          <w:lang w:val="en"/>
        </w:rPr>
        <w:t>Djahadi, S.D., Sandao, I., Ahmed, Y., Harouna, M. &amp; Ousmane, B., 2021. Physico-chemical characteristics of groundwater in the bedrock of the Goroubi watershed in the commune of Torodi/Liptako, Niger. International Journal of Biological Chemical Sciences, 15 (6), 2715-2729.</w:t>
      </w:r>
    </w:p>
    <w:p w14:paraId="25443AC9" w14:textId="77777777" w:rsidR="009D1C54" w:rsidRPr="009D1C54" w:rsidRDefault="009D1C54" w:rsidP="009D1C54">
      <w:pPr>
        <w:pStyle w:val="Body"/>
        <w:rPr>
          <w:lang w:val="en"/>
        </w:rPr>
      </w:pPr>
      <w:r w:rsidRPr="009D1C54">
        <w:rPr>
          <w:lang w:val="en"/>
        </w:rPr>
        <w:t>Dosso, M., Martin, T., Ouedraogo, R., Bancal, V., Deletre, E., Angbo-Kouakou, E., Masse, D. &amp; Avadi, A., 2025. Functional analysis of the peri-urban market gardening sector in Côte d'Ivoire (2021-2025).</w:t>
      </w:r>
    </w:p>
    <w:p w14:paraId="458FF7C0" w14:textId="77777777" w:rsidR="009D1C54" w:rsidRPr="009D1C54" w:rsidRDefault="009D1C54" w:rsidP="009D1C54">
      <w:pPr>
        <w:pStyle w:val="Body"/>
        <w:rPr>
          <w:lang w:val="en"/>
        </w:rPr>
      </w:pPr>
      <w:r w:rsidRPr="009D1C54">
        <w:rPr>
          <w:lang w:val="en"/>
        </w:rPr>
        <w:t>Doumbia, M. &amp; Kwadjo, K., 2009. Practices of pesticide use and management by market gardeners in Côte d'Ivoire: Case of the city of Abidjan and two of its suburbs (Dabou and Anyama). Journal of Applied Biosciences, 18, 992-1002.</w:t>
      </w:r>
    </w:p>
    <w:p w14:paraId="3F206C92" w14:textId="77777777" w:rsidR="009D1C54" w:rsidRPr="009D1C54" w:rsidRDefault="009D1C54" w:rsidP="009D1C54">
      <w:pPr>
        <w:pStyle w:val="Body"/>
        <w:rPr>
          <w:lang w:val="en"/>
        </w:rPr>
      </w:pPr>
      <w:r w:rsidRPr="009D1C54">
        <w:rPr>
          <w:lang w:val="en"/>
        </w:rPr>
        <w:t>Ducroquet, H., Tillie, P., Elouhichi, K. &amp; Gomez, Y., 2017. Agriculture in Côte d'Ivoire under the microscope: State of play of plant and animal production sectors and review of agricultural policies, 9279731793.</w:t>
      </w:r>
    </w:p>
    <w:p w14:paraId="59F2057D" w14:textId="77777777" w:rsidR="009D1C54" w:rsidRPr="009D1C54" w:rsidRDefault="009D1C54" w:rsidP="009D1C54">
      <w:pPr>
        <w:pStyle w:val="Body"/>
        <w:rPr>
          <w:lang w:val="en"/>
        </w:rPr>
      </w:pPr>
      <w:r w:rsidRPr="009D1C54">
        <w:rPr>
          <w:lang w:val="en"/>
        </w:rPr>
        <w:t>Ebé, A.E.D., Yao, K.S.A. &amp; Ahoussi, K.E., 2023. Determination of the physico-chemical quality of water resources in the Loka watershed in Bouaké, central Côte d'Ivoire. International Journal of Innovation Applied Studies, 41 (1), 105-114.</w:t>
      </w:r>
    </w:p>
    <w:p w14:paraId="34C96E31" w14:textId="77777777" w:rsidR="009D1C54" w:rsidRPr="009D1C54" w:rsidRDefault="009D1C54" w:rsidP="009D1C54">
      <w:pPr>
        <w:pStyle w:val="Body"/>
        <w:rPr>
          <w:lang w:val="en"/>
        </w:rPr>
      </w:pPr>
      <w:r w:rsidRPr="009D1C54">
        <w:rPr>
          <w:lang w:val="en"/>
        </w:rPr>
        <w:t>Fingler, S., Mendaš, G., Dvoršćak, M., Stipičević, S., Vasilić, Ž. &amp; Drevenkar, V., 2021. Seasonal distribution of multiclass pesticide residues in the surface waters of northwest croatia. Arh Hig Rada Toksikol, 72 (4), 280-288.</w:t>
      </w:r>
    </w:p>
    <w:p w14:paraId="2E952937" w14:textId="77777777" w:rsidR="009D1C54" w:rsidRPr="009D1C54" w:rsidRDefault="009D1C54" w:rsidP="009D1C54">
      <w:pPr>
        <w:pStyle w:val="Body"/>
        <w:rPr>
          <w:lang w:val="en"/>
        </w:rPr>
      </w:pPr>
      <w:r w:rsidRPr="009D1C54">
        <w:rPr>
          <w:lang w:val="en"/>
        </w:rPr>
        <w:t>Fletcher, T.D., Andrieu, H. &amp; Hamel, P.J.a.I.W.R., 2013. Understanding, management and modeling of urban hydrology and its consequences for receiving waters: A state of the art. 51, 261-279.</w:t>
      </w:r>
    </w:p>
    <w:p w14:paraId="2B5AED89" w14:textId="77777777" w:rsidR="009D1C54" w:rsidRPr="009D1C54" w:rsidRDefault="009D1C54" w:rsidP="009D1C54">
      <w:pPr>
        <w:pStyle w:val="Body"/>
        <w:rPr>
          <w:lang w:val="en"/>
        </w:rPr>
      </w:pPr>
      <w:r w:rsidRPr="009D1C54">
        <w:rPr>
          <w:lang w:val="en"/>
        </w:rPr>
        <w:t>Garud, A., Pawar, S., Patil, M.S., Kale, S.R. &amp; Patil, S., 2024. A scientific review of pesticides: Classification, toxicity, health effects, sustainability, and environmental impact. Cureus, 16 (8), e67945.</w:t>
      </w:r>
    </w:p>
    <w:p w14:paraId="5A577058" w14:textId="77777777" w:rsidR="009D1C54" w:rsidRPr="009D1C54" w:rsidRDefault="009D1C54" w:rsidP="009D1C54">
      <w:pPr>
        <w:pStyle w:val="Body"/>
        <w:rPr>
          <w:lang w:val="en"/>
        </w:rPr>
      </w:pPr>
      <w:r w:rsidRPr="009D1C54">
        <w:rPr>
          <w:lang w:val="en"/>
        </w:rPr>
        <w:t>Goula, B., Kouassi, V. &amp; Savane, L., 2006. Impacts of climate change on water resources in humid tropical zones: Case of the Bandama watershed in Ivory Coast. African Agronomy, 18 (1), 1-11.</w:t>
      </w:r>
    </w:p>
    <w:p w14:paraId="677DB60F" w14:textId="77777777" w:rsidR="009D1C54" w:rsidRPr="009D1C54" w:rsidRDefault="009D1C54" w:rsidP="009D1C54">
      <w:pPr>
        <w:pStyle w:val="Body"/>
        <w:rPr>
          <w:lang w:val="en"/>
        </w:rPr>
      </w:pPr>
      <w:r w:rsidRPr="009D1C54">
        <w:rPr>
          <w:lang w:val="en"/>
        </w:rPr>
        <w:lastRenderedPageBreak/>
        <w:t>Gu, W., Xing, W., Liang, M., Wang, Z., Zhang, B., Sun, S., Fan, D. &amp; Wang, L., 2023. Occurrence, distribution, and risk assessment of pesticides in surface water and sediment in jiangsu province, china. Environ Sci Pollut Res Int, 30 (56), 118418-118429.</w:t>
      </w:r>
    </w:p>
    <w:p w14:paraId="5CBE5256" w14:textId="77777777" w:rsidR="009D1C54" w:rsidRPr="009D1C54" w:rsidRDefault="009D1C54" w:rsidP="009D1C54">
      <w:pPr>
        <w:pStyle w:val="Body"/>
        <w:rPr>
          <w:lang w:val="en"/>
        </w:rPr>
      </w:pPr>
      <w:r w:rsidRPr="009D1C54">
        <w:rPr>
          <w:lang w:val="en"/>
        </w:rPr>
        <w:t>Helena, B., Pardo, R., Vega, M., Barrado, E., Fernandez, J.M. &amp; Fernandez, L., 2000. Temporal evolution of groundwater composition in an alluvial aquifer (Pisuerga river, Spain) by principal component analysis. Water Research, 34 (3), 807-816 Available from: https://www.sciencedirect.com/science/article/pii/S0043135499002250.</w:t>
      </w:r>
    </w:p>
    <w:p w14:paraId="0C6994DF" w14:textId="77777777" w:rsidR="009D1C54" w:rsidRPr="009D1C54" w:rsidRDefault="009D1C54" w:rsidP="009D1C54">
      <w:pPr>
        <w:pStyle w:val="Body"/>
        <w:rPr>
          <w:lang w:val="en"/>
        </w:rPr>
      </w:pPr>
      <w:r w:rsidRPr="009D1C54">
        <w:rPr>
          <w:lang w:val="en"/>
        </w:rPr>
        <w:t>Hussain, F., Ahmed, S., Muhammad Zaigham Abbas Naqvi, S., Awais, M., Zhang, Y., Zhang, H., Raghavan, V., Zang, Y., Zhao, G. &amp; Hu, J., 2025. Agricultural non-point source pollution: Comprehensive analysis of sources and assessment methods. Agriculture, 15 (5), 531.</w:t>
      </w:r>
    </w:p>
    <w:p w14:paraId="4980EA81" w14:textId="77777777" w:rsidR="009D1C54" w:rsidRPr="009D1C54" w:rsidRDefault="009D1C54" w:rsidP="009D1C54">
      <w:pPr>
        <w:pStyle w:val="Body"/>
        <w:rPr>
          <w:lang w:val="en"/>
        </w:rPr>
      </w:pPr>
      <w:r w:rsidRPr="009D1C54">
        <w:rPr>
          <w:lang w:val="en"/>
        </w:rPr>
        <w:t>Jolliffe, I.T. &amp; Cadima, J., 2016. Principal component analysis: A review and recent developments. Philosophical Transactions of the Royal Society A: Mathematical, Physical and Engineering Sciences, 374 (2065), 20150202 Available from: https://doi.org/10.1098/rsta.2015.0202 [Accessed 12/21/2025].</w:t>
      </w:r>
    </w:p>
    <w:p w14:paraId="71B1393E" w14:textId="77777777" w:rsidR="009D1C54" w:rsidRPr="009D1C54" w:rsidRDefault="009D1C54" w:rsidP="009D1C54">
      <w:pPr>
        <w:pStyle w:val="Body"/>
        <w:rPr>
          <w:lang w:val="en"/>
        </w:rPr>
      </w:pPr>
      <w:r w:rsidRPr="009D1C54">
        <w:rPr>
          <w:lang w:val="en"/>
        </w:rPr>
        <w:t>Kamenan, Y.M., Mangoua, O.M.J., Dibi, B., Georges, S.E., Kouassi, K.L., Kouassi, K.A. &amp; Protection, 2020. Assessment of vulnerability to groundwater pollution in the Lobo watershed at Nibéhibé (central-west, Côte d'Ivoire). Journal of Water Resource, 12 (8), 657-671.</w:t>
      </w:r>
    </w:p>
    <w:p w14:paraId="36EDEC52" w14:textId="77777777" w:rsidR="009D1C54" w:rsidRPr="009D1C54" w:rsidRDefault="009D1C54" w:rsidP="009D1C54">
      <w:pPr>
        <w:pStyle w:val="Body"/>
        <w:rPr>
          <w:lang w:val="en"/>
        </w:rPr>
      </w:pPr>
      <w:r w:rsidRPr="009D1C54">
        <w:rPr>
          <w:lang w:val="en"/>
        </w:rPr>
        <w:t>Kaushal, S.S., Likens, G.E., Pace, M.L., Utz, R.M., Haq, S., Gorman, J. &amp; Grese, M., 2018. Freshwater salinization syndrome on a continental scale. Proceedings of the National Academy of Sciences, 115 (4), E574-E583.</w:t>
      </w:r>
    </w:p>
    <w:p w14:paraId="633742FB" w14:textId="77777777" w:rsidR="00BB49E8" w:rsidRDefault="009D1C54" w:rsidP="009D1C54">
      <w:pPr>
        <w:pStyle w:val="Body"/>
        <w:rPr>
          <w:lang w:val="en"/>
        </w:rPr>
      </w:pPr>
      <w:r w:rsidRPr="009D1C54">
        <w:rPr>
          <w:lang w:val="en"/>
        </w:rPr>
        <w:t xml:space="preserve">Konan, K.J.-P., Yao, K.T. &amp; Adiaffi, B., 2023. Evaluation of water resource pollution by agricultural activities in the Loka watershed in the Sakassou department, Côte d'Ivoire. Afrique Science, 22 (3), 34-43. Koparan, C., Koc, A.B., Privette, C.V. &amp; Sawyer, C.B., 2019. </w:t>
      </w:r>
    </w:p>
    <w:p w14:paraId="608FD5BC" w14:textId="79F265C5" w:rsidR="009D1C54" w:rsidRPr="009D1C54" w:rsidRDefault="009D1C54" w:rsidP="009D1C54">
      <w:pPr>
        <w:pStyle w:val="Body"/>
        <w:rPr>
          <w:lang w:val="en"/>
        </w:rPr>
      </w:pPr>
      <w:r w:rsidRPr="009D1C54">
        <w:rPr>
          <w:lang w:val="en"/>
        </w:rPr>
        <w:t>Autonomous in situ measurements of noncontaminant water quality indicators and sample collection with a UAV. Water Research X, 11 (3), 604.</w:t>
      </w:r>
    </w:p>
    <w:p w14:paraId="0907863C" w14:textId="77777777" w:rsidR="009D1C54" w:rsidRPr="009D1C54" w:rsidRDefault="009D1C54" w:rsidP="009D1C54">
      <w:pPr>
        <w:pStyle w:val="Body"/>
        <w:rPr>
          <w:lang w:val="en"/>
        </w:rPr>
      </w:pPr>
      <w:r w:rsidRPr="009D1C54">
        <w:rPr>
          <w:lang w:val="en"/>
        </w:rPr>
        <w:t>Kouamé, K.A., Éba, A.E.L., Serge Kouakou, D., Déabo, B.F. &amp; Dongo, K., 2022. Induced effect of pesticide use in market gardening on the environment and human health in Daloa, Côte d'Ivoire. Rev. Ivoir. Sci. Technol., 88-105.</w:t>
      </w:r>
    </w:p>
    <w:p w14:paraId="2A87B1BB" w14:textId="77777777" w:rsidR="009D1C54" w:rsidRDefault="009D1C54" w:rsidP="009D1C54">
      <w:pPr>
        <w:pStyle w:val="Body"/>
        <w:rPr>
          <w:lang w:val="en"/>
        </w:rPr>
      </w:pPr>
      <w:r w:rsidRPr="009D1C54">
        <w:rPr>
          <w:lang w:val="en"/>
        </w:rPr>
        <w:t>Kpan, K., Yao, B., Diemeleou, C., N’guettia, R., Traore, S. &amp; Dembele, A., 2019. Phytosanitary practices in peri-urban agriculture and food contamination by pesticides: The case of market gardeners in Port-Bouët (Abidjan). Anim Plant Sci, 41, 6847-63.</w:t>
      </w:r>
    </w:p>
    <w:p w14:paraId="61FCE681" w14:textId="77777777" w:rsidR="009D1C54" w:rsidRDefault="009D1C54" w:rsidP="009D1C54">
      <w:pPr>
        <w:pStyle w:val="Body"/>
        <w:rPr>
          <w:lang w:val="en"/>
        </w:rPr>
      </w:pPr>
    </w:p>
    <w:p w14:paraId="6753DEAD" w14:textId="77777777" w:rsidR="009D1C54" w:rsidRPr="009D1C54" w:rsidRDefault="009D1C54" w:rsidP="009D1C54">
      <w:pPr>
        <w:pStyle w:val="Body"/>
        <w:rPr>
          <w:lang w:val="en"/>
        </w:rPr>
      </w:pPr>
      <w:r w:rsidRPr="009D1C54">
        <w:rPr>
          <w:lang w:val="en"/>
        </w:rPr>
        <w:t>Lawani, R., Kelome, N., Agassounon Djikpo Tchibozo, M., Hounkpe, J. &amp; Adjagodo, A., 2017. Effects of agricultural practices on surface water pollution in the Republic of Benin. Larhyss Journal, 14 (2), 173-190.</w:t>
      </w:r>
    </w:p>
    <w:p w14:paraId="179281BF" w14:textId="77777777" w:rsidR="009D1C54" w:rsidRPr="009D1C54" w:rsidRDefault="009D1C54" w:rsidP="009D1C54">
      <w:pPr>
        <w:pStyle w:val="Body"/>
        <w:rPr>
          <w:lang w:val="en"/>
        </w:rPr>
      </w:pPr>
      <w:r w:rsidRPr="009D1C54">
        <w:rPr>
          <w:lang w:val="en"/>
        </w:rPr>
        <w:t>Lipps, W.C., Braun-Howland, E.B. &amp; Baxter, T.E., 2023. Standard methods for the examination of water and wastewater. 24th edition. American public health association, american water works association: washington dc.</w:t>
      </w:r>
    </w:p>
    <w:p w14:paraId="6A884045" w14:textId="77777777" w:rsidR="009D1C54" w:rsidRPr="009D1C54" w:rsidRDefault="009D1C54" w:rsidP="009D1C54">
      <w:pPr>
        <w:pStyle w:val="Body"/>
        <w:rPr>
          <w:lang w:val="en"/>
        </w:rPr>
      </w:pPr>
      <w:r w:rsidRPr="009D1C54">
        <w:rPr>
          <w:lang w:val="en"/>
        </w:rPr>
        <w:lastRenderedPageBreak/>
        <w:t>López-Benítez, A., Guevara-Lara, A., Domínguez-Crespo, M.A., Andraca-Adame, J.A. &amp; Torres-Huerta, A.M., 2024. Concentrations of organochlorine, organophosphorus, and pyrethroid pesticides in rivers worldwide (2014–2024): A review. 16 (18), 8066 Available from: https://www.mdpi.com/2071-1050/16/18/8066.</w:t>
      </w:r>
    </w:p>
    <w:p w14:paraId="081686A3" w14:textId="77777777" w:rsidR="009D1C54" w:rsidRPr="009D1C54" w:rsidRDefault="009D1C54" w:rsidP="009D1C54">
      <w:pPr>
        <w:pStyle w:val="Body"/>
        <w:rPr>
          <w:lang w:val="en"/>
        </w:rPr>
      </w:pPr>
      <w:r w:rsidRPr="009D1C54">
        <w:rPr>
          <w:lang w:val="en"/>
        </w:rPr>
        <w:t>Malla, M.A., Gupta, S., Dubey, A., Kumar, A. &amp; Yadav, S., 2021. Chapter 7 - contamination of groundwater resources by pesticides. In Ahamad, A., Siddiqui, S.I. &amp; Singh, P. eds. Contamination of water. Academic Press, 99-107.</w:t>
      </w:r>
    </w:p>
    <w:p w14:paraId="6337E072" w14:textId="77777777" w:rsidR="009D1C54" w:rsidRPr="009D1C54" w:rsidRDefault="009D1C54" w:rsidP="009D1C54">
      <w:pPr>
        <w:pStyle w:val="Body"/>
        <w:rPr>
          <w:lang w:val="en"/>
        </w:rPr>
      </w:pPr>
      <w:r w:rsidRPr="009D1C54">
        <w:rPr>
          <w:lang w:val="en"/>
        </w:rPr>
        <w:t>Mambe-Ani, P., Ouattara, K.N., Elleingand, F.E. &amp; Kadjo, V., 2019. Assessment of the impact of pesticide use in urban and periurban agriculture in Abidjan, Ivory Coast. International Journal of Biological Chemical Sciences, 13 (6), 2824-2837.</w:t>
      </w:r>
    </w:p>
    <w:p w14:paraId="71AA6F52" w14:textId="77777777" w:rsidR="009D1C54" w:rsidRPr="009D1C54" w:rsidRDefault="009D1C54" w:rsidP="009D1C54">
      <w:pPr>
        <w:pStyle w:val="Body"/>
        <w:rPr>
          <w:lang w:val="en"/>
        </w:rPr>
      </w:pPr>
      <w:r w:rsidRPr="009D1C54">
        <w:rPr>
          <w:lang w:val="en"/>
        </w:rPr>
        <w:t>Mark, D.M., Robert, J.G., Patrick, W.M. &amp; Lisa, H.N., 2006. Pesticide toxicity index for freshwater aquatic organisms, 2nd edition. 87.</w:t>
      </w:r>
    </w:p>
    <w:p w14:paraId="327D8AEF" w14:textId="77777777" w:rsidR="009D1C54" w:rsidRPr="009D1C54" w:rsidRDefault="009D1C54" w:rsidP="009D1C54">
      <w:pPr>
        <w:pStyle w:val="Body"/>
        <w:rPr>
          <w:lang w:val="en"/>
        </w:rPr>
      </w:pPr>
      <w:r w:rsidRPr="009D1C54">
        <w:rPr>
          <w:lang w:val="en"/>
        </w:rPr>
        <w:t>Mcdonald, R.I., Mansur, A.V., Ascensão, F., Colbert, M.L., Crossman, K., Elmqvist, T., Gonzalez, A., Güneralp, B., Haase, D. &amp; Hamann, M., 2020. Research gaps in knowledge of the impact of urban growth on biodiversity. Nature Sustainability, 3 (1), 16-24.</w:t>
      </w:r>
    </w:p>
    <w:p w14:paraId="1547CD44" w14:textId="77777777" w:rsidR="009D1C54" w:rsidRPr="009D1C54" w:rsidRDefault="009D1C54" w:rsidP="009D1C54">
      <w:pPr>
        <w:pStyle w:val="Body"/>
        <w:rPr>
          <w:lang w:val="en"/>
        </w:rPr>
      </w:pPr>
      <w:r w:rsidRPr="009D1C54">
        <w:rPr>
          <w:lang w:val="en"/>
        </w:rPr>
        <w:t>Mcgrane, S.J., 2016. Impacts of urbanization on hydrological and water quality dynamics, and urban water management: A review. Hydrological Sciences Journal, 61 (13), 2295-2311.</w:t>
      </w:r>
    </w:p>
    <w:p w14:paraId="7E9A6664" w14:textId="77777777" w:rsidR="009D1C54" w:rsidRPr="009D1C54" w:rsidRDefault="009D1C54" w:rsidP="009D1C54">
      <w:pPr>
        <w:pStyle w:val="Body"/>
        <w:rPr>
          <w:lang w:val="en"/>
        </w:rPr>
      </w:pPr>
      <w:r w:rsidRPr="009D1C54">
        <w:rPr>
          <w:lang w:val="en"/>
        </w:rPr>
        <w:t>Meng, L., Yao, W., Wen, L., Fu, X., Qi, Y. &amp; Volmer, D.A., 2024. Optimized liquid chromatography-tandem mass spectrometry protocol for enhanced detection of 45 pesticides in water and soil samples. Rapid Commun Mass Spectrom, 38 (21), e9904.</w:t>
      </w:r>
    </w:p>
    <w:p w14:paraId="04570F7B" w14:textId="77777777" w:rsidR="009D1C54" w:rsidRPr="009D1C54" w:rsidRDefault="009D1C54" w:rsidP="009D1C54">
      <w:pPr>
        <w:pStyle w:val="Body"/>
        <w:rPr>
          <w:lang w:val="en"/>
        </w:rPr>
      </w:pPr>
      <w:r w:rsidRPr="009D1C54">
        <w:rPr>
          <w:lang w:val="en"/>
        </w:rPr>
        <w:t>Müller, K., Bach, M., Hartmann, H., Spiteller, M. &amp; Frede, H.G., 2002. Point</w:t>
      </w:r>
      <w:r w:rsidRPr="009D1C54">
        <w:rPr>
          <w:rFonts w:ascii="Cambria Math" w:hAnsi="Cambria Math" w:cs="Cambria Math"/>
          <w:lang w:val="en"/>
        </w:rPr>
        <w:t>‐</w:t>
      </w:r>
      <w:r w:rsidRPr="009D1C54">
        <w:rPr>
          <w:lang w:val="en"/>
        </w:rPr>
        <w:t>and nonpoint</w:t>
      </w:r>
      <w:r w:rsidRPr="009D1C54">
        <w:rPr>
          <w:rFonts w:ascii="Cambria Math" w:hAnsi="Cambria Math" w:cs="Cambria Math"/>
          <w:lang w:val="en"/>
        </w:rPr>
        <w:t>‐</w:t>
      </w:r>
      <w:r w:rsidRPr="009D1C54">
        <w:rPr>
          <w:lang w:val="en"/>
        </w:rPr>
        <w:t>source pesticide contamination in the zwester ohm catchment, germany. Journal of environmental quality, 31 (1), 309-318.</w:t>
      </w:r>
    </w:p>
    <w:p w14:paraId="1AF98C9F" w14:textId="77777777" w:rsidR="009D1C54" w:rsidRPr="009D1C54" w:rsidRDefault="009D1C54" w:rsidP="009D1C54">
      <w:pPr>
        <w:pStyle w:val="Body"/>
        <w:rPr>
          <w:lang w:val="en"/>
        </w:rPr>
      </w:pPr>
      <w:r w:rsidRPr="009D1C54">
        <w:rPr>
          <w:lang w:val="en"/>
        </w:rPr>
        <w:t>Nakhjavan, B., Bland, J. &amp; Khosravifard, M., 2021. Optimization of a multiresidue analysis of 65 pesticides in surface water using solid-phase extraction by lc-ms/ms. Molecules, 26 (21).</w:t>
      </w:r>
    </w:p>
    <w:p w14:paraId="7294664F" w14:textId="77777777" w:rsidR="009D1C54" w:rsidRPr="009D1C54" w:rsidRDefault="009D1C54" w:rsidP="009D1C54">
      <w:pPr>
        <w:pStyle w:val="Body"/>
        <w:rPr>
          <w:lang w:val="en"/>
        </w:rPr>
      </w:pPr>
      <w:r w:rsidRPr="009D1C54">
        <w:rPr>
          <w:lang w:val="en"/>
        </w:rPr>
        <w:t>Nyenje, P., Foppen, J., Uhlenbrook, S., Kulabako, R. &amp; Muwanga, A., 2010. Eutrophication and nutrient release in urban areas of sub-Saharan Africa—a review. Science of the total environment, 408 (3), 447-455.</w:t>
      </w:r>
    </w:p>
    <w:p w14:paraId="4225C788" w14:textId="77777777" w:rsidR="009D1C54" w:rsidRPr="009D1C54" w:rsidRDefault="009D1C54" w:rsidP="009D1C54">
      <w:pPr>
        <w:pStyle w:val="Body"/>
        <w:rPr>
          <w:lang w:val="en"/>
        </w:rPr>
      </w:pPr>
      <w:r w:rsidRPr="009D1C54">
        <w:rPr>
          <w:lang w:val="en"/>
        </w:rPr>
        <w:t>Obuobie, E., Keraita, B., Danso, G., Amoah, P., Cofie, O.O., Raschid-Sally, L. &amp; Drechsel, P., 2006. Irrigated urban vegetable production in Ghana: Characteristics, benefits and risks.</w:t>
      </w:r>
    </w:p>
    <w:p w14:paraId="6AC93487" w14:textId="77777777" w:rsidR="009D1C54" w:rsidRDefault="009D1C54" w:rsidP="009D1C54">
      <w:pPr>
        <w:pStyle w:val="Body"/>
        <w:rPr>
          <w:lang w:val="en"/>
        </w:rPr>
      </w:pPr>
      <w:r w:rsidRPr="009D1C54">
        <w:rPr>
          <w:lang w:val="en"/>
        </w:rPr>
        <w:t>Ossey, B.Y., Mambo, V., Abiba, S.T. &amp; Houenou, P.V., 2008. Analytical study of the chemical characteristics of a eutrophic lake in a tropical environment: Conductivity as an indicator of trophic status of Lake Buyo (Côte d'Ivoire). Journal of the West African Chemical Society, 25, 87-108.</w:t>
      </w:r>
    </w:p>
    <w:p w14:paraId="0C0F2FB2" w14:textId="77777777" w:rsidR="009D1C54" w:rsidRDefault="009D1C54" w:rsidP="009D1C54">
      <w:pPr>
        <w:pStyle w:val="Body"/>
        <w:rPr>
          <w:lang w:val="en"/>
        </w:rPr>
      </w:pPr>
    </w:p>
    <w:p w14:paraId="5643144D" w14:textId="77777777" w:rsidR="009D1C54" w:rsidRPr="009D1C54" w:rsidRDefault="009D1C54" w:rsidP="009D1C54">
      <w:pPr>
        <w:pStyle w:val="Body"/>
        <w:rPr>
          <w:lang w:val="fr-FR"/>
        </w:rPr>
      </w:pPr>
      <w:r w:rsidRPr="009D1C54">
        <w:rPr>
          <w:lang w:val="fr-FR"/>
        </w:rPr>
        <w:t xml:space="preserve">Ouattara, I., Kamagaté, B., Dao, A., Noufé, D. &amp; Savané, I., 2016. Groundwater mineralization process and flow transfer in a fissured basement environment: Case of the Comoé cross-border watershed (Ivory Coast, Burkina Faso, Ghana, Mali)[groundwaters mineralization process and transfer of flow within fissured aquifers: Case of transboundary </w:t>
      </w:r>
      <w:r w:rsidRPr="009D1C54">
        <w:rPr>
          <w:lang w:val="fr-FR"/>
        </w:rPr>
        <w:lastRenderedPageBreak/>
        <w:t>basin of Comoé (Ivory Coast, Burkina Faso, Ghana, Mali)]. International Journal of Innovation Applied Studies, 17 (1), 57.</w:t>
      </w:r>
    </w:p>
    <w:p w14:paraId="666EB11A" w14:textId="77777777" w:rsidR="009D1C54" w:rsidRPr="009D1C54" w:rsidRDefault="009D1C54" w:rsidP="009D1C54">
      <w:pPr>
        <w:pStyle w:val="Body"/>
        <w:rPr>
          <w:lang w:val="fr-FR"/>
        </w:rPr>
      </w:pPr>
      <w:r w:rsidRPr="009D1C54">
        <w:rPr>
          <w:lang w:val="fr-FR"/>
        </w:rPr>
        <w:t>Paul, M.J. &amp; Meyer, J.L., 2001. Streams in the urban landscape. Annual review of Ecology Systematics, 32 (1), 333-365.</w:t>
      </w:r>
    </w:p>
    <w:p w14:paraId="3F8D1833" w14:textId="77777777" w:rsidR="009D1C54" w:rsidRPr="009D1C54" w:rsidRDefault="009D1C54" w:rsidP="009D1C54">
      <w:pPr>
        <w:pStyle w:val="Body"/>
        <w:rPr>
          <w:lang w:val="fr-FR"/>
        </w:rPr>
      </w:pPr>
      <w:r w:rsidRPr="009D1C54">
        <w:rPr>
          <w:lang w:val="fr-FR"/>
        </w:rPr>
        <w:t>Pérez-Indoval, R. &amp; Romero-López, R., 2024. Assessment of pesticide contamination in groundwater bodies in the jucar river basin (spain) and its spatial distribution. Groundwater for Sustainable Development, 25, 101118 Available from: https://www.sciencedirect.com/science/article/pii/S2352801X24000419.</w:t>
      </w:r>
    </w:p>
    <w:p w14:paraId="22E629A1" w14:textId="77777777" w:rsidR="009D1C54" w:rsidRPr="009D1C54" w:rsidRDefault="009D1C54" w:rsidP="009D1C54">
      <w:pPr>
        <w:pStyle w:val="Body"/>
        <w:rPr>
          <w:lang w:val="fr-FR"/>
        </w:rPr>
      </w:pPr>
      <w:r w:rsidRPr="009D1C54">
        <w:rPr>
          <w:lang w:val="fr-FR"/>
        </w:rPr>
        <w:t>Reimann, C., Filzmoser, P., Garrett, R. &amp; Dutter, R., 2011. Statistical data analysis explained: Applied environmental statistics with r: John Wiley &amp; Sons.</w:t>
      </w:r>
    </w:p>
    <w:p w14:paraId="72D7DBCE" w14:textId="77777777" w:rsidR="009D1C54" w:rsidRPr="009D1C54" w:rsidRDefault="009D1C54" w:rsidP="009D1C54">
      <w:pPr>
        <w:pStyle w:val="Body"/>
        <w:rPr>
          <w:lang w:val="fr-FR"/>
        </w:rPr>
      </w:pPr>
      <w:r w:rsidRPr="009D1C54">
        <w:rPr>
          <w:lang w:val="fr-FR"/>
        </w:rPr>
        <w:t>Rocha, F.C., Andrade, E.M. &amp; Lopes, F.B., 2015. Water quality index calculated from biological, physical and chemical attributes. Environ Monit Assess, 187 (1), 4163.</w:t>
      </w:r>
    </w:p>
    <w:p w14:paraId="5E185144" w14:textId="77777777" w:rsidR="009D1C54" w:rsidRPr="009D1C54" w:rsidRDefault="009D1C54" w:rsidP="009D1C54">
      <w:pPr>
        <w:pStyle w:val="Body"/>
        <w:rPr>
          <w:lang w:val="fr-FR"/>
        </w:rPr>
      </w:pPr>
      <w:r w:rsidRPr="009D1C54">
        <w:rPr>
          <w:lang w:val="fr-FR"/>
        </w:rPr>
        <w:t>Roy, A.H., Wenger, S.J., Fletcher, T.D., Walsh, C.J., Ladson, A.R., Shuster, W.D., Thurston, H.W. &amp; Brown, R.R., 2008. Impediments and solutions to sustainable, watershed-scale urban stormwater management: Lessons from Australia and the United States. Environmental management, 42 (2), 344-359.</w:t>
      </w:r>
    </w:p>
    <w:p w14:paraId="65F2790A" w14:textId="77777777" w:rsidR="009D1C54" w:rsidRPr="009D1C54" w:rsidRDefault="009D1C54" w:rsidP="009D1C54">
      <w:pPr>
        <w:pStyle w:val="Body"/>
        <w:rPr>
          <w:lang w:val="fr-FR"/>
        </w:rPr>
      </w:pPr>
      <w:r w:rsidRPr="009D1C54">
        <w:rPr>
          <w:lang w:val="fr-FR"/>
        </w:rPr>
        <w:t>Ruiz-Gil, L., Romero-González, R., Garrido Frenich, A. &amp; Martínez Vidal, J.L., 2008. Determination of pesticides in water samples by solid phase extraction and gas chromatography tandem mass spectrometry. J Sep Sci, 31 (1), 151-61.</w:t>
      </w:r>
    </w:p>
    <w:p w14:paraId="221A5E95" w14:textId="77777777" w:rsidR="009D1C54" w:rsidRPr="009D1C54" w:rsidRDefault="009D1C54" w:rsidP="009D1C54">
      <w:pPr>
        <w:pStyle w:val="Body"/>
        <w:rPr>
          <w:lang w:val="fr-FR"/>
        </w:rPr>
      </w:pPr>
      <w:r w:rsidRPr="009D1C54">
        <w:rPr>
          <w:lang w:val="fr-FR"/>
        </w:rPr>
        <w:t>Shelton, L.R., 1994. Field guide for collecting and processing stream-water samples for the national water-quality assessment program: US Geological Survey.</w:t>
      </w:r>
    </w:p>
    <w:p w14:paraId="68AB4DD2" w14:textId="77777777" w:rsidR="009D1C54" w:rsidRPr="009D1C54" w:rsidRDefault="009D1C54" w:rsidP="009D1C54">
      <w:pPr>
        <w:pStyle w:val="Body"/>
        <w:rPr>
          <w:lang w:val="fr-FR"/>
        </w:rPr>
      </w:pPr>
      <w:r w:rsidRPr="009D1C54">
        <w:rPr>
          <w:lang w:val="fr-FR"/>
        </w:rPr>
        <w:t>Shrestha, S. &amp; Kazama, F., 2007. Assessment of surface water quality using multivariate statistical techniques: A case study of the fuji river basin, japan. Environmental Modeling &amp; Software, 22 (4), 464-475 Available from: https://www.sciencedirect.com/science/article/pii/S136481520600048X.</w:t>
      </w:r>
    </w:p>
    <w:p w14:paraId="0ED56D60" w14:textId="77777777" w:rsidR="009D1C54" w:rsidRPr="009D1C54" w:rsidRDefault="009D1C54" w:rsidP="009D1C54">
      <w:pPr>
        <w:pStyle w:val="Body"/>
        <w:rPr>
          <w:lang w:val="fr-FR"/>
        </w:rPr>
      </w:pPr>
      <w:r w:rsidRPr="009D1C54">
        <w:rPr>
          <w:lang w:val="fr-FR"/>
        </w:rPr>
        <w:t>Soro, T.D., Fossou, N.M.R., Kone, G.Y.M., Oga, Y.M.-S. &amp; Soro, N., 2022. Assessment of groundwater quality in the Grand-Lahou department (southwest of Ivory Coast) based on the wqi index. International Journal of Innovation Applied Studies, 38 (2), 417-427.</w:t>
      </w:r>
    </w:p>
    <w:p w14:paraId="2CD1A78F" w14:textId="77777777" w:rsidR="009D1C54" w:rsidRPr="009D1C54" w:rsidRDefault="009D1C54" w:rsidP="009D1C54">
      <w:pPr>
        <w:pStyle w:val="Body"/>
        <w:rPr>
          <w:lang w:val="fr-FR"/>
        </w:rPr>
      </w:pPr>
      <w:r w:rsidRPr="009D1C54">
        <w:rPr>
          <w:lang w:val="fr-FR"/>
        </w:rPr>
        <w:t>Stehle, S. &amp; Schulz, R., 2015. Agricultural insecticides threaten surface waters at the global scale. Proceedings of the National Academy of Sciences, 112 (18), 5750-5755.</w:t>
      </w:r>
    </w:p>
    <w:p w14:paraId="0215EED2" w14:textId="77777777" w:rsidR="009D1C54" w:rsidRPr="009D1C54" w:rsidRDefault="009D1C54" w:rsidP="009D1C54">
      <w:pPr>
        <w:pStyle w:val="Body"/>
        <w:rPr>
          <w:lang w:val="fr-FR"/>
        </w:rPr>
      </w:pPr>
      <w:r w:rsidRPr="009D1C54">
        <w:rPr>
          <w:lang w:val="fr-FR"/>
        </w:rPr>
        <w:t>Traoré, M., 2025. Land artificialization and urban heat island development in Korhogo, northern Ivory Coast. Urban Art BioO, 4 (01), 1-16.</w:t>
      </w:r>
    </w:p>
    <w:p w14:paraId="1E77A7E9" w14:textId="77777777" w:rsidR="009D1C54" w:rsidRPr="009D1C54" w:rsidRDefault="009D1C54" w:rsidP="009D1C54">
      <w:pPr>
        <w:pStyle w:val="Body"/>
        <w:rPr>
          <w:lang w:val="fr-FR"/>
        </w:rPr>
      </w:pPr>
      <w:r w:rsidRPr="009D1C54">
        <w:rPr>
          <w:lang w:val="fr-FR"/>
        </w:rPr>
        <w:t>Troiano, J., Weaver, D., Marade, J., Spurlock, F., Pepple, M., Nordmark, C. &amp; Bartkowiak, D., 2001. Summary of well water sampling in California to detect pesticide residues resulting from nonpoint-source applications. Journal of Environmental Quality, 30 (2), 448-459.</w:t>
      </w:r>
    </w:p>
    <w:p w14:paraId="6F716345" w14:textId="77777777" w:rsidR="009D1C54" w:rsidRPr="009D1C54" w:rsidRDefault="009D1C54" w:rsidP="009D1C54">
      <w:pPr>
        <w:pStyle w:val="Body"/>
        <w:rPr>
          <w:lang w:val="fr-FR"/>
        </w:rPr>
      </w:pPr>
      <w:r w:rsidRPr="009D1C54">
        <w:rPr>
          <w:lang w:val="fr-FR"/>
        </w:rPr>
        <w:t>UN-Habitat, 2016. Urbanization and development: Emerging futures. 3 (4), 4-51.</w:t>
      </w:r>
    </w:p>
    <w:p w14:paraId="6BFA45CD" w14:textId="77777777" w:rsidR="009D1C54" w:rsidRPr="009D1C54" w:rsidRDefault="009D1C54" w:rsidP="009D1C54">
      <w:pPr>
        <w:pStyle w:val="Body"/>
        <w:rPr>
          <w:lang w:val="fr-FR"/>
        </w:rPr>
      </w:pPr>
      <w:r w:rsidRPr="009D1C54">
        <w:rPr>
          <w:lang w:val="fr-FR"/>
        </w:rPr>
        <w:t xml:space="preserve">Von Ameln Lovison, O., Jank, L., De Souza, W.M., Ramalho Guerra, R., Lamas, A.E., Da Costa Ballestrin, R.A., Da Silva Morais Hein, C., Da Silva, T.C.B., Corção, G. &amp; Martins, A.F., 2021. Identification of pesticides in water samples by solid-phase extraction and liquid </w:t>
      </w:r>
      <w:r w:rsidRPr="009D1C54">
        <w:rPr>
          <w:lang w:val="fr-FR"/>
        </w:rPr>
        <w:lastRenderedPageBreak/>
        <w:t>chromatography-electrospray ionization mass spectrometry. Water Environ Res, 93 (11), 2670-2680.</w:t>
      </w:r>
    </w:p>
    <w:p w14:paraId="7B54AD80" w14:textId="77777777" w:rsidR="009D1C54" w:rsidRPr="009D1C54" w:rsidRDefault="009D1C54" w:rsidP="009D1C54">
      <w:pPr>
        <w:pStyle w:val="Body"/>
        <w:rPr>
          <w:lang w:val="fr-FR"/>
        </w:rPr>
      </w:pPr>
      <w:r w:rsidRPr="009D1C54">
        <w:rPr>
          <w:lang w:val="fr-FR"/>
        </w:rPr>
        <w:t>WHO, 2022. Guidelines for drinking-water quality: Incorporating the first and second addenda: World Health Organization.</w:t>
      </w:r>
    </w:p>
    <w:p w14:paraId="7A90F438" w14:textId="77777777" w:rsidR="009D1C54" w:rsidRPr="009D1C54" w:rsidRDefault="009D1C54" w:rsidP="009D1C54">
      <w:pPr>
        <w:pStyle w:val="Body"/>
        <w:rPr>
          <w:lang w:val="fr-FR"/>
        </w:rPr>
      </w:pPr>
      <w:r w:rsidRPr="009D1C54">
        <w:rPr>
          <w:lang w:val="fr-FR"/>
        </w:rPr>
        <w:t>WHO, 2024. Guidelines for drinking-water quality: Small water supplies: World Health Organization.</w:t>
      </w:r>
    </w:p>
    <w:p w14:paraId="25F5F7C4" w14:textId="77777777" w:rsidR="009D1C54" w:rsidRPr="009D1C54" w:rsidRDefault="009D1C54" w:rsidP="009D1C54">
      <w:pPr>
        <w:pStyle w:val="Body"/>
        <w:rPr>
          <w:lang w:val="fr-FR"/>
        </w:rPr>
      </w:pPr>
      <w:r w:rsidRPr="009D1C54">
        <w:rPr>
          <w:lang w:val="fr-FR"/>
        </w:rPr>
        <w:t>Yao, K.a.F., Ahoussi, K.E., Koffi, Y.B., Tivoli, L.M.S., Salze, D. &amp; Lopez-Ferber, M.J.E.S.J., 2023. Hydrochemical characterization and evaluation of groundwater quality in the mining environment of the Afema canton (southeast Côte d'Ivoire). European Scientific Journal, 19 (6), 248002E</w:t>
      </w:r>
    </w:p>
    <w:p w14:paraId="682ED193" w14:textId="77777777" w:rsidR="009D1C54" w:rsidRPr="009D1C54" w:rsidRDefault="009D1C54" w:rsidP="009D1C54">
      <w:pPr>
        <w:pStyle w:val="Body"/>
        <w:rPr>
          <w:lang w:val="fr-FR"/>
        </w:rPr>
      </w:pPr>
      <w:r w:rsidRPr="009D1C54">
        <w:rPr>
          <w:lang w:val="fr-FR"/>
        </w:rPr>
        <w:t>Yao, K.S.A. &amp; Ahoussi, K., 2020. Physicochemical characterization of surface waters in a mining environment in central-western Côte d'Ivoire: Case of the Divo department. European Scientific Journal, 16, 12.</w:t>
      </w:r>
    </w:p>
    <w:p w14:paraId="5D4923A0" w14:textId="672AD728" w:rsidR="007C762D" w:rsidRDefault="009D1C54" w:rsidP="009D1C54">
      <w:pPr>
        <w:pStyle w:val="Body"/>
        <w:spacing w:after="0"/>
        <w:rPr>
          <w:lang w:val="fr-FR"/>
        </w:rPr>
      </w:pPr>
      <w:r w:rsidRPr="009D1C54">
        <w:rPr>
          <w:lang w:val="fr-FR"/>
        </w:rPr>
        <w:t>Yapo, R.I., Mambo, V., Alder, A.C., Ohou-Yao, M.J., Ligban, R., Dao, D., Stamm, C. &amp; Bonfoh, B., 2016. Seasonal characterization of well water used for market gardening and domestic purposes in Korhogo (Côte d'Ivoire). International Journal of Biological and Chemical Sciences, 10 (3), 1433-1449.</w:t>
      </w:r>
    </w:p>
    <w:p w14:paraId="3195C59E" w14:textId="77777777" w:rsidR="009D1C54" w:rsidRPr="007C762D" w:rsidRDefault="009D1C54" w:rsidP="009D1C54">
      <w:pPr>
        <w:pStyle w:val="Body"/>
        <w:spacing w:after="0"/>
        <w:rPr>
          <w:lang w:val="fr-CI"/>
        </w:rPr>
      </w:pPr>
    </w:p>
    <w:p w14:paraId="59E8A51D" w14:textId="77777777" w:rsidR="007C762D" w:rsidRPr="007C762D" w:rsidRDefault="007C762D" w:rsidP="007C762D">
      <w:pPr>
        <w:pStyle w:val="Body"/>
        <w:spacing w:after="0"/>
        <w:rPr>
          <w:lang w:val="fr-CI"/>
        </w:rPr>
      </w:pPr>
    </w:p>
    <w:p w14:paraId="4D132A44" w14:textId="77777777" w:rsidR="004D4277" w:rsidRPr="00FB3A86" w:rsidRDefault="007C762D" w:rsidP="00821A86">
      <w:pPr>
        <w:pStyle w:val="Body"/>
        <w:spacing w:after="0"/>
        <w:rPr>
          <w:rFonts w:ascii="Arial" w:hAnsi="Arial" w:cs="Arial"/>
          <w:b/>
        </w:rPr>
        <w:sectPr w:rsidR="004D4277" w:rsidRPr="00FB3A86" w:rsidSect="008861AD">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7C762D">
        <w:fldChar w:fldCharType="end"/>
      </w:r>
    </w:p>
    <w:p w14:paraId="73495FA5" w14:textId="77777777" w:rsidR="00B01FCD" w:rsidRPr="00FB3A86" w:rsidRDefault="00B01FCD" w:rsidP="00821A86">
      <w:pPr>
        <w:pStyle w:val="Appendix"/>
        <w:spacing w:after="0"/>
        <w:jc w:val="both"/>
        <w:rPr>
          <w:rFonts w:ascii="Arial" w:hAnsi="Arial" w:cs="Arial"/>
          <w:b w:val="0"/>
        </w:rPr>
      </w:pPr>
    </w:p>
    <w:sectPr w:rsidR="00B01FCD" w:rsidRPr="00FB3A86" w:rsidSect="00886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45878" w14:textId="77777777" w:rsidR="00954BC1" w:rsidRDefault="00954BC1" w:rsidP="00C37E61">
      <w:r>
        <w:separator/>
      </w:r>
    </w:p>
  </w:endnote>
  <w:endnote w:type="continuationSeparator" w:id="0">
    <w:p w14:paraId="60CAC8FD" w14:textId="77777777" w:rsidR="00954BC1" w:rsidRDefault="00954B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9891" w14:textId="77777777" w:rsidR="008861AD" w:rsidRDefault="00886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79DE2" w14:textId="77777777" w:rsidR="008861AD" w:rsidRDefault="00886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6AB9" w14:textId="77777777" w:rsidR="002D44DF" w:rsidRDefault="002D44DF">
    <w:pPr>
      <w:pStyle w:val="Footer"/>
      <w:rPr>
        <w:rFonts w:ascii="Arial" w:hAnsi="Arial" w:cs="Arial"/>
        <w:sz w:val="16"/>
      </w:rPr>
    </w:pPr>
  </w:p>
  <w:p w14:paraId="60A83051" w14:textId="77777777" w:rsidR="002D44DF" w:rsidRDefault="002D44D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F528FF5" w14:textId="77777777" w:rsidR="002D44DF" w:rsidRDefault="002D44DF">
    <w:pPr>
      <w:pStyle w:val="Footer"/>
      <w:rPr>
        <w:rFonts w:ascii="Arial" w:hAnsi="Arial" w:cs="Arial"/>
        <w:sz w:val="16"/>
      </w:rPr>
    </w:pPr>
  </w:p>
  <w:p w14:paraId="0D697F80" w14:textId="77777777" w:rsidR="002D44DF" w:rsidRPr="009E048A" w:rsidRDefault="002D44D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8BCF" w14:textId="77777777" w:rsidR="002D44DF" w:rsidRPr="00C37E61" w:rsidRDefault="002D44D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6DFAD" w14:textId="77777777" w:rsidR="00954BC1" w:rsidRDefault="00954BC1" w:rsidP="00C37E61">
      <w:r>
        <w:separator/>
      </w:r>
    </w:p>
  </w:footnote>
  <w:footnote w:type="continuationSeparator" w:id="0">
    <w:p w14:paraId="1B7E37D6" w14:textId="77777777" w:rsidR="00954BC1" w:rsidRDefault="00954B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5F2E" w14:textId="47F99A6A" w:rsidR="008861AD" w:rsidRDefault="008861AD">
    <w:pPr>
      <w:pStyle w:val="Header"/>
    </w:pPr>
    <w:r>
      <w:rPr>
        <w:noProof/>
      </w:rPr>
      <w:pict w14:anchorId="239C8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D8350" w14:textId="06DF3AF0" w:rsidR="008861AD" w:rsidRDefault="008861AD">
    <w:pPr>
      <w:pStyle w:val="Header"/>
    </w:pPr>
    <w:r>
      <w:rPr>
        <w:noProof/>
      </w:rPr>
      <w:pict w14:anchorId="6D559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BC8CE" w14:textId="0F97D22F" w:rsidR="002D44DF" w:rsidRPr="00296529" w:rsidRDefault="008861AD" w:rsidP="00296529">
    <w:pPr>
      <w:ind w:left="2160"/>
      <w:jc w:val="center"/>
      <w:rPr>
        <w:rFonts w:ascii="Times New Roman" w:eastAsia="Calibri" w:hAnsi="Times New Roman"/>
        <w:i/>
        <w:sz w:val="18"/>
        <w:szCs w:val="22"/>
      </w:rPr>
    </w:pPr>
    <w:r>
      <w:rPr>
        <w:noProof/>
      </w:rPr>
      <w:pict w14:anchorId="722BA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73471F" w14:textId="77777777" w:rsidR="002D44DF" w:rsidRPr="00296529" w:rsidRDefault="002D44D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7C6A9F" w14:textId="77777777" w:rsidR="002D44DF" w:rsidRPr="00296529" w:rsidRDefault="002D44D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132111" w14:textId="77777777" w:rsidR="002D44DF" w:rsidRPr="00296529" w:rsidRDefault="002D44D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E851B5" w14:textId="77777777" w:rsidR="002D44DF" w:rsidRDefault="002D44D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936000" w14:textId="77777777" w:rsidR="002D44DF" w:rsidRDefault="002D44D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AD6B246" w14:textId="77777777" w:rsidR="002D44DF" w:rsidRDefault="002D44D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528D" w14:textId="703B3855" w:rsidR="008861AD" w:rsidRDefault="008861AD">
    <w:pPr>
      <w:pStyle w:val="Header"/>
    </w:pPr>
    <w:r>
      <w:rPr>
        <w:noProof/>
      </w:rPr>
      <w:pict w14:anchorId="571F8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AD060" w14:textId="173C6FC8" w:rsidR="008861AD" w:rsidRDefault="008861AD">
    <w:pPr>
      <w:pStyle w:val="Header"/>
    </w:pPr>
    <w:r>
      <w:rPr>
        <w:noProof/>
      </w:rPr>
      <w:pict w14:anchorId="3F7F7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7B7F" w14:textId="76B6C1BD" w:rsidR="008861AD" w:rsidRDefault="008861AD">
    <w:pPr>
      <w:pStyle w:val="Header"/>
    </w:pPr>
    <w:r>
      <w:rPr>
        <w:noProof/>
      </w:rPr>
      <w:pict w14:anchorId="77DD0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0175"/>
    <w:rsid w:val="000A47FA"/>
    <w:rsid w:val="000A65D3"/>
    <w:rsid w:val="000B1E33"/>
    <w:rsid w:val="000D58A3"/>
    <w:rsid w:val="000D689F"/>
    <w:rsid w:val="000E7B7B"/>
    <w:rsid w:val="000E7D62"/>
    <w:rsid w:val="00103357"/>
    <w:rsid w:val="00123C9F"/>
    <w:rsid w:val="00126190"/>
    <w:rsid w:val="00130F17"/>
    <w:rsid w:val="001320BF"/>
    <w:rsid w:val="00163BC4"/>
    <w:rsid w:val="00191062"/>
    <w:rsid w:val="00192B72"/>
    <w:rsid w:val="001A29D8"/>
    <w:rsid w:val="001A5CAA"/>
    <w:rsid w:val="001A65C7"/>
    <w:rsid w:val="001B0427"/>
    <w:rsid w:val="001C13FC"/>
    <w:rsid w:val="001D2DC5"/>
    <w:rsid w:val="001D3A51"/>
    <w:rsid w:val="001E10D2"/>
    <w:rsid w:val="001E25B4"/>
    <w:rsid w:val="001E44FE"/>
    <w:rsid w:val="00200595"/>
    <w:rsid w:val="00204835"/>
    <w:rsid w:val="00216F63"/>
    <w:rsid w:val="00231920"/>
    <w:rsid w:val="0023195C"/>
    <w:rsid w:val="0024282C"/>
    <w:rsid w:val="002460DC"/>
    <w:rsid w:val="00250985"/>
    <w:rsid w:val="002556F6"/>
    <w:rsid w:val="002752FA"/>
    <w:rsid w:val="00283105"/>
    <w:rsid w:val="00284C4C"/>
    <w:rsid w:val="00287E68"/>
    <w:rsid w:val="00296529"/>
    <w:rsid w:val="002A1BDA"/>
    <w:rsid w:val="002B27FB"/>
    <w:rsid w:val="002B685A"/>
    <w:rsid w:val="002C57D2"/>
    <w:rsid w:val="002D44DF"/>
    <w:rsid w:val="002E0D56"/>
    <w:rsid w:val="00315186"/>
    <w:rsid w:val="0033343E"/>
    <w:rsid w:val="003512C2"/>
    <w:rsid w:val="00371FB6"/>
    <w:rsid w:val="003763C1"/>
    <w:rsid w:val="00376BBE"/>
    <w:rsid w:val="0039224F"/>
    <w:rsid w:val="003A43A4"/>
    <w:rsid w:val="003A7E18"/>
    <w:rsid w:val="003B2ECF"/>
    <w:rsid w:val="003C2DE3"/>
    <w:rsid w:val="003C4C86"/>
    <w:rsid w:val="003C6258"/>
    <w:rsid w:val="003E2904"/>
    <w:rsid w:val="00401927"/>
    <w:rsid w:val="0041027F"/>
    <w:rsid w:val="00412475"/>
    <w:rsid w:val="00423789"/>
    <w:rsid w:val="00440F43"/>
    <w:rsid w:val="00441B6F"/>
    <w:rsid w:val="00446221"/>
    <w:rsid w:val="00450E62"/>
    <w:rsid w:val="004539DB"/>
    <w:rsid w:val="00471A80"/>
    <w:rsid w:val="004D0AE6"/>
    <w:rsid w:val="004D305E"/>
    <w:rsid w:val="004D4277"/>
    <w:rsid w:val="00502516"/>
    <w:rsid w:val="00505F06"/>
    <w:rsid w:val="00506828"/>
    <w:rsid w:val="0053056E"/>
    <w:rsid w:val="00554FDA"/>
    <w:rsid w:val="0058479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454C"/>
    <w:rsid w:val="006967F7"/>
    <w:rsid w:val="006A250C"/>
    <w:rsid w:val="006B21D3"/>
    <w:rsid w:val="006B57D0"/>
    <w:rsid w:val="006D30FF"/>
    <w:rsid w:val="006D6940"/>
    <w:rsid w:val="006F11EC"/>
    <w:rsid w:val="0070082C"/>
    <w:rsid w:val="007173AE"/>
    <w:rsid w:val="007369E6"/>
    <w:rsid w:val="00746E59"/>
    <w:rsid w:val="00754C9A"/>
    <w:rsid w:val="0075599A"/>
    <w:rsid w:val="007614E9"/>
    <w:rsid w:val="00761D52"/>
    <w:rsid w:val="0077749E"/>
    <w:rsid w:val="00790ADA"/>
    <w:rsid w:val="007C762D"/>
    <w:rsid w:val="007D2288"/>
    <w:rsid w:val="007E088F"/>
    <w:rsid w:val="007F7B32"/>
    <w:rsid w:val="00804BC2"/>
    <w:rsid w:val="0081431A"/>
    <w:rsid w:val="00821A86"/>
    <w:rsid w:val="0083216F"/>
    <w:rsid w:val="00853C66"/>
    <w:rsid w:val="00860000"/>
    <w:rsid w:val="00860D5C"/>
    <w:rsid w:val="00863BD3"/>
    <w:rsid w:val="008641ED"/>
    <w:rsid w:val="00866D66"/>
    <w:rsid w:val="008671C6"/>
    <w:rsid w:val="00875803"/>
    <w:rsid w:val="008861AD"/>
    <w:rsid w:val="008B459E"/>
    <w:rsid w:val="008C0A81"/>
    <w:rsid w:val="008E13AE"/>
    <w:rsid w:val="008E1506"/>
    <w:rsid w:val="008E710C"/>
    <w:rsid w:val="008F69D6"/>
    <w:rsid w:val="00902823"/>
    <w:rsid w:val="00915CA6"/>
    <w:rsid w:val="00927834"/>
    <w:rsid w:val="009500A6"/>
    <w:rsid w:val="00954BC1"/>
    <w:rsid w:val="00957C18"/>
    <w:rsid w:val="009659BA"/>
    <w:rsid w:val="00983040"/>
    <w:rsid w:val="009957A7"/>
    <w:rsid w:val="009B3FB9"/>
    <w:rsid w:val="009B5E57"/>
    <w:rsid w:val="009C2465"/>
    <w:rsid w:val="009D1C54"/>
    <w:rsid w:val="009D35A0"/>
    <w:rsid w:val="009D7EB7"/>
    <w:rsid w:val="009E048A"/>
    <w:rsid w:val="009E08E9"/>
    <w:rsid w:val="009E3DB9"/>
    <w:rsid w:val="009E6E35"/>
    <w:rsid w:val="009F0EDA"/>
    <w:rsid w:val="00A03B96"/>
    <w:rsid w:val="00A05B19"/>
    <w:rsid w:val="00A1134E"/>
    <w:rsid w:val="00A24E7E"/>
    <w:rsid w:val="00A258C3"/>
    <w:rsid w:val="00A347C0"/>
    <w:rsid w:val="00A42871"/>
    <w:rsid w:val="00A465DC"/>
    <w:rsid w:val="00A51431"/>
    <w:rsid w:val="00A539AD"/>
    <w:rsid w:val="00A55C0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A2CF1"/>
    <w:rsid w:val="00BB37AA"/>
    <w:rsid w:val="00BB49E8"/>
    <w:rsid w:val="00BB7413"/>
    <w:rsid w:val="00BC53A0"/>
    <w:rsid w:val="00BE62AD"/>
    <w:rsid w:val="00BF121F"/>
    <w:rsid w:val="00BF1F80"/>
    <w:rsid w:val="00C166EF"/>
    <w:rsid w:val="00C17EB0"/>
    <w:rsid w:val="00C27F5F"/>
    <w:rsid w:val="00C30A0F"/>
    <w:rsid w:val="00C37E61"/>
    <w:rsid w:val="00C70A13"/>
    <w:rsid w:val="00C70F1B"/>
    <w:rsid w:val="00C71A47"/>
    <w:rsid w:val="00C7451E"/>
    <w:rsid w:val="00C7464C"/>
    <w:rsid w:val="00C85588"/>
    <w:rsid w:val="00CD6755"/>
    <w:rsid w:val="00CD6856"/>
    <w:rsid w:val="00CE0089"/>
    <w:rsid w:val="00CE793C"/>
    <w:rsid w:val="00CF193C"/>
    <w:rsid w:val="00D173F1"/>
    <w:rsid w:val="00D2582A"/>
    <w:rsid w:val="00D61C35"/>
    <w:rsid w:val="00D74CB0"/>
    <w:rsid w:val="00D8295D"/>
    <w:rsid w:val="00D860F7"/>
    <w:rsid w:val="00DB262A"/>
    <w:rsid w:val="00DC2A65"/>
    <w:rsid w:val="00DD006A"/>
    <w:rsid w:val="00DE15F0"/>
    <w:rsid w:val="00DE5663"/>
    <w:rsid w:val="00DE62A3"/>
    <w:rsid w:val="00DE78AA"/>
    <w:rsid w:val="00DF3629"/>
    <w:rsid w:val="00E053D0"/>
    <w:rsid w:val="00E15994"/>
    <w:rsid w:val="00E3114E"/>
    <w:rsid w:val="00E31A70"/>
    <w:rsid w:val="00E35B02"/>
    <w:rsid w:val="00E66496"/>
    <w:rsid w:val="00E66B35"/>
    <w:rsid w:val="00E66E10"/>
    <w:rsid w:val="00E769F6"/>
    <w:rsid w:val="00E8407C"/>
    <w:rsid w:val="00E84F3C"/>
    <w:rsid w:val="00E9424C"/>
    <w:rsid w:val="00EA012C"/>
    <w:rsid w:val="00EC6A55"/>
    <w:rsid w:val="00ED0288"/>
    <w:rsid w:val="00EE52CB"/>
    <w:rsid w:val="00EF581D"/>
    <w:rsid w:val="00EF7FD8"/>
    <w:rsid w:val="00F06F59"/>
    <w:rsid w:val="00F17988"/>
    <w:rsid w:val="00F469F0"/>
    <w:rsid w:val="00F50615"/>
    <w:rsid w:val="00F53273"/>
    <w:rsid w:val="00F755E4"/>
    <w:rsid w:val="00F77D02"/>
    <w:rsid w:val="00FA3D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5"/>
      </o:rules>
    </o:shapelayout>
  </w:shapeDefaults>
  <w:decimalSymbol w:val="."/>
  <w:listSeparator w:val=","/>
  <w14:docId w14:val="7343F5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C76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stTable6Colorful-Accent5">
    <w:name w:val="List Table 6 Colorful Accent 5"/>
    <w:basedOn w:val="TableNormal"/>
    <w:uiPriority w:val="51"/>
    <w:rsid w:val="00DE62A3"/>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ption">
    <w:name w:val="caption"/>
    <w:basedOn w:val="Normal"/>
    <w:next w:val="Normal"/>
    <w:uiPriority w:val="35"/>
    <w:unhideWhenUsed/>
    <w:qFormat/>
    <w:rsid w:val="00DE62A3"/>
    <w:pPr>
      <w:spacing w:after="200"/>
      <w:jc w:val="both"/>
    </w:pPr>
    <w:rPr>
      <w:rFonts w:ascii="Arial" w:eastAsiaTheme="minorHAnsi" w:hAnsi="Arial" w:cstheme="minorBidi"/>
      <w:i/>
      <w:iCs/>
      <w:color w:val="1F497D" w:themeColor="text2"/>
      <w:sz w:val="18"/>
      <w:szCs w:val="18"/>
      <w:lang w:val="en"/>
    </w:rPr>
  </w:style>
  <w:style w:type="character" w:customStyle="1" w:styleId="Heading3Char">
    <w:name w:val="Heading 3 Char"/>
    <w:basedOn w:val="DefaultParagraphFont"/>
    <w:link w:val="Heading3"/>
    <w:semiHidden/>
    <w:rsid w:val="007C762D"/>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3C2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mdpi.com/2071-1050/16/18/8066?utm_source=chatgp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a:ea typeface="Arial"/>
                <a:cs typeface="Arial"/>
              </a:defRPr>
            </a:pPr>
            <a:r>
              <a:rPr lang="en"/>
              <a:t>Biplot (axes F1 and F2: 63.18%)</a:t>
            </a:r>
          </a:p>
        </c:rich>
      </c:tx>
      <c:overlay val="0"/>
    </c:title>
    <c:autoTitleDeleted val="0"/>
    <c:plotArea>
      <c:layout/>
      <c:scatterChart>
        <c:scatterStyle val="lineMarker"/>
        <c:varyColors val="0"/>
        <c:ser>
          <c:idx val="0"/>
          <c:order val="0"/>
          <c:tx>
            <c:v>Variables actives</c:v>
          </c:tx>
          <c:spPr>
            <a:ln w="19050">
              <a:noFill/>
            </a:ln>
            <a:effectLst/>
          </c:spPr>
          <c:marker>
            <c:symbol val="circle"/>
            <c:size val="3"/>
            <c:spPr>
              <a:solidFill>
                <a:srgbClr val="FF4A46"/>
              </a:solidFill>
              <a:ln>
                <a:solidFill>
                  <a:srgbClr val="FF4A46"/>
                </a:solidFill>
                <a:prstDash val="solid"/>
              </a:ln>
            </c:spPr>
          </c:marker>
          <c:dLbls>
            <c:dLbl>
              <c:idx val="0"/>
              <c:layout>
                <c:manualLayout>
                  <c:x val="-1.7361111111111143E-2"/>
                  <c:y val="1.7241379310344827E-2"/>
                </c:manualLayout>
              </c:layout>
              <c:tx>
                <c:rich>
                  <a:bodyPr/>
                  <a:lstStyle/>
                  <a:p>
                    <a:r>
                      <a:rPr lang="en-US"/>
                      <a:t>River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C6-49A5-ACA5-2C75FE241395}"/>
                </c:ext>
              </c:extLst>
            </c:dLbl>
            <c:dLbl>
              <c:idx val="1"/>
              <c:layout>
                <c:manualLayout>
                  <c:x val="-1.7361111111111112E-2"/>
                  <c:y val="-3.0651340996168581E-2"/>
                </c:manualLayout>
              </c:layout>
              <c:tx>
                <c:rich>
                  <a:bodyPr/>
                  <a:lstStyle/>
                  <a:p>
                    <a:r>
                      <a:rPr lang="en-US"/>
                      <a:t>River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6-49A5-ACA5-2C75FE241395}"/>
                </c:ext>
              </c:extLst>
            </c:dLbl>
            <c:dLbl>
              <c:idx val="2"/>
              <c:layout>
                <c:manualLayout>
                  <c:x val="-1.7361111111111112E-2"/>
                  <c:y val="1.7241379310344689E-2"/>
                </c:manualLayout>
              </c:layout>
              <c:tx>
                <c:rich>
                  <a:bodyPr/>
                  <a:lstStyle/>
                  <a:p>
                    <a:r>
                      <a:rPr lang="en-US"/>
                      <a:t>River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C6-49A5-ACA5-2C75FE241395}"/>
                </c:ext>
              </c:extLst>
            </c:dLbl>
            <c:dLbl>
              <c:idx val="3"/>
              <c:layout>
                <c:manualLayout>
                  <c:x val="-1.7361111111111112E-2"/>
                  <c:y val="-3.0651340996168654E-2"/>
                </c:manualLayout>
              </c:layout>
              <c:tx>
                <c:rich>
                  <a:bodyPr/>
                  <a:lstStyle/>
                  <a:p>
                    <a:r>
                      <a:rPr lang="en-US"/>
                      <a:t>River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6-49A5-ACA5-2C75FE241395}"/>
                </c:ext>
              </c:extLst>
            </c:dLbl>
            <c:dLbl>
              <c:idx val="4"/>
              <c:layout>
                <c:manualLayout>
                  <c:x val="-1.7361111111111112E-2"/>
                  <c:y val="1.7241379310344827E-2"/>
                </c:manualLayout>
              </c:layout>
              <c:tx>
                <c:rich>
                  <a:bodyPr/>
                  <a:lstStyle/>
                  <a:p>
                    <a:r>
                      <a:rPr lang="en-US"/>
                      <a:t>Well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6-49A5-ACA5-2C75FE241395}"/>
                </c:ext>
              </c:extLst>
            </c:dLbl>
            <c:dLbl>
              <c:idx val="5"/>
              <c:layout>
                <c:manualLayout>
                  <c:x val="-1.7361111111111112E-2"/>
                  <c:y val="-3.0651340996168654E-2"/>
                </c:manualLayout>
              </c:layout>
              <c:tx>
                <c:rich>
                  <a:bodyPr/>
                  <a:lstStyle/>
                  <a:p>
                    <a:r>
                      <a:rPr lang="en-US"/>
                      <a:t>Well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6-49A5-ACA5-2C75FE241395}"/>
                </c:ext>
              </c:extLst>
            </c:dLbl>
            <c:dLbl>
              <c:idx val="6"/>
              <c:layout>
                <c:manualLayout>
                  <c:x val="-1.7361111111111174E-2"/>
                  <c:y val="1.7241379310344689E-2"/>
                </c:manualLayout>
              </c:layout>
              <c:tx>
                <c:rich>
                  <a:bodyPr/>
                  <a:lstStyle/>
                  <a:p>
                    <a:r>
                      <a:rPr lang="en-US"/>
                      <a:t>Well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6-49A5-ACA5-2C75FE241395}"/>
                </c:ext>
              </c:extLst>
            </c:dLbl>
            <c:dLbl>
              <c:idx val="7"/>
              <c:layout>
                <c:manualLayout>
                  <c:x val="-1.7361111111111112E-2"/>
                  <c:y val="1.7241379310344827E-2"/>
                </c:manualLayout>
              </c:layout>
              <c:tx>
                <c:rich>
                  <a:bodyPr/>
                  <a:lstStyle/>
                  <a:p>
                    <a:r>
                      <a:rPr lang="en-US"/>
                      <a:t>Well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C6-49A5-ACA5-2C75FE241395}"/>
                </c:ext>
              </c:extLst>
            </c:dLbl>
            <c:dLbl>
              <c:idx val="8"/>
              <c:layout>
                <c:manualLayout>
                  <c:x val="-1.7361111111111112E-2"/>
                  <c:y val="-3.0651340996168581E-2"/>
                </c:manualLayout>
              </c:layout>
              <c:tx>
                <c:rich>
                  <a:bodyPr/>
                  <a:lstStyle/>
                  <a:p>
                    <a:r>
                      <a:rPr lang="en-US"/>
                      <a:t>Well 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C6-49A5-ACA5-2C75FE241395}"/>
                </c:ext>
              </c:extLst>
            </c:dLbl>
            <c:dLbl>
              <c:idx val="9"/>
              <c:layout>
                <c:manualLayout>
                  <c:x val="-1.7361111111111237E-2"/>
                  <c:y val="-3.0651340996168654E-2"/>
                </c:manualLayout>
              </c:layout>
              <c:tx>
                <c:rich>
                  <a:bodyPr/>
                  <a:lstStyle/>
                  <a:p>
                    <a:r>
                      <a:rPr lang="en-US"/>
                      <a:t>Well 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C6-49A5-ACA5-2C75FE241395}"/>
                </c:ext>
              </c:extLst>
            </c:dLbl>
            <c:spPr>
              <a:noFill/>
              <a:ln>
                <a:noFill/>
              </a:ln>
              <a:effectLst/>
            </c:spPr>
            <c:txPr>
              <a:bodyPr rot="0" vert="horz" wrap="square" lIns="38100" tIns="19050" rIns="38100" bIns="19050" anchor="ctr">
                <a:spAutoFit/>
              </a:bodyPr>
              <a:lstStyle/>
              <a:p>
                <a:pPr>
                  <a:defRPr sz="700">
                    <a:solidFill>
                      <a:srgbClr val="FF4A46"/>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XLSTAT_20251219_102841_1_HID3!$A$1:$A$10</c:f>
              <c:numCache>
                <c:formatCode>General</c:formatCode>
                <c:ptCount val="10"/>
                <c:pt idx="0">
                  <c:v>0.74246537080702868</c:v>
                </c:pt>
                <c:pt idx="1">
                  <c:v>2.2252486257681525</c:v>
                </c:pt>
                <c:pt idx="2">
                  <c:v>1.1349162786020257</c:v>
                </c:pt>
                <c:pt idx="3">
                  <c:v>4.9382929275369607</c:v>
                </c:pt>
                <c:pt idx="4">
                  <c:v>5.4710472527747065</c:v>
                </c:pt>
                <c:pt idx="5">
                  <c:v>5.3102882911035065</c:v>
                </c:pt>
                <c:pt idx="6">
                  <c:v>3.5877220796369333</c:v>
                </c:pt>
                <c:pt idx="7">
                  <c:v>5.4396219435796658</c:v>
                </c:pt>
                <c:pt idx="8">
                  <c:v>0.56931788530315253</c:v>
                </c:pt>
                <c:pt idx="9">
                  <c:v>5.1438148562480821</c:v>
                </c:pt>
              </c:numCache>
            </c:numRef>
          </c:xVal>
          <c:yVal>
            <c:numRef>
              <c:f>XLSTAT_20251219_102841_1_HID3!$B$1:$B$10</c:f>
              <c:numCache>
                <c:formatCode>General</c:formatCode>
                <c:ptCount val="10"/>
                <c:pt idx="0">
                  <c:v>-4.7432657418176234</c:v>
                </c:pt>
                <c:pt idx="1">
                  <c:v>7.0941801340342359</c:v>
                </c:pt>
                <c:pt idx="2">
                  <c:v>-0.64391355598849065</c:v>
                </c:pt>
                <c:pt idx="3">
                  <c:v>0.30862278501131912</c:v>
                </c:pt>
                <c:pt idx="4">
                  <c:v>-1.188180927918149</c:v>
                </c:pt>
                <c:pt idx="5">
                  <c:v>1.838708424764272</c:v>
                </c:pt>
                <c:pt idx="6">
                  <c:v>-4.2009175165351129</c:v>
                </c:pt>
                <c:pt idx="7">
                  <c:v>-1.8233787145998848</c:v>
                </c:pt>
                <c:pt idx="8">
                  <c:v>7.6649941551900982</c:v>
                </c:pt>
                <c:pt idx="9">
                  <c:v>0.83693399932796941</c:v>
                </c:pt>
              </c:numCache>
            </c:numRef>
          </c:yVal>
          <c:smooth val="0"/>
          <c:extLst>
            <c:ext xmlns:c16="http://schemas.microsoft.com/office/drawing/2014/chart" uri="{C3380CC4-5D6E-409C-BE32-E72D297353CC}">
              <c16:uniqueId val="{0000000A-61C6-49A5-ACA5-2C75FE241395}"/>
            </c:ext>
          </c:extLst>
        </c:ser>
        <c:ser>
          <c:idx val="1"/>
          <c:order val="1"/>
          <c:tx>
            <c:v>Observations actives</c:v>
          </c:tx>
          <c:spPr>
            <a:ln w="19050">
              <a:noFill/>
            </a:ln>
            <a:effectLst/>
          </c:spPr>
          <c:marker>
            <c:symbol val="circle"/>
            <c:size val="3"/>
            <c:spPr>
              <a:solidFill>
                <a:srgbClr val="2A7498"/>
              </a:solidFill>
              <a:ln>
                <a:solidFill>
                  <a:srgbClr val="2A7498"/>
                </a:solidFill>
                <a:prstDash val="solid"/>
              </a:ln>
            </c:spPr>
          </c:marker>
          <c:dLbls>
            <c:dLbl>
              <c:idx val="0"/>
              <c:layout>
                <c:manualLayout>
                  <c:x val="-0.1831635498687664"/>
                  <c:y val="1.7241379310344827E-2"/>
                </c:manualLayout>
              </c:layout>
              <c:tx>
                <c:rich>
                  <a:bodyPr/>
                  <a:lstStyle/>
                  <a:p>
                    <a:r>
                      <a:rPr lang="en-US"/>
                      <a:t>Parathion-methyl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C6-49A5-ACA5-2C75FE241395}"/>
                </c:ext>
              </c:extLst>
            </c:dLbl>
            <c:dLbl>
              <c:idx val="1"/>
              <c:layout>
                <c:manualLayout>
                  <c:x val="-1.7361111111111112E-2"/>
                  <c:y val="1.7241379310344827E-2"/>
                </c:manualLayout>
              </c:layout>
              <c:tx>
                <c:rich>
                  <a:bodyPr/>
                  <a:lstStyle/>
                  <a:p>
                    <a:r>
                      <a:rPr lang="en-US"/>
                      <a:t>Chlorfenvinphos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C6-49A5-ACA5-2C75FE241395}"/>
                </c:ext>
              </c:extLst>
            </c:dLbl>
            <c:dLbl>
              <c:idx val="2"/>
              <c:layout>
                <c:manualLayout>
                  <c:x val="-0.14185777559055118"/>
                  <c:y val="-3.0651340996168581E-2"/>
                </c:manualLayout>
              </c:layout>
              <c:tx>
                <c:rich>
                  <a:bodyPr/>
                  <a:lstStyle/>
                  <a:p>
                    <a:r>
                      <a:rPr lang="en-US"/>
                      <a:t>Vinclozolin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C6-49A5-ACA5-2C75FE241395}"/>
                </c:ext>
              </c:extLst>
            </c:dLbl>
            <c:dLbl>
              <c:idx val="3"/>
              <c:layout>
                <c:manualLayout>
                  <c:x val="-0.18470499781277341"/>
                  <c:y val="5.1724137931034343E-2"/>
                </c:manualLayout>
              </c:layout>
              <c:tx>
                <c:rich>
                  <a:bodyPr/>
                  <a:lstStyle/>
                  <a:p>
                    <a:r>
                      <a:rPr lang="en-US"/>
                      <a:t>Parathion-ethyl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C6-49A5-ACA5-2C75FE241395}"/>
                </c:ext>
              </c:extLst>
            </c:dLbl>
            <c:dLbl>
              <c:idx val="4"/>
              <c:layout>
                <c:manualLayout>
                  <c:x val="-1.7361111111111112E-2"/>
                  <c:y val="-3.0651340996168654E-2"/>
                </c:manualLayout>
              </c:layout>
              <c:tx>
                <c:rich>
                  <a:bodyPr/>
                  <a:lstStyle/>
                  <a:p>
                    <a:r>
                      <a:rPr lang="en-US"/>
                      <a:t>Profenofos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C6-49A5-ACA5-2C75FE241395}"/>
                </c:ext>
              </c:extLst>
            </c:dLbl>
            <c:dLbl>
              <c:idx val="5"/>
              <c:layout>
                <c:manualLayout>
                  <c:x val="-1.7361111111111174E-2"/>
                  <c:y val="1.7241379310344827E-2"/>
                </c:manualLayout>
              </c:layout>
              <c:tx>
                <c:rich>
                  <a:bodyPr/>
                  <a:lstStyle/>
                  <a:p>
                    <a:r>
                      <a:rPr lang="en-US"/>
                      <a:t>Dimethoate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C6-49A5-ACA5-2C75FE241395}"/>
                </c:ext>
              </c:extLst>
            </c:dLbl>
            <c:dLbl>
              <c:idx val="6"/>
              <c:layout>
                <c:manualLayout>
                  <c:x val="-1.7361111111111112E-2"/>
                  <c:y val="-3.0651340996168654E-2"/>
                </c:manualLayout>
              </c:layout>
              <c:tx>
                <c:rich>
                  <a:bodyPr/>
                  <a:lstStyle/>
                  <a:p>
                    <a:r>
                      <a:rPr lang="en-US"/>
                      <a:t>Chlorpyrifos-ethyl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C6-49A5-ACA5-2C75FE241395}"/>
                </c:ext>
              </c:extLst>
            </c:dLbl>
            <c:dLbl>
              <c:idx val="7"/>
              <c:layout>
                <c:manualLayout>
                  <c:x val="-1.7361111111111112E-2"/>
                  <c:y val="-3.0651340996168654E-2"/>
                </c:manualLayout>
              </c:layout>
              <c:tx>
                <c:rich>
                  <a:bodyPr/>
                  <a:lstStyle/>
                  <a:p>
                    <a:r>
                      <a:rPr lang="en-US"/>
                      <a:t>Metolachlor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C6-49A5-ACA5-2C75FE241395}"/>
                </c:ext>
              </c:extLst>
            </c:dLbl>
            <c:dLbl>
              <c:idx val="8"/>
              <c:layout>
                <c:manualLayout>
                  <c:x val="-9.3697779965004391E-2"/>
                  <c:y val="-5.3639846743295021E-2"/>
                </c:manualLayout>
              </c:layout>
              <c:tx>
                <c:rich>
                  <a:bodyPr/>
                  <a:lstStyle/>
                  <a:p>
                    <a:r>
                      <a:rPr lang="en-US"/>
                      <a:t>Metazaclor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C6-49A5-ACA5-2C75FE241395}"/>
                </c:ext>
              </c:extLst>
            </c:dLbl>
            <c:dLbl>
              <c:idx val="9"/>
              <c:layout>
                <c:manualLayout>
                  <c:x val="-8.9322779965004373E-2"/>
                  <c:y val="-0.10727969348659004"/>
                </c:manualLayout>
              </c:layout>
              <c:tx>
                <c:rich>
                  <a:bodyPr/>
                  <a:lstStyle/>
                  <a:p>
                    <a:r>
                      <a:rPr lang="en-US"/>
                      <a:t>Atrazine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C6-49A5-ACA5-2C75FE241395}"/>
                </c:ext>
              </c:extLst>
            </c:dLbl>
            <c:dLbl>
              <c:idx val="10"/>
              <c:layout>
                <c:manualLayout>
                  <c:x val="-0.21685777559055119"/>
                  <c:y val="5.7471264367815389E-3"/>
                </c:manualLayout>
              </c:layout>
              <c:tx>
                <c:rich>
                  <a:bodyPr/>
                  <a:lstStyle/>
                  <a:p>
                    <a:r>
                      <a:rPr lang="en-US"/>
                      <a:t>Prometryn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C6-49A5-ACA5-2C75FE241395}"/>
                </c:ext>
              </c:extLst>
            </c:dLbl>
            <c:dLbl>
              <c:idx val="11"/>
              <c:layout>
                <c:manualLayout>
                  <c:x val="-7.4062500000000017E-2"/>
                  <c:y val="6.3218390804597707E-2"/>
                </c:manualLayout>
              </c:layout>
              <c:tx>
                <c:rich>
                  <a:bodyPr/>
                  <a:lstStyle/>
                  <a:p>
                    <a:r>
                      <a:rPr lang="en-US"/>
                      <a:t>Terbutryn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C6-49A5-ACA5-2C75FE241395}"/>
                </c:ext>
              </c:extLst>
            </c:dLbl>
            <c:dLbl>
              <c:idx val="12"/>
              <c:layout>
                <c:manualLayout>
                  <c:x val="-0.18086805555555555"/>
                  <c:y val="-1.1494252873563218E-2"/>
                </c:manualLayout>
              </c:layout>
              <c:tx>
                <c:rich>
                  <a:bodyPr/>
                  <a:lstStyle/>
                  <a:p>
                    <a:r>
                      <a:rPr lang="en-US"/>
                      <a:t>Carbosulfan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C6-49A5-ACA5-2C75FE241395}"/>
                </c:ext>
              </c:extLst>
            </c:dLbl>
            <c:dLbl>
              <c:idx val="13"/>
              <c:layout>
                <c:manualLayout>
                  <c:x val="-0.10208333333333333"/>
                  <c:y val="1.7241379310344758E-2"/>
                </c:manualLayout>
              </c:layout>
              <c:tx>
                <c:rich>
                  <a:bodyPr/>
                  <a:lstStyle/>
                  <a:p>
                    <a:r>
                      <a:rPr lang="en-US"/>
                      <a:t>Diuron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C6-49A5-ACA5-2C75FE241395}"/>
                </c:ext>
              </c:extLst>
            </c:dLbl>
            <c:dLbl>
              <c:idx val="14"/>
              <c:layout>
                <c:manualLayout>
                  <c:x val="-0.15092000218722659"/>
                  <c:y val="-0.12452107279693486"/>
                </c:manualLayout>
              </c:layout>
              <c:tx>
                <c:rich>
                  <a:bodyPr/>
                  <a:lstStyle/>
                  <a:p>
                    <a:r>
                      <a:rPr lang="en-US"/>
                      <a:t>Lambda Cyhalothrin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C6-49A5-ACA5-2C75FE241395}"/>
                </c:ext>
              </c:extLst>
            </c:dLbl>
            <c:dLbl>
              <c:idx val="15"/>
              <c:layout>
                <c:manualLayout>
                  <c:x val="-0.18196166885389325"/>
                  <c:y val="9.0038314176245138E-2"/>
                </c:manualLayout>
              </c:layout>
              <c:tx>
                <c:rich>
                  <a:bodyPr/>
                  <a:lstStyle/>
                  <a:p>
                    <a:r>
                      <a:rPr lang="en-US"/>
                      <a:t>Deltamethrin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C6-49A5-ACA5-2C75FE241395}"/>
                </c:ext>
              </c:extLst>
            </c:dLbl>
            <c:spPr>
              <a:noFill/>
              <a:ln>
                <a:noFill/>
              </a:ln>
              <a:effectLst/>
            </c:spPr>
            <c:txPr>
              <a:bodyPr rot="0" vert="horz" wrap="square" lIns="38100" tIns="19050" rIns="38100" bIns="19050" anchor="ctr">
                <a:spAutoFit/>
              </a:bodyPr>
              <a:lstStyle/>
              <a:p>
                <a:pPr>
                  <a:defRPr sz="700">
                    <a:solidFill>
                      <a:srgbClr val="2A7498"/>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XLSTAT_20251219_102841_1_HID3!$C$1:$C$16</c:f>
              <c:numCache>
                <c:formatCode>General</c:formatCode>
                <c:ptCount val="16"/>
                <c:pt idx="0">
                  <c:v>-1.551215007059368</c:v>
                </c:pt>
                <c:pt idx="1">
                  <c:v>0.68710152507119837</c:v>
                </c:pt>
                <c:pt idx="2">
                  <c:v>-1.5023802403965285</c:v>
                </c:pt>
                <c:pt idx="3">
                  <c:v>-0.37791549126272739</c:v>
                </c:pt>
                <c:pt idx="4">
                  <c:v>2.7208053951183016</c:v>
                </c:pt>
                <c:pt idx="5">
                  <c:v>6.8388090659683822</c:v>
                </c:pt>
                <c:pt idx="6">
                  <c:v>0.62387249835446157</c:v>
                </c:pt>
                <c:pt idx="7">
                  <c:v>0.72490701106954625</c:v>
                </c:pt>
                <c:pt idx="8">
                  <c:v>-1.0177143910882895</c:v>
                </c:pt>
                <c:pt idx="9">
                  <c:v>-0.71722163292812935</c:v>
                </c:pt>
                <c:pt idx="10">
                  <c:v>-0.98446698819714196</c:v>
                </c:pt>
                <c:pt idx="11">
                  <c:v>-1.2556692274344086</c:v>
                </c:pt>
                <c:pt idx="12">
                  <c:v>-1.1036038917650097</c:v>
                </c:pt>
                <c:pt idx="13">
                  <c:v>-0.23085933443907611</c:v>
                </c:pt>
                <c:pt idx="14">
                  <c:v>-1.2993961731888155</c:v>
                </c:pt>
                <c:pt idx="15">
                  <c:v>-1.5550531178223914</c:v>
                </c:pt>
              </c:numCache>
            </c:numRef>
          </c:xVal>
          <c:yVal>
            <c:numRef>
              <c:f>XLSTAT_20251219_102841_1_HID3!$D$1:$D$16</c:f>
              <c:numCache>
                <c:formatCode>General</c:formatCode>
                <c:ptCount val="16"/>
                <c:pt idx="0">
                  <c:v>-0.19140410610332628</c:v>
                </c:pt>
                <c:pt idx="1">
                  <c:v>-1.4735914922712798</c:v>
                </c:pt>
                <c:pt idx="2">
                  <c:v>0.27210788317914975</c:v>
                </c:pt>
                <c:pt idx="3">
                  <c:v>-2.1642314998390031</c:v>
                </c:pt>
                <c:pt idx="4">
                  <c:v>0.41855588252659509</c:v>
                </c:pt>
                <c:pt idx="5">
                  <c:v>-0.87546994711970438</c:v>
                </c:pt>
                <c:pt idx="6">
                  <c:v>4.4143249079570364</c:v>
                </c:pt>
                <c:pt idx="7">
                  <c:v>0.97768958726113053</c:v>
                </c:pt>
                <c:pt idx="8">
                  <c:v>0.42290764891637866</c:v>
                </c:pt>
                <c:pt idx="9">
                  <c:v>0.74935766687159533</c:v>
                </c:pt>
                <c:pt idx="10">
                  <c:v>-1.1731992954631068</c:v>
                </c:pt>
                <c:pt idx="11">
                  <c:v>-0.30318861892281795</c:v>
                </c:pt>
                <c:pt idx="12">
                  <c:v>0.11977655188064325</c:v>
                </c:pt>
                <c:pt idx="13">
                  <c:v>-0.30736951433549303</c:v>
                </c:pt>
                <c:pt idx="14">
                  <c:v>-0.75345337961504499</c:v>
                </c:pt>
                <c:pt idx="15">
                  <c:v>-0.13281227492275385</c:v>
                </c:pt>
              </c:numCache>
            </c:numRef>
          </c:yVal>
          <c:smooth val="0"/>
          <c:extLst>
            <c:ext xmlns:c16="http://schemas.microsoft.com/office/drawing/2014/chart" uri="{C3380CC4-5D6E-409C-BE32-E72D297353CC}">
              <c16:uniqueId val="{0000001B-61C6-49A5-ACA5-2C75FE241395}"/>
            </c:ext>
          </c:extLst>
        </c:ser>
        <c:ser>
          <c:idx val="2"/>
          <c:order val="2"/>
          <c:tx>
            <c:v/>
          </c:tx>
          <c:spPr>
            <a:ln w="6350">
              <a:solidFill>
                <a:srgbClr val="FF4A46"/>
              </a:solidFill>
              <a:prstDash val="solid"/>
            </a:ln>
            <a:effectLst/>
          </c:spPr>
          <c:marker>
            <c:symbol val="none"/>
          </c:marker>
          <c:xVal>
            <c:numLit>
              <c:formatCode>General</c:formatCode>
              <c:ptCount val="2"/>
              <c:pt idx="0">
                <c:v>0</c:v>
              </c:pt>
              <c:pt idx="1">
                <c:v>0.74246537080702868</c:v>
              </c:pt>
            </c:numLit>
          </c:xVal>
          <c:yVal>
            <c:numLit>
              <c:formatCode>General</c:formatCode>
              <c:ptCount val="2"/>
              <c:pt idx="0">
                <c:v>0</c:v>
              </c:pt>
              <c:pt idx="1">
                <c:v>-4.7432657418176234</c:v>
              </c:pt>
            </c:numLit>
          </c:yVal>
          <c:smooth val="0"/>
          <c:extLst>
            <c:ext xmlns:c16="http://schemas.microsoft.com/office/drawing/2014/chart" uri="{C3380CC4-5D6E-409C-BE32-E72D297353CC}">
              <c16:uniqueId val="{0000001C-61C6-49A5-ACA5-2C75FE241395}"/>
            </c:ext>
          </c:extLst>
        </c:ser>
        <c:ser>
          <c:idx val="3"/>
          <c:order val="3"/>
          <c:tx>
            <c:v/>
          </c:tx>
          <c:spPr>
            <a:ln w="6350">
              <a:solidFill>
                <a:srgbClr val="FF4A46"/>
              </a:solidFill>
              <a:prstDash val="solid"/>
            </a:ln>
            <a:effectLst/>
          </c:spPr>
          <c:marker>
            <c:symbol val="none"/>
          </c:marker>
          <c:xVal>
            <c:numLit>
              <c:formatCode>General</c:formatCode>
              <c:ptCount val="2"/>
              <c:pt idx="0">
                <c:v>0</c:v>
              </c:pt>
              <c:pt idx="1">
                <c:v>2.2252486257681525</c:v>
              </c:pt>
            </c:numLit>
          </c:xVal>
          <c:yVal>
            <c:numLit>
              <c:formatCode>General</c:formatCode>
              <c:ptCount val="2"/>
              <c:pt idx="0">
                <c:v>0</c:v>
              </c:pt>
              <c:pt idx="1">
                <c:v>7.0941801340342359</c:v>
              </c:pt>
            </c:numLit>
          </c:yVal>
          <c:smooth val="0"/>
          <c:extLst>
            <c:ext xmlns:c16="http://schemas.microsoft.com/office/drawing/2014/chart" uri="{C3380CC4-5D6E-409C-BE32-E72D297353CC}">
              <c16:uniqueId val="{0000001D-61C6-49A5-ACA5-2C75FE241395}"/>
            </c:ext>
          </c:extLst>
        </c:ser>
        <c:ser>
          <c:idx val="4"/>
          <c:order val="4"/>
          <c:tx>
            <c:v/>
          </c:tx>
          <c:spPr>
            <a:ln w="6350">
              <a:solidFill>
                <a:srgbClr val="FF4A46"/>
              </a:solidFill>
              <a:prstDash val="solid"/>
            </a:ln>
            <a:effectLst/>
          </c:spPr>
          <c:marker>
            <c:symbol val="none"/>
          </c:marker>
          <c:xVal>
            <c:numLit>
              <c:formatCode>General</c:formatCode>
              <c:ptCount val="2"/>
              <c:pt idx="0">
                <c:v>0</c:v>
              </c:pt>
              <c:pt idx="1">
                <c:v>1.1349162786020257</c:v>
              </c:pt>
            </c:numLit>
          </c:xVal>
          <c:yVal>
            <c:numLit>
              <c:formatCode>General</c:formatCode>
              <c:ptCount val="2"/>
              <c:pt idx="0">
                <c:v>0</c:v>
              </c:pt>
              <c:pt idx="1">
                <c:v>-0.64391355598849065</c:v>
              </c:pt>
            </c:numLit>
          </c:yVal>
          <c:smooth val="0"/>
          <c:extLst>
            <c:ext xmlns:c16="http://schemas.microsoft.com/office/drawing/2014/chart" uri="{C3380CC4-5D6E-409C-BE32-E72D297353CC}">
              <c16:uniqueId val="{0000001E-61C6-49A5-ACA5-2C75FE241395}"/>
            </c:ext>
          </c:extLst>
        </c:ser>
        <c:ser>
          <c:idx val="5"/>
          <c:order val="5"/>
          <c:tx>
            <c:v/>
          </c:tx>
          <c:spPr>
            <a:ln w="6350">
              <a:solidFill>
                <a:srgbClr val="FF4A46"/>
              </a:solidFill>
              <a:prstDash val="solid"/>
            </a:ln>
            <a:effectLst/>
          </c:spPr>
          <c:marker>
            <c:symbol val="none"/>
          </c:marker>
          <c:xVal>
            <c:numLit>
              <c:formatCode>General</c:formatCode>
              <c:ptCount val="2"/>
              <c:pt idx="0">
                <c:v>0</c:v>
              </c:pt>
              <c:pt idx="1">
                <c:v>4.9382929275369607</c:v>
              </c:pt>
            </c:numLit>
          </c:xVal>
          <c:yVal>
            <c:numLit>
              <c:formatCode>General</c:formatCode>
              <c:ptCount val="2"/>
              <c:pt idx="0">
                <c:v>0</c:v>
              </c:pt>
              <c:pt idx="1">
                <c:v>0.30862278501131912</c:v>
              </c:pt>
            </c:numLit>
          </c:yVal>
          <c:smooth val="0"/>
          <c:extLst>
            <c:ext xmlns:c16="http://schemas.microsoft.com/office/drawing/2014/chart" uri="{C3380CC4-5D6E-409C-BE32-E72D297353CC}">
              <c16:uniqueId val="{0000001F-61C6-49A5-ACA5-2C75FE241395}"/>
            </c:ext>
          </c:extLst>
        </c:ser>
        <c:ser>
          <c:idx val="6"/>
          <c:order val="6"/>
          <c:tx>
            <c:v/>
          </c:tx>
          <c:spPr>
            <a:ln w="6350">
              <a:solidFill>
                <a:srgbClr val="FF4A46"/>
              </a:solidFill>
              <a:prstDash val="solid"/>
            </a:ln>
            <a:effectLst/>
          </c:spPr>
          <c:marker>
            <c:symbol val="none"/>
          </c:marker>
          <c:xVal>
            <c:numLit>
              <c:formatCode>General</c:formatCode>
              <c:ptCount val="2"/>
              <c:pt idx="0">
                <c:v>0</c:v>
              </c:pt>
              <c:pt idx="1">
                <c:v>5.4710472527747065</c:v>
              </c:pt>
            </c:numLit>
          </c:xVal>
          <c:yVal>
            <c:numLit>
              <c:formatCode>General</c:formatCode>
              <c:ptCount val="2"/>
              <c:pt idx="0">
                <c:v>0</c:v>
              </c:pt>
              <c:pt idx="1">
                <c:v>-1.188180927918149</c:v>
              </c:pt>
            </c:numLit>
          </c:yVal>
          <c:smooth val="0"/>
          <c:extLst>
            <c:ext xmlns:c16="http://schemas.microsoft.com/office/drawing/2014/chart" uri="{C3380CC4-5D6E-409C-BE32-E72D297353CC}">
              <c16:uniqueId val="{00000020-61C6-49A5-ACA5-2C75FE241395}"/>
            </c:ext>
          </c:extLst>
        </c:ser>
        <c:ser>
          <c:idx val="7"/>
          <c:order val="7"/>
          <c:tx>
            <c:v/>
          </c:tx>
          <c:spPr>
            <a:ln w="6350">
              <a:solidFill>
                <a:srgbClr val="FF4A46"/>
              </a:solidFill>
              <a:prstDash val="solid"/>
            </a:ln>
            <a:effectLst/>
          </c:spPr>
          <c:marker>
            <c:symbol val="none"/>
          </c:marker>
          <c:xVal>
            <c:numLit>
              <c:formatCode>General</c:formatCode>
              <c:ptCount val="2"/>
              <c:pt idx="0">
                <c:v>0</c:v>
              </c:pt>
              <c:pt idx="1">
                <c:v>5.3102882911035065</c:v>
              </c:pt>
            </c:numLit>
          </c:xVal>
          <c:yVal>
            <c:numLit>
              <c:formatCode>General</c:formatCode>
              <c:ptCount val="2"/>
              <c:pt idx="0">
                <c:v>0</c:v>
              </c:pt>
              <c:pt idx="1">
                <c:v>1.838708424764272</c:v>
              </c:pt>
            </c:numLit>
          </c:yVal>
          <c:smooth val="0"/>
          <c:extLst>
            <c:ext xmlns:c16="http://schemas.microsoft.com/office/drawing/2014/chart" uri="{C3380CC4-5D6E-409C-BE32-E72D297353CC}">
              <c16:uniqueId val="{00000021-61C6-49A5-ACA5-2C75FE241395}"/>
            </c:ext>
          </c:extLst>
        </c:ser>
        <c:ser>
          <c:idx val="8"/>
          <c:order val="8"/>
          <c:tx>
            <c:v/>
          </c:tx>
          <c:spPr>
            <a:ln w="6350">
              <a:solidFill>
                <a:srgbClr val="FF4A46"/>
              </a:solidFill>
              <a:prstDash val="solid"/>
            </a:ln>
            <a:effectLst/>
          </c:spPr>
          <c:marker>
            <c:symbol val="none"/>
          </c:marker>
          <c:xVal>
            <c:numLit>
              <c:formatCode>General</c:formatCode>
              <c:ptCount val="2"/>
              <c:pt idx="0">
                <c:v>0</c:v>
              </c:pt>
              <c:pt idx="1">
                <c:v>3.5877220796369333</c:v>
              </c:pt>
            </c:numLit>
          </c:xVal>
          <c:yVal>
            <c:numLit>
              <c:formatCode>General</c:formatCode>
              <c:ptCount val="2"/>
              <c:pt idx="0">
                <c:v>0</c:v>
              </c:pt>
              <c:pt idx="1">
                <c:v>-4.2009175165351129</c:v>
              </c:pt>
            </c:numLit>
          </c:yVal>
          <c:smooth val="0"/>
          <c:extLst>
            <c:ext xmlns:c16="http://schemas.microsoft.com/office/drawing/2014/chart" uri="{C3380CC4-5D6E-409C-BE32-E72D297353CC}">
              <c16:uniqueId val="{00000022-61C6-49A5-ACA5-2C75FE241395}"/>
            </c:ext>
          </c:extLst>
        </c:ser>
        <c:ser>
          <c:idx val="9"/>
          <c:order val="9"/>
          <c:tx>
            <c:v/>
          </c:tx>
          <c:spPr>
            <a:ln w="6350">
              <a:solidFill>
                <a:srgbClr val="FF4A46"/>
              </a:solidFill>
              <a:prstDash val="solid"/>
            </a:ln>
            <a:effectLst/>
          </c:spPr>
          <c:marker>
            <c:symbol val="none"/>
          </c:marker>
          <c:xVal>
            <c:numLit>
              <c:formatCode>General</c:formatCode>
              <c:ptCount val="2"/>
              <c:pt idx="0">
                <c:v>0</c:v>
              </c:pt>
              <c:pt idx="1">
                <c:v>5.4396219435796658</c:v>
              </c:pt>
            </c:numLit>
          </c:xVal>
          <c:yVal>
            <c:numLit>
              <c:formatCode>General</c:formatCode>
              <c:ptCount val="2"/>
              <c:pt idx="0">
                <c:v>0</c:v>
              </c:pt>
              <c:pt idx="1">
                <c:v>-1.8233787145998848</c:v>
              </c:pt>
            </c:numLit>
          </c:yVal>
          <c:smooth val="0"/>
          <c:extLst>
            <c:ext xmlns:c16="http://schemas.microsoft.com/office/drawing/2014/chart" uri="{C3380CC4-5D6E-409C-BE32-E72D297353CC}">
              <c16:uniqueId val="{00000023-61C6-49A5-ACA5-2C75FE241395}"/>
            </c:ext>
          </c:extLst>
        </c:ser>
        <c:ser>
          <c:idx val="10"/>
          <c:order val="10"/>
          <c:tx>
            <c:v/>
          </c:tx>
          <c:spPr>
            <a:ln w="6350">
              <a:solidFill>
                <a:srgbClr val="FF4A46"/>
              </a:solidFill>
              <a:prstDash val="solid"/>
            </a:ln>
            <a:effectLst/>
          </c:spPr>
          <c:marker>
            <c:symbol val="none"/>
          </c:marker>
          <c:xVal>
            <c:numLit>
              <c:formatCode>General</c:formatCode>
              <c:ptCount val="2"/>
              <c:pt idx="0">
                <c:v>0</c:v>
              </c:pt>
              <c:pt idx="1">
                <c:v>0.56931788530315253</c:v>
              </c:pt>
            </c:numLit>
          </c:xVal>
          <c:yVal>
            <c:numLit>
              <c:formatCode>General</c:formatCode>
              <c:ptCount val="2"/>
              <c:pt idx="0">
                <c:v>0</c:v>
              </c:pt>
              <c:pt idx="1">
                <c:v>7.6649941551900982</c:v>
              </c:pt>
            </c:numLit>
          </c:yVal>
          <c:smooth val="0"/>
          <c:extLst>
            <c:ext xmlns:c16="http://schemas.microsoft.com/office/drawing/2014/chart" uri="{C3380CC4-5D6E-409C-BE32-E72D297353CC}">
              <c16:uniqueId val="{00000024-61C6-49A5-ACA5-2C75FE241395}"/>
            </c:ext>
          </c:extLst>
        </c:ser>
        <c:ser>
          <c:idx val="11"/>
          <c:order val="11"/>
          <c:tx>
            <c:v/>
          </c:tx>
          <c:spPr>
            <a:ln w="6350">
              <a:solidFill>
                <a:srgbClr val="FF4A46"/>
              </a:solidFill>
              <a:prstDash val="solid"/>
            </a:ln>
            <a:effectLst/>
          </c:spPr>
          <c:marker>
            <c:symbol val="none"/>
          </c:marker>
          <c:xVal>
            <c:numLit>
              <c:formatCode>General</c:formatCode>
              <c:ptCount val="2"/>
              <c:pt idx="0">
                <c:v>0</c:v>
              </c:pt>
              <c:pt idx="1">
                <c:v>5.1438148562480821</c:v>
              </c:pt>
            </c:numLit>
          </c:xVal>
          <c:yVal>
            <c:numLit>
              <c:formatCode>General</c:formatCode>
              <c:ptCount val="2"/>
              <c:pt idx="0">
                <c:v>0</c:v>
              </c:pt>
              <c:pt idx="1">
                <c:v>0.83693399932796941</c:v>
              </c:pt>
            </c:numLit>
          </c:yVal>
          <c:smooth val="0"/>
          <c:extLst>
            <c:ext xmlns:c16="http://schemas.microsoft.com/office/drawing/2014/chart" uri="{C3380CC4-5D6E-409C-BE32-E72D297353CC}">
              <c16:uniqueId val="{00000025-61C6-49A5-ACA5-2C75FE241395}"/>
            </c:ext>
          </c:extLst>
        </c:ser>
        <c:dLbls>
          <c:showLegendKey val="0"/>
          <c:showVal val="0"/>
          <c:showCatName val="0"/>
          <c:showSerName val="0"/>
          <c:showPercent val="0"/>
          <c:showBubbleSize val="0"/>
        </c:dLbls>
        <c:axId val="866467336"/>
        <c:axId val="866465040"/>
      </c:scatterChart>
      <c:valAx>
        <c:axId val="866467336"/>
        <c:scaling>
          <c:orientation val="minMax"/>
        </c:scaling>
        <c:delete val="0"/>
        <c:axPos val="b"/>
        <c:title>
          <c:tx>
            <c:rich>
              <a:bodyPr/>
              <a:lstStyle/>
              <a:p>
                <a:pPr>
                  <a:defRPr sz="800" b="0">
                    <a:latin typeface="Arial"/>
                    <a:ea typeface="Arial"/>
                    <a:cs typeface="Arial"/>
                  </a:defRPr>
                </a:pPr>
                <a:r>
                  <a:rPr lang="en"/>
                  <a:t>F1 (43.65%)</a:t>
                </a:r>
              </a:p>
            </c:rich>
          </c:tx>
          <c:overlay val="0"/>
        </c:title>
        <c:numFmt formatCode="General" sourceLinked="0"/>
        <c:majorTickMark val="none"/>
        <c:minorTickMark val="none"/>
        <c:tickLblPos val="low"/>
        <c:txPr>
          <a:bodyPr rot="0" vert="horz"/>
          <a:lstStyle/>
          <a:p>
            <a:pPr>
              <a:defRPr sz="700"/>
            </a:pPr>
            <a:endParaRPr lang="en-US"/>
          </a:p>
        </c:txPr>
        <c:crossAx val="866465040"/>
        <c:crosses val="autoZero"/>
        <c:crossBetween val="midCat"/>
      </c:valAx>
      <c:valAx>
        <c:axId val="866465040"/>
        <c:scaling>
          <c:orientation val="minMax"/>
        </c:scaling>
        <c:delete val="0"/>
        <c:axPos val="l"/>
        <c:title>
          <c:tx>
            <c:rich>
              <a:bodyPr/>
              <a:lstStyle/>
              <a:p>
                <a:pPr>
                  <a:defRPr sz="800" b="0">
                    <a:latin typeface="Arial"/>
                    <a:ea typeface="Arial"/>
                    <a:cs typeface="Arial"/>
                  </a:defRPr>
                </a:pPr>
                <a:r>
                  <a:rPr lang="en"/>
                  <a:t>F2 (19.53%)</a:t>
                </a:r>
              </a:p>
            </c:rich>
          </c:tx>
          <c:overlay val="0"/>
        </c:title>
        <c:numFmt formatCode="General" sourceLinked="0"/>
        <c:majorTickMark val="cross"/>
        <c:minorTickMark val="none"/>
        <c:tickLblPos val="low"/>
        <c:txPr>
          <a:bodyPr/>
          <a:lstStyle/>
          <a:p>
            <a:pPr>
              <a:defRPr sz="700"/>
            </a:pPr>
            <a:endParaRPr lang="en-US"/>
          </a:p>
        </c:txPr>
        <c:crossAx val="866467336"/>
        <c:crosses val="autoZero"/>
        <c:crossBetween val="midCat"/>
      </c:valAx>
      <c:spPr>
        <a:ln>
          <a:solidFill>
            <a:srgbClr val="C0C0C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ln w="6350">
          <a:solidFill>
            <a:srgbClr val="000000"/>
          </a:solidFill>
          <a:prstDash val="solid"/>
        </a:ln>
      </c:spPr>
      <c:txPr>
        <a:bodyPr/>
        <a:lstStyle/>
        <a:p>
          <a:pPr>
            <a:defRPr sz="900" b="0"/>
          </a:pPr>
          <a:endParaRPr lang="en-US"/>
        </a:p>
      </c:txPr>
    </c:legend>
    <c:plotVisOnly val="1"/>
    <c:dispBlanksAs val="gap"/>
    <c:showDLblsOverMax val="0"/>
  </c:chart>
  <c:spPr>
    <a:blipFill>
      <a:blip xmlns:r="http://schemas.openxmlformats.org/officeDocument/2006/relationships" r:embed="rId1"/>
      <a:stretch>
        <a:fillRect/>
      </a:stretch>
    </a:blip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7A9B-C20E-41A4-A226-7B5EB2DA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2013</TotalTime>
  <Pages>19</Pages>
  <Words>17206</Words>
  <Characters>98079</Characters>
  <Application>Microsoft Office Word</Application>
  <DocSecurity>0</DocSecurity>
  <Lines>817</Lines>
  <Paragraphs>230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115055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2026-01-13T08:30:00Z</dcterms:modified>
</cp:coreProperties>
</file>